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ind w:left="0" w:right="1264"/>
        <w:rPr>
          <w:b/>
          <w:bCs/>
          <w:rtl/>
          <w:lang w:eastAsia="en-US"/>
        </w:rPr>
      </w:pPr>
      <w:r>
        <w:rPr>
          <w:b/>
          <w:bCs/>
          <w:rtl/>
          <w:lang w:eastAsia="en-US"/>
        </w:rPr>
        <w:t>اللجنة المعنية بالقضاء على التمييز ضد المرأة</w:t>
      </w:r>
    </w:p>
    <w:p w:rsidR="00000000" w:rsidRDefault="00000000">
      <w:pPr>
        <w:pStyle w:val="SingleTxt"/>
        <w:jc w:val="center"/>
        <w:rPr>
          <w:b/>
          <w:bCs/>
          <w:rtl/>
          <w:lang w:eastAsia="en-US"/>
        </w:rPr>
      </w:pPr>
    </w:p>
    <w:p w:rsidR="00000000" w:rsidRDefault="00000000">
      <w:pPr>
        <w:pStyle w:val="SingleTxt"/>
        <w:jc w:val="center"/>
        <w:rPr>
          <w:b/>
          <w:bCs/>
          <w:szCs w:val="34"/>
          <w:rtl/>
          <w:lang w:eastAsia="en-US"/>
        </w:rPr>
      </w:pPr>
      <w:r>
        <w:rPr>
          <w:b/>
          <w:bCs/>
          <w:szCs w:val="34"/>
          <w:rtl/>
          <w:lang w:eastAsia="en-US"/>
        </w:rPr>
        <w:t>النظر في التقارير المقدمة من الدول الأطراف بموجب المادة 18 من</w:t>
      </w:r>
    </w:p>
    <w:p w:rsidR="00000000" w:rsidRDefault="00000000">
      <w:pPr>
        <w:pStyle w:val="SingleTxt"/>
        <w:jc w:val="center"/>
        <w:rPr>
          <w:b/>
          <w:bCs/>
          <w:szCs w:val="34"/>
          <w:rtl/>
          <w:lang w:eastAsia="en-US"/>
        </w:rPr>
      </w:pPr>
      <w:r>
        <w:rPr>
          <w:b/>
          <w:bCs/>
          <w:szCs w:val="34"/>
          <w:rtl/>
          <w:lang w:eastAsia="en-US"/>
        </w:rPr>
        <w:t>اتفاقية القضاء على جميع أشكال التمييز ضد المرأة</w:t>
      </w:r>
    </w:p>
    <w:p w:rsidR="00000000" w:rsidRDefault="00000000">
      <w:pPr>
        <w:pStyle w:val="SingleTxt"/>
        <w:jc w:val="center"/>
        <w:rPr>
          <w:b/>
          <w:bCs/>
          <w:rtl/>
          <w:lang w:eastAsia="en-US"/>
        </w:rPr>
      </w:pPr>
    </w:p>
    <w:p w:rsidR="00000000" w:rsidRDefault="00000000">
      <w:pPr>
        <w:pStyle w:val="SingleTxt"/>
        <w:jc w:val="center"/>
        <w:rPr>
          <w:b/>
          <w:bCs/>
          <w:rtl/>
          <w:lang w:eastAsia="en-US"/>
        </w:rPr>
      </w:pPr>
      <w:r>
        <w:rPr>
          <w:b/>
          <w:bCs/>
          <w:rtl/>
          <w:lang w:eastAsia="en-US"/>
        </w:rPr>
        <w:t>التقريران الدوريان المجمعان الأول والثاني المقدمان من الدول الأطراف</w:t>
      </w:r>
    </w:p>
    <w:p w:rsidR="00000000" w:rsidRDefault="00000000">
      <w:pPr>
        <w:pStyle w:val="SingleTxt"/>
        <w:jc w:val="center"/>
        <w:rPr>
          <w:b/>
          <w:bCs/>
          <w:rtl/>
          <w:lang w:eastAsia="en-US"/>
        </w:rPr>
      </w:pPr>
    </w:p>
    <w:p w:rsidR="00000000" w:rsidRDefault="00000000">
      <w:pPr>
        <w:pStyle w:val="SingleTxt"/>
        <w:jc w:val="center"/>
        <w:rPr>
          <w:b/>
          <w:bCs/>
          <w:rtl/>
          <w:lang w:eastAsia="en-US"/>
        </w:rPr>
      </w:pPr>
      <w:r>
        <w:rPr>
          <w:b/>
          <w:bCs/>
          <w:rtl/>
          <w:lang w:eastAsia="en-US"/>
        </w:rPr>
        <w:t>أريتريا</w:t>
      </w:r>
      <w:r>
        <w:rPr>
          <w:rStyle w:val="FootnoteReference"/>
          <w:b/>
          <w:bCs/>
          <w:rtl/>
          <w:lang w:eastAsia="en-US"/>
        </w:rPr>
        <w:footnoteReference w:customMarkFollows="1" w:id="1"/>
        <w:t>*</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jc w:val="center"/>
        <w:rPr>
          <w:rtl/>
          <w:lang w:eastAsia="en-US"/>
        </w:rPr>
      </w:pPr>
      <w:r>
        <w:rPr>
          <w:rtl/>
          <w:lang w:eastAsia="en-US"/>
        </w:rPr>
        <w:br w:type="page"/>
      </w:r>
    </w:p>
    <w:p w:rsidR="00000000" w:rsidRDefault="00000000">
      <w:pPr>
        <w:pStyle w:val="SingleTxt"/>
        <w:jc w:val="center"/>
        <w:rPr>
          <w:b/>
          <w:bCs/>
          <w:rtl/>
          <w:lang w:eastAsia="en-US"/>
        </w:rPr>
      </w:pPr>
      <w:r>
        <w:rPr>
          <w:b/>
          <w:bCs/>
          <w:rtl/>
          <w:lang w:eastAsia="en-US"/>
        </w:rPr>
        <w:t>مشروع</w:t>
      </w:r>
    </w:p>
    <w:p w:rsidR="00000000" w:rsidRDefault="00000000">
      <w:pPr>
        <w:pStyle w:val="SingleTxt"/>
        <w:jc w:val="center"/>
        <w:rPr>
          <w:b/>
          <w:bCs/>
          <w:rtl/>
          <w:lang w:eastAsia="en-US"/>
        </w:rPr>
      </w:pPr>
      <w:r>
        <w:rPr>
          <w:b/>
          <w:bCs/>
          <w:rtl/>
          <w:lang w:eastAsia="en-US"/>
        </w:rPr>
        <w:t>التقرير الأولي عن</w:t>
      </w:r>
    </w:p>
    <w:p w:rsidR="00000000" w:rsidRDefault="00000000">
      <w:pPr>
        <w:pStyle w:val="SingleTxt"/>
        <w:jc w:val="center"/>
        <w:rPr>
          <w:b/>
          <w:bCs/>
          <w:rtl/>
          <w:lang w:eastAsia="en-US"/>
        </w:rPr>
      </w:pPr>
      <w:r>
        <w:rPr>
          <w:b/>
          <w:bCs/>
          <w:rtl/>
          <w:lang w:eastAsia="en-US"/>
        </w:rPr>
        <w:t>اتفاقية القضاء على جميع أشكال التمييز ضد المرأة</w:t>
      </w:r>
    </w:p>
    <w:p w:rsidR="00000000" w:rsidRDefault="00000000">
      <w:pPr>
        <w:pStyle w:val="SingleTxt"/>
        <w:jc w:val="center"/>
        <w:rPr>
          <w:b/>
          <w:bCs/>
          <w:rtl/>
          <w:lang w:eastAsia="en-US"/>
        </w:rPr>
      </w:pPr>
      <w:r>
        <w:rPr>
          <w:b/>
          <w:bCs/>
          <w:rtl/>
          <w:lang w:eastAsia="en-US"/>
        </w:rPr>
        <w:t>مقدم من دولة أريتريا</w:t>
      </w:r>
    </w:p>
    <w:p w:rsidR="00000000" w:rsidRDefault="00000000">
      <w:pPr>
        <w:pStyle w:val="SingleTxt"/>
        <w:jc w:val="center"/>
        <w:rPr>
          <w:rtl/>
          <w:lang w:eastAsia="en-US"/>
        </w:rPr>
      </w:pPr>
      <w:r>
        <w:rPr>
          <w:b/>
          <w:bCs/>
          <w:rtl/>
          <w:lang w:eastAsia="en-US"/>
        </w:rPr>
        <w:t>بموجب المادة 18 من الاتفاقية</w:t>
      </w: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jc w:val="center"/>
        <w:rPr>
          <w:b/>
          <w:bCs/>
          <w:rtl/>
          <w:lang w:eastAsia="en-US"/>
        </w:rPr>
      </w:pPr>
      <w:r>
        <w:rPr>
          <w:b/>
          <w:bCs/>
          <w:rtl/>
          <w:lang w:eastAsia="en-US"/>
        </w:rPr>
        <w:t>الجزء الأول</w:t>
      </w:r>
    </w:p>
    <w:p w:rsidR="00000000" w:rsidRDefault="00000000">
      <w:pPr>
        <w:pStyle w:val="SingleTxt"/>
        <w:jc w:val="center"/>
        <w:rPr>
          <w:b/>
          <w:bCs/>
          <w:rtl/>
          <w:lang w:eastAsia="en-US"/>
        </w:rPr>
      </w:pPr>
      <w:r>
        <w:rPr>
          <w:b/>
          <w:bCs/>
          <w:rtl/>
          <w:lang w:eastAsia="en-US"/>
        </w:rPr>
        <w:t>معلومات عامة</w:t>
      </w:r>
    </w:p>
    <w:p w:rsidR="00000000" w:rsidRDefault="00000000">
      <w:pPr>
        <w:pStyle w:val="SingleTxt"/>
        <w:jc w:val="center"/>
        <w:rPr>
          <w:b/>
          <w:bCs/>
          <w:rtl/>
          <w:lang w:eastAsia="en-US"/>
        </w:rPr>
      </w:pPr>
    </w:p>
    <w:p w:rsidR="00000000" w:rsidRDefault="00000000">
      <w:pPr>
        <w:pStyle w:val="SingleTxt"/>
        <w:jc w:val="center"/>
        <w:rPr>
          <w:b/>
          <w:bCs/>
          <w:rtl/>
          <w:lang w:eastAsia="en-US"/>
        </w:rPr>
      </w:pPr>
    </w:p>
    <w:p w:rsidR="00000000" w:rsidRDefault="00000000">
      <w:pPr>
        <w:pStyle w:val="SingleTxt"/>
        <w:jc w:val="center"/>
        <w:rPr>
          <w:b/>
          <w:bCs/>
          <w:rtl/>
          <w:lang w:eastAsia="en-US"/>
        </w:rPr>
      </w:pPr>
    </w:p>
    <w:p w:rsidR="00000000" w:rsidRDefault="00000000">
      <w:pPr>
        <w:pStyle w:val="SingleTxt"/>
        <w:rPr>
          <w:b/>
          <w:bCs/>
          <w:rtl/>
          <w:lang w:eastAsia="en-US"/>
        </w:rPr>
      </w:pPr>
      <w:r>
        <w:rPr>
          <w:b/>
          <w:bCs/>
          <w:rtl/>
          <w:lang w:eastAsia="en-US"/>
        </w:rPr>
        <w:t xml:space="preserve">1/2 </w:t>
      </w:r>
      <w:r>
        <w:rPr>
          <w:b/>
          <w:bCs/>
          <w:lang w:eastAsia="en-US"/>
        </w:rPr>
        <w:t>–</w:t>
      </w:r>
      <w:r>
        <w:rPr>
          <w:b/>
          <w:bCs/>
          <w:rtl/>
          <w:lang w:eastAsia="en-US"/>
        </w:rPr>
        <w:t xml:space="preserve"> الجغرافيا والتاريخ والاقتصاد</w:t>
      </w:r>
      <w:r>
        <w:rPr>
          <w:rStyle w:val="FootnoteReference"/>
          <w:b/>
          <w:bCs/>
          <w:rtl/>
          <w:lang w:eastAsia="en-US"/>
        </w:rPr>
        <w:footnoteReference w:customMarkFollows="1" w:id="2"/>
        <w:t>(1)</w:t>
      </w:r>
    </w:p>
    <w:p w:rsidR="00000000" w:rsidRDefault="00000000">
      <w:pPr>
        <w:pStyle w:val="SingleTxt"/>
        <w:rPr>
          <w:rtl/>
          <w:lang w:eastAsia="en-US"/>
        </w:rPr>
      </w:pPr>
      <w:r>
        <w:rPr>
          <w:b/>
          <w:bCs/>
          <w:i/>
          <w:iCs/>
          <w:rtl/>
          <w:lang w:eastAsia="en-US"/>
        </w:rPr>
        <w:t>الجغرافيا</w:t>
      </w:r>
    </w:p>
    <w:p w:rsidR="00000000" w:rsidRDefault="00000000">
      <w:pPr>
        <w:pStyle w:val="SingleTxt"/>
        <w:ind w:left="1264" w:right="1264"/>
        <w:rPr>
          <w:rtl/>
          <w:lang w:eastAsia="en-US"/>
        </w:rPr>
      </w:pPr>
      <w:r>
        <w:rPr>
          <w:rtl/>
          <w:lang w:eastAsia="en-US"/>
        </w:rPr>
        <w:tab/>
      </w:r>
      <w:r>
        <w:rPr>
          <w:rtl/>
          <w:lang w:eastAsia="en-US"/>
        </w:rPr>
        <w:tab/>
        <w:t>تقع أريتريا، وهي إحدى الدول الحديثة الاستقلال في أفريقيا، شمالي خط الاستواء وشمال القرن الأفريقي مباشرة. وتحدها من الجنوب أثيوبيا ومن الشمال الغربي السودان، ومن الجنوب الشرقي جيبوتي، والبحر الأحمر من الشرق.</w:t>
      </w:r>
    </w:p>
    <w:p w:rsidR="00000000" w:rsidRDefault="00000000">
      <w:pPr>
        <w:pStyle w:val="SingleTxt"/>
        <w:ind w:left="1264" w:right="1264"/>
        <w:rPr>
          <w:rtl/>
          <w:lang w:eastAsia="en-US"/>
        </w:rPr>
      </w:pPr>
      <w:r>
        <w:rPr>
          <w:rtl/>
          <w:lang w:eastAsia="en-US"/>
        </w:rPr>
        <w:tab/>
      </w:r>
      <w:r>
        <w:rPr>
          <w:rtl/>
          <w:lang w:eastAsia="en-US"/>
        </w:rPr>
        <w:tab/>
        <w:t>ولدى البلد ساحل يمتد لمسافة تربو على 1000 كيلو متر (625 ميلاً) وتضم أراضيها أكثر من 350 جزيرة. ونظراً لقرب أريتريا من البحر الأحمر إلى جانب تضاريسها مما يمثل تنوعها المناخي في حين تتسم أراضيها المنخفضة بمناخ حار وطب، وخاصة على طول الساحل. وتقع أريتريا في المنطقة الصحراوية المطيرة وتتلقى أشد أمطارها من الرياح الموسمية في الجنوب الغربي. وفي السنوات العادية، يتفاوت هطول الأمطار من متوسط سنوي يتراوح بين 400 ملم إلى 650 ملم في الأراضي المرتفعة وبين 200 ملم إلى 300 ملم في الأراضي المنخفضة.</w:t>
      </w:r>
    </w:p>
    <w:p w:rsidR="00000000" w:rsidRDefault="00000000">
      <w:pPr>
        <w:pStyle w:val="SingleTxt"/>
        <w:ind w:left="1264" w:right="1264"/>
        <w:rPr>
          <w:rtl/>
          <w:lang w:eastAsia="en-US"/>
        </w:rPr>
      </w:pPr>
      <w:r>
        <w:rPr>
          <w:b/>
          <w:bCs/>
          <w:rtl/>
          <w:lang w:eastAsia="en-US"/>
        </w:rPr>
        <w:t>التاريخ</w:t>
      </w:r>
    </w:p>
    <w:p w:rsidR="00000000" w:rsidRDefault="00000000">
      <w:pPr>
        <w:pStyle w:val="SingleTxt"/>
        <w:ind w:left="1264" w:right="1264"/>
        <w:rPr>
          <w:rtl/>
          <w:lang w:eastAsia="en-US"/>
        </w:rPr>
      </w:pPr>
      <w:r>
        <w:rPr>
          <w:rtl/>
          <w:lang w:eastAsia="en-US"/>
        </w:rPr>
        <w:tab/>
      </w:r>
      <w:r>
        <w:rPr>
          <w:rtl/>
          <w:lang w:eastAsia="en-US"/>
        </w:rPr>
        <w:tab/>
        <w:t>حددت إيطاليا حدود أريتريا في 1 كانون الثاني/يناير 1890 وحكمتها كمستعمرة حتى هزم البريطانيون الإيطاليين في الساحة الأفريقية وانتزعوا إدارة أريتريا. وجعل البريطانيون خلال الحرب العالمية الثانية أريتريا مركزاً مهماً للعمليات البريطانية والأمريكية في المنطقة.</w:t>
      </w:r>
    </w:p>
    <w:p w:rsidR="00000000" w:rsidRDefault="00000000">
      <w:pPr>
        <w:pStyle w:val="SingleTxt"/>
        <w:ind w:left="1264" w:right="1264"/>
        <w:rPr>
          <w:rtl/>
          <w:lang w:eastAsia="en-US"/>
        </w:rPr>
      </w:pPr>
      <w:r>
        <w:rPr>
          <w:rtl/>
          <w:lang w:eastAsia="en-US"/>
        </w:rPr>
        <w:tab/>
      </w:r>
      <w:r>
        <w:rPr>
          <w:rtl/>
          <w:lang w:eastAsia="en-US"/>
        </w:rPr>
        <w:tab/>
        <w:t>ومع هزيمة إيطاليا في الحرب العالمية الثانية، طرحت مسألة التصرف في مستعمراتها في الأمم المتحدة. وأوفدت الأمم المتحدة عدة فرق متعددة الجنسيات إلى أريتريا بإجراء استقصاء محلي لرغبات الشعب. وتوصلت الفرق المختلفة إلى حلول مختلفة؛ بما في ذلك تقسيم أريتريا إلى أجزاء مختلفة ومنحتها لبريطانيا وفرنسا وأثيوبيا، وأدارت المحمية لمدة عشر سنوات ثم أجرت استفتاء ومنحتها استقلالاً تاماً. وبعد بضع سنوات من المداولات، اتخذت الأمم المتحدة قراراً بإقامة اتحاد فيدرالي بين أريتريا وأثيوبيا، ولكن مع منح الأريتريين بعض الحقوق الديمقراطية والحكم الذاتي.</w:t>
      </w:r>
    </w:p>
    <w:p w:rsidR="00000000" w:rsidRDefault="00000000">
      <w:pPr>
        <w:pStyle w:val="SingleTxt"/>
        <w:ind w:left="1264" w:right="1264"/>
        <w:rPr>
          <w:rtl/>
          <w:lang w:eastAsia="en-US"/>
        </w:rPr>
      </w:pPr>
      <w:r>
        <w:rPr>
          <w:rtl/>
          <w:lang w:eastAsia="en-US"/>
        </w:rPr>
        <w:tab/>
      </w:r>
      <w:r>
        <w:rPr>
          <w:rtl/>
          <w:lang w:eastAsia="en-US"/>
        </w:rPr>
        <w:tab/>
        <w:t>غير أن حكومة الإمبراطور هيلاسلاسي عمدت بشكل منتظم إلى انتهاك الحقوق التي منحتها الأمم المتحدة. وبدأ في عام 1961 كفاح مسلح من أجل الاستقلال بعد سنوات من الاحتجاج السلمي على الاعتداءات الأثيوبية على حقوق أريتريا الديمقراطية وعلى حكمها الذاتي لم تسفر عن تحسن في الموقف المتدهور. وبلغت التحديات الأثيوبية أوجها في حل البرلمان الإريتري من جانب واحد وضم أريتريا باعتبارها المقاطعة الرابعة عشرة لأثيوبيا في عام 1962.</w:t>
      </w:r>
    </w:p>
    <w:p w:rsidR="00000000" w:rsidRDefault="00000000">
      <w:pPr>
        <w:pStyle w:val="SingleTxt"/>
        <w:ind w:left="1264" w:right="1264"/>
        <w:rPr>
          <w:rtl/>
          <w:lang w:eastAsia="en-US"/>
        </w:rPr>
      </w:pPr>
      <w:r>
        <w:rPr>
          <w:rtl/>
          <w:lang w:eastAsia="en-US"/>
        </w:rPr>
        <w:tab/>
      </w:r>
      <w:r>
        <w:rPr>
          <w:rtl/>
          <w:lang w:eastAsia="en-US"/>
        </w:rPr>
        <w:tab/>
        <w:t>وفي أيار/مايو 1991، أي بعد 30 سنة من بدء الكفاح من أجل الاستقلال، قامت الجبهة الشعبية لتحرير أريتريا بتحرير كامل البلاد وأقامت الحكومة المؤقتة لأريتريا.</w:t>
      </w:r>
    </w:p>
    <w:p w:rsidR="00000000" w:rsidRDefault="00000000">
      <w:pPr>
        <w:pStyle w:val="SingleTxt"/>
        <w:ind w:left="1264" w:right="1264"/>
        <w:rPr>
          <w:rtl/>
          <w:lang w:eastAsia="en-US"/>
        </w:rPr>
      </w:pPr>
      <w:r>
        <w:rPr>
          <w:rtl/>
          <w:lang w:eastAsia="en-US"/>
        </w:rPr>
        <w:tab/>
      </w:r>
      <w:r>
        <w:rPr>
          <w:rtl/>
          <w:lang w:eastAsia="en-US"/>
        </w:rPr>
        <w:tab/>
        <w:t>وفي نيسان/أبريل 1993، أجرت حكومة أريتريا المؤقتة استفتاء تم الإشراف عليه دولياً واشترك فيه 98.5 في المائة من السكان، وصوَّت 99.8 في المائة لصالح الاستقلال. وأعلن رئيس بعثة مراقبي الأمم المتحدة أن الاستفتاء كان ”حراً ونـزيهاً في كل مراحله“. وأكدت ذلك مجموعات أخرى من المراقبين.</w:t>
      </w:r>
    </w:p>
    <w:p w:rsidR="00000000" w:rsidRDefault="00000000">
      <w:pPr>
        <w:pStyle w:val="SingleTxt"/>
        <w:ind w:left="1264" w:right="1264"/>
        <w:rPr>
          <w:rtl/>
          <w:lang w:eastAsia="en-US"/>
        </w:rPr>
      </w:pPr>
      <w:r>
        <w:rPr>
          <w:rtl/>
          <w:lang w:eastAsia="en-US"/>
        </w:rPr>
        <w:tab/>
      </w:r>
      <w:r>
        <w:rPr>
          <w:rtl/>
          <w:lang w:eastAsia="en-US"/>
        </w:rPr>
        <w:tab/>
        <w:t>وتم الاحتفال الرسمي بعيد الاستقلال الرسمي في 24 أيار/مايو 1993 وأصبحت دولة أريتريا المستقلة العضو رقم 183 في الأمم المتحدة.</w:t>
      </w:r>
    </w:p>
    <w:p w:rsidR="00000000" w:rsidRDefault="00000000">
      <w:pPr>
        <w:pStyle w:val="SingleTxt"/>
        <w:ind w:left="1264" w:right="1264"/>
        <w:rPr>
          <w:rtl/>
          <w:lang w:eastAsia="en-US"/>
        </w:rPr>
      </w:pPr>
      <w:r>
        <w:rPr>
          <w:rtl/>
          <w:lang w:eastAsia="en-US"/>
        </w:rPr>
        <w:tab/>
      </w:r>
      <w:r>
        <w:rPr>
          <w:rtl/>
          <w:lang w:eastAsia="en-US"/>
        </w:rPr>
        <w:tab/>
        <w:t>وتم تخويل اللجنة الدستورية الإريترية التي شُكِّلت بموجب الإعلان رقم 55/1994 بإعداد مشروع أول دستور إريتري تم على أساسه إنشاء نظام ديمقراطي، وباعتباره قانوناً أساسياً أصبح نقطة مرجعية نهائية لجميع قوانين البلد، والحكم الأخير لكل القضايا محل النـزاع</w:t>
      </w:r>
      <w:r>
        <w:rPr>
          <w:rStyle w:val="FootnoteReference"/>
          <w:rtl/>
          <w:lang w:eastAsia="en-US"/>
        </w:rPr>
        <w:footnoteReference w:customMarkFollows="1" w:id="3"/>
        <w:t>(2)</w:t>
      </w:r>
      <w:r>
        <w:rPr>
          <w:rtl/>
          <w:lang w:eastAsia="en-US"/>
        </w:rPr>
        <w:t>. وبعد ثلاث سنوات من العمل المضني ، تمثل في إعداد وإجراء مشاورات شعبية، قامت الجمعية التأسيسية لأريتريا التي تشكلت بوجب الإعلان رقم 92/1996 بالتصديق على دستور أريتريا في 23 أيار/مايو 1997.</w:t>
      </w:r>
    </w:p>
    <w:p w:rsidR="00000000" w:rsidRDefault="00000000">
      <w:pPr>
        <w:pStyle w:val="SingleTxt"/>
        <w:ind w:left="1264" w:right="1264"/>
        <w:rPr>
          <w:i/>
          <w:iCs/>
          <w:rtl/>
          <w:lang w:eastAsia="en-US"/>
        </w:rPr>
      </w:pPr>
      <w:r>
        <w:rPr>
          <w:b/>
          <w:bCs/>
          <w:i/>
          <w:iCs/>
          <w:rtl/>
          <w:lang w:eastAsia="en-US"/>
        </w:rPr>
        <w:t>الاقتصاد</w:t>
      </w:r>
    </w:p>
    <w:p w:rsidR="00000000" w:rsidRDefault="00000000">
      <w:pPr>
        <w:pStyle w:val="SingleTxt"/>
        <w:ind w:left="1264" w:right="1264"/>
        <w:rPr>
          <w:rtl/>
          <w:lang w:eastAsia="en-US"/>
        </w:rPr>
      </w:pPr>
      <w:r>
        <w:rPr>
          <w:rtl/>
          <w:lang w:eastAsia="en-US"/>
        </w:rPr>
        <w:tab/>
      </w:r>
      <w:r>
        <w:rPr>
          <w:rtl/>
          <w:lang w:eastAsia="en-US"/>
        </w:rPr>
        <w:tab/>
        <w:t>من الناحية الاقتصادية تسببت حرب التحرير التي استمرت ثلاثين عاماً في انعدام التنمية لعشرات من السنين فضلاً عن تدمير الهياكل الأساسية الاقتصادية والاجتماعية. وفي عام 1955، كانت أريتريا بلداً نامياً منخفض الدخل ولديه دخل فردي أقل من 200 من دولارات الولايات المتحدة في السنة.</w:t>
      </w:r>
    </w:p>
    <w:p w:rsidR="00000000" w:rsidRDefault="00000000">
      <w:pPr>
        <w:pStyle w:val="SingleTxt"/>
        <w:ind w:left="1264" w:right="1264"/>
        <w:rPr>
          <w:rtl/>
          <w:lang w:eastAsia="en-US"/>
        </w:rPr>
      </w:pPr>
      <w:r>
        <w:rPr>
          <w:rtl/>
          <w:lang w:eastAsia="en-US"/>
        </w:rPr>
        <w:tab/>
      </w:r>
      <w:r>
        <w:rPr>
          <w:rtl/>
          <w:lang w:eastAsia="en-US"/>
        </w:rPr>
        <w:tab/>
        <w:t>ويعتمد أكثر من 70 في المائة من شعب أريتريا على زراعة الكفاف التقليدية بما في ذلك زراعة المحاصيل وتربية الماشية وصيد الأسماك من أجل معيشتهم، على الرغم من أن الزراعة التجارية والصيد التجاري للأسماك قد انتعشا مؤخراً. وقاعدة أريتريا الصناعية متخلفة للغاية وبالغة الضيق حيث أنها تتكون من صناعات صغيرة ومتوسطة لإنتاج السلع الاستهلاكية (الأغذية والمشروبات والسلع الجلدية والمنسوجات، إلخ).</w:t>
      </w:r>
    </w:p>
    <w:p w:rsidR="00000000" w:rsidRDefault="00000000">
      <w:pPr>
        <w:pStyle w:val="SingleTxt"/>
        <w:ind w:left="1264" w:right="1264"/>
        <w:rPr>
          <w:rtl/>
          <w:lang w:eastAsia="en-US"/>
        </w:rPr>
      </w:pPr>
      <w:r>
        <w:rPr>
          <w:rtl/>
          <w:lang w:eastAsia="en-US"/>
        </w:rPr>
        <w:tab/>
      </w:r>
      <w:r>
        <w:rPr>
          <w:rtl/>
          <w:lang w:eastAsia="en-US"/>
        </w:rPr>
        <w:tab/>
        <w:t>وفي تشرين الثاني/نوفمبر 1994، أصدرت الحكومة بياناً بشأن السياسة الكلية حددت فيه الأهداف والاستراتيجيات العريضة للتنمية في السنوات العشرين القادمة. ووفقاً للسياسة الكلية، فإن ”إقامة اقتصاد حديث متقدم تكنولوجياً وقادر على المنافسة الدولية خلال العقدين القادمين يمثل هدفاً مهيمناً للتنمية“. وتتمثل الاستراتيجيات الرئيسية المستهدفة لتحقيق هذا الهدف في ”تكوين رأسمال بشري يمثل فيه التعليم والصحة عنصرين رئيسيين فضلاً عن التنمية الموجهة إلى التصدير في كل من الصناعة والزراعة، وتنمية الهياكل الأساسية لإزالة الاختناقات الحرجة، وحفظ البيئة وحمايتها، والنهوض بالقطاع الخاص“.</w:t>
      </w:r>
    </w:p>
    <w:p w:rsidR="00000000" w:rsidRDefault="00000000">
      <w:pPr>
        <w:pStyle w:val="SingleTxt"/>
        <w:ind w:left="1264" w:right="1264"/>
        <w:rPr>
          <w:rtl/>
          <w:lang w:eastAsia="en-US"/>
        </w:rPr>
      </w:pPr>
      <w:r>
        <w:rPr>
          <w:rtl/>
          <w:lang w:eastAsia="en-US"/>
        </w:rPr>
        <w:tab/>
      </w:r>
      <w:r>
        <w:rPr>
          <w:rtl/>
          <w:lang w:eastAsia="en-US"/>
        </w:rPr>
        <w:tab/>
        <w:t>غير أنه توجد معوقات حرجة للتنمية. فقد تأثرت الهياكل المادية والاجتماعية فضلاً عن الهياكل المؤسسية للبلد تأثراً شديداً وسلبياً نتيجة للحرب وسياسات النظم الاستعمارية. وتنمية رأس المال البشري متدنية والقاعدة التكنولوجية متخلفة. ومن ثم أصبحت في هذا الإطار إقامة اقتصاد حديث متقدم تكنولوجياً وقادر على المنافسة الدولية خلال العقود القادمة هدفاً غلاباً للتنمية الوطنية</w:t>
      </w:r>
      <w:r>
        <w:rPr>
          <w:rStyle w:val="FootnoteReference"/>
          <w:rtl/>
          <w:lang w:eastAsia="en-US"/>
        </w:rPr>
        <w:footnoteReference w:customMarkFollows="1" w:id="4"/>
        <w:t>(3)</w:t>
      </w:r>
      <w:r>
        <w:rPr>
          <w:rtl/>
          <w:lang w:eastAsia="en-US"/>
        </w:rPr>
        <w:t>.</w:t>
      </w:r>
    </w:p>
    <w:p w:rsidR="00000000" w:rsidRDefault="00000000">
      <w:pPr>
        <w:pStyle w:val="SingleTxt"/>
        <w:ind w:left="1264" w:right="1264"/>
        <w:rPr>
          <w:rtl/>
          <w:lang w:eastAsia="en-US"/>
        </w:rPr>
      </w:pPr>
      <w:r>
        <w:rPr>
          <w:b/>
          <w:bCs/>
          <w:rtl/>
          <w:lang w:eastAsia="en-US"/>
        </w:rPr>
        <w:t>1/2 -</w:t>
      </w:r>
      <w:r>
        <w:rPr>
          <w:b/>
          <w:bCs/>
          <w:rtl/>
          <w:lang w:eastAsia="en-US"/>
        </w:rPr>
        <w:tab/>
        <w:t>الديمغرافيا</w:t>
      </w:r>
    </w:p>
    <w:p w:rsidR="00000000" w:rsidRDefault="00000000">
      <w:pPr>
        <w:pStyle w:val="SingleTxt"/>
        <w:ind w:left="1264" w:right="1264"/>
        <w:rPr>
          <w:i/>
          <w:iCs/>
          <w:rtl/>
          <w:lang w:eastAsia="en-US"/>
        </w:rPr>
      </w:pPr>
      <w:r>
        <w:rPr>
          <w:b/>
          <w:bCs/>
          <w:i/>
          <w:iCs/>
          <w:rtl/>
          <w:lang w:eastAsia="en-US"/>
        </w:rPr>
        <w:t>السكان</w:t>
      </w:r>
    </w:p>
    <w:p w:rsidR="00000000" w:rsidRDefault="00000000">
      <w:pPr>
        <w:pStyle w:val="SingleTxt"/>
        <w:ind w:left="1264" w:right="1264"/>
        <w:rPr>
          <w:rtl/>
          <w:lang w:eastAsia="en-US"/>
        </w:rPr>
      </w:pPr>
      <w:r>
        <w:rPr>
          <w:rtl/>
          <w:lang w:eastAsia="en-US"/>
        </w:rPr>
        <w:tab/>
      </w:r>
      <w:r>
        <w:rPr>
          <w:rtl/>
          <w:lang w:eastAsia="en-US"/>
        </w:rPr>
        <w:tab/>
        <w:t>نظراً لانعدام إجراء أي مسح أو تعداد في البلاد قبل الاستقلال أو بعده، فمن غير المعروف حجم السكان بأي درجة من الدقة. ومن شأن بعض التقديرات الحرفية التقريبية أن تجعل سكان أريتريا يتراوحون بين 2.5 و 3.5 ملايين نسمة. وتتراوح تقديرات عدد الإريتريين المقيمين في الخارج بين 000 700 و 000 000 1 نسمة. ويتسم السكان بالتنوع الثقافي واللغوي ويتألفون من تسع مجموعات إثنية هي العفار، والتيغري، والتيغرغنا، والساهو، والحيدرب، والبيلان، وكوناما، ونارا، وراشيدية.</w:t>
      </w:r>
    </w:p>
    <w:p w:rsidR="00000000" w:rsidRDefault="00000000">
      <w:pPr>
        <w:pStyle w:val="SingleTxt"/>
        <w:ind w:left="1264" w:right="1264"/>
        <w:rPr>
          <w:i/>
          <w:iCs/>
          <w:rtl/>
          <w:lang w:eastAsia="en-US"/>
        </w:rPr>
      </w:pPr>
      <w:r>
        <w:rPr>
          <w:b/>
          <w:bCs/>
          <w:i/>
          <w:iCs/>
          <w:rtl/>
          <w:lang w:eastAsia="en-US"/>
        </w:rPr>
        <w:tab/>
        <w:t>تكوين الأسر المعيشية</w:t>
      </w:r>
    </w:p>
    <w:p w:rsidR="00000000" w:rsidRDefault="00000000">
      <w:pPr>
        <w:pStyle w:val="SingleTxt"/>
        <w:ind w:left="1264" w:right="1264"/>
        <w:rPr>
          <w:rtl/>
          <w:lang w:eastAsia="en-US"/>
        </w:rPr>
      </w:pPr>
      <w:r>
        <w:rPr>
          <w:rtl/>
          <w:lang w:eastAsia="en-US"/>
        </w:rPr>
        <w:tab/>
      </w:r>
      <w:r>
        <w:rPr>
          <w:rtl/>
          <w:lang w:eastAsia="en-US"/>
        </w:rPr>
        <w:tab/>
        <w:t>في أريتريا، يتولى الذكور رئاسة أكثر من نصف الأسر المعيشية (53 في المائة)، بانخفاض من 69 في المائة في الاستقصاء الديمغرافي والصحي لأريتريا لعام 1995. وقد ازدادت الأسر المعيشية التي تترأسها الإناث من 31 في المائة في الاستقصاء الديمغرافي والصحي لأريتريا لعام 1995 إلى 47 في المائة في الاستقصاء الديمغرافي والصحي لأريتريا لعام 2002. ونسبة الأسر المعيشية التي تترأسها الإناث أعلى في أسمرة والمناطق الحضرية الأخرى (51 إلى 53 في المائة) منها في المناطق الريفية (43 في المائة). وازداد متوسط حجم الأسر المعيشية في أريتريا من 4,4 إلى 4.8 شخص. ومتوسط حجم الأسرة المعيشية أكبر بشكل طفيف في المناطق الريفية (4.9) منه في المناطق الحضرية (4.7)</w:t>
      </w:r>
      <w:r>
        <w:rPr>
          <w:rStyle w:val="FootnoteReference"/>
          <w:rtl/>
          <w:lang w:eastAsia="en-US"/>
        </w:rPr>
        <w:footnoteReference w:customMarkFollows="1" w:id="5"/>
        <w:t>(4)</w:t>
      </w:r>
      <w:r>
        <w:rPr>
          <w:rtl/>
          <w:lang w:eastAsia="en-US"/>
        </w:rPr>
        <w:t>.</w:t>
      </w:r>
    </w:p>
    <w:p w:rsidR="00000000" w:rsidRDefault="00000000">
      <w:pPr>
        <w:pStyle w:val="SingleTxt"/>
        <w:ind w:left="1264" w:right="1264"/>
        <w:rPr>
          <w:rtl/>
          <w:lang w:eastAsia="en-US"/>
        </w:rPr>
      </w:pPr>
      <w:r>
        <w:rPr>
          <w:rtl/>
          <w:lang w:eastAsia="en-US"/>
        </w:rPr>
        <w:tab/>
      </w:r>
      <w:r>
        <w:rPr>
          <w:rtl/>
          <w:lang w:eastAsia="en-US"/>
        </w:rPr>
        <w:tab/>
        <w:t xml:space="preserve">ومن بين مجموع السكان النشطين اقتصادياً (15 </w:t>
      </w:r>
      <w:r>
        <w:rPr>
          <w:lang w:eastAsia="en-US"/>
        </w:rPr>
        <w:t>–</w:t>
      </w:r>
      <w:r>
        <w:rPr>
          <w:rtl/>
          <w:lang w:eastAsia="en-US"/>
        </w:rPr>
        <w:t xml:space="preserve"> 64 سنة) هناك قرابة 50 في المائة من الإناث. وتبلغ النسبة بين الجنسين 83 و127 في المناطق الحضرية والريفية على التوالي؛ في حين تبلغ 88 بالنسبة للبلد كله. وقد أظهر توزيع السكان الواقعي حسب الفئات العمرية العريضة أن الأطفال دون سن 15 سنة من العمر والسكان في المجموعة العمرية 15</w:t>
      </w:r>
      <w:r>
        <w:rPr>
          <w:lang w:eastAsia="en-US"/>
        </w:rPr>
        <w:t>–</w:t>
      </w:r>
      <w:r>
        <w:rPr>
          <w:rtl/>
          <w:lang w:eastAsia="en-US"/>
        </w:rPr>
        <w:t xml:space="preserve"> 64 سنة يمثلون 47 في المائة و45 في المائة من السكان على التوالي، مع بلوغ السكان المتبقين أكثر من 65 سنة من العمر</w:t>
      </w:r>
      <w:r>
        <w:rPr>
          <w:rStyle w:val="FootnoteReference"/>
          <w:rtl/>
          <w:lang w:eastAsia="en-US"/>
        </w:rPr>
        <w:footnoteReference w:customMarkFollows="1" w:id="6"/>
        <w:t>(5)</w:t>
      </w:r>
      <w:r>
        <w:rPr>
          <w:rtl/>
          <w:lang w:eastAsia="en-US"/>
        </w:rPr>
        <w:t>.</w:t>
      </w:r>
    </w:p>
    <w:p w:rsidR="00000000" w:rsidRDefault="00000000">
      <w:pPr>
        <w:pStyle w:val="SingleTxt"/>
        <w:ind w:left="1264" w:right="1264"/>
        <w:rPr>
          <w:rtl/>
          <w:lang w:eastAsia="en-US"/>
        </w:rPr>
      </w:pPr>
      <w:r>
        <w:rPr>
          <w:b/>
          <w:bCs/>
          <w:rtl/>
          <w:lang w:eastAsia="en-US"/>
        </w:rPr>
        <w:t>موجز تنفيذي</w:t>
      </w:r>
    </w:p>
    <w:p w:rsidR="00000000" w:rsidRDefault="00000000">
      <w:pPr>
        <w:pStyle w:val="SingleTxt"/>
        <w:ind w:left="1264" w:right="1264"/>
        <w:rPr>
          <w:rtl/>
          <w:lang w:eastAsia="en-US"/>
        </w:rPr>
      </w:pPr>
      <w:r>
        <w:rPr>
          <w:rtl/>
          <w:lang w:eastAsia="en-US"/>
        </w:rPr>
        <w:t>1 -</w:t>
      </w:r>
      <w:r>
        <w:rPr>
          <w:rtl/>
          <w:lang w:eastAsia="en-US"/>
        </w:rPr>
        <w:tab/>
        <w:t xml:space="preserve">صدَّقت دولة أريتريا على اتفاقية القضاء على جميع أشكال التمييز ضد المرأة </w:t>
      </w:r>
      <w:r>
        <w:rPr>
          <w:rtl/>
          <w:lang w:eastAsia="en-US"/>
        </w:rPr>
        <w:tab/>
      </w:r>
      <w:r>
        <w:rPr>
          <w:rtl/>
          <w:lang w:eastAsia="en-US"/>
        </w:rPr>
        <w:tab/>
        <w:t xml:space="preserve">باعتبارها إطاراً قانونياً دولياً في عام 1995. ومنذ ذلك الوقت، تمت ترجمتها إلى </w:t>
      </w:r>
      <w:r>
        <w:rPr>
          <w:rtl/>
          <w:lang w:eastAsia="en-US"/>
        </w:rPr>
        <w:tab/>
      </w:r>
      <w:r>
        <w:rPr>
          <w:rtl/>
          <w:lang w:eastAsia="en-US"/>
        </w:rPr>
        <w:tab/>
        <w:t xml:space="preserve">اللغة الرسمية ونشرها على نطاق واسع، فيما بين المجتمع الإريتري وخاصة فيما بين </w:t>
      </w:r>
      <w:r>
        <w:rPr>
          <w:rtl/>
          <w:lang w:eastAsia="en-US"/>
        </w:rPr>
        <w:tab/>
      </w:r>
      <w:r>
        <w:rPr>
          <w:rtl/>
          <w:lang w:eastAsia="en-US"/>
        </w:rPr>
        <w:tab/>
        <w:t>النساء.</w:t>
      </w:r>
    </w:p>
    <w:p w:rsidR="00000000" w:rsidRDefault="00000000">
      <w:pPr>
        <w:pStyle w:val="SingleTxt"/>
        <w:ind w:left="1264" w:right="1264"/>
        <w:rPr>
          <w:rtl/>
          <w:lang w:eastAsia="en-US"/>
        </w:rPr>
      </w:pPr>
      <w:r>
        <w:rPr>
          <w:rtl/>
          <w:lang w:eastAsia="en-US"/>
        </w:rPr>
        <w:t>2 -</w:t>
      </w:r>
      <w:r>
        <w:rPr>
          <w:rtl/>
          <w:lang w:eastAsia="en-US"/>
        </w:rPr>
        <w:tab/>
        <w:t xml:space="preserve">ويمثل إنشاء الاتحاد الوطني للنساء الأريتريات في عام 1979 بهدف تمكين المرأة </w:t>
      </w:r>
      <w:r>
        <w:rPr>
          <w:rtl/>
          <w:lang w:eastAsia="en-US"/>
        </w:rPr>
        <w:tab/>
      </w:r>
      <w:r>
        <w:rPr>
          <w:rtl/>
          <w:lang w:eastAsia="en-US"/>
        </w:rPr>
        <w:tab/>
        <w:t xml:space="preserve">الإريترية وتعزيز مشاركتها في حركة التحرر الوطني والعدل الاجتماعي خطوة </w:t>
      </w:r>
      <w:r>
        <w:rPr>
          <w:rtl/>
          <w:lang w:eastAsia="en-US"/>
        </w:rPr>
        <w:tab/>
      </w:r>
      <w:r>
        <w:rPr>
          <w:rtl/>
          <w:lang w:eastAsia="en-US"/>
        </w:rPr>
        <w:tab/>
        <w:t xml:space="preserve">رئيسية أخرى. ويمثل الاتحاد الوطني للنساء الأريتريات حالياً منظمة غير حكومية </w:t>
      </w:r>
      <w:r>
        <w:rPr>
          <w:rtl/>
          <w:lang w:eastAsia="en-US"/>
        </w:rPr>
        <w:tab/>
      </w:r>
      <w:r>
        <w:rPr>
          <w:rtl/>
          <w:lang w:eastAsia="en-US"/>
        </w:rPr>
        <w:tab/>
        <w:t xml:space="preserve">مخوَّلة للعمل كجهاز نسائي للنهوض بالمساواة بين الجنسين. وهو يعمل بالتنسيق </w:t>
      </w:r>
      <w:r>
        <w:rPr>
          <w:rtl/>
          <w:lang w:eastAsia="en-US"/>
        </w:rPr>
        <w:tab/>
      </w:r>
      <w:r>
        <w:rPr>
          <w:rtl/>
          <w:lang w:eastAsia="en-US"/>
        </w:rPr>
        <w:tab/>
        <w:t xml:space="preserve">والتعاون الوثيقين مع القطاعات الحكومية المعنية والمنظمات غير الحكومية المحلية </w:t>
      </w:r>
      <w:r>
        <w:rPr>
          <w:rtl/>
          <w:lang w:eastAsia="en-US"/>
        </w:rPr>
        <w:tab/>
      </w:r>
      <w:r>
        <w:rPr>
          <w:rtl/>
          <w:lang w:eastAsia="en-US"/>
        </w:rPr>
        <w:tab/>
        <w:t xml:space="preserve">والدولية ومع المجتمع بصفة عامة. وقد تمكن، ضمن أنشطة أخرى، من إدارة برامج </w:t>
      </w:r>
      <w:r>
        <w:rPr>
          <w:rtl/>
          <w:lang w:eastAsia="en-US"/>
        </w:rPr>
        <w:tab/>
      </w:r>
      <w:r>
        <w:rPr>
          <w:rtl/>
          <w:lang w:eastAsia="en-US"/>
        </w:rPr>
        <w:tab/>
        <w:t>توعية بالأحكام الدستورية والقانونية داخل المجتمع والنساء.</w:t>
      </w:r>
    </w:p>
    <w:p w:rsidR="00000000" w:rsidRDefault="00000000">
      <w:pPr>
        <w:pStyle w:val="SingleTxt"/>
        <w:ind w:left="1264" w:right="1264"/>
        <w:rPr>
          <w:rtl/>
          <w:lang w:eastAsia="en-US"/>
        </w:rPr>
      </w:pPr>
      <w:r>
        <w:rPr>
          <w:rtl/>
          <w:lang w:eastAsia="en-US"/>
        </w:rPr>
        <w:t>3 -</w:t>
      </w:r>
      <w:r>
        <w:rPr>
          <w:rtl/>
          <w:lang w:eastAsia="en-US"/>
        </w:rPr>
        <w:tab/>
        <w:t xml:space="preserve">ويقوم الالتزام القوي والإرادة السياسية للحكومة بدور هائل في التنفيذ التام للاتفاقية </w:t>
      </w:r>
      <w:r>
        <w:rPr>
          <w:rtl/>
          <w:lang w:eastAsia="en-US"/>
        </w:rPr>
        <w:tab/>
      </w:r>
      <w:r>
        <w:rPr>
          <w:rtl/>
          <w:lang w:eastAsia="en-US"/>
        </w:rPr>
        <w:tab/>
        <w:t xml:space="preserve">وتحقيق المساواة بين الجنسين. وبذلت الحكومة الإريترية الكثير من أجل ضمان </w:t>
      </w:r>
      <w:r>
        <w:rPr>
          <w:rtl/>
          <w:lang w:eastAsia="en-US"/>
        </w:rPr>
        <w:tab/>
      </w:r>
      <w:r>
        <w:rPr>
          <w:rtl/>
          <w:lang w:eastAsia="en-US"/>
        </w:rPr>
        <w:tab/>
        <w:t xml:space="preserve">تكافؤ الفرص للمرأة، وخاصة عن طريق إقرار تشريعات لضمان وضعها ودورها في </w:t>
      </w:r>
      <w:r>
        <w:rPr>
          <w:rtl/>
          <w:lang w:eastAsia="en-US"/>
        </w:rPr>
        <w:tab/>
      </w:r>
      <w:r>
        <w:rPr>
          <w:rtl/>
          <w:lang w:eastAsia="en-US"/>
        </w:rPr>
        <w:tab/>
        <w:t xml:space="preserve">المجتمع وإمكانية التمتع بنوعية مناسبة من الحياة. وتؤكد السياسة الكلية لأريتريا على </w:t>
      </w:r>
      <w:r>
        <w:rPr>
          <w:rtl/>
          <w:lang w:eastAsia="en-US"/>
        </w:rPr>
        <w:tab/>
      </w:r>
      <w:r>
        <w:rPr>
          <w:rtl/>
          <w:lang w:eastAsia="en-US"/>
        </w:rPr>
        <w:tab/>
        <w:t xml:space="preserve">ذلك بأن أعلنت أنه ”سيتم الدفاع عن الحقوق المتساوية للمرأة وتغيير جميع القوانين </w:t>
      </w:r>
      <w:r>
        <w:rPr>
          <w:rtl/>
          <w:lang w:eastAsia="en-US"/>
        </w:rPr>
        <w:tab/>
      </w:r>
      <w:r>
        <w:rPr>
          <w:rtl/>
          <w:lang w:eastAsia="en-US"/>
        </w:rPr>
        <w:tab/>
        <w:t>التي تسلب هذه الحقوق“.</w:t>
      </w:r>
    </w:p>
    <w:p w:rsidR="00000000" w:rsidRDefault="00000000">
      <w:pPr>
        <w:pStyle w:val="SingleTxt"/>
        <w:ind w:left="1264" w:right="1264"/>
        <w:rPr>
          <w:rtl/>
          <w:lang w:eastAsia="en-US"/>
        </w:rPr>
      </w:pPr>
      <w:r>
        <w:rPr>
          <w:rtl/>
          <w:lang w:eastAsia="en-US"/>
        </w:rPr>
        <w:t>4 -</w:t>
      </w:r>
      <w:r>
        <w:rPr>
          <w:rtl/>
          <w:lang w:eastAsia="en-US"/>
        </w:rPr>
        <w:tab/>
        <w:t xml:space="preserve">وأدت الحرب الحدودية التي استمرت أربعة أعوام، من بين عدة أسباب، إلى إعادة </w:t>
      </w:r>
      <w:r>
        <w:rPr>
          <w:rtl/>
          <w:lang w:eastAsia="en-US"/>
        </w:rPr>
        <w:tab/>
      </w:r>
      <w:r>
        <w:rPr>
          <w:rtl/>
          <w:lang w:eastAsia="en-US"/>
        </w:rPr>
        <w:tab/>
        <w:t xml:space="preserve">التقرير الأولي الذي كان من المفروض أن يقدم بعد سنة واحدة من التوقيع على </w:t>
      </w:r>
      <w:r>
        <w:rPr>
          <w:rtl/>
          <w:lang w:eastAsia="en-US"/>
        </w:rPr>
        <w:tab/>
      </w:r>
      <w:r>
        <w:rPr>
          <w:rtl/>
          <w:lang w:eastAsia="en-US"/>
        </w:rPr>
        <w:tab/>
        <w:t xml:space="preserve">الاتفاقية وسريانها. ولذلك تود حكومة أريتريا أن تطلب اعتبار هذا التقرير بأنه </w:t>
      </w:r>
      <w:r>
        <w:rPr>
          <w:rtl/>
          <w:lang w:eastAsia="en-US"/>
        </w:rPr>
        <w:tab/>
      </w:r>
      <w:r>
        <w:rPr>
          <w:rtl/>
          <w:lang w:eastAsia="en-US"/>
        </w:rPr>
        <w:tab/>
        <w:t>تقرير أولي وثان بشأن تنفيذ الاتفاقية.</w:t>
      </w:r>
    </w:p>
    <w:p w:rsidR="00000000" w:rsidRDefault="00000000">
      <w:pPr>
        <w:pStyle w:val="SingleTxt"/>
        <w:ind w:left="1264" w:right="1264"/>
        <w:rPr>
          <w:rtl/>
          <w:lang w:eastAsia="en-US"/>
        </w:rPr>
      </w:pPr>
      <w:r>
        <w:rPr>
          <w:rtl/>
          <w:lang w:eastAsia="en-US"/>
        </w:rPr>
        <w:t>5 -</w:t>
      </w:r>
      <w:r>
        <w:rPr>
          <w:rtl/>
          <w:lang w:eastAsia="en-US"/>
        </w:rPr>
        <w:tab/>
        <w:t xml:space="preserve">ويمضي تنفيذ الاتفاقية بالترابط بتنفيذ منهاج العمل العالمي الذي تم إقراره في المؤتمر </w:t>
      </w:r>
      <w:r>
        <w:rPr>
          <w:rtl/>
          <w:lang w:eastAsia="en-US"/>
        </w:rPr>
        <w:tab/>
      </w:r>
      <w:r>
        <w:rPr>
          <w:rtl/>
          <w:lang w:eastAsia="en-US"/>
        </w:rPr>
        <w:tab/>
        <w:t xml:space="preserve">العالمي الرابع المعني بالمرأة والمعقود في بيجين في أيلول/سبتمبر 1995. وقد تمثلت </w:t>
      </w:r>
      <w:r>
        <w:rPr>
          <w:rtl/>
          <w:lang w:eastAsia="en-US"/>
        </w:rPr>
        <w:tab/>
      </w:r>
      <w:r>
        <w:rPr>
          <w:rtl/>
          <w:lang w:eastAsia="en-US"/>
        </w:rPr>
        <w:tab/>
        <w:t xml:space="preserve">أريتريا في هــذا المؤتمــر بوفد رسمي قوامه 22 امرأة تضم ممثلات عن الأقاليم </w:t>
      </w:r>
      <w:r>
        <w:rPr>
          <w:rtl/>
          <w:lang w:eastAsia="en-US"/>
        </w:rPr>
        <w:tab/>
      </w:r>
      <w:r>
        <w:rPr>
          <w:rtl/>
          <w:lang w:eastAsia="en-US"/>
        </w:rPr>
        <w:tab/>
        <w:t>والمنظمات المحلية غير الحكومية ومنظمات المجتمع المدني الأخرى.</w:t>
      </w:r>
    </w:p>
    <w:p w:rsidR="00000000" w:rsidRDefault="00000000">
      <w:pPr>
        <w:pStyle w:val="SingleTxt"/>
        <w:ind w:left="1264" w:right="1264"/>
        <w:rPr>
          <w:rtl/>
          <w:lang w:eastAsia="en-US"/>
        </w:rPr>
      </w:pPr>
      <w:r>
        <w:rPr>
          <w:rtl/>
          <w:lang w:eastAsia="en-US"/>
        </w:rPr>
        <w:t>6 -</w:t>
      </w:r>
      <w:r>
        <w:rPr>
          <w:rtl/>
          <w:lang w:eastAsia="en-US"/>
        </w:rPr>
        <w:tab/>
        <w:t xml:space="preserve">وقدم في عام 1999 إلى شعبة الأمم المتحدة للنهوض بالمرأة تقرير عن بيجين + 5 </w:t>
      </w:r>
      <w:r>
        <w:rPr>
          <w:rtl/>
          <w:lang w:eastAsia="en-US"/>
        </w:rPr>
        <w:tab/>
      </w:r>
      <w:r>
        <w:rPr>
          <w:rtl/>
          <w:lang w:eastAsia="en-US"/>
        </w:rPr>
        <w:tab/>
        <w:t xml:space="preserve">يصور تنفيذ منهاج العمل والاستراتيجيات المستقبلية للنهوض بالمنظورات المتعلقة </w:t>
      </w:r>
      <w:r>
        <w:rPr>
          <w:rtl/>
          <w:lang w:eastAsia="en-US"/>
        </w:rPr>
        <w:tab/>
      </w:r>
      <w:r>
        <w:rPr>
          <w:rtl/>
          <w:lang w:eastAsia="en-US"/>
        </w:rPr>
        <w:tab/>
        <w:t>بالجنسين بمعرفة الاتحاد الوطني للنساء الأريتريات.</w:t>
      </w:r>
    </w:p>
    <w:p w:rsidR="00000000" w:rsidRDefault="00000000">
      <w:pPr>
        <w:pStyle w:val="SingleTxt"/>
        <w:ind w:left="1264" w:right="1264"/>
        <w:rPr>
          <w:rtl/>
          <w:lang w:eastAsia="en-US"/>
        </w:rPr>
      </w:pPr>
      <w:r>
        <w:rPr>
          <w:rtl/>
          <w:lang w:eastAsia="en-US"/>
        </w:rPr>
        <w:t>7 -</w:t>
      </w:r>
      <w:r>
        <w:rPr>
          <w:rtl/>
          <w:lang w:eastAsia="en-US"/>
        </w:rPr>
        <w:tab/>
        <w:t>واقترح الاتحاد الوطني للنساء الأريتريات خطة عمل وطنية خماسية</w:t>
      </w:r>
      <w:r>
        <w:rPr>
          <w:rStyle w:val="FootnoteReference"/>
          <w:rtl/>
          <w:lang w:eastAsia="en-US"/>
        </w:rPr>
        <w:footnoteReference w:customMarkFollows="1" w:id="7"/>
        <w:t>(6)</w:t>
      </w:r>
      <w:r>
        <w:rPr>
          <w:rtl/>
          <w:lang w:eastAsia="en-US"/>
        </w:rPr>
        <w:t xml:space="preserve"> بشأن تنمية </w:t>
      </w:r>
      <w:r>
        <w:rPr>
          <w:rtl/>
          <w:lang w:eastAsia="en-US"/>
        </w:rPr>
        <w:tab/>
      </w:r>
      <w:r>
        <w:rPr>
          <w:rtl/>
          <w:lang w:eastAsia="en-US"/>
        </w:rPr>
        <w:tab/>
        <w:t xml:space="preserve">الجنسين، وتم تنفيذ أحكام قانونية ذات صلة وتعيين جهات وصل خاصة بالجنسين </w:t>
      </w:r>
      <w:r>
        <w:rPr>
          <w:rtl/>
          <w:lang w:eastAsia="en-US"/>
        </w:rPr>
        <w:tab/>
      </w:r>
      <w:r>
        <w:rPr>
          <w:rtl/>
          <w:lang w:eastAsia="en-US"/>
        </w:rPr>
        <w:tab/>
        <w:t xml:space="preserve">في بعض الوزارات. وتمكن أيضاً الاتحاد الوطني للنساء الأريتريات من تنظيم شبكة </w:t>
      </w:r>
      <w:r>
        <w:rPr>
          <w:rtl/>
          <w:lang w:eastAsia="en-US"/>
        </w:rPr>
        <w:tab/>
      </w:r>
      <w:r>
        <w:rPr>
          <w:rtl/>
          <w:lang w:eastAsia="en-US"/>
        </w:rPr>
        <w:tab/>
        <w:t>قوية وفعالة من النساء داخل البلد وفي الشتات.</w:t>
      </w:r>
    </w:p>
    <w:p w:rsidR="00000000" w:rsidRDefault="00000000">
      <w:pPr>
        <w:pStyle w:val="SingleTxt"/>
        <w:ind w:left="1264" w:right="1264"/>
        <w:rPr>
          <w:rtl/>
          <w:lang w:eastAsia="en-US"/>
        </w:rPr>
      </w:pPr>
      <w:r>
        <w:rPr>
          <w:rtl/>
          <w:lang w:eastAsia="en-US"/>
        </w:rPr>
        <w:t>8 -</w:t>
      </w:r>
      <w:r>
        <w:rPr>
          <w:rtl/>
          <w:lang w:eastAsia="en-US"/>
        </w:rPr>
        <w:tab/>
        <w:t xml:space="preserve">وتم تمثيل المرأة الأريترية على نحو كاف في اللجنة الدستورية الأريترية، وهي هيئة </w:t>
      </w:r>
      <w:r>
        <w:rPr>
          <w:rtl/>
          <w:lang w:eastAsia="en-US"/>
        </w:rPr>
        <w:tab/>
      </w:r>
      <w:r>
        <w:rPr>
          <w:rtl/>
          <w:lang w:eastAsia="en-US"/>
        </w:rPr>
        <w:tab/>
        <w:t xml:space="preserve">مفوضة بإعداد أول دستور وطني وأصبح جزءاً من عملية صنع القانون الوطني. </w:t>
      </w:r>
      <w:r>
        <w:rPr>
          <w:rtl/>
          <w:lang w:eastAsia="en-US"/>
        </w:rPr>
        <w:tab/>
      </w:r>
      <w:r>
        <w:rPr>
          <w:rtl/>
          <w:lang w:eastAsia="en-US"/>
        </w:rPr>
        <w:tab/>
        <w:t xml:space="preserve">واشترك الاتحاد الوطني للنساء الأريتريات أيضاً في عملية إعداد الدستور بأن شارك </w:t>
      </w:r>
      <w:r>
        <w:rPr>
          <w:rtl/>
          <w:lang w:eastAsia="en-US"/>
        </w:rPr>
        <w:tab/>
      </w:r>
      <w:r>
        <w:rPr>
          <w:rtl/>
          <w:lang w:eastAsia="en-US"/>
        </w:rPr>
        <w:tab/>
        <w:t xml:space="preserve">بإيجابية في الوحدة المتعلقة بنوع الجنس والمشكلة في الإدارة الاجتماعية والثقافية </w:t>
      </w:r>
      <w:r>
        <w:rPr>
          <w:rtl/>
          <w:lang w:eastAsia="en-US"/>
        </w:rPr>
        <w:tab/>
      </w:r>
      <w:r>
        <w:rPr>
          <w:rtl/>
          <w:lang w:eastAsia="en-US"/>
        </w:rPr>
        <w:tab/>
        <w:t xml:space="preserve">للجنة الدستورية لأريتريا. وترأس هذه الإدارة امرأة تمثل عضواً تنفيذياً في اللجنة. </w:t>
      </w:r>
      <w:r>
        <w:rPr>
          <w:rtl/>
          <w:lang w:eastAsia="en-US"/>
        </w:rPr>
        <w:tab/>
      </w:r>
      <w:r>
        <w:rPr>
          <w:rtl/>
          <w:lang w:eastAsia="en-US"/>
        </w:rPr>
        <w:tab/>
        <w:t xml:space="preserve">وجرت مناقشة مشروع الدستور باستفاضة، وتم تطبيقه اجتماعياً وتعديله في </w:t>
      </w:r>
      <w:r>
        <w:rPr>
          <w:rtl/>
          <w:lang w:eastAsia="en-US"/>
        </w:rPr>
        <w:tab/>
      </w:r>
      <w:r>
        <w:rPr>
          <w:rtl/>
          <w:lang w:eastAsia="en-US"/>
        </w:rPr>
        <w:tab/>
        <w:t xml:space="preserve">المشاورات الشعبية التي عقدت في جميع مناطق البلد. وأتيحت للمرأة الأريترية فرصة </w:t>
      </w:r>
      <w:r>
        <w:rPr>
          <w:rtl/>
          <w:lang w:eastAsia="en-US"/>
        </w:rPr>
        <w:tab/>
      </w:r>
      <w:r>
        <w:rPr>
          <w:rtl/>
          <w:lang w:eastAsia="en-US"/>
        </w:rPr>
        <w:tab/>
        <w:t xml:space="preserve">إعلاء صوتها وإدراج حقوقها الأساسية في الدستور. وبالإضافة إلى ذلك شارك </w:t>
      </w:r>
      <w:r>
        <w:rPr>
          <w:rtl/>
          <w:lang w:eastAsia="en-US"/>
        </w:rPr>
        <w:tab/>
      </w:r>
      <w:r>
        <w:rPr>
          <w:rtl/>
          <w:lang w:eastAsia="en-US"/>
        </w:rPr>
        <w:tab/>
        <w:t xml:space="preserve">الاتحاد الوطني للنساء الأريتريات في مختلف محافل المشاورات التي نظمتها لجنة </w:t>
      </w:r>
      <w:r>
        <w:rPr>
          <w:rtl/>
          <w:lang w:eastAsia="en-US"/>
        </w:rPr>
        <w:tab/>
      </w:r>
      <w:r>
        <w:rPr>
          <w:rtl/>
          <w:lang w:eastAsia="en-US"/>
        </w:rPr>
        <w:tab/>
        <w:t>إصلاح القوانين بوزارة العدل في عملية إصلاح القوانين المدنية والجنائية.</w:t>
      </w:r>
    </w:p>
    <w:p w:rsidR="00000000" w:rsidRDefault="00000000">
      <w:pPr>
        <w:pStyle w:val="SingleTxt"/>
        <w:ind w:left="1264" w:right="1264"/>
        <w:rPr>
          <w:rtl/>
          <w:lang w:eastAsia="en-US"/>
        </w:rPr>
      </w:pPr>
      <w:r>
        <w:rPr>
          <w:rtl/>
          <w:lang w:eastAsia="en-US"/>
        </w:rPr>
        <w:t>9 -</w:t>
      </w:r>
      <w:r>
        <w:rPr>
          <w:rtl/>
          <w:lang w:eastAsia="en-US"/>
        </w:rPr>
        <w:tab/>
        <w:t xml:space="preserve">وقد حدثت طفرة في الجهود التعليمية عندما شنَّت الجبهة الشعبية لتحرير أريتريا </w:t>
      </w:r>
      <w:r>
        <w:rPr>
          <w:rtl/>
          <w:lang w:eastAsia="en-US"/>
        </w:rPr>
        <w:tab/>
      </w:r>
      <w:r>
        <w:rPr>
          <w:rtl/>
          <w:lang w:eastAsia="en-US"/>
        </w:rPr>
        <w:tab/>
        <w:t xml:space="preserve">حملة واسعة بشأن الأمية في وقت مبكر يعود إلى السبعينات وشجعت المرأة على </w:t>
      </w:r>
      <w:r>
        <w:rPr>
          <w:rtl/>
          <w:lang w:eastAsia="en-US"/>
        </w:rPr>
        <w:tab/>
      </w:r>
      <w:r>
        <w:rPr>
          <w:rtl/>
          <w:lang w:eastAsia="en-US"/>
        </w:rPr>
        <w:tab/>
        <w:t xml:space="preserve">المشاركة على الرغم من الحواجز التقليدية والمحرمات ضد التعليم. ويمثل التعليم حقاً </w:t>
      </w:r>
      <w:r>
        <w:rPr>
          <w:rtl/>
          <w:lang w:eastAsia="en-US"/>
        </w:rPr>
        <w:tab/>
      </w:r>
      <w:r>
        <w:rPr>
          <w:rtl/>
          <w:lang w:eastAsia="en-US"/>
        </w:rPr>
        <w:tab/>
        <w:t xml:space="preserve">حجــر الزاويـة نحو تحرر المرأة وتمكينها، ومن ثم إضعاف الحواجز الاقتصادية </w:t>
      </w:r>
      <w:r>
        <w:rPr>
          <w:rtl/>
          <w:lang w:eastAsia="en-US"/>
        </w:rPr>
        <w:tab/>
      </w:r>
      <w:r>
        <w:rPr>
          <w:rtl/>
          <w:lang w:eastAsia="en-US"/>
        </w:rPr>
        <w:tab/>
        <w:t xml:space="preserve">والاجتماعية والثقافية التي تحد من مشاركتها في التنمية الوطنية. وحالياً يبلغ معدل </w:t>
      </w:r>
      <w:r>
        <w:rPr>
          <w:rtl/>
          <w:lang w:eastAsia="en-US"/>
        </w:rPr>
        <w:tab/>
      </w:r>
      <w:r>
        <w:rPr>
          <w:rtl/>
          <w:lang w:eastAsia="en-US"/>
        </w:rPr>
        <w:tab/>
        <w:t xml:space="preserve">الأمية 51 في المائة، وتبلغ النسبة الصافية لحضور الفتاة في المرحلة الابتدائية من </w:t>
      </w:r>
      <w:r>
        <w:rPr>
          <w:rtl/>
          <w:lang w:eastAsia="en-US"/>
        </w:rPr>
        <w:tab/>
      </w:r>
      <w:r>
        <w:rPr>
          <w:rtl/>
          <w:lang w:eastAsia="en-US"/>
        </w:rPr>
        <w:tab/>
        <w:t>التعليم 41 في المائة في المناطق الحضرية و27 في المائة في المناطق الريفية.</w:t>
      </w:r>
    </w:p>
    <w:p w:rsidR="00000000" w:rsidRDefault="00000000">
      <w:pPr>
        <w:pStyle w:val="SingleTxt"/>
        <w:ind w:left="1264" w:right="1264"/>
        <w:rPr>
          <w:rtl/>
          <w:lang w:eastAsia="en-US"/>
        </w:rPr>
      </w:pPr>
      <w:r>
        <w:rPr>
          <w:rtl/>
          <w:lang w:eastAsia="en-US"/>
        </w:rPr>
        <w:t>10 -</w:t>
      </w:r>
      <w:r>
        <w:rPr>
          <w:rtl/>
          <w:lang w:eastAsia="en-US"/>
        </w:rPr>
        <w:tab/>
        <w:t xml:space="preserve">والأسباب الرئيسية للاعتلال والوفاة في أريتريا هي الأمراض المعدية. ومن بين </w:t>
      </w:r>
      <w:r>
        <w:rPr>
          <w:rtl/>
          <w:lang w:eastAsia="en-US"/>
        </w:rPr>
        <w:tab/>
      </w:r>
      <w:r>
        <w:rPr>
          <w:rtl/>
          <w:lang w:eastAsia="en-US"/>
        </w:rPr>
        <w:tab/>
        <w:t xml:space="preserve">المشكلات الجذرية التي تمس الحالة الصحية للسكان والمرأة بصفة خاصة الوصول </w:t>
      </w:r>
      <w:r>
        <w:rPr>
          <w:rtl/>
          <w:lang w:eastAsia="en-US"/>
        </w:rPr>
        <w:tab/>
      </w:r>
      <w:r>
        <w:rPr>
          <w:rtl/>
          <w:lang w:eastAsia="en-US"/>
        </w:rPr>
        <w:tab/>
        <w:t xml:space="preserve">المحدود إلى المياه الصالحة للشرب والمياه النظيفة، وسوء التغذية وعدم كفاية خدمات </w:t>
      </w:r>
      <w:r>
        <w:rPr>
          <w:rtl/>
          <w:lang w:eastAsia="en-US"/>
        </w:rPr>
        <w:tab/>
      </w:r>
      <w:r>
        <w:rPr>
          <w:rtl/>
          <w:lang w:eastAsia="en-US"/>
        </w:rPr>
        <w:tab/>
        <w:t xml:space="preserve">الرعاية الصحية للأمومة والطفولة، وعدم كفاية التربية الصحية الإنجابية، وتنظيم </w:t>
      </w:r>
      <w:r>
        <w:rPr>
          <w:rtl/>
          <w:lang w:eastAsia="en-US"/>
        </w:rPr>
        <w:tab/>
      </w:r>
      <w:r>
        <w:rPr>
          <w:rtl/>
          <w:lang w:eastAsia="en-US"/>
        </w:rPr>
        <w:tab/>
        <w:t xml:space="preserve">الأسرة. وتمارس وزارة الصحة تدخلات رئيسية لمعالجة تحديات الخدمة الصحية </w:t>
      </w:r>
      <w:r>
        <w:rPr>
          <w:rtl/>
          <w:lang w:eastAsia="en-US"/>
        </w:rPr>
        <w:tab/>
      </w:r>
      <w:r>
        <w:rPr>
          <w:rtl/>
          <w:lang w:eastAsia="en-US"/>
        </w:rPr>
        <w:tab/>
        <w:t xml:space="preserve">ويعقبها إجراء تحسينات ملحوظة في حالة الصحة المجتمعية. والخدمة الصحية في </w:t>
      </w:r>
      <w:r>
        <w:rPr>
          <w:rtl/>
          <w:lang w:eastAsia="en-US"/>
        </w:rPr>
        <w:tab/>
      </w:r>
      <w:r>
        <w:rPr>
          <w:rtl/>
          <w:lang w:eastAsia="en-US"/>
        </w:rPr>
        <w:tab/>
        <w:t xml:space="preserve">أريتريا التي بدأت خلال حرب التحرير أسفرت عن إنشاء أطباء حفاة وممرضات </w:t>
      </w:r>
      <w:r>
        <w:rPr>
          <w:rtl/>
          <w:lang w:eastAsia="en-US"/>
        </w:rPr>
        <w:tab/>
      </w:r>
      <w:r>
        <w:rPr>
          <w:rtl/>
          <w:lang w:eastAsia="en-US"/>
        </w:rPr>
        <w:tab/>
        <w:t xml:space="preserve">وغيرهم من الموظفين الصحيين الأكفاء. ويقوم النجاح الذي تحقق اليوم على </w:t>
      </w:r>
      <w:r>
        <w:rPr>
          <w:rtl/>
          <w:lang w:eastAsia="en-US"/>
        </w:rPr>
        <w:tab/>
      </w:r>
      <w:r>
        <w:rPr>
          <w:rtl/>
          <w:lang w:eastAsia="en-US"/>
        </w:rPr>
        <w:tab/>
        <w:t>الأعمال الشاقة غير المسبوقة ومنجزات الوحدة الصحية.</w:t>
      </w:r>
    </w:p>
    <w:p w:rsidR="00000000" w:rsidRDefault="00000000">
      <w:pPr>
        <w:pStyle w:val="SingleTxt"/>
        <w:ind w:left="1264" w:right="1264"/>
        <w:rPr>
          <w:rtl/>
          <w:lang w:eastAsia="en-US"/>
        </w:rPr>
      </w:pPr>
      <w:r>
        <w:rPr>
          <w:rtl/>
          <w:lang w:eastAsia="en-US"/>
        </w:rPr>
        <w:t>11 -</w:t>
      </w:r>
      <w:r>
        <w:rPr>
          <w:rtl/>
          <w:lang w:eastAsia="en-US"/>
        </w:rPr>
        <w:tab/>
        <w:t xml:space="preserve">ويعمل غالبية النساء الأريتريات في ميدان الزراعة. ويبلغ العدد الكلي التقديري </w:t>
      </w:r>
      <w:r>
        <w:rPr>
          <w:rtl/>
          <w:lang w:eastAsia="en-US"/>
        </w:rPr>
        <w:tab/>
      </w:r>
      <w:r>
        <w:rPr>
          <w:rtl/>
          <w:lang w:eastAsia="en-US"/>
        </w:rPr>
        <w:tab/>
        <w:t xml:space="preserve">للعاملين الدائمين في ميدان الخدمة المدنية في أريتريا 000 21 من بينهم النساء </w:t>
      </w:r>
      <w:r>
        <w:rPr>
          <w:rtl/>
          <w:lang w:eastAsia="en-US"/>
        </w:rPr>
        <w:tab/>
      </w:r>
      <w:r>
        <w:rPr>
          <w:rtl/>
          <w:lang w:eastAsia="en-US"/>
        </w:rPr>
        <w:tab/>
        <w:t xml:space="preserve">اللاتي يمثلن 30.02 في المائة و33.5 في المائة من العاملين بعقود. وتقدر حصة </w:t>
      </w:r>
      <w:r>
        <w:rPr>
          <w:rtl/>
          <w:lang w:eastAsia="en-US"/>
        </w:rPr>
        <w:tab/>
      </w:r>
      <w:r>
        <w:rPr>
          <w:rtl/>
          <w:lang w:eastAsia="en-US"/>
        </w:rPr>
        <w:tab/>
        <w:t xml:space="preserve">النساء من السكان النشطين اقتصادياً بنسبة 5.1 في الميدان المهني والتقني، وبنسبة </w:t>
      </w:r>
      <w:r>
        <w:rPr>
          <w:rtl/>
          <w:lang w:eastAsia="en-US"/>
        </w:rPr>
        <w:tab/>
      </w:r>
      <w:r>
        <w:rPr>
          <w:rtl/>
          <w:lang w:eastAsia="en-US"/>
        </w:rPr>
        <w:tab/>
        <w:t xml:space="preserve">0.2 في المائة في الوظائف الإدارية والتنظيمية و5 في المائة من الموظفين الحكوميين </w:t>
      </w:r>
      <w:r>
        <w:rPr>
          <w:rtl/>
          <w:lang w:eastAsia="en-US"/>
        </w:rPr>
        <w:tab/>
      </w:r>
      <w:r>
        <w:rPr>
          <w:rtl/>
          <w:lang w:eastAsia="en-US"/>
        </w:rPr>
        <w:tab/>
        <w:t xml:space="preserve">والكتبة، و5.7 في المائة من العاملين في ميدان المبيعات، و17.3 في المائة في ميدان </w:t>
      </w:r>
      <w:r>
        <w:rPr>
          <w:rtl/>
          <w:lang w:eastAsia="en-US"/>
        </w:rPr>
        <w:tab/>
      </w:r>
      <w:r>
        <w:rPr>
          <w:rtl/>
          <w:lang w:eastAsia="en-US"/>
        </w:rPr>
        <w:tab/>
        <w:t xml:space="preserve">الخدمات، و50 في المائة من العاملين في ميدان الزراعة، و15.5 في المائة من </w:t>
      </w:r>
      <w:r>
        <w:rPr>
          <w:rtl/>
          <w:lang w:eastAsia="en-US"/>
        </w:rPr>
        <w:tab/>
      </w:r>
      <w:r>
        <w:rPr>
          <w:rtl/>
          <w:lang w:eastAsia="en-US"/>
        </w:rPr>
        <w:tab/>
        <w:t xml:space="preserve">العاملين في الإنتاج والأعمال ذات الصلة. ولذلك تأخذ الحكومة من أجل تحسين </w:t>
      </w:r>
      <w:r>
        <w:rPr>
          <w:rtl/>
          <w:lang w:eastAsia="en-US"/>
        </w:rPr>
        <w:tab/>
      </w:r>
      <w:r>
        <w:rPr>
          <w:rtl/>
          <w:lang w:eastAsia="en-US"/>
        </w:rPr>
        <w:tab/>
        <w:t xml:space="preserve">معدل عمالة النساء بسياسة تكافؤ الفرص في ميدان العمالة والتشريعات الخاصة </w:t>
      </w:r>
      <w:r>
        <w:rPr>
          <w:rtl/>
          <w:lang w:eastAsia="en-US"/>
        </w:rPr>
        <w:tab/>
      </w:r>
      <w:r>
        <w:rPr>
          <w:rtl/>
          <w:lang w:eastAsia="en-US"/>
        </w:rPr>
        <w:tab/>
        <w:t>بذلك.</w:t>
      </w:r>
    </w:p>
    <w:p w:rsidR="00000000" w:rsidRDefault="00000000">
      <w:pPr>
        <w:pStyle w:val="SingleTxt"/>
        <w:ind w:left="1264" w:right="1264"/>
        <w:rPr>
          <w:rtl/>
          <w:lang w:eastAsia="en-US"/>
        </w:rPr>
      </w:pPr>
      <w:r>
        <w:rPr>
          <w:rtl/>
          <w:lang w:eastAsia="en-US"/>
        </w:rPr>
        <w:t>12 -</w:t>
      </w:r>
      <w:r>
        <w:rPr>
          <w:rtl/>
          <w:lang w:eastAsia="en-US"/>
        </w:rPr>
        <w:tab/>
        <w:t xml:space="preserve">وكان الصراع على الحدود يمثل انتكاسة كبيرة في تنفيذ وتوسيع جميع مهام التنمية </w:t>
      </w:r>
      <w:r>
        <w:rPr>
          <w:rtl/>
          <w:lang w:eastAsia="en-US"/>
        </w:rPr>
        <w:tab/>
      </w:r>
      <w:r>
        <w:rPr>
          <w:rtl/>
          <w:lang w:eastAsia="en-US"/>
        </w:rPr>
        <w:tab/>
        <w:t xml:space="preserve">بصفة عامة والمهام التي تشرك المرأة بصفة خاصة. وأدت الحالة إلى تفاقم ظروف </w:t>
      </w:r>
      <w:r>
        <w:rPr>
          <w:rtl/>
          <w:lang w:eastAsia="en-US"/>
        </w:rPr>
        <w:tab/>
      </w:r>
      <w:r>
        <w:rPr>
          <w:rtl/>
          <w:lang w:eastAsia="en-US"/>
        </w:rPr>
        <w:tab/>
        <w:t xml:space="preserve">المعيشة وإرغام أكثر من نصف مليون أريتري على أن يكونوا من العاطلين. وأكثر </w:t>
      </w:r>
      <w:r>
        <w:rPr>
          <w:rtl/>
          <w:lang w:eastAsia="en-US"/>
        </w:rPr>
        <w:tab/>
      </w:r>
      <w:r>
        <w:rPr>
          <w:rtl/>
          <w:lang w:eastAsia="en-US"/>
        </w:rPr>
        <w:tab/>
        <w:t xml:space="preserve">من عانى في هــذا الصراع هي المرأة والطفل. ومن ثم ينبغي حل هذا الصراع </w:t>
      </w:r>
      <w:r>
        <w:rPr>
          <w:rtl/>
          <w:lang w:eastAsia="en-US"/>
        </w:rPr>
        <w:tab/>
      </w:r>
      <w:r>
        <w:rPr>
          <w:rtl/>
          <w:lang w:eastAsia="en-US"/>
        </w:rPr>
        <w:tab/>
        <w:t>بالوسائل السلمية والقانونية.</w:t>
      </w:r>
    </w:p>
    <w:p w:rsidR="00000000" w:rsidRDefault="00000000">
      <w:pPr>
        <w:pStyle w:val="SingleTxt"/>
        <w:ind w:left="1264" w:right="1264"/>
        <w:rPr>
          <w:rtl/>
          <w:lang w:eastAsia="en-US"/>
        </w:rPr>
      </w:pPr>
      <w:r>
        <w:rPr>
          <w:rtl/>
          <w:lang w:eastAsia="en-US"/>
        </w:rPr>
        <w:t>13 -</w:t>
      </w:r>
      <w:r>
        <w:rPr>
          <w:rtl/>
          <w:lang w:eastAsia="en-US"/>
        </w:rPr>
        <w:tab/>
        <w:t xml:space="preserve">وعلى الرغم من أن بعض الوزارات قد أقامت نظاماً لجمع البيانات وتدوين </w:t>
      </w:r>
      <w:r>
        <w:rPr>
          <w:rtl/>
          <w:lang w:eastAsia="en-US"/>
        </w:rPr>
        <w:tab/>
      </w:r>
      <w:r>
        <w:rPr>
          <w:rtl/>
          <w:lang w:eastAsia="en-US"/>
        </w:rPr>
        <w:tab/>
        <w:t xml:space="preserve">الإحصاءات بأسلوب يعمد إلى الفصل بين الجنسين، فإنه ينبغي تكامل وتوحيد نهج </w:t>
      </w:r>
      <w:r>
        <w:rPr>
          <w:rtl/>
          <w:lang w:eastAsia="en-US"/>
        </w:rPr>
        <w:tab/>
      </w:r>
      <w:r>
        <w:rPr>
          <w:rtl/>
          <w:lang w:eastAsia="en-US"/>
        </w:rPr>
        <w:tab/>
        <w:t xml:space="preserve">متسق يضم جميع الوزارات الرئيسية، والقطاع الخاص، والمنظمات غير الحكومية، </w:t>
      </w:r>
      <w:r>
        <w:rPr>
          <w:rtl/>
          <w:lang w:eastAsia="en-US"/>
        </w:rPr>
        <w:tab/>
      </w:r>
      <w:r>
        <w:rPr>
          <w:rtl/>
          <w:lang w:eastAsia="en-US"/>
        </w:rPr>
        <w:tab/>
        <w:t>والمؤسسات المعنية الأخرى.</w:t>
      </w:r>
    </w:p>
    <w:p w:rsidR="00000000" w:rsidRDefault="00000000">
      <w:pPr>
        <w:pStyle w:val="SingleTxt"/>
        <w:ind w:left="1264" w:right="1264"/>
        <w:rPr>
          <w:rtl/>
          <w:lang w:eastAsia="en-US"/>
        </w:rPr>
      </w:pPr>
      <w:r>
        <w:rPr>
          <w:rtl/>
          <w:lang w:eastAsia="en-US"/>
        </w:rPr>
        <w:t>14 -</w:t>
      </w:r>
      <w:r>
        <w:rPr>
          <w:rtl/>
          <w:lang w:eastAsia="en-US"/>
        </w:rPr>
        <w:tab/>
        <w:t xml:space="preserve">ولدى إعداد هذا التقرير، تمت استشارة وإشراك جميع القطاعات الحكومية، </w:t>
      </w:r>
      <w:r>
        <w:rPr>
          <w:rtl/>
          <w:lang w:eastAsia="en-US"/>
        </w:rPr>
        <w:tab/>
      </w:r>
      <w:r>
        <w:rPr>
          <w:rtl/>
          <w:lang w:eastAsia="en-US"/>
        </w:rPr>
        <w:tab/>
        <w:t xml:space="preserve">والمنظمات غير الحكومية، والمجتمع المدني، والمؤسسات الأخرى ذات الصلة، </w:t>
      </w:r>
      <w:r>
        <w:rPr>
          <w:rtl/>
          <w:lang w:eastAsia="en-US"/>
        </w:rPr>
        <w:tab/>
      </w:r>
      <w:r>
        <w:rPr>
          <w:rtl/>
          <w:lang w:eastAsia="en-US"/>
        </w:rPr>
        <w:tab/>
        <w:t>وأتيحت لها الفرصة للإسهام بمدخلات محمودة.</w:t>
      </w:r>
    </w:p>
    <w:p w:rsidR="00000000" w:rsidRDefault="00000000">
      <w:pPr>
        <w:pStyle w:val="SingleTxt"/>
        <w:ind w:left="1264" w:right="1264"/>
        <w:jc w:val="center"/>
        <w:rPr>
          <w:b/>
          <w:bCs/>
          <w:rtl/>
          <w:lang w:eastAsia="en-US"/>
        </w:rPr>
      </w:pPr>
      <w:r>
        <w:rPr>
          <w:b/>
          <w:bCs/>
          <w:rtl/>
          <w:lang w:eastAsia="en-US"/>
        </w:rPr>
        <w:br w:type="page"/>
        <w:t>الجزء الثاني</w:t>
      </w:r>
    </w:p>
    <w:p w:rsidR="00000000" w:rsidRDefault="00000000">
      <w:pPr>
        <w:pStyle w:val="SingleTxt"/>
        <w:ind w:left="1264" w:right="1264"/>
        <w:rPr>
          <w:rtl/>
          <w:lang w:eastAsia="en-US"/>
        </w:rPr>
      </w:pPr>
      <w:r>
        <w:rPr>
          <w:b/>
          <w:bCs/>
          <w:rtl/>
          <w:lang w:eastAsia="en-US"/>
        </w:rPr>
        <w:t xml:space="preserve">المواد 1 </w:t>
      </w:r>
      <w:r>
        <w:rPr>
          <w:b/>
          <w:bCs/>
          <w:lang w:eastAsia="en-US"/>
        </w:rPr>
        <w:t>–</w:t>
      </w:r>
      <w:r>
        <w:rPr>
          <w:b/>
          <w:bCs/>
          <w:rtl/>
          <w:lang w:eastAsia="en-US"/>
        </w:rPr>
        <w:t xml:space="preserve"> 3: تعريف التمييز وتدابير السياسة العامة</w:t>
      </w:r>
    </w:p>
    <w:p w:rsidR="00000000" w:rsidRDefault="00000000">
      <w:pPr>
        <w:pStyle w:val="SingleTxt"/>
        <w:ind w:left="1264" w:right="1264"/>
        <w:rPr>
          <w:rtl/>
          <w:lang w:eastAsia="en-US"/>
        </w:rPr>
      </w:pPr>
      <w:r>
        <w:rPr>
          <w:rtl/>
          <w:lang w:eastAsia="en-US"/>
        </w:rPr>
        <w:tab/>
      </w:r>
      <w:r>
        <w:rPr>
          <w:rtl/>
          <w:lang w:eastAsia="en-US"/>
        </w:rPr>
        <w:tab/>
        <w:t>يرسي دستور أريتريا الذي صدَّقت عليه الجمعية التأسيسية في 23 أيار/مايو 1997، التزاماً قوياً بحقوق الإنسان ويولي اهتماماً صريحاً ومحدداً إلى المساواة بين الجنسين والحقوق الدستورية للمرأة. وفضلاً عن ذلك، فإنه يعترف بالدور البطولي للمرأة الأريترية الذي يكفل أساس المساواة بين الجنسين ويمنع أي تمييز على أساس الجنس منذ البداية.</w:t>
      </w:r>
    </w:p>
    <w:p w:rsidR="00000000" w:rsidRDefault="00000000">
      <w:pPr>
        <w:pStyle w:val="SingleTxt"/>
        <w:ind w:left="1264" w:right="1264"/>
        <w:rPr>
          <w:rtl/>
          <w:lang w:eastAsia="en-US"/>
        </w:rPr>
      </w:pPr>
      <w:r>
        <w:rPr>
          <w:rtl/>
          <w:lang w:eastAsia="en-US"/>
        </w:rPr>
        <w:tab/>
        <w:t>وتنص مقدمة الدستور على ما يلي:</w:t>
      </w:r>
    </w:p>
    <w:p w:rsidR="00000000" w:rsidRDefault="00000000">
      <w:pPr>
        <w:pStyle w:val="SingleTxt"/>
        <w:ind w:left="1984" w:right="1264" w:hanging="720"/>
        <w:rPr>
          <w:rtl/>
          <w:lang w:eastAsia="en-US"/>
        </w:rPr>
      </w:pPr>
      <w:r>
        <w:rPr>
          <w:rtl/>
          <w:lang w:eastAsia="en-US"/>
        </w:rPr>
        <w:tab/>
      </w:r>
      <w:r>
        <w:rPr>
          <w:rtl/>
          <w:lang w:eastAsia="en-US"/>
        </w:rPr>
        <w:tab/>
      </w:r>
      <w:r>
        <w:rPr>
          <w:rtl/>
          <w:lang w:eastAsia="en-US"/>
        </w:rPr>
        <w:tab/>
      </w:r>
      <w:r>
        <w:rPr>
          <w:i/>
          <w:iCs/>
          <w:rtl/>
          <w:lang w:eastAsia="en-US"/>
        </w:rPr>
        <w:t>مع ملاحظة المشاركة البطولية للمرأة الأريترية في الكفاح من أجل الاستقلال وحقوق الإنسان والتضامن، على أساس المساواة والاحترام المتبادل، الذي تحقق بفضل هذا الكفاح يمثل أساساً راسخاً لالتـزامنا بإقامة مجتمع تتفاعل فيه المرأة والرجل على أساس الاحترام المتبادل والتضامن والمساواة</w:t>
      </w:r>
      <w:r>
        <w:rPr>
          <w:rStyle w:val="FootnoteReference"/>
          <w:i/>
          <w:iCs/>
          <w:rtl/>
          <w:lang w:eastAsia="en-US"/>
        </w:rPr>
        <w:footnoteReference w:customMarkFollows="1" w:id="8"/>
        <w:t>(7)</w:t>
      </w:r>
      <w:r>
        <w:rPr>
          <w:rtl/>
          <w:lang w:eastAsia="en-US"/>
        </w:rPr>
        <w:t>.</w:t>
      </w:r>
    </w:p>
    <w:p w:rsidR="00000000" w:rsidRDefault="00000000">
      <w:pPr>
        <w:pStyle w:val="SingleTxt"/>
        <w:ind w:left="1264" w:right="1264"/>
        <w:rPr>
          <w:rtl/>
          <w:lang w:eastAsia="en-US"/>
        </w:rPr>
      </w:pPr>
      <w:r>
        <w:rPr>
          <w:rtl/>
          <w:lang w:eastAsia="en-US"/>
        </w:rPr>
        <w:tab/>
        <w:t>وتحظر المادة 7 (2) بشأن مبادئ الديمقراطية أي شكل من أشكال التمييز ونصها كما يلي:</w:t>
      </w:r>
    </w:p>
    <w:p w:rsidR="00000000" w:rsidRDefault="00000000">
      <w:pPr>
        <w:pStyle w:val="SingleTxt"/>
        <w:ind w:left="1961" w:right="1264" w:hanging="697"/>
        <w:rPr>
          <w:rtl/>
          <w:lang w:eastAsia="en-US"/>
        </w:rPr>
      </w:pPr>
      <w:r>
        <w:rPr>
          <w:rtl/>
          <w:lang w:eastAsia="en-US"/>
        </w:rPr>
        <w:tab/>
      </w:r>
      <w:r>
        <w:rPr>
          <w:rtl/>
          <w:lang w:eastAsia="en-US"/>
        </w:rPr>
        <w:tab/>
        <w:t>”</w:t>
      </w:r>
      <w:r>
        <w:rPr>
          <w:i/>
          <w:iCs/>
          <w:rtl/>
          <w:lang w:eastAsia="en-US"/>
        </w:rPr>
        <w:t>أي عمل من شأنه انتهاك حقوق الإنسان بالنسبة للمرأة أو يحد من دورها ومشاركتها أو يحبط هذه المشاركة وذلك الدور محظور</w:t>
      </w:r>
      <w:r>
        <w:rPr>
          <w:rtl/>
          <w:lang w:eastAsia="en-US"/>
        </w:rPr>
        <w:t>“.</w:t>
      </w:r>
    </w:p>
    <w:p w:rsidR="00000000" w:rsidRDefault="00000000">
      <w:pPr>
        <w:pStyle w:val="SingleTxt"/>
        <w:ind w:left="1264" w:right="1264"/>
        <w:rPr>
          <w:rtl/>
          <w:lang w:eastAsia="en-US"/>
        </w:rPr>
      </w:pPr>
      <w:r>
        <w:rPr>
          <w:rtl/>
          <w:lang w:eastAsia="en-US"/>
        </w:rPr>
        <w:tab/>
        <w:t>ويتم تنفيذ هذه المادة أيضاً عن طريق المادة 14 بشان المساواة أمام القانون، وتنص على أن:</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”جميع الأشخاص متساوون أمام القانون</w:t>
      </w:r>
      <w:r>
        <w:rPr>
          <w:rtl/>
          <w:lang w:eastAsia="en-US"/>
        </w:rPr>
        <w:t>.</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 xml:space="preserve">وسوف تُصدِر الجمعية الوطنية وتنفِّذ قوانين من شأنها المساعدة على القضاء على </w:t>
      </w:r>
      <w:r>
        <w:rPr>
          <w:i/>
          <w:iCs/>
          <w:rtl/>
          <w:lang w:eastAsia="en-US"/>
        </w:rPr>
        <w:tab/>
      </w:r>
      <w:r>
        <w:rPr>
          <w:i/>
          <w:iCs/>
          <w:rtl/>
          <w:lang w:eastAsia="en-US"/>
        </w:rPr>
        <w:tab/>
        <w:t>أوجه عدم المساواة القائمة في المجتمع الأريتري</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وتمشياً مع مبادئ وأحكام الدستور تم استحداث تشريعات ومبادئ توجيهية مختلفة. ويمكن الإشارة إلى السياسة الكلية لحكومة دولة أريتريا على أنها مثال على تحديد أهداف السياسة العامة بشأن مسائل الجنسين على النحو التالي:</w:t>
      </w:r>
    </w:p>
    <w:p w:rsidR="00000000" w:rsidRDefault="00000000">
      <w:pPr>
        <w:pStyle w:val="SingleTxt"/>
        <w:ind w:left="1264" w:right="1264"/>
        <w:rPr>
          <w:i/>
          <w:iCs/>
          <w:rtl/>
          <w:lang w:eastAsia="en-US"/>
        </w:rPr>
      </w:pPr>
      <w:r>
        <w:rPr>
          <w:rtl/>
          <w:lang w:eastAsia="en-US"/>
        </w:rPr>
        <w:tab/>
      </w:r>
      <w:r>
        <w:rPr>
          <w:rtl/>
          <w:lang w:eastAsia="en-US"/>
        </w:rPr>
        <w:tab/>
      </w:r>
      <w:r>
        <w:rPr>
          <w:i/>
          <w:iCs/>
          <w:rtl/>
          <w:lang w:eastAsia="en-US"/>
        </w:rPr>
        <w:t>(أ)</w:t>
      </w:r>
      <w:r>
        <w:rPr>
          <w:rtl/>
          <w:lang w:eastAsia="en-US"/>
        </w:rPr>
        <w:tab/>
      </w:r>
      <w:r>
        <w:rPr>
          <w:i/>
          <w:iCs/>
          <w:rtl/>
          <w:lang w:eastAsia="en-US"/>
        </w:rPr>
        <w:t xml:space="preserve">سوف تتواصل جميع الجهود من أجل توعية وزيادة وعي المجتمع بشأن </w:t>
      </w:r>
      <w:r>
        <w:rPr>
          <w:i/>
          <w:iCs/>
          <w:rtl/>
          <w:lang w:eastAsia="en-US"/>
        </w:rPr>
        <w:tab/>
      </w:r>
      <w:r>
        <w:rPr>
          <w:i/>
          <w:iCs/>
          <w:rtl/>
          <w:lang w:eastAsia="en-US"/>
        </w:rPr>
        <w:tab/>
      </w:r>
      <w:r>
        <w:rPr>
          <w:i/>
          <w:iCs/>
          <w:rtl/>
          <w:lang w:eastAsia="en-US"/>
        </w:rPr>
        <w:tab/>
        <w:t xml:space="preserve">الدور الحاسم للمرأة في التحول الاجتماعي والاقتصادي والسياسي والثقافي </w:t>
      </w:r>
      <w:r>
        <w:rPr>
          <w:i/>
          <w:iCs/>
          <w:rtl/>
          <w:lang w:eastAsia="en-US"/>
        </w:rPr>
        <w:tab/>
      </w:r>
      <w:r>
        <w:rPr>
          <w:i/>
          <w:iCs/>
          <w:rtl/>
          <w:lang w:eastAsia="en-US"/>
        </w:rPr>
        <w:tab/>
      </w:r>
      <w:r>
        <w:rPr>
          <w:i/>
          <w:iCs/>
          <w:rtl/>
          <w:lang w:eastAsia="en-US"/>
        </w:rPr>
        <w:tab/>
        <w:t>للبلد.</w:t>
      </w:r>
    </w:p>
    <w:p w:rsidR="00000000" w:rsidRDefault="00000000">
      <w:pPr>
        <w:pStyle w:val="SingleTxt"/>
        <w:ind w:left="1264" w:right="1264"/>
        <w:rPr>
          <w:i/>
          <w:iCs/>
          <w:rtl/>
          <w:lang w:eastAsia="en-US"/>
        </w:rPr>
      </w:pPr>
      <w:r>
        <w:rPr>
          <w:i/>
          <w:iCs/>
          <w:rtl/>
          <w:lang w:eastAsia="en-US"/>
        </w:rPr>
        <w:tab/>
      </w:r>
      <w:r>
        <w:rPr>
          <w:i/>
          <w:iCs/>
          <w:rtl/>
          <w:lang w:eastAsia="en-US"/>
        </w:rPr>
        <w:tab/>
        <w:t>(ب)</w:t>
      </w:r>
      <w:r>
        <w:rPr>
          <w:i/>
          <w:iCs/>
          <w:rtl/>
          <w:lang w:eastAsia="en-US"/>
        </w:rPr>
        <w:tab/>
        <w:t xml:space="preserve">سيتم إعلاء الحقوق المتساوية للمرأة ويتم تغيير جميع القوانين التي تسلب </w:t>
      </w:r>
      <w:r>
        <w:rPr>
          <w:i/>
          <w:iCs/>
          <w:rtl/>
          <w:lang w:eastAsia="en-US"/>
        </w:rPr>
        <w:tab/>
      </w:r>
      <w:r>
        <w:rPr>
          <w:i/>
          <w:iCs/>
          <w:rtl/>
          <w:lang w:eastAsia="en-US"/>
        </w:rPr>
        <w:tab/>
      </w:r>
      <w:r>
        <w:rPr>
          <w:i/>
          <w:iCs/>
          <w:rtl/>
          <w:lang w:eastAsia="en-US"/>
        </w:rPr>
        <w:tab/>
        <w:t>هذا الحق.</w:t>
      </w:r>
    </w:p>
    <w:p w:rsidR="00000000" w:rsidRDefault="00000000">
      <w:pPr>
        <w:pStyle w:val="SingleTxt"/>
        <w:ind w:left="1264" w:right="1264"/>
        <w:rPr>
          <w:rtl/>
          <w:lang w:eastAsia="en-US"/>
        </w:rPr>
      </w:pPr>
      <w:r>
        <w:rPr>
          <w:rtl/>
          <w:lang w:eastAsia="en-US"/>
        </w:rPr>
        <w:tab/>
      </w:r>
      <w:r>
        <w:rPr>
          <w:rtl/>
          <w:lang w:eastAsia="en-US"/>
        </w:rPr>
        <w:tab/>
        <w:t>وأنشأت وزارة العدل لجنة لإصلاح القوانين في عام 1997 التي عُهِد إليها بإصلاح و/أو إبطال مفعول القانون المدني وقانون العقوبات في العهد الاستعماري. ولذلك فإن القانون الجديد في مرحلة الصياغة. ومع ذلك، فإن القانون الاستعماري الذي تم اعتماده وإصلاحه في عام 1991 (بعد الاستقلال مباشرة) ينص بموجب إعلان إصلاح القوانين رقم 1/1991 على أن جميع النصوص والأحكام التمييزية سوف تستبعد وسوف تدرج بدلاً من ذلك تدابير قانونية حمائية، وهي تعرف باسم المدوَّنة الانتقالية لأريتريا. ومن بينها بعض التدابير التالية:</w:t>
      </w:r>
    </w:p>
    <w:p w:rsidR="00000000" w:rsidRDefault="00000000">
      <w:pPr>
        <w:pStyle w:val="SingleTxt"/>
        <w:ind w:left="1264" w:right="1264"/>
        <w:rPr>
          <w:rtl/>
          <w:lang w:eastAsia="en-US"/>
        </w:rPr>
      </w:pPr>
      <w:r>
        <w:rPr>
          <w:rtl/>
          <w:lang w:eastAsia="en-US"/>
        </w:rPr>
        <w:t>•</w:t>
      </w:r>
      <w:r>
        <w:rPr>
          <w:rtl/>
          <w:lang w:eastAsia="en-US"/>
        </w:rPr>
        <w:tab/>
        <w:t xml:space="preserve">يقوم الزواج على الرضا الحر لكلا الشريكين، ولا يحتاج إلى موافقة الأبوين. وقد </w:t>
      </w:r>
      <w:r>
        <w:rPr>
          <w:rtl/>
          <w:lang w:eastAsia="en-US"/>
        </w:rPr>
        <w:tab/>
      </w:r>
      <w:r>
        <w:rPr>
          <w:rtl/>
          <w:lang w:eastAsia="en-US"/>
        </w:rPr>
        <w:tab/>
        <w:t>ارتفع السن القانوني للزواج من 15 سنة إلى 18 سنة.</w:t>
      </w:r>
    </w:p>
    <w:p w:rsidR="00000000" w:rsidRDefault="00000000">
      <w:pPr>
        <w:pStyle w:val="SingleTxt"/>
        <w:ind w:left="1264" w:right="1264"/>
        <w:rPr>
          <w:rtl/>
          <w:lang w:eastAsia="en-US"/>
        </w:rPr>
      </w:pPr>
      <w:r>
        <w:rPr>
          <w:rtl/>
          <w:lang w:eastAsia="en-US"/>
        </w:rPr>
        <w:t>•</w:t>
      </w:r>
      <w:r>
        <w:rPr>
          <w:rtl/>
          <w:lang w:eastAsia="en-US"/>
        </w:rPr>
        <w:tab/>
        <w:t>يمكن للمرأة عقد الزواج بحرية وتُمنَح حقوقاً متساوية مثل الرجل.</w:t>
      </w:r>
    </w:p>
    <w:p w:rsidR="00000000" w:rsidRDefault="00000000">
      <w:pPr>
        <w:pStyle w:val="SingleTxt"/>
        <w:ind w:left="1264" w:right="1264"/>
        <w:rPr>
          <w:rtl/>
          <w:lang w:eastAsia="en-US"/>
        </w:rPr>
      </w:pPr>
      <w:r>
        <w:rPr>
          <w:rtl/>
          <w:lang w:eastAsia="en-US"/>
        </w:rPr>
        <w:t>•</w:t>
      </w:r>
      <w:r>
        <w:rPr>
          <w:rtl/>
          <w:lang w:eastAsia="en-US"/>
        </w:rPr>
        <w:tab/>
        <w:t>يحظر القانون أي ثمن يدفع للعروس واختطافها.</w:t>
      </w:r>
    </w:p>
    <w:p w:rsidR="00000000" w:rsidRDefault="00000000">
      <w:pPr>
        <w:pStyle w:val="SingleTxt"/>
        <w:ind w:left="1264" w:right="1264"/>
        <w:rPr>
          <w:rtl/>
          <w:lang w:eastAsia="en-US"/>
        </w:rPr>
      </w:pPr>
      <w:r>
        <w:rPr>
          <w:rtl/>
          <w:lang w:eastAsia="en-US"/>
        </w:rPr>
        <w:t>•</w:t>
      </w:r>
      <w:r>
        <w:rPr>
          <w:rtl/>
          <w:lang w:eastAsia="en-US"/>
        </w:rPr>
        <w:tab/>
        <w:t xml:space="preserve">تم إلغاء المواد 708 </w:t>
      </w:r>
      <w:r>
        <w:rPr>
          <w:lang w:eastAsia="en-US"/>
        </w:rPr>
        <w:t>–</w:t>
      </w:r>
      <w:r>
        <w:rPr>
          <w:rtl/>
          <w:lang w:eastAsia="en-US"/>
        </w:rPr>
        <w:t xml:space="preserve"> 721 من القانون المدني الاستعماري بشأن القرانات غير </w:t>
      </w:r>
      <w:r>
        <w:rPr>
          <w:rtl/>
          <w:lang w:eastAsia="en-US"/>
        </w:rPr>
        <w:tab/>
      </w:r>
      <w:r>
        <w:rPr>
          <w:rtl/>
          <w:lang w:eastAsia="en-US"/>
        </w:rPr>
        <w:tab/>
        <w:t>المنتظمة لأنها لا تقدم أي حماية قانونية لحقوق المرأة لدى الزواج والطلاق والميراث.</w:t>
      </w:r>
    </w:p>
    <w:p w:rsidR="00000000" w:rsidRDefault="00000000">
      <w:pPr>
        <w:pStyle w:val="SingleTxt"/>
        <w:ind w:left="1264" w:right="1264"/>
        <w:rPr>
          <w:rtl/>
          <w:lang w:eastAsia="en-US"/>
        </w:rPr>
      </w:pPr>
      <w:r>
        <w:rPr>
          <w:rtl/>
          <w:lang w:eastAsia="en-US"/>
        </w:rPr>
        <w:t>•</w:t>
      </w:r>
      <w:r>
        <w:rPr>
          <w:rtl/>
          <w:lang w:eastAsia="en-US"/>
        </w:rPr>
        <w:tab/>
        <w:t xml:space="preserve">تم إلغاء عقوبة الإعدام وتخفيفها إلى عقوبة السجن مدى الحياة بالنسبة للمرأة المدانة </w:t>
      </w:r>
      <w:r>
        <w:rPr>
          <w:rtl/>
          <w:lang w:eastAsia="en-US"/>
        </w:rPr>
        <w:tab/>
      </w:r>
      <w:r>
        <w:rPr>
          <w:rtl/>
          <w:lang w:eastAsia="en-US"/>
        </w:rPr>
        <w:tab/>
        <w:t>التي قد تكون حاملاً أو لديها أطفال دون سن الثالثة.</w:t>
      </w:r>
    </w:p>
    <w:p w:rsidR="00000000" w:rsidRDefault="00000000">
      <w:pPr>
        <w:pStyle w:val="SingleTxt"/>
        <w:ind w:left="1264" w:right="1264"/>
        <w:rPr>
          <w:rtl/>
          <w:lang w:eastAsia="en-US"/>
        </w:rPr>
      </w:pPr>
      <w:r>
        <w:rPr>
          <w:rtl/>
          <w:lang w:eastAsia="en-US"/>
        </w:rPr>
        <w:t>•</w:t>
      </w:r>
      <w:r>
        <w:rPr>
          <w:rtl/>
          <w:lang w:eastAsia="en-US"/>
        </w:rPr>
        <w:tab/>
        <w:t xml:space="preserve">يسمح بالإجهاض الذي ما زال يعاقب عليه رغم ذلك بموجب قانون العقوبات، في </w:t>
      </w:r>
      <w:r>
        <w:rPr>
          <w:rtl/>
          <w:lang w:eastAsia="en-US"/>
        </w:rPr>
        <w:tab/>
      </w:r>
      <w:r>
        <w:rPr>
          <w:rtl/>
          <w:lang w:eastAsia="en-US"/>
        </w:rPr>
        <w:tab/>
        <w:t xml:space="preserve">حالات حيث يمكن للطبيب أن يشهد بأن المرأة سوف تعاني ضرراً خطيراً ودائماً </w:t>
      </w:r>
      <w:r>
        <w:rPr>
          <w:rtl/>
          <w:lang w:eastAsia="en-US"/>
        </w:rPr>
        <w:tab/>
      </w:r>
      <w:r>
        <w:rPr>
          <w:rtl/>
          <w:lang w:eastAsia="en-US"/>
        </w:rPr>
        <w:tab/>
        <w:t xml:space="preserve">بسبب الضغوط المادية والذهنية، أو عندما يكون الحمل ناتجاً عن الاغتصاب أو </w:t>
      </w:r>
      <w:r>
        <w:rPr>
          <w:rtl/>
          <w:lang w:eastAsia="en-US"/>
        </w:rPr>
        <w:tab/>
      </w:r>
      <w:r>
        <w:rPr>
          <w:rtl/>
          <w:lang w:eastAsia="en-US"/>
        </w:rPr>
        <w:tab/>
        <w:t>غشيان المحارم.</w:t>
      </w:r>
    </w:p>
    <w:p w:rsidR="00000000" w:rsidRDefault="00000000">
      <w:pPr>
        <w:pStyle w:val="SingleTxt"/>
        <w:ind w:left="1264" w:right="1264"/>
        <w:rPr>
          <w:rtl/>
          <w:lang w:eastAsia="en-US"/>
        </w:rPr>
      </w:pPr>
      <w:r>
        <w:rPr>
          <w:rtl/>
          <w:lang w:eastAsia="en-US"/>
        </w:rPr>
        <w:t>•</w:t>
      </w:r>
      <w:r>
        <w:rPr>
          <w:rtl/>
          <w:lang w:eastAsia="en-US"/>
        </w:rPr>
        <w:tab/>
        <w:t xml:space="preserve">يعاقب على الاغتصاب بموجب القانون بالسجن لمدة أقصاها 15 سنة. ويعاقب </w:t>
      </w:r>
      <w:r>
        <w:rPr>
          <w:rtl/>
          <w:lang w:eastAsia="en-US"/>
        </w:rPr>
        <w:tab/>
      </w:r>
      <w:r>
        <w:rPr>
          <w:rtl/>
          <w:lang w:eastAsia="en-US"/>
        </w:rPr>
        <w:tab/>
        <w:t xml:space="preserve">أيضاً على المواد الإباحية أو غير ذلك من أعمال غير لائقة أو فاحشة بموجب قانون </w:t>
      </w:r>
      <w:r>
        <w:rPr>
          <w:rtl/>
          <w:lang w:eastAsia="en-US"/>
        </w:rPr>
        <w:tab/>
      </w:r>
      <w:r>
        <w:rPr>
          <w:rtl/>
          <w:lang w:eastAsia="en-US"/>
        </w:rPr>
        <w:tab/>
        <w:t>العقوبات.</w:t>
      </w:r>
    </w:p>
    <w:p w:rsidR="00000000" w:rsidRDefault="00000000">
      <w:pPr>
        <w:pStyle w:val="SingleTxt"/>
        <w:ind w:left="1264" w:right="1264"/>
        <w:rPr>
          <w:rtl/>
          <w:lang w:eastAsia="en-US"/>
        </w:rPr>
      </w:pPr>
      <w:r>
        <w:rPr>
          <w:rtl/>
          <w:lang w:eastAsia="en-US"/>
        </w:rPr>
        <w:t>•</w:t>
      </w:r>
      <w:r>
        <w:rPr>
          <w:rtl/>
          <w:lang w:eastAsia="en-US"/>
        </w:rPr>
        <w:tab/>
        <w:t xml:space="preserve">تم آلياً إلغاء المادة 635 التي تمجد صراحة السلطة الزواجية للزوج واستعيض عنها </w:t>
      </w:r>
      <w:r>
        <w:rPr>
          <w:rtl/>
          <w:lang w:eastAsia="en-US"/>
        </w:rPr>
        <w:tab/>
      </w:r>
      <w:r>
        <w:rPr>
          <w:rtl/>
          <w:lang w:eastAsia="en-US"/>
        </w:rPr>
        <w:tab/>
        <w:t xml:space="preserve">بالمادة: 45 من قانون الأسرة التي تعترف بالمساواة في الحقوق ووضع كلا الزوجين، </w:t>
      </w:r>
      <w:r>
        <w:rPr>
          <w:rtl/>
          <w:lang w:eastAsia="en-US"/>
        </w:rPr>
        <w:tab/>
      </w:r>
      <w:r>
        <w:rPr>
          <w:rtl/>
          <w:lang w:eastAsia="en-US"/>
        </w:rPr>
        <w:tab/>
        <w:t>وتحافظ على مصلحة الأطفال والأم في الأسرة.</w:t>
      </w:r>
    </w:p>
    <w:p w:rsidR="00000000" w:rsidRDefault="00000000">
      <w:pPr>
        <w:pStyle w:val="SingleTxt"/>
        <w:ind w:left="1264" w:right="1264"/>
        <w:rPr>
          <w:rtl/>
          <w:lang w:eastAsia="en-US"/>
        </w:rPr>
      </w:pPr>
      <w:r>
        <w:rPr>
          <w:rtl/>
          <w:lang w:eastAsia="en-US"/>
        </w:rPr>
        <w:tab/>
      </w:r>
      <w:r>
        <w:rPr>
          <w:rtl/>
          <w:lang w:eastAsia="en-US"/>
        </w:rPr>
        <w:tab/>
        <w:t>وتم تشريع إعلان جديد بشأن حيازة الأرض رقم 58/1994 ويرمي إلى القضاء على نظام الحيازة التقليدية للأرض. وستجري مناقشته في إطار المادة 14 من الاتفاقية.</w:t>
      </w:r>
    </w:p>
    <w:p w:rsidR="00000000" w:rsidRDefault="00000000">
      <w:pPr>
        <w:pStyle w:val="SingleTxt"/>
        <w:ind w:left="1264" w:right="1264"/>
        <w:rPr>
          <w:rtl/>
          <w:lang w:eastAsia="en-US"/>
        </w:rPr>
      </w:pPr>
      <w:r>
        <w:rPr>
          <w:rtl/>
          <w:lang w:eastAsia="en-US"/>
        </w:rPr>
        <w:tab/>
      </w:r>
      <w:r>
        <w:rPr>
          <w:rtl/>
          <w:lang w:eastAsia="en-US"/>
        </w:rPr>
        <w:tab/>
        <w:t>وتم تشريع إعلان جديد للعمل في أريتريا رقم 118/2001. ويقضي بالحماية القانونية للمرأة في الاستخدام وسوف تتم مناقشته أيضاً في إطار المادة 12 من الاتفاقية.</w:t>
      </w:r>
    </w:p>
    <w:p w:rsidR="00000000" w:rsidRDefault="00000000">
      <w:pPr>
        <w:pStyle w:val="SingleTxt"/>
        <w:ind w:left="1264" w:right="1264"/>
        <w:rPr>
          <w:rtl/>
          <w:lang w:eastAsia="en-US"/>
        </w:rPr>
      </w:pPr>
      <w:r>
        <w:rPr>
          <w:rtl/>
          <w:lang w:eastAsia="en-US"/>
        </w:rPr>
        <w:tab/>
      </w:r>
      <w:r>
        <w:rPr>
          <w:rtl/>
          <w:lang w:eastAsia="en-US"/>
        </w:rPr>
        <w:tab/>
        <w:t>وتم الإعلان عن قانون الخدمة الوطنية رقم 82/95 في عام 1995 الذي يوضح أن جميع المواطنين الأريتريين فوق سن 18 سنة ملزمون بغض النظر غن نوع الجنس بالعمل في الخدمة الوطنية. وتنفيذاً لذلك تعمل الفتيات حالياً في إطار هذا الواجب بموجب برامج الخدمة الوطنية.</w:t>
      </w:r>
    </w:p>
    <w:p w:rsidR="00000000" w:rsidRDefault="00000000">
      <w:pPr>
        <w:pStyle w:val="SingleTxt"/>
        <w:ind w:left="1264" w:right="1264"/>
        <w:rPr>
          <w:rtl/>
          <w:lang w:eastAsia="en-US"/>
        </w:rPr>
      </w:pPr>
      <w:r>
        <w:rPr>
          <w:b/>
          <w:bCs/>
          <w:rtl/>
          <w:lang w:eastAsia="en-US"/>
        </w:rPr>
        <w:t>المادة 4: بشأن التدابير الخاصة (الإجراء الإيجابي)</w:t>
      </w:r>
    </w:p>
    <w:p w:rsidR="00000000" w:rsidRDefault="00000000">
      <w:pPr>
        <w:pStyle w:val="SingleTxt"/>
        <w:ind w:left="1264" w:right="1264"/>
        <w:rPr>
          <w:rtl/>
          <w:lang w:eastAsia="en-US"/>
        </w:rPr>
      </w:pPr>
      <w:r>
        <w:rPr>
          <w:rtl/>
          <w:lang w:eastAsia="en-US"/>
        </w:rPr>
        <w:tab/>
        <w:t>أوضح الدستور الأريتري بموجب الفقرة 1 من المادة 7 أنه:</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 xml:space="preserve">من المبادئ الأساسية لدولة أريتريا أن تكفل لمواطنيها مشاركة عريضة وفعالة في </w:t>
      </w:r>
      <w:r>
        <w:rPr>
          <w:i/>
          <w:iCs/>
          <w:rtl/>
          <w:lang w:eastAsia="en-US"/>
        </w:rPr>
        <w:tab/>
      </w:r>
      <w:r>
        <w:rPr>
          <w:i/>
          <w:iCs/>
          <w:rtl/>
          <w:lang w:eastAsia="en-US"/>
        </w:rPr>
        <w:tab/>
        <w:t>جميع أنواع الحياة السياسية والاقتصادية والاجتماعية والثقافية في البلاد.</w:t>
      </w:r>
    </w:p>
    <w:p w:rsidR="00000000" w:rsidRDefault="00000000">
      <w:pPr>
        <w:pStyle w:val="SingleTxt"/>
        <w:ind w:left="1264" w:right="1264"/>
        <w:rPr>
          <w:rtl/>
          <w:lang w:eastAsia="en-US"/>
        </w:rPr>
      </w:pPr>
      <w:r>
        <w:rPr>
          <w:rtl/>
          <w:lang w:eastAsia="en-US"/>
        </w:rPr>
        <w:tab/>
      </w:r>
      <w:r>
        <w:rPr>
          <w:rtl/>
          <w:lang w:eastAsia="en-US"/>
        </w:rPr>
        <w:tab/>
        <w:t>وبالإضافة إلى ذلك، يُعظِّم الميثاق الوطني</w:t>
      </w:r>
      <w:r>
        <w:rPr>
          <w:rStyle w:val="FootnoteReference"/>
          <w:rtl/>
          <w:lang w:eastAsia="en-US"/>
        </w:rPr>
        <w:footnoteReference w:customMarkFollows="1" w:id="9"/>
        <w:t>(8)</w:t>
      </w:r>
      <w:r>
        <w:rPr>
          <w:rtl/>
          <w:lang w:eastAsia="en-US"/>
        </w:rPr>
        <w:t>، وهو المبدأ التوجيهي الأيديولوجي والوثيقة الرئيسية للجبهة الشعبية للديمقراطية والعدالة، من شأن مسألة المرأة بوصفها مسالة اجتماعية رئيسية، وينص صراحة على ما يلي:</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 xml:space="preserve">أن المجتمع الذي لا يحترم حقوق المرأة ومساواتها لا يمكن أن يكون مجتمعاً متحرراً </w:t>
      </w:r>
      <w:r>
        <w:rPr>
          <w:i/>
          <w:iCs/>
          <w:rtl/>
          <w:lang w:eastAsia="en-US"/>
        </w:rPr>
        <w:tab/>
      </w:r>
      <w:r>
        <w:rPr>
          <w:i/>
          <w:iCs/>
          <w:rtl/>
          <w:lang w:eastAsia="en-US"/>
        </w:rPr>
        <w:tab/>
        <w:t xml:space="preserve">حقاً. وقد حدثت خلال سنوات الكفاح تغييرات كبيرة بالنسبة للمرأة الأريترية. </w:t>
      </w:r>
      <w:r>
        <w:rPr>
          <w:i/>
          <w:iCs/>
          <w:rtl/>
          <w:lang w:eastAsia="en-US"/>
        </w:rPr>
        <w:tab/>
      </w:r>
      <w:r>
        <w:rPr>
          <w:i/>
          <w:iCs/>
          <w:rtl/>
          <w:lang w:eastAsia="en-US"/>
        </w:rPr>
        <w:tab/>
        <w:t xml:space="preserve">وقد عملت المرأة الأريترية التي كان ينظر إليها على أنها مخلوق ضعيف وسلبي وأقل </w:t>
      </w:r>
      <w:r>
        <w:rPr>
          <w:i/>
          <w:iCs/>
          <w:rtl/>
          <w:lang w:eastAsia="en-US"/>
        </w:rPr>
        <w:tab/>
      </w:r>
      <w:r>
        <w:rPr>
          <w:i/>
          <w:iCs/>
          <w:rtl/>
          <w:lang w:eastAsia="en-US"/>
        </w:rPr>
        <w:tab/>
        <w:t xml:space="preserve">قيمة من الرجل، على تحويل نفسها إلى مقاتل قوي عندما أتيح لها التعبير عن قوتها </w:t>
      </w:r>
      <w:r>
        <w:rPr>
          <w:i/>
          <w:iCs/>
          <w:rtl/>
          <w:lang w:eastAsia="en-US"/>
        </w:rPr>
        <w:tab/>
      </w:r>
      <w:r>
        <w:rPr>
          <w:i/>
          <w:iCs/>
          <w:rtl/>
          <w:lang w:eastAsia="en-US"/>
        </w:rPr>
        <w:tab/>
        <w:t>المحبطة. ولولا مشاركة المرأة لما كتب النجاح لثورتنا.</w:t>
      </w:r>
    </w:p>
    <w:p w:rsidR="00000000" w:rsidRDefault="00000000">
      <w:pPr>
        <w:pStyle w:val="SingleTxt"/>
        <w:ind w:left="1264" w:right="1264"/>
        <w:rPr>
          <w:rtl/>
          <w:lang w:eastAsia="en-US"/>
        </w:rPr>
      </w:pPr>
      <w:r>
        <w:rPr>
          <w:rtl/>
          <w:lang w:eastAsia="en-US"/>
        </w:rPr>
        <w:tab/>
      </w:r>
      <w:r>
        <w:rPr>
          <w:rtl/>
          <w:lang w:eastAsia="en-US"/>
        </w:rPr>
        <w:tab/>
        <w:t xml:space="preserve">وعلى الرغم من أن الحواجز التقليدية التي تعترض دور المرأة في المجتمع وبناء الأمة </w:t>
      </w:r>
      <w:r>
        <w:rPr>
          <w:rtl/>
          <w:lang w:eastAsia="en-US"/>
        </w:rPr>
        <w:tab/>
        <w:t>ما زال يعترف بها، فإن الميثاق ينص على أن ”</w:t>
      </w:r>
      <w:r>
        <w:rPr>
          <w:i/>
          <w:iCs/>
          <w:rtl/>
          <w:lang w:eastAsia="en-US"/>
        </w:rPr>
        <w:t xml:space="preserve">دور المرأة في المجتمع وفي الأسرة ينبغي </w:t>
      </w:r>
      <w:r>
        <w:rPr>
          <w:i/>
          <w:iCs/>
          <w:rtl/>
          <w:lang w:eastAsia="en-US"/>
        </w:rPr>
        <w:tab/>
        <w:t>منحه قدراً أكبر من الاعتراف. ولا يمكن تحديث أريتريا دون المشاركة الكاملة  للمرأة</w:t>
      </w:r>
      <w:r>
        <w:rPr>
          <w:i/>
          <w:iCs/>
          <w:lang w:eastAsia="en-US"/>
        </w:rPr>
        <w:t>…</w:t>
      </w:r>
      <w:r>
        <w:rPr>
          <w:i/>
          <w:iCs/>
          <w:rtl/>
          <w:lang w:eastAsia="en-US"/>
        </w:rPr>
        <w:t xml:space="preserve"> وينبغي أن تكون أريتريا بلداً حيث يعيش كلا الجنسين في مساواة وانسجام </w:t>
      </w:r>
      <w:r>
        <w:rPr>
          <w:i/>
          <w:iCs/>
          <w:rtl/>
          <w:lang w:eastAsia="en-US"/>
        </w:rPr>
        <w:tab/>
        <w:t>ورفاهية</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هذه هي المبادئ الأساسية والعقيدة الأيديولوجية للحكومة وعلى أساسها يقوم حق المرأة الأريترية ويتجسد.</w:t>
      </w:r>
    </w:p>
    <w:p w:rsidR="00000000" w:rsidRDefault="00000000">
      <w:pPr>
        <w:pStyle w:val="SingleTxt"/>
        <w:ind w:left="1264" w:right="1264"/>
        <w:rPr>
          <w:rtl/>
          <w:lang w:eastAsia="en-US"/>
        </w:rPr>
      </w:pPr>
      <w:r>
        <w:rPr>
          <w:rtl/>
          <w:lang w:eastAsia="en-US"/>
        </w:rPr>
        <w:tab/>
      </w:r>
      <w:r>
        <w:rPr>
          <w:rtl/>
          <w:lang w:eastAsia="en-US"/>
        </w:rPr>
        <w:tab/>
        <w:t>وفي المؤتمر الثالث للجبهة الشعبية لتحرير أريتريا في عام 1994، تم إصدار قرارات بالغة الأهمية تتعلق بحقوق المرأة. ومن بينها نذكر عدداً قليلاً منها:</w:t>
      </w:r>
    </w:p>
    <w:p w:rsidR="00000000" w:rsidRDefault="00000000">
      <w:pPr>
        <w:pStyle w:val="SingleTxt"/>
        <w:ind w:left="1264" w:right="1264"/>
        <w:rPr>
          <w:rtl/>
          <w:lang w:eastAsia="en-US"/>
        </w:rPr>
      </w:pPr>
      <w:r>
        <w:rPr>
          <w:rtl/>
          <w:lang w:eastAsia="en-US"/>
        </w:rPr>
        <w:tab/>
        <w:t>القرار 11 بشأن تعزيز الوضع الاجتماعي للمرأة وينص على ما يلي:</w:t>
      </w:r>
    </w:p>
    <w:p w:rsidR="00000000" w:rsidRDefault="00000000">
      <w:pPr>
        <w:pStyle w:val="SingleTxt"/>
        <w:ind w:left="1264" w:right="1264"/>
        <w:rPr>
          <w:i/>
          <w:iCs/>
          <w:rtl/>
          <w:lang w:eastAsia="en-US"/>
        </w:rPr>
      </w:pPr>
      <w:r>
        <w:rPr>
          <w:i/>
          <w:iCs/>
          <w:rtl/>
          <w:lang w:eastAsia="en-US"/>
        </w:rPr>
        <w:t>1 -</w:t>
      </w:r>
      <w:r>
        <w:rPr>
          <w:i/>
          <w:iCs/>
          <w:rtl/>
          <w:lang w:eastAsia="en-US"/>
        </w:rPr>
        <w:tab/>
        <w:t xml:space="preserve">يعيد المؤتمر تأكيد رفضه القاطع لجميع الأفكار والممارسات التي تضطهد المرأة </w:t>
      </w:r>
      <w:r>
        <w:rPr>
          <w:i/>
          <w:iCs/>
          <w:rtl/>
          <w:lang w:eastAsia="en-US"/>
        </w:rPr>
        <w:tab/>
      </w:r>
      <w:r>
        <w:rPr>
          <w:i/>
          <w:iCs/>
          <w:rtl/>
          <w:lang w:eastAsia="en-US"/>
        </w:rPr>
        <w:tab/>
        <w:t>وتنتقص من قيمتها،</w:t>
      </w:r>
    </w:p>
    <w:p w:rsidR="00000000" w:rsidRDefault="00000000">
      <w:pPr>
        <w:pStyle w:val="SingleTxt"/>
        <w:ind w:left="1264" w:right="1264"/>
        <w:rPr>
          <w:i/>
          <w:iCs/>
          <w:rtl/>
          <w:lang w:eastAsia="en-US"/>
        </w:rPr>
      </w:pPr>
      <w:r>
        <w:rPr>
          <w:i/>
          <w:iCs/>
          <w:rtl/>
          <w:lang w:eastAsia="en-US"/>
        </w:rPr>
        <w:t>2 -</w:t>
      </w:r>
      <w:r>
        <w:rPr>
          <w:i/>
          <w:iCs/>
          <w:rtl/>
          <w:lang w:eastAsia="en-US"/>
        </w:rPr>
        <w:tab/>
        <w:t xml:space="preserve">يعقد المؤتمر العزم على الكفاح من أجل إعداد وتنفيذ برامج لتمكين المرأة من توطيد </w:t>
      </w:r>
      <w:r>
        <w:rPr>
          <w:i/>
          <w:iCs/>
          <w:rtl/>
          <w:lang w:eastAsia="en-US"/>
        </w:rPr>
        <w:tab/>
      </w:r>
      <w:r>
        <w:rPr>
          <w:i/>
          <w:iCs/>
          <w:rtl/>
          <w:lang w:eastAsia="en-US"/>
        </w:rPr>
        <w:tab/>
        <w:t xml:space="preserve">وضعها السياسي والاجتماعي وضمان حريتها الاقتصادية عن طريق تعزيز دورها في </w:t>
      </w:r>
      <w:r>
        <w:rPr>
          <w:i/>
          <w:iCs/>
          <w:rtl/>
          <w:lang w:eastAsia="en-US"/>
        </w:rPr>
        <w:tab/>
      </w:r>
      <w:r>
        <w:rPr>
          <w:i/>
          <w:iCs/>
          <w:rtl/>
          <w:lang w:eastAsia="en-US"/>
        </w:rPr>
        <w:tab/>
        <w:t xml:space="preserve">الإنتاج وتوسيع إمكانية وصولها إلى التعليم والتدريب حتى يمكن أن تصبح ذات </w:t>
      </w:r>
      <w:r>
        <w:rPr>
          <w:i/>
          <w:iCs/>
          <w:rtl/>
          <w:lang w:eastAsia="en-US"/>
        </w:rPr>
        <w:tab/>
      </w:r>
      <w:r>
        <w:rPr>
          <w:i/>
          <w:iCs/>
          <w:rtl/>
          <w:lang w:eastAsia="en-US"/>
        </w:rPr>
        <w:tab/>
        <w:t>اكتفاء ذاتي وأن تعمل على تعظيم مساهمتها.</w:t>
      </w:r>
    </w:p>
    <w:p w:rsidR="00000000" w:rsidRDefault="00000000">
      <w:pPr>
        <w:pStyle w:val="SingleTxt"/>
        <w:ind w:left="1264" w:right="1264"/>
        <w:rPr>
          <w:rtl/>
          <w:lang w:eastAsia="en-US"/>
        </w:rPr>
      </w:pPr>
      <w:r>
        <w:rPr>
          <w:rtl/>
          <w:lang w:eastAsia="en-US"/>
        </w:rPr>
        <w:tab/>
      </w:r>
      <w:r>
        <w:rPr>
          <w:rtl/>
          <w:lang w:eastAsia="en-US"/>
        </w:rPr>
        <w:tab/>
        <w:t>غير أنه لتحقيق المستوى المنشود من المشاركة، لا بُد من إقرار تدابير إيجابية معينة، نظراً لأن القيم والممارسات والاتجاهات التقليدية العميقة الجذور من المرجح أن تعيق أي تقدم يتم تحقيقه نحو المساواة بين الجنسين. وتوافق حكومة أريتريا (على نحو ما هو منصوص عليه في الاتفاقية) على أن الإجراء الإيجابي هو تدبير خاص مؤقت يهدف إلى تسريع المساواة الواقعية بين الرجل والمرأة.</w:t>
      </w:r>
    </w:p>
    <w:p w:rsidR="00000000" w:rsidRDefault="00000000">
      <w:pPr>
        <w:pStyle w:val="SingleTxt"/>
        <w:ind w:left="1264" w:right="1264"/>
        <w:rPr>
          <w:rtl/>
          <w:lang w:eastAsia="en-US"/>
        </w:rPr>
      </w:pPr>
      <w:r>
        <w:rPr>
          <w:rtl/>
          <w:lang w:eastAsia="en-US"/>
        </w:rPr>
        <w:tab/>
      </w:r>
      <w:r>
        <w:rPr>
          <w:rtl/>
          <w:lang w:eastAsia="en-US"/>
        </w:rPr>
        <w:tab/>
        <w:t>ويمكن تصنيف نهج تدابير الإجراء الإيجابي ووصفه عامة بأنه إدراج للمرأة في الهيئات الحكومية الهامة لاتخاذ القرار والإجراءات الإيجابية العامة المستخدمة لتعزيز مشاركة المرأة والفتاة في الجوانب الاجتماعية والاقتصادية والثقافية للمجتمع وعمليات التنمية الشاملة مما يؤدي إلى سد الهوة القائمة بين الجنسين. وعلى سبيل المثال:</w:t>
      </w:r>
    </w:p>
    <w:p w:rsidR="00000000" w:rsidRDefault="00000000">
      <w:pPr>
        <w:pStyle w:val="SingleTxt"/>
        <w:ind w:left="1264" w:right="1264"/>
        <w:rPr>
          <w:rtl/>
          <w:lang w:eastAsia="en-US"/>
        </w:rPr>
      </w:pPr>
      <w:r>
        <w:rPr>
          <w:rtl/>
          <w:lang w:eastAsia="en-US"/>
        </w:rPr>
        <w:t>(1)</w:t>
      </w:r>
      <w:r>
        <w:rPr>
          <w:rtl/>
          <w:lang w:eastAsia="en-US"/>
        </w:rPr>
        <w:tab/>
        <w:t xml:space="preserve">إدخال نظام للحصص سواء في انتخابات مجالس الأقاليم أو البرلمان الوطني. وتحجز </w:t>
      </w:r>
      <w:r>
        <w:rPr>
          <w:rtl/>
          <w:lang w:eastAsia="en-US"/>
        </w:rPr>
        <w:tab/>
      </w:r>
      <w:r>
        <w:rPr>
          <w:rtl/>
          <w:lang w:eastAsia="en-US"/>
        </w:rPr>
        <w:tab/>
        <w:t xml:space="preserve">نسبة 30 في المائة من مقاعد البرلمان الوطني للمرأة. وهكذا تحتل المرأة اليوم 30.5 </w:t>
      </w:r>
      <w:r>
        <w:rPr>
          <w:rtl/>
          <w:lang w:eastAsia="en-US"/>
        </w:rPr>
        <w:tab/>
      </w:r>
      <w:r>
        <w:rPr>
          <w:rtl/>
          <w:lang w:eastAsia="en-US"/>
        </w:rPr>
        <w:tab/>
        <w:t xml:space="preserve">في المائة من المقاعد في المجالس الإقليمية التي جاء 93 في المائة منها من خلال نظام </w:t>
      </w:r>
      <w:r>
        <w:rPr>
          <w:rtl/>
          <w:lang w:eastAsia="en-US"/>
        </w:rPr>
        <w:tab/>
      </w:r>
      <w:r>
        <w:rPr>
          <w:rtl/>
          <w:lang w:eastAsia="en-US"/>
        </w:rPr>
        <w:tab/>
        <w:t>الحصص.</w:t>
      </w:r>
    </w:p>
    <w:p w:rsidR="00000000" w:rsidRDefault="00000000">
      <w:pPr>
        <w:pStyle w:val="SingleTxt"/>
        <w:ind w:left="1264" w:right="1264"/>
        <w:rPr>
          <w:rtl/>
          <w:lang w:eastAsia="en-US"/>
        </w:rPr>
      </w:pPr>
      <w:r>
        <w:rPr>
          <w:rtl/>
          <w:lang w:eastAsia="en-US"/>
        </w:rPr>
        <w:t>(2)</w:t>
      </w:r>
      <w:r>
        <w:rPr>
          <w:rtl/>
          <w:lang w:eastAsia="en-US"/>
        </w:rPr>
        <w:tab/>
        <w:t xml:space="preserve">تخصيص مِنَح نقدية وعينية إلى الآباء في المناطق القاصية الذين سوف يرسلون بناتهم </w:t>
      </w:r>
      <w:r>
        <w:rPr>
          <w:rtl/>
          <w:lang w:eastAsia="en-US"/>
        </w:rPr>
        <w:tab/>
      </w:r>
      <w:r>
        <w:rPr>
          <w:rtl/>
          <w:lang w:eastAsia="en-US"/>
        </w:rPr>
        <w:tab/>
        <w:t>إلى المدارس الابتدائية.</w:t>
      </w:r>
    </w:p>
    <w:p w:rsidR="00000000" w:rsidRDefault="00000000">
      <w:pPr>
        <w:pStyle w:val="SingleTxt"/>
        <w:ind w:left="1264" w:right="1264"/>
        <w:rPr>
          <w:rtl/>
          <w:lang w:eastAsia="en-US"/>
        </w:rPr>
      </w:pPr>
      <w:r>
        <w:rPr>
          <w:rtl/>
          <w:lang w:eastAsia="en-US"/>
        </w:rPr>
        <w:t>(3)</w:t>
      </w:r>
      <w:r>
        <w:rPr>
          <w:rtl/>
          <w:lang w:eastAsia="en-US"/>
        </w:rPr>
        <w:tab/>
        <w:t xml:space="preserve">سوف تمنح أموال إلى جميع مشاريع التنمية المقترحة من جانب المجتمع إذا تم فقط </w:t>
      </w:r>
      <w:r>
        <w:rPr>
          <w:rtl/>
          <w:lang w:eastAsia="en-US"/>
        </w:rPr>
        <w:tab/>
      </w:r>
      <w:r>
        <w:rPr>
          <w:rtl/>
          <w:lang w:eastAsia="en-US"/>
        </w:rPr>
        <w:tab/>
        <w:t xml:space="preserve">إدراج مصلحة المرأة ومشاركتها بشكل صريح، أي لا بُد أن تكون نسبة 50 في </w:t>
      </w:r>
      <w:r>
        <w:rPr>
          <w:rtl/>
          <w:lang w:eastAsia="en-US"/>
        </w:rPr>
        <w:tab/>
      </w:r>
      <w:r>
        <w:rPr>
          <w:rtl/>
          <w:lang w:eastAsia="en-US"/>
        </w:rPr>
        <w:tab/>
        <w:t>المائة من المستفيدين من النساء.</w:t>
      </w:r>
    </w:p>
    <w:p w:rsidR="00000000" w:rsidRDefault="00000000">
      <w:pPr>
        <w:pStyle w:val="SingleTxt"/>
        <w:ind w:left="1264" w:right="1264"/>
        <w:rPr>
          <w:rtl/>
          <w:lang w:eastAsia="en-US"/>
        </w:rPr>
      </w:pPr>
      <w:r>
        <w:rPr>
          <w:rtl/>
          <w:lang w:eastAsia="en-US"/>
        </w:rPr>
        <w:t>(4)</w:t>
      </w:r>
      <w:r>
        <w:rPr>
          <w:rtl/>
          <w:lang w:eastAsia="en-US"/>
        </w:rPr>
        <w:tab/>
        <w:t>ينبغي للجان حيازة الأرض وغير ذلك من مبادرات التنمية الريفية أن تشمل المرأة.</w:t>
      </w:r>
    </w:p>
    <w:p w:rsidR="00000000" w:rsidRDefault="00000000">
      <w:pPr>
        <w:pStyle w:val="SingleTxt"/>
        <w:ind w:left="1264" w:right="1264"/>
        <w:rPr>
          <w:rtl/>
          <w:lang w:eastAsia="en-US"/>
        </w:rPr>
      </w:pPr>
      <w:r>
        <w:rPr>
          <w:rtl/>
          <w:lang w:eastAsia="en-US"/>
        </w:rPr>
        <w:t>(5)</w:t>
      </w:r>
      <w:r>
        <w:rPr>
          <w:rtl/>
          <w:lang w:eastAsia="en-US"/>
        </w:rPr>
        <w:tab/>
        <w:t xml:space="preserve">تنظم خصيصاً للمرأة دورات للتدريب التقني والمهني الموجَّة للعمالة لكفالة مشاركة </w:t>
      </w:r>
      <w:r>
        <w:rPr>
          <w:rtl/>
          <w:lang w:eastAsia="en-US"/>
        </w:rPr>
        <w:tab/>
      </w:r>
      <w:r>
        <w:rPr>
          <w:rtl/>
          <w:lang w:eastAsia="en-US"/>
        </w:rPr>
        <w:tab/>
        <w:t>المرأة في الوظائف غير التقليدية.</w:t>
      </w:r>
    </w:p>
    <w:p w:rsidR="00000000" w:rsidRDefault="00000000">
      <w:pPr>
        <w:pStyle w:val="SingleTxt"/>
        <w:ind w:left="1264" w:right="1264"/>
        <w:rPr>
          <w:rtl/>
          <w:lang w:eastAsia="en-US"/>
        </w:rPr>
      </w:pPr>
      <w:r>
        <w:rPr>
          <w:rtl/>
          <w:lang w:eastAsia="en-US"/>
        </w:rPr>
        <w:t>(6)</w:t>
      </w:r>
      <w:r>
        <w:rPr>
          <w:rtl/>
          <w:lang w:eastAsia="en-US"/>
        </w:rPr>
        <w:tab/>
        <w:t xml:space="preserve">الحفاظ على التوازن بين الجنسين وتشجيع الفتيات على المشاركة في التعليم العالي، </w:t>
      </w:r>
      <w:r>
        <w:rPr>
          <w:rtl/>
          <w:lang w:eastAsia="en-US"/>
        </w:rPr>
        <w:tab/>
      </w:r>
      <w:r>
        <w:rPr>
          <w:rtl/>
          <w:lang w:eastAsia="en-US"/>
        </w:rPr>
        <w:tab/>
        <w:t xml:space="preserve">والأخذ بدرجات أدنى بشكل طفيف للالتحاق (إذا كانت درجتان للفتى فإن للفتاة </w:t>
      </w:r>
      <w:r>
        <w:rPr>
          <w:rtl/>
          <w:lang w:eastAsia="en-US"/>
        </w:rPr>
        <w:tab/>
      </w:r>
      <w:r>
        <w:rPr>
          <w:rtl/>
          <w:lang w:eastAsia="en-US"/>
        </w:rPr>
        <w:tab/>
        <w:t>1.8 درجة على سبيل المثال بالجامعة ومدارس التمريض والمدارس التقنية.</w:t>
      </w:r>
    </w:p>
    <w:p w:rsidR="00000000" w:rsidRDefault="00000000">
      <w:pPr>
        <w:pStyle w:val="SingleTxt"/>
        <w:ind w:left="1264" w:right="1264"/>
        <w:rPr>
          <w:rtl/>
          <w:lang w:eastAsia="en-US"/>
        </w:rPr>
      </w:pPr>
      <w:r>
        <w:rPr>
          <w:rtl/>
          <w:lang w:eastAsia="en-US"/>
        </w:rPr>
        <w:t>(7)</w:t>
      </w:r>
      <w:r>
        <w:rPr>
          <w:rtl/>
          <w:lang w:eastAsia="en-US"/>
        </w:rPr>
        <w:tab/>
        <w:t>تقوم جميع الاتحادات الرياضية بحجز مقاعد للمرأة، إلخ.</w:t>
      </w:r>
    </w:p>
    <w:p w:rsidR="00000000" w:rsidRDefault="00000000">
      <w:pPr>
        <w:pStyle w:val="SingleTxt"/>
        <w:ind w:left="1264" w:right="1264"/>
        <w:rPr>
          <w:rtl/>
          <w:lang w:eastAsia="en-US"/>
        </w:rPr>
      </w:pPr>
      <w:r>
        <w:rPr>
          <w:rtl/>
          <w:lang w:eastAsia="en-US"/>
        </w:rPr>
        <w:tab/>
      </w:r>
      <w:r>
        <w:rPr>
          <w:rtl/>
          <w:lang w:eastAsia="en-US"/>
        </w:rPr>
        <w:tab/>
        <w:t xml:space="preserve">وينبغي أيضاً إيلاء اهتمام خــاص إلى تنميـــة نهج التوعية بنوع الجنس وإدراج اهتمامات المرأة في رسم السياسات وتنفيذ البرامج. وعلى سبيل المثال، أخذت وزارة التعليم بنظام فصول التدريب حسب نوع الجنس بالنسبة لجميع نُظَّار المدارس والمدرسين وغيرهم من موظفي التعليم لتوسيع آفاقهم وتوعيتهم بمسائل نوع الجنس في إطار تعزيز تعليم </w:t>
      </w:r>
      <w:r>
        <w:rPr>
          <w:rtl/>
          <w:lang w:eastAsia="en-US"/>
        </w:rPr>
        <w:tab/>
        <w:t xml:space="preserve">البنات وتمكينهن من سهولة تحديد وتجنُّب الاتجاهات والممارسات الاجتماعية </w:t>
      </w:r>
      <w:r>
        <w:rPr>
          <w:rtl/>
          <w:lang w:eastAsia="en-US"/>
        </w:rPr>
        <w:tab/>
        <w:t>التمييزية. ومن الطبيعي أن ذلك لا يصدق على جميع القطاعات الحكومية.</w:t>
      </w:r>
    </w:p>
    <w:p w:rsidR="00000000" w:rsidRDefault="00000000">
      <w:pPr>
        <w:pStyle w:val="SingleTxt"/>
        <w:ind w:left="1264" w:right="1264"/>
        <w:rPr>
          <w:rtl/>
          <w:lang w:eastAsia="en-US"/>
        </w:rPr>
      </w:pPr>
      <w:r>
        <w:rPr>
          <w:rtl/>
          <w:lang w:eastAsia="en-US"/>
        </w:rPr>
        <w:tab/>
      </w:r>
      <w:r>
        <w:rPr>
          <w:rtl/>
          <w:lang w:eastAsia="en-US"/>
        </w:rPr>
        <w:tab/>
        <w:t>وتحقيقاً لهذا الهدف فإن الإطار الشامل للسياسة الوطنية المتعلقة بنوع الجنس وما يقابله من خطة عمل تشمل جميع القطاعات والمؤسسات توقعاً لتنفيذ تعميم مراعاة المنظور الجنساني من خلال إجراءات إيجابية بحيث يشكل مهمة هامة تخطط حكومة دولة أريتريا للقيام بها بالكامل.</w:t>
      </w:r>
    </w:p>
    <w:p w:rsidR="00000000" w:rsidRDefault="00000000">
      <w:pPr>
        <w:pStyle w:val="SingleTxt"/>
        <w:ind w:left="1264" w:right="1264"/>
        <w:rPr>
          <w:rtl/>
          <w:lang w:eastAsia="en-US"/>
        </w:rPr>
      </w:pPr>
      <w:r>
        <w:rPr>
          <w:b/>
          <w:bCs/>
          <w:rtl/>
          <w:lang w:eastAsia="en-US"/>
        </w:rPr>
        <w:t>المادة 5: تدابير بشأن الأدوار النمطية للجنسين</w:t>
      </w:r>
    </w:p>
    <w:p w:rsidR="00000000" w:rsidRDefault="00000000">
      <w:pPr>
        <w:pStyle w:val="SingleTxt"/>
        <w:ind w:left="1264" w:right="1264"/>
        <w:rPr>
          <w:rtl/>
          <w:lang w:eastAsia="en-US"/>
        </w:rPr>
      </w:pPr>
      <w:r>
        <w:rPr>
          <w:rtl/>
          <w:lang w:eastAsia="en-US"/>
        </w:rPr>
        <w:tab/>
      </w:r>
      <w:r>
        <w:rPr>
          <w:rtl/>
          <w:lang w:eastAsia="en-US"/>
        </w:rPr>
        <w:tab/>
        <w:t>تعتبر المرأة من الناحية التقليدية عضواً تكميلياً وليس حيوياً في الأسرة. وتتعزز سيطرة الرجل على المرأة بالحوافز الدينية والتقليدية المكرَّسة بقوة في القوانين العرفية والمحرمات. وتوجد أساطير وأمثلة معينة تقوم بدور سيكلوجي كبير في توجيه وتشكيل الأدوار النمطية الجارية للمرأة في المجتمع. نذكر منها ما يلي:</w:t>
      </w:r>
    </w:p>
    <w:p w:rsidR="00000000" w:rsidRDefault="00000000">
      <w:pPr>
        <w:pStyle w:val="SingleTxt"/>
        <w:ind w:left="1264" w:right="1264"/>
        <w:rPr>
          <w:rtl/>
          <w:lang w:eastAsia="en-US"/>
        </w:rPr>
      </w:pPr>
      <w:r>
        <w:rPr>
          <w:rtl/>
          <w:lang w:eastAsia="en-US"/>
        </w:rPr>
        <w:tab/>
      </w:r>
      <w:r>
        <w:rPr>
          <w:rtl/>
          <w:lang w:eastAsia="en-US"/>
        </w:rPr>
        <w:tab/>
        <w:t>”</w:t>
      </w:r>
      <w:r>
        <w:rPr>
          <w:i/>
          <w:iCs/>
          <w:rtl/>
          <w:lang w:eastAsia="en-US"/>
        </w:rPr>
        <w:t>كما أن الحمير ليس لها قرون فإن المرأة ليس لها قلب</w:t>
      </w:r>
      <w:r>
        <w:rPr>
          <w:rtl/>
          <w:lang w:eastAsia="en-US"/>
        </w:rPr>
        <w:t>“</w:t>
      </w:r>
    </w:p>
    <w:p w:rsidR="00000000" w:rsidRDefault="00000000">
      <w:pPr>
        <w:pStyle w:val="SingleTxt"/>
        <w:ind w:left="1264" w:right="1264"/>
        <w:rPr>
          <w:rtl/>
          <w:lang w:eastAsia="en-US"/>
        </w:rPr>
      </w:pPr>
      <w:r>
        <w:rPr>
          <w:rtl/>
          <w:lang w:eastAsia="en-US"/>
        </w:rPr>
        <w:tab/>
      </w:r>
      <w:r>
        <w:rPr>
          <w:rtl/>
          <w:lang w:eastAsia="en-US"/>
        </w:rPr>
        <w:tab/>
        <w:t>بمعنى أن المرأة تفتقر إلى الحكمة وليس لديها أي شعور بالحصافة. ويمثل ذلك واحداً من الأمثلة السائدة في أريتريا التقليدية التي ترسخت في المجتمع عبر الأجيال. وقد شجع ذلك ويواصل تشجيع الأعضاء الذكور في الأسرة على أن يكونوا هم من يتخذون القرار ويقومون بأدوار أعلى في حين تظل المرأة متدنية ومهمَّشة، وتقتصر عن عمد على أداء الواجبات المنـزلية.</w:t>
      </w:r>
    </w:p>
    <w:p w:rsidR="00000000" w:rsidRDefault="00000000">
      <w:pPr>
        <w:pStyle w:val="SingleTxt"/>
        <w:ind w:left="1264" w:right="1264"/>
        <w:rPr>
          <w:rtl/>
          <w:lang w:eastAsia="en-US"/>
        </w:rPr>
      </w:pPr>
      <w:r>
        <w:rPr>
          <w:rtl/>
          <w:lang w:eastAsia="en-US"/>
        </w:rPr>
        <w:tab/>
      </w:r>
      <w:r>
        <w:rPr>
          <w:rtl/>
          <w:lang w:eastAsia="en-US"/>
        </w:rPr>
        <w:tab/>
        <w:t xml:space="preserve">”عندما يولد طفل ذكر تنطلق الزغاريد سبع مرات وعندما تولد طفلة أنثى تنطلق </w:t>
      </w:r>
      <w:r>
        <w:rPr>
          <w:rtl/>
          <w:lang w:eastAsia="en-US"/>
        </w:rPr>
        <w:tab/>
        <w:t>الزغاريد ثلاث مرات“، بمعنى أن الطفلة الأنثى تعتبر مجرد التزام على الأسرة. ويتم امتداح أم الطفل الذكر اجتماعياً في حين يتم رفض أم الطفلة الأنثى وإهمالها. ومن ثم يتم تهميش الفتاة والتمييز ضدها عندما تبدأ في الانضمام إلى مجتمعها ابتداءً من يوم مولدها.</w:t>
      </w:r>
    </w:p>
    <w:p w:rsidR="00000000" w:rsidRDefault="00000000">
      <w:pPr>
        <w:pStyle w:val="SingleTxt"/>
        <w:ind w:left="1264" w:right="1264"/>
        <w:rPr>
          <w:rtl/>
          <w:lang w:eastAsia="en-US"/>
        </w:rPr>
      </w:pPr>
      <w:r>
        <w:rPr>
          <w:rtl/>
          <w:lang w:eastAsia="en-US"/>
        </w:rPr>
        <w:tab/>
      </w:r>
      <w:r>
        <w:rPr>
          <w:rtl/>
          <w:lang w:eastAsia="en-US"/>
        </w:rPr>
        <w:tab/>
        <w:t>وتنشأ المرأة وكذلك الفتاة تكتنفها الكثير من التقييدات: إذا لا يسمح لها بالمشاركة فيما يسمى ”بأدوار الذكر“، بمعنى أن لن تكون أبداً من رؤساء القبيلة في القرية ولا تنضم أبداً إلى التجمعات الاجتماعية، ولا تتلقى سوى القليل من التعليم أو لا تتلقى أي تعليم، ولا يسمح لها بالقفز أو الضحك العالي، وتمنع من حضور محاكم القرية (ولا يمكن أن يمثلها سوى قريب من الذكور)، إلخ. وكل ذلك من شأنه المساهمة في تشكيل الوضع الأنثوي المتدني القائم في المجتمع الأريتري اليوم.</w:t>
      </w:r>
    </w:p>
    <w:p w:rsidR="00000000" w:rsidRDefault="00000000">
      <w:pPr>
        <w:pStyle w:val="SingleTxt"/>
        <w:ind w:left="1264" w:right="1264"/>
        <w:rPr>
          <w:rtl/>
          <w:lang w:eastAsia="en-US"/>
        </w:rPr>
      </w:pPr>
      <w:r>
        <w:rPr>
          <w:rtl/>
          <w:lang w:eastAsia="en-US"/>
        </w:rPr>
        <w:tab/>
      </w:r>
      <w:r>
        <w:rPr>
          <w:rtl/>
          <w:lang w:eastAsia="en-US"/>
        </w:rPr>
        <w:tab/>
        <w:t>وقد بذلت قوات تحرير الشعب الأريتري جهوداً ضخمة خلال كفاح التحرر الوطني (في وقت مبكر يعود إلى عام 1977) لكسر جميع هذه الحواجز التقليدية والقضاء على التمييزات الاجتماعية والتشجيع على القيام بأدوار جديدة للمرأة. وقد بدأ في الحقيقية ظهور مفهوم الوضع المتساوي للمرأة والرجل.</w:t>
      </w:r>
    </w:p>
    <w:p w:rsidR="00000000" w:rsidRDefault="00000000">
      <w:pPr>
        <w:pStyle w:val="SingleTxt"/>
        <w:ind w:left="1264" w:right="1264"/>
        <w:rPr>
          <w:rtl/>
          <w:lang w:eastAsia="en-US"/>
        </w:rPr>
      </w:pPr>
      <w:r>
        <w:rPr>
          <w:rtl/>
          <w:lang w:eastAsia="en-US"/>
        </w:rPr>
        <w:tab/>
      </w:r>
      <w:r>
        <w:rPr>
          <w:rtl/>
          <w:lang w:eastAsia="en-US"/>
        </w:rPr>
        <w:tab/>
        <w:t>وقد سمح للمرأة الأريترية، لأول مرة في تاريخها بالانضمام إلى حركة التحرير وحمل السلاح والقتال جنباً إلى جنب أقرانها الذكور، وتنظيم نفسها في المنظمات النسائية، والاشتراك في الانتخابات الديمقراطية لمجالس القرى وأن تصبح من القائمين باتخاذ القرار داخل مجتمعاتها، وامتلاك الأرض في النظام الجديد لحيازة الأرض، والاشتراك في المدارس القروية، والمشاركة في حملات محو أمية النساء، إلخ. وقد أدى هذا الإجراء الثوري إلى إحداث تغيير كبير في الدور التقليدي للمرأة وعزَّز من وضعها المتساوي في المجتمع الأريتري مما مهَّد الطريق إلى المساواة في إمكانيات الوصول والفرص في الحياة.</w:t>
      </w:r>
    </w:p>
    <w:p w:rsidR="00000000" w:rsidRDefault="00000000">
      <w:pPr>
        <w:pStyle w:val="SingleTxt"/>
        <w:ind w:left="1264" w:right="1264"/>
        <w:rPr>
          <w:i/>
          <w:iCs/>
          <w:rtl/>
          <w:lang w:eastAsia="en-US"/>
        </w:rPr>
      </w:pPr>
      <w:r>
        <w:rPr>
          <w:b/>
          <w:bCs/>
          <w:i/>
          <w:iCs/>
          <w:rtl/>
          <w:lang w:eastAsia="en-US"/>
        </w:rPr>
        <w:t>الاتحاد الوطني للنساء الأريتريات</w:t>
      </w:r>
    </w:p>
    <w:p w:rsidR="00000000" w:rsidRDefault="00000000">
      <w:pPr>
        <w:pStyle w:val="SingleTxt"/>
        <w:ind w:left="1264" w:right="1264"/>
        <w:rPr>
          <w:rtl/>
          <w:lang w:eastAsia="en-US"/>
        </w:rPr>
      </w:pPr>
      <w:r>
        <w:rPr>
          <w:rtl/>
          <w:lang w:eastAsia="en-US"/>
        </w:rPr>
        <w:tab/>
      </w:r>
      <w:r>
        <w:rPr>
          <w:rtl/>
          <w:lang w:eastAsia="en-US"/>
        </w:rPr>
        <w:tab/>
        <w:t>تأسس الاتحاد الوطني للنساء الأريتريات باعتباره منظمة جماهيرية للمرأة ضمن مجهود لتنظيم وتعزيز دور المرأة الأريترية ومشاركتها، وكان يمثل خطوة كبرى نحو جهود تحرير المرأة. وبعد مؤتمرها التأسيسي في عام 1979 مباشرة، اتسعت بشكل كبير عضويته وشبكته داخل أريتريا وخارجها وأصبح يضم النساء من مختلف الخلفيات الاجتماعية. ومن خلال هذه المنظمة تعززت مشاركة المرأة في الكفاح المسلَّح من أجل الاستقلال وتم إرساء أساس متين لتكافؤ الفرص ومشاركة المرأة في جميع مشارب الحياة.</w:t>
      </w:r>
    </w:p>
    <w:p w:rsidR="00000000" w:rsidRDefault="00000000">
      <w:pPr>
        <w:pStyle w:val="SingleTxt"/>
        <w:ind w:left="1264" w:right="1264"/>
        <w:rPr>
          <w:rtl/>
          <w:lang w:eastAsia="en-US"/>
        </w:rPr>
      </w:pPr>
      <w:r>
        <w:rPr>
          <w:rtl/>
          <w:lang w:eastAsia="en-US"/>
        </w:rPr>
        <w:tab/>
      </w:r>
      <w:r>
        <w:rPr>
          <w:rtl/>
          <w:lang w:eastAsia="en-US"/>
        </w:rPr>
        <w:tab/>
        <w:t>وتتمثل مهمة الاتحاد الوطني للنساء الأريتريات في ضمان أن تقف المرأة واثقة من أجل حقوقها وأن تشترك بالتساوي في المجالات الاقتصادية والاجتماعية والثقافية للبلد وأن تتقاسم المنافع.</w:t>
      </w:r>
    </w:p>
    <w:p w:rsidR="00000000" w:rsidRDefault="00000000">
      <w:pPr>
        <w:pStyle w:val="SingleTxt"/>
        <w:ind w:left="1264" w:right="1264"/>
        <w:rPr>
          <w:rtl/>
          <w:lang w:eastAsia="en-US"/>
        </w:rPr>
      </w:pPr>
      <w:r>
        <w:rPr>
          <w:rtl/>
          <w:lang w:eastAsia="en-US"/>
        </w:rPr>
        <w:tab/>
        <w:t>والهدف هو</w:t>
      </w:r>
    </w:p>
    <w:p w:rsidR="00000000" w:rsidRDefault="00000000">
      <w:pPr>
        <w:pStyle w:val="SingleTxt"/>
        <w:ind w:left="1264" w:right="1264"/>
        <w:rPr>
          <w:rtl/>
          <w:lang w:eastAsia="en-US"/>
        </w:rPr>
      </w:pPr>
      <w:r>
        <w:rPr>
          <w:rtl/>
          <w:lang w:eastAsia="en-US"/>
        </w:rPr>
        <w:t>1 -</w:t>
      </w:r>
      <w:r>
        <w:rPr>
          <w:rtl/>
          <w:lang w:eastAsia="en-US"/>
        </w:rPr>
        <w:tab/>
        <w:t>القضاء على جميع أشكال التمييز ضد المرأة</w:t>
      </w:r>
    </w:p>
    <w:p w:rsidR="00000000" w:rsidRDefault="00000000">
      <w:pPr>
        <w:pStyle w:val="SingleTxt"/>
        <w:ind w:left="1264" w:right="1264"/>
        <w:rPr>
          <w:rtl/>
          <w:lang w:eastAsia="en-US"/>
        </w:rPr>
      </w:pPr>
      <w:r>
        <w:rPr>
          <w:rtl/>
          <w:lang w:eastAsia="en-US"/>
        </w:rPr>
        <w:t>2 -</w:t>
      </w:r>
      <w:r>
        <w:rPr>
          <w:rtl/>
          <w:lang w:eastAsia="en-US"/>
        </w:rPr>
        <w:tab/>
        <w:t>تهيئة بيئة تؤدي إلى المشاركة الفعالة والهامة للمرأة في جميع قطاعات التنمية الوطنية</w:t>
      </w:r>
    </w:p>
    <w:p w:rsidR="00000000" w:rsidRDefault="00000000">
      <w:pPr>
        <w:pStyle w:val="SingleTxt"/>
        <w:ind w:left="1264" w:right="1264"/>
        <w:rPr>
          <w:rtl/>
          <w:lang w:eastAsia="en-US"/>
        </w:rPr>
      </w:pPr>
      <w:r>
        <w:rPr>
          <w:rtl/>
          <w:lang w:eastAsia="en-US"/>
        </w:rPr>
        <w:t>3 -</w:t>
      </w:r>
      <w:r>
        <w:rPr>
          <w:rtl/>
          <w:lang w:eastAsia="en-US"/>
        </w:rPr>
        <w:tab/>
        <w:t>تعزيز نوعية حياة المرأة والمجتمع المحلي ككل</w:t>
      </w:r>
    </w:p>
    <w:p w:rsidR="00000000" w:rsidRDefault="00000000">
      <w:pPr>
        <w:pStyle w:val="SingleTxt"/>
        <w:ind w:left="1264" w:right="1264"/>
        <w:rPr>
          <w:rtl/>
          <w:lang w:eastAsia="en-US"/>
        </w:rPr>
      </w:pPr>
      <w:r>
        <w:rPr>
          <w:rtl/>
          <w:lang w:eastAsia="en-US"/>
        </w:rPr>
        <w:t>4 -</w:t>
      </w:r>
      <w:r>
        <w:rPr>
          <w:rtl/>
          <w:lang w:eastAsia="en-US"/>
        </w:rPr>
        <w:tab/>
        <w:t>إذكاء وتعزيز الوعي بنوع الجنس بالنسبة للمرأة والمجتمع ككل</w:t>
      </w:r>
    </w:p>
    <w:p w:rsidR="00000000" w:rsidRDefault="00000000">
      <w:pPr>
        <w:pStyle w:val="SingleTxt"/>
        <w:ind w:left="1264" w:right="1264"/>
        <w:rPr>
          <w:rtl/>
          <w:lang w:eastAsia="en-US"/>
        </w:rPr>
      </w:pPr>
      <w:r>
        <w:rPr>
          <w:rtl/>
          <w:lang w:eastAsia="en-US"/>
        </w:rPr>
        <w:t>5 -</w:t>
      </w:r>
      <w:r>
        <w:rPr>
          <w:rtl/>
          <w:lang w:eastAsia="en-US"/>
        </w:rPr>
        <w:tab/>
        <w:t>القضاء على الأمية بين النساء وتوفير التدريب على المهارات</w:t>
      </w:r>
    </w:p>
    <w:p w:rsidR="00000000" w:rsidRDefault="00000000">
      <w:pPr>
        <w:pStyle w:val="SingleTxt"/>
        <w:ind w:left="1264" w:right="1264"/>
        <w:rPr>
          <w:rtl/>
          <w:lang w:eastAsia="en-US"/>
        </w:rPr>
      </w:pPr>
      <w:r>
        <w:rPr>
          <w:rtl/>
          <w:lang w:eastAsia="en-US"/>
        </w:rPr>
        <w:t>6 -</w:t>
      </w:r>
      <w:r>
        <w:rPr>
          <w:rtl/>
          <w:lang w:eastAsia="en-US"/>
        </w:rPr>
        <w:tab/>
        <w:t>بناء القدرة المؤسسية للاتحاد الوطني للنساء الأريتريات</w:t>
      </w:r>
    </w:p>
    <w:p w:rsidR="00000000" w:rsidRDefault="00000000">
      <w:pPr>
        <w:pStyle w:val="SingleTxt"/>
        <w:ind w:left="1264" w:right="1264"/>
        <w:rPr>
          <w:rtl/>
          <w:lang w:eastAsia="en-US"/>
        </w:rPr>
      </w:pPr>
      <w:r>
        <w:rPr>
          <w:rtl/>
          <w:lang w:eastAsia="en-US"/>
        </w:rPr>
        <w:t>7 -</w:t>
      </w:r>
      <w:r>
        <w:rPr>
          <w:rtl/>
          <w:lang w:eastAsia="en-US"/>
        </w:rPr>
        <w:tab/>
        <w:t>ضمان وزيادة مشاركة المرأة في اتخاذ القرار وفي القيادة السياسية</w:t>
      </w:r>
    </w:p>
    <w:p w:rsidR="00000000" w:rsidRDefault="00000000">
      <w:pPr>
        <w:pStyle w:val="SingleTxt"/>
        <w:ind w:left="1264" w:right="1264"/>
        <w:rPr>
          <w:rtl/>
          <w:lang w:eastAsia="en-US"/>
        </w:rPr>
      </w:pPr>
      <w:r>
        <w:rPr>
          <w:rtl/>
          <w:lang w:eastAsia="en-US"/>
        </w:rPr>
        <w:t>8 -</w:t>
      </w:r>
      <w:r>
        <w:rPr>
          <w:rtl/>
          <w:lang w:eastAsia="en-US"/>
        </w:rPr>
        <w:tab/>
        <w:t>تحسين صحة المرأة ومحاربة الممارسات التقليدية الضارة</w:t>
      </w:r>
    </w:p>
    <w:p w:rsidR="00000000" w:rsidRDefault="00000000">
      <w:pPr>
        <w:pStyle w:val="SingleTxt"/>
        <w:ind w:left="1264" w:right="1264"/>
        <w:rPr>
          <w:rtl/>
          <w:lang w:eastAsia="en-US"/>
        </w:rPr>
      </w:pPr>
      <w:r>
        <w:rPr>
          <w:rtl/>
          <w:lang w:eastAsia="en-US"/>
        </w:rPr>
        <w:t>9 -</w:t>
      </w:r>
      <w:r>
        <w:rPr>
          <w:rtl/>
          <w:lang w:eastAsia="en-US"/>
        </w:rPr>
        <w:tab/>
        <w:t xml:space="preserve">السعي من أجل توفر قوة عمل منتجة وخلاَّقة بالنسبة للمرأة مما يمكنها من أن تقوم </w:t>
      </w:r>
      <w:r>
        <w:rPr>
          <w:rtl/>
          <w:lang w:eastAsia="en-US"/>
        </w:rPr>
        <w:tab/>
      </w:r>
      <w:r>
        <w:rPr>
          <w:rtl/>
          <w:lang w:eastAsia="en-US"/>
        </w:rPr>
        <w:tab/>
        <w:t>بدور حاسم في الاقتصاد الوطني</w:t>
      </w:r>
    </w:p>
    <w:p w:rsidR="00000000" w:rsidRDefault="00000000">
      <w:pPr>
        <w:pStyle w:val="SingleTxt"/>
        <w:ind w:left="1264" w:right="1264"/>
        <w:rPr>
          <w:rtl/>
          <w:lang w:eastAsia="en-US"/>
        </w:rPr>
      </w:pPr>
      <w:r>
        <w:rPr>
          <w:rtl/>
          <w:lang w:eastAsia="en-US"/>
        </w:rPr>
        <w:t>10 -</w:t>
      </w:r>
      <w:r>
        <w:rPr>
          <w:rtl/>
          <w:lang w:eastAsia="en-US"/>
        </w:rPr>
        <w:tab/>
        <w:t>إجراء أبحاث بشأن قضايا المرأة ونشر معلومات ذات صلة</w:t>
      </w:r>
    </w:p>
    <w:p w:rsidR="00000000" w:rsidRDefault="00000000">
      <w:pPr>
        <w:pStyle w:val="SingleTxt"/>
        <w:ind w:left="1264" w:right="1264"/>
        <w:rPr>
          <w:rtl/>
          <w:lang w:eastAsia="en-US"/>
        </w:rPr>
      </w:pPr>
      <w:r>
        <w:rPr>
          <w:rtl/>
          <w:lang w:eastAsia="en-US"/>
        </w:rPr>
        <w:t>11 -</w:t>
      </w:r>
      <w:r>
        <w:rPr>
          <w:rtl/>
          <w:lang w:eastAsia="en-US"/>
        </w:rPr>
        <w:tab/>
        <w:t>تعزيز الحقوق القانونية للمرأة</w:t>
      </w:r>
    </w:p>
    <w:p w:rsidR="00000000" w:rsidRDefault="00000000">
      <w:pPr>
        <w:pStyle w:val="SingleTxt"/>
        <w:ind w:left="1264" w:right="1264"/>
        <w:rPr>
          <w:rtl/>
          <w:lang w:eastAsia="en-US"/>
        </w:rPr>
      </w:pPr>
      <w:r>
        <w:rPr>
          <w:rtl/>
          <w:lang w:eastAsia="en-US"/>
        </w:rPr>
        <w:t>12 -</w:t>
      </w:r>
      <w:r>
        <w:rPr>
          <w:rtl/>
          <w:lang w:eastAsia="en-US"/>
        </w:rPr>
        <w:tab/>
        <w:t>السعي إلى تخفيف وتطبيع الأعمال الشاقة المنـزلية.</w:t>
      </w:r>
    </w:p>
    <w:p w:rsidR="00000000" w:rsidRDefault="00000000">
      <w:pPr>
        <w:pStyle w:val="SingleTxt"/>
        <w:ind w:left="1264" w:right="1264"/>
        <w:rPr>
          <w:rtl/>
          <w:lang w:eastAsia="en-US"/>
        </w:rPr>
      </w:pPr>
      <w:r>
        <w:rPr>
          <w:rtl/>
          <w:lang w:eastAsia="en-US"/>
        </w:rPr>
        <w:tab/>
      </w:r>
      <w:r>
        <w:rPr>
          <w:rtl/>
          <w:lang w:eastAsia="en-US"/>
        </w:rPr>
        <w:tab/>
        <w:t>ومن أجل أن يحقق الاتحاد الوطني للنساء الأريتريات أهدافه وغاياته، بادر بتنفيذ الكثير من المشروعات والبرامج التي تسهم على نطاق واسع في تغيير وضع المرأة في الشؤون الاجتماعية والسياسية والاقتصادية والقانونية.</w:t>
      </w:r>
    </w:p>
    <w:p w:rsidR="00000000" w:rsidRDefault="00000000">
      <w:pPr>
        <w:pStyle w:val="SingleTxt"/>
        <w:ind w:left="1264" w:right="1264"/>
        <w:rPr>
          <w:rtl/>
          <w:lang w:eastAsia="en-US"/>
        </w:rPr>
      </w:pPr>
      <w:r>
        <w:rPr>
          <w:rtl/>
          <w:lang w:eastAsia="en-US"/>
        </w:rPr>
        <w:tab/>
      </w:r>
      <w:r>
        <w:rPr>
          <w:rtl/>
          <w:lang w:eastAsia="en-US"/>
        </w:rPr>
        <w:tab/>
        <w:t>غير أن الاتحاد بحاجة إلى تمكينه هيكلياً من القيام بدور واسع في رصد أنشطة تعميم مراعاة المنظور الجنساني الفعالة داخل القطاعات الحكومية والوكالات الأخرى.</w:t>
      </w:r>
    </w:p>
    <w:p w:rsidR="00000000" w:rsidRDefault="00000000">
      <w:pPr>
        <w:pStyle w:val="SingleTxt"/>
        <w:ind w:left="1264" w:right="1264"/>
        <w:rPr>
          <w:rtl/>
          <w:lang w:eastAsia="en-US"/>
        </w:rPr>
      </w:pPr>
      <w:r>
        <w:rPr>
          <w:rtl/>
          <w:lang w:eastAsia="en-US"/>
        </w:rPr>
        <w:tab/>
      </w:r>
      <w:r>
        <w:rPr>
          <w:rtl/>
          <w:lang w:eastAsia="en-US"/>
        </w:rPr>
        <w:tab/>
        <w:t>وإذا أخذنا في الحسبان أن كفالة حق المرأة ليس مسؤولية تقتصر على المرأة ومنظماتها وحدها، بل أن الكيانات الحكومية وغير الحكومية الأخرى تساهم أيضاً بمدخلاتها نحو خطط تنمية المرأة.</w:t>
      </w:r>
    </w:p>
    <w:p w:rsidR="00000000" w:rsidRDefault="00000000">
      <w:pPr>
        <w:pStyle w:val="SingleTxt"/>
        <w:ind w:left="1264" w:right="1264"/>
        <w:rPr>
          <w:rtl/>
          <w:lang w:eastAsia="en-US"/>
        </w:rPr>
      </w:pPr>
      <w:r>
        <w:rPr>
          <w:rtl/>
          <w:lang w:eastAsia="en-US"/>
        </w:rPr>
        <w:tab/>
      </w:r>
      <w:r>
        <w:rPr>
          <w:rtl/>
          <w:lang w:eastAsia="en-US"/>
        </w:rPr>
        <w:tab/>
        <w:t>وقد اتخذت وزارة التعليم على سبيل المثال إجراءات عملية لمحاربة التنميط حسب نوع الجنس داخل النظام التعليمي، بمعنى تنقيح وإنشاء مناهج دراسية، وطبع كتب دراسية جديدة، وإبراز الأدوار التقدمية للفتاة/المرأة، وتنظيم حلقات عمل للتوعية بنوع الجنس بالنسبة للعاملين بالمدارس. ومع ذلك، لم يتغير سوى القليل على مستوى التعليم المهني نظراً لأن معدل إنجاز الفتيات على المستويات العليا للتعليم ليس كافياً.</w:t>
      </w:r>
    </w:p>
    <w:p w:rsidR="00000000" w:rsidRDefault="00000000">
      <w:pPr>
        <w:pStyle w:val="SingleTxt"/>
        <w:ind w:left="1264" w:right="1264"/>
        <w:rPr>
          <w:rtl/>
          <w:lang w:eastAsia="en-US"/>
        </w:rPr>
      </w:pPr>
      <w:r>
        <w:rPr>
          <w:rtl/>
          <w:lang w:eastAsia="en-US"/>
        </w:rPr>
        <w:tab/>
      </w:r>
      <w:r>
        <w:rPr>
          <w:rtl/>
          <w:lang w:eastAsia="en-US"/>
        </w:rPr>
        <w:tab/>
        <w:t>وإلى حد ما، توجد حالياً تغطية إعلامية معينة لبعض هذه القضايا في وكالات التليفزيون والإذاعة الأريترية. وتعمل مناقشات اللجان بشأن القضايا الاجتماعية، وتقص نماذج لدور المرأة وقصص نجاحها، ومقالات أعمدة أساسية تبرز دور المرأة في الصحف اليومية الوطنية وتمثيليات الإذاعة في محاولة للقضاء على الأدوار النمطية للجنسين. غير أنه من المطلوب وضع برنامج إعلامي متسق ومنظم تنظيماً جيداً للحصول على تغيير أساسي بشأن الاتجاهات الراسخة والتمييزات الاجتماعية داخل المجتمع الأريتري. ومن المؤكد أن غرس إدراك جديد لن يكون بالمهمة السهلة وينبغي أن يمثل خطة طويلة الأجل تقوم بتمويلها القطاعات الحكومية المعنية تمويلاً حسناً.</w:t>
      </w:r>
    </w:p>
    <w:p w:rsidR="00000000" w:rsidRDefault="00000000">
      <w:pPr>
        <w:pStyle w:val="SingleTxt"/>
        <w:ind w:left="1264" w:right="1264"/>
        <w:rPr>
          <w:rtl/>
          <w:lang w:eastAsia="en-US"/>
        </w:rPr>
      </w:pPr>
      <w:r>
        <w:rPr>
          <w:rtl/>
          <w:lang w:eastAsia="en-US"/>
        </w:rPr>
        <w:tab/>
      </w:r>
      <w:r>
        <w:rPr>
          <w:rtl/>
          <w:lang w:eastAsia="en-US"/>
        </w:rPr>
        <w:tab/>
        <w:t>وقد أسهمت بعض النظم والتدابير الإدارية التي تتخذها حكومة دولة أريتريا بشكل هائل في تعزيز الأدوار الجنسية النمطية للمرأة. ومن بين التدخلات الأساسية التي تقوم بتشكيل الاتجاه المتغير للمجتمع الأريتري هو القضاء على زواج الأطفال وتحديد الحد الأدنى لسن زواج الفتيات بثمانية عشر عاماً، وكفالة المساواة في الوصول إلى المدارس الابتدائية بالنسبة لجميع الأطفال البالغين من العمر سبع سنوات فما فوق، وجعل التعليم بالمجان وإلزامي، وكفالة فرص متكافئة أو معاملة متساوية لدى الاستخدام، وحماية الأمومة ومنافعها بموجب إعلان العمل رقم 118/2001.</w:t>
      </w:r>
    </w:p>
    <w:p w:rsidR="00000000" w:rsidRDefault="00000000">
      <w:pPr>
        <w:pStyle w:val="SingleTxt"/>
        <w:ind w:left="1264" w:right="1264"/>
        <w:rPr>
          <w:rtl/>
          <w:lang w:eastAsia="en-US"/>
        </w:rPr>
      </w:pPr>
      <w:r>
        <w:rPr>
          <w:rtl/>
          <w:lang w:eastAsia="en-US"/>
        </w:rPr>
        <w:tab/>
      </w:r>
      <w:r>
        <w:rPr>
          <w:rtl/>
          <w:lang w:eastAsia="en-US"/>
        </w:rPr>
        <w:tab/>
        <w:t>ولدى إعداد مشروع الدستور الأريتري، طرحت مسألة خلافية فيما يتعلق بصياغة الوثيقة وكلماتها. واتفق على وجوب استخدام صيغة ذكرية لأسباب لغوية تقنية (تجنباً لأسلوب هو/هي). وتفادياً لأي لبس أو إساءة استخدام لكلمات الوثيقة قررت اللجنة تخصيص مقال للتوضيح. وتم عن عمد إدراج المادة 5 بشان الإشارة إلى نوع الجنس لضمان ألا يكون هناك تحَيُّز حسب نوع الجنس أو تنميط في الوثيقة، ونصها كما يلي:</w:t>
      </w:r>
    </w:p>
    <w:p w:rsidR="00000000" w:rsidRDefault="00000000">
      <w:pPr>
        <w:pStyle w:val="SingleTxt"/>
        <w:ind w:left="1264" w:right="1264"/>
        <w:rPr>
          <w:rtl/>
          <w:lang w:eastAsia="en-US"/>
        </w:rPr>
      </w:pPr>
      <w:r>
        <w:rPr>
          <w:rtl/>
          <w:lang w:eastAsia="en-US"/>
        </w:rPr>
        <w:tab/>
      </w:r>
      <w:r>
        <w:rPr>
          <w:rtl/>
          <w:lang w:eastAsia="en-US"/>
        </w:rPr>
        <w:tab/>
        <w:t>”</w:t>
      </w:r>
      <w:r>
        <w:rPr>
          <w:i/>
          <w:iCs/>
          <w:rtl/>
          <w:lang w:eastAsia="en-US"/>
        </w:rPr>
        <w:t xml:space="preserve">دون اعتبار لصياغة أي حكم في الدستور بالإشارة إلى نوع الجنس، فإن جميع </w:t>
      </w:r>
      <w:r>
        <w:rPr>
          <w:i/>
          <w:iCs/>
          <w:rtl/>
          <w:lang w:eastAsia="en-US"/>
        </w:rPr>
        <w:tab/>
      </w:r>
      <w:r>
        <w:rPr>
          <w:i/>
          <w:iCs/>
          <w:rtl/>
          <w:lang w:eastAsia="en-US"/>
        </w:rPr>
        <w:tab/>
        <w:t>مواده تنطبق بالتساوي على كلا الجنسين</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ومن الناحية التقليدية تعتبر الأمومة وتربية الأطفال هي الوظيفة الوحيدة للأم وليست وظيفة اجتماعية أو مسؤولية مشتركة لكلا الأبوين. وتلتزم الأم والفتاة بأداء الأعباء المنـزلية وتمنع كلاهما من المشاركة في أي مناح اجتماعية أو سياسية للحياة. غير أنه مع مرور الوقت وتعليم الأسرة والتحول الثقافي، بدأ الآباء في تحمل مسؤولية مشتركة. ويظهر هذا التغيير بمزيد من الوضوح بين الآباء ذوي التعليم بالمقارنة بالآباء الذين لم يتلقوا أي تعليم.</w:t>
      </w:r>
    </w:p>
    <w:p w:rsidR="00000000" w:rsidRDefault="00000000">
      <w:pPr>
        <w:pStyle w:val="SingleTxt"/>
        <w:ind w:left="1264" w:right="1264"/>
        <w:rPr>
          <w:rtl/>
          <w:lang w:eastAsia="en-US"/>
        </w:rPr>
      </w:pPr>
      <w:r>
        <w:rPr>
          <w:rtl/>
          <w:lang w:eastAsia="en-US"/>
        </w:rPr>
        <w:tab/>
      </w:r>
      <w:r>
        <w:rPr>
          <w:rtl/>
          <w:lang w:eastAsia="en-US"/>
        </w:rPr>
        <w:tab/>
        <w:t>وينص دستور أريتريا بوضوح في إطار المادة 22 بشأن أمور الأسرة على أن الأسرة هي الوحدة الطبيعية والأساسية للمجتمع، وأن من حق الرجل والمرأة عندما يصلان إلى السن القانونية الكاملة تأسيس أسرة بحرية وأن لكل منهما حقوقاً وواجبات متساوية بالنسبة لجميع أمور الأسرة. وينص كذلك على الدور التكميلي للآباء والأطفال في الأسرة التي هي أساس المجتمع الأريتري.</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3 -</w:t>
      </w:r>
      <w:r>
        <w:rPr>
          <w:i/>
          <w:iCs/>
          <w:rtl/>
          <w:lang w:eastAsia="en-US"/>
        </w:rPr>
        <w:tab/>
        <w:t xml:space="preserve">”للآباء الحق ومن واجبهم رعاية أطفالهم بالقدر المناسب من الرعاية </w:t>
      </w:r>
      <w:r>
        <w:rPr>
          <w:i/>
          <w:iCs/>
          <w:rtl/>
          <w:lang w:eastAsia="en-US"/>
        </w:rPr>
        <w:tab/>
      </w:r>
      <w:r>
        <w:rPr>
          <w:i/>
          <w:iCs/>
          <w:rtl/>
          <w:lang w:eastAsia="en-US"/>
        </w:rPr>
        <w:tab/>
        <w:t xml:space="preserve">والعطف، والأطفال بدورهم الحق ومن واجبهم احترام آبائهم وإعالتهم عندما </w:t>
      </w:r>
      <w:r>
        <w:rPr>
          <w:i/>
          <w:iCs/>
          <w:rtl/>
          <w:lang w:eastAsia="en-US"/>
        </w:rPr>
        <w:tab/>
      </w:r>
      <w:r>
        <w:rPr>
          <w:i/>
          <w:iCs/>
          <w:rtl/>
          <w:lang w:eastAsia="en-US"/>
        </w:rPr>
        <w:tab/>
        <w:t>يبلغون سن الشيخوخة</w:t>
      </w:r>
      <w:r>
        <w:rPr>
          <w:rtl/>
          <w:lang w:eastAsia="en-US"/>
        </w:rPr>
        <w:t>“</w:t>
      </w:r>
    </w:p>
    <w:p w:rsidR="00000000" w:rsidRDefault="00000000">
      <w:pPr>
        <w:pStyle w:val="SingleTxt"/>
        <w:ind w:left="1264" w:right="1264"/>
        <w:rPr>
          <w:rtl/>
          <w:lang w:eastAsia="en-US"/>
        </w:rPr>
      </w:pPr>
      <w:r>
        <w:rPr>
          <w:rtl/>
          <w:lang w:eastAsia="en-US"/>
        </w:rPr>
        <w:tab/>
      </w:r>
      <w:r>
        <w:rPr>
          <w:rtl/>
          <w:lang w:eastAsia="en-US"/>
        </w:rPr>
        <w:tab/>
        <w:t>وفي حالة الطلاق يقدم قانون الأسرة الأريترية حماية قانونية للأطفال بالنص على أحكام تتعلق بالوصاية على الطفل وإعالته وإعانته من جانب كلا الأبوين. والأطفال يوضعون في كنف أمهاتهن حتى سن الخامسة ما لم يكن هناك سبب جدِّي لتقرير خلاف ذلك.</w:t>
      </w:r>
    </w:p>
    <w:p w:rsidR="00000000" w:rsidRDefault="00000000">
      <w:pPr>
        <w:pStyle w:val="SingleTxt"/>
        <w:ind w:left="1264" w:right="1264"/>
        <w:rPr>
          <w:rtl/>
          <w:lang w:eastAsia="en-US"/>
        </w:rPr>
      </w:pPr>
      <w:r>
        <w:rPr>
          <w:rtl/>
          <w:lang w:eastAsia="en-US"/>
        </w:rPr>
        <w:tab/>
      </w:r>
      <w:r>
        <w:rPr>
          <w:rtl/>
          <w:lang w:eastAsia="en-US"/>
        </w:rPr>
        <w:tab/>
        <w:t>وبالإضافة إلى ذلك، صدَّقت حكومة أريتريا على اتفاقية حقوق الطفل في عام 1994. وبالنظر إلى ذلك، فإن تعليم الأسرة والمشاورات الشعبية التي تُنَظَّم للتوعية بأحكام اتفاقية الطفل وفهمها على الوجه الصحيح، أصبح صالح الطفل هو الاعتبار الأساسي في جميع الحالات وينبغي تحميل كلا الأبوين المسؤولية في تنشئة أطفالهما وإنمائهم.</w:t>
      </w:r>
    </w:p>
    <w:p w:rsidR="00000000" w:rsidRDefault="00000000">
      <w:pPr>
        <w:pStyle w:val="SingleTxt"/>
        <w:ind w:left="1264" w:right="1264"/>
        <w:rPr>
          <w:rtl/>
          <w:lang w:eastAsia="en-US"/>
        </w:rPr>
      </w:pPr>
      <w:r>
        <w:rPr>
          <w:rtl/>
          <w:lang w:eastAsia="en-US"/>
        </w:rPr>
        <w:tab/>
      </w:r>
      <w:r>
        <w:rPr>
          <w:rtl/>
          <w:lang w:eastAsia="en-US"/>
        </w:rPr>
        <w:tab/>
        <w:t>ومع الأخذ في الحسبان أن تدابير الحماية الدستورية والقانونية تحتاج إلى تعزيزها بواسطة تعليم الحياة الأسرية، فإن القطاعات الحكومية المعنية المختلفة والمنظمات غير الحكومية تشارك في التوعية بأنشطة التربية والتنشئة من أجل تعزيز الفهم الصحيح للأمومة بوصفها وظيفة اجتماعية ومسؤولية مشتركة لكلا الأبوين لرعاية أطفالهما.</w:t>
      </w:r>
    </w:p>
    <w:p w:rsidR="00000000" w:rsidRDefault="00000000">
      <w:pPr>
        <w:pStyle w:val="SingleTxt"/>
        <w:ind w:left="1264" w:right="1264"/>
        <w:rPr>
          <w:rtl/>
          <w:lang w:eastAsia="en-US"/>
        </w:rPr>
      </w:pPr>
      <w:r>
        <w:rPr>
          <w:rtl/>
          <w:lang w:eastAsia="en-US"/>
        </w:rPr>
        <w:tab/>
      </w:r>
      <w:r>
        <w:rPr>
          <w:rtl/>
          <w:lang w:eastAsia="en-US"/>
        </w:rPr>
        <w:tab/>
        <w:t>ويعمل الاتحاد الوطني للنساء الأريتريات من خلال أنشطته الصحية فيما بين النساء والمجتمع، على تعزيز الفهم الواسع الانتشار للأسرة بوصفها الوحدة الأساسية للمجتمع، والطابع التكاملي والمترابط للمرأة والرجل في الأسرة، والمشاركة المتبادلة في مسؤولية الآباء عن الأطفال والعمل المنـزلي والحياة الاقتصادية وغير ذلك من اهتمامات الأسرة. وقد أُجري تنفيذ هذا البرنامج في 286 قرية وشهده ما يزيد على 800 19 مشترك في السنوات الثلاث الأخيرة.</w:t>
      </w:r>
    </w:p>
    <w:p w:rsidR="00000000" w:rsidRDefault="00000000">
      <w:pPr>
        <w:pStyle w:val="SingleTxt"/>
        <w:ind w:left="1264" w:right="1264"/>
        <w:rPr>
          <w:rtl/>
          <w:lang w:eastAsia="en-US"/>
        </w:rPr>
      </w:pPr>
      <w:r>
        <w:rPr>
          <w:rtl/>
          <w:lang w:eastAsia="en-US"/>
        </w:rPr>
        <w:tab/>
      </w:r>
      <w:r>
        <w:rPr>
          <w:rtl/>
          <w:lang w:eastAsia="en-US"/>
        </w:rPr>
        <w:tab/>
        <w:t>والقيام بتعليم الأسرة فيما بين المجتمع يكون أكثر فعالية وكفاءة عندما يتم اتباع نهج متعدد القطاعات أو متكامل بوصفه نموذجاً يقتدي. ولا يوجد حتى الآن برنامج مشترك بين القطاعات يجري تطويره وإدارته بهدف تغيير التمييز إزاء المرأة والفتاة. ويمكن للاتحاد الوطني للنساء الأريتريات في المستقبل أن يقوم بدور ريادي في برامج تعميم مراعاة المنظور الجنساني تحقيقاً لذلك.</w:t>
      </w:r>
    </w:p>
    <w:p w:rsidR="00000000" w:rsidRDefault="00000000">
      <w:pPr>
        <w:pStyle w:val="SingleTxt"/>
        <w:ind w:left="1264" w:right="1264"/>
        <w:rPr>
          <w:rtl/>
          <w:lang w:eastAsia="en-US"/>
        </w:rPr>
      </w:pPr>
      <w:r>
        <w:rPr>
          <w:rtl/>
          <w:lang w:eastAsia="en-US"/>
        </w:rPr>
        <w:tab/>
      </w:r>
      <w:r>
        <w:rPr>
          <w:rtl/>
          <w:lang w:eastAsia="en-US"/>
        </w:rPr>
        <w:tab/>
        <w:t>وتوجد بعض البرامج التي تقوم بدورها حالياً مثل مشروع التنمية المبكرة للطفولة وهو مشروع يركز على تنمية الطفل ودور الآباء والمجتمع. ويمثل (الهامست) وهو فيروس نقص المناعة البشرية/الإيدز، والملاريا، والأمراض التي تنتقل عن طريق الجنس، والدرن، مشروعاً آخر يهدف أساساً إلى خفض انتقال أمراض ”الهامست“ ولكن إحدى مكوناته يتمثل في التعليم الأسري والتدريب الجنسي. وتشترك على نطاق واسع في هذه الأنشطة كل من وزارات الصحة والتعليم، والعمل والرعاية الاجتماعية، والزراعة، ومصايد الأسماك، وكذلك الاتحاد الوطني للنساء الأريتريات، فضلاً عن الاتحاد الوطني للشباب والطلبة الأريتريين.</w:t>
      </w:r>
    </w:p>
    <w:p w:rsidR="00000000" w:rsidRDefault="00000000">
      <w:pPr>
        <w:pStyle w:val="SingleTxt"/>
        <w:ind w:left="1264" w:right="1264"/>
        <w:rPr>
          <w:rtl/>
          <w:lang w:eastAsia="en-US"/>
        </w:rPr>
      </w:pPr>
      <w:r>
        <w:rPr>
          <w:b/>
          <w:bCs/>
          <w:rtl/>
          <w:lang w:eastAsia="en-US"/>
        </w:rPr>
        <w:t>المادة 6: الاتجار بالمرأة</w:t>
      </w:r>
    </w:p>
    <w:p w:rsidR="00000000" w:rsidRDefault="00000000">
      <w:pPr>
        <w:pStyle w:val="SingleTxt"/>
        <w:ind w:left="1264" w:right="1264"/>
        <w:rPr>
          <w:rtl/>
          <w:lang w:eastAsia="en-US"/>
        </w:rPr>
      </w:pPr>
      <w:r>
        <w:rPr>
          <w:rtl/>
          <w:lang w:eastAsia="en-US"/>
        </w:rPr>
        <w:tab/>
      </w:r>
      <w:r>
        <w:rPr>
          <w:rtl/>
          <w:lang w:eastAsia="en-US"/>
        </w:rPr>
        <w:tab/>
        <w:t>يحظر القانون أي شكل من أشكال الاتجار بالمرأة والطفل والشاب ويعتبر عملاً إجرامياً. ويعتبر الاتجار عملاً من أعمال الاستغلال البشري، والمشاركة في تنظيم أو ترتيب أو توفير أي نوع من الاتجار يُعَاقَب عليها.</w:t>
      </w:r>
    </w:p>
    <w:p w:rsidR="00000000" w:rsidRDefault="00000000">
      <w:pPr>
        <w:pStyle w:val="SingleTxt"/>
        <w:ind w:left="1264" w:right="1264"/>
        <w:rPr>
          <w:rtl/>
          <w:lang w:eastAsia="en-US"/>
        </w:rPr>
      </w:pPr>
      <w:r>
        <w:rPr>
          <w:rtl/>
          <w:lang w:eastAsia="en-US"/>
        </w:rPr>
        <w:tab/>
      </w:r>
      <w:r>
        <w:rPr>
          <w:rtl/>
          <w:lang w:eastAsia="en-US"/>
        </w:rPr>
        <w:tab/>
        <w:t>وينص القانون الجنائي أيضاً على أن كل مَن يقوم بدواعي الربح أو إشباع هوى شخص آخر بما يلي:</w:t>
      </w:r>
    </w:p>
    <w:p w:rsidR="00000000" w:rsidRDefault="00000000">
      <w:pPr>
        <w:pStyle w:val="SingleTxt"/>
        <w:ind w:left="1264" w:right="1264"/>
        <w:rPr>
          <w:i/>
          <w:iCs/>
          <w:rtl/>
          <w:lang w:eastAsia="en-US"/>
        </w:rPr>
      </w:pPr>
      <w:r>
        <w:rPr>
          <w:rtl/>
          <w:lang w:eastAsia="en-US"/>
        </w:rPr>
        <w:tab/>
      </w:r>
      <w:r>
        <w:rPr>
          <w:rtl/>
          <w:lang w:eastAsia="en-US"/>
        </w:rPr>
        <w:tab/>
      </w:r>
      <w:r>
        <w:rPr>
          <w:i/>
          <w:iCs/>
          <w:rtl/>
          <w:lang w:eastAsia="en-US"/>
        </w:rPr>
        <w:t>(أ)</w:t>
      </w:r>
      <w:r>
        <w:rPr>
          <w:i/>
          <w:iCs/>
          <w:rtl/>
          <w:lang w:eastAsia="en-US"/>
        </w:rPr>
        <w:tab/>
        <w:t xml:space="preserve">الاتجار بالمرأة أو الطفل والشاب سواء عن طريق إغوائهم أو إغرائهم عن </w:t>
      </w:r>
      <w:r>
        <w:rPr>
          <w:i/>
          <w:iCs/>
          <w:rtl/>
          <w:lang w:eastAsia="en-US"/>
        </w:rPr>
        <w:tab/>
      </w:r>
      <w:r>
        <w:rPr>
          <w:i/>
          <w:iCs/>
          <w:rtl/>
          <w:lang w:eastAsia="en-US"/>
        </w:rPr>
        <w:tab/>
      </w:r>
      <w:r>
        <w:rPr>
          <w:i/>
          <w:iCs/>
          <w:rtl/>
          <w:lang w:eastAsia="en-US"/>
        </w:rPr>
        <w:tab/>
        <w:t xml:space="preserve">طريق اقتنائهم أو حثهم بخلاف ذلك على إتيان الدعارة حتى ولو كان </w:t>
      </w:r>
      <w:r>
        <w:rPr>
          <w:i/>
          <w:iCs/>
          <w:rtl/>
          <w:lang w:eastAsia="en-US"/>
        </w:rPr>
        <w:tab/>
      </w:r>
      <w:r>
        <w:rPr>
          <w:i/>
          <w:iCs/>
          <w:rtl/>
          <w:lang w:eastAsia="en-US"/>
        </w:rPr>
        <w:tab/>
      </w:r>
      <w:r>
        <w:rPr>
          <w:i/>
          <w:iCs/>
          <w:rtl/>
          <w:lang w:eastAsia="en-US"/>
        </w:rPr>
        <w:tab/>
        <w:t>بموافقتهم؛ أو</w:t>
      </w:r>
    </w:p>
    <w:p w:rsidR="00000000" w:rsidRDefault="00000000">
      <w:pPr>
        <w:pStyle w:val="SingleTxt"/>
        <w:ind w:left="1264" w:right="1264"/>
        <w:rPr>
          <w:rtl/>
          <w:lang w:eastAsia="en-US"/>
        </w:rPr>
      </w:pPr>
      <w:r>
        <w:rPr>
          <w:i/>
          <w:iCs/>
          <w:rtl/>
          <w:lang w:eastAsia="en-US"/>
        </w:rPr>
        <w:tab/>
      </w:r>
      <w:r>
        <w:rPr>
          <w:i/>
          <w:iCs/>
          <w:rtl/>
          <w:lang w:eastAsia="en-US"/>
        </w:rPr>
        <w:tab/>
        <w:t>(ب)</w:t>
      </w:r>
      <w:r>
        <w:rPr>
          <w:i/>
          <w:iCs/>
          <w:rtl/>
          <w:lang w:eastAsia="en-US"/>
        </w:rPr>
        <w:tab/>
        <w:t xml:space="preserve">إبقاء ذلك الشخص في ماخور أو القيام بالدعارة يُعَاقَب عليه بموجب </w:t>
      </w:r>
      <w:r>
        <w:rPr>
          <w:i/>
          <w:iCs/>
          <w:rtl/>
          <w:lang w:eastAsia="en-US"/>
        </w:rPr>
        <w:tab/>
      </w:r>
      <w:r>
        <w:rPr>
          <w:i/>
          <w:iCs/>
          <w:rtl/>
          <w:lang w:eastAsia="en-US"/>
        </w:rPr>
        <w:tab/>
      </w:r>
      <w:r>
        <w:rPr>
          <w:i/>
          <w:iCs/>
          <w:rtl/>
          <w:lang w:eastAsia="en-US"/>
        </w:rPr>
        <w:tab/>
        <w:t>القانون الجنائي المؤقت (المادة 605)</w:t>
      </w:r>
    </w:p>
    <w:p w:rsidR="00000000" w:rsidRDefault="00000000">
      <w:pPr>
        <w:pStyle w:val="SingleTxt"/>
        <w:ind w:left="1264" w:right="1264"/>
        <w:rPr>
          <w:rtl/>
          <w:lang w:eastAsia="en-US"/>
        </w:rPr>
      </w:pPr>
      <w:r>
        <w:rPr>
          <w:rtl/>
          <w:lang w:eastAsia="en-US"/>
        </w:rPr>
        <w:tab/>
      </w:r>
      <w:r>
        <w:rPr>
          <w:rtl/>
          <w:lang w:eastAsia="en-US"/>
        </w:rPr>
        <w:tab/>
        <w:t>ومن المعروف أن الشابة يبدو أنها تتورط في الدعارة لأسباب اقتصادية في الأغلب (ارتفاع معدل البطالة وحالات التسرب من المدارس والفقر، إلخ) وتأثير الاتجاه النامي لصناعة السياحة في البلد. وعلى الرغم من أن وزارة السياحة لا تشجع على السياحة الجماعية، فما زال من الموصى به استحداث استراتيجية آمنة وحمائية للتقليل إلى أدنى حد من آثار السياحة القائمة على الدعارة.</w:t>
      </w:r>
    </w:p>
    <w:p w:rsidR="00000000" w:rsidRDefault="00000000">
      <w:pPr>
        <w:pStyle w:val="SingleTxt"/>
        <w:ind w:left="1264" w:right="1264"/>
        <w:rPr>
          <w:rtl/>
          <w:lang w:eastAsia="en-US"/>
        </w:rPr>
      </w:pPr>
      <w:r>
        <w:rPr>
          <w:rtl/>
          <w:lang w:eastAsia="en-US"/>
        </w:rPr>
        <w:tab/>
      </w:r>
      <w:r>
        <w:rPr>
          <w:rtl/>
          <w:lang w:eastAsia="en-US"/>
        </w:rPr>
        <w:tab/>
        <w:t>وإنها لقضية خلافية اعتبار الباغية مجرمة بوصفها شخصاً، ومن ناحية أخرى تسجيل أو ترخيص الدعارة على أنها عمل جنسي تجاري (مثلما خلال العهد الاستعماري). وفي الوقت الراهن يحظر القانون الإغواء من جانب البغايا، والعيش على مكتسبات الباغية، وعبودية المرأة لأغراض جنسية، والاحتفاظ بماخور.</w:t>
      </w:r>
    </w:p>
    <w:p w:rsidR="00000000" w:rsidRDefault="00000000">
      <w:pPr>
        <w:pStyle w:val="SingleTxt"/>
        <w:ind w:left="1264" w:right="1264"/>
        <w:rPr>
          <w:rtl/>
          <w:lang w:eastAsia="en-US"/>
        </w:rPr>
      </w:pPr>
      <w:r>
        <w:rPr>
          <w:rtl/>
          <w:lang w:eastAsia="en-US"/>
        </w:rPr>
        <w:tab/>
        <w:t>وتنص المادة 604 بشان الاستغلال الاعتيادي لسوء أخلاق الآخرين على ما يلي:</w:t>
      </w:r>
    </w:p>
    <w:p w:rsidR="00000000" w:rsidRDefault="00000000">
      <w:pPr>
        <w:pStyle w:val="SingleTxt"/>
        <w:ind w:left="1264" w:right="1264"/>
        <w:rPr>
          <w:rtl/>
          <w:lang w:eastAsia="en-US"/>
        </w:rPr>
      </w:pPr>
      <w:r>
        <w:rPr>
          <w:rtl/>
          <w:lang w:eastAsia="en-US"/>
        </w:rPr>
        <w:tab/>
      </w:r>
      <w:r>
        <w:rPr>
          <w:rtl/>
          <w:lang w:eastAsia="en-US"/>
        </w:rPr>
        <w:tab/>
        <w:t>”</w:t>
      </w:r>
      <w:r>
        <w:rPr>
          <w:i/>
          <w:iCs/>
          <w:rtl/>
          <w:lang w:eastAsia="en-US"/>
        </w:rPr>
        <w:t xml:space="preserve">كل من، بدواعي الكسب، يمارس مهنة القوادة أو يتعيش منها أو يستفيد من </w:t>
      </w:r>
      <w:r>
        <w:rPr>
          <w:i/>
          <w:iCs/>
          <w:rtl/>
          <w:lang w:eastAsia="en-US"/>
        </w:rPr>
        <w:tab/>
      </w:r>
      <w:r>
        <w:rPr>
          <w:i/>
          <w:iCs/>
          <w:rtl/>
          <w:lang w:eastAsia="en-US"/>
        </w:rPr>
        <w:tab/>
        <w:t xml:space="preserve">الدعارة أو سوء أخلاق الآخرين، أو يحتفظ بوصفه مالكاً أو أميناً بماخور، عرضة </w:t>
      </w:r>
      <w:r>
        <w:rPr>
          <w:i/>
          <w:iCs/>
          <w:rtl/>
          <w:lang w:eastAsia="en-US"/>
        </w:rPr>
        <w:tab/>
      </w:r>
      <w:r>
        <w:rPr>
          <w:i/>
          <w:iCs/>
          <w:rtl/>
          <w:lang w:eastAsia="en-US"/>
        </w:rPr>
        <w:tab/>
        <w:t>للعقاب</w:t>
      </w:r>
      <w:r>
        <w:rPr>
          <w:rtl/>
          <w:lang w:eastAsia="en-US"/>
        </w:rPr>
        <w:t>“</w:t>
      </w:r>
    </w:p>
    <w:p w:rsidR="00000000" w:rsidRDefault="00000000">
      <w:pPr>
        <w:pStyle w:val="SingleTxt"/>
        <w:ind w:left="1264" w:right="1264"/>
        <w:rPr>
          <w:rtl/>
          <w:lang w:eastAsia="en-US"/>
        </w:rPr>
      </w:pPr>
      <w:r>
        <w:rPr>
          <w:rtl/>
          <w:lang w:eastAsia="en-US"/>
        </w:rPr>
        <w:tab/>
      </w:r>
      <w:r>
        <w:rPr>
          <w:rtl/>
          <w:lang w:eastAsia="en-US"/>
        </w:rPr>
        <w:tab/>
        <w:t>غير أن الدعارة والاتجار دون السن نادراً ما يلاحظ ويحتاج إلى إثباته بالوقائع ومن ثم يتطلب الأمر في المستقبل إجراء بحث شامل. والإباحية بوصفها فعلاً من أفعال سوء الأخلاق، والإخلال بالآداب وانتهاك الحرمات تعتبر جريمة (المادة 608)، وأن كل من يستورد أو يصدر أو ينقل أو يتلقى أو يمتلك أو يعرض أمام الجمهور، أو يعرض للبيع أو التأجير، أو يقوم بتوزيع أو تداول الكتابات والملصقات والأفلام أو أي أشياء أخرى تكون إباحية أو فاحشة، أو يقوم بأي وسيلة أخرى بالاتجار والمتاجرة فيها، موضع عقاب بموجب القانون (المادة 609 أ).</w:t>
      </w:r>
    </w:p>
    <w:p w:rsidR="00000000" w:rsidRDefault="00000000">
      <w:pPr>
        <w:pStyle w:val="SingleTxt"/>
        <w:ind w:left="1264" w:right="1264"/>
        <w:rPr>
          <w:rtl/>
          <w:lang w:eastAsia="en-US"/>
        </w:rPr>
      </w:pPr>
      <w:r>
        <w:rPr>
          <w:rtl/>
          <w:lang w:eastAsia="en-US"/>
        </w:rPr>
        <w:tab/>
      </w:r>
      <w:r>
        <w:rPr>
          <w:rtl/>
          <w:lang w:eastAsia="en-US"/>
        </w:rPr>
        <w:tab/>
        <w:t>وتوجد حالياً مبادرات جارية تركِّز على الحد من الدعارة أو تقليلها عن طريق خلق وظائف بديلة تعالج مختلف الأسباب الاجتماعية والاقتصادية. ووزارة العمل والرفاهية الإنسانية هي الهيئة المسؤولة عن تنفيذ سياسة الحكومة في هذا الشأن عن طريق تنظيم برامج إعادة تأهيل لضحايا الدعارة في البلد.</w:t>
      </w:r>
    </w:p>
    <w:p w:rsidR="00000000" w:rsidRDefault="00000000">
      <w:pPr>
        <w:pStyle w:val="SingleTxt"/>
        <w:ind w:left="1264" w:right="1264"/>
        <w:rPr>
          <w:rtl/>
          <w:lang w:eastAsia="en-US"/>
        </w:rPr>
      </w:pPr>
      <w:r>
        <w:rPr>
          <w:rtl/>
          <w:lang w:eastAsia="en-US"/>
        </w:rPr>
        <w:tab/>
      </w:r>
      <w:r>
        <w:rPr>
          <w:rtl/>
          <w:lang w:eastAsia="en-US"/>
        </w:rPr>
        <w:tab/>
        <w:t>وتضطلع الحكومة ببرامج وقائية وتأهيلية للعاملين في مجال الجنس التجاري (البغايا) من خلال وزارة العمل والرفاهية الاجتماعية. والهدف من البرنامج ما يلي:</w:t>
      </w:r>
    </w:p>
    <w:p w:rsidR="00000000" w:rsidRDefault="00000000">
      <w:pPr>
        <w:pStyle w:val="SingleTxt"/>
        <w:spacing w:line="360" w:lineRule="exact"/>
        <w:ind w:left="1264" w:right="1264"/>
        <w:rPr>
          <w:rtl/>
          <w:lang w:eastAsia="en-US"/>
        </w:rPr>
      </w:pPr>
      <w:r>
        <w:rPr>
          <w:rtl/>
          <w:lang w:eastAsia="en-US"/>
        </w:rPr>
        <w:t>1 -</w:t>
      </w:r>
      <w:r>
        <w:rPr>
          <w:rtl/>
          <w:lang w:eastAsia="en-US"/>
        </w:rPr>
        <w:tab/>
        <w:t xml:space="preserve">إعادة تأهيل العاملين في مجال الجنس التجاري الذين ينساقون لأن يصبحوا بغايا </w:t>
      </w:r>
      <w:r>
        <w:rPr>
          <w:rtl/>
          <w:lang w:eastAsia="en-US"/>
        </w:rPr>
        <w:tab/>
      </w:r>
      <w:r>
        <w:rPr>
          <w:rtl/>
          <w:lang w:eastAsia="en-US"/>
        </w:rPr>
        <w:tab/>
        <w:t>بسبب مشكلات اجتماعية واقتصادية</w:t>
      </w:r>
    </w:p>
    <w:p w:rsidR="00000000" w:rsidRDefault="00000000">
      <w:pPr>
        <w:pStyle w:val="SingleTxt"/>
        <w:spacing w:line="360" w:lineRule="exact"/>
        <w:ind w:left="1264" w:right="1264"/>
        <w:rPr>
          <w:rtl/>
          <w:lang w:eastAsia="en-US"/>
        </w:rPr>
      </w:pPr>
      <w:r>
        <w:rPr>
          <w:rtl/>
          <w:lang w:eastAsia="en-US"/>
        </w:rPr>
        <w:t>2 -</w:t>
      </w:r>
      <w:r>
        <w:rPr>
          <w:rtl/>
          <w:lang w:eastAsia="en-US"/>
        </w:rPr>
        <w:tab/>
        <w:t>الاضطلاع ببرامج وقائية عن طريق تحديد الأسباب الجذرية</w:t>
      </w:r>
    </w:p>
    <w:p w:rsidR="00000000" w:rsidRDefault="00000000">
      <w:pPr>
        <w:pStyle w:val="SingleTxt"/>
        <w:spacing w:line="360" w:lineRule="exact"/>
        <w:ind w:left="1264" w:right="1264"/>
        <w:rPr>
          <w:rtl/>
          <w:lang w:eastAsia="en-US"/>
        </w:rPr>
      </w:pPr>
      <w:r>
        <w:rPr>
          <w:rtl/>
          <w:lang w:eastAsia="en-US"/>
        </w:rPr>
        <w:t>3 -</w:t>
      </w:r>
      <w:r>
        <w:rPr>
          <w:rtl/>
          <w:lang w:eastAsia="en-US"/>
        </w:rPr>
        <w:tab/>
        <w:t>توعية وتمكين المجتمعات المحلية من دعم برامج إعادة التأهيل</w:t>
      </w:r>
    </w:p>
    <w:p w:rsidR="00000000" w:rsidRDefault="00000000">
      <w:pPr>
        <w:pStyle w:val="SingleTxt"/>
        <w:spacing w:line="360" w:lineRule="exact"/>
        <w:ind w:left="1264" w:right="1264"/>
        <w:rPr>
          <w:rtl/>
          <w:lang w:eastAsia="en-US"/>
        </w:rPr>
      </w:pPr>
      <w:r>
        <w:rPr>
          <w:rtl/>
          <w:lang w:eastAsia="en-US"/>
        </w:rPr>
        <w:t>4 -</w:t>
      </w:r>
      <w:r>
        <w:rPr>
          <w:rtl/>
          <w:lang w:eastAsia="en-US"/>
        </w:rPr>
        <w:tab/>
        <w:t xml:space="preserve">التربية الصحية بشأن فيروس نقس المناعة البشرية/الإيدز والأمراض التي تنتقل عن </w:t>
      </w:r>
      <w:r>
        <w:rPr>
          <w:rtl/>
          <w:lang w:eastAsia="en-US"/>
        </w:rPr>
        <w:tab/>
      </w:r>
      <w:r>
        <w:rPr>
          <w:rtl/>
          <w:lang w:eastAsia="en-US"/>
        </w:rPr>
        <w:tab/>
        <w:t>طريق الجنس</w:t>
      </w:r>
    </w:p>
    <w:p w:rsidR="00000000" w:rsidRDefault="00000000">
      <w:pPr>
        <w:pStyle w:val="SingleTxt"/>
        <w:spacing w:line="360" w:lineRule="exact"/>
        <w:ind w:left="1264" w:right="1264"/>
        <w:rPr>
          <w:rtl/>
          <w:lang w:eastAsia="en-US"/>
        </w:rPr>
      </w:pPr>
      <w:r>
        <w:rPr>
          <w:rtl/>
          <w:lang w:eastAsia="en-US"/>
        </w:rPr>
        <w:tab/>
      </w:r>
      <w:r>
        <w:rPr>
          <w:rtl/>
          <w:lang w:eastAsia="en-US"/>
        </w:rPr>
        <w:tab/>
        <w:t>وقد بدأ هذا البرنامج في عام 1999 وركَّزت مختلف خدمات المشورة والعمالة على توفير التدريب المهني. وأكثر من 132 من العاملين في الجنس التجاري حتى الآن قد أعيد تأهيلهم بعد اكتساب مهارات السوق، وأكثر من 740 من صغار العاملين في الجنس التجاري في أنحاء البلد يشتركون حالياً في أنشطة الوزارة لإعادة التأهيل</w:t>
      </w:r>
      <w:r>
        <w:rPr>
          <w:rStyle w:val="FootnoteReference"/>
          <w:rtl/>
          <w:lang w:eastAsia="en-US"/>
        </w:rPr>
        <w:footnoteReference w:customMarkFollows="1" w:id="10"/>
        <w:t>(9)</w:t>
      </w:r>
      <w:r>
        <w:rPr>
          <w:rtl/>
          <w:lang w:eastAsia="en-US"/>
        </w:rPr>
        <w:t>.</w:t>
      </w:r>
    </w:p>
    <w:p w:rsidR="00000000" w:rsidRDefault="00000000">
      <w:pPr>
        <w:pStyle w:val="SingleTxt"/>
        <w:spacing w:line="360" w:lineRule="exact"/>
        <w:ind w:left="1264" w:right="1264"/>
        <w:rPr>
          <w:rtl/>
          <w:lang w:eastAsia="en-US"/>
        </w:rPr>
      </w:pPr>
      <w:r>
        <w:rPr>
          <w:rtl/>
          <w:lang w:eastAsia="en-US"/>
        </w:rPr>
        <w:tab/>
      </w:r>
      <w:r>
        <w:rPr>
          <w:rtl/>
          <w:lang w:eastAsia="en-US"/>
        </w:rPr>
        <w:tab/>
        <w:t>وهناك أيضاً مشروع ريادي بشأن ”إعادة تأهيل العاملين في ميدان الجنس التجاري تقوم بإدارته إحدى المنظمات غير الحكومية</w:t>
      </w:r>
      <w:r>
        <w:rPr>
          <w:rStyle w:val="FootnoteReference"/>
          <w:rtl/>
          <w:lang w:eastAsia="en-US"/>
        </w:rPr>
        <w:footnoteReference w:customMarkFollows="1" w:id="11"/>
        <w:t>(10)</w:t>
      </w:r>
      <w:r>
        <w:rPr>
          <w:rtl/>
          <w:lang w:eastAsia="en-US"/>
        </w:rPr>
        <w:t xml:space="preserve"> المحلية بطاقة محدودة. وهنا يتم تشجيع البغايا على الإقلاع عن هذه الأعمال وتقدم إليهن مشورة حول فيروس نقس المناعة البشرية/الإيدز وغير ذلك من الأمراض المرتبطة بالجنس فضلاً عن التدريب على مهارات السوق. وحتى الآن انضمت نحو 90 امرأة إلى برنامج إعادة التأهيل وبدأ منهن 30 امرأة حياة جديدة بالاشتراك في أعمال تجارية صغيرة. وتم عقد مقابلات مع أكثر من 100 امرأة باغية وقال معظمهن أنهن على استعداد للتخلي عن الدعارة كوسيلة للعيش إذا تم دعمهن بوسائل بديلة أخرى.</w:t>
      </w:r>
    </w:p>
    <w:p w:rsidR="00000000" w:rsidRDefault="00000000">
      <w:pPr>
        <w:pStyle w:val="SingleTxt"/>
        <w:spacing w:line="360" w:lineRule="exact"/>
        <w:ind w:left="1264" w:right="1264"/>
        <w:rPr>
          <w:rtl/>
          <w:lang w:eastAsia="en-US"/>
        </w:rPr>
      </w:pPr>
      <w:r>
        <w:rPr>
          <w:rtl/>
          <w:lang w:eastAsia="en-US"/>
        </w:rPr>
        <w:tab/>
      </w:r>
      <w:r>
        <w:rPr>
          <w:rtl/>
          <w:lang w:eastAsia="en-US"/>
        </w:rPr>
        <w:tab/>
        <w:t>وتم إطلاق برنامج مشترك بشأن الحياة الآمنة فيما يتعلق بفيروس نقص المناعة البشرية/الإيدز بمعرفة وزارة الصحة والاتحاد الوطني للنساء الأريتريات وغير ذلك من مشاركين في محاولة للحد من الجنس غير الآمن والدعارة وتثبيط اشتراك الشباب من النساء والرجال في هذه الأعمال.</w:t>
      </w:r>
    </w:p>
    <w:p w:rsidR="00000000" w:rsidRDefault="00000000">
      <w:pPr>
        <w:pStyle w:val="SingleTxt"/>
        <w:ind w:left="1264" w:right="1264"/>
        <w:rPr>
          <w:rtl/>
          <w:lang w:eastAsia="en-US"/>
        </w:rPr>
      </w:pPr>
      <w:r>
        <w:rPr>
          <w:b/>
          <w:bCs/>
          <w:rtl/>
          <w:lang w:eastAsia="en-US"/>
        </w:rPr>
        <w:t>المادة 7: المرأة في السياسة والحياة العامة</w:t>
      </w:r>
    </w:p>
    <w:p w:rsidR="00000000" w:rsidRDefault="00000000">
      <w:pPr>
        <w:pStyle w:val="SingleTxt"/>
        <w:ind w:left="1264" w:right="1264"/>
        <w:rPr>
          <w:rtl/>
          <w:lang w:eastAsia="en-US"/>
        </w:rPr>
      </w:pPr>
      <w:r>
        <w:rPr>
          <w:rtl/>
          <w:lang w:eastAsia="en-US"/>
        </w:rPr>
        <w:tab/>
      </w:r>
      <w:r>
        <w:rPr>
          <w:rtl/>
          <w:lang w:eastAsia="en-US"/>
        </w:rPr>
        <w:tab/>
        <w:t>بدأت مشاركة المرأة الأريترية في مجالات السياسة مع بداية كفاح التحرير الوطني. وشكَّلت المرأة أكثر من 30 في المائة من جيش التحرير الوطني خلال حركة التحرير في الجبهة الشعبية لتحرير أريتريا.</w:t>
      </w:r>
    </w:p>
    <w:p w:rsidR="00000000" w:rsidRDefault="00000000">
      <w:pPr>
        <w:pStyle w:val="SingleTxt"/>
        <w:ind w:left="1264" w:right="1264"/>
        <w:rPr>
          <w:rtl/>
          <w:lang w:eastAsia="en-US"/>
        </w:rPr>
      </w:pPr>
      <w:r>
        <w:rPr>
          <w:rtl/>
          <w:lang w:eastAsia="en-US"/>
        </w:rPr>
        <w:tab/>
      </w:r>
      <w:r>
        <w:rPr>
          <w:rtl/>
          <w:lang w:eastAsia="en-US"/>
        </w:rPr>
        <w:tab/>
        <w:t>وما تحقق خلال حركة التحرير تم الحفاظ عليه بعد استقلال الدولة وذلك بضمان الحقوق الدستورية للمرأة في المشاركة في أي منصب قيادي، وفي التصويت والترشيح في الانتخابات لأي منصب سياسي في الجمعية الوطنية وكذلك في مجالس الأقاليم والقرى.</w:t>
      </w:r>
    </w:p>
    <w:p w:rsidR="00000000" w:rsidRDefault="00000000">
      <w:pPr>
        <w:pStyle w:val="SingleTxt"/>
        <w:ind w:left="1264" w:right="1264"/>
        <w:rPr>
          <w:rtl/>
          <w:lang w:eastAsia="en-US"/>
        </w:rPr>
      </w:pPr>
      <w:r>
        <w:rPr>
          <w:rtl/>
          <w:lang w:eastAsia="en-US"/>
        </w:rPr>
        <w:tab/>
        <w:t>وتنص الفقرة 4 من المادة 7 من الدستور على ما يلي:</w:t>
      </w:r>
    </w:p>
    <w:p w:rsidR="00000000" w:rsidRDefault="00000000">
      <w:pPr>
        <w:pStyle w:val="SingleTxt"/>
        <w:ind w:left="1264" w:right="1264"/>
        <w:rPr>
          <w:rtl/>
          <w:lang w:eastAsia="en-US"/>
        </w:rPr>
      </w:pPr>
      <w:r>
        <w:rPr>
          <w:rtl/>
          <w:lang w:eastAsia="en-US"/>
        </w:rPr>
        <w:tab/>
      </w:r>
      <w:r>
        <w:rPr>
          <w:rtl/>
          <w:lang w:eastAsia="en-US"/>
        </w:rPr>
        <w:tab/>
      </w:r>
      <w:r>
        <w:rPr>
          <w:i/>
          <w:iCs/>
          <w:rtl/>
          <w:lang w:eastAsia="en-US"/>
        </w:rPr>
        <w:t xml:space="preserve">عملاً بأحكام هذا الدستور والقوانين الصادرة عملاً به، تكفل لجميع الأريتريين، </w:t>
      </w:r>
      <w:r>
        <w:rPr>
          <w:i/>
          <w:iCs/>
          <w:rtl/>
          <w:lang w:eastAsia="en-US"/>
        </w:rPr>
        <w:tab/>
      </w:r>
      <w:r>
        <w:rPr>
          <w:i/>
          <w:iCs/>
          <w:rtl/>
          <w:lang w:eastAsia="en-US"/>
        </w:rPr>
        <w:tab/>
        <w:t>دون تمييز، فرصة متكافئة للاشتراك في أي منصب قيادي في البلد.</w:t>
      </w:r>
    </w:p>
    <w:p w:rsidR="00000000" w:rsidRDefault="00000000">
      <w:pPr>
        <w:pStyle w:val="SingleTxt"/>
        <w:ind w:left="1264" w:right="1264"/>
        <w:rPr>
          <w:rtl/>
          <w:lang w:eastAsia="en-US"/>
        </w:rPr>
      </w:pPr>
      <w:r>
        <w:rPr>
          <w:rtl/>
          <w:lang w:eastAsia="en-US"/>
        </w:rPr>
        <w:tab/>
        <w:t>وينص الدستور بشأن الحق في التصويت وفي الترشيح لأي منصب انتخابي أيضاً على ما يلي:</w:t>
      </w:r>
    </w:p>
    <w:p w:rsidR="00000000" w:rsidRDefault="00000000">
      <w:pPr>
        <w:pStyle w:val="SingleTxt"/>
        <w:ind w:left="1264" w:right="1264"/>
        <w:rPr>
          <w:i/>
          <w:iCs/>
          <w:rtl/>
          <w:lang w:eastAsia="en-US"/>
        </w:rPr>
      </w:pPr>
      <w:r>
        <w:rPr>
          <w:rtl/>
          <w:lang w:eastAsia="en-US"/>
        </w:rPr>
        <w:tab/>
      </w:r>
      <w:r>
        <w:rPr>
          <w:rtl/>
          <w:lang w:eastAsia="en-US"/>
        </w:rPr>
        <w:tab/>
      </w:r>
      <w:r>
        <w:rPr>
          <w:i/>
          <w:iCs/>
          <w:rtl/>
          <w:lang w:eastAsia="en-US"/>
        </w:rPr>
        <w:t xml:space="preserve">لكل مواطن يفي بمتطلبات القانون الانتخابي الحق في التصويت والسعي إلى الحصول </w:t>
      </w:r>
      <w:r>
        <w:rPr>
          <w:i/>
          <w:iCs/>
          <w:rtl/>
          <w:lang w:eastAsia="en-US"/>
        </w:rPr>
        <w:tab/>
      </w:r>
      <w:r>
        <w:rPr>
          <w:i/>
          <w:iCs/>
          <w:rtl/>
          <w:lang w:eastAsia="en-US"/>
        </w:rPr>
        <w:tab/>
        <w:t>على مناصب انتخابية (المادة 20)</w:t>
      </w:r>
    </w:p>
    <w:p w:rsidR="00000000" w:rsidRDefault="00000000">
      <w:pPr>
        <w:pStyle w:val="SingleTxt"/>
        <w:ind w:left="1264" w:right="1264"/>
        <w:rPr>
          <w:rtl/>
          <w:lang w:eastAsia="en-US"/>
        </w:rPr>
      </w:pPr>
      <w:r>
        <w:rPr>
          <w:i/>
          <w:iCs/>
          <w:rtl/>
          <w:lang w:eastAsia="en-US"/>
        </w:rPr>
        <w:tab/>
      </w:r>
      <w:r>
        <w:rPr>
          <w:i/>
          <w:iCs/>
          <w:rtl/>
          <w:lang w:eastAsia="en-US"/>
        </w:rPr>
        <w:tab/>
        <w:t xml:space="preserve">ولكل مواطني أريتريا، في سن 18 سنة أو أكثر الحق في التصويت (المادة 30 من </w:t>
      </w:r>
      <w:r>
        <w:rPr>
          <w:i/>
          <w:iCs/>
          <w:rtl/>
          <w:lang w:eastAsia="en-US"/>
        </w:rPr>
        <w:tab/>
      </w:r>
      <w:r>
        <w:rPr>
          <w:i/>
          <w:iCs/>
          <w:rtl/>
          <w:lang w:eastAsia="en-US"/>
        </w:rPr>
        <w:tab/>
        <w:t>الدستور)</w:t>
      </w:r>
    </w:p>
    <w:p w:rsidR="00000000" w:rsidRDefault="00000000">
      <w:pPr>
        <w:pStyle w:val="SingleTxt"/>
        <w:ind w:left="1264" w:right="1264"/>
        <w:rPr>
          <w:rtl/>
          <w:lang w:eastAsia="en-US"/>
        </w:rPr>
      </w:pPr>
      <w:r>
        <w:rPr>
          <w:rtl/>
          <w:lang w:eastAsia="en-US"/>
        </w:rPr>
        <w:tab/>
      </w:r>
      <w:r>
        <w:rPr>
          <w:rtl/>
          <w:lang w:eastAsia="en-US"/>
        </w:rPr>
        <w:tab/>
        <w:t>وعلى الرغم من أن الأحكام الدستورية والتشريعية لا تمنع المرأة من التقدم إلى الانتخابات وشَغل مناصب اتخاذ القرار في المنظمات الحكومية والخاصة، فإنه يوجد في الواقع عدد قليل جداً من النساء في الحياة السياسية والحياة العامة وغير ذلك من كبار المناصب.</w:t>
      </w:r>
    </w:p>
    <w:p w:rsidR="00000000" w:rsidRDefault="00000000">
      <w:pPr>
        <w:pStyle w:val="SingleTxt"/>
        <w:ind w:left="1264" w:right="1264" w:firstLine="69"/>
        <w:rPr>
          <w:rtl/>
          <w:lang w:eastAsia="en-US"/>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tblGrid>
      <w:tr w:rsidR="00000000">
        <w:tblPrEx>
          <w:tblCellMar>
            <w:top w:w="0" w:type="dxa"/>
            <w:bottom w:w="0" w:type="dxa"/>
          </w:tblCellMar>
        </w:tblPrEx>
        <w:tc>
          <w:tcPr>
            <w:tcW w:w="7513" w:type="dxa"/>
          </w:tcPr>
          <w:p w:rsidR="00000000" w:rsidRDefault="00000000">
            <w:pPr>
              <w:pStyle w:val="SingleTxt"/>
              <w:tabs>
                <w:tab w:val="left" w:pos="884"/>
              </w:tabs>
              <w:ind w:left="0" w:right="0"/>
              <w:rPr>
                <w:rtl/>
                <w:lang w:eastAsia="en-US"/>
              </w:rPr>
            </w:pPr>
            <w:r>
              <w:rPr>
                <w:rtl/>
                <w:lang w:eastAsia="en-US"/>
              </w:rPr>
              <w:tab/>
              <w:t>ومشاركة المرأة في الحملات السياسية والعمليات الدستورية كانت محورية ومن المحتمل أن تكون أكبر من مشاركة الرجل. غير أن عدد النساء اللاتي تشغلن مختلف المستويات الوظائف في السلطة في المؤسسات السياسية ما زال منخفضاً. وقد اتخذت تدابير دستورية وقانونية للإجراءات الإيجابية لإصلاح الاختلال. ولكن الإجراءات الإيجابية لا ينبغي تصورها على أنها الحل الدائم. بل إنها في الواقع إجراءات لسد الثغرة يلجأ إليها من أجل إنشاء مسرح مستو. وهي ليست بخلاف ذلك حلاً أو هدفاً في ذاتها. وفي هذا الإطار ينبغي لنا أن نكفل تطبيقاً دقيقاً إلى أن نصل إلى المستوى المنشود حيث يمكن للمرأة أن تنافس على قدم المساواة.</w:t>
            </w:r>
          </w:p>
          <w:p w:rsidR="00000000" w:rsidRDefault="00000000">
            <w:pPr>
              <w:pStyle w:val="SingleTxt"/>
              <w:tabs>
                <w:tab w:val="left" w:pos="601"/>
                <w:tab w:val="left" w:pos="884"/>
              </w:tabs>
              <w:ind w:left="0" w:right="0"/>
              <w:rPr>
                <w:i/>
                <w:iCs/>
                <w:rtl/>
                <w:lang w:eastAsia="en-US"/>
              </w:rPr>
            </w:pPr>
            <w:r>
              <w:rPr>
                <w:rtl/>
                <w:lang w:eastAsia="en-US"/>
              </w:rPr>
              <w:tab/>
            </w:r>
            <w:r>
              <w:rPr>
                <w:i/>
                <w:iCs/>
                <w:rtl/>
                <w:lang w:eastAsia="en-US"/>
              </w:rPr>
              <w:t>من خطاب فخامة رئيس أريتريا، اسياس أفورقي في المذكرة العشرين للاتحاد الوطني لنساء أريتريا</w:t>
            </w:r>
          </w:p>
          <w:p w:rsidR="00000000" w:rsidRDefault="00000000">
            <w:pPr>
              <w:pStyle w:val="SingleTxt"/>
              <w:ind w:left="0" w:right="0"/>
              <w:jc w:val="right"/>
              <w:rPr>
                <w:rtl/>
                <w:lang w:eastAsia="en-US"/>
              </w:rPr>
            </w:pPr>
            <w:r>
              <w:rPr>
                <w:rtl/>
                <w:lang w:eastAsia="en-US"/>
              </w:rPr>
              <w:t>27 تشرين الثاني/نوفمبر 1999</w:t>
            </w:r>
          </w:p>
        </w:tc>
      </w:tr>
    </w:tbl>
    <w:p w:rsidR="00000000" w:rsidRDefault="00000000">
      <w:pPr>
        <w:pStyle w:val="SingleTxt"/>
        <w:ind w:left="1264" w:right="1264"/>
        <w:rPr>
          <w:rtl/>
          <w:lang w:eastAsia="en-US"/>
        </w:rPr>
      </w:pPr>
      <w:r>
        <w:rPr>
          <w:rtl/>
          <w:lang w:eastAsia="en-US"/>
        </w:rPr>
        <w:tab/>
      </w:r>
      <w:r>
        <w:rPr>
          <w:rtl/>
          <w:lang w:eastAsia="en-US"/>
        </w:rPr>
        <w:tab/>
        <w:t>وقد أخذت الحكومة بنظام الحصص (مثل الإجراء الإيجابي) من أجل زيادة مشاركة المرأة في الهيئات السياسية لاتخاذ القرار على مستوى القاعدة مثلما على المستويات الوطنية. وينص الإعلان رقم 86/1996 بشأن تشكيل المجالس الإقليمية على حجز 30 في المائة من المقاعد للمرأة وأن تتنافس أيضاً على الـ 70 في المائة المتبقية من المقاعد. وقد شكَّل أثر نظام الحصص تغيراً ملحوظاً في درجة مشاركة المرأة في الشؤون السياسية. وعلى سبيل المثال ازدادت مشاركة المرأة في المجالس الإقليمية من 20 في المائة في عام 1996 إلى 30 في المائة في عام 1998، أي أنه بين 399 عضواً في المجلس الإقليمي في ست مناطق كان هناك 122 من النساء.</w:t>
      </w:r>
    </w:p>
    <w:p w:rsidR="00000000" w:rsidRDefault="00000000">
      <w:pPr>
        <w:pStyle w:val="SingleTxt"/>
        <w:ind w:left="1264" w:right="1264"/>
        <w:rPr>
          <w:rtl/>
          <w:lang w:eastAsia="en-US"/>
        </w:rPr>
      </w:pPr>
      <w:r>
        <w:rPr>
          <w:rtl/>
          <w:lang w:eastAsia="en-US"/>
        </w:rPr>
        <w:tab/>
      </w:r>
      <w:r>
        <w:rPr>
          <w:rtl/>
          <w:lang w:eastAsia="en-US"/>
        </w:rPr>
        <w:tab/>
        <w:t>وتشكِّل المرأة 22.2 في المائة من الجمعية الوطنية ومتوسط قدره 30.5 في مجالس زوبا</w:t>
      </w:r>
      <w:r>
        <w:rPr>
          <w:rStyle w:val="FootnoteReference"/>
          <w:rtl/>
          <w:lang w:eastAsia="en-US"/>
        </w:rPr>
        <w:footnoteReference w:customMarkFollows="1" w:id="12"/>
        <w:t>(11)</w:t>
      </w:r>
      <w:r>
        <w:rPr>
          <w:rtl/>
          <w:lang w:eastAsia="en-US"/>
        </w:rPr>
        <w:t xml:space="preserve"> الستة. ويبدو أكبر سجل حققته المرأة في إقليم زوبا ماكل 37 في المائة، وزوبا دبوب 30 في المائة، وزوبا أنسيبا 28 في المائة، وزوبا غاش-بركا 29.7 في المائة، وزوبا جنوبي البحر الأحمر 27 في المائة، وفي شمال البحر الأحمر 29.5 في المائة.</w:t>
      </w:r>
    </w:p>
    <w:p w:rsidR="00000000" w:rsidRDefault="00000000">
      <w:pPr>
        <w:pStyle w:val="SingleTxt"/>
        <w:ind w:left="1264" w:right="1264"/>
        <w:rPr>
          <w:rtl/>
          <w:lang w:eastAsia="en-US"/>
        </w:rPr>
      </w:pPr>
      <w:r>
        <w:rPr>
          <w:rtl/>
          <w:lang w:eastAsia="en-US"/>
        </w:rPr>
        <w:tab/>
      </w:r>
      <w:r>
        <w:rPr>
          <w:rtl/>
          <w:lang w:eastAsia="en-US"/>
        </w:rPr>
        <w:tab/>
        <w:t>وكانت النتائج التي حققتها المرأة في جميع العمليات الانتخابية السابقة على المستوى الوطني والمستويات الإقليمية عالياً جداً. وانتخابات إدارة مجلس القرية تسير حاليا عبر جميع المناطق الفرعية في البلد ودون تخصيص مقاعد أو تطبيق نظام الحصص لأول مرة. والانتخابات حرة وديمقراطية حيث يتسابق الأعضاء المؤهلون في القرى (رجال ونساء) من أجل الحصول على مقاعد على أساس التنافس الصريح. وعلى الرغم من أنه من غير الممكن تجميع إحصاءات في هذا التقرير، فإنه يبدو أن المرأة تحصل على أصوات على أساس قدرتها على قيادة وإدارة مجتمع القرية.</w:t>
      </w:r>
    </w:p>
    <w:p w:rsidR="00000000" w:rsidRDefault="00000000">
      <w:pPr>
        <w:pStyle w:val="SingleTxt"/>
        <w:ind w:left="1264" w:right="1264"/>
        <w:rPr>
          <w:rtl/>
          <w:lang w:eastAsia="en-US"/>
        </w:rPr>
      </w:pPr>
      <w:r>
        <w:rPr>
          <w:rtl/>
          <w:lang w:eastAsia="en-US"/>
        </w:rPr>
        <w:tab/>
      </w:r>
      <w:r>
        <w:rPr>
          <w:rtl/>
          <w:lang w:eastAsia="en-US"/>
        </w:rPr>
        <w:tab/>
        <w:t>واليوم تعتبر مشاركة النساء في البرلمان الوطني من بين أعلى النِسَب بالمقارنة بحصة المرأة في البلدان الأفريقية الأخرى. وحسب عدد النساء في البرلمان، فإن التصنيف العالمي بتاريخ تشرين الثاني/نوفمبر 2002 يشير إلى موزامبيق (30 في المائة)، وجنوب أفريقيا (29.8 في المائة)، ورواندا (25.7 في المائة)، وناميبيا (25 في المائة)، وأوغندا (24.7 في المائة)، وسيشل (23.5 في المائة)، وأريتريا (22 في المائة)، وهي من بين أعلى النِسَب في حين تتراوح النسبة في بقية البلدان الأفريقية بين صفر في المائة إلى 19 في المائة.</w:t>
      </w:r>
    </w:p>
    <w:p w:rsidR="00000000" w:rsidRDefault="00000000">
      <w:pPr>
        <w:pStyle w:val="SingleTxt"/>
        <w:ind w:left="1264" w:right="1264"/>
        <w:rPr>
          <w:rtl/>
          <w:lang w:eastAsia="en-US"/>
        </w:rPr>
      </w:pPr>
      <w:r>
        <w:rPr>
          <w:rtl/>
          <w:lang w:eastAsia="en-US"/>
        </w:rPr>
        <w:tab/>
      </w:r>
      <w:r>
        <w:rPr>
          <w:rtl/>
          <w:lang w:eastAsia="en-US"/>
        </w:rPr>
        <w:tab/>
        <w:t>ولضمان المزيد من الوصول المتساوي للمرأة واشتراكها بالكامل في تركيب السلطة واتخاذ القرارات يتم تعيين عدة نساء في مناصب عليا. ويوجد حالياً ثلاث نساء وزيرات (18 في المائة من مجلس الوزراء) يشغلن منصب وزيرة العدل ووزيرة العمل والرفاهية الإنسانية ووزيرة السياحة. وإلى جانب ذلك يوجد بعض قضاة المحكمة العليا والمدَّعون والمديرون العامون والمديرون.</w:t>
      </w:r>
    </w:p>
    <w:p w:rsidR="00000000" w:rsidRDefault="00000000">
      <w:pPr>
        <w:pStyle w:val="SingleTxt"/>
        <w:ind w:left="1264" w:right="1264"/>
        <w:rPr>
          <w:rtl/>
          <w:lang w:eastAsia="en-US"/>
        </w:rPr>
      </w:pPr>
      <w:r>
        <w:rPr>
          <w:rtl/>
          <w:lang w:eastAsia="en-US"/>
        </w:rPr>
        <w:tab/>
      </w:r>
      <w:r>
        <w:rPr>
          <w:rtl/>
          <w:lang w:eastAsia="en-US"/>
        </w:rPr>
        <w:tab/>
        <w:t>وتوجد 3 نساء من بين 19 عضواً من المكتب السياسي (15.7 في المائة من الجبهة الشعبية من أجل الديمقراطية والعدالة و12 امرأة من 75 عضواً في اللجنة المركزية (16 في المائة). وقد قامت المرأة وتقوم بدور ملحوظ في النشاط السياسي في البلد. و50 في المائة تقريباً من أعضاء الجبهة الشعبية من أجل الديمقراطية والعدالة داخل البلد وفي الشتات من النساء.</w:t>
      </w:r>
    </w:p>
    <w:p w:rsidR="00000000" w:rsidRDefault="00000000">
      <w:pPr>
        <w:pStyle w:val="SingleTxt"/>
        <w:ind w:left="1264" w:right="1264"/>
        <w:rPr>
          <w:b/>
          <w:bCs/>
          <w:rtl/>
          <w:lang w:eastAsia="en-US"/>
        </w:rPr>
      </w:pPr>
      <w:r>
        <w:rPr>
          <w:b/>
          <w:bCs/>
          <w:rtl/>
          <w:lang w:eastAsia="en-US"/>
        </w:rPr>
        <w:t xml:space="preserve">الجدول 1 </w:t>
      </w:r>
      <w:r>
        <w:rPr>
          <w:b/>
          <w:bCs/>
          <w:lang w:eastAsia="en-US"/>
        </w:rPr>
        <w:t>–</w:t>
      </w:r>
      <w:r>
        <w:rPr>
          <w:b/>
          <w:bCs/>
          <w:rtl/>
          <w:lang w:eastAsia="en-US"/>
        </w:rPr>
        <w:t xml:space="preserve"> التقسيم حسب نوع الجنس في المناصب الحكومية العليا</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1"/>
        <w:gridCol w:w="992"/>
        <w:gridCol w:w="851"/>
        <w:gridCol w:w="992"/>
        <w:gridCol w:w="1134"/>
        <w:gridCol w:w="992"/>
        <w:gridCol w:w="1560"/>
      </w:tblGrid>
      <w:tr w:rsidR="00000000">
        <w:tblPrEx>
          <w:tblCellMar>
            <w:top w:w="0" w:type="dxa"/>
            <w:bottom w:w="0" w:type="dxa"/>
          </w:tblCellMar>
        </w:tblPrEx>
        <w:trPr>
          <w:cantSplit/>
        </w:trPr>
        <w:tc>
          <w:tcPr>
            <w:tcW w:w="567" w:type="dxa"/>
            <w:vMerge w:val="restart"/>
          </w:tcPr>
          <w:p w:rsidR="00000000" w:rsidRDefault="00000000">
            <w:pPr>
              <w:pStyle w:val="SingleTxt"/>
              <w:spacing w:after="0"/>
              <w:ind w:left="0" w:right="0"/>
              <w:rPr>
                <w:b/>
                <w:bCs/>
                <w:szCs w:val="22"/>
                <w:rtl/>
                <w:lang w:eastAsia="en-US"/>
              </w:rPr>
            </w:pPr>
            <w:r>
              <w:rPr>
                <w:b/>
                <w:bCs/>
                <w:szCs w:val="22"/>
                <w:rtl/>
                <w:lang w:eastAsia="en-US"/>
              </w:rPr>
              <w:t>الرقم</w:t>
            </w:r>
          </w:p>
        </w:tc>
        <w:tc>
          <w:tcPr>
            <w:tcW w:w="1701" w:type="dxa"/>
            <w:vMerge w:val="restart"/>
            <w:vAlign w:val="center"/>
          </w:tcPr>
          <w:p w:rsidR="00000000" w:rsidRDefault="00000000">
            <w:pPr>
              <w:pStyle w:val="SingleTxt"/>
              <w:spacing w:after="0"/>
              <w:ind w:left="0" w:right="0"/>
              <w:jc w:val="center"/>
              <w:rPr>
                <w:b/>
                <w:bCs/>
                <w:szCs w:val="22"/>
                <w:rtl/>
                <w:lang w:eastAsia="en-US"/>
              </w:rPr>
            </w:pPr>
            <w:r>
              <w:rPr>
                <w:b/>
                <w:bCs/>
                <w:szCs w:val="22"/>
                <w:rtl/>
                <w:lang w:eastAsia="en-US"/>
              </w:rPr>
              <w:t>المناصب الحكومية</w:t>
            </w:r>
          </w:p>
        </w:tc>
        <w:tc>
          <w:tcPr>
            <w:tcW w:w="2835" w:type="dxa"/>
            <w:gridSpan w:val="3"/>
          </w:tcPr>
          <w:p w:rsidR="00000000" w:rsidRDefault="00000000">
            <w:pPr>
              <w:pStyle w:val="SingleTxt"/>
              <w:spacing w:after="0"/>
              <w:ind w:left="0" w:right="0"/>
              <w:jc w:val="center"/>
              <w:rPr>
                <w:b/>
                <w:bCs/>
                <w:szCs w:val="22"/>
                <w:rtl/>
                <w:lang w:eastAsia="en-US"/>
              </w:rPr>
            </w:pPr>
            <w:r>
              <w:rPr>
                <w:b/>
                <w:bCs/>
                <w:szCs w:val="22"/>
                <w:rtl/>
                <w:lang w:eastAsia="en-US"/>
              </w:rPr>
              <w:t>1998</w:t>
            </w:r>
          </w:p>
        </w:tc>
        <w:tc>
          <w:tcPr>
            <w:tcW w:w="3686" w:type="dxa"/>
            <w:gridSpan w:val="3"/>
          </w:tcPr>
          <w:p w:rsidR="00000000" w:rsidRDefault="00000000">
            <w:pPr>
              <w:pStyle w:val="SingleTxt"/>
              <w:spacing w:after="0"/>
              <w:ind w:left="0" w:right="0"/>
              <w:jc w:val="center"/>
              <w:rPr>
                <w:b/>
                <w:bCs/>
                <w:szCs w:val="22"/>
                <w:rtl/>
                <w:lang w:eastAsia="en-US"/>
              </w:rPr>
            </w:pPr>
            <w:r>
              <w:rPr>
                <w:b/>
                <w:bCs/>
                <w:szCs w:val="22"/>
                <w:rtl/>
                <w:lang w:eastAsia="en-US"/>
              </w:rPr>
              <w:t>2002</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vMerge/>
          </w:tcPr>
          <w:p w:rsidR="00000000" w:rsidRDefault="00000000">
            <w:pPr>
              <w:pStyle w:val="SingleTxt"/>
              <w:spacing w:after="0"/>
              <w:ind w:left="0" w:right="0"/>
              <w:rPr>
                <w:szCs w:val="22"/>
                <w:rtl/>
                <w:lang w:eastAsia="en-US"/>
              </w:rPr>
            </w:pPr>
          </w:p>
        </w:tc>
        <w:tc>
          <w:tcPr>
            <w:tcW w:w="992" w:type="dxa"/>
          </w:tcPr>
          <w:p w:rsidR="00000000" w:rsidRDefault="00000000">
            <w:pPr>
              <w:pStyle w:val="SingleTxt"/>
              <w:spacing w:after="0"/>
              <w:ind w:left="0" w:right="0"/>
              <w:rPr>
                <w:b/>
                <w:bCs/>
                <w:szCs w:val="22"/>
                <w:rtl/>
                <w:lang w:eastAsia="en-US"/>
              </w:rPr>
            </w:pPr>
            <w:r>
              <w:rPr>
                <w:b/>
                <w:bCs/>
                <w:szCs w:val="22"/>
                <w:rtl/>
                <w:lang w:eastAsia="en-US"/>
              </w:rPr>
              <w:t>عدد النساء</w:t>
            </w:r>
          </w:p>
        </w:tc>
        <w:tc>
          <w:tcPr>
            <w:tcW w:w="851" w:type="dxa"/>
          </w:tcPr>
          <w:p w:rsidR="00000000" w:rsidRDefault="00000000">
            <w:pPr>
              <w:pStyle w:val="SingleTxt"/>
              <w:spacing w:after="0"/>
              <w:ind w:left="0" w:right="0"/>
              <w:rPr>
                <w:b/>
                <w:bCs/>
                <w:szCs w:val="22"/>
                <w:rtl/>
                <w:lang w:eastAsia="en-US"/>
              </w:rPr>
            </w:pPr>
            <w:r>
              <w:rPr>
                <w:b/>
                <w:bCs/>
                <w:szCs w:val="22"/>
                <w:rtl/>
                <w:lang w:eastAsia="en-US"/>
              </w:rPr>
              <w:t>المجموع</w:t>
            </w:r>
          </w:p>
        </w:tc>
        <w:tc>
          <w:tcPr>
            <w:tcW w:w="992" w:type="dxa"/>
          </w:tcPr>
          <w:p w:rsidR="00000000" w:rsidRDefault="00000000">
            <w:pPr>
              <w:pStyle w:val="SingleTxt"/>
              <w:spacing w:after="0"/>
              <w:ind w:left="0" w:right="0"/>
              <w:rPr>
                <w:b/>
                <w:bCs/>
                <w:szCs w:val="22"/>
                <w:rtl/>
                <w:lang w:eastAsia="en-US"/>
              </w:rPr>
            </w:pPr>
            <w:r>
              <w:rPr>
                <w:b/>
                <w:bCs/>
                <w:szCs w:val="22"/>
                <w:rtl/>
                <w:lang w:eastAsia="en-US"/>
              </w:rPr>
              <w:t>نسبة النساء</w:t>
            </w:r>
          </w:p>
        </w:tc>
        <w:tc>
          <w:tcPr>
            <w:tcW w:w="1134" w:type="dxa"/>
          </w:tcPr>
          <w:p w:rsidR="00000000" w:rsidRDefault="00000000">
            <w:pPr>
              <w:pStyle w:val="SingleTxt"/>
              <w:spacing w:after="0"/>
              <w:ind w:left="0" w:right="0"/>
              <w:rPr>
                <w:b/>
                <w:bCs/>
                <w:szCs w:val="22"/>
                <w:rtl/>
                <w:lang w:eastAsia="en-US"/>
              </w:rPr>
            </w:pPr>
            <w:r>
              <w:rPr>
                <w:b/>
                <w:bCs/>
                <w:szCs w:val="22"/>
                <w:rtl/>
                <w:lang w:eastAsia="en-US"/>
              </w:rPr>
              <w:t>عدد النساء</w:t>
            </w:r>
          </w:p>
        </w:tc>
        <w:tc>
          <w:tcPr>
            <w:tcW w:w="992" w:type="dxa"/>
          </w:tcPr>
          <w:p w:rsidR="00000000" w:rsidRDefault="00000000">
            <w:pPr>
              <w:pStyle w:val="SingleTxt"/>
              <w:spacing w:after="0"/>
              <w:ind w:left="0" w:right="0"/>
              <w:rPr>
                <w:b/>
                <w:bCs/>
                <w:szCs w:val="22"/>
                <w:rtl/>
                <w:lang w:eastAsia="en-US"/>
              </w:rPr>
            </w:pPr>
            <w:r>
              <w:rPr>
                <w:b/>
                <w:bCs/>
                <w:szCs w:val="22"/>
                <w:rtl/>
                <w:lang w:eastAsia="en-US"/>
              </w:rPr>
              <w:t>المجموع</w:t>
            </w:r>
          </w:p>
        </w:tc>
        <w:tc>
          <w:tcPr>
            <w:tcW w:w="1560" w:type="dxa"/>
          </w:tcPr>
          <w:p w:rsidR="00000000" w:rsidRDefault="00000000">
            <w:pPr>
              <w:pStyle w:val="SingleTxt"/>
              <w:spacing w:after="0"/>
              <w:ind w:left="0" w:right="0"/>
              <w:rPr>
                <w:b/>
                <w:bCs/>
                <w:szCs w:val="22"/>
                <w:rtl/>
                <w:lang w:eastAsia="en-US"/>
              </w:rPr>
            </w:pPr>
            <w:r>
              <w:rPr>
                <w:b/>
                <w:bCs/>
                <w:szCs w:val="22"/>
                <w:rtl/>
                <w:lang w:eastAsia="en-US"/>
              </w:rPr>
              <w:t>النسبة المئوية للنساء</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1</w:t>
            </w:r>
          </w:p>
        </w:tc>
        <w:tc>
          <w:tcPr>
            <w:tcW w:w="1701" w:type="dxa"/>
          </w:tcPr>
          <w:p w:rsidR="00000000" w:rsidRDefault="00000000">
            <w:pPr>
              <w:pStyle w:val="SingleTxt"/>
              <w:spacing w:after="0"/>
              <w:ind w:left="0" w:right="0"/>
              <w:rPr>
                <w:szCs w:val="22"/>
                <w:rtl/>
                <w:lang w:eastAsia="en-US"/>
              </w:rPr>
            </w:pPr>
            <w:r>
              <w:rPr>
                <w:szCs w:val="22"/>
                <w:rtl/>
                <w:lang w:eastAsia="en-US"/>
              </w:rPr>
              <w:t>الجمعية الوطنية</w:t>
            </w:r>
          </w:p>
        </w:tc>
        <w:tc>
          <w:tcPr>
            <w:tcW w:w="992" w:type="dxa"/>
          </w:tcPr>
          <w:p w:rsidR="00000000" w:rsidRDefault="00000000">
            <w:pPr>
              <w:pStyle w:val="SingleTxt"/>
              <w:spacing w:after="0"/>
              <w:ind w:left="0" w:right="0"/>
              <w:rPr>
                <w:szCs w:val="22"/>
                <w:rtl/>
                <w:lang w:eastAsia="en-US"/>
              </w:rPr>
            </w:pPr>
            <w:r>
              <w:rPr>
                <w:szCs w:val="22"/>
                <w:rtl/>
                <w:lang w:eastAsia="en-US"/>
              </w:rPr>
              <w:t>33</w:t>
            </w:r>
          </w:p>
        </w:tc>
        <w:tc>
          <w:tcPr>
            <w:tcW w:w="851" w:type="dxa"/>
          </w:tcPr>
          <w:p w:rsidR="00000000" w:rsidRDefault="00000000">
            <w:pPr>
              <w:pStyle w:val="SingleTxt"/>
              <w:spacing w:after="0"/>
              <w:ind w:left="0" w:right="0"/>
              <w:rPr>
                <w:szCs w:val="22"/>
                <w:rtl/>
                <w:lang w:eastAsia="en-US"/>
              </w:rPr>
            </w:pPr>
            <w:r>
              <w:rPr>
                <w:szCs w:val="22"/>
                <w:rtl/>
                <w:lang w:eastAsia="en-US"/>
              </w:rPr>
              <w:t>150</w:t>
            </w:r>
          </w:p>
        </w:tc>
        <w:tc>
          <w:tcPr>
            <w:tcW w:w="992" w:type="dxa"/>
          </w:tcPr>
          <w:p w:rsidR="00000000" w:rsidRDefault="00000000">
            <w:pPr>
              <w:pStyle w:val="SingleTxt"/>
              <w:spacing w:after="0"/>
              <w:ind w:left="0" w:right="0"/>
              <w:rPr>
                <w:szCs w:val="22"/>
                <w:rtl/>
                <w:lang w:eastAsia="en-US"/>
              </w:rPr>
            </w:pPr>
            <w:r>
              <w:rPr>
                <w:szCs w:val="22"/>
                <w:rtl/>
                <w:lang w:eastAsia="en-US"/>
              </w:rPr>
              <w:t>22</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33</w:t>
            </w:r>
          </w:p>
        </w:tc>
        <w:tc>
          <w:tcPr>
            <w:tcW w:w="992" w:type="dxa"/>
          </w:tcPr>
          <w:p w:rsidR="00000000" w:rsidRDefault="00000000">
            <w:pPr>
              <w:pStyle w:val="SingleTxt"/>
              <w:spacing w:after="0"/>
              <w:ind w:left="0" w:right="0"/>
              <w:rPr>
                <w:szCs w:val="22"/>
                <w:rtl/>
                <w:lang w:eastAsia="en-US"/>
              </w:rPr>
            </w:pPr>
            <w:r>
              <w:rPr>
                <w:szCs w:val="22"/>
                <w:rtl/>
                <w:lang w:eastAsia="en-US"/>
              </w:rPr>
              <w:t>150</w:t>
            </w:r>
          </w:p>
        </w:tc>
        <w:tc>
          <w:tcPr>
            <w:tcW w:w="1560" w:type="dxa"/>
          </w:tcPr>
          <w:p w:rsidR="00000000" w:rsidRDefault="00000000">
            <w:pPr>
              <w:pStyle w:val="SingleTxt"/>
              <w:spacing w:after="0"/>
              <w:ind w:left="0" w:right="0"/>
              <w:rPr>
                <w:szCs w:val="22"/>
                <w:rtl/>
                <w:lang w:eastAsia="en-US"/>
              </w:rPr>
            </w:pPr>
            <w:r>
              <w:rPr>
                <w:szCs w:val="22"/>
                <w:rtl/>
                <w:lang w:eastAsia="en-US"/>
              </w:rPr>
              <w:t>22</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2</w:t>
            </w:r>
          </w:p>
        </w:tc>
        <w:tc>
          <w:tcPr>
            <w:tcW w:w="1701" w:type="dxa"/>
          </w:tcPr>
          <w:p w:rsidR="00000000" w:rsidRDefault="00000000">
            <w:pPr>
              <w:pStyle w:val="SingleTxt"/>
              <w:spacing w:after="0"/>
              <w:ind w:left="0" w:right="0"/>
              <w:rPr>
                <w:szCs w:val="22"/>
                <w:rtl/>
                <w:lang w:eastAsia="en-US"/>
              </w:rPr>
            </w:pPr>
            <w:r>
              <w:rPr>
                <w:szCs w:val="22"/>
                <w:rtl/>
                <w:lang w:eastAsia="en-US"/>
              </w:rPr>
              <w:t>الوزراء</w:t>
            </w:r>
          </w:p>
        </w:tc>
        <w:tc>
          <w:tcPr>
            <w:tcW w:w="992" w:type="dxa"/>
          </w:tcPr>
          <w:p w:rsidR="00000000" w:rsidRDefault="00000000">
            <w:pPr>
              <w:pStyle w:val="SingleTxt"/>
              <w:spacing w:after="0"/>
              <w:ind w:left="0" w:right="0"/>
              <w:rPr>
                <w:szCs w:val="22"/>
                <w:rtl/>
                <w:lang w:eastAsia="en-US"/>
              </w:rPr>
            </w:pPr>
            <w:r>
              <w:rPr>
                <w:szCs w:val="22"/>
                <w:rtl/>
                <w:lang w:eastAsia="en-US"/>
              </w:rPr>
              <w:t>2</w:t>
            </w:r>
          </w:p>
        </w:tc>
        <w:tc>
          <w:tcPr>
            <w:tcW w:w="851" w:type="dxa"/>
          </w:tcPr>
          <w:p w:rsidR="00000000" w:rsidRDefault="00000000">
            <w:pPr>
              <w:pStyle w:val="SingleTxt"/>
              <w:spacing w:after="0"/>
              <w:ind w:left="0" w:right="0"/>
              <w:rPr>
                <w:szCs w:val="22"/>
                <w:rtl/>
                <w:lang w:eastAsia="en-US"/>
              </w:rPr>
            </w:pPr>
            <w:r>
              <w:rPr>
                <w:szCs w:val="22"/>
                <w:rtl/>
                <w:lang w:eastAsia="en-US"/>
              </w:rPr>
              <w:t>17</w:t>
            </w:r>
          </w:p>
        </w:tc>
        <w:tc>
          <w:tcPr>
            <w:tcW w:w="992" w:type="dxa"/>
          </w:tcPr>
          <w:p w:rsidR="00000000" w:rsidRDefault="00000000">
            <w:pPr>
              <w:pStyle w:val="SingleTxt"/>
              <w:spacing w:after="0"/>
              <w:ind w:left="0" w:right="0"/>
              <w:rPr>
                <w:szCs w:val="22"/>
                <w:rtl/>
                <w:lang w:eastAsia="en-US"/>
              </w:rPr>
            </w:pPr>
            <w:r>
              <w:rPr>
                <w:szCs w:val="22"/>
                <w:rtl/>
                <w:lang w:eastAsia="en-US"/>
              </w:rPr>
              <w:t>11.7</w:t>
            </w:r>
          </w:p>
        </w:tc>
        <w:tc>
          <w:tcPr>
            <w:tcW w:w="1134" w:type="dxa"/>
          </w:tcPr>
          <w:p w:rsidR="00000000" w:rsidRDefault="00000000">
            <w:pPr>
              <w:pStyle w:val="SingleTxt"/>
              <w:spacing w:after="0"/>
              <w:ind w:left="0" w:right="0"/>
              <w:rPr>
                <w:szCs w:val="22"/>
                <w:rtl/>
                <w:lang w:eastAsia="en-US"/>
              </w:rPr>
            </w:pPr>
            <w:r>
              <w:rPr>
                <w:szCs w:val="22"/>
                <w:rtl/>
                <w:lang w:eastAsia="en-US"/>
              </w:rPr>
              <w:t>3</w:t>
            </w:r>
          </w:p>
        </w:tc>
        <w:tc>
          <w:tcPr>
            <w:tcW w:w="992" w:type="dxa"/>
          </w:tcPr>
          <w:p w:rsidR="00000000" w:rsidRDefault="00000000">
            <w:pPr>
              <w:pStyle w:val="SingleTxt"/>
              <w:spacing w:after="0"/>
              <w:ind w:left="0" w:right="0"/>
              <w:rPr>
                <w:szCs w:val="22"/>
                <w:rtl/>
                <w:lang w:eastAsia="en-US"/>
              </w:rPr>
            </w:pPr>
            <w:r>
              <w:rPr>
                <w:szCs w:val="22"/>
                <w:rtl/>
                <w:lang w:eastAsia="en-US"/>
              </w:rPr>
              <w:t>17</w:t>
            </w:r>
          </w:p>
        </w:tc>
        <w:tc>
          <w:tcPr>
            <w:tcW w:w="1560" w:type="dxa"/>
          </w:tcPr>
          <w:p w:rsidR="00000000" w:rsidRDefault="00000000">
            <w:pPr>
              <w:pStyle w:val="SingleTxt"/>
              <w:spacing w:after="0"/>
              <w:ind w:left="0" w:right="0"/>
              <w:rPr>
                <w:szCs w:val="22"/>
                <w:rtl/>
                <w:lang w:eastAsia="en-US"/>
              </w:rPr>
            </w:pPr>
            <w:r>
              <w:rPr>
                <w:szCs w:val="22"/>
                <w:rtl/>
                <w:lang w:eastAsia="en-US"/>
              </w:rPr>
              <w:t>17.6</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3</w:t>
            </w:r>
          </w:p>
        </w:tc>
        <w:tc>
          <w:tcPr>
            <w:tcW w:w="1701" w:type="dxa"/>
          </w:tcPr>
          <w:p w:rsidR="00000000" w:rsidRDefault="00000000">
            <w:pPr>
              <w:pStyle w:val="SingleTxt"/>
              <w:spacing w:after="0"/>
              <w:ind w:left="0" w:right="0"/>
              <w:rPr>
                <w:szCs w:val="22"/>
                <w:rtl/>
                <w:lang w:eastAsia="en-US"/>
              </w:rPr>
            </w:pPr>
            <w:r>
              <w:rPr>
                <w:szCs w:val="22"/>
                <w:rtl/>
                <w:lang w:eastAsia="en-US"/>
              </w:rPr>
              <w:t>المديرون العامون</w:t>
            </w:r>
          </w:p>
        </w:tc>
        <w:tc>
          <w:tcPr>
            <w:tcW w:w="992" w:type="dxa"/>
          </w:tcPr>
          <w:p w:rsidR="00000000" w:rsidRDefault="00000000">
            <w:pPr>
              <w:pStyle w:val="SingleTxt"/>
              <w:spacing w:after="0"/>
              <w:ind w:left="0" w:right="0"/>
              <w:rPr>
                <w:szCs w:val="22"/>
                <w:rtl/>
                <w:lang w:eastAsia="en-US"/>
              </w:rPr>
            </w:pPr>
            <w:r>
              <w:rPr>
                <w:szCs w:val="22"/>
                <w:rtl/>
                <w:lang w:eastAsia="en-US"/>
              </w:rPr>
              <w:t>-</w:t>
            </w:r>
          </w:p>
        </w:tc>
        <w:tc>
          <w:tcPr>
            <w:tcW w:w="851" w:type="dxa"/>
          </w:tcPr>
          <w:p w:rsidR="00000000" w:rsidRDefault="00000000">
            <w:pPr>
              <w:pStyle w:val="SingleTxt"/>
              <w:spacing w:after="0"/>
              <w:ind w:left="0" w:right="0"/>
              <w:rPr>
                <w:szCs w:val="22"/>
                <w:rtl/>
                <w:lang w:eastAsia="en-US"/>
              </w:rPr>
            </w:pPr>
            <w:r>
              <w:rPr>
                <w:szCs w:val="22"/>
                <w:rtl/>
                <w:lang w:eastAsia="en-US"/>
              </w:rPr>
              <w:t>-</w:t>
            </w:r>
          </w:p>
        </w:tc>
        <w:tc>
          <w:tcPr>
            <w:tcW w:w="992" w:type="dxa"/>
          </w:tcPr>
          <w:p w:rsidR="00000000" w:rsidRDefault="00000000">
            <w:pPr>
              <w:pStyle w:val="SingleTxt"/>
              <w:spacing w:after="0"/>
              <w:ind w:left="0" w:right="0"/>
              <w:rPr>
                <w:szCs w:val="22"/>
                <w:rtl/>
                <w:lang w:eastAsia="en-US"/>
              </w:rPr>
            </w:pPr>
            <w:r>
              <w:rPr>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w:t>
            </w:r>
          </w:p>
        </w:tc>
        <w:tc>
          <w:tcPr>
            <w:tcW w:w="992" w:type="dxa"/>
          </w:tcPr>
          <w:p w:rsidR="00000000" w:rsidRDefault="00000000">
            <w:pPr>
              <w:pStyle w:val="SingleTxt"/>
              <w:spacing w:after="0"/>
              <w:ind w:left="0" w:right="0"/>
              <w:rPr>
                <w:szCs w:val="22"/>
                <w:rtl/>
                <w:lang w:eastAsia="en-US"/>
              </w:rPr>
            </w:pPr>
            <w:r>
              <w:rPr>
                <w:szCs w:val="22"/>
                <w:rtl/>
                <w:lang w:eastAsia="en-US"/>
              </w:rPr>
              <w:t>-</w:t>
            </w:r>
          </w:p>
        </w:tc>
        <w:tc>
          <w:tcPr>
            <w:tcW w:w="1560" w:type="dxa"/>
          </w:tcPr>
          <w:p w:rsidR="00000000" w:rsidRDefault="00000000">
            <w:pPr>
              <w:pStyle w:val="SingleTxt"/>
              <w:spacing w:after="0"/>
              <w:ind w:left="0" w:right="0"/>
              <w:rPr>
                <w:szCs w:val="22"/>
                <w:rtl/>
                <w:lang w:eastAsia="en-US"/>
              </w:rPr>
            </w:pPr>
            <w:r>
              <w:rPr>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4</w:t>
            </w:r>
          </w:p>
        </w:tc>
        <w:tc>
          <w:tcPr>
            <w:tcW w:w="1701" w:type="dxa"/>
          </w:tcPr>
          <w:p w:rsidR="00000000" w:rsidRDefault="00000000">
            <w:pPr>
              <w:pStyle w:val="SingleTxt"/>
              <w:spacing w:after="0"/>
              <w:ind w:left="0" w:right="0"/>
              <w:rPr>
                <w:szCs w:val="22"/>
                <w:rtl/>
                <w:lang w:eastAsia="en-US"/>
              </w:rPr>
            </w:pPr>
            <w:r>
              <w:rPr>
                <w:szCs w:val="22"/>
                <w:rtl/>
                <w:lang w:eastAsia="en-US"/>
              </w:rPr>
              <w:t>المديرون</w:t>
            </w:r>
          </w:p>
        </w:tc>
        <w:tc>
          <w:tcPr>
            <w:tcW w:w="992" w:type="dxa"/>
          </w:tcPr>
          <w:p w:rsidR="00000000" w:rsidRDefault="00000000">
            <w:pPr>
              <w:pStyle w:val="SingleTxt"/>
              <w:spacing w:after="0"/>
              <w:ind w:left="0" w:right="0"/>
              <w:rPr>
                <w:szCs w:val="22"/>
                <w:rtl/>
                <w:lang w:eastAsia="en-US"/>
              </w:rPr>
            </w:pPr>
          </w:p>
        </w:tc>
        <w:tc>
          <w:tcPr>
            <w:tcW w:w="851" w:type="dxa"/>
          </w:tcPr>
          <w:p w:rsidR="00000000" w:rsidRDefault="00000000">
            <w:pPr>
              <w:pStyle w:val="SingleTxt"/>
              <w:spacing w:after="0"/>
              <w:ind w:left="0" w:right="0"/>
              <w:rPr>
                <w:szCs w:val="22"/>
                <w:rtl/>
                <w:lang w:eastAsia="en-US"/>
              </w:rPr>
            </w:pPr>
          </w:p>
        </w:tc>
        <w:tc>
          <w:tcPr>
            <w:tcW w:w="992" w:type="dxa"/>
          </w:tcPr>
          <w:p w:rsidR="00000000" w:rsidRDefault="00000000">
            <w:pPr>
              <w:pStyle w:val="SingleTxt"/>
              <w:spacing w:after="0"/>
              <w:ind w:left="0" w:right="0"/>
              <w:rPr>
                <w:szCs w:val="22"/>
                <w:rtl/>
                <w:lang w:eastAsia="en-US"/>
              </w:rPr>
            </w:pPr>
          </w:p>
        </w:tc>
        <w:tc>
          <w:tcPr>
            <w:tcW w:w="1134" w:type="dxa"/>
          </w:tcPr>
          <w:p w:rsidR="00000000" w:rsidRDefault="00000000">
            <w:pPr>
              <w:pStyle w:val="SingleTxt"/>
              <w:spacing w:after="0"/>
              <w:ind w:left="0" w:right="0"/>
              <w:rPr>
                <w:szCs w:val="22"/>
                <w:rtl/>
                <w:lang w:eastAsia="en-US"/>
              </w:rPr>
            </w:pPr>
          </w:p>
        </w:tc>
        <w:tc>
          <w:tcPr>
            <w:tcW w:w="992" w:type="dxa"/>
          </w:tcPr>
          <w:p w:rsidR="00000000" w:rsidRDefault="00000000">
            <w:pPr>
              <w:pStyle w:val="SingleTxt"/>
              <w:spacing w:after="0"/>
              <w:ind w:left="0" w:right="0"/>
              <w:rPr>
                <w:szCs w:val="22"/>
                <w:rtl/>
                <w:lang w:eastAsia="en-US"/>
              </w:rPr>
            </w:pPr>
          </w:p>
        </w:tc>
        <w:tc>
          <w:tcPr>
            <w:tcW w:w="1560" w:type="dxa"/>
          </w:tcPr>
          <w:p w:rsidR="00000000" w:rsidRDefault="00000000">
            <w:pPr>
              <w:pStyle w:val="SingleTxt"/>
              <w:spacing w:after="0"/>
              <w:ind w:left="0" w:right="0"/>
              <w:rPr>
                <w:szCs w:val="22"/>
                <w:rtl/>
                <w:lang w:eastAsia="en-US"/>
              </w:rPr>
            </w:pP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5</w:t>
            </w:r>
          </w:p>
        </w:tc>
        <w:tc>
          <w:tcPr>
            <w:tcW w:w="1701" w:type="dxa"/>
          </w:tcPr>
          <w:p w:rsidR="00000000" w:rsidRDefault="00000000">
            <w:pPr>
              <w:pStyle w:val="SingleTxt"/>
              <w:spacing w:after="0"/>
              <w:ind w:left="0" w:right="0"/>
              <w:rPr>
                <w:szCs w:val="22"/>
                <w:rtl/>
                <w:lang w:eastAsia="en-US"/>
              </w:rPr>
            </w:pPr>
            <w:r>
              <w:rPr>
                <w:szCs w:val="22"/>
                <w:rtl/>
                <w:lang w:eastAsia="en-US"/>
              </w:rPr>
              <w:t>المحافظ الإقليمي</w:t>
            </w:r>
          </w:p>
        </w:tc>
        <w:tc>
          <w:tcPr>
            <w:tcW w:w="992" w:type="dxa"/>
          </w:tcPr>
          <w:p w:rsidR="00000000" w:rsidRDefault="00000000">
            <w:pPr>
              <w:pStyle w:val="SingleTxt"/>
              <w:spacing w:after="0"/>
              <w:ind w:left="0" w:right="0"/>
              <w:rPr>
                <w:szCs w:val="22"/>
                <w:rtl/>
                <w:lang w:eastAsia="en-US"/>
              </w:rPr>
            </w:pPr>
            <w:r>
              <w:rPr>
                <w:szCs w:val="22"/>
                <w:rtl/>
                <w:lang w:eastAsia="en-US"/>
              </w:rPr>
              <w:t>0</w:t>
            </w:r>
          </w:p>
        </w:tc>
        <w:tc>
          <w:tcPr>
            <w:tcW w:w="851" w:type="dxa"/>
          </w:tcPr>
          <w:p w:rsidR="00000000" w:rsidRDefault="00000000">
            <w:pPr>
              <w:pStyle w:val="SingleTxt"/>
              <w:spacing w:after="0"/>
              <w:ind w:left="0" w:right="0"/>
              <w:rPr>
                <w:szCs w:val="22"/>
                <w:rtl/>
                <w:lang w:eastAsia="en-US"/>
              </w:rPr>
            </w:pPr>
            <w:r>
              <w:rPr>
                <w:szCs w:val="22"/>
                <w:rtl/>
                <w:lang w:eastAsia="en-US"/>
              </w:rPr>
              <w:t>6</w:t>
            </w:r>
          </w:p>
        </w:tc>
        <w:tc>
          <w:tcPr>
            <w:tcW w:w="992" w:type="dxa"/>
          </w:tcPr>
          <w:p w:rsidR="00000000" w:rsidRDefault="00000000">
            <w:pPr>
              <w:pStyle w:val="SingleTxt"/>
              <w:spacing w:after="0"/>
              <w:ind w:left="0" w:right="0"/>
              <w:rPr>
                <w:szCs w:val="22"/>
                <w:rtl/>
                <w:lang w:eastAsia="en-US"/>
              </w:rPr>
            </w:pPr>
            <w:r>
              <w:rPr>
                <w:szCs w:val="22"/>
                <w:rtl/>
                <w:lang w:eastAsia="en-US"/>
              </w:rPr>
              <w:t>0</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0</w:t>
            </w:r>
          </w:p>
        </w:tc>
        <w:tc>
          <w:tcPr>
            <w:tcW w:w="992" w:type="dxa"/>
          </w:tcPr>
          <w:p w:rsidR="00000000" w:rsidRDefault="00000000">
            <w:pPr>
              <w:pStyle w:val="SingleTxt"/>
              <w:spacing w:after="0"/>
              <w:ind w:left="0" w:right="0"/>
              <w:rPr>
                <w:szCs w:val="22"/>
                <w:rtl/>
                <w:lang w:eastAsia="en-US"/>
              </w:rPr>
            </w:pPr>
            <w:r>
              <w:rPr>
                <w:szCs w:val="22"/>
                <w:rtl/>
                <w:lang w:eastAsia="en-US"/>
              </w:rPr>
              <w:t>6</w:t>
            </w:r>
          </w:p>
        </w:tc>
        <w:tc>
          <w:tcPr>
            <w:tcW w:w="1560" w:type="dxa"/>
          </w:tcPr>
          <w:p w:rsidR="00000000" w:rsidRDefault="00000000">
            <w:pPr>
              <w:pStyle w:val="SingleTxt"/>
              <w:spacing w:after="0"/>
              <w:ind w:left="0" w:right="0"/>
              <w:rPr>
                <w:szCs w:val="22"/>
                <w:rtl/>
                <w:lang w:eastAsia="en-US"/>
              </w:rPr>
            </w:pPr>
            <w:r>
              <w:rPr>
                <w:szCs w:val="22"/>
                <w:rtl/>
                <w:lang w:eastAsia="en-US"/>
              </w:rPr>
              <w:t>0</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6</w:t>
            </w:r>
          </w:p>
        </w:tc>
        <w:tc>
          <w:tcPr>
            <w:tcW w:w="1701" w:type="dxa"/>
          </w:tcPr>
          <w:p w:rsidR="00000000" w:rsidRDefault="00000000">
            <w:pPr>
              <w:pStyle w:val="SingleTxt"/>
              <w:spacing w:after="0"/>
              <w:ind w:left="0" w:right="0"/>
              <w:rPr>
                <w:szCs w:val="22"/>
                <w:rtl/>
                <w:lang w:eastAsia="en-US"/>
              </w:rPr>
            </w:pPr>
            <w:r>
              <w:rPr>
                <w:szCs w:val="22"/>
                <w:rtl/>
                <w:lang w:eastAsia="en-US"/>
              </w:rPr>
              <w:t>المحافظ دون الإقليمي</w:t>
            </w:r>
          </w:p>
        </w:tc>
        <w:tc>
          <w:tcPr>
            <w:tcW w:w="992" w:type="dxa"/>
          </w:tcPr>
          <w:p w:rsidR="00000000" w:rsidRDefault="00000000">
            <w:pPr>
              <w:pStyle w:val="SingleTxt"/>
              <w:spacing w:after="0"/>
              <w:ind w:left="0" w:right="0"/>
              <w:rPr>
                <w:szCs w:val="22"/>
                <w:rtl/>
                <w:lang w:eastAsia="en-US"/>
              </w:rPr>
            </w:pPr>
            <w:r>
              <w:rPr>
                <w:szCs w:val="22"/>
                <w:rtl/>
                <w:lang w:eastAsia="en-US"/>
              </w:rPr>
              <w:t>3</w:t>
            </w:r>
          </w:p>
        </w:tc>
        <w:tc>
          <w:tcPr>
            <w:tcW w:w="851" w:type="dxa"/>
          </w:tcPr>
          <w:p w:rsidR="00000000" w:rsidRDefault="00000000">
            <w:pPr>
              <w:pStyle w:val="SingleTxt"/>
              <w:spacing w:after="0"/>
              <w:ind w:left="0" w:right="0"/>
              <w:rPr>
                <w:szCs w:val="22"/>
                <w:rtl/>
                <w:lang w:eastAsia="en-US"/>
              </w:rPr>
            </w:pPr>
            <w:r>
              <w:rPr>
                <w:szCs w:val="22"/>
                <w:rtl/>
                <w:lang w:eastAsia="en-US"/>
              </w:rPr>
              <w:t>53</w:t>
            </w:r>
          </w:p>
        </w:tc>
        <w:tc>
          <w:tcPr>
            <w:tcW w:w="992" w:type="dxa"/>
          </w:tcPr>
          <w:p w:rsidR="00000000" w:rsidRDefault="00000000">
            <w:pPr>
              <w:pStyle w:val="SingleTxt"/>
              <w:spacing w:after="0"/>
              <w:ind w:left="0" w:right="0"/>
              <w:rPr>
                <w:szCs w:val="22"/>
                <w:rtl/>
                <w:lang w:eastAsia="en-US"/>
              </w:rPr>
            </w:pPr>
            <w:r>
              <w:rPr>
                <w:szCs w:val="22"/>
                <w:rtl/>
                <w:lang w:eastAsia="en-US"/>
              </w:rPr>
              <w:t>5.7</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غير موجود</w:t>
            </w:r>
          </w:p>
        </w:tc>
        <w:tc>
          <w:tcPr>
            <w:tcW w:w="992" w:type="dxa"/>
          </w:tcPr>
          <w:p w:rsidR="00000000" w:rsidRDefault="00000000">
            <w:pPr>
              <w:pStyle w:val="SingleTxt"/>
              <w:spacing w:after="0"/>
              <w:ind w:left="0" w:right="0"/>
              <w:rPr>
                <w:szCs w:val="22"/>
                <w:rtl/>
                <w:lang w:eastAsia="en-US"/>
              </w:rPr>
            </w:pPr>
            <w:r>
              <w:rPr>
                <w:szCs w:val="22"/>
                <w:rtl/>
                <w:lang w:eastAsia="en-US"/>
              </w:rPr>
              <w:t>غير موجود</w:t>
            </w:r>
          </w:p>
        </w:tc>
        <w:tc>
          <w:tcPr>
            <w:tcW w:w="1560" w:type="dxa"/>
          </w:tcPr>
          <w:p w:rsidR="00000000" w:rsidRDefault="00000000">
            <w:pPr>
              <w:pStyle w:val="SingleTxt"/>
              <w:spacing w:after="0"/>
              <w:ind w:left="0" w:right="0"/>
              <w:rPr>
                <w:szCs w:val="22"/>
                <w:rtl/>
                <w:lang w:eastAsia="en-US"/>
              </w:rPr>
            </w:pPr>
            <w:r>
              <w:rPr>
                <w:szCs w:val="22"/>
                <w:rtl/>
                <w:lang w:eastAsia="en-US"/>
              </w:rPr>
              <w:t>غير موجود</w:t>
            </w:r>
          </w:p>
        </w:tc>
      </w:tr>
      <w:tr w:rsidR="00000000">
        <w:tblPrEx>
          <w:tblCellMar>
            <w:top w:w="0" w:type="dxa"/>
            <w:bottom w:w="0" w:type="dxa"/>
          </w:tblCellMar>
        </w:tblPrEx>
        <w:trPr>
          <w:cantSplit/>
        </w:trPr>
        <w:tc>
          <w:tcPr>
            <w:tcW w:w="567" w:type="dxa"/>
            <w:vMerge w:val="restart"/>
          </w:tcPr>
          <w:p w:rsidR="00000000" w:rsidRDefault="00000000">
            <w:pPr>
              <w:pStyle w:val="SingleTxt"/>
              <w:spacing w:after="0"/>
              <w:ind w:left="0" w:right="0"/>
              <w:rPr>
                <w:szCs w:val="22"/>
                <w:rtl/>
                <w:lang w:eastAsia="en-US"/>
              </w:rPr>
            </w:pPr>
            <w:r>
              <w:rPr>
                <w:szCs w:val="22"/>
                <w:rtl/>
                <w:lang w:eastAsia="en-US"/>
              </w:rPr>
              <w:t>10</w:t>
            </w:r>
          </w:p>
        </w:tc>
        <w:tc>
          <w:tcPr>
            <w:tcW w:w="1701" w:type="dxa"/>
          </w:tcPr>
          <w:p w:rsidR="00000000" w:rsidRDefault="00000000">
            <w:pPr>
              <w:pStyle w:val="SingleTxt"/>
              <w:spacing w:after="0"/>
              <w:ind w:left="0" w:right="0"/>
              <w:rPr>
                <w:szCs w:val="22"/>
                <w:rtl/>
                <w:lang w:eastAsia="en-US"/>
              </w:rPr>
            </w:pPr>
            <w:r>
              <w:rPr>
                <w:szCs w:val="22"/>
                <w:rtl/>
                <w:lang w:eastAsia="en-US"/>
              </w:rPr>
              <w:t>السفراء</w:t>
            </w:r>
          </w:p>
        </w:tc>
        <w:tc>
          <w:tcPr>
            <w:tcW w:w="992" w:type="dxa"/>
          </w:tcPr>
          <w:p w:rsidR="00000000" w:rsidRDefault="00000000">
            <w:pPr>
              <w:pStyle w:val="SingleTxt"/>
              <w:spacing w:after="0"/>
              <w:ind w:left="0" w:right="0"/>
              <w:rPr>
                <w:szCs w:val="22"/>
                <w:rtl/>
                <w:lang w:eastAsia="en-US"/>
              </w:rPr>
            </w:pPr>
            <w:r>
              <w:rPr>
                <w:szCs w:val="22"/>
                <w:rtl/>
                <w:lang w:eastAsia="en-US"/>
              </w:rPr>
              <w:t>2</w:t>
            </w:r>
          </w:p>
        </w:tc>
        <w:tc>
          <w:tcPr>
            <w:tcW w:w="851" w:type="dxa"/>
          </w:tcPr>
          <w:p w:rsidR="00000000" w:rsidRDefault="00000000">
            <w:pPr>
              <w:pStyle w:val="SingleTxt"/>
              <w:spacing w:after="0"/>
              <w:ind w:left="0" w:right="0"/>
              <w:rPr>
                <w:szCs w:val="22"/>
                <w:rtl/>
                <w:lang w:eastAsia="en-US"/>
              </w:rPr>
            </w:pPr>
            <w:r>
              <w:rPr>
                <w:szCs w:val="22"/>
                <w:rtl/>
                <w:lang w:eastAsia="en-US"/>
              </w:rPr>
              <w:t>18</w:t>
            </w:r>
          </w:p>
        </w:tc>
        <w:tc>
          <w:tcPr>
            <w:tcW w:w="992" w:type="dxa"/>
          </w:tcPr>
          <w:p w:rsidR="00000000" w:rsidRDefault="00000000">
            <w:pPr>
              <w:pStyle w:val="SingleTxt"/>
              <w:spacing w:after="0"/>
              <w:ind w:left="0" w:right="0"/>
              <w:rPr>
                <w:szCs w:val="22"/>
                <w:rtl/>
                <w:lang w:eastAsia="en-US"/>
              </w:rPr>
            </w:pPr>
            <w:r>
              <w:rPr>
                <w:szCs w:val="22"/>
                <w:rtl/>
                <w:lang w:eastAsia="en-US"/>
              </w:rPr>
              <w:t>11.1</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1</w:t>
            </w:r>
          </w:p>
        </w:tc>
        <w:tc>
          <w:tcPr>
            <w:tcW w:w="992" w:type="dxa"/>
          </w:tcPr>
          <w:p w:rsidR="00000000" w:rsidRDefault="00000000">
            <w:pPr>
              <w:pStyle w:val="SingleTxt"/>
              <w:spacing w:after="0"/>
              <w:ind w:left="0" w:right="0"/>
              <w:rPr>
                <w:szCs w:val="22"/>
                <w:rtl/>
                <w:lang w:eastAsia="en-US"/>
              </w:rPr>
            </w:pPr>
            <w:r>
              <w:rPr>
                <w:szCs w:val="22"/>
                <w:rtl/>
                <w:lang w:eastAsia="en-US"/>
              </w:rPr>
              <w:t>30</w:t>
            </w:r>
          </w:p>
        </w:tc>
        <w:tc>
          <w:tcPr>
            <w:tcW w:w="1560" w:type="dxa"/>
          </w:tcPr>
          <w:p w:rsidR="00000000" w:rsidRDefault="00000000">
            <w:pPr>
              <w:pStyle w:val="SingleTxt"/>
              <w:spacing w:after="0"/>
              <w:ind w:left="0" w:right="0"/>
              <w:rPr>
                <w:szCs w:val="22"/>
                <w:rtl/>
                <w:lang w:eastAsia="en-US"/>
              </w:rPr>
            </w:pPr>
            <w:r>
              <w:rPr>
                <w:szCs w:val="22"/>
                <w:rtl/>
                <w:lang w:eastAsia="en-US"/>
              </w:rPr>
              <w:t>3.3</w:t>
            </w:r>
            <w:r>
              <w:rPr>
                <w:rFonts w:cs="Akhbar MT"/>
                <w:szCs w:val="22"/>
                <w:rtl/>
                <w:lang w:eastAsia="en-US"/>
              </w:rPr>
              <w:t>%</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المستشارون</w:t>
            </w:r>
          </w:p>
        </w:tc>
        <w:tc>
          <w:tcPr>
            <w:tcW w:w="992" w:type="dxa"/>
          </w:tcPr>
          <w:p w:rsidR="00000000" w:rsidRDefault="00000000">
            <w:pPr>
              <w:pStyle w:val="SingleTxt"/>
              <w:spacing w:after="0"/>
              <w:ind w:left="0" w:right="0"/>
              <w:rPr>
                <w:szCs w:val="22"/>
                <w:rtl/>
                <w:lang w:eastAsia="en-US"/>
              </w:rPr>
            </w:pPr>
            <w:r>
              <w:rPr>
                <w:szCs w:val="22"/>
                <w:rtl/>
                <w:lang w:eastAsia="en-US"/>
              </w:rPr>
              <w:t>1</w:t>
            </w:r>
          </w:p>
        </w:tc>
        <w:tc>
          <w:tcPr>
            <w:tcW w:w="851" w:type="dxa"/>
          </w:tcPr>
          <w:p w:rsidR="00000000" w:rsidRDefault="00000000">
            <w:pPr>
              <w:pStyle w:val="SingleTxt"/>
              <w:spacing w:after="0"/>
              <w:ind w:left="0" w:right="0"/>
              <w:rPr>
                <w:szCs w:val="22"/>
                <w:rtl/>
                <w:lang w:eastAsia="en-US"/>
              </w:rPr>
            </w:pPr>
            <w:r>
              <w:rPr>
                <w:szCs w:val="22"/>
                <w:rtl/>
                <w:lang w:eastAsia="en-US"/>
              </w:rPr>
              <w:t>13</w:t>
            </w:r>
          </w:p>
        </w:tc>
        <w:tc>
          <w:tcPr>
            <w:tcW w:w="992" w:type="dxa"/>
          </w:tcPr>
          <w:p w:rsidR="00000000" w:rsidRDefault="00000000">
            <w:pPr>
              <w:pStyle w:val="SingleTxt"/>
              <w:spacing w:after="0"/>
              <w:ind w:left="0" w:right="0"/>
              <w:rPr>
                <w:szCs w:val="22"/>
                <w:rtl/>
                <w:lang w:eastAsia="en-US"/>
              </w:rPr>
            </w:pPr>
            <w:r>
              <w:rPr>
                <w:szCs w:val="22"/>
                <w:rtl/>
                <w:lang w:eastAsia="en-US"/>
              </w:rPr>
              <w:t>8</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1</w:t>
            </w:r>
          </w:p>
        </w:tc>
        <w:tc>
          <w:tcPr>
            <w:tcW w:w="992" w:type="dxa"/>
          </w:tcPr>
          <w:p w:rsidR="00000000" w:rsidRDefault="00000000">
            <w:pPr>
              <w:pStyle w:val="SingleTxt"/>
              <w:spacing w:after="0"/>
              <w:ind w:left="0" w:right="0"/>
              <w:rPr>
                <w:szCs w:val="22"/>
                <w:rtl/>
                <w:lang w:eastAsia="en-US"/>
              </w:rPr>
            </w:pPr>
            <w:r>
              <w:rPr>
                <w:szCs w:val="22"/>
                <w:rtl/>
                <w:lang w:eastAsia="en-US"/>
              </w:rPr>
              <w:t>9</w:t>
            </w:r>
          </w:p>
        </w:tc>
        <w:tc>
          <w:tcPr>
            <w:tcW w:w="1560" w:type="dxa"/>
          </w:tcPr>
          <w:p w:rsidR="00000000" w:rsidRDefault="00000000">
            <w:pPr>
              <w:pStyle w:val="SingleTxt"/>
              <w:spacing w:after="0"/>
              <w:ind w:left="0" w:right="0"/>
              <w:rPr>
                <w:szCs w:val="22"/>
                <w:rtl/>
                <w:lang w:eastAsia="en-US"/>
              </w:rPr>
            </w:pPr>
            <w:r>
              <w:rPr>
                <w:szCs w:val="22"/>
                <w:rtl/>
                <w:lang w:eastAsia="en-US"/>
              </w:rPr>
              <w:t>11</w:t>
            </w:r>
            <w:r>
              <w:rPr>
                <w:rFonts w:cs="Akhbar MT"/>
                <w:szCs w:val="22"/>
                <w:rtl/>
                <w:lang w:eastAsia="en-US"/>
              </w:rPr>
              <w:t>%</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القناصلة العامون</w:t>
            </w:r>
          </w:p>
        </w:tc>
        <w:tc>
          <w:tcPr>
            <w:tcW w:w="992" w:type="dxa"/>
          </w:tcPr>
          <w:p w:rsidR="00000000" w:rsidRDefault="00000000">
            <w:pPr>
              <w:pStyle w:val="SingleTxt"/>
              <w:spacing w:after="0"/>
              <w:ind w:left="0" w:right="0"/>
              <w:rPr>
                <w:szCs w:val="22"/>
                <w:rtl/>
                <w:lang w:eastAsia="en-US"/>
              </w:rPr>
            </w:pPr>
            <w:r>
              <w:rPr>
                <w:szCs w:val="22"/>
                <w:rtl/>
                <w:lang w:eastAsia="en-US"/>
              </w:rPr>
              <w:t>1</w:t>
            </w:r>
          </w:p>
        </w:tc>
        <w:tc>
          <w:tcPr>
            <w:tcW w:w="851" w:type="dxa"/>
          </w:tcPr>
          <w:p w:rsidR="00000000" w:rsidRDefault="00000000">
            <w:pPr>
              <w:pStyle w:val="SingleTxt"/>
              <w:spacing w:after="0"/>
              <w:ind w:left="0" w:right="0"/>
              <w:rPr>
                <w:szCs w:val="22"/>
                <w:rtl/>
                <w:lang w:eastAsia="en-US"/>
              </w:rPr>
            </w:pPr>
            <w:r>
              <w:rPr>
                <w:szCs w:val="22"/>
                <w:rtl/>
                <w:lang w:eastAsia="en-US"/>
              </w:rPr>
              <w:t>6</w:t>
            </w:r>
          </w:p>
        </w:tc>
        <w:tc>
          <w:tcPr>
            <w:tcW w:w="992" w:type="dxa"/>
          </w:tcPr>
          <w:p w:rsidR="00000000" w:rsidRDefault="00000000">
            <w:pPr>
              <w:pStyle w:val="SingleTxt"/>
              <w:spacing w:after="0"/>
              <w:ind w:left="0" w:right="0"/>
              <w:rPr>
                <w:szCs w:val="22"/>
                <w:rtl/>
                <w:lang w:eastAsia="en-US"/>
              </w:rPr>
            </w:pPr>
            <w:r>
              <w:rPr>
                <w:szCs w:val="22"/>
                <w:rtl/>
                <w:lang w:eastAsia="en-US"/>
              </w:rPr>
              <w:t>10.7</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1</w:t>
            </w:r>
          </w:p>
        </w:tc>
        <w:tc>
          <w:tcPr>
            <w:tcW w:w="992" w:type="dxa"/>
          </w:tcPr>
          <w:p w:rsidR="00000000" w:rsidRDefault="00000000">
            <w:pPr>
              <w:pStyle w:val="SingleTxt"/>
              <w:spacing w:after="0"/>
              <w:ind w:left="0" w:right="0"/>
              <w:rPr>
                <w:szCs w:val="22"/>
                <w:rtl/>
                <w:lang w:eastAsia="en-US"/>
              </w:rPr>
            </w:pPr>
            <w:r>
              <w:rPr>
                <w:szCs w:val="22"/>
                <w:rtl/>
                <w:lang w:eastAsia="en-US"/>
              </w:rPr>
              <w:t>5</w:t>
            </w:r>
          </w:p>
        </w:tc>
        <w:tc>
          <w:tcPr>
            <w:tcW w:w="1560" w:type="dxa"/>
          </w:tcPr>
          <w:p w:rsidR="00000000" w:rsidRDefault="00000000">
            <w:pPr>
              <w:pStyle w:val="SingleTxt"/>
              <w:spacing w:after="0"/>
              <w:ind w:left="0" w:right="0"/>
              <w:rPr>
                <w:szCs w:val="22"/>
                <w:rtl/>
                <w:lang w:eastAsia="en-US"/>
              </w:rPr>
            </w:pPr>
            <w:r>
              <w:rPr>
                <w:szCs w:val="22"/>
                <w:rtl/>
                <w:lang w:eastAsia="en-US"/>
              </w:rPr>
              <w:t>20</w:t>
            </w:r>
            <w:r>
              <w:rPr>
                <w:rFonts w:cs="Akhbar MT"/>
                <w:szCs w:val="22"/>
                <w:rtl/>
                <w:lang w:eastAsia="en-US"/>
              </w:rPr>
              <w:t>%</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الأمناء الأوائل</w:t>
            </w:r>
          </w:p>
        </w:tc>
        <w:tc>
          <w:tcPr>
            <w:tcW w:w="992" w:type="dxa"/>
          </w:tcPr>
          <w:p w:rsidR="00000000" w:rsidRDefault="00000000">
            <w:pPr>
              <w:pStyle w:val="SingleTxt"/>
              <w:spacing w:after="0"/>
              <w:ind w:left="0" w:right="0"/>
              <w:rPr>
                <w:szCs w:val="22"/>
                <w:rtl/>
                <w:lang w:eastAsia="en-US"/>
              </w:rPr>
            </w:pPr>
            <w:r>
              <w:rPr>
                <w:szCs w:val="22"/>
                <w:rtl/>
                <w:lang w:eastAsia="en-US"/>
              </w:rPr>
              <w:t>0</w:t>
            </w:r>
          </w:p>
        </w:tc>
        <w:tc>
          <w:tcPr>
            <w:tcW w:w="851" w:type="dxa"/>
          </w:tcPr>
          <w:p w:rsidR="00000000" w:rsidRDefault="00000000">
            <w:pPr>
              <w:pStyle w:val="SingleTxt"/>
              <w:spacing w:after="0"/>
              <w:ind w:left="0" w:right="0"/>
              <w:rPr>
                <w:szCs w:val="22"/>
                <w:rtl/>
                <w:lang w:eastAsia="en-US"/>
              </w:rPr>
            </w:pPr>
            <w:r>
              <w:rPr>
                <w:szCs w:val="22"/>
                <w:rtl/>
                <w:lang w:eastAsia="en-US"/>
              </w:rPr>
              <w:t>19</w:t>
            </w:r>
          </w:p>
        </w:tc>
        <w:tc>
          <w:tcPr>
            <w:tcW w:w="992" w:type="dxa"/>
          </w:tcPr>
          <w:p w:rsidR="00000000" w:rsidRDefault="00000000">
            <w:pPr>
              <w:pStyle w:val="SingleTxt"/>
              <w:spacing w:after="0"/>
              <w:ind w:left="0" w:right="0"/>
              <w:rPr>
                <w:szCs w:val="22"/>
                <w:rtl/>
                <w:lang w:eastAsia="en-US"/>
              </w:rPr>
            </w:pPr>
            <w:r>
              <w:rPr>
                <w:szCs w:val="22"/>
                <w:rtl/>
                <w:lang w:eastAsia="en-US"/>
              </w:rPr>
              <w:t>0</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2</w:t>
            </w:r>
          </w:p>
        </w:tc>
        <w:tc>
          <w:tcPr>
            <w:tcW w:w="992" w:type="dxa"/>
          </w:tcPr>
          <w:p w:rsidR="00000000" w:rsidRDefault="00000000">
            <w:pPr>
              <w:pStyle w:val="SingleTxt"/>
              <w:spacing w:after="0"/>
              <w:ind w:left="0" w:right="0"/>
              <w:rPr>
                <w:szCs w:val="22"/>
                <w:rtl/>
                <w:lang w:eastAsia="en-US"/>
              </w:rPr>
            </w:pPr>
            <w:r>
              <w:rPr>
                <w:szCs w:val="22"/>
                <w:rtl/>
                <w:lang w:eastAsia="en-US"/>
              </w:rPr>
              <w:t>26</w:t>
            </w:r>
          </w:p>
        </w:tc>
        <w:tc>
          <w:tcPr>
            <w:tcW w:w="1560" w:type="dxa"/>
          </w:tcPr>
          <w:p w:rsidR="00000000" w:rsidRDefault="00000000">
            <w:pPr>
              <w:pStyle w:val="SingleTxt"/>
              <w:spacing w:after="0"/>
              <w:ind w:left="0" w:right="0"/>
              <w:rPr>
                <w:szCs w:val="22"/>
                <w:rtl/>
                <w:lang w:eastAsia="en-US"/>
              </w:rPr>
            </w:pPr>
            <w:r>
              <w:rPr>
                <w:szCs w:val="22"/>
                <w:rtl/>
                <w:lang w:eastAsia="en-US"/>
              </w:rPr>
              <w:t>7.6</w:t>
            </w:r>
            <w:r>
              <w:rPr>
                <w:rFonts w:cs="Akhbar MT"/>
                <w:szCs w:val="22"/>
                <w:rtl/>
                <w:lang w:eastAsia="en-US"/>
              </w:rPr>
              <w:t>%</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الأمناء الثواني</w:t>
            </w:r>
          </w:p>
        </w:tc>
        <w:tc>
          <w:tcPr>
            <w:tcW w:w="992" w:type="dxa"/>
          </w:tcPr>
          <w:p w:rsidR="00000000" w:rsidRDefault="00000000">
            <w:pPr>
              <w:pStyle w:val="SingleTxt"/>
              <w:spacing w:after="0"/>
              <w:ind w:left="0" w:right="0"/>
              <w:rPr>
                <w:szCs w:val="22"/>
                <w:rtl/>
                <w:lang w:eastAsia="en-US"/>
              </w:rPr>
            </w:pPr>
            <w:r>
              <w:rPr>
                <w:szCs w:val="22"/>
                <w:rtl/>
                <w:lang w:eastAsia="en-US"/>
              </w:rPr>
              <w:t>1</w:t>
            </w:r>
          </w:p>
        </w:tc>
        <w:tc>
          <w:tcPr>
            <w:tcW w:w="851" w:type="dxa"/>
          </w:tcPr>
          <w:p w:rsidR="00000000" w:rsidRDefault="00000000">
            <w:pPr>
              <w:pStyle w:val="SingleTxt"/>
              <w:spacing w:after="0"/>
              <w:ind w:left="0" w:right="0"/>
              <w:rPr>
                <w:szCs w:val="22"/>
                <w:rtl/>
                <w:lang w:eastAsia="en-US"/>
              </w:rPr>
            </w:pPr>
            <w:r>
              <w:rPr>
                <w:szCs w:val="22"/>
                <w:rtl/>
                <w:lang w:eastAsia="en-US"/>
              </w:rPr>
              <w:t>31</w:t>
            </w:r>
          </w:p>
        </w:tc>
        <w:tc>
          <w:tcPr>
            <w:tcW w:w="992" w:type="dxa"/>
          </w:tcPr>
          <w:p w:rsidR="00000000" w:rsidRDefault="00000000">
            <w:pPr>
              <w:pStyle w:val="SingleTxt"/>
              <w:spacing w:after="0"/>
              <w:ind w:left="0" w:right="0"/>
              <w:rPr>
                <w:szCs w:val="22"/>
                <w:rtl/>
                <w:lang w:eastAsia="en-US"/>
              </w:rPr>
            </w:pPr>
            <w:r>
              <w:rPr>
                <w:szCs w:val="22"/>
                <w:rtl/>
                <w:lang w:eastAsia="en-US"/>
              </w:rPr>
              <w:t>3.12</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2</w:t>
            </w:r>
          </w:p>
        </w:tc>
        <w:tc>
          <w:tcPr>
            <w:tcW w:w="992" w:type="dxa"/>
          </w:tcPr>
          <w:p w:rsidR="00000000" w:rsidRDefault="00000000">
            <w:pPr>
              <w:pStyle w:val="SingleTxt"/>
              <w:spacing w:after="0"/>
              <w:ind w:left="0" w:right="0"/>
              <w:rPr>
                <w:szCs w:val="22"/>
                <w:rtl/>
                <w:lang w:eastAsia="en-US"/>
              </w:rPr>
            </w:pPr>
            <w:r>
              <w:rPr>
                <w:szCs w:val="22"/>
                <w:rtl/>
                <w:lang w:eastAsia="en-US"/>
              </w:rPr>
              <w:t>37</w:t>
            </w:r>
          </w:p>
        </w:tc>
        <w:tc>
          <w:tcPr>
            <w:tcW w:w="1560" w:type="dxa"/>
          </w:tcPr>
          <w:p w:rsidR="00000000" w:rsidRDefault="00000000">
            <w:pPr>
              <w:pStyle w:val="SingleTxt"/>
              <w:spacing w:after="0"/>
              <w:ind w:left="0" w:right="0"/>
              <w:rPr>
                <w:szCs w:val="22"/>
                <w:rtl/>
                <w:lang w:eastAsia="en-US"/>
              </w:rPr>
            </w:pPr>
            <w:r>
              <w:rPr>
                <w:szCs w:val="22"/>
                <w:rtl/>
                <w:lang w:eastAsia="en-US"/>
              </w:rPr>
              <w:t>5.4</w:t>
            </w:r>
            <w:r>
              <w:rPr>
                <w:rFonts w:cs="Akhbar MT"/>
                <w:szCs w:val="22"/>
                <w:rtl/>
                <w:lang w:eastAsia="en-US"/>
              </w:rPr>
              <w:t>%</w:t>
            </w:r>
          </w:p>
        </w:tc>
      </w:tr>
      <w:tr w:rsidR="00000000">
        <w:tblPrEx>
          <w:tblCellMar>
            <w:top w:w="0" w:type="dxa"/>
            <w:bottom w:w="0" w:type="dxa"/>
          </w:tblCellMar>
        </w:tblPrEx>
        <w:trPr>
          <w:cantSplit/>
        </w:trPr>
        <w:tc>
          <w:tcPr>
            <w:tcW w:w="567" w:type="dxa"/>
            <w:vMerge/>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الأمناء الثوالث</w:t>
            </w:r>
          </w:p>
        </w:tc>
        <w:tc>
          <w:tcPr>
            <w:tcW w:w="992" w:type="dxa"/>
          </w:tcPr>
          <w:p w:rsidR="00000000" w:rsidRDefault="00000000">
            <w:pPr>
              <w:pStyle w:val="SingleTxt"/>
              <w:spacing w:after="0"/>
              <w:ind w:left="0" w:right="0"/>
              <w:rPr>
                <w:szCs w:val="22"/>
                <w:rtl/>
                <w:lang w:eastAsia="en-US"/>
              </w:rPr>
            </w:pPr>
            <w:r>
              <w:rPr>
                <w:szCs w:val="22"/>
                <w:rtl/>
                <w:lang w:eastAsia="en-US"/>
              </w:rPr>
              <w:t>2</w:t>
            </w:r>
          </w:p>
        </w:tc>
        <w:tc>
          <w:tcPr>
            <w:tcW w:w="851" w:type="dxa"/>
          </w:tcPr>
          <w:p w:rsidR="00000000" w:rsidRDefault="00000000">
            <w:pPr>
              <w:pStyle w:val="SingleTxt"/>
              <w:spacing w:after="0"/>
              <w:ind w:left="0" w:right="0"/>
              <w:rPr>
                <w:szCs w:val="22"/>
                <w:rtl/>
                <w:lang w:eastAsia="en-US"/>
              </w:rPr>
            </w:pPr>
            <w:r>
              <w:rPr>
                <w:szCs w:val="22"/>
                <w:rtl/>
                <w:lang w:eastAsia="en-US"/>
              </w:rPr>
              <w:t>23</w:t>
            </w:r>
          </w:p>
        </w:tc>
        <w:tc>
          <w:tcPr>
            <w:tcW w:w="992" w:type="dxa"/>
          </w:tcPr>
          <w:p w:rsidR="00000000" w:rsidRDefault="00000000">
            <w:pPr>
              <w:pStyle w:val="SingleTxt"/>
              <w:spacing w:after="0"/>
              <w:ind w:left="0" w:right="0"/>
              <w:rPr>
                <w:szCs w:val="22"/>
                <w:rtl/>
                <w:lang w:eastAsia="en-US"/>
              </w:rPr>
            </w:pPr>
            <w:r>
              <w:rPr>
                <w:szCs w:val="22"/>
                <w:rtl/>
                <w:lang w:eastAsia="en-US"/>
              </w:rPr>
              <w:t>8.0</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5</w:t>
            </w:r>
          </w:p>
        </w:tc>
        <w:tc>
          <w:tcPr>
            <w:tcW w:w="992" w:type="dxa"/>
          </w:tcPr>
          <w:p w:rsidR="00000000" w:rsidRDefault="00000000">
            <w:pPr>
              <w:pStyle w:val="SingleTxt"/>
              <w:spacing w:after="0"/>
              <w:ind w:left="0" w:right="0"/>
              <w:rPr>
                <w:szCs w:val="22"/>
                <w:rtl/>
                <w:lang w:eastAsia="en-US"/>
              </w:rPr>
            </w:pPr>
            <w:r>
              <w:rPr>
                <w:szCs w:val="22"/>
                <w:rtl/>
                <w:lang w:eastAsia="en-US"/>
              </w:rPr>
              <w:t>9</w:t>
            </w:r>
          </w:p>
        </w:tc>
        <w:tc>
          <w:tcPr>
            <w:tcW w:w="1560" w:type="dxa"/>
          </w:tcPr>
          <w:p w:rsidR="00000000" w:rsidRDefault="00000000">
            <w:pPr>
              <w:pStyle w:val="SingleTxt"/>
              <w:spacing w:after="0"/>
              <w:ind w:left="0" w:right="0"/>
              <w:rPr>
                <w:szCs w:val="22"/>
                <w:rtl/>
                <w:lang w:eastAsia="en-US"/>
              </w:rPr>
            </w:pPr>
            <w:r>
              <w:rPr>
                <w:szCs w:val="22"/>
                <w:rtl/>
                <w:lang w:eastAsia="en-US"/>
              </w:rPr>
              <w:t>55.5</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11</w:t>
            </w:r>
          </w:p>
        </w:tc>
        <w:tc>
          <w:tcPr>
            <w:tcW w:w="1701" w:type="dxa"/>
          </w:tcPr>
          <w:p w:rsidR="00000000" w:rsidRDefault="00000000">
            <w:pPr>
              <w:pStyle w:val="SingleTxt"/>
              <w:spacing w:after="0"/>
              <w:ind w:left="0" w:right="0"/>
              <w:rPr>
                <w:szCs w:val="22"/>
                <w:rtl/>
                <w:lang w:eastAsia="en-US"/>
              </w:rPr>
            </w:pPr>
            <w:r>
              <w:rPr>
                <w:szCs w:val="22"/>
                <w:rtl/>
                <w:lang w:eastAsia="en-US"/>
              </w:rPr>
              <w:t>قضاة المحكمة العليا</w:t>
            </w:r>
          </w:p>
        </w:tc>
        <w:tc>
          <w:tcPr>
            <w:tcW w:w="992" w:type="dxa"/>
          </w:tcPr>
          <w:p w:rsidR="00000000" w:rsidRDefault="00000000">
            <w:pPr>
              <w:pStyle w:val="SingleTxt"/>
              <w:spacing w:after="0"/>
              <w:ind w:left="0" w:right="0"/>
              <w:rPr>
                <w:szCs w:val="22"/>
                <w:rtl/>
                <w:lang w:eastAsia="en-US"/>
              </w:rPr>
            </w:pPr>
            <w:r>
              <w:rPr>
                <w:szCs w:val="22"/>
                <w:rtl/>
                <w:lang w:eastAsia="en-US"/>
              </w:rPr>
              <w:t>14</w:t>
            </w:r>
          </w:p>
        </w:tc>
        <w:tc>
          <w:tcPr>
            <w:tcW w:w="851" w:type="dxa"/>
          </w:tcPr>
          <w:p w:rsidR="00000000" w:rsidRDefault="00000000">
            <w:pPr>
              <w:pStyle w:val="SingleTxt"/>
              <w:spacing w:after="0"/>
              <w:ind w:left="0" w:right="0"/>
              <w:rPr>
                <w:szCs w:val="22"/>
                <w:rtl/>
                <w:lang w:eastAsia="en-US"/>
              </w:rPr>
            </w:pPr>
            <w:r>
              <w:rPr>
                <w:szCs w:val="22"/>
                <w:rtl/>
                <w:lang w:eastAsia="en-US"/>
              </w:rPr>
              <w:t>89</w:t>
            </w:r>
          </w:p>
        </w:tc>
        <w:tc>
          <w:tcPr>
            <w:tcW w:w="992" w:type="dxa"/>
          </w:tcPr>
          <w:p w:rsidR="00000000" w:rsidRDefault="00000000">
            <w:pPr>
              <w:pStyle w:val="SingleTxt"/>
              <w:spacing w:after="0"/>
              <w:ind w:left="0" w:right="0"/>
              <w:rPr>
                <w:szCs w:val="22"/>
                <w:rtl/>
                <w:lang w:eastAsia="en-US"/>
              </w:rPr>
            </w:pPr>
            <w:r>
              <w:rPr>
                <w:szCs w:val="22"/>
                <w:rtl/>
                <w:lang w:eastAsia="en-US"/>
              </w:rPr>
              <w:t>16</w:t>
            </w:r>
            <w:r>
              <w:rPr>
                <w:rFonts w:cs="Akhbar MT"/>
                <w:szCs w:val="22"/>
                <w:rtl/>
                <w:lang w:eastAsia="en-US"/>
              </w:rPr>
              <w:t>%</w:t>
            </w:r>
          </w:p>
        </w:tc>
        <w:tc>
          <w:tcPr>
            <w:tcW w:w="1134" w:type="dxa"/>
          </w:tcPr>
          <w:p w:rsidR="00000000" w:rsidRDefault="00000000">
            <w:pPr>
              <w:pStyle w:val="SingleTxt"/>
              <w:spacing w:after="0"/>
              <w:ind w:left="0" w:right="0"/>
              <w:rPr>
                <w:szCs w:val="22"/>
                <w:rtl/>
                <w:lang w:eastAsia="en-US"/>
              </w:rPr>
            </w:pPr>
            <w:r>
              <w:rPr>
                <w:szCs w:val="22"/>
                <w:rtl/>
                <w:lang w:eastAsia="en-US"/>
              </w:rPr>
              <w:t>3</w:t>
            </w:r>
          </w:p>
        </w:tc>
        <w:tc>
          <w:tcPr>
            <w:tcW w:w="992" w:type="dxa"/>
          </w:tcPr>
          <w:p w:rsidR="00000000" w:rsidRDefault="00000000">
            <w:pPr>
              <w:pStyle w:val="SingleTxt"/>
              <w:spacing w:after="0"/>
              <w:ind w:left="0" w:right="0"/>
              <w:rPr>
                <w:szCs w:val="22"/>
                <w:rtl/>
                <w:lang w:eastAsia="en-US"/>
              </w:rPr>
            </w:pPr>
            <w:r>
              <w:rPr>
                <w:szCs w:val="22"/>
                <w:rtl/>
                <w:lang w:eastAsia="en-US"/>
              </w:rPr>
              <w:t>25</w:t>
            </w:r>
          </w:p>
        </w:tc>
        <w:tc>
          <w:tcPr>
            <w:tcW w:w="1560" w:type="dxa"/>
          </w:tcPr>
          <w:p w:rsidR="00000000" w:rsidRDefault="00000000">
            <w:pPr>
              <w:pStyle w:val="SingleTxt"/>
              <w:spacing w:after="0"/>
              <w:ind w:left="0" w:right="0"/>
              <w:rPr>
                <w:szCs w:val="22"/>
                <w:rtl/>
                <w:lang w:eastAsia="en-US"/>
              </w:rPr>
            </w:pPr>
            <w:r>
              <w:rPr>
                <w:szCs w:val="22"/>
                <w:rtl/>
                <w:lang w:eastAsia="en-US"/>
              </w:rPr>
              <w:t>12</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قضاة المحكمة الإقليمية</w:t>
            </w:r>
          </w:p>
        </w:tc>
        <w:tc>
          <w:tcPr>
            <w:tcW w:w="992" w:type="dxa"/>
          </w:tcPr>
          <w:p w:rsidR="00000000" w:rsidRDefault="00000000">
            <w:pPr>
              <w:pStyle w:val="SingleTxt"/>
              <w:spacing w:after="0"/>
              <w:ind w:left="0" w:right="0"/>
              <w:rPr>
                <w:szCs w:val="22"/>
                <w:rtl/>
                <w:lang w:eastAsia="en-US"/>
              </w:rPr>
            </w:pPr>
            <w:r>
              <w:rPr>
                <w:szCs w:val="22"/>
                <w:rtl/>
                <w:lang w:eastAsia="en-US"/>
              </w:rPr>
              <w:t>- -</w:t>
            </w:r>
          </w:p>
        </w:tc>
        <w:tc>
          <w:tcPr>
            <w:tcW w:w="851" w:type="dxa"/>
          </w:tcPr>
          <w:p w:rsidR="00000000" w:rsidRDefault="00000000">
            <w:pPr>
              <w:pStyle w:val="SingleTxt"/>
              <w:spacing w:after="0"/>
              <w:ind w:left="0" w:right="0"/>
              <w:rPr>
                <w:szCs w:val="22"/>
                <w:rtl/>
                <w:lang w:eastAsia="en-US"/>
              </w:rPr>
            </w:pPr>
            <w:r>
              <w:rPr>
                <w:szCs w:val="22"/>
                <w:rtl/>
                <w:lang w:eastAsia="en-US"/>
              </w:rPr>
              <w:t>- -</w:t>
            </w:r>
          </w:p>
        </w:tc>
        <w:tc>
          <w:tcPr>
            <w:tcW w:w="992" w:type="dxa"/>
          </w:tcPr>
          <w:p w:rsidR="00000000" w:rsidRDefault="00000000">
            <w:pPr>
              <w:pStyle w:val="SingleTxt"/>
              <w:spacing w:after="0"/>
              <w:ind w:left="0" w:right="0"/>
              <w:rPr>
                <w:szCs w:val="22"/>
                <w:rtl/>
                <w:lang w:eastAsia="en-US"/>
              </w:rPr>
            </w:pPr>
            <w:r>
              <w:rPr>
                <w:szCs w:val="22"/>
                <w:rtl/>
                <w:lang w:eastAsia="en-US"/>
              </w:rPr>
              <w:t>- -</w:t>
            </w:r>
          </w:p>
        </w:tc>
        <w:tc>
          <w:tcPr>
            <w:tcW w:w="1134" w:type="dxa"/>
          </w:tcPr>
          <w:p w:rsidR="00000000" w:rsidRDefault="00000000">
            <w:pPr>
              <w:pStyle w:val="SingleTxt"/>
              <w:spacing w:after="0"/>
              <w:ind w:left="0" w:right="0"/>
              <w:rPr>
                <w:szCs w:val="22"/>
                <w:rtl/>
                <w:lang w:eastAsia="en-US"/>
              </w:rPr>
            </w:pPr>
            <w:r>
              <w:rPr>
                <w:szCs w:val="22"/>
                <w:rtl/>
                <w:lang w:eastAsia="en-US"/>
              </w:rPr>
              <w:t>5</w:t>
            </w:r>
          </w:p>
        </w:tc>
        <w:tc>
          <w:tcPr>
            <w:tcW w:w="992" w:type="dxa"/>
          </w:tcPr>
          <w:p w:rsidR="00000000" w:rsidRDefault="00000000">
            <w:pPr>
              <w:pStyle w:val="SingleTxt"/>
              <w:spacing w:after="0"/>
              <w:ind w:left="0" w:right="0"/>
              <w:rPr>
                <w:szCs w:val="22"/>
                <w:rtl/>
                <w:lang w:eastAsia="en-US"/>
              </w:rPr>
            </w:pPr>
            <w:r>
              <w:rPr>
                <w:szCs w:val="22"/>
                <w:rtl/>
                <w:lang w:eastAsia="en-US"/>
              </w:rPr>
              <w:t>41</w:t>
            </w:r>
          </w:p>
        </w:tc>
        <w:tc>
          <w:tcPr>
            <w:tcW w:w="1560" w:type="dxa"/>
          </w:tcPr>
          <w:p w:rsidR="00000000" w:rsidRDefault="00000000">
            <w:pPr>
              <w:pStyle w:val="SingleTxt"/>
              <w:spacing w:after="0"/>
              <w:ind w:left="0" w:right="0"/>
              <w:rPr>
                <w:szCs w:val="22"/>
                <w:rtl/>
                <w:lang w:eastAsia="en-US"/>
              </w:rPr>
            </w:pPr>
            <w:r>
              <w:rPr>
                <w:szCs w:val="22"/>
                <w:rtl/>
                <w:lang w:eastAsia="en-US"/>
              </w:rPr>
              <w:t>12</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p>
        </w:tc>
        <w:tc>
          <w:tcPr>
            <w:tcW w:w="1701" w:type="dxa"/>
          </w:tcPr>
          <w:p w:rsidR="00000000" w:rsidRDefault="00000000">
            <w:pPr>
              <w:pStyle w:val="SingleTxt"/>
              <w:spacing w:after="0"/>
              <w:ind w:left="0" w:right="0"/>
              <w:rPr>
                <w:szCs w:val="22"/>
                <w:rtl/>
                <w:lang w:eastAsia="en-US"/>
              </w:rPr>
            </w:pPr>
            <w:r>
              <w:rPr>
                <w:szCs w:val="22"/>
                <w:rtl/>
                <w:lang w:eastAsia="en-US"/>
              </w:rPr>
              <w:t>قضاة المنطقة الجزئية</w:t>
            </w:r>
          </w:p>
        </w:tc>
        <w:tc>
          <w:tcPr>
            <w:tcW w:w="992" w:type="dxa"/>
          </w:tcPr>
          <w:p w:rsidR="00000000" w:rsidRDefault="00000000">
            <w:pPr>
              <w:pStyle w:val="SingleTxt"/>
              <w:spacing w:after="0"/>
              <w:ind w:left="0" w:right="0"/>
              <w:rPr>
                <w:szCs w:val="22"/>
                <w:rtl/>
                <w:lang w:eastAsia="en-US"/>
              </w:rPr>
            </w:pPr>
            <w:r>
              <w:rPr>
                <w:szCs w:val="22"/>
                <w:rtl/>
                <w:lang w:eastAsia="en-US"/>
              </w:rPr>
              <w:t>- -</w:t>
            </w:r>
          </w:p>
        </w:tc>
        <w:tc>
          <w:tcPr>
            <w:tcW w:w="851" w:type="dxa"/>
          </w:tcPr>
          <w:p w:rsidR="00000000" w:rsidRDefault="00000000">
            <w:pPr>
              <w:pStyle w:val="SingleTxt"/>
              <w:spacing w:after="0"/>
              <w:ind w:left="0" w:right="0"/>
              <w:rPr>
                <w:szCs w:val="22"/>
                <w:rtl/>
                <w:lang w:eastAsia="en-US"/>
              </w:rPr>
            </w:pPr>
            <w:r>
              <w:rPr>
                <w:szCs w:val="22"/>
                <w:rtl/>
                <w:lang w:eastAsia="en-US"/>
              </w:rPr>
              <w:t>- -</w:t>
            </w:r>
          </w:p>
        </w:tc>
        <w:tc>
          <w:tcPr>
            <w:tcW w:w="992" w:type="dxa"/>
          </w:tcPr>
          <w:p w:rsidR="00000000" w:rsidRDefault="00000000">
            <w:pPr>
              <w:pStyle w:val="SingleTxt"/>
              <w:spacing w:after="0"/>
              <w:ind w:left="0" w:right="0"/>
              <w:rPr>
                <w:szCs w:val="22"/>
                <w:rtl/>
                <w:lang w:eastAsia="en-US"/>
              </w:rPr>
            </w:pPr>
            <w:r>
              <w:rPr>
                <w:szCs w:val="22"/>
                <w:rtl/>
                <w:lang w:eastAsia="en-US"/>
              </w:rPr>
              <w:t>- -</w:t>
            </w:r>
          </w:p>
        </w:tc>
        <w:tc>
          <w:tcPr>
            <w:tcW w:w="1134" w:type="dxa"/>
          </w:tcPr>
          <w:p w:rsidR="00000000" w:rsidRDefault="00000000">
            <w:pPr>
              <w:pStyle w:val="SingleTxt"/>
              <w:spacing w:after="0"/>
              <w:ind w:left="0" w:right="0"/>
              <w:rPr>
                <w:szCs w:val="22"/>
                <w:rtl/>
                <w:lang w:eastAsia="en-US"/>
              </w:rPr>
            </w:pPr>
            <w:r>
              <w:rPr>
                <w:szCs w:val="22"/>
                <w:rtl/>
                <w:lang w:eastAsia="en-US"/>
              </w:rPr>
              <w:t>5</w:t>
            </w:r>
          </w:p>
        </w:tc>
        <w:tc>
          <w:tcPr>
            <w:tcW w:w="992" w:type="dxa"/>
          </w:tcPr>
          <w:p w:rsidR="00000000" w:rsidRDefault="00000000">
            <w:pPr>
              <w:pStyle w:val="SingleTxt"/>
              <w:spacing w:after="0"/>
              <w:ind w:left="0" w:right="0"/>
              <w:rPr>
                <w:szCs w:val="22"/>
                <w:rtl/>
                <w:lang w:eastAsia="en-US"/>
              </w:rPr>
            </w:pPr>
            <w:r>
              <w:rPr>
                <w:szCs w:val="22"/>
                <w:rtl/>
                <w:lang w:eastAsia="en-US"/>
              </w:rPr>
              <w:t>23</w:t>
            </w:r>
          </w:p>
        </w:tc>
        <w:tc>
          <w:tcPr>
            <w:tcW w:w="1560" w:type="dxa"/>
          </w:tcPr>
          <w:p w:rsidR="00000000" w:rsidRDefault="00000000">
            <w:pPr>
              <w:pStyle w:val="SingleTxt"/>
              <w:spacing w:after="0"/>
              <w:ind w:left="0" w:right="0"/>
              <w:rPr>
                <w:szCs w:val="22"/>
                <w:rtl/>
                <w:lang w:eastAsia="en-US"/>
              </w:rPr>
            </w:pPr>
            <w:r>
              <w:rPr>
                <w:szCs w:val="22"/>
                <w:rtl/>
                <w:lang w:eastAsia="en-US"/>
              </w:rPr>
              <w:t>21.7</w:t>
            </w:r>
            <w:r>
              <w:rPr>
                <w:rFonts w:cs="Akhbar MT"/>
                <w:szCs w:val="22"/>
                <w:rtl/>
                <w:lang w:eastAsia="en-US"/>
              </w:rPr>
              <w:t>%</w:t>
            </w:r>
          </w:p>
        </w:tc>
      </w:tr>
      <w:tr w:rsidR="00000000">
        <w:tblPrEx>
          <w:tblCellMar>
            <w:top w:w="0" w:type="dxa"/>
            <w:bottom w:w="0" w:type="dxa"/>
          </w:tblCellMar>
        </w:tblPrEx>
        <w:tc>
          <w:tcPr>
            <w:tcW w:w="567" w:type="dxa"/>
          </w:tcPr>
          <w:p w:rsidR="00000000" w:rsidRDefault="00000000">
            <w:pPr>
              <w:pStyle w:val="SingleTxt"/>
              <w:spacing w:after="0"/>
              <w:ind w:left="0" w:right="0"/>
              <w:rPr>
                <w:szCs w:val="22"/>
                <w:rtl/>
                <w:lang w:eastAsia="en-US"/>
              </w:rPr>
            </w:pPr>
            <w:r>
              <w:rPr>
                <w:szCs w:val="22"/>
                <w:rtl/>
                <w:lang w:eastAsia="en-US"/>
              </w:rPr>
              <w:t>12</w:t>
            </w:r>
          </w:p>
        </w:tc>
        <w:tc>
          <w:tcPr>
            <w:tcW w:w="1701" w:type="dxa"/>
          </w:tcPr>
          <w:p w:rsidR="00000000" w:rsidRDefault="00000000">
            <w:pPr>
              <w:pStyle w:val="SingleTxt"/>
              <w:spacing w:after="0"/>
              <w:ind w:left="0" w:right="0"/>
              <w:rPr>
                <w:szCs w:val="22"/>
                <w:rtl/>
                <w:lang w:eastAsia="en-US"/>
              </w:rPr>
            </w:pPr>
            <w:r>
              <w:rPr>
                <w:szCs w:val="22"/>
                <w:rtl/>
                <w:lang w:eastAsia="en-US"/>
              </w:rPr>
              <w:t>المدعون</w:t>
            </w:r>
          </w:p>
        </w:tc>
        <w:tc>
          <w:tcPr>
            <w:tcW w:w="992" w:type="dxa"/>
          </w:tcPr>
          <w:p w:rsidR="00000000" w:rsidRDefault="00000000">
            <w:pPr>
              <w:pStyle w:val="SingleTxt"/>
              <w:spacing w:after="0"/>
              <w:ind w:left="0" w:right="0"/>
              <w:rPr>
                <w:szCs w:val="22"/>
                <w:rtl/>
                <w:lang w:eastAsia="en-US"/>
              </w:rPr>
            </w:pPr>
          </w:p>
        </w:tc>
        <w:tc>
          <w:tcPr>
            <w:tcW w:w="851" w:type="dxa"/>
          </w:tcPr>
          <w:p w:rsidR="00000000" w:rsidRDefault="00000000">
            <w:pPr>
              <w:pStyle w:val="SingleTxt"/>
              <w:spacing w:after="0"/>
              <w:ind w:left="0" w:right="0"/>
              <w:rPr>
                <w:szCs w:val="22"/>
                <w:rtl/>
                <w:lang w:eastAsia="en-US"/>
              </w:rPr>
            </w:pPr>
          </w:p>
        </w:tc>
        <w:tc>
          <w:tcPr>
            <w:tcW w:w="992" w:type="dxa"/>
          </w:tcPr>
          <w:p w:rsidR="00000000" w:rsidRDefault="00000000">
            <w:pPr>
              <w:pStyle w:val="SingleTxt"/>
              <w:spacing w:after="0"/>
              <w:ind w:left="0" w:right="0"/>
              <w:rPr>
                <w:szCs w:val="22"/>
                <w:rtl/>
                <w:lang w:eastAsia="en-US"/>
              </w:rPr>
            </w:pPr>
          </w:p>
        </w:tc>
        <w:tc>
          <w:tcPr>
            <w:tcW w:w="1134" w:type="dxa"/>
          </w:tcPr>
          <w:p w:rsidR="00000000" w:rsidRDefault="00000000">
            <w:pPr>
              <w:pStyle w:val="SingleTxt"/>
              <w:spacing w:after="0"/>
              <w:ind w:left="0" w:right="0"/>
              <w:rPr>
                <w:szCs w:val="22"/>
                <w:rtl/>
                <w:lang w:eastAsia="en-US"/>
              </w:rPr>
            </w:pPr>
            <w:r>
              <w:rPr>
                <w:szCs w:val="22"/>
                <w:rtl/>
                <w:lang w:eastAsia="en-US"/>
              </w:rPr>
              <w:t>9</w:t>
            </w:r>
          </w:p>
        </w:tc>
        <w:tc>
          <w:tcPr>
            <w:tcW w:w="992" w:type="dxa"/>
          </w:tcPr>
          <w:p w:rsidR="00000000" w:rsidRDefault="00000000">
            <w:pPr>
              <w:pStyle w:val="SingleTxt"/>
              <w:spacing w:after="0"/>
              <w:ind w:left="0" w:right="0"/>
              <w:rPr>
                <w:szCs w:val="22"/>
                <w:rtl/>
                <w:lang w:eastAsia="en-US"/>
              </w:rPr>
            </w:pPr>
            <w:r>
              <w:rPr>
                <w:szCs w:val="22"/>
                <w:rtl/>
                <w:lang w:eastAsia="en-US"/>
              </w:rPr>
              <w:t>54</w:t>
            </w:r>
          </w:p>
        </w:tc>
        <w:tc>
          <w:tcPr>
            <w:tcW w:w="1560" w:type="dxa"/>
          </w:tcPr>
          <w:p w:rsidR="00000000" w:rsidRDefault="00000000">
            <w:pPr>
              <w:pStyle w:val="SingleTxt"/>
              <w:spacing w:after="0"/>
              <w:ind w:left="0" w:right="0"/>
              <w:rPr>
                <w:szCs w:val="22"/>
                <w:rtl/>
                <w:lang w:eastAsia="en-US"/>
              </w:rPr>
            </w:pPr>
            <w:r>
              <w:rPr>
                <w:szCs w:val="22"/>
                <w:rtl/>
                <w:lang w:eastAsia="en-US"/>
              </w:rPr>
              <w:t>16.6</w:t>
            </w:r>
            <w:r>
              <w:rPr>
                <w:rFonts w:cs="Akhbar MT"/>
                <w:szCs w:val="22"/>
                <w:rtl/>
                <w:lang w:eastAsia="en-US"/>
              </w:rPr>
              <w:t>%</w:t>
            </w:r>
          </w:p>
        </w:tc>
      </w:tr>
    </w:tbl>
    <w:p w:rsidR="00000000" w:rsidRDefault="00000000">
      <w:pPr>
        <w:pStyle w:val="SingleTxt"/>
        <w:ind w:left="1264" w:right="1264"/>
        <w:rPr>
          <w:i/>
          <w:iCs/>
          <w:szCs w:val="26"/>
          <w:rtl/>
          <w:lang w:eastAsia="en-US"/>
        </w:rPr>
      </w:pPr>
      <w:r>
        <w:rPr>
          <w:i/>
          <w:iCs/>
          <w:szCs w:val="22"/>
          <w:rtl/>
          <w:lang w:eastAsia="en-US"/>
        </w:rPr>
        <w:t>المصدر: وزارة الحكم المحلي</w:t>
      </w:r>
      <w:r>
        <w:rPr>
          <w:i/>
          <w:iCs/>
          <w:szCs w:val="26"/>
          <w:rtl/>
          <w:lang w:eastAsia="en-US"/>
        </w:rPr>
        <w:t>.</w:t>
      </w:r>
    </w:p>
    <w:p w:rsidR="00000000" w:rsidRDefault="00000000">
      <w:pPr>
        <w:pStyle w:val="SingleTxt"/>
        <w:ind w:left="1264" w:right="1264"/>
        <w:rPr>
          <w:rtl/>
          <w:lang w:eastAsia="en-US"/>
        </w:rPr>
      </w:pPr>
      <w:r>
        <w:rPr>
          <w:rtl/>
          <w:lang w:eastAsia="en-US"/>
        </w:rPr>
        <w:tab/>
      </w:r>
      <w:r>
        <w:rPr>
          <w:rtl/>
          <w:lang w:eastAsia="en-US"/>
        </w:rPr>
        <w:tab/>
        <w:t>ويعتبر الجيش (القوات البرية والجوية والبحرية)، والشرطة المدنية، وشرطة الهجرة الخ، مهنة تتعلق بالذكور عامة. غير أن مشاركة المرأة الأريترية خلال حركة التحرير كانت ظاهرة فريدة، حيث كانت المرأة تؤلف نسبة 30 في المائة من جيش التحرير الوطني وقامت بدور غير مسبوق ترك أثرا قويا في التشكيل الجاري لقوة الدفاع ومشاركة المرأة.</w:t>
      </w:r>
    </w:p>
    <w:p w:rsidR="00000000" w:rsidRDefault="00000000">
      <w:pPr>
        <w:pStyle w:val="SingleTxt"/>
        <w:ind w:left="1264" w:right="1264"/>
        <w:rPr>
          <w:lang w:eastAsia="en-US"/>
        </w:rPr>
      </w:pPr>
      <w:r>
        <w:rPr>
          <w:rtl/>
          <w:lang w:eastAsia="en-US"/>
        </w:rPr>
        <w:tab/>
      </w:r>
      <w:r>
        <w:rPr>
          <w:rtl/>
          <w:lang w:eastAsia="en-US"/>
        </w:rPr>
        <w:tab/>
        <w:t>وبهذا المعنى فإن مشاركة النساء اليوم في قوة الدفاع الوطني هائلة سواء في الجيش النظامي أو الجيش الاحتياطي والخدمة الوطنية. وتمثل المرأة اليوم 3.09 في المائة من القوات البرية، و 3.30 في المائة من القوات البحرية، و 8.92 في المائة من القوات الجوية، و 10.36 في المائة من موظفي الإدارة والدعم داخل الوزارة. وتوجد أكثر من 400 امرأة يعملن ضباطا تعبويين في الجيش. وتبلغ مشاركة المرأة الأريترية في قوات الشرطة 19.6 في المائة وتمثل 7.9 في المائة من فئة مجموع ضباط الشرطة.</w:t>
      </w:r>
    </w:p>
    <w:p w:rsidR="00000000" w:rsidRDefault="00000000">
      <w:pPr>
        <w:pStyle w:val="SingleTxt"/>
        <w:ind w:left="1264" w:right="1264"/>
        <w:rPr>
          <w:rtl/>
          <w:lang w:eastAsia="en-US"/>
        </w:rPr>
      </w:pPr>
      <w:r>
        <w:rPr>
          <w:rtl/>
          <w:lang w:eastAsia="en-US"/>
        </w:rPr>
        <w:tab/>
      </w:r>
      <w:r>
        <w:rPr>
          <w:lang w:eastAsia="en-US"/>
        </w:rPr>
        <w:tab/>
      </w:r>
      <w:r>
        <w:rPr>
          <w:rtl/>
          <w:lang w:eastAsia="en-US"/>
        </w:rPr>
        <w:t>وتتمثل المرأة بشكل عادل في مجتمع المنظمات غير الحكومية مثل الاتحاد الوطني للعمال الأريتريين والاتحاد الوطني للشباب والطلبة الأريتريين وهما المنظمتان الوطنيتان اللتان تمثلان على التوالي العمال والشباب/الطلبة في البلاد. ومن بين الأعضاء الـ 39 في اللجنة المركزية في الاتحاد الوطني للشباب والطلبة على سبيل المثال تمثل المرأة 30.7 في المائة مع وجود امرأة واحدة في منصب تنفيذي. وتشكل المرأة 27 في المائة في اللجنة المركزية للاتحاد الوطني للعمال الأريتريين وامرأة واحدة في اللجنة التنفيذية. وقد أقامت كل من المنظمتين وحدة تتعلق بنوع الجنس في كيانها الذي يتخذ إجراءات عملية نحو تقدم المرأة.</w:t>
      </w:r>
    </w:p>
    <w:p w:rsidR="00000000" w:rsidRDefault="00000000">
      <w:pPr>
        <w:pStyle w:val="SingleTxt"/>
        <w:ind w:left="1264" w:right="1264"/>
        <w:rPr>
          <w:rtl/>
          <w:lang w:eastAsia="en-US"/>
        </w:rPr>
      </w:pPr>
      <w:r>
        <w:rPr>
          <w:rtl/>
          <w:lang w:eastAsia="en-US"/>
        </w:rPr>
        <w:tab/>
      </w:r>
      <w:r>
        <w:rPr>
          <w:rtl/>
          <w:lang w:eastAsia="en-US"/>
        </w:rPr>
        <w:tab/>
        <w:t>وتوجد منظمات عامة مهنية مختلفة مثل اتحاد المعلمين، والممرضات، والأطباء، والمهندسين، والاتحادات الرياضية والروابط التجارية وروابط الأعمال، وغرفة التجارة الخ حيث تمثل المرأة مشاركة إيجابية. غير أن هذه المنظمات تتركز في المدن وتستبعد تلقائيا غالبية النساء في المناطق الريفية وشبه الحضرية. ولأسباب ثقافية واضحة ما زالت المرأة في المناطق الريفية مهمشة ولا تشترك في هذه الروابط.</w:t>
      </w:r>
    </w:p>
    <w:p w:rsidR="00000000" w:rsidRDefault="00000000">
      <w:pPr>
        <w:pStyle w:val="SingleTxt"/>
        <w:ind w:left="1264" w:right="1264"/>
        <w:rPr>
          <w:b/>
          <w:bCs/>
          <w:rtl/>
          <w:lang w:eastAsia="en-US"/>
        </w:rPr>
      </w:pPr>
      <w:r>
        <w:rPr>
          <w:b/>
          <w:bCs/>
          <w:rtl/>
          <w:lang w:eastAsia="en-US"/>
        </w:rPr>
        <w:t xml:space="preserve">المادة 8 </w:t>
      </w:r>
      <w:r>
        <w:rPr>
          <w:b/>
          <w:bCs/>
          <w:lang w:eastAsia="en-US"/>
        </w:rPr>
        <w:t>–</w:t>
      </w:r>
      <w:r>
        <w:rPr>
          <w:b/>
          <w:bCs/>
          <w:rtl/>
          <w:lang w:eastAsia="en-US"/>
        </w:rPr>
        <w:t xml:space="preserve"> التمثيل على الصعيد الدولي</w:t>
      </w:r>
    </w:p>
    <w:p w:rsidR="00000000" w:rsidRDefault="00000000">
      <w:pPr>
        <w:pStyle w:val="SingleTxt"/>
        <w:ind w:left="1264" w:right="1264"/>
        <w:rPr>
          <w:lang w:eastAsia="en-US"/>
        </w:rPr>
      </w:pPr>
      <w:r>
        <w:rPr>
          <w:b/>
          <w:bCs/>
          <w:rtl/>
          <w:lang w:eastAsia="en-US"/>
        </w:rPr>
        <w:tab/>
      </w:r>
      <w:r>
        <w:rPr>
          <w:b/>
          <w:bCs/>
          <w:rtl/>
          <w:lang w:eastAsia="en-US"/>
        </w:rPr>
        <w:tab/>
      </w:r>
      <w:r>
        <w:rPr>
          <w:rtl/>
          <w:lang w:eastAsia="en-US"/>
        </w:rPr>
        <w:t>للمرأة من حيث المبدأ إمكانية الوصول المتساوي إلى المناصب الدبلوماسية والدولية مع الرجل. غير أنه يبدو لأسباب عملية أنها أقل تمثيلا. وتوجد حاليا 30 بعثة خارجية وترأس المرأة من بينها بعثة واحدة فقط. والواقع أن المرأة لا تتمتع بتمثيل كبير في أعمال الشؤون الدولية في البلد، وخاصة في المناصب العليا داخل الإدارة والبعثات الخارجية. وتمثل المرأة نسبة 10 في المائة فقط من البعثة الخارجية.</w:t>
      </w:r>
    </w:p>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t>ويزيد الجدول التالي توضيح ذلك</w:t>
      </w:r>
    </w:p>
    <w:p w:rsidR="00000000" w:rsidRDefault="00000000">
      <w:pPr>
        <w:pStyle w:val="SingleTxt"/>
        <w:ind w:left="1264" w:right="1264"/>
        <w:rPr>
          <w:b/>
          <w:bCs/>
          <w:rtl/>
          <w:lang w:eastAsia="en-US"/>
        </w:rPr>
      </w:pPr>
      <w:r>
        <w:rPr>
          <w:b/>
          <w:bCs/>
          <w:rtl/>
          <w:lang w:eastAsia="en-US"/>
        </w:rPr>
        <w:t>الجدول 2: المرأة في الشؤون الدولية</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2"/>
        <w:gridCol w:w="1134"/>
        <w:gridCol w:w="850"/>
        <w:gridCol w:w="1843"/>
      </w:tblGrid>
      <w:tr w:rsidR="00000000">
        <w:tblPrEx>
          <w:tblCellMar>
            <w:top w:w="0" w:type="dxa"/>
            <w:bottom w:w="0" w:type="dxa"/>
          </w:tblCellMar>
        </w:tblPrEx>
        <w:tc>
          <w:tcPr>
            <w:tcW w:w="1134" w:type="dxa"/>
          </w:tcPr>
          <w:p w:rsidR="00000000" w:rsidRDefault="00000000">
            <w:pPr>
              <w:pStyle w:val="SingleTxt"/>
              <w:ind w:left="0" w:right="0"/>
              <w:rPr>
                <w:b/>
                <w:bCs/>
                <w:szCs w:val="26"/>
                <w:rtl/>
                <w:lang w:eastAsia="en-US"/>
              </w:rPr>
            </w:pPr>
            <w:r>
              <w:rPr>
                <w:b/>
                <w:bCs/>
                <w:szCs w:val="26"/>
                <w:rtl/>
                <w:lang w:eastAsia="en-US"/>
              </w:rPr>
              <w:t>التسلسل</w:t>
            </w:r>
          </w:p>
        </w:tc>
        <w:tc>
          <w:tcPr>
            <w:tcW w:w="2552" w:type="dxa"/>
          </w:tcPr>
          <w:p w:rsidR="00000000" w:rsidRDefault="00000000">
            <w:pPr>
              <w:pStyle w:val="SingleTxt"/>
              <w:ind w:left="0" w:right="0"/>
              <w:rPr>
                <w:b/>
                <w:bCs/>
                <w:szCs w:val="26"/>
                <w:rtl/>
                <w:lang w:eastAsia="en-US"/>
              </w:rPr>
            </w:pPr>
            <w:r>
              <w:rPr>
                <w:b/>
                <w:bCs/>
                <w:szCs w:val="26"/>
                <w:rtl/>
                <w:lang w:eastAsia="en-US"/>
              </w:rPr>
              <w:t>البعثات الخارجية</w:t>
            </w:r>
          </w:p>
        </w:tc>
        <w:tc>
          <w:tcPr>
            <w:tcW w:w="1134" w:type="dxa"/>
          </w:tcPr>
          <w:p w:rsidR="00000000" w:rsidRDefault="00000000">
            <w:pPr>
              <w:pStyle w:val="SingleTxt"/>
              <w:ind w:left="0" w:right="0"/>
              <w:rPr>
                <w:b/>
                <w:bCs/>
                <w:szCs w:val="26"/>
                <w:rtl/>
                <w:lang w:eastAsia="en-US"/>
              </w:rPr>
            </w:pPr>
            <w:r>
              <w:rPr>
                <w:b/>
                <w:bCs/>
                <w:szCs w:val="26"/>
                <w:rtl/>
                <w:lang w:eastAsia="en-US"/>
              </w:rPr>
              <w:t>امرأة</w:t>
            </w:r>
          </w:p>
        </w:tc>
        <w:tc>
          <w:tcPr>
            <w:tcW w:w="850" w:type="dxa"/>
          </w:tcPr>
          <w:p w:rsidR="00000000" w:rsidRDefault="00000000">
            <w:pPr>
              <w:pStyle w:val="SingleTxt"/>
              <w:ind w:left="0" w:right="0"/>
              <w:rPr>
                <w:b/>
                <w:bCs/>
                <w:szCs w:val="26"/>
                <w:rtl/>
                <w:lang w:eastAsia="en-US"/>
              </w:rPr>
            </w:pPr>
            <w:r>
              <w:rPr>
                <w:b/>
                <w:bCs/>
                <w:szCs w:val="26"/>
                <w:rtl/>
                <w:lang w:eastAsia="en-US"/>
              </w:rPr>
              <w:t>رجل</w:t>
            </w:r>
          </w:p>
        </w:tc>
        <w:tc>
          <w:tcPr>
            <w:tcW w:w="1843" w:type="dxa"/>
          </w:tcPr>
          <w:p w:rsidR="00000000" w:rsidRDefault="00000000">
            <w:pPr>
              <w:pStyle w:val="SingleTxt"/>
              <w:ind w:left="0" w:right="0"/>
              <w:rPr>
                <w:b/>
                <w:bCs/>
                <w:szCs w:val="26"/>
                <w:rtl/>
                <w:lang w:eastAsia="en-US"/>
              </w:rPr>
            </w:pPr>
            <w:r>
              <w:rPr>
                <w:b/>
                <w:bCs/>
                <w:szCs w:val="26"/>
                <w:rtl/>
                <w:lang w:eastAsia="en-US"/>
              </w:rPr>
              <w:t>النسبة المئوية للمرأة</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1</w:t>
            </w:r>
          </w:p>
        </w:tc>
        <w:tc>
          <w:tcPr>
            <w:tcW w:w="2552" w:type="dxa"/>
          </w:tcPr>
          <w:p w:rsidR="00000000" w:rsidRDefault="00000000">
            <w:pPr>
              <w:pStyle w:val="SingleTxt"/>
              <w:ind w:left="0" w:right="0"/>
              <w:rPr>
                <w:szCs w:val="26"/>
                <w:rtl/>
                <w:lang w:eastAsia="en-US"/>
              </w:rPr>
            </w:pPr>
            <w:r>
              <w:rPr>
                <w:szCs w:val="26"/>
                <w:rtl/>
                <w:lang w:eastAsia="en-US"/>
              </w:rPr>
              <w:t>وزراء/مديرون عامون</w:t>
            </w:r>
          </w:p>
        </w:tc>
        <w:tc>
          <w:tcPr>
            <w:tcW w:w="1134" w:type="dxa"/>
          </w:tcPr>
          <w:p w:rsidR="00000000" w:rsidRDefault="00000000">
            <w:pPr>
              <w:pStyle w:val="SingleTxt"/>
              <w:ind w:left="0" w:right="0"/>
              <w:rPr>
                <w:szCs w:val="26"/>
                <w:rtl/>
                <w:lang w:eastAsia="en-US"/>
              </w:rPr>
            </w:pPr>
          </w:p>
        </w:tc>
        <w:tc>
          <w:tcPr>
            <w:tcW w:w="850" w:type="dxa"/>
          </w:tcPr>
          <w:p w:rsidR="00000000" w:rsidRDefault="00000000">
            <w:pPr>
              <w:pStyle w:val="SingleTxt"/>
              <w:ind w:left="0" w:right="0"/>
              <w:rPr>
                <w:szCs w:val="26"/>
                <w:rtl/>
                <w:lang w:eastAsia="en-US"/>
              </w:rPr>
            </w:pPr>
            <w:r>
              <w:rPr>
                <w:szCs w:val="26"/>
                <w:rtl/>
                <w:lang w:eastAsia="en-US"/>
              </w:rPr>
              <w:t>8</w:t>
            </w:r>
          </w:p>
        </w:tc>
        <w:tc>
          <w:tcPr>
            <w:tcW w:w="1843" w:type="dxa"/>
          </w:tcPr>
          <w:p w:rsidR="00000000" w:rsidRDefault="00000000">
            <w:pPr>
              <w:pStyle w:val="SingleTxt"/>
              <w:ind w:left="0" w:right="0"/>
              <w:rPr>
                <w:szCs w:val="26"/>
                <w:rtl/>
                <w:lang w:eastAsia="en-US"/>
              </w:rPr>
            </w:pPr>
            <w:r>
              <w:rPr>
                <w:szCs w:val="26"/>
                <w:rtl/>
                <w:lang w:eastAsia="en-US"/>
              </w:rPr>
              <w:t>0</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2</w:t>
            </w:r>
          </w:p>
        </w:tc>
        <w:tc>
          <w:tcPr>
            <w:tcW w:w="2552" w:type="dxa"/>
          </w:tcPr>
          <w:p w:rsidR="00000000" w:rsidRDefault="00000000">
            <w:pPr>
              <w:pStyle w:val="SingleTxt"/>
              <w:ind w:left="0" w:right="0"/>
              <w:rPr>
                <w:szCs w:val="26"/>
                <w:rtl/>
                <w:lang w:eastAsia="en-US"/>
              </w:rPr>
            </w:pPr>
            <w:r>
              <w:rPr>
                <w:szCs w:val="26"/>
                <w:rtl/>
                <w:lang w:eastAsia="en-US"/>
              </w:rPr>
              <w:t>رؤساء بعثات (سفراء)</w:t>
            </w:r>
          </w:p>
        </w:tc>
        <w:tc>
          <w:tcPr>
            <w:tcW w:w="1134" w:type="dxa"/>
          </w:tcPr>
          <w:p w:rsidR="00000000" w:rsidRDefault="00000000">
            <w:pPr>
              <w:pStyle w:val="SingleTxt"/>
              <w:ind w:left="0" w:right="0"/>
              <w:rPr>
                <w:szCs w:val="26"/>
                <w:rtl/>
                <w:lang w:eastAsia="en-US"/>
              </w:rPr>
            </w:pPr>
            <w:r>
              <w:rPr>
                <w:szCs w:val="26"/>
                <w:rtl/>
                <w:lang w:eastAsia="en-US"/>
              </w:rPr>
              <w:t>1</w:t>
            </w:r>
          </w:p>
        </w:tc>
        <w:tc>
          <w:tcPr>
            <w:tcW w:w="850" w:type="dxa"/>
          </w:tcPr>
          <w:p w:rsidR="00000000" w:rsidRDefault="00000000">
            <w:pPr>
              <w:pStyle w:val="SingleTxt"/>
              <w:ind w:left="0" w:right="0"/>
              <w:rPr>
                <w:szCs w:val="26"/>
                <w:rtl/>
                <w:lang w:eastAsia="en-US"/>
              </w:rPr>
            </w:pPr>
            <w:r>
              <w:rPr>
                <w:szCs w:val="26"/>
                <w:rtl/>
                <w:lang w:eastAsia="en-US"/>
              </w:rPr>
              <w:t>29</w:t>
            </w:r>
          </w:p>
        </w:tc>
        <w:tc>
          <w:tcPr>
            <w:tcW w:w="1843" w:type="dxa"/>
          </w:tcPr>
          <w:p w:rsidR="00000000" w:rsidRDefault="00000000">
            <w:pPr>
              <w:pStyle w:val="SingleTxt"/>
              <w:ind w:left="0" w:right="0"/>
              <w:rPr>
                <w:szCs w:val="26"/>
                <w:rtl/>
                <w:lang w:eastAsia="en-US"/>
              </w:rPr>
            </w:pPr>
            <w:r>
              <w:rPr>
                <w:szCs w:val="26"/>
                <w:rtl/>
                <w:lang w:eastAsia="en-US"/>
              </w:rPr>
              <w:t>3</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3</w:t>
            </w:r>
          </w:p>
        </w:tc>
        <w:tc>
          <w:tcPr>
            <w:tcW w:w="2552" w:type="dxa"/>
          </w:tcPr>
          <w:p w:rsidR="00000000" w:rsidRDefault="00000000">
            <w:pPr>
              <w:pStyle w:val="SingleTxt"/>
              <w:ind w:left="0" w:right="0"/>
              <w:rPr>
                <w:szCs w:val="26"/>
                <w:rtl/>
                <w:lang w:eastAsia="en-US"/>
              </w:rPr>
            </w:pPr>
            <w:r>
              <w:rPr>
                <w:szCs w:val="26"/>
                <w:rtl/>
                <w:lang w:eastAsia="en-US"/>
              </w:rPr>
              <w:t>وزراء/مستشارون</w:t>
            </w:r>
          </w:p>
        </w:tc>
        <w:tc>
          <w:tcPr>
            <w:tcW w:w="1134" w:type="dxa"/>
          </w:tcPr>
          <w:p w:rsidR="00000000" w:rsidRDefault="00000000">
            <w:pPr>
              <w:pStyle w:val="SingleTxt"/>
              <w:ind w:left="0" w:right="0"/>
              <w:rPr>
                <w:szCs w:val="26"/>
                <w:rtl/>
                <w:lang w:eastAsia="en-US"/>
              </w:rPr>
            </w:pPr>
            <w:r>
              <w:rPr>
                <w:szCs w:val="26"/>
                <w:rtl/>
                <w:lang w:eastAsia="en-US"/>
              </w:rPr>
              <w:t>1</w:t>
            </w:r>
          </w:p>
        </w:tc>
        <w:tc>
          <w:tcPr>
            <w:tcW w:w="850" w:type="dxa"/>
          </w:tcPr>
          <w:p w:rsidR="00000000" w:rsidRDefault="00000000">
            <w:pPr>
              <w:pStyle w:val="SingleTxt"/>
              <w:ind w:left="0" w:right="0"/>
              <w:rPr>
                <w:szCs w:val="26"/>
                <w:rtl/>
                <w:lang w:eastAsia="en-US"/>
              </w:rPr>
            </w:pPr>
            <w:r>
              <w:rPr>
                <w:szCs w:val="26"/>
                <w:rtl/>
                <w:lang w:eastAsia="en-US"/>
              </w:rPr>
              <w:t>9</w:t>
            </w:r>
          </w:p>
        </w:tc>
        <w:tc>
          <w:tcPr>
            <w:tcW w:w="1843" w:type="dxa"/>
          </w:tcPr>
          <w:p w:rsidR="00000000" w:rsidRDefault="00000000">
            <w:pPr>
              <w:pStyle w:val="SingleTxt"/>
              <w:ind w:left="0" w:right="0"/>
              <w:rPr>
                <w:szCs w:val="26"/>
                <w:rtl/>
                <w:lang w:eastAsia="en-US"/>
              </w:rPr>
            </w:pPr>
            <w:r>
              <w:rPr>
                <w:szCs w:val="26"/>
                <w:rtl/>
                <w:lang w:eastAsia="en-US"/>
              </w:rPr>
              <w:t>10</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4</w:t>
            </w:r>
          </w:p>
        </w:tc>
        <w:tc>
          <w:tcPr>
            <w:tcW w:w="2552" w:type="dxa"/>
          </w:tcPr>
          <w:p w:rsidR="00000000" w:rsidRDefault="00000000">
            <w:pPr>
              <w:pStyle w:val="SingleTxt"/>
              <w:ind w:left="0" w:right="0"/>
              <w:rPr>
                <w:szCs w:val="26"/>
                <w:rtl/>
                <w:lang w:eastAsia="en-US"/>
              </w:rPr>
            </w:pPr>
            <w:r>
              <w:rPr>
                <w:szCs w:val="26"/>
                <w:rtl/>
                <w:lang w:eastAsia="en-US"/>
              </w:rPr>
              <w:t>قنصل عام</w:t>
            </w:r>
          </w:p>
        </w:tc>
        <w:tc>
          <w:tcPr>
            <w:tcW w:w="1134" w:type="dxa"/>
          </w:tcPr>
          <w:p w:rsidR="00000000" w:rsidRDefault="00000000">
            <w:pPr>
              <w:pStyle w:val="SingleTxt"/>
              <w:ind w:left="0" w:right="0"/>
              <w:rPr>
                <w:szCs w:val="26"/>
                <w:rtl/>
                <w:lang w:eastAsia="en-US"/>
              </w:rPr>
            </w:pPr>
            <w:r>
              <w:rPr>
                <w:szCs w:val="26"/>
                <w:rtl/>
                <w:lang w:eastAsia="en-US"/>
              </w:rPr>
              <w:t>1</w:t>
            </w:r>
          </w:p>
        </w:tc>
        <w:tc>
          <w:tcPr>
            <w:tcW w:w="850" w:type="dxa"/>
          </w:tcPr>
          <w:p w:rsidR="00000000" w:rsidRDefault="00000000">
            <w:pPr>
              <w:pStyle w:val="SingleTxt"/>
              <w:ind w:left="0" w:right="0"/>
              <w:rPr>
                <w:szCs w:val="26"/>
                <w:rtl/>
                <w:lang w:eastAsia="en-US"/>
              </w:rPr>
            </w:pPr>
            <w:r>
              <w:rPr>
                <w:szCs w:val="26"/>
                <w:rtl/>
                <w:lang w:eastAsia="en-US"/>
              </w:rPr>
              <w:t>5</w:t>
            </w:r>
          </w:p>
        </w:tc>
        <w:tc>
          <w:tcPr>
            <w:tcW w:w="1843" w:type="dxa"/>
          </w:tcPr>
          <w:p w:rsidR="00000000" w:rsidRDefault="00000000">
            <w:pPr>
              <w:pStyle w:val="SingleTxt"/>
              <w:ind w:left="0" w:right="0"/>
              <w:rPr>
                <w:szCs w:val="26"/>
                <w:rtl/>
                <w:lang w:eastAsia="en-US"/>
              </w:rPr>
            </w:pPr>
            <w:r>
              <w:rPr>
                <w:szCs w:val="26"/>
                <w:rtl/>
                <w:lang w:eastAsia="en-US"/>
              </w:rPr>
              <w:t>16</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5</w:t>
            </w:r>
          </w:p>
        </w:tc>
        <w:tc>
          <w:tcPr>
            <w:tcW w:w="2552" w:type="dxa"/>
          </w:tcPr>
          <w:p w:rsidR="00000000" w:rsidRDefault="00000000">
            <w:pPr>
              <w:pStyle w:val="SingleTxt"/>
              <w:ind w:left="0" w:right="0"/>
              <w:rPr>
                <w:szCs w:val="26"/>
                <w:rtl/>
                <w:lang w:eastAsia="en-US"/>
              </w:rPr>
            </w:pPr>
            <w:r>
              <w:rPr>
                <w:szCs w:val="26"/>
                <w:rtl/>
                <w:lang w:eastAsia="en-US"/>
              </w:rPr>
              <w:t>مديرون</w:t>
            </w:r>
          </w:p>
        </w:tc>
        <w:tc>
          <w:tcPr>
            <w:tcW w:w="1134" w:type="dxa"/>
          </w:tcPr>
          <w:p w:rsidR="00000000" w:rsidRDefault="00000000">
            <w:pPr>
              <w:pStyle w:val="SingleTxt"/>
              <w:ind w:left="0" w:right="0"/>
              <w:rPr>
                <w:szCs w:val="26"/>
                <w:rtl/>
                <w:lang w:eastAsia="en-US"/>
              </w:rPr>
            </w:pPr>
            <w:r>
              <w:rPr>
                <w:szCs w:val="26"/>
                <w:rtl/>
                <w:lang w:eastAsia="en-US"/>
              </w:rPr>
              <w:t>1</w:t>
            </w:r>
          </w:p>
        </w:tc>
        <w:tc>
          <w:tcPr>
            <w:tcW w:w="850" w:type="dxa"/>
          </w:tcPr>
          <w:p w:rsidR="00000000" w:rsidRDefault="00000000">
            <w:pPr>
              <w:pStyle w:val="SingleTxt"/>
              <w:ind w:left="0" w:right="0"/>
              <w:rPr>
                <w:szCs w:val="26"/>
                <w:rtl/>
                <w:lang w:eastAsia="en-US"/>
              </w:rPr>
            </w:pPr>
            <w:r>
              <w:rPr>
                <w:szCs w:val="26"/>
                <w:rtl/>
                <w:lang w:eastAsia="en-US"/>
              </w:rPr>
              <w:t>13</w:t>
            </w:r>
          </w:p>
        </w:tc>
        <w:tc>
          <w:tcPr>
            <w:tcW w:w="1843" w:type="dxa"/>
          </w:tcPr>
          <w:p w:rsidR="00000000" w:rsidRDefault="00000000">
            <w:pPr>
              <w:pStyle w:val="SingleTxt"/>
              <w:ind w:left="0" w:right="0"/>
              <w:rPr>
                <w:szCs w:val="26"/>
                <w:rtl/>
                <w:lang w:eastAsia="en-US"/>
              </w:rPr>
            </w:pPr>
            <w:r>
              <w:rPr>
                <w:szCs w:val="26"/>
                <w:rtl/>
                <w:lang w:eastAsia="en-US"/>
              </w:rPr>
              <w:t>7</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6</w:t>
            </w:r>
          </w:p>
        </w:tc>
        <w:tc>
          <w:tcPr>
            <w:tcW w:w="2552" w:type="dxa"/>
          </w:tcPr>
          <w:p w:rsidR="00000000" w:rsidRDefault="00000000">
            <w:pPr>
              <w:pStyle w:val="SingleTxt"/>
              <w:ind w:left="0" w:right="0"/>
              <w:rPr>
                <w:szCs w:val="26"/>
                <w:rtl/>
                <w:lang w:eastAsia="en-US"/>
              </w:rPr>
            </w:pPr>
            <w:r>
              <w:rPr>
                <w:szCs w:val="26"/>
                <w:rtl/>
                <w:lang w:eastAsia="en-US"/>
              </w:rPr>
              <w:t>أمناء أول</w:t>
            </w:r>
          </w:p>
        </w:tc>
        <w:tc>
          <w:tcPr>
            <w:tcW w:w="1134" w:type="dxa"/>
          </w:tcPr>
          <w:p w:rsidR="00000000" w:rsidRDefault="00000000">
            <w:pPr>
              <w:pStyle w:val="SingleTxt"/>
              <w:ind w:left="0" w:right="0"/>
              <w:rPr>
                <w:szCs w:val="26"/>
                <w:rtl/>
                <w:lang w:eastAsia="en-US"/>
              </w:rPr>
            </w:pPr>
            <w:r>
              <w:rPr>
                <w:szCs w:val="26"/>
                <w:rtl/>
                <w:lang w:eastAsia="en-US"/>
              </w:rPr>
              <w:t>2</w:t>
            </w:r>
          </w:p>
        </w:tc>
        <w:tc>
          <w:tcPr>
            <w:tcW w:w="850" w:type="dxa"/>
          </w:tcPr>
          <w:p w:rsidR="00000000" w:rsidRDefault="00000000">
            <w:pPr>
              <w:pStyle w:val="SingleTxt"/>
              <w:ind w:left="0" w:right="0"/>
              <w:rPr>
                <w:szCs w:val="26"/>
                <w:rtl/>
                <w:lang w:eastAsia="en-US"/>
              </w:rPr>
            </w:pPr>
            <w:r>
              <w:rPr>
                <w:szCs w:val="26"/>
                <w:rtl/>
                <w:lang w:eastAsia="en-US"/>
              </w:rPr>
              <w:t>24</w:t>
            </w:r>
          </w:p>
        </w:tc>
        <w:tc>
          <w:tcPr>
            <w:tcW w:w="1843" w:type="dxa"/>
          </w:tcPr>
          <w:p w:rsidR="00000000" w:rsidRDefault="00000000">
            <w:pPr>
              <w:pStyle w:val="SingleTxt"/>
              <w:ind w:left="0" w:right="0"/>
              <w:rPr>
                <w:szCs w:val="26"/>
                <w:rtl/>
                <w:lang w:eastAsia="en-US"/>
              </w:rPr>
            </w:pPr>
            <w:r>
              <w:rPr>
                <w:szCs w:val="26"/>
                <w:rtl/>
                <w:lang w:eastAsia="en-US"/>
              </w:rPr>
              <w:t>7.6</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7</w:t>
            </w:r>
          </w:p>
        </w:tc>
        <w:tc>
          <w:tcPr>
            <w:tcW w:w="2552" w:type="dxa"/>
          </w:tcPr>
          <w:p w:rsidR="00000000" w:rsidRDefault="00000000">
            <w:pPr>
              <w:pStyle w:val="SingleTxt"/>
              <w:ind w:left="0" w:right="0"/>
              <w:rPr>
                <w:szCs w:val="26"/>
                <w:rtl/>
                <w:lang w:eastAsia="en-US"/>
              </w:rPr>
            </w:pPr>
            <w:r>
              <w:rPr>
                <w:szCs w:val="26"/>
                <w:rtl/>
                <w:lang w:eastAsia="en-US"/>
              </w:rPr>
              <w:t>أمناء ثواني</w:t>
            </w:r>
          </w:p>
        </w:tc>
        <w:tc>
          <w:tcPr>
            <w:tcW w:w="1134" w:type="dxa"/>
          </w:tcPr>
          <w:p w:rsidR="00000000" w:rsidRDefault="00000000">
            <w:pPr>
              <w:pStyle w:val="SingleTxt"/>
              <w:ind w:left="0" w:right="0"/>
              <w:rPr>
                <w:szCs w:val="26"/>
                <w:rtl/>
                <w:lang w:eastAsia="en-US"/>
              </w:rPr>
            </w:pPr>
            <w:r>
              <w:rPr>
                <w:szCs w:val="26"/>
                <w:rtl/>
                <w:lang w:eastAsia="en-US"/>
              </w:rPr>
              <w:t>2</w:t>
            </w:r>
          </w:p>
        </w:tc>
        <w:tc>
          <w:tcPr>
            <w:tcW w:w="850" w:type="dxa"/>
          </w:tcPr>
          <w:p w:rsidR="00000000" w:rsidRDefault="00000000">
            <w:pPr>
              <w:pStyle w:val="SingleTxt"/>
              <w:ind w:left="0" w:right="0"/>
              <w:rPr>
                <w:szCs w:val="26"/>
                <w:rtl/>
                <w:lang w:eastAsia="en-US"/>
              </w:rPr>
            </w:pPr>
            <w:r>
              <w:rPr>
                <w:szCs w:val="26"/>
                <w:rtl/>
                <w:lang w:eastAsia="en-US"/>
              </w:rPr>
              <w:t>35</w:t>
            </w:r>
          </w:p>
        </w:tc>
        <w:tc>
          <w:tcPr>
            <w:tcW w:w="1843" w:type="dxa"/>
          </w:tcPr>
          <w:p w:rsidR="00000000" w:rsidRDefault="00000000">
            <w:pPr>
              <w:pStyle w:val="SingleTxt"/>
              <w:ind w:left="0" w:right="0"/>
              <w:rPr>
                <w:szCs w:val="26"/>
                <w:rtl/>
                <w:lang w:eastAsia="en-US"/>
              </w:rPr>
            </w:pPr>
            <w:r>
              <w:rPr>
                <w:szCs w:val="26"/>
                <w:rtl/>
                <w:lang w:eastAsia="en-US"/>
              </w:rPr>
              <w:t>5</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8</w:t>
            </w:r>
          </w:p>
        </w:tc>
        <w:tc>
          <w:tcPr>
            <w:tcW w:w="2552" w:type="dxa"/>
          </w:tcPr>
          <w:p w:rsidR="00000000" w:rsidRDefault="00000000">
            <w:pPr>
              <w:pStyle w:val="SingleTxt"/>
              <w:ind w:left="0" w:right="0"/>
              <w:rPr>
                <w:szCs w:val="26"/>
                <w:rtl/>
                <w:lang w:eastAsia="en-US"/>
              </w:rPr>
            </w:pPr>
            <w:r>
              <w:rPr>
                <w:szCs w:val="26"/>
                <w:rtl/>
                <w:lang w:eastAsia="en-US"/>
              </w:rPr>
              <w:t>أمناء ثوالث</w:t>
            </w:r>
          </w:p>
        </w:tc>
        <w:tc>
          <w:tcPr>
            <w:tcW w:w="1134" w:type="dxa"/>
          </w:tcPr>
          <w:p w:rsidR="00000000" w:rsidRDefault="00000000">
            <w:pPr>
              <w:pStyle w:val="SingleTxt"/>
              <w:ind w:left="0" w:right="0"/>
              <w:rPr>
                <w:szCs w:val="26"/>
                <w:rtl/>
                <w:lang w:eastAsia="en-US"/>
              </w:rPr>
            </w:pPr>
            <w:r>
              <w:rPr>
                <w:szCs w:val="26"/>
                <w:rtl/>
                <w:lang w:eastAsia="en-US"/>
              </w:rPr>
              <w:t>5</w:t>
            </w:r>
          </w:p>
        </w:tc>
        <w:tc>
          <w:tcPr>
            <w:tcW w:w="850" w:type="dxa"/>
          </w:tcPr>
          <w:p w:rsidR="00000000" w:rsidRDefault="00000000">
            <w:pPr>
              <w:pStyle w:val="SingleTxt"/>
              <w:ind w:left="0" w:right="0"/>
              <w:rPr>
                <w:szCs w:val="26"/>
                <w:rtl/>
                <w:lang w:eastAsia="en-US"/>
              </w:rPr>
            </w:pPr>
            <w:r>
              <w:rPr>
                <w:szCs w:val="26"/>
                <w:rtl/>
                <w:lang w:eastAsia="en-US"/>
              </w:rPr>
              <w:t>4</w:t>
            </w:r>
          </w:p>
        </w:tc>
        <w:tc>
          <w:tcPr>
            <w:tcW w:w="1843" w:type="dxa"/>
          </w:tcPr>
          <w:p w:rsidR="00000000" w:rsidRDefault="00000000">
            <w:pPr>
              <w:pStyle w:val="SingleTxt"/>
              <w:ind w:left="0" w:right="0"/>
              <w:rPr>
                <w:szCs w:val="26"/>
                <w:rtl/>
                <w:lang w:eastAsia="en-US"/>
              </w:rPr>
            </w:pPr>
            <w:r>
              <w:rPr>
                <w:szCs w:val="26"/>
                <w:rtl/>
                <w:lang w:eastAsia="en-US"/>
              </w:rPr>
              <w:t>55.5</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r>
              <w:rPr>
                <w:szCs w:val="26"/>
                <w:rtl/>
                <w:lang w:eastAsia="en-US"/>
              </w:rPr>
              <w:t>9</w:t>
            </w:r>
          </w:p>
        </w:tc>
        <w:tc>
          <w:tcPr>
            <w:tcW w:w="2552" w:type="dxa"/>
          </w:tcPr>
          <w:p w:rsidR="00000000" w:rsidRDefault="00000000">
            <w:pPr>
              <w:pStyle w:val="SingleTxt"/>
              <w:ind w:left="0" w:right="0"/>
              <w:rPr>
                <w:szCs w:val="26"/>
                <w:rtl/>
                <w:lang w:eastAsia="en-US"/>
              </w:rPr>
            </w:pPr>
            <w:r>
              <w:rPr>
                <w:szCs w:val="26"/>
                <w:rtl/>
                <w:lang w:eastAsia="en-US"/>
              </w:rPr>
              <w:t>ملحقون</w:t>
            </w:r>
          </w:p>
        </w:tc>
        <w:tc>
          <w:tcPr>
            <w:tcW w:w="1134" w:type="dxa"/>
          </w:tcPr>
          <w:p w:rsidR="00000000" w:rsidRDefault="00000000">
            <w:pPr>
              <w:pStyle w:val="SingleTxt"/>
              <w:ind w:left="0" w:right="0"/>
              <w:rPr>
                <w:szCs w:val="26"/>
                <w:rtl/>
                <w:lang w:eastAsia="en-US"/>
              </w:rPr>
            </w:pPr>
            <w:r>
              <w:rPr>
                <w:szCs w:val="26"/>
                <w:rtl/>
                <w:lang w:eastAsia="en-US"/>
              </w:rPr>
              <w:t>1</w:t>
            </w:r>
          </w:p>
        </w:tc>
        <w:tc>
          <w:tcPr>
            <w:tcW w:w="850" w:type="dxa"/>
          </w:tcPr>
          <w:p w:rsidR="00000000" w:rsidRDefault="00000000">
            <w:pPr>
              <w:pStyle w:val="SingleTxt"/>
              <w:ind w:left="0" w:right="0"/>
              <w:rPr>
                <w:szCs w:val="26"/>
                <w:rtl/>
                <w:lang w:eastAsia="en-US"/>
              </w:rPr>
            </w:pPr>
            <w:r>
              <w:rPr>
                <w:szCs w:val="26"/>
                <w:rtl/>
                <w:lang w:eastAsia="en-US"/>
              </w:rPr>
              <w:t>4</w:t>
            </w:r>
          </w:p>
        </w:tc>
        <w:tc>
          <w:tcPr>
            <w:tcW w:w="1843" w:type="dxa"/>
          </w:tcPr>
          <w:p w:rsidR="00000000" w:rsidRDefault="00000000">
            <w:pPr>
              <w:pStyle w:val="SingleTxt"/>
              <w:ind w:left="0" w:right="0"/>
              <w:rPr>
                <w:szCs w:val="26"/>
                <w:rtl/>
                <w:lang w:eastAsia="en-US"/>
              </w:rPr>
            </w:pPr>
            <w:r>
              <w:rPr>
                <w:szCs w:val="26"/>
                <w:rtl/>
                <w:lang w:eastAsia="en-US"/>
              </w:rPr>
              <w:t>20</w:t>
            </w:r>
            <w:r>
              <w:rPr>
                <w:rFonts w:cs="Akhbar MT"/>
                <w:szCs w:val="26"/>
                <w:rtl/>
                <w:lang w:eastAsia="en-US"/>
              </w:rPr>
              <w:t>%</w:t>
            </w:r>
          </w:p>
        </w:tc>
      </w:tr>
      <w:tr w:rsidR="00000000">
        <w:tblPrEx>
          <w:tblCellMar>
            <w:top w:w="0" w:type="dxa"/>
            <w:bottom w:w="0" w:type="dxa"/>
          </w:tblCellMar>
        </w:tblPrEx>
        <w:tc>
          <w:tcPr>
            <w:tcW w:w="1134" w:type="dxa"/>
          </w:tcPr>
          <w:p w:rsidR="00000000" w:rsidRDefault="00000000">
            <w:pPr>
              <w:pStyle w:val="SingleTxt"/>
              <w:ind w:left="0" w:right="0"/>
              <w:rPr>
                <w:szCs w:val="26"/>
                <w:rtl/>
                <w:lang w:eastAsia="en-US"/>
              </w:rPr>
            </w:pPr>
          </w:p>
        </w:tc>
        <w:tc>
          <w:tcPr>
            <w:tcW w:w="2552" w:type="dxa"/>
          </w:tcPr>
          <w:p w:rsidR="00000000" w:rsidRDefault="00000000">
            <w:pPr>
              <w:pStyle w:val="SingleTxt"/>
              <w:ind w:left="0" w:right="0"/>
              <w:rPr>
                <w:szCs w:val="26"/>
                <w:rtl/>
                <w:lang w:eastAsia="en-US"/>
              </w:rPr>
            </w:pPr>
          </w:p>
        </w:tc>
        <w:tc>
          <w:tcPr>
            <w:tcW w:w="1134" w:type="dxa"/>
          </w:tcPr>
          <w:p w:rsidR="00000000" w:rsidRDefault="00000000">
            <w:pPr>
              <w:pStyle w:val="SingleTxt"/>
              <w:ind w:left="0" w:right="0"/>
              <w:rPr>
                <w:b/>
                <w:bCs/>
                <w:szCs w:val="26"/>
                <w:rtl/>
                <w:lang w:eastAsia="en-US"/>
              </w:rPr>
            </w:pPr>
            <w:r>
              <w:rPr>
                <w:b/>
                <w:bCs/>
                <w:szCs w:val="26"/>
                <w:rtl/>
                <w:lang w:eastAsia="en-US"/>
              </w:rPr>
              <w:t>14</w:t>
            </w:r>
          </w:p>
        </w:tc>
        <w:tc>
          <w:tcPr>
            <w:tcW w:w="850" w:type="dxa"/>
          </w:tcPr>
          <w:p w:rsidR="00000000" w:rsidRDefault="00000000">
            <w:pPr>
              <w:pStyle w:val="SingleTxt"/>
              <w:ind w:left="0" w:right="0"/>
              <w:rPr>
                <w:b/>
                <w:bCs/>
                <w:szCs w:val="26"/>
                <w:rtl/>
                <w:lang w:eastAsia="en-US"/>
              </w:rPr>
            </w:pPr>
            <w:r>
              <w:rPr>
                <w:b/>
                <w:bCs/>
                <w:szCs w:val="26"/>
                <w:rtl/>
                <w:lang w:eastAsia="en-US"/>
              </w:rPr>
              <w:t>131</w:t>
            </w:r>
          </w:p>
        </w:tc>
        <w:tc>
          <w:tcPr>
            <w:tcW w:w="1843" w:type="dxa"/>
          </w:tcPr>
          <w:p w:rsidR="00000000" w:rsidRDefault="00000000">
            <w:pPr>
              <w:pStyle w:val="SingleTxt"/>
              <w:ind w:left="0" w:right="0"/>
              <w:rPr>
                <w:b/>
                <w:bCs/>
                <w:szCs w:val="26"/>
                <w:rtl/>
                <w:lang w:eastAsia="en-US"/>
              </w:rPr>
            </w:pPr>
            <w:r>
              <w:rPr>
                <w:b/>
                <w:bCs/>
                <w:szCs w:val="26"/>
                <w:rtl/>
                <w:lang w:eastAsia="en-US"/>
              </w:rPr>
              <w:t>10</w:t>
            </w:r>
            <w:r>
              <w:rPr>
                <w:rFonts w:cs="Akhbar MT"/>
                <w:szCs w:val="26"/>
                <w:rtl/>
                <w:lang w:eastAsia="en-US"/>
              </w:rPr>
              <w:t>%</w:t>
            </w:r>
          </w:p>
        </w:tc>
      </w:tr>
    </w:tbl>
    <w:p w:rsidR="00000000" w:rsidRDefault="00000000">
      <w:pPr>
        <w:pStyle w:val="SingleTxt"/>
        <w:ind w:left="1264" w:right="1264"/>
        <w:rPr>
          <w:i/>
          <w:iCs/>
          <w:szCs w:val="26"/>
          <w:rtl/>
          <w:lang w:eastAsia="en-US"/>
        </w:rPr>
      </w:pPr>
      <w:r>
        <w:rPr>
          <w:i/>
          <w:iCs/>
          <w:szCs w:val="26"/>
          <w:rtl/>
          <w:lang w:eastAsia="en-US"/>
        </w:rPr>
        <w:t>المصدر: وزارة الخارجية، أيلول/سبتمبر 2002.</w:t>
      </w:r>
    </w:p>
    <w:p w:rsidR="00000000" w:rsidRDefault="00000000">
      <w:pPr>
        <w:pStyle w:val="SingleTxt"/>
        <w:ind w:left="1264" w:right="1264"/>
        <w:rPr>
          <w:rtl/>
          <w:lang w:eastAsia="en-US"/>
        </w:rPr>
      </w:pPr>
      <w:r>
        <w:rPr>
          <w:rtl/>
          <w:lang w:eastAsia="en-US"/>
        </w:rPr>
        <w:tab/>
      </w:r>
      <w:r>
        <w:rPr>
          <w:lang w:eastAsia="en-US"/>
        </w:rPr>
        <w:tab/>
      </w:r>
      <w:r>
        <w:rPr>
          <w:rtl/>
          <w:lang w:eastAsia="en-US"/>
        </w:rPr>
        <w:t>وبالمقارنة بإحصاءات عام 1998 بشأن البعثات الخارجية، حدث تحسن طفيف في مشاركة المرأة وخاصة على مستوى الأمناء الأول والثواني. وترأس امرأة حاليا منصب مدير مكتب الأمم المتحدة والمنظمات الدولية داخل الوزارة، وهو من بين المناصب الرئيسية.</w:t>
      </w:r>
    </w:p>
    <w:p w:rsidR="00000000" w:rsidRDefault="00000000">
      <w:pPr>
        <w:pStyle w:val="SingleTxt"/>
        <w:ind w:left="1264" w:right="1264"/>
        <w:rPr>
          <w:rtl/>
          <w:lang w:eastAsia="en-US"/>
        </w:rPr>
      </w:pPr>
      <w:r>
        <w:rPr>
          <w:rtl/>
          <w:lang w:eastAsia="en-US"/>
        </w:rPr>
        <w:tab/>
      </w:r>
      <w:r>
        <w:rPr>
          <w:rtl/>
          <w:lang w:eastAsia="en-US"/>
        </w:rPr>
        <w:tab/>
        <w:t>وعلى الرغم من وجود سجل شامل غير كاف بشأن الوفود الخارجية للحكومة، فإن المرأة (وزراء، مديرون، أعضاء البرلمان قادة المنظمات الجماهيرية، الخ) تشرك بصفة عامة وتمثل الحكومة في مختلف المحافل الدولية والوفود الثقافية/والمتعددة الأطراف ويتوقف ذلك غالبا على ميدان الخبرة الفنية المطلوبة.</w:t>
      </w:r>
    </w:p>
    <w:p w:rsidR="00000000" w:rsidRDefault="00000000">
      <w:pPr>
        <w:pStyle w:val="SingleTxt"/>
        <w:ind w:left="1264" w:right="1264"/>
        <w:rPr>
          <w:rtl/>
          <w:lang w:eastAsia="en-US"/>
        </w:rPr>
      </w:pPr>
      <w:r>
        <w:rPr>
          <w:rtl/>
          <w:lang w:eastAsia="en-US"/>
        </w:rPr>
        <w:tab/>
      </w:r>
      <w:r>
        <w:rPr>
          <w:rtl/>
          <w:lang w:eastAsia="en-US"/>
        </w:rPr>
        <w:tab/>
        <w:t>وتمثل المرأة عن طريق الاتحاد الوطني للنساء الأريتريات الحكومة في لجنة الأمم المتحدة المعنية بوضع المرأة وفي اللجنة المعنية بالقضاء على جميع أشكال التمييز ضد المرأة، وفي صندوق الأمم المتحدة الإنمائي للمرأة، وفي شؤون المرأة في الايجاد، وفي الفاو، وغير ذلك من المنظمات الإقليمية للمرأة.</w:t>
      </w:r>
    </w:p>
    <w:p w:rsidR="00000000" w:rsidRDefault="00000000">
      <w:pPr>
        <w:pStyle w:val="SingleTxt"/>
        <w:spacing w:line="380" w:lineRule="exact"/>
        <w:ind w:left="1264" w:right="1264"/>
        <w:rPr>
          <w:rtl/>
          <w:lang w:eastAsia="en-US"/>
        </w:rPr>
      </w:pPr>
      <w:r>
        <w:rPr>
          <w:rtl/>
          <w:lang w:eastAsia="en-US"/>
        </w:rPr>
        <w:tab/>
      </w:r>
      <w:r>
        <w:rPr>
          <w:rtl/>
          <w:lang w:eastAsia="en-US"/>
        </w:rPr>
        <w:tab/>
        <w:t>وطبيعي، لا بد أن يكون هناك التزام وخطة فعالة لتشجيع النساء على المشاركة في ميدان العلاقات الخارجية. وينبغي توجيه النساء الشابات وتمكينهن وإعدادهن مهنيا، بطريقة متعمدة، لكي يعملن دبلوماسيين ويمثلن البلد دوليا.</w:t>
      </w:r>
    </w:p>
    <w:p w:rsidR="00000000" w:rsidRDefault="00000000">
      <w:pPr>
        <w:pStyle w:val="SingleTxt"/>
        <w:spacing w:line="380" w:lineRule="exact"/>
        <w:ind w:left="1264" w:right="1264"/>
        <w:rPr>
          <w:b/>
          <w:bCs/>
          <w:rtl/>
          <w:lang w:eastAsia="en-US"/>
        </w:rPr>
      </w:pPr>
      <w:r>
        <w:rPr>
          <w:b/>
          <w:bCs/>
          <w:rtl/>
          <w:lang w:eastAsia="en-US"/>
        </w:rPr>
        <w:t>المادة 9: الجنسية/المواطنة</w:t>
      </w:r>
    </w:p>
    <w:p w:rsidR="00000000" w:rsidRDefault="00000000">
      <w:pPr>
        <w:pStyle w:val="SingleTxt"/>
        <w:spacing w:line="380" w:lineRule="exact"/>
        <w:ind w:left="1264" w:right="1264"/>
        <w:rPr>
          <w:rtl/>
          <w:lang w:eastAsia="en-US"/>
        </w:rPr>
      </w:pPr>
      <w:r>
        <w:rPr>
          <w:rtl/>
          <w:lang w:eastAsia="en-US"/>
        </w:rPr>
        <w:tab/>
      </w:r>
      <w:r>
        <w:rPr>
          <w:rtl/>
          <w:lang w:eastAsia="en-US"/>
        </w:rPr>
        <w:tab/>
        <w:t>تتمتع المرأة الأريترية بحقوق متساوية على الرجل في اكتساب جنسيتها أو تغييرها أو الاحتفاظ بها.</w:t>
      </w:r>
    </w:p>
    <w:p w:rsidR="00000000" w:rsidRDefault="00000000">
      <w:pPr>
        <w:pStyle w:val="SingleTxt"/>
        <w:spacing w:line="380" w:lineRule="exact"/>
        <w:ind w:left="1264" w:right="1264"/>
        <w:rPr>
          <w:rtl/>
          <w:lang w:eastAsia="en-US"/>
        </w:rPr>
      </w:pPr>
      <w:r>
        <w:rPr>
          <w:rtl/>
          <w:lang w:eastAsia="en-US"/>
        </w:rPr>
        <w:tab/>
      </w:r>
      <w:r>
        <w:rPr>
          <w:rtl/>
          <w:lang w:eastAsia="en-US"/>
        </w:rPr>
        <w:tab/>
        <w:t>وعلى الرغم من أن تفاصيل حق المواطنة موضحة بشكل أكبر في قانون المواطنة، فإن الأساس تم إرساؤه أساسا في الدستور ذاته. ونص المادة 3 بشأن المواطنة كما يلي:</w:t>
      </w:r>
    </w:p>
    <w:p w:rsidR="00000000" w:rsidRDefault="00000000">
      <w:pPr>
        <w:pStyle w:val="SingleTxt"/>
        <w:spacing w:line="380" w:lineRule="exact"/>
        <w:ind w:left="1264" w:right="1264"/>
        <w:rPr>
          <w:rtl/>
          <w:lang w:eastAsia="en-US"/>
        </w:rPr>
      </w:pPr>
      <w:r>
        <w:rPr>
          <w:rtl/>
          <w:lang w:eastAsia="en-US"/>
        </w:rPr>
        <w:tab/>
      </w:r>
      <w:r>
        <w:rPr>
          <w:lang w:eastAsia="en-US"/>
        </w:rPr>
        <w:tab/>
      </w:r>
      <w:r>
        <w:rPr>
          <w:rtl/>
          <w:lang w:eastAsia="en-US"/>
        </w:rPr>
        <w:t xml:space="preserve">الفقرة الأولى: </w:t>
      </w:r>
      <w:r>
        <w:rPr>
          <w:i/>
          <w:iCs/>
          <w:rtl/>
          <w:lang w:eastAsia="en-US"/>
        </w:rPr>
        <w:t>كل شخص يولد لأب أريتري/وأم أريترية هو أريتري بالولادة</w:t>
      </w:r>
      <w:r>
        <w:rPr>
          <w:rtl/>
          <w:lang w:eastAsia="en-US"/>
        </w:rPr>
        <w:t>.</w:t>
      </w:r>
    </w:p>
    <w:p w:rsidR="00000000" w:rsidRDefault="00000000">
      <w:pPr>
        <w:pStyle w:val="SingleTxt"/>
        <w:spacing w:line="380" w:lineRule="exact"/>
        <w:ind w:left="1264" w:right="1264"/>
        <w:rPr>
          <w:rtl/>
          <w:lang w:eastAsia="en-US"/>
        </w:rPr>
      </w:pPr>
      <w:r>
        <w:rPr>
          <w:rtl/>
          <w:lang w:eastAsia="en-US"/>
        </w:rPr>
        <w:tab/>
      </w:r>
      <w:r>
        <w:rPr>
          <w:rtl/>
          <w:lang w:eastAsia="en-US"/>
        </w:rPr>
        <w:tab/>
        <w:t xml:space="preserve">الفقرة الثالثة: </w:t>
      </w:r>
      <w:r>
        <w:rPr>
          <w:i/>
          <w:iCs/>
          <w:rtl/>
          <w:lang w:eastAsia="en-US"/>
        </w:rPr>
        <w:t>ينبغي تنظيم التفاصيل المتعلقة بالمواطنة بواسطة القانون</w:t>
      </w:r>
      <w:r>
        <w:rPr>
          <w:rtl/>
          <w:lang w:eastAsia="en-US"/>
        </w:rPr>
        <w:t>.</w:t>
      </w:r>
    </w:p>
    <w:p w:rsidR="00000000" w:rsidRDefault="00000000">
      <w:pPr>
        <w:pStyle w:val="SingleTxt"/>
        <w:spacing w:line="380" w:lineRule="exact"/>
        <w:ind w:left="1264" w:right="1264"/>
        <w:rPr>
          <w:rtl/>
          <w:lang w:eastAsia="en-US"/>
        </w:rPr>
      </w:pPr>
      <w:r>
        <w:rPr>
          <w:rtl/>
          <w:lang w:eastAsia="en-US"/>
        </w:rPr>
        <w:tab/>
      </w:r>
      <w:r>
        <w:rPr>
          <w:lang w:eastAsia="en-US"/>
        </w:rPr>
        <w:tab/>
      </w:r>
      <w:r>
        <w:rPr>
          <w:rtl/>
          <w:lang w:eastAsia="en-US"/>
        </w:rPr>
        <w:t>وعليه، فإن قانون المواطنة الذي أعلن عنه بموجب الإعلان رقم 21/1992 هو النظام الأكثر إحساسا بنوع الجنس ويجري تنفيذ النظام دون عقبات خطيرة. وهو ينص على أن الجنسية الأريترية يمكن اكتسابها بالولادة والتجنس والتبني والزواج.</w:t>
      </w:r>
    </w:p>
    <w:p w:rsidR="00000000" w:rsidRDefault="00000000">
      <w:pPr>
        <w:pStyle w:val="SingleTxt"/>
        <w:spacing w:line="380" w:lineRule="exact"/>
        <w:ind w:left="1264" w:right="1264"/>
        <w:rPr>
          <w:rtl/>
          <w:lang w:eastAsia="en-US"/>
        </w:rPr>
      </w:pPr>
      <w:r>
        <w:rPr>
          <w:rtl/>
          <w:lang w:eastAsia="en-US"/>
        </w:rPr>
        <w:tab/>
      </w:r>
      <w:r>
        <w:rPr>
          <w:rtl/>
          <w:lang w:eastAsia="en-US"/>
        </w:rPr>
        <w:tab/>
        <w:t>وتم فورا إبطال جميع القوانين التقليدية والعرفية التي تنص على أن الأطفال المولودين خارج عش الزوجية أو من أب غير أريتري لا يمكن أن يكتسب أو يحمل الجنسية من أمهاتهم.</w:t>
      </w:r>
    </w:p>
    <w:p w:rsidR="00000000" w:rsidRDefault="00000000">
      <w:pPr>
        <w:pStyle w:val="SingleTxt"/>
        <w:spacing w:line="380" w:lineRule="exact"/>
        <w:ind w:left="1264" w:right="1264"/>
        <w:rPr>
          <w:rtl/>
        </w:rPr>
      </w:pPr>
      <w:r>
        <w:rPr>
          <w:rtl/>
        </w:rPr>
        <w:tab/>
      </w:r>
      <w:r>
        <w:tab/>
      </w:r>
      <w:r>
        <w:rPr>
          <w:rtl/>
        </w:rPr>
        <w:t>وإذا قامت امرأة أريترية بالزواج من أجنبي، فإنها لا تفقد تلقائياً مواطنتها ما لم تقم هي بنفسها بتغيير جنسيتها. وبنفس الطريقة، لا يكتسب مواطن أجنبي تلقائيا الجنسية الأريترية بأن يتزوج من امرأة أريترية، ولكنه يمكنه الحصول على المواطنة بالتجنس من خلال عملية سليمة عقب طلب ذلك عبر القنوات الصحيحة.</w:t>
      </w:r>
    </w:p>
    <w:p w:rsidR="00000000" w:rsidRDefault="00000000">
      <w:pPr>
        <w:pStyle w:val="SingleTxt"/>
        <w:spacing w:line="380" w:lineRule="exact"/>
        <w:ind w:left="1264" w:right="1264"/>
        <w:rPr>
          <w:rtl/>
        </w:rPr>
      </w:pPr>
      <w:r>
        <w:rPr>
          <w:rtl/>
        </w:rPr>
        <w:tab/>
      </w:r>
      <w:r>
        <w:rPr>
          <w:rtl/>
        </w:rPr>
        <w:tab/>
        <w:t>وأي شخص يولد في أريتريا هو مواطن أريتري. وبالإضافة إلى ذلك، أي شخص يولد في أريتريا من أبوين غير محددين هو أيضا مواطن أريتري.</w:t>
      </w:r>
    </w:p>
    <w:p w:rsidR="00000000" w:rsidRDefault="00000000">
      <w:pPr>
        <w:pStyle w:val="SingleTxt"/>
        <w:spacing w:line="380" w:lineRule="exact"/>
        <w:ind w:left="1264" w:right="1264"/>
        <w:rPr>
          <w:rtl/>
        </w:rPr>
      </w:pPr>
      <w:r>
        <w:rPr>
          <w:rtl/>
        </w:rPr>
        <w:tab/>
      </w:r>
      <w:r>
        <w:rPr>
          <w:rtl/>
        </w:rPr>
        <w:tab/>
        <w:t>ويمكن للمرأة أن تحصل على جواز سفر وطني بطريقة مستقلة وبدون موافقة زوجها. ومع ذلك، فإنه في حالة سفر أطفالها وحصولهم على جواز سفر يلزم موافقة كلا الأبوين. وهذا يصح أيضا بالنسبة للطفل المولود في عش الزوجية ويلزم موافقة والده أو والدها الوحيد.</w:t>
      </w:r>
    </w:p>
    <w:p w:rsidR="00000000" w:rsidRDefault="00000000">
      <w:pPr>
        <w:pStyle w:val="SingleTxt"/>
        <w:spacing w:line="380" w:lineRule="exact"/>
        <w:ind w:left="1264" w:right="1264"/>
        <w:rPr>
          <w:rtl/>
        </w:rPr>
      </w:pPr>
      <w:r>
        <w:rPr>
          <w:rtl/>
        </w:rPr>
        <w:tab/>
      </w:r>
      <w:r>
        <w:rPr>
          <w:rtl/>
        </w:rPr>
        <w:tab/>
        <w:t>ويمكن للمرأة أن تتبنى طفلاً أجنبياً ومنحه أو منحها الجنسية الأريترية.</w:t>
      </w:r>
    </w:p>
    <w:p w:rsidR="00000000" w:rsidRDefault="00000000">
      <w:pPr>
        <w:pStyle w:val="SingleTxt"/>
        <w:ind w:left="1264" w:right="1264"/>
        <w:rPr>
          <w:rtl/>
        </w:rPr>
      </w:pPr>
      <w:r>
        <w:rPr>
          <w:rtl/>
        </w:rPr>
        <w:tab/>
      </w:r>
      <w:r>
        <w:rPr>
          <w:rtl/>
        </w:rPr>
        <w:tab/>
        <w:t>وعلى العموم، لا توجد أية مشكلات تتعلق بنوع الجنس في مسألة الجنسية.</w:t>
      </w:r>
    </w:p>
    <w:p w:rsidR="00000000" w:rsidRDefault="00000000">
      <w:pPr>
        <w:pStyle w:val="SingleTxt"/>
        <w:ind w:left="1264" w:right="1264"/>
        <w:rPr>
          <w:b/>
          <w:bCs/>
          <w:rtl/>
        </w:rPr>
      </w:pPr>
      <w:r>
        <w:rPr>
          <w:rtl/>
        </w:rPr>
        <w:tab/>
      </w:r>
      <w:r>
        <w:rPr>
          <w:b/>
          <w:bCs/>
          <w:rtl/>
        </w:rPr>
        <w:t xml:space="preserve">المادة 10 </w:t>
      </w:r>
      <w:r>
        <w:rPr>
          <w:b/>
          <w:bCs/>
        </w:rPr>
        <w:t>–</w:t>
      </w:r>
      <w:r>
        <w:rPr>
          <w:b/>
          <w:bCs/>
          <w:rtl/>
        </w:rPr>
        <w:t xml:space="preserve"> التعليم</w:t>
      </w:r>
    </w:p>
    <w:p w:rsidR="00000000" w:rsidRDefault="00000000">
      <w:pPr>
        <w:pStyle w:val="SingleTxt"/>
        <w:spacing w:line="360" w:lineRule="exact"/>
        <w:ind w:left="1264" w:right="1264"/>
        <w:rPr>
          <w:rtl/>
        </w:rPr>
      </w:pPr>
      <w:r>
        <w:rPr>
          <w:rtl/>
        </w:rPr>
        <w:tab/>
      </w:r>
      <w:r>
        <w:rPr>
          <w:rtl/>
        </w:rPr>
        <w:tab/>
        <w:t xml:space="preserve">يقوم التعليم النظامي الحالي في أريتريا على نظام رباعي، يعرف بنظام 5 </w:t>
      </w:r>
      <w:r>
        <w:t>–</w:t>
      </w:r>
      <w:r>
        <w:rPr>
          <w:rtl/>
        </w:rPr>
        <w:t xml:space="preserve"> 2 </w:t>
      </w:r>
      <w:r>
        <w:t>–</w:t>
      </w:r>
      <w:r>
        <w:rPr>
          <w:rtl/>
        </w:rPr>
        <w:t xml:space="preserve"> 4 </w:t>
      </w:r>
      <w:r>
        <w:t>–</w:t>
      </w:r>
      <w:r>
        <w:rPr>
          <w:rtl/>
        </w:rPr>
        <w:t xml:space="preserve"> 4 الذي سيحل محله نظام 6 </w:t>
      </w:r>
      <w:r>
        <w:t>–</w:t>
      </w:r>
      <w:r>
        <w:rPr>
          <w:rtl/>
        </w:rPr>
        <w:t xml:space="preserve"> 2 </w:t>
      </w:r>
      <w:r>
        <w:t>–</w:t>
      </w:r>
      <w:r>
        <w:rPr>
          <w:rtl/>
        </w:rPr>
        <w:t xml:space="preserve"> 4 </w:t>
      </w:r>
      <w:r>
        <w:t>–</w:t>
      </w:r>
      <w:r>
        <w:rPr>
          <w:rtl/>
        </w:rPr>
        <w:t xml:space="preserve"> 4 ابتداء من هذا العام. وفي هذا النظام سوف يتألف التعليم الابتدائي من ست سنوات دراسة، وسنتين في التعليم الإعدادي، وأربع سنوات في التعليم الثانوي، وأربع سنوات في التعليم العالي/الجامعي، ويتوفر أيضا التعليم غير النظامي ومحو الأمية.</w:t>
      </w:r>
    </w:p>
    <w:p w:rsidR="00000000" w:rsidRDefault="00000000">
      <w:pPr>
        <w:pStyle w:val="SingleTxt"/>
        <w:spacing w:line="360" w:lineRule="exact"/>
        <w:ind w:left="1264" w:right="1264"/>
        <w:rPr>
          <w:rtl/>
        </w:rPr>
      </w:pPr>
      <w:r>
        <w:rPr>
          <w:rtl/>
        </w:rPr>
        <w:tab/>
      </w:r>
      <w:r>
        <w:rPr>
          <w:rtl/>
        </w:rPr>
        <w:tab/>
        <w:t>وينص الدستور الأريتري في المادة 21(1) من الفصل الثالث المتعلق بالحقوق الأساسية والحرية والواجبات على ما يلي:</w:t>
      </w:r>
    </w:p>
    <w:p w:rsidR="00000000" w:rsidRDefault="00000000">
      <w:pPr>
        <w:pStyle w:val="SingleTxt"/>
        <w:spacing w:line="360" w:lineRule="exact"/>
        <w:ind w:left="1264" w:right="1264"/>
        <w:rPr>
          <w:i/>
          <w:iCs/>
          <w:rtl/>
        </w:rPr>
      </w:pPr>
      <w:r>
        <w:rPr>
          <w:rtl/>
        </w:rPr>
        <w:tab/>
      </w:r>
      <w:r>
        <w:rPr>
          <w:rtl/>
        </w:rPr>
        <w:tab/>
      </w:r>
      <w:r>
        <w:rPr>
          <w:i/>
          <w:iCs/>
          <w:rtl/>
        </w:rPr>
        <w:t xml:space="preserve">كل مواطن له حق الوصول المتساوي إلى الخدمات الاجتماعية الممولة بصفة عامة. </w:t>
      </w:r>
      <w:r>
        <w:rPr>
          <w:i/>
          <w:iCs/>
          <w:rtl/>
        </w:rPr>
        <w:tab/>
      </w:r>
      <w:r>
        <w:rPr>
          <w:i/>
          <w:iCs/>
          <w:rtl/>
        </w:rPr>
        <w:tab/>
        <w:t xml:space="preserve">وسوف تسعى الدولة في حدود مواردها، إلى توفير الصحة والتعليم والخدمات </w:t>
      </w:r>
      <w:r>
        <w:rPr>
          <w:i/>
          <w:iCs/>
          <w:rtl/>
        </w:rPr>
        <w:tab/>
      </w:r>
      <w:r>
        <w:rPr>
          <w:i/>
          <w:iCs/>
          <w:rtl/>
        </w:rPr>
        <w:tab/>
        <w:t>الثقافية والاجتماعية الأخرى لجميع مواطنيها.</w:t>
      </w:r>
    </w:p>
    <w:p w:rsidR="00000000" w:rsidRDefault="00000000">
      <w:pPr>
        <w:pStyle w:val="SingleTxt"/>
        <w:spacing w:line="360" w:lineRule="exact"/>
        <w:ind w:left="1264" w:right="1264"/>
        <w:rPr>
          <w:rtl/>
        </w:rPr>
      </w:pPr>
      <w:r>
        <w:rPr>
          <w:rtl/>
        </w:rPr>
        <w:tab/>
        <w:t>وتهدف سياسة التعليم في وزارة التعليم إلى ما يلي:</w:t>
      </w:r>
    </w:p>
    <w:p w:rsidR="00000000" w:rsidRDefault="00000000">
      <w:pPr>
        <w:pStyle w:val="SingleTxt"/>
        <w:spacing w:line="360" w:lineRule="exact"/>
        <w:ind w:left="1264" w:right="1264"/>
        <w:rPr>
          <w:rtl/>
        </w:rPr>
      </w:pPr>
      <w:r>
        <w:rPr>
          <w:rtl/>
        </w:rPr>
        <w:tab/>
      </w:r>
      <w:r>
        <w:rPr>
          <w:rtl/>
        </w:rPr>
        <w:tab/>
        <w:t xml:space="preserve">النهوض بالفرص المتكافئة من حيث إمكانية الوصول لجميع الأطفال </w:t>
      </w:r>
      <w:r>
        <w:rPr>
          <w:rStyle w:val="FootnoteReference"/>
          <w:rtl/>
        </w:rPr>
        <w:footnoteReference w:customMarkFollows="1" w:id="13"/>
        <w:t>(12)</w:t>
      </w:r>
      <w:r>
        <w:rPr>
          <w:rtl/>
        </w:rPr>
        <w:t xml:space="preserve"> في سن التعليم إلى المدارس وتحقيق المساواة بينهم وإلى التعليم المستمر.</w:t>
      </w:r>
    </w:p>
    <w:p w:rsidR="00000000" w:rsidRDefault="00000000">
      <w:pPr>
        <w:pStyle w:val="SingleTxt"/>
        <w:spacing w:line="360" w:lineRule="exact"/>
        <w:ind w:left="1264" w:right="1264"/>
        <w:rPr>
          <w:rtl/>
        </w:rPr>
      </w:pPr>
      <w:r>
        <w:rPr>
          <w:rtl/>
        </w:rPr>
        <w:tab/>
      </w:r>
      <w:r>
        <w:rPr>
          <w:rtl/>
        </w:rPr>
        <w:tab/>
        <w:t>وتحقيقاً لذلك، تتمتع المرأة الأريترية بالحق الشرعي في إمكانية الوصول المتساوي وتكافؤ الفرص مع الرجل في ميدان التعليم. وتكفل سياسة التعليم في دولة أريتريا التعليم الأساسي المجاني والإلزامي للجميع بدون أي تفرقة بين الجنسين. وتنبع جميع المدارس، من المدارس قبل الابتدائية إلى الجامعة نظام التعليم المختلط حيث يحضر جميع التلاميذ فصولا مختلطة على جميع المستويات. وعلى ذلك، يتم في بعض المناطق النائية إدخال مشروع ريادي بشأن المدارس الداخلية للفتيات في محاولة حل مشكلة بعد المدارس بالنسبة للفتيات على المستويين المتوسط والثانوي.</w:t>
      </w:r>
    </w:p>
    <w:p w:rsidR="00000000" w:rsidRDefault="00000000">
      <w:pPr>
        <w:pStyle w:val="SingleTxt"/>
        <w:spacing w:line="360" w:lineRule="exact"/>
        <w:ind w:left="1264" w:right="1264"/>
        <w:rPr>
          <w:rtl/>
        </w:rPr>
      </w:pPr>
      <w:r>
        <w:rPr>
          <w:rtl/>
        </w:rPr>
        <w:tab/>
      </w:r>
      <w:r>
        <w:rPr>
          <w:rtl/>
        </w:rPr>
        <w:tab/>
        <w:t xml:space="preserve">وقد توسع النظام التعليمي بسرعة عقب استقلال البلد. وازداد بشكل ملحوظ إنشاء المدارس الجديدة وإصلاح المدارس القائمة، فقد ازداد عدد المدارس الابتدائية على سبيل المثال من 258 في العام الدراسي 91/92 إلى 579 في العام الدراسي 2000/2001، أي بزيادة تربو على 55 في المائة. ويوجد حاليا 91 مدرسة من مدارس ما قبل التعليم الرسمي، و 667 مدرسة ابتدائية، و 142 مدرسة إعدادية، و 43 مدرسة ثانوية، و 10 مدارس تقنية، و 3 مدارس خاصة. ومدرستان للمعلمين، و 874 مركزا لبرامج محو الأمية تنتشر في أنحاء البلد. </w:t>
      </w:r>
      <w:r>
        <w:rPr>
          <w:rStyle w:val="FootnoteReference"/>
          <w:rtl/>
        </w:rPr>
        <w:footnoteReference w:customMarkFollows="1" w:id="14"/>
        <w:t>(13)</w:t>
      </w:r>
      <w:r>
        <w:rPr>
          <w:rtl/>
        </w:rPr>
        <w:t xml:space="preserve"> ومعظم المدارس تملكها الحكومة ونحو 10 في المائة هي مدارس تدار على نحو خاص. ومع ذلك، فإن جميع المدارس ما قبل التعليم الرسمي هي مدارس إرسالية أو يقوم المجتمع المحلي بإدارتها. ولا توجد سوى جامعة واحدة حيث تمثيل المرأة ضعيف، أي نحو 14 في المائة.</w:t>
      </w:r>
    </w:p>
    <w:p w:rsidR="00000000" w:rsidRDefault="00000000">
      <w:pPr>
        <w:pStyle w:val="SingleTxt"/>
        <w:spacing w:line="360" w:lineRule="exact"/>
        <w:ind w:left="1264" w:right="1264"/>
        <w:rPr>
          <w:rtl/>
        </w:rPr>
      </w:pPr>
      <w:r>
        <w:rPr>
          <w:rtl/>
        </w:rPr>
        <w:tab/>
      </w:r>
      <w:r>
        <w:rPr>
          <w:rtl/>
        </w:rPr>
        <w:tab/>
        <w:t>وبصفة عامة، حدثت تغيرات ملحوظة في الحالة التعليمية للبنات في السنوات القليلة الماضية، غير أنه يلزم المزيد من التدخل لتحسين الحالة القائمة. ووفقا للاستقصاء الديمغرافي والصحي لأريتريا لعام 2002، فإن 52 في المائة من النساء بدون أي تعليم وبالمقارنة بــ 67 في المائة في الاستقصاء الديموغرافي والصحي لأريتريا لعام 1995، و27 في المائة لن يحضرن المدارس الابتدائية (23 في المائة في عام 1995)، و 8.5 في المائة كن يحضرن المدارس الإعدادية، و 10.7 في المائة كن يحضرن المدارس الثانوية، وأكثر من 0.9 في المائة لديهن تعلمي عال. وفي المرحلة الحالية تتركز الفرص التعليمية بصفة رئيسية في المناطق الحضرية على الرغم من أن وزارة التعليم تسعى إلى توسيع نطاق النظام في المناطق الريفية والنائية لتوفير تغطية واسعة.</w:t>
      </w:r>
    </w:p>
    <w:p w:rsidR="00000000" w:rsidRDefault="00000000">
      <w:pPr>
        <w:pStyle w:val="SingleTxt"/>
        <w:spacing w:line="360" w:lineRule="exact"/>
        <w:ind w:left="1264" w:right="1264"/>
      </w:pPr>
      <w:r>
        <w:rPr>
          <w:rtl/>
        </w:rPr>
        <w:tab/>
      </w:r>
      <w:r>
        <w:rPr>
          <w:rtl/>
        </w:rPr>
        <w:tab/>
        <w:t>ولدى وزارة التعليم إحصاءات مفصلة حسب نوع الجنس تجعل من الأسهل متابعة ومعرفة حالة المرأة في التعليم واتخاذ تدابير صحيحة على مستوى السياسة العامة لسد الثغرة وتعزيز مشاركة المرأة. ويبين الجدول التالي مشاركة الفتيات في مختلف السنوات الدراسية في المدارس الحكومية.</w:t>
      </w:r>
    </w:p>
    <w:p w:rsidR="00000000" w:rsidRDefault="00000000">
      <w:pPr>
        <w:pStyle w:val="SingleTxt"/>
        <w:ind w:left="1264" w:right="1264"/>
        <w:rPr>
          <w:b/>
          <w:bCs/>
          <w:rtl/>
        </w:rPr>
      </w:pPr>
      <w:r>
        <w:rPr>
          <w:b/>
          <w:bCs/>
          <w:rtl/>
        </w:rPr>
        <w:t xml:space="preserve">الجدول 3 </w:t>
      </w:r>
      <w:r>
        <w:rPr>
          <w:b/>
          <w:bCs/>
        </w:rPr>
        <w:t>–</w:t>
      </w:r>
      <w:r>
        <w:rPr>
          <w:b/>
          <w:bCs/>
          <w:rtl/>
        </w:rPr>
        <w:t xml:space="preserve"> معدل التحاق الفتيات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992"/>
        <w:gridCol w:w="993"/>
        <w:gridCol w:w="992"/>
        <w:gridCol w:w="992"/>
        <w:gridCol w:w="992"/>
        <w:gridCol w:w="993"/>
        <w:gridCol w:w="992"/>
        <w:gridCol w:w="850"/>
        <w:gridCol w:w="1095"/>
      </w:tblGrid>
      <w:tr w:rsidR="00000000">
        <w:tblPrEx>
          <w:tblCellMar>
            <w:top w:w="0" w:type="dxa"/>
            <w:bottom w:w="0" w:type="dxa"/>
          </w:tblCellMar>
        </w:tblPrEx>
        <w:trPr>
          <w:cantSplit/>
        </w:trPr>
        <w:tc>
          <w:tcPr>
            <w:tcW w:w="1169" w:type="dxa"/>
            <w:vMerge w:val="restart"/>
          </w:tcPr>
          <w:p w:rsidR="00000000" w:rsidRDefault="00000000">
            <w:pPr>
              <w:pStyle w:val="SingleTxt"/>
              <w:spacing w:after="0"/>
              <w:ind w:left="-57" w:right="0"/>
              <w:jc w:val="center"/>
              <w:rPr>
                <w:b/>
                <w:bCs/>
                <w:szCs w:val="22"/>
                <w:rtl/>
              </w:rPr>
            </w:pPr>
            <w:r>
              <w:rPr>
                <w:b/>
                <w:bCs/>
                <w:szCs w:val="22"/>
                <w:rtl/>
              </w:rPr>
              <w:t>المرحلة</w:t>
            </w:r>
          </w:p>
        </w:tc>
        <w:tc>
          <w:tcPr>
            <w:tcW w:w="2977" w:type="dxa"/>
            <w:gridSpan w:val="3"/>
          </w:tcPr>
          <w:p w:rsidR="00000000" w:rsidRDefault="00000000">
            <w:pPr>
              <w:pStyle w:val="SingleTxt"/>
              <w:spacing w:after="0"/>
              <w:ind w:left="-57" w:right="0"/>
              <w:jc w:val="center"/>
              <w:rPr>
                <w:b/>
                <w:bCs/>
                <w:szCs w:val="22"/>
                <w:rtl/>
              </w:rPr>
            </w:pPr>
            <w:r>
              <w:rPr>
                <w:b/>
                <w:bCs/>
                <w:szCs w:val="22"/>
                <w:rtl/>
              </w:rPr>
              <w:t>1998/1999</w:t>
            </w:r>
          </w:p>
        </w:tc>
        <w:tc>
          <w:tcPr>
            <w:tcW w:w="2977" w:type="dxa"/>
            <w:gridSpan w:val="3"/>
          </w:tcPr>
          <w:p w:rsidR="00000000" w:rsidRDefault="00000000">
            <w:pPr>
              <w:pStyle w:val="SingleTxt"/>
              <w:spacing w:after="0"/>
              <w:ind w:left="-57" w:right="0"/>
              <w:jc w:val="center"/>
              <w:rPr>
                <w:b/>
                <w:bCs/>
                <w:szCs w:val="22"/>
                <w:rtl/>
              </w:rPr>
            </w:pPr>
            <w:r>
              <w:rPr>
                <w:b/>
                <w:bCs/>
                <w:szCs w:val="22"/>
                <w:rtl/>
              </w:rPr>
              <w:t>1999/2000</w:t>
            </w:r>
          </w:p>
        </w:tc>
        <w:tc>
          <w:tcPr>
            <w:tcW w:w="2937" w:type="dxa"/>
            <w:gridSpan w:val="3"/>
          </w:tcPr>
          <w:p w:rsidR="00000000" w:rsidRDefault="00000000">
            <w:pPr>
              <w:pStyle w:val="SingleTxt"/>
              <w:spacing w:after="0"/>
              <w:ind w:left="-57" w:right="0"/>
              <w:jc w:val="center"/>
              <w:rPr>
                <w:b/>
                <w:bCs/>
                <w:szCs w:val="22"/>
                <w:rtl/>
              </w:rPr>
            </w:pPr>
            <w:r>
              <w:rPr>
                <w:b/>
                <w:bCs/>
                <w:szCs w:val="22"/>
                <w:rtl/>
              </w:rPr>
              <w:t>2000/2001</w:t>
            </w:r>
          </w:p>
        </w:tc>
      </w:tr>
      <w:tr w:rsidR="00000000">
        <w:tblPrEx>
          <w:tblCellMar>
            <w:top w:w="0" w:type="dxa"/>
            <w:bottom w:w="0" w:type="dxa"/>
          </w:tblCellMar>
        </w:tblPrEx>
        <w:trPr>
          <w:cantSplit/>
        </w:trPr>
        <w:tc>
          <w:tcPr>
            <w:tcW w:w="1169" w:type="dxa"/>
            <w:vMerge/>
          </w:tcPr>
          <w:p w:rsidR="00000000" w:rsidRDefault="00000000">
            <w:pPr>
              <w:pStyle w:val="SingleTxt"/>
              <w:spacing w:after="0"/>
              <w:ind w:left="-57" w:right="0"/>
              <w:rPr>
                <w:szCs w:val="22"/>
                <w:rtl/>
              </w:rPr>
            </w:pPr>
          </w:p>
        </w:tc>
        <w:tc>
          <w:tcPr>
            <w:tcW w:w="992" w:type="dxa"/>
          </w:tcPr>
          <w:p w:rsidR="00000000" w:rsidRDefault="00000000">
            <w:pPr>
              <w:pStyle w:val="SingleTxt"/>
              <w:spacing w:after="0"/>
              <w:ind w:left="-57" w:right="0"/>
              <w:jc w:val="center"/>
              <w:rPr>
                <w:b/>
                <w:bCs/>
                <w:szCs w:val="22"/>
                <w:rtl/>
              </w:rPr>
            </w:pPr>
            <w:r>
              <w:rPr>
                <w:b/>
                <w:bCs/>
                <w:szCs w:val="22"/>
                <w:rtl/>
              </w:rPr>
              <w:t>المجموع</w:t>
            </w:r>
          </w:p>
        </w:tc>
        <w:tc>
          <w:tcPr>
            <w:tcW w:w="993" w:type="dxa"/>
          </w:tcPr>
          <w:p w:rsidR="00000000" w:rsidRDefault="00000000">
            <w:pPr>
              <w:pStyle w:val="SingleTxt"/>
              <w:spacing w:after="0"/>
              <w:ind w:left="-57" w:right="0"/>
              <w:jc w:val="center"/>
              <w:rPr>
                <w:b/>
                <w:bCs/>
                <w:szCs w:val="22"/>
                <w:rtl/>
              </w:rPr>
            </w:pPr>
            <w:r>
              <w:rPr>
                <w:b/>
                <w:bCs/>
                <w:szCs w:val="22"/>
                <w:rtl/>
              </w:rPr>
              <w:t>إناث</w:t>
            </w:r>
          </w:p>
        </w:tc>
        <w:tc>
          <w:tcPr>
            <w:tcW w:w="992" w:type="dxa"/>
          </w:tcPr>
          <w:p w:rsidR="00000000" w:rsidRDefault="00000000">
            <w:pPr>
              <w:pStyle w:val="SingleTxt"/>
              <w:spacing w:after="0"/>
              <w:ind w:left="-57" w:right="0"/>
              <w:rPr>
                <w:b/>
                <w:bCs/>
                <w:szCs w:val="22"/>
                <w:rtl/>
              </w:rPr>
            </w:pPr>
            <w:r>
              <w:rPr>
                <w:b/>
                <w:bCs/>
                <w:szCs w:val="22"/>
                <w:rtl/>
              </w:rPr>
              <w:t xml:space="preserve">النسبة المئوية </w:t>
            </w:r>
          </w:p>
          <w:p w:rsidR="00000000" w:rsidRDefault="00000000">
            <w:pPr>
              <w:pStyle w:val="SingleTxt"/>
              <w:spacing w:after="0"/>
              <w:ind w:left="-57" w:right="0"/>
              <w:jc w:val="center"/>
              <w:rPr>
                <w:b/>
                <w:bCs/>
                <w:szCs w:val="22"/>
                <w:rtl/>
              </w:rPr>
            </w:pPr>
            <w:r>
              <w:rPr>
                <w:b/>
                <w:bCs/>
                <w:szCs w:val="22"/>
                <w:rtl/>
              </w:rPr>
              <w:t>للإناث</w:t>
            </w:r>
          </w:p>
        </w:tc>
        <w:tc>
          <w:tcPr>
            <w:tcW w:w="992" w:type="dxa"/>
          </w:tcPr>
          <w:p w:rsidR="00000000" w:rsidRDefault="00000000">
            <w:pPr>
              <w:pStyle w:val="SingleTxt"/>
              <w:spacing w:after="0"/>
              <w:ind w:left="-57" w:right="0"/>
              <w:jc w:val="center"/>
              <w:rPr>
                <w:b/>
                <w:bCs/>
                <w:szCs w:val="22"/>
                <w:rtl/>
              </w:rPr>
            </w:pPr>
            <w:r>
              <w:rPr>
                <w:b/>
                <w:bCs/>
                <w:szCs w:val="22"/>
                <w:rtl/>
              </w:rPr>
              <w:t>المجموع</w:t>
            </w:r>
          </w:p>
        </w:tc>
        <w:tc>
          <w:tcPr>
            <w:tcW w:w="992" w:type="dxa"/>
          </w:tcPr>
          <w:p w:rsidR="00000000" w:rsidRDefault="00000000">
            <w:pPr>
              <w:pStyle w:val="SingleTxt"/>
              <w:spacing w:after="0"/>
              <w:ind w:left="-57" w:right="0"/>
              <w:jc w:val="center"/>
              <w:rPr>
                <w:b/>
                <w:bCs/>
                <w:szCs w:val="22"/>
                <w:rtl/>
              </w:rPr>
            </w:pPr>
            <w:r>
              <w:rPr>
                <w:b/>
                <w:bCs/>
                <w:szCs w:val="22"/>
                <w:rtl/>
              </w:rPr>
              <w:t>إناث</w:t>
            </w:r>
          </w:p>
        </w:tc>
        <w:tc>
          <w:tcPr>
            <w:tcW w:w="993" w:type="dxa"/>
          </w:tcPr>
          <w:p w:rsidR="00000000" w:rsidRDefault="00000000">
            <w:pPr>
              <w:pStyle w:val="SingleTxt"/>
              <w:spacing w:after="0"/>
              <w:ind w:left="-57" w:right="0"/>
              <w:rPr>
                <w:b/>
                <w:bCs/>
                <w:szCs w:val="22"/>
                <w:rtl/>
              </w:rPr>
            </w:pPr>
            <w:r>
              <w:rPr>
                <w:b/>
                <w:bCs/>
                <w:szCs w:val="22"/>
                <w:rtl/>
              </w:rPr>
              <w:t xml:space="preserve">النسبة المئوية </w:t>
            </w:r>
          </w:p>
          <w:p w:rsidR="00000000" w:rsidRDefault="00000000">
            <w:pPr>
              <w:pStyle w:val="SingleTxt"/>
              <w:spacing w:after="0"/>
              <w:ind w:left="-57" w:right="0"/>
              <w:jc w:val="center"/>
              <w:rPr>
                <w:b/>
                <w:bCs/>
                <w:szCs w:val="22"/>
                <w:rtl/>
              </w:rPr>
            </w:pPr>
            <w:r>
              <w:rPr>
                <w:b/>
                <w:bCs/>
                <w:szCs w:val="22"/>
                <w:rtl/>
              </w:rPr>
              <w:t>للإناث</w:t>
            </w:r>
          </w:p>
        </w:tc>
        <w:tc>
          <w:tcPr>
            <w:tcW w:w="992" w:type="dxa"/>
          </w:tcPr>
          <w:p w:rsidR="00000000" w:rsidRDefault="00000000">
            <w:pPr>
              <w:pStyle w:val="SingleTxt"/>
              <w:spacing w:after="0"/>
              <w:ind w:left="-57" w:right="0"/>
              <w:jc w:val="center"/>
              <w:rPr>
                <w:b/>
                <w:bCs/>
                <w:szCs w:val="22"/>
                <w:rtl/>
              </w:rPr>
            </w:pPr>
            <w:r>
              <w:rPr>
                <w:b/>
                <w:bCs/>
                <w:szCs w:val="22"/>
                <w:rtl/>
              </w:rPr>
              <w:t>المجموع</w:t>
            </w:r>
          </w:p>
        </w:tc>
        <w:tc>
          <w:tcPr>
            <w:tcW w:w="850" w:type="dxa"/>
          </w:tcPr>
          <w:p w:rsidR="00000000" w:rsidRDefault="00000000">
            <w:pPr>
              <w:pStyle w:val="SingleTxt"/>
              <w:spacing w:after="0"/>
              <w:ind w:left="-57" w:right="0"/>
              <w:jc w:val="center"/>
              <w:rPr>
                <w:b/>
                <w:bCs/>
                <w:szCs w:val="22"/>
                <w:rtl/>
              </w:rPr>
            </w:pPr>
            <w:r>
              <w:rPr>
                <w:b/>
                <w:bCs/>
                <w:szCs w:val="22"/>
                <w:rtl/>
              </w:rPr>
              <w:t>إناث</w:t>
            </w:r>
          </w:p>
        </w:tc>
        <w:tc>
          <w:tcPr>
            <w:tcW w:w="1095" w:type="dxa"/>
          </w:tcPr>
          <w:p w:rsidR="00000000" w:rsidRDefault="00000000">
            <w:pPr>
              <w:pStyle w:val="SingleTxt"/>
              <w:spacing w:after="0"/>
              <w:ind w:left="-57" w:right="0"/>
              <w:rPr>
                <w:b/>
                <w:bCs/>
                <w:szCs w:val="22"/>
                <w:rtl/>
              </w:rPr>
            </w:pPr>
            <w:r>
              <w:rPr>
                <w:b/>
                <w:bCs/>
                <w:szCs w:val="22"/>
                <w:rtl/>
              </w:rPr>
              <w:t xml:space="preserve">النسبة المئوية </w:t>
            </w:r>
          </w:p>
          <w:p w:rsidR="00000000" w:rsidRDefault="00000000">
            <w:pPr>
              <w:pStyle w:val="SingleTxt"/>
              <w:spacing w:after="0"/>
              <w:ind w:left="-57" w:right="0"/>
              <w:jc w:val="center"/>
              <w:rPr>
                <w:b/>
                <w:bCs/>
                <w:szCs w:val="22"/>
                <w:rtl/>
              </w:rPr>
            </w:pPr>
            <w:r>
              <w:rPr>
                <w:b/>
                <w:bCs/>
                <w:szCs w:val="22"/>
                <w:rtl/>
              </w:rPr>
              <w:t>للإناث</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ما قبل المدرسة</w:t>
            </w:r>
          </w:p>
        </w:tc>
        <w:tc>
          <w:tcPr>
            <w:tcW w:w="992" w:type="dxa"/>
          </w:tcPr>
          <w:p w:rsidR="00000000" w:rsidRDefault="00000000">
            <w:pPr>
              <w:pStyle w:val="SingleTxt"/>
              <w:spacing w:after="0"/>
              <w:ind w:left="-57" w:right="0"/>
              <w:rPr>
                <w:szCs w:val="22"/>
                <w:rtl/>
              </w:rPr>
            </w:pPr>
            <w:r>
              <w:rPr>
                <w:szCs w:val="22"/>
                <w:rtl/>
              </w:rPr>
              <w:t>581 11</w:t>
            </w:r>
          </w:p>
        </w:tc>
        <w:tc>
          <w:tcPr>
            <w:tcW w:w="993" w:type="dxa"/>
          </w:tcPr>
          <w:p w:rsidR="00000000" w:rsidRDefault="00000000">
            <w:pPr>
              <w:pStyle w:val="SingleTxt"/>
              <w:spacing w:after="0"/>
              <w:ind w:left="-57" w:right="0"/>
              <w:rPr>
                <w:szCs w:val="22"/>
                <w:rtl/>
              </w:rPr>
            </w:pPr>
            <w:r>
              <w:rPr>
                <w:szCs w:val="22"/>
                <w:rtl/>
              </w:rPr>
              <w:t>413 5</w:t>
            </w:r>
          </w:p>
        </w:tc>
        <w:tc>
          <w:tcPr>
            <w:tcW w:w="992" w:type="dxa"/>
          </w:tcPr>
          <w:p w:rsidR="00000000" w:rsidRDefault="00000000">
            <w:pPr>
              <w:pStyle w:val="SingleTxt"/>
              <w:spacing w:after="0"/>
              <w:ind w:left="-57" w:right="0"/>
              <w:rPr>
                <w:szCs w:val="22"/>
                <w:rtl/>
              </w:rPr>
            </w:pPr>
            <w:r>
              <w:rPr>
                <w:szCs w:val="22"/>
                <w:rtl/>
              </w:rPr>
              <w:t>46.7</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885 11</w:t>
            </w:r>
          </w:p>
        </w:tc>
        <w:tc>
          <w:tcPr>
            <w:tcW w:w="992" w:type="dxa"/>
          </w:tcPr>
          <w:p w:rsidR="00000000" w:rsidRDefault="00000000">
            <w:pPr>
              <w:pStyle w:val="SingleTxt"/>
              <w:spacing w:after="0"/>
              <w:ind w:left="-57" w:right="0"/>
              <w:rPr>
                <w:szCs w:val="22"/>
                <w:rtl/>
              </w:rPr>
            </w:pPr>
            <w:r>
              <w:rPr>
                <w:szCs w:val="22"/>
                <w:rtl/>
              </w:rPr>
              <w:t>704 5</w:t>
            </w:r>
          </w:p>
        </w:tc>
        <w:tc>
          <w:tcPr>
            <w:tcW w:w="993" w:type="dxa"/>
          </w:tcPr>
          <w:p w:rsidR="00000000" w:rsidRDefault="00000000">
            <w:pPr>
              <w:pStyle w:val="SingleTxt"/>
              <w:spacing w:after="0"/>
              <w:ind w:left="-57" w:right="0"/>
              <w:rPr>
                <w:szCs w:val="22"/>
                <w:rtl/>
              </w:rPr>
            </w:pPr>
            <w:r>
              <w:rPr>
                <w:szCs w:val="22"/>
                <w:rtl/>
              </w:rPr>
              <w:t>47.9</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436 12</w:t>
            </w:r>
          </w:p>
        </w:tc>
        <w:tc>
          <w:tcPr>
            <w:tcW w:w="850" w:type="dxa"/>
          </w:tcPr>
          <w:p w:rsidR="00000000" w:rsidRDefault="00000000">
            <w:pPr>
              <w:pStyle w:val="SingleTxt"/>
              <w:spacing w:after="0"/>
              <w:ind w:left="-57" w:right="0"/>
              <w:rPr>
                <w:szCs w:val="22"/>
                <w:rtl/>
              </w:rPr>
            </w:pPr>
            <w:r>
              <w:rPr>
                <w:szCs w:val="22"/>
                <w:rtl/>
              </w:rPr>
              <w:t>896 5</w:t>
            </w:r>
          </w:p>
        </w:tc>
        <w:tc>
          <w:tcPr>
            <w:tcW w:w="1095" w:type="dxa"/>
          </w:tcPr>
          <w:p w:rsidR="00000000" w:rsidRDefault="00000000">
            <w:pPr>
              <w:pStyle w:val="SingleTxt"/>
              <w:spacing w:after="0"/>
              <w:ind w:left="-57" w:right="0"/>
              <w:rPr>
                <w:szCs w:val="22"/>
                <w:rtl/>
              </w:rPr>
            </w:pPr>
            <w:r>
              <w:rPr>
                <w:szCs w:val="22"/>
                <w:rtl/>
              </w:rPr>
              <w:t>47</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ابتدائي</w:t>
            </w:r>
          </w:p>
        </w:tc>
        <w:tc>
          <w:tcPr>
            <w:tcW w:w="992" w:type="dxa"/>
          </w:tcPr>
          <w:p w:rsidR="00000000" w:rsidRDefault="00000000">
            <w:pPr>
              <w:pStyle w:val="SingleTxt"/>
              <w:spacing w:after="0"/>
              <w:ind w:left="-57" w:right="0"/>
              <w:rPr>
                <w:szCs w:val="22"/>
                <w:rtl/>
              </w:rPr>
            </w:pPr>
            <w:r>
              <w:rPr>
                <w:szCs w:val="22"/>
                <w:rtl/>
              </w:rPr>
              <w:t>963 261</w:t>
            </w:r>
          </w:p>
        </w:tc>
        <w:tc>
          <w:tcPr>
            <w:tcW w:w="993" w:type="dxa"/>
          </w:tcPr>
          <w:p w:rsidR="00000000" w:rsidRDefault="00000000">
            <w:pPr>
              <w:pStyle w:val="SingleTxt"/>
              <w:spacing w:after="0"/>
              <w:ind w:left="-57" w:right="0"/>
              <w:rPr>
                <w:szCs w:val="22"/>
                <w:rtl/>
              </w:rPr>
            </w:pPr>
            <w:r>
              <w:rPr>
                <w:szCs w:val="22"/>
                <w:rtl/>
              </w:rPr>
              <w:t>385 118</w:t>
            </w:r>
          </w:p>
        </w:tc>
        <w:tc>
          <w:tcPr>
            <w:tcW w:w="992" w:type="dxa"/>
          </w:tcPr>
          <w:p w:rsidR="00000000" w:rsidRDefault="00000000">
            <w:pPr>
              <w:pStyle w:val="SingleTxt"/>
              <w:spacing w:after="0"/>
              <w:ind w:left="-57" w:right="0"/>
              <w:rPr>
                <w:szCs w:val="22"/>
                <w:rtl/>
              </w:rPr>
            </w:pPr>
            <w:r>
              <w:rPr>
                <w:szCs w:val="22"/>
                <w:rtl/>
              </w:rPr>
              <w:t>45.2</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941 295</w:t>
            </w:r>
          </w:p>
        </w:tc>
        <w:tc>
          <w:tcPr>
            <w:tcW w:w="992" w:type="dxa"/>
          </w:tcPr>
          <w:p w:rsidR="00000000" w:rsidRDefault="00000000">
            <w:pPr>
              <w:pStyle w:val="SingleTxt"/>
              <w:spacing w:after="0"/>
              <w:ind w:left="-57" w:right="0"/>
              <w:rPr>
                <w:szCs w:val="22"/>
                <w:rtl/>
              </w:rPr>
            </w:pPr>
            <w:r>
              <w:rPr>
                <w:szCs w:val="22"/>
                <w:rtl/>
              </w:rPr>
              <w:t>045 133</w:t>
            </w:r>
          </w:p>
        </w:tc>
        <w:tc>
          <w:tcPr>
            <w:tcW w:w="993" w:type="dxa"/>
          </w:tcPr>
          <w:p w:rsidR="00000000" w:rsidRDefault="00000000">
            <w:pPr>
              <w:pStyle w:val="SingleTxt"/>
              <w:spacing w:after="0"/>
              <w:ind w:left="-57" w:right="0"/>
              <w:rPr>
                <w:szCs w:val="22"/>
                <w:rtl/>
              </w:rPr>
            </w:pPr>
            <w:r>
              <w:rPr>
                <w:szCs w:val="22"/>
                <w:rtl/>
              </w:rPr>
              <w:t>45.0</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691 298</w:t>
            </w:r>
          </w:p>
        </w:tc>
        <w:tc>
          <w:tcPr>
            <w:tcW w:w="850" w:type="dxa"/>
          </w:tcPr>
          <w:p w:rsidR="00000000" w:rsidRDefault="00000000">
            <w:pPr>
              <w:pStyle w:val="SingleTxt"/>
              <w:spacing w:after="0"/>
              <w:ind w:left="-57" w:right="0"/>
              <w:rPr>
                <w:szCs w:val="22"/>
                <w:rtl/>
              </w:rPr>
            </w:pPr>
            <w:r>
              <w:rPr>
                <w:szCs w:val="22"/>
                <w:rtl/>
              </w:rPr>
              <w:t>168 134</w:t>
            </w:r>
          </w:p>
        </w:tc>
        <w:tc>
          <w:tcPr>
            <w:tcW w:w="1095" w:type="dxa"/>
          </w:tcPr>
          <w:p w:rsidR="00000000" w:rsidRDefault="00000000">
            <w:pPr>
              <w:pStyle w:val="SingleTxt"/>
              <w:spacing w:after="0"/>
              <w:ind w:left="-57" w:right="0"/>
              <w:rPr>
                <w:szCs w:val="22"/>
                <w:rtl/>
              </w:rPr>
            </w:pPr>
            <w:r>
              <w:rPr>
                <w:szCs w:val="22"/>
                <w:rtl/>
              </w:rPr>
              <w:t>45</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إعدادي</w:t>
            </w:r>
          </w:p>
        </w:tc>
        <w:tc>
          <w:tcPr>
            <w:tcW w:w="992" w:type="dxa"/>
          </w:tcPr>
          <w:p w:rsidR="00000000" w:rsidRDefault="00000000">
            <w:pPr>
              <w:pStyle w:val="SingleTxt"/>
              <w:spacing w:after="0"/>
              <w:ind w:left="-57" w:right="0"/>
              <w:rPr>
                <w:szCs w:val="22"/>
                <w:rtl/>
              </w:rPr>
            </w:pPr>
            <w:r>
              <w:rPr>
                <w:szCs w:val="22"/>
                <w:rtl/>
              </w:rPr>
              <w:t>021 67</w:t>
            </w:r>
          </w:p>
        </w:tc>
        <w:tc>
          <w:tcPr>
            <w:tcW w:w="993" w:type="dxa"/>
          </w:tcPr>
          <w:p w:rsidR="00000000" w:rsidRDefault="00000000">
            <w:pPr>
              <w:pStyle w:val="SingleTxt"/>
              <w:spacing w:after="0"/>
              <w:ind w:left="-57" w:right="0"/>
              <w:rPr>
                <w:szCs w:val="22"/>
                <w:rtl/>
              </w:rPr>
            </w:pPr>
            <w:r>
              <w:rPr>
                <w:szCs w:val="22"/>
                <w:rtl/>
              </w:rPr>
              <w:t>290 29</w:t>
            </w:r>
          </w:p>
        </w:tc>
        <w:tc>
          <w:tcPr>
            <w:tcW w:w="992" w:type="dxa"/>
          </w:tcPr>
          <w:p w:rsidR="00000000" w:rsidRDefault="00000000">
            <w:pPr>
              <w:pStyle w:val="SingleTxt"/>
              <w:spacing w:after="0"/>
              <w:ind w:left="-57" w:right="0"/>
              <w:rPr>
                <w:szCs w:val="22"/>
                <w:rtl/>
              </w:rPr>
            </w:pPr>
            <w:r>
              <w:rPr>
                <w:szCs w:val="22"/>
                <w:rtl/>
              </w:rPr>
              <w:t>43.7</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317 74</w:t>
            </w:r>
          </w:p>
        </w:tc>
        <w:tc>
          <w:tcPr>
            <w:tcW w:w="992" w:type="dxa"/>
          </w:tcPr>
          <w:p w:rsidR="00000000" w:rsidRDefault="00000000">
            <w:pPr>
              <w:pStyle w:val="SingleTxt"/>
              <w:spacing w:after="0"/>
              <w:ind w:left="-57" w:right="0"/>
              <w:rPr>
                <w:szCs w:val="22"/>
                <w:rtl/>
              </w:rPr>
            </w:pPr>
            <w:r>
              <w:rPr>
                <w:szCs w:val="22"/>
                <w:rtl/>
              </w:rPr>
              <w:t>284 33</w:t>
            </w:r>
          </w:p>
        </w:tc>
        <w:tc>
          <w:tcPr>
            <w:tcW w:w="993" w:type="dxa"/>
          </w:tcPr>
          <w:p w:rsidR="00000000" w:rsidRDefault="00000000">
            <w:pPr>
              <w:pStyle w:val="SingleTxt"/>
              <w:spacing w:after="0"/>
              <w:ind w:left="-57" w:right="0"/>
              <w:rPr>
                <w:szCs w:val="22"/>
                <w:rtl/>
              </w:rPr>
            </w:pPr>
            <w:r>
              <w:rPr>
                <w:szCs w:val="22"/>
                <w:rtl/>
              </w:rPr>
              <w:t>44.8</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966 70</w:t>
            </w:r>
          </w:p>
        </w:tc>
        <w:tc>
          <w:tcPr>
            <w:tcW w:w="850" w:type="dxa"/>
          </w:tcPr>
          <w:p w:rsidR="00000000" w:rsidRDefault="00000000">
            <w:pPr>
              <w:pStyle w:val="SingleTxt"/>
              <w:spacing w:after="0"/>
              <w:ind w:left="-57" w:right="0"/>
              <w:rPr>
                <w:szCs w:val="22"/>
                <w:rtl/>
              </w:rPr>
            </w:pPr>
            <w:r>
              <w:rPr>
                <w:szCs w:val="22"/>
                <w:rtl/>
              </w:rPr>
              <w:t>320 32</w:t>
            </w:r>
          </w:p>
        </w:tc>
        <w:tc>
          <w:tcPr>
            <w:tcW w:w="1095" w:type="dxa"/>
          </w:tcPr>
          <w:p w:rsidR="00000000" w:rsidRDefault="00000000">
            <w:pPr>
              <w:pStyle w:val="SingleTxt"/>
              <w:spacing w:after="0"/>
              <w:ind w:left="-57" w:right="0"/>
              <w:rPr>
                <w:szCs w:val="22"/>
                <w:rtl/>
              </w:rPr>
            </w:pPr>
            <w:r>
              <w:rPr>
                <w:szCs w:val="22"/>
                <w:rtl/>
              </w:rPr>
              <w:t>45.5</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ثانوي</w:t>
            </w:r>
          </w:p>
        </w:tc>
        <w:tc>
          <w:tcPr>
            <w:tcW w:w="992" w:type="dxa"/>
          </w:tcPr>
          <w:p w:rsidR="00000000" w:rsidRDefault="00000000">
            <w:pPr>
              <w:pStyle w:val="SingleTxt"/>
              <w:spacing w:after="0"/>
              <w:ind w:left="-57" w:right="0"/>
              <w:rPr>
                <w:szCs w:val="22"/>
                <w:rtl/>
              </w:rPr>
            </w:pPr>
            <w:r>
              <w:rPr>
                <w:szCs w:val="22"/>
                <w:rtl/>
              </w:rPr>
              <w:t>533 47</w:t>
            </w:r>
          </w:p>
        </w:tc>
        <w:tc>
          <w:tcPr>
            <w:tcW w:w="993" w:type="dxa"/>
          </w:tcPr>
          <w:p w:rsidR="00000000" w:rsidRDefault="00000000">
            <w:pPr>
              <w:pStyle w:val="SingleTxt"/>
              <w:spacing w:after="0"/>
              <w:ind w:left="-57" w:right="0"/>
              <w:rPr>
                <w:szCs w:val="22"/>
                <w:rtl/>
              </w:rPr>
            </w:pPr>
            <w:r>
              <w:rPr>
                <w:szCs w:val="22"/>
                <w:rtl/>
              </w:rPr>
              <w:t>756 17</w:t>
            </w:r>
          </w:p>
        </w:tc>
        <w:tc>
          <w:tcPr>
            <w:tcW w:w="992" w:type="dxa"/>
          </w:tcPr>
          <w:p w:rsidR="00000000" w:rsidRDefault="00000000">
            <w:pPr>
              <w:pStyle w:val="SingleTxt"/>
              <w:spacing w:after="0"/>
              <w:ind w:left="-57" w:right="0"/>
              <w:rPr>
                <w:szCs w:val="22"/>
                <w:rtl/>
              </w:rPr>
            </w:pPr>
            <w:r>
              <w:rPr>
                <w:szCs w:val="22"/>
                <w:rtl/>
              </w:rPr>
              <w:t>37.4</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626 59</w:t>
            </w:r>
          </w:p>
        </w:tc>
        <w:tc>
          <w:tcPr>
            <w:tcW w:w="992" w:type="dxa"/>
          </w:tcPr>
          <w:p w:rsidR="00000000" w:rsidRDefault="00000000">
            <w:pPr>
              <w:pStyle w:val="SingleTxt"/>
              <w:spacing w:after="0"/>
              <w:ind w:left="-57" w:right="0"/>
              <w:rPr>
                <w:szCs w:val="22"/>
                <w:rtl/>
              </w:rPr>
            </w:pPr>
            <w:r>
              <w:rPr>
                <w:szCs w:val="22"/>
                <w:rtl/>
              </w:rPr>
              <w:t>093 22</w:t>
            </w:r>
          </w:p>
        </w:tc>
        <w:tc>
          <w:tcPr>
            <w:tcW w:w="993" w:type="dxa"/>
          </w:tcPr>
          <w:p w:rsidR="00000000" w:rsidRDefault="00000000">
            <w:pPr>
              <w:pStyle w:val="SingleTxt"/>
              <w:spacing w:after="0"/>
              <w:ind w:left="-57" w:right="0"/>
              <w:rPr>
                <w:szCs w:val="22"/>
                <w:rtl/>
              </w:rPr>
            </w:pPr>
            <w:r>
              <w:rPr>
                <w:szCs w:val="22"/>
                <w:rtl/>
              </w:rPr>
              <w:t>37.1</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951 63</w:t>
            </w:r>
          </w:p>
        </w:tc>
        <w:tc>
          <w:tcPr>
            <w:tcW w:w="850" w:type="dxa"/>
          </w:tcPr>
          <w:p w:rsidR="00000000" w:rsidRDefault="00000000">
            <w:pPr>
              <w:pStyle w:val="SingleTxt"/>
              <w:spacing w:after="0"/>
              <w:ind w:left="-57" w:right="0"/>
              <w:rPr>
                <w:szCs w:val="22"/>
                <w:rtl/>
              </w:rPr>
            </w:pPr>
            <w:r>
              <w:rPr>
                <w:szCs w:val="22"/>
                <w:rtl/>
              </w:rPr>
              <w:t>596 23</w:t>
            </w:r>
          </w:p>
        </w:tc>
        <w:tc>
          <w:tcPr>
            <w:tcW w:w="1095" w:type="dxa"/>
          </w:tcPr>
          <w:p w:rsidR="00000000" w:rsidRDefault="00000000">
            <w:pPr>
              <w:pStyle w:val="SingleTxt"/>
              <w:spacing w:after="0"/>
              <w:ind w:left="-57" w:right="0"/>
              <w:rPr>
                <w:szCs w:val="22"/>
                <w:rtl/>
              </w:rPr>
            </w:pPr>
            <w:r>
              <w:rPr>
                <w:szCs w:val="22"/>
                <w:rtl/>
              </w:rPr>
              <w:t>36.8</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تقني/مهني</w:t>
            </w:r>
          </w:p>
        </w:tc>
        <w:tc>
          <w:tcPr>
            <w:tcW w:w="992" w:type="dxa"/>
          </w:tcPr>
          <w:p w:rsidR="00000000" w:rsidRDefault="00000000">
            <w:pPr>
              <w:pStyle w:val="SingleTxt"/>
              <w:spacing w:after="0"/>
              <w:ind w:left="-57" w:right="0"/>
              <w:rPr>
                <w:szCs w:val="22"/>
                <w:rtl/>
              </w:rPr>
            </w:pPr>
            <w:r>
              <w:rPr>
                <w:szCs w:val="22"/>
                <w:rtl/>
              </w:rPr>
              <w:t>908</w:t>
            </w:r>
          </w:p>
        </w:tc>
        <w:tc>
          <w:tcPr>
            <w:tcW w:w="993" w:type="dxa"/>
          </w:tcPr>
          <w:p w:rsidR="00000000" w:rsidRDefault="00000000">
            <w:pPr>
              <w:pStyle w:val="SingleTxt"/>
              <w:spacing w:after="0"/>
              <w:ind w:left="-57" w:right="0"/>
              <w:rPr>
                <w:szCs w:val="22"/>
                <w:rtl/>
              </w:rPr>
            </w:pPr>
            <w:r>
              <w:rPr>
                <w:szCs w:val="22"/>
                <w:rtl/>
              </w:rPr>
              <w:t>140</w:t>
            </w:r>
          </w:p>
        </w:tc>
        <w:tc>
          <w:tcPr>
            <w:tcW w:w="992" w:type="dxa"/>
          </w:tcPr>
          <w:p w:rsidR="00000000" w:rsidRDefault="00000000">
            <w:pPr>
              <w:pStyle w:val="SingleTxt"/>
              <w:spacing w:after="0"/>
              <w:ind w:left="-57" w:right="0"/>
              <w:rPr>
                <w:szCs w:val="22"/>
                <w:rtl/>
              </w:rPr>
            </w:pPr>
            <w:r>
              <w:rPr>
                <w:szCs w:val="22"/>
                <w:rtl/>
              </w:rPr>
              <w:t>15.4</w:t>
            </w:r>
          </w:p>
        </w:tc>
        <w:tc>
          <w:tcPr>
            <w:tcW w:w="992" w:type="dxa"/>
          </w:tcPr>
          <w:p w:rsidR="00000000" w:rsidRDefault="00000000">
            <w:pPr>
              <w:pStyle w:val="SingleTxt"/>
              <w:spacing w:after="0"/>
              <w:ind w:left="-57" w:right="0"/>
              <w:rPr>
                <w:szCs w:val="22"/>
                <w:rtl/>
              </w:rPr>
            </w:pPr>
            <w:r>
              <w:rPr>
                <w:szCs w:val="22"/>
                <w:rtl/>
              </w:rPr>
              <w:t>018 1</w:t>
            </w:r>
          </w:p>
        </w:tc>
        <w:tc>
          <w:tcPr>
            <w:tcW w:w="992" w:type="dxa"/>
          </w:tcPr>
          <w:p w:rsidR="00000000" w:rsidRDefault="00000000">
            <w:pPr>
              <w:pStyle w:val="SingleTxt"/>
              <w:spacing w:after="0"/>
              <w:ind w:left="-57" w:right="0"/>
              <w:rPr>
                <w:szCs w:val="22"/>
                <w:rtl/>
              </w:rPr>
            </w:pPr>
            <w:r>
              <w:rPr>
                <w:szCs w:val="22"/>
                <w:rtl/>
              </w:rPr>
              <w:t>147</w:t>
            </w:r>
          </w:p>
        </w:tc>
        <w:tc>
          <w:tcPr>
            <w:tcW w:w="993" w:type="dxa"/>
          </w:tcPr>
          <w:p w:rsidR="00000000" w:rsidRDefault="00000000">
            <w:pPr>
              <w:pStyle w:val="SingleTxt"/>
              <w:spacing w:after="0"/>
              <w:ind w:left="-57" w:right="0"/>
              <w:rPr>
                <w:szCs w:val="22"/>
                <w:rtl/>
              </w:rPr>
            </w:pPr>
            <w:r>
              <w:rPr>
                <w:szCs w:val="22"/>
                <w:rtl/>
              </w:rPr>
              <w:t>14.4</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301 1</w:t>
            </w:r>
          </w:p>
        </w:tc>
        <w:tc>
          <w:tcPr>
            <w:tcW w:w="850" w:type="dxa"/>
          </w:tcPr>
          <w:p w:rsidR="00000000" w:rsidRDefault="00000000">
            <w:pPr>
              <w:pStyle w:val="SingleTxt"/>
              <w:spacing w:after="0"/>
              <w:ind w:left="-57" w:right="0"/>
              <w:rPr>
                <w:szCs w:val="22"/>
                <w:rtl/>
              </w:rPr>
            </w:pPr>
            <w:r>
              <w:rPr>
                <w:szCs w:val="22"/>
                <w:rtl/>
              </w:rPr>
              <w:t>291</w:t>
            </w:r>
          </w:p>
        </w:tc>
        <w:tc>
          <w:tcPr>
            <w:tcW w:w="1095" w:type="dxa"/>
          </w:tcPr>
          <w:p w:rsidR="00000000" w:rsidRDefault="00000000">
            <w:pPr>
              <w:pStyle w:val="SingleTxt"/>
              <w:spacing w:after="0"/>
              <w:ind w:left="-57" w:right="0"/>
              <w:rPr>
                <w:szCs w:val="22"/>
                <w:rtl/>
              </w:rPr>
            </w:pPr>
            <w:r>
              <w:rPr>
                <w:szCs w:val="22"/>
                <w:rtl/>
              </w:rPr>
              <w:t>22</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أعمال وتجارة</w:t>
            </w:r>
          </w:p>
        </w:tc>
        <w:tc>
          <w:tcPr>
            <w:tcW w:w="992" w:type="dxa"/>
          </w:tcPr>
          <w:p w:rsidR="00000000" w:rsidRDefault="00000000">
            <w:pPr>
              <w:pStyle w:val="SingleTxt"/>
              <w:spacing w:after="0"/>
              <w:ind w:left="-57" w:right="0"/>
              <w:rPr>
                <w:szCs w:val="22"/>
                <w:rtl/>
              </w:rPr>
            </w:pPr>
            <w:r>
              <w:rPr>
                <w:szCs w:val="22"/>
                <w:rtl/>
              </w:rPr>
              <w:t>187</w:t>
            </w:r>
          </w:p>
        </w:tc>
        <w:tc>
          <w:tcPr>
            <w:tcW w:w="993" w:type="dxa"/>
          </w:tcPr>
          <w:p w:rsidR="00000000" w:rsidRDefault="00000000">
            <w:pPr>
              <w:pStyle w:val="SingleTxt"/>
              <w:spacing w:after="0"/>
              <w:ind w:left="-57" w:right="0"/>
              <w:rPr>
                <w:szCs w:val="22"/>
                <w:rtl/>
              </w:rPr>
            </w:pPr>
            <w:r>
              <w:rPr>
                <w:szCs w:val="22"/>
                <w:rtl/>
              </w:rPr>
              <w:t>62</w:t>
            </w:r>
          </w:p>
        </w:tc>
        <w:tc>
          <w:tcPr>
            <w:tcW w:w="992" w:type="dxa"/>
          </w:tcPr>
          <w:p w:rsidR="00000000" w:rsidRDefault="00000000">
            <w:pPr>
              <w:pStyle w:val="SingleTxt"/>
              <w:spacing w:after="0"/>
              <w:ind w:left="-57" w:right="0"/>
              <w:rPr>
                <w:szCs w:val="22"/>
                <w:rtl/>
              </w:rPr>
            </w:pPr>
            <w:r>
              <w:rPr>
                <w:szCs w:val="22"/>
                <w:rtl/>
              </w:rPr>
              <w:t>33</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190</w:t>
            </w:r>
          </w:p>
        </w:tc>
        <w:tc>
          <w:tcPr>
            <w:tcW w:w="992" w:type="dxa"/>
          </w:tcPr>
          <w:p w:rsidR="00000000" w:rsidRDefault="00000000">
            <w:pPr>
              <w:pStyle w:val="SingleTxt"/>
              <w:spacing w:after="0"/>
              <w:ind w:left="-57" w:right="0"/>
              <w:rPr>
                <w:szCs w:val="22"/>
                <w:rtl/>
              </w:rPr>
            </w:pPr>
            <w:r>
              <w:rPr>
                <w:szCs w:val="22"/>
                <w:rtl/>
              </w:rPr>
              <w:t>58</w:t>
            </w:r>
          </w:p>
        </w:tc>
        <w:tc>
          <w:tcPr>
            <w:tcW w:w="993" w:type="dxa"/>
          </w:tcPr>
          <w:p w:rsidR="00000000" w:rsidRDefault="00000000">
            <w:pPr>
              <w:pStyle w:val="SingleTxt"/>
              <w:spacing w:after="0"/>
              <w:ind w:left="-57" w:right="0"/>
              <w:rPr>
                <w:szCs w:val="22"/>
                <w:rtl/>
              </w:rPr>
            </w:pPr>
            <w:r>
              <w:rPr>
                <w:szCs w:val="22"/>
                <w:rtl/>
              </w:rPr>
              <w:t>30.5</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295</w:t>
            </w:r>
          </w:p>
        </w:tc>
        <w:tc>
          <w:tcPr>
            <w:tcW w:w="850" w:type="dxa"/>
          </w:tcPr>
          <w:p w:rsidR="00000000" w:rsidRDefault="00000000">
            <w:pPr>
              <w:pStyle w:val="SingleTxt"/>
              <w:spacing w:after="0"/>
              <w:ind w:left="-57" w:right="0"/>
              <w:rPr>
                <w:szCs w:val="22"/>
                <w:rtl/>
              </w:rPr>
            </w:pPr>
            <w:r>
              <w:rPr>
                <w:szCs w:val="22"/>
                <w:rtl/>
              </w:rPr>
              <w:t>107</w:t>
            </w:r>
          </w:p>
        </w:tc>
        <w:tc>
          <w:tcPr>
            <w:tcW w:w="1095" w:type="dxa"/>
          </w:tcPr>
          <w:p w:rsidR="00000000" w:rsidRDefault="00000000">
            <w:pPr>
              <w:pStyle w:val="SingleTxt"/>
              <w:spacing w:after="0"/>
              <w:ind w:left="-57" w:right="0"/>
              <w:rPr>
                <w:szCs w:val="22"/>
                <w:rtl/>
              </w:rPr>
            </w:pPr>
            <w:r>
              <w:rPr>
                <w:szCs w:val="22"/>
                <w:rtl/>
              </w:rPr>
              <w:t>36</w:t>
            </w:r>
            <w:r>
              <w:rPr>
                <w:rFonts w:cs="Akhbar MT"/>
                <w:szCs w:val="22"/>
                <w:rtl/>
              </w:rPr>
              <w:t>%</w:t>
            </w:r>
          </w:p>
        </w:tc>
      </w:tr>
      <w:tr w:rsidR="00000000">
        <w:tblPrEx>
          <w:tblCellMar>
            <w:top w:w="0" w:type="dxa"/>
            <w:bottom w:w="0" w:type="dxa"/>
          </w:tblCellMar>
        </w:tblPrEx>
        <w:tc>
          <w:tcPr>
            <w:tcW w:w="1169" w:type="dxa"/>
          </w:tcPr>
          <w:p w:rsidR="00000000" w:rsidRDefault="00000000">
            <w:pPr>
              <w:pStyle w:val="SingleTxt"/>
              <w:spacing w:after="0"/>
              <w:ind w:left="-57" w:right="0"/>
              <w:rPr>
                <w:szCs w:val="22"/>
                <w:rtl/>
              </w:rPr>
            </w:pPr>
            <w:r>
              <w:rPr>
                <w:szCs w:val="22"/>
                <w:rtl/>
              </w:rPr>
              <w:t>زراعة وموسيقى ومدارس للفنون</w:t>
            </w:r>
          </w:p>
        </w:tc>
        <w:tc>
          <w:tcPr>
            <w:tcW w:w="992" w:type="dxa"/>
          </w:tcPr>
          <w:p w:rsidR="00000000" w:rsidRDefault="00000000">
            <w:pPr>
              <w:pStyle w:val="SingleTxt"/>
              <w:spacing w:after="0"/>
              <w:ind w:left="-57" w:right="0"/>
              <w:rPr>
                <w:szCs w:val="22"/>
                <w:rtl/>
              </w:rPr>
            </w:pPr>
            <w:r>
              <w:rPr>
                <w:szCs w:val="22"/>
                <w:rtl/>
              </w:rPr>
              <w:t>غير موجود</w:t>
            </w:r>
          </w:p>
        </w:tc>
        <w:tc>
          <w:tcPr>
            <w:tcW w:w="993" w:type="dxa"/>
          </w:tcPr>
          <w:p w:rsidR="00000000" w:rsidRDefault="00000000">
            <w:pPr>
              <w:pStyle w:val="SingleTxt"/>
              <w:spacing w:after="0"/>
              <w:ind w:left="-57" w:right="0"/>
              <w:rPr>
                <w:szCs w:val="22"/>
                <w:rtl/>
              </w:rPr>
            </w:pPr>
            <w:r>
              <w:rPr>
                <w:szCs w:val="22"/>
                <w:rtl/>
              </w:rPr>
              <w:t>غير موجود</w:t>
            </w:r>
          </w:p>
        </w:tc>
        <w:tc>
          <w:tcPr>
            <w:tcW w:w="992" w:type="dxa"/>
          </w:tcPr>
          <w:p w:rsidR="00000000" w:rsidRDefault="00000000">
            <w:pPr>
              <w:pStyle w:val="SingleTxt"/>
              <w:spacing w:after="0"/>
              <w:ind w:left="-57" w:right="0"/>
              <w:rPr>
                <w:szCs w:val="22"/>
                <w:rtl/>
              </w:rPr>
            </w:pPr>
          </w:p>
        </w:tc>
        <w:tc>
          <w:tcPr>
            <w:tcW w:w="992" w:type="dxa"/>
          </w:tcPr>
          <w:p w:rsidR="00000000" w:rsidRDefault="00000000">
            <w:pPr>
              <w:pStyle w:val="SingleTxt"/>
              <w:spacing w:after="0"/>
              <w:ind w:left="-57" w:right="0"/>
              <w:rPr>
                <w:szCs w:val="22"/>
                <w:rtl/>
              </w:rPr>
            </w:pPr>
            <w:r>
              <w:rPr>
                <w:szCs w:val="22"/>
                <w:rtl/>
              </w:rPr>
              <w:t>265</w:t>
            </w:r>
          </w:p>
        </w:tc>
        <w:tc>
          <w:tcPr>
            <w:tcW w:w="992" w:type="dxa"/>
          </w:tcPr>
          <w:p w:rsidR="00000000" w:rsidRDefault="00000000">
            <w:pPr>
              <w:pStyle w:val="SingleTxt"/>
              <w:spacing w:after="0"/>
              <w:ind w:left="-57" w:right="0"/>
              <w:rPr>
                <w:szCs w:val="22"/>
                <w:rtl/>
              </w:rPr>
            </w:pPr>
            <w:r>
              <w:rPr>
                <w:szCs w:val="22"/>
                <w:rtl/>
              </w:rPr>
              <w:t>85</w:t>
            </w:r>
          </w:p>
        </w:tc>
        <w:tc>
          <w:tcPr>
            <w:tcW w:w="993" w:type="dxa"/>
          </w:tcPr>
          <w:p w:rsidR="00000000" w:rsidRDefault="00000000">
            <w:pPr>
              <w:pStyle w:val="SingleTxt"/>
              <w:spacing w:after="0"/>
              <w:ind w:left="-57" w:right="0"/>
              <w:rPr>
                <w:szCs w:val="22"/>
                <w:rtl/>
              </w:rPr>
            </w:pPr>
            <w:r>
              <w:rPr>
                <w:szCs w:val="22"/>
                <w:rtl/>
              </w:rPr>
              <w:t>32.0</w:t>
            </w:r>
            <w:r>
              <w:rPr>
                <w:rFonts w:cs="Akhbar MT"/>
                <w:szCs w:val="22"/>
                <w:rtl/>
              </w:rPr>
              <w:t>%</w:t>
            </w:r>
          </w:p>
        </w:tc>
        <w:tc>
          <w:tcPr>
            <w:tcW w:w="992" w:type="dxa"/>
          </w:tcPr>
          <w:p w:rsidR="00000000" w:rsidRDefault="00000000">
            <w:pPr>
              <w:pStyle w:val="SingleTxt"/>
              <w:spacing w:after="0"/>
              <w:ind w:left="-57" w:right="0"/>
              <w:rPr>
                <w:szCs w:val="22"/>
                <w:rtl/>
              </w:rPr>
            </w:pPr>
            <w:r>
              <w:rPr>
                <w:szCs w:val="22"/>
                <w:rtl/>
              </w:rPr>
              <w:t>128</w:t>
            </w:r>
          </w:p>
        </w:tc>
        <w:tc>
          <w:tcPr>
            <w:tcW w:w="850" w:type="dxa"/>
          </w:tcPr>
          <w:p w:rsidR="00000000" w:rsidRDefault="00000000">
            <w:pPr>
              <w:pStyle w:val="SingleTxt"/>
              <w:spacing w:after="0"/>
              <w:ind w:left="-57" w:right="0"/>
              <w:rPr>
                <w:szCs w:val="22"/>
                <w:rtl/>
              </w:rPr>
            </w:pPr>
            <w:r>
              <w:rPr>
                <w:szCs w:val="22"/>
                <w:rtl/>
              </w:rPr>
              <w:t>46</w:t>
            </w:r>
          </w:p>
        </w:tc>
        <w:tc>
          <w:tcPr>
            <w:tcW w:w="1095" w:type="dxa"/>
          </w:tcPr>
          <w:p w:rsidR="00000000" w:rsidRDefault="00000000">
            <w:pPr>
              <w:pStyle w:val="SingleTxt"/>
              <w:spacing w:after="0"/>
              <w:ind w:left="-57" w:right="0"/>
              <w:rPr>
                <w:szCs w:val="22"/>
                <w:rtl/>
              </w:rPr>
            </w:pPr>
            <w:r>
              <w:rPr>
                <w:szCs w:val="22"/>
                <w:rtl/>
              </w:rPr>
              <w:t>35.9</w:t>
            </w:r>
            <w:r>
              <w:rPr>
                <w:rFonts w:cs="Akhbar MT"/>
                <w:szCs w:val="22"/>
                <w:rtl/>
              </w:rPr>
              <w:t>%</w:t>
            </w:r>
            <w:r>
              <w:rPr>
                <w:szCs w:val="22"/>
                <w:rtl/>
              </w:rPr>
              <w:t>**</w:t>
            </w:r>
          </w:p>
        </w:tc>
      </w:tr>
    </w:tbl>
    <w:p w:rsidR="00000000" w:rsidRDefault="00000000">
      <w:pPr>
        <w:pStyle w:val="SingleTxt"/>
        <w:ind w:left="1264" w:right="1264"/>
        <w:rPr>
          <w:i/>
          <w:iCs/>
          <w:szCs w:val="26"/>
          <w:rtl/>
        </w:rPr>
      </w:pPr>
      <w:r>
        <w:rPr>
          <w:i/>
          <w:iCs/>
          <w:szCs w:val="26"/>
          <w:rtl/>
        </w:rPr>
        <w:t>المصدر: تم جمعها من إحصاءات التعليم الأساسي بوزارة التعليم.</w:t>
      </w:r>
    </w:p>
    <w:p w:rsidR="00000000" w:rsidRDefault="00000000">
      <w:pPr>
        <w:pStyle w:val="SingleTxt"/>
        <w:ind w:left="1264" w:right="1264"/>
        <w:rPr>
          <w:i/>
          <w:iCs/>
          <w:rtl/>
        </w:rPr>
      </w:pPr>
      <w:r>
        <w:rPr>
          <w:i/>
          <w:iCs/>
          <w:szCs w:val="26"/>
        </w:rPr>
        <w:t>**</w:t>
      </w:r>
      <w:r>
        <w:rPr>
          <w:i/>
          <w:iCs/>
          <w:szCs w:val="26"/>
          <w:rtl/>
        </w:rPr>
        <w:t xml:space="preserve"> لا تشمل الزراعة</w:t>
      </w:r>
    </w:p>
    <w:p w:rsidR="00000000" w:rsidRDefault="00000000">
      <w:pPr>
        <w:pStyle w:val="SingleTxt"/>
        <w:spacing w:line="360" w:lineRule="exact"/>
        <w:ind w:left="1264" w:right="1264"/>
        <w:rPr>
          <w:rtl/>
        </w:rPr>
      </w:pPr>
      <w:r>
        <w:rPr>
          <w:rtl/>
        </w:rPr>
        <w:tab/>
      </w:r>
      <w:r>
        <w:rPr>
          <w:rtl/>
        </w:rPr>
        <w:tab/>
        <w:t>وتبين هذه الإحصاءات أنه لا توجد تفرقة ملحوظة بين الجنسين في الالتحاق بالمدارس في مرحلة ما قبل المدرسة والمرحلتين الابتدائية والإعدادية وتبين أيضا أن مشاركة الفتيات كانت بالنسبة للسنوات الخمس الأخيرة تزداد بشكل هائل على مستوى المرحلة الابتدائية. ويلاحظ أيضا أن التحاق الفتيات بالمدارس الابتدائية تضاعف تقريبا في السنة الدراسية 1998/1999 (385 118) مقابل السنة الدراسية 1991/1992 (236 69).</w:t>
      </w:r>
    </w:p>
    <w:p w:rsidR="00000000" w:rsidRDefault="00000000">
      <w:pPr>
        <w:pStyle w:val="SingleTxt"/>
        <w:spacing w:line="360" w:lineRule="exact"/>
        <w:ind w:left="1264" w:right="1264"/>
        <w:rPr>
          <w:rtl/>
        </w:rPr>
      </w:pPr>
      <w:r>
        <w:rPr>
          <w:rtl/>
        </w:rPr>
        <w:tab/>
      </w:r>
      <w:r>
        <w:rPr>
          <w:rtl/>
        </w:rPr>
        <w:tab/>
        <w:t xml:space="preserve">غير أنه إذا لاحظنا صافي نسبة الحضور </w:t>
      </w:r>
      <w:r>
        <w:rPr>
          <w:rStyle w:val="FootnoteReference"/>
          <w:rtl/>
        </w:rPr>
        <w:footnoteReference w:customMarkFollows="1" w:id="15"/>
        <w:t>(14)</w:t>
      </w:r>
      <w:r>
        <w:rPr>
          <w:rtl/>
        </w:rPr>
        <w:t xml:space="preserve"> حسب المنطقة أو الخلفية الحضرية والريفية للطالبات، لوجدنا اختلافا ملحوظا يقتضي الاهتمام، بمعنى أن الفتيات في الحضر </w:t>
      </w:r>
      <w:r>
        <w:rPr>
          <w:w w:val="98"/>
          <w:rtl/>
        </w:rPr>
        <w:t>حضورهن أفضل من الفتيات في الريف على جميع المستويات وأن نسبة 45 في المائة من معدل الالتحاق على مستوى المدرسة الابتدائية والإعدادية لا تمثل حقا الفتيات في المنطقة الريفية</w:t>
      </w:r>
      <w:r>
        <w:rPr>
          <w:rtl/>
        </w:rPr>
        <w:t>:</w:t>
      </w:r>
    </w:p>
    <w:p w:rsidR="00000000" w:rsidRDefault="00000000">
      <w:pPr>
        <w:pStyle w:val="SingleTxt"/>
        <w:ind w:left="1264" w:right="1264"/>
        <w:rPr>
          <w:b/>
          <w:bCs/>
          <w:rtl/>
        </w:rPr>
      </w:pPr>
      <w:r>
        <w:rPr>
          <w:b/>
          <w:bCs/>
          <w:rtl/>
        </w:rPr>
        <w:t xml:space="preserve">الجدول 4 </w:t>
      </w:r>
      <w:r>
        <w:rPr>
          <w:b/>
          <w:bCs/>
        </w:rPr>
        <w:t>–</w:t>
      </w:r>
      <w:r>
        <w:rPr>
          <w:b/>
          <w:bCs/>
          <w:rtl/>
        </w:rPr>
        <w:t xml:space="preserve"> نسبة حضور الإناث للمدارس حسب الخلفية </w:t>
      </w:r>
      <w:r>
        <w:rPr>
          <w:rStyle w:val="FootnoteReference"/>
          <w:rtl/>
        </w:rPr>
        <w:footnoteReference w:customMarkFollows="1" w:id="16"/>
        <w:t>(15)</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2281"/>
        <w:gridCol w:w="1972"/>
      </w:tblGrid>
      <w:tr w:rsidR="00000000">
        <w:tblPrEx>
          <w:tblCellMar>
            <w:top w:w="0" w:type="dxa"/>
            <w:bottom w:w="0" w:type="dxa"/>
          </w:tblCellMar>
        </w:tblPrEx>
        <w:tc>
          <w:tcPr>
            <w:tcW w:w="3118" w:type="dxa"/>
          </w:tcPr>
          <w:p w:rsidR="00000000" w:rsidRDefault="00000000">
            <w:pPr>
              <w:pStyle w:val="SingleTxt"/>
              <w:spacing w:after="0"/>
              <w:ind w:left="0" w:right="0"/>
              <w:rPr>
                <w:b/>
                <w:bCs/>
                <w:rtl/>
              </w:rPr>
            </w:pPr>
            <w:r>
              <w:rPr>
                <w:b/>
                <w:bCs/>
                <w:rtl/>
              </w:rPr>
              <w:t>مستوى المدرسة</w:t>
            </w:r>
          </w:p>
        </w:tc>
        <w:tc>
          <w:tcPr>
            <w:tcW w:w="2281" w:type="dxa"/>
          </w:tcPr>
          <w:p w:rsidR="00000000" w:rsidRDefault="00000000">
            <w:pPr>
              <w:pStyle w:val="SingleTxt"/>
              <w:spacing w:after="0"/>
              <w:ind w:left="0" w:right="0"/>
              <w:jc w:val="center"/>
              <w:rPr>
                <w:b/>
                <w:bCs/>
                <w:rtl/>
              </w:rPr>
            </w:pPr>
            <w:r>
              <w:rPr>
                <w:b/>
                <w:bCs/>
                <w:rtl/>
              </w:rPr>
              <w:t>الحضر</w:t>
            </w:r>
          </w:p>
        </w:tc>
        <w:tc>
          <w:tcPr>
            <w:tcW w:w="1972" w:type="dxa"/>
          </w:tcPr>
          <w:p w:rsidR="00000000" w:rsidRDefault="00000000">
            <w:pPr>
              <w:pStyle w:val="SingleTxt"/>
              <w:spacing w:after="0"/>
              <w:ind w:left="0" w:right="0"/>
              <w:jc w:val="center"/>
              <w:rPr>
                <w:b/>
                <w:bCs/>
                <w:rtl/>
              </w:rPr>
            </w:pPr>
            <w:r>
              <w:rPr>
                <w:b/>
                <w:bCs/>
                <w:rtl/>
              </w:rPr>
              <w:t>الريف</w:t>
            </w:r>
          </w:p>
        </w:tc>
      </w:tr>
      <w:tr w:rsidR="00000000">
        <w:tblPrEx>
          <w:tblCellMar>
            <w:top w:w="0" w:type="dxa"/>
            <w:bottom w:w="0" w:type="dxa"/>
          </w:tblCellMar>
        </w:tblPrEx>
        <w:tc>
          <w:tcPr>
            <w:tcW w:w="3118" w:type="dxa"/>
          </w:tcPr>
          <w:p w:rsidR="00000000" w:rsidRDefault="00000000">
            <w:pPr>
              <w:pStyle w:val="SingleTxt"/>
              <w:spacing w:after="0"/>
              <w:ind w:left="0" w:right="0"/>
              <w:rPr>
                <w:rtl/>
              </w:rPr>
            </w:pPr>
            <w:r>
              <w:rPr>
                <w:rtl/>
              </w:rPr>
              <w:t>ابتدائي</w:t>
            </w:r>
          </w:p>
        </w:tc>
        <w:tc>
          <w:tcPr>
            <w:tcW w:w="2281" w:type="dxa"/>
          </w:tcPr>
          <w:p w:rsidR="00000000" w:rsidRDefault="00000000">
            <w:pPr>
              <w:pStyle w:val="SingleTxt"/>
              <w:spacing w:after="0"/>
              <w:ind w:left="0" w:right="0"/>
              <w:jc w:val="center"/>
              <w:rPr>
                <w:rtl/>
              </w:rPr>
            </w:pPr>
            <w:r>
              <w:rPr>
                <w:rtl/>
              </w:rPr>
              <w:t>41.5</w:t>
            </w:r>
          </w:p>
        </w:tc>
        <w:tc>
          <w:tcPr>
            <w:tcW w:w="1972" w:type="dxa"/>
          </w:tcPr>
          <w:p w:rsidR="00000000" w:rsidRDefault="00000000">
            <w:pPr>
              <w:pStyle w:val="SingleTxt"/>
              <w:spacing w:after="0"/>
              <w:ind w:left="0" w:right="0"/>
              <w:jc w:val="center"/>
              <w:rPr>
                <w:rtl/>
              </w:rPr>
            </w:pPr>
            <w:r>
              <w:rPr>
                <w:rtl/>
              </w:rPr>
              <w:t>27.2</w:t>
            </w:r>
          </w:p>
        </w:tc>
      </w:tr>
      <w:tr w:rsidR="00000000">
        <w:tblPrEx>
          <w:tblCellMar>
            <w:top w:w="0" w:type="dxa"/>
            <w:bottom w:w="0" w:type="dxa"/>
          </w:tblCellMar>
        </w:tblPrEx>
        <w:tc>
          <w:tcPr>
            <w:tcW w:w="3118" w:type="dxa"/>
          </w:tcPr>
          <w:p w:rsidR="00000000" w:rsidRDefault="00000000">
            <w:pPr>
              <w:pStyle w:val="SingleTxt"/>
              <w:spacing w:after="0"/>
              <w:ind w:left="0" w:right="0"/>
              <w:rPr>
                <w:rtl/>
              </w:rPr>
            </w:pPr>
            <w:r>
              <w:rPr>
                <w:rtl/>
              </w:rPr>
              <w:t>إعدادي</w:t>
            </w:r>
          </w:p>
        </w:tc>
        <w:tc>
          <w:tcPr>
            <w:tcW w:w="2281" w:type="dxa"/>
          </w:tcPr>
          <w:p w:rsidR="00000000" w:rsidRDefault="00000000">
            <w:pPr>
              <w:pStyle w:val="SingleTxt"/>
              <w:spacing w:after="0"/>
              <w:ind w:left="0" w:right="0"/>
              <w:jc w:val="center"/>
              <w:rPr>
                <w:rtl/>
              </w:rPr>
            </w:pPr>
            <w:r>
              <w:rPr>
                <w:rtl/>
              </w:rPr>
              <w:t>38.1</w:t>
            </w:r>
          </w:p>
        </w:tc>
        <w:tc>
          <w:tcPr>
            <w:tcW w:w="1972" w:type="dxa"/>
          </w:tcPr>
          <w:p w:rsidR="00000000" w:rsidRDefault="00000000">
            <w:pPr>
              <w:pStyle w:val="SingleTxt"/>
              <w:spacing w:after="0"/>
              <w:ind w:left="0" w:right="0"/>
              <w:jc w:val="center"/>
              <w:rPr>
                <w:rtl/>
              </w:rPr>
            </w:pPr>
            <w:r>
              <w:rPr>
                <w:rtl/>
              </w:rPr>
              <w:t>9.1</w:t>
            </w:r>
          </w:p>
        </w:tc>
      </w:tr>
      <w:tr w:rsidR="00000000">
        <w:tblPrEx>
          <w:tblCellMar>
            <w:top w:w="0" w:type="dxa"/>
            <w:bottom w:w="0" w:type="dxa"/>
          </w:tblCellMar>
        </w:tblPrEx>
        <w:tc>
          <w:tcPr>
            <w:tcW w:w="3118" w:type="dxa"/>
          </w:tcPr>
          <w:p w:rsidR="00000000" w:rsidRDefault="00000000">
            <w:pPr>
              <w:pStyle w:val="SingleTxt"/>
              <w:spacing w:after="0"/>
              <w:ind w:left="0" w:right="0"/>
              <w:rPr>
                <w:rtl/>
              </w:rPr>
            </w:pPr>
            <w:r>
              <w:rPr>
                <w:rtl/>
              </w:rPr>
              <w:t>ثانوي</w:t>
            </w:r>
          </w:p>
        </w:tc>
        <w:tc>
          <w:tcPr>
            <w:tcW w:w="2281" w:type="dxa"/>
          </w:tcPr>
          <w:p w:rsidR="00000000" w:rsidRDefault="00000000">
            <w:pPr>
              <w:pStyle w:val="SingleTxt"/>
              <w:spacing w:after="0"/>
              <w:ind w:left="0" w:right="0"/>
              <w:jc w:val="center"/>
              <w:rPr>
                <w:rtl/>
              </w:rPr>
            </w:pPr>
            <w:r>
              <w:rPr>
                <w:rtl/>
              </w:rPr>
              <w:t>36.6</w:t>
            </w:r>
          </w:p>
        </w:tc>
        <w:tc>
          <w:tcPr>
            <w:tcW w:w="1972" w:type="dxa"/>
          </w:tcPr>
          <w:p w:rsidR="00000000" w:rsidRDefault="00000000">
            <w:pPr>
              <w:pStyle w:val="SingleTxt"/>
              <w:spacing w:after="0"/>
              <w:ind w:left="0" w:right="0"/>
              <w:jc w:val="center"/>
              <w:rPr>
                <w:rtl/>
              </w:rPr>
            </w:pPr>
            <w:r>
              <w:rPr>
                <w:rtl/>
              </w:rPr>
              <w:t>8.4</w:t>
            </w:r>
          </w:p>
        </w:tc>
      </w:tr>
    </w:tbl>
    <w:p w:rsidR="00000000" w:rsidRDefault="00000000">
      <w:pPr>
        <w:pStyle w:val="SingleTxt"/>
        <w:ind w:left="1264" w:right="1264"/>
        <w:rPr>
          <w:rtl/>
        </w:rPr>
      </w:pPr>
      <w:r>
        <w:rPr>
          <w:rtl/>
        </w:rPr>
        <w:tab/>
      </w:r>
      <w:r>
        <w:rPr>
          <w:rtl/>
        </w:rPr>
        <w:tab/>
        <w:t>وبالنسبة للمدارس التقنية والمهنية ما زال الحضور منخفضا للغاية ويتطلب تدخلا جادا. انظر الجدول التالي.</w:t>
      </w:r>
    </w:p>
    <w:p w:rsidR="00000000" w:rsidRDefault="00000000">
      <w:pPr>
        <w:pStyle w:val="SingleTxt"/>
        <w:ind w:left="1264" w:right="1264"/>
        <w:rPr>
          <w:b/>
          <w:bCs/>
          <w:rtl/>
        </w:rPr>
      </w:pPr>
      <w:r>
        <w:rPr>
          <w:b/>
          <w:bCs/>
          <w:rtl/>
        </w:rPr>
        <w:t>الجدول 5: الفتيات في التدريب التعليمي التقني والمهني</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53"/>
        <w:gridCol w:w="1665"/>
        <w:gridCol w:w="2127"/>
      </w:tblGrid>
      <w:tr w:rsidR="00000000">
        <w:tblPrEx>
          <w:tblCellMar>
            <w:top w:w="0" w:type="dxa"/>
            <w:bottom w:w="0" w:type="dxa"/>
          </w:tblCellMar>
        </w:tblPrEx>
        <w:trPr>
          <w:cantSplit/>
          <w:tblHeader/>
        </w:trPr>
        <w:tc>
          <w:tcPr>
            <w:tcW w:w="2410" w:type="dxa"/>
            <w:vMerge w:val="restart"/>
          </w:tcPr>
          <w:p w:rsidR="00000000" w:rsidRDefault="00000000">
            <w:pPr>
              <w:pStyle w:val="SingleTxt"/>
              <w:ind w:left="0" w:right="0"/>
              <w:rPr>
                <w:b/>
                <w:bCs/>
                <w:rtl/>
              </w:rPr>
            </w:pPr>
            <w:r>
              <w:rPr>
                <w:b/>
                <w:bCs/>
                <w:rtl/>
              </w:rPr>
              <w:t>الحرفة/الورشة</w:t>
            </w:r>
          </w:p>
        </w:tc>
        <w:tc>
          <w:tcPr>
            <w:tcW w:w="5245" w:type="dxa"/>
            <w:gridSpan w:val="3"/>
          </w:tcPr>
          <w:p w:rsidR="00000000" w:rsidRDefault="00000000">
            <w:pPr>
              <w:pStyle w:val="SingleTxt"/>
              <w:ind w:left="0" w:right="0"/>
              <w:jc w:val="center"/>
              <w:rPr>
                <w:b/>
                <w:bCs/>
                <w:rtl/>
              </w:rPr>
            </w:pPr>
            <w:r>
              <w:rPr>
                <w:b/>
                <w:bCs/>
                <w:rtl/>
              </w:rPr>
              <w:t>مستوى التقدم</w:t>
            </w:r>
          </w:p>
        </w:tc>
      </w:tr>
      <w:tr w:rsidR="00000000">
        <w:tblPrEx>
          <w:tblCellMar>
            <w:top w:w="0" w:type="dxa"/>
            <w:bottom w:w="0" w:type="dxa"/>
          </w:tblCellMar>
        </w:tblPrEx>
        <w:trPr>
          <w:cantSplit/>
          <w:tblHeader/>
        </w:trPr>
        <w:tc>
          <w:tcPr>
            <w:tcW w:w="2410" w:type="dxa"/>
            <w:vMerge/>
          </w:tcPr>
          <w:p w:rsidR="00000000" w:rsidRDefault="00000000">
            <w:pPr>
              <w:pStyle w:val="SingleTxt"/>
              <w:ind w:left="0" w:right="0"/>
              <w:rPr>
                <w:b/>
                <w:bCs/>
                <w:rtl/>
              </w:rPr>
            </w:pPr>
          </w:p>
        </w:tc>
        <w:tc>
          <w:tcPr>
            <w:tcW w:w="1453" w:type="dxa"/>
          </w:tcPr>
          <w:p w:rsidR="00000000" w:rsidRDefault="00000000">
            <w:pPr>
              <w:pStyle w:val="SingleTxt"/>
              <w:ind w:left="0" w:right="0"/>
              <w:jc w:val="center"/>
              <w:rPr>
                <w:b/>
                <w:bCs/>
                <w:rtl/>
              </w:rPr>
            </w:pPr>
            <w:r>
              <w:rPr>
                <w:b/>
                <w:bCs/>
                <w:rtl/>
              </w:rPr>
              <w:t>المجموع</w:t>
            </w:r>
          </w:p>
        </w:tc>
        <w:tc>
          <w:tcPr>
            <w:tcW w:w="1665" w:type="dxa"/>
          </w:tcPr>
          <w:p w:rsidR="00000000" w:rsidRDefault="00000000">
            <w:pPr>
              <w:pStyle w:val="SingleTxt"/>
              <w:ind w:left="0" w:right="0"/>
              <w:jc w:val="center"/>
              <w:rPr>
                <w:b/>
                <w:bCs/>
                <w:rtl/>
              </w:rPr>
            </w:pPr>
            <w:r>
              <w:rPr>
                <w:b/>
                <w:bCs/>
                <w:rtl/>
              </w:rPr>
              <w:t>الإناث</w:t>
            </w:r>
          </w:p>
        </w:tc>
        <w:tc>
          <w:tcPr>
            <w:tcW w:w="2127" w:type="dxa"/>
          </w:tcPr>
          <w:p w:rsidR="00000000" w:rsidRDefault="00000000">
            <w:pPr>
              <w:pStyle w:val="SingleTxt"/>
              <w:ind w:left="0" w:right="0"/>
              <w:jc w:val="center"/>
              <w:rPr>
                <w:b/>
                <w:bCs/>
                <w:rtl/>
              </w:rPr>
            </w:pPr>
            <w:r>
              <w:rPr>
                <w:b/>
                <w:bCs/>
                <w:rtl/>
              </w:rPr>
              <w:t>النسبة المئوية للإناث</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ورشة الآلات</w:t>
            </w:r>
          </w:p>
        </w:tc>
        <w:tc>
          <w:tcPr>
            <w:tcW w:w="1453" w:type="dxa"/>
          </w:tcPr>
          <w:p w:rsidR="00000000" w:rsidRDefault="00000000">
            <w:pPr>
              <w:pStyle w:val="SingleTxt"/>
              <w:ind w:left="0" w:right="0"/>
              <w:rPr>
                <w:rtl/>
              </w:rPr>
            </w:pPr>
            <w:r>
              <w:rPr>
                <w:rtl/>
              </w:rPr>
              <w:t>64</w:t>
            </w:r>
          </w:p>
        </w:tc>
        <w:tc>
          <w:tcPr>
            <w:tcW w:w="1665" w:type="dxa"/>
          </w:tcPr>
          <w:p w:rsidR="00000000" w:rsidRDefault="00000000">
            <w:pPr>
              <w:pStyle w:val="SingleTxt"/>
              <w:ind w:left="0" w:right="0"/>
              <w:rPr>
                <w:rtl/>
              </w:rPr>
            </w:pPr>
            <w:r>
              <w:rPr>
                <w:rtl/>
              </w:rPr>
              <w:t>3</w:t>
            </w:r>
          </w:p>
        </w:tc>
        <w:tc>
          <w:tcPr>
            <w:tcW w:w="2127" w:type="dxa"/>
          </w:tcPr>
          <w:p w:rsidR="00000000" w:rsidRDefault="00000000">
            <w:pPr>
              <w:pStyle w:val="SingleTxt"/>
              <w:ind w:left="0" w:right="0"/>
              <w:rPr>
                <w:rtl/>
              </w:rPr>
            </w:pPr>
            <w:r>
              <w:rPr>
                <w:rtl/>
              </w:rPr>
              <w:t>4.6</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المحاسبة</w:t>
            </w:r>
          </w:p>
        </w:tc>
        <w:tc>
          <w:tcPr>
            <w:tcW w:w="1453" w:type="dxa"/>
          </w:tcPr>
          <w:p w:rsidR="00000000" w:rsidRDefault="00000000">
            <w:pPr>
              <w:pStyle w:val="SingleTxt"/>
              <w:ind w:left="0" w:right="0"/>
              <w:rPr>
                <w:rtl/>
              </w:rPr>
            </w:pPr>
            <w:r>
              <w:rPr>
                <w:rtl/>
              </w:rPr>
              <w:t>100</w:t>
            </w:r>
          </w:p>
        </w:tc>
        <w:tc>
          <w:tcPr>
            <w:tcW w:w="1665" w:type="dxa"/>
          </w:tcPr>
          <w:p w:rsidR="00000000" w:rsidRDefault="00000000">
            <w:pPr>
              <w:pStyle w:val="SingleTxt"/>
              <w:ind w:left="0" w:right="0"/>
              <w:rPr>
                <w:rtl/>
              </w:rPr>
            </w:pPr>
            <w:r>
              <w:rPr>
                <w:rtl/>
              </w:rPr>
              <w:t>35</w:t>
            </w:r>
          </w:p>
        </w:tc>
        <w:tc>
          <w:tcPr>
            <w:tcW w:w="2127" w:type="dxa"/>
          </w:tcPr>
          <w:p w:rsidR="00000000" w:rsidRDefault="00000000">
            <w:pPr>
              <w:pStyle w:val="SingleTxt"/>
              <w:ind w:left="0" w:right="0"/>
              <w:rPr>
                <w:rtl/>
              </w:rPr>
            </w:pPr>
            <w:r>
              <w:rPr>
                <w:rtl/>
              </w:rPr>
              <w:t>35</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الصيرفة والمالية</w:t>
            </w:r>
          </w:p>
        </w:tc>
        <w:tc>
          <w:tcPr>
            <w:tcW w:w="1453" w:type="dxa"/>
          </w:tcPr>
          <w:p w:rsidR="00000000" w:rsidRDefault="00000000">
            <w:pPr>
              <w:pStyle w:val="SingleTxt"/>
              <w:ind w:left="0" w:right="0"/>
              <w:rPr>
                <w:rtl/>
              </w:rPr>
            </w:pPr>
            <w:r>
              <w:rPr>
                <w:rtl/>
              </w:rPr>
              <w:t>61</w:t>
            </w:r>
          </w:p>
        </w:tc>
        <w:tc>
          <w:tcPr>
            <w:tcW w:w="1665" w:type="dxa"/>
          </w:tcPr>
          <w:p w:rsidR="00000000" w:rsidRDefault="00000000">
            <w:pPr>
              <w:pStyle w:val="SingleTxt"/>
              <w:ind w:left="0" w:right="0"/>
              <w:rPr>
                <w:rtl/>
              </w:rPr>
            </w:pPr>
            <w:r>
              <w:rPr>
                <w:rtl/>
              </w:rPr>
              <w:t>16</w:t>
            </w:r>
          </w:p>
        </w:tc>
        <w:tc>
          <w:tcPr>
            <w:tcW w:w="2127" w:type="dxa"/>
          </w:tcPr>
          <w:p w:rsidR="00000000" w:rsidRDefault="00000000">
            <w:pPr>
              <w:pStyle w:val="SingleTxt"/>
              <w:ind w:left="0" w:right="0"/>
              <w:rPr>
                <w:rtl/>
              </w:rPr>
            </w:pPr>
            <w:r>
              <w:rPr>
                <w:rtl/>
              </w:rPr>
              <w:t>26</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الإدارة</w:t>
            </w:r>
          </w:p>
        </w:tc>
        <w:tc>
          <w:tcPr>
            <w:tcW w:w="1453" w:type="dxa"/>
          </w:tcPr>
          <w:p w:rsidR="00000000" w:rsidRDefault="00000000">
            <w:pPr>
              <w:pStyle w:val="SingleTxt"/>
              <w:ind w:left="0" w:right="0"/>
              <w:rPr>
                <w:rtl/>
              </w:rPr>
            </w:pPr>
            <w:r>
              <w:rPr>
                <w:rtl/>
              </w:rPr>
              <w:t>65</w:t>
            </w:r>
          </w:p>
        </w:tc>
        <w:tc>
          <w:tcPr>
            <w:tcW w:w="1665" w:type="dxa"/>
          </w:tcPr>
          <w:p w:rsidR="00000000" w:rsidRDefault="00000000">
            <w:pPr>
              <w:pStyle w:val="SingleTxt"/>
              <w:ind w:left="0" w:right="0"/>
              <w:rPr>
                <w:rtl/>
              </w:rPr>
            </w:pPr>
            <w:r>
              <w:rPr>
                <w:rtl/>
              </w:rPr>
              <w:t>13</w:t>
            </w:r>
          </w:p>
        </w:tc>
        <w:tc>
          <w:tcPr>
            <w:tcW w:w="2127" w:type="dxa"/>
          </w:tcPr>
          <w:p w:rsidR="00000000" w:rsidRDefault="00000000">
            <w:pPr>
              <w:pStyle w:val="SingleTxt"/>
              <w:ind w:left="0" w:right="0"/>
              <w:rPr>
                <w:rtl/>
              </w:rPr>
            </w:pPr>
            <w:r>
              <w:rPr>
                <w:rtl/>
              </w:rPr>
              <w:t>20</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علوم السكرتارية</w:t>
            </w:r>
          </w:p>
        </w:tc>
        <w:tc>
          <w:tcPr>
            <w:tcW w:w="1453" w:type="dxa"/>
          </w:tcPr>
          <w:p w:rsidR="00000000" w:rsidRDefault="00000000">
            <w:pPr>
              <w:pStyle w:val="SingleTxt"/>
              <w:ind w:left="0" w:right="0"/>
              <w:rPr>
                <w:rtl/>
              </w:rPr>
            </w:pPr>
            <w:r>
              <w:rPr>
                <w:rtl/>
              </w:rPr>
              <w:t>69</w:t>
            </w:r>
          </w:p>
        </w:tc>
        <w:tc>
          <w:tcPr>
            <w:tcW w:w="1665" w:type="dxa"/>
          </w:tcPr>
          <w:p w:rsidR="00000000" w:rsidRDefault="00000000">
            <w:pPr>
              <w:pStyle w:val="SingleTxt"/>
              <w:ind w:left="0" w:right="0"/>
              <w:rPr>
                <w:rtl/>
              </w:rPr>
            </w:pPr>
            <w:r>
              <w:rPr>
                <w:rtl/>
              </w:rPr>
              <w:t>43</w:t>
            </w:r>
          </w:p>
        </w:tc>
        <w:tc>
          <w:tcPr>
            <w:tcW w:w="2127" w:type="dxa"/>
          </w:tcPr>
          <w:p w:rsidR="00000000" w:rsidRDefault="00000000">
            <w:pPr>
              <w:pStyle w:val="SingleTxt"/>
              <w:ind w:left="0" w:right="0"/>
              <w:rPr>
                <w:rtl/>
              </w:rPr>
            </w:pPr>
            <w:r>
              <w:rPr>
                <w:rtl/>
              </w:rPr>
              <w:t>62</w:t>
            </w:r>
            <w:r>
              <w:rPr>
                <w:rFonts w:cs="Akhbar MT"/>
                <w:rtl/>
              </w:rPr>
              <w:t>%</w:t>
            </w:r>
          </w:p>
        </w:tc>
      </w:tr>
      <w:tr w:rsidR="00000000">
        <w:tblPrEx>
          <w:tblCellMar>
            <w:top w:w="0" w:type="dxa"/>
            <w:bottom w:w="0" w:type="dxa"/>
          </w:tblCellMar>
        </w:tblPrEx>
        <w:trPr>
          <w:cantSplit/>
        </w:trPr>
        <w:tc>
          <w:tcPr>
            <w:tcW w:w="2410" w:type="dxa"/>
          </w:tcPr>
          <w:p w:rsidR="00000000" w:rsidRDefault="00000000">
            <w:pPr>
              <w:pStyle w:val="SingleTxt"/>
              <w:ind w:left="0" w:right="0"/>
              <w:rPr>
                <w:rtl/>
              </w:rPr>
            </w:pPr>
          </w:p>
        </w:tc>
        <w:tc>
          <w:tcPr>
            <w:tcW w:w="5245" w:type="dxa"/>
            <w:gridSpan w:val="3"/>
          </w:tcPr>
          <w:p w:rsidR="00000000" w:rsidRDefault="00000000">
            <w:pPr>
              <w:pStyle w:val="SingleTxt"/>
              <w:ind w:left="0" w:right="0"/>
              <w:jc w:val="center"/>
              <w:rPr>
                <w:b/>
                <w:bCs/>
                <w:rtl/>
              </w:rPr>
            </w:pPr>
            <w:r>
              <w:rPr>
                <w:b/>
                <w:bCs/>
                <w:rtl/>
              </w:rPr>
              <w:t>المستوى الأساسي</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الزراعة العامة</w:t>
            </w:r>
          </w:p>
        </w:tc>
        <w:tc>
          <w:tcPr>
            <w:tcW w:w="1453" w:type="dxa"/>
          </w:tcPr>
          <w:p w:rsidR="00000000" w:rsidRDefault="00000000">
            <w:pPr>
              <w:pStyle w:val="SingleTxt"/>
              <w:ind w:left="0" w:right="0"/>
              <w:rPr>
                <w:rtl/>
              </w:rPr>
            </w:pPr>
            <w:r>
              <w:rPr>
                <w:rtl/>
              </w:rPr>
              <w:t>33</w:t>
            </w:r>
          </w:p>
        </w:tc>
        <w:tc>
          <w:tcPr>
            <w:tcW w:w="1665" w:type="dxa"/>
          </w:tcPr>
          <w:p w:rsidR="00000000" w:rsidRDefault="00000000">
            <w:pPr>
              <w:pStyle w:val="SingleTxt"/>
              <w:ind w:left="0" w:right="0"/>
              <w:rPr>
                <w:rtl/>
              </w:rPr>
            </w:pPr>
            <w:r>
              <w:rPr>
                <w:rtl/>
              </w:rPr>
              <w:t>3</w:t>
            </w:r>
          </w:p>
        </w:tc>
        <w:tc>
          <w:tcPr>
            <w:tcW w:w="2127" w:type="dxa"/>
          </w:tcPr>
          <w:p w:rsidR="00000000" w:rsidRDefault="00000000">
            <w:pPr>
              <w:pStyle w:val="SingleTxt"/>
              <w:ind w:left="0" w:right="0"/>
              <w:rPr>
                <w:rtl/>
              </w:rPr>
            </w:pPr>
            <w:r>
              <w:rPr>
                <w:rtl/>
              </w:rPr>
              <w:t>9</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 xml:space="preserve">الزراعة </w:t>
            </w:r>
            <w:r>
              <w:t>–</w:t>
            </w:r>
            <w:r>
              <w:rPr>
                <w:rtl/>
              </w:rPr>
              <w:t xml:space="preserve"> الآلات</w:t>
            </w:r>
          </w:p>
        </w:tc>
        <w:tc>
          <w:tcPr>
            <w:tcW w:w="1453" w:type="dxa"/>
          </w:tcPr>
          <w:p w:rsidR="00000000" w:rsidRDefault="00000000">
            <w:pPr>
              <w:pStyle w:val="SingleTxt"/>
              <w:ind w:left="0" w:right="0"/>
              <w:rPr>
                <w:rtl/>
              </w:rPr>
            </w:pPr>
            <w:r>
              <w:rPr>
                <w:rtl/>
              </w:rPr>
              <w:t>18</w:t>
            </w:r>
          </w:p>
        </w:tc>
        <w:tc>
          <w:tcPr>
            <w:tcW w:w="1665" w:type="dxa"/>
          </w:tcPr>
          <w:p w:rsidR="00000000" w:rsidRDefault="00000000">
            <w:pPr>
              <w:pStyle w:val="SingleTxt"/>
              <w:ind w:left="0" w:right="0"/>
              <w:rPr>
                <w:rtl/>
              </w:rPr>
            </w:pPr>
            <w:r>
              <w:rPr>
                <w:rtl/>
              </w:rPr>
              <w:t>0</w:t>
            </w:r>
          </w:p>
        </w:tc>
        <w:tc>
          <w:tcPr>
            <w:tcW w:w="2127" w:type="dxa"/>
          </w:tcPr>
          <w:p w:rsidR="00000000" w:rsidRDefault="00000000">
            <w:pPr>
              <w:pStyle w:val="SingleTxt"/>
              <w:ind w:left="0" w:right="0"/>
              <w:rPr>
                <w:rtl/>
              </w:rPr>
            </w:pPr>
            <w:r>
              <w:rPr>
                <w:rtl/>
              </w:rPr>
              <w:t>0</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علم الحيوان</w:t>
            </w:r>
          </w:p>
        </w:tc>
        <w:tc>
          <w:tcPr>
            <w:tcW w:w="1453" w:type="dxa"/>
          </w:tcPr>
          <w:p w:rsidR="00000000" w:rsidRDefault="00000000">
            <w:pPr>
              <w:pStyle w:val="SingleTxt"/>
              <w:ind w:left="0" w:right="0"/>
              <w:rPr>
                <w:rtl/>
              </w:rPr>
            </w:pPr>
            <w:r>
              <w:rPr>
                <w:rtl/>
              </w:rPr>
              <w:t>17</w:t>
            </w:r>
          </w:p>
        </w:tc>
        <w:tc>
          <w:tcPr>
            <w:tcW w:w="1665" w:type="dxa"/>
          </w:tcPr>
          <w:p w:rsidR="00000000" w:rsidRDefault="00000000">
            <w:pPr>
              <w:pStyle w:val="SingleTxt"/>
              <w:ind w:left="0" w:right="0"/>
              <w:rPr>
                <w:rtl/>
              </w:rPr>
            </w:pPr>
            <w:r>
              <w:rPr>
                <w:rtl/>
              </w:rPr>
              <w:t>14</w:t>
            </w:r>
          </w:p>
        </w:tc>
        <w:tc>
          <w:tcPr>
            <w:tcW w:w="2127" w:type="dxa"/>
          </w:tcPr>
          <w:p w:rsidR="00000000" w:rsidRDefault="00000000">
            <w:pPr>
              <w:pStyle w:val="SingleTxt"/>
              <w:ind w:left="0" w:right="0"/>
              <w:rPr>
                <w:rtl/>
              </w:rPr>
            </w:pPr>
            <w:r>
              <w:rPr>
                <w:rtl/>
              </w:rPr>
              <w:t>82</w:t>
            </w:r>
            <w:r>
              <w:rPr>
                <w:rFonts w:cs="Akhbar MT"/>
                <w:rtl/>
              </w:rPr>
              <w:t>%</w:t>
            </w:r>
          </w:p>
        </w:tc>
      </w:tr>
      <w:tr w:rsidR="00000000">
        <w:tblPrEx>
          <w:tblCellMar>
            <w:top w:w="0" w:type="dxa"/>
            <w:bottom w:w="0" w:type="dxa"/>
          </w:tblCellMar>
        </w:tblPrEx>
        <w:tc>
          <w:tcPr>
            <w:tcW w:w="2410" w:type="dxa"/>
          </w:tcPr>
          <w:p w:rsidR="00000000" w:rsidRDefault="00000000">
            <w:pPr>
              <w:pStyle w:val="SingleTxt"/>
              <w:ind w:left="0" w:right="0"/>
              <w:rPr>
                <w:rtl/>
              </w:rPr>
            </w:pPr>
            <w:r>
              <w:rPr>
                <w:rtl/>
              </w:rPr>
              <w:t>علم النبات</w:t>
            </w:r>
          </w:p>
        </w:tc>
        <w:tc>
          <w:tcPr>
            <w:tcW w:w="1453" w:type="dxa"/>
          </w:tcPr>
          <w:p w:rsidR="00000000" w:rsidRDefault="00000000">
            <w:pPr>
              <w:pStyle w:val="SingleTxt"/>
              <w:ind w:left="0" w:right="0"/>
              <w:rPr>
                <w:rtl/>
              </w:rPr>
            </w:pPr>
            <w:r>
              <w:rPr>
                <w:rtl/>
              </w:rPr>
              <w:t>5</w:t>
            </w:r>
          </w:p>
        </w:tc>
        <w:tc>
          <w:tcPr>
            <w:tcW w:w="1665" w:type="dxa"/>
          </w:tcPr>
          <w:p w:rsidR="00000000" w:rsidRDefault="00000000">
            <w:pPr>
              <w:pStyle w:val="SingleTxt"/>
              <w:ind w:left="0" w:right="0"/>
              <w:rPr>
                <w:rtl/>
              </w:rPr>
            </w:pPr>
            <w:r>
              <w:rPr>
                <w:rtl/>
              </w:rPr>
              <w:t>0</w:t>
            </w:r>
          </w:p>
        </w:tc>
        <w:tc>
          <w:tcPr>
            <w:tcW w:w="2127" w:type="dxa"/>
          </w:tcPr>
          <w:p w:rsidR="00000000" w:rsidRDefault="00000000">
            <w:pPr>
              <w:pStyle w:val="SingleTxt"/>
              <w:ind w:left="0" w:right="0"/>
              <w:rPr>
                <w:rtl/>
              </w:rPr>
            </w:pPr>
            <w:r>
              <w:rPr>
                <w:rtl/>
              </w:rPr>
              <w:t>0</w:t>
            </w:r>
            <w:r>
              <w:rPr>
                <w:rFonts w:cs="Akhbar MT"/>
                <w:rtl/>
              </w:rPr>
              <w:t>%</w:t>
            </w:r>
          </w:p>
        </w:tc>
      </w:tr>
    </w:tbl>
    <w:p w:rsidR="00000000" w:rsidRDefault="00000000">
      <w:pPr>
        <w:pStyle w:val="SingleTxt"/>
        <w:ind w:left="1264" w:right="1264"/>
        <w:rPr>
          <w:szCs w:val="26"/>
          <w:rtl/>
        </w:rPr>
      </w:pPr>
      <w:r>
        <w:rPr>
          <w:i/>
          <w:iCs/>
          <w:szCs w:val="26"/>
          <w:rtl/>
        </w:rPr>
        <w:t>المصدر:</w:t>
      </w:r>
      <w:r>
        <w:rPr>
          <w:i/>
          <w:iCs/>
          <w:szCs w:val="26"/>
          <w:rtl/>
        </w:rPr>
        <w:tab/>
        <w:t>إحصاءات التعليم الأساسي 2000/2001.</w:t>
      </w:r>
    </w:p>
    <w:p w:rsidR="00000000" w:rsidRDefault="00000000">
      <w:pPr>
        <w:pStyle w:val="SingleTxt"/>
        <w:ind w:left="1264" w:right="1264"/>
        <w:rPr>
          <w:rtl/>
        </w:rPr>
      </w:pPr>
      <w:r>
        <w:rPr>
          <w:rtl/>
        </w:rPr>
        <w:tab/>
      </w:r>
      <w:r>
        <w:rPr>
          <w:rtl/>
        </w:rPr>
        <w:tab/>
        <w:t xml:space="preserve">وتعتزم الوزارة تحسين مشاركة الفتيات في هذا المجال وعملت على تطوير استراتيجية وطنية بشأن إصلاح التدريب التعليمي التقني والمهني، وهو يتطلب ما يلي: </w:t>
      </w:r>
      <w:r>
        <w:rPr>
          <w:rStyle w:val="FootnoteReference"/>
          <w:rtl/>
        </w:rPr>
        <w:footnoteReference w:customMarkFollows="1" w:id="17"/>
        <w:t>(16)</w:t>
      </w:r>
    </w:p>
    <w:p w:rsidR="00000000" w:rsidRDefault="00000000">
      <w:pPr>
        <w:pStyle w:val="SingleTxt"/>
        <w:ind w:left="1264" w:right="1264"/>
        <w:rPr>
          <w:rtl/>
        </w:rPr>
      </w:pPr>
      <w:r>
        <w:rPr>
          <w:rtl/>
        </w:rPr>
        <w:tab/>
        <w:t>•</w:t>
      </w:r>
      <w:r>
        <w:rPr>
          <w:rtl/>
        </w:rPr>
        <w:tab/>
        <w:t xml:space="preserve">زيادة التحاق المشتركات في برنامج التدريب التعليمي التقني والمهني بنسبة 30 في </w:t>
      </w:r>
      <w:r>
        <w:rPr>
          <w:rtl/>
        </w:rPr>
        <w:tab/>
      </w:r>
      <w:r>
        <w:rPr>
          <w:rtl/>
        </w:rPr>
        <w:tab/>
        <w:t>المائة بحلول السنة الدراسية 2006</w:t>
      </w:r>
    </w:p>
    <w:p w:rsidR="00000000" w:rsidRDefault="00000000">
      <w:pPr>
        <w:pStyle w:val="SingleTxt"/>
        <w:ind w:left="1264" w:right="1264"/>
        <w:rPr>
          <w:rtl/>
        </w:rPr>
      </w:pPr>
      <w:r>
        <w:rPr>
          <w:rtl/>
        </w:rPr>
        <w:tab/>
        <w:t>•</w:t>
      </w:r>
      <w:r>
        <w:rPr>
          <w:rtl/>
        </w:rPr>
        <w:tab/>
        <w:t>سيتم توحيد جميع المهارات النمطية للجنسين بحلول عام 2006</w:t>
      </w:r>
    </w:p>
    <w:p w:rsidR="00000000" w:rsidRDefault="00000000">
      <w:pPr>
        <w:pStyle w:val="SingleTxt"/>
        <w:ind w:left="1264" w:right="1264"/>
        <w:rPr>
          <w:rtl/>
        </w:rPr>
      </w:pPr>
      <w:r>
        <w:rPr>
          <w:rtl/>
        </w:rPr>
        <w:tab/>
        <w:t>•</w:t>
      </w:r>
      <w:r>
        <w:rPr>
          <w:rtl/>
        </w:rPr>
        <w:tab/>
        <w:t xml:space="preserve">سيتم توظيف اثنين من مسؤولي النصح والإرشاد الفني وحسب نوع الجنس بغرض </w:t>
      </w:r>
      <w:r>
        <w:rPr>
          <w:rtl/>
        </w:rPr>
        <w:tab/>
      </w:r>
      <w:r>
        <w:rPr>
          <w:rtl/>
        </w:rPr>
        <w:tab/>
        <w:t>توجيه المدارس والمجتمعات المحلية نحو أكبر مشاركة للإناث والأقليات.</w:t>
      </w:r>
    </w:p>
    <w:p w:rsidR="00000000" w:rsidRDefault="00000000">
      <w:pPr>
        <w:pStyle w:val="SingleTxt"/>
        <w:ind w:left="1264" w:right="1264"/>
        <w:rPr>
          <w:rtl/>
        </w:rPr>
      </w:pPr>
      <w:r>
        <w:rPr>
          <w:rtl/>
        </w:rPr>
        <w:tab/>
        <w:t>•</w:t>
      </w:r>
      <w:r>
        <w:rPr>
          <w:rtl/>
        </w:rPr>
        <w:tab/>
        <w:t>سوف تفتح جميع دورات التدريب أمام المرأة</w:t>
      </w:r>
    </w:p>
    <w:p w:rsidR="00000000" w:rsidRDefault="00000000">
      <w:pPr>
        <w:pStyle w:val="SingleTxt"/>
        <w:ind w:left="1264" w:right="1264"/>
        <w:rPr>
          <w:b/>
          <w:bCs/>
          <w:i/>
          <w:iCs/>
          <w:rtl/>
        </w:rPr>
      </w:pPr>
      <w:r>
        <w:rPr>
          <w:b/>
          <w:bCs/>
          <w:i/>
          <w:iCs/>
          <w:rtl/>
        </w:rPr>
        <w:t>معدلات التسرب من المدارس والإعادة</w:t>
      </w:r>
    </w:p>
    <w:p w:rsidR="00000000" w:rsidRDefault="00000000">
      <w:pPr>
        <w:pStyle w:val="SingleTxt"/>
        <w:ind w:left="1264" w:right="1264"/>
        <w:rPr>
          <w:rtl/>
        </w:rPr>
      </w:pPr>
      <w:r>
        <w:rPr>
          <w:rtl/>
        </w:rPr>
        <w:tab/>
      </w:r>
      <w:r>
        <w:rPr>
          <w:rtl/>
        </w:rPr>
        <w:tab/>
        <w:t>تتميز درجة إنجاز البنات في المرحلة الابتدائية بأنها أعلى من درجة إنجاز البنين. غير أنه كلما ارتفع مستوى المدرسة التي يلتحقن بها قل الإنجاز وارتفعت حالة الانسحاب. وكانت هذه مسألة خطيرة في خطة وزارة التعليم وتوجد خطة جارية لإجراء بحث لتحديد أسباب انخفاض معدلات الإنجاز لدى البنات وارتفاع معدلات الرسوب لديهن عن البنين عندما يصلن إلى المستويات الأعلى.</w:t>
      </w:r>
    </w:p>
    <w:p w:rsidR="00000000" w:rsidRDefault="00000000">
      <w:pPr>
        <w:pStyle w:val="SingleTxt"/>
        <w:ind w:left="1264" w:right="1264"/>
        <w:rPr>
          <w:rtl/>
        </w:rPr>
      </w:pPr>
      <w:r>
        <w:rPr>
          <w:rtl/>
        </w:rPr>
        <w:tab/>
      </w:r>
      <w:r>
        <w:rPr>
          <w:rtl/>
        </w:rPr>
        <w:tab/>
        <w:t>ووفقاً لسياسة وزارة التعليم فإن أي طالب يفشل مرتين في فصل دراسي واحد فإنه/أنها لا يسمح له بالاستمرار. ومن ثَم فإن قائمة المتسربين تشمل الطلبة ليس فقط الذين يتركون المدرسة لأسباب شخصية ولكن أيضا المعيدين الذين يفشلون في الإنجاز على أي مستوى. ولا تتوفر بيانات شاملة في وزارة التعليم توضح عدد الفتيات الحوامل على مستوى المدارس العليا وحالتهن.</w:t>
      </w:r>
    </w:p>
    <w:p w:rsidR="00000000" w:rsidRDefault="00000000">
      <w:pPr>
        <w:pStyle w:val="SingleTxt"/>
        <w:ind w:left="1264" w:right="1264"/>
        <w:rPr>
          <w:rtl/>
        </w:rPr>
      </w:pPr>
      <w:r>
        <w:rPr>
          <w:rtl/>
        </w:rPr>
        <w:tab/>
      </w:r>
      <w:r>
        <w:rPr>
          <w:rtl/>
        </w:rPr>
        <w:tab/>
        <w:t>ومع ذلك، على الرغم من عدم تدوين ذلك في قانون التعليم، فإن الفتيات يحصلن على حماية إدارية في حالة الحمل ولا يتم فصلهن ولهن الحق في الحضور واستئناف دراستهن أيا كانت. غير أنه من الناحية العملية، ما أن يقدم الفتيات على الزواج المبكر أو الحمل غير المرعوب فيه في سن المراهقة يرفضن مواصلة التعليم.</w:t>
      </w:r>
    </w:p>
    <w:p w:rsidR="00000000" w:rsidRDefault="00000000">
      <w:pPr>
        <w:pStyle w:val="SingleTxt"/>
        <w:ind w:left="1264" w:right="1264"/>
        <w:rPr>
          <w:b/>
          <w:bCs/>
          <w:rtl/>
        </w:rPr>
      </w:pPr>
      <w:r>
        <w:rPr>
          <w:b/>
          <w:bCs/>
          <w:rtl/>
        </w:rPr>
        <w:t>الجدول 6: المعيدون حسب المرحلة ونوع الجنس</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276"/>
        <w:gridCol w:w="1184"/>
        <w:gridCol w:w="1225"/>
        <w:gridCol w:w="1134"/>
      </w:tblGrid>
      <w:tr w:rsidR="00000000">
        <w:tblPrEx>
          <w:tblCellMar>
            <w:top w:w="0" w:type="dxa"/>
            <w:bottom w:w="0" w:type="dxa"/>
          </w:tblCellMar>
        </w:tblPrEx>
        <w:trPr>
          <w:cantSplit/>
        </w:trPr>
        <w:tc>
          <w:tcPr>
            <w:tcW w:w="2410" w:type="dxa"/>
            <w:vMerge w:val="restart"/>
          </w:tcPr>
          <w:p w:rsidR="00000000" w:rsidRDefault="00000000">
            <w:pPr>
              <w:pStyle w:val="SingleTxt"/>
              <w:ind w:left="0" w:right="0"/>
              <w:jc w:val="center"/>
              <w:rPr>
                <w:b/>
                <w:bCs/>
                <w:szCs w:val="26"/>
                <w:rtl/>
              </w:rPr>
            </w:pPr>
            <w:r>
              <w:rPr>
                <w:b/>
                <w:bCs/>
                <w:szCs w:val="26"/>
                <w:rtl/>
              </w:rPr>
              <w:t>المراحل</w:t>
            </w:r>
          </w:p>
        </w:tc>
        <w:tc>
          <w:tcPr>
            <w:tcW w:w="2460" w:type="dxa"/>
            <w:gridSpan w:val="2"/>
          </w:tcPr>
          <w:p w:rsidR="00000000" w:rsidRDefault="00000000">
            <w:pPr>
              <w:pStyle w:val="SingleTxt"/>
              <w:ind w:left="0" w:right="0"/>
              <w:jc w:val="center"/>
              <w:rPr>
                <w:b/>
                <w:bCs/>
                <w:szCs w:val="26"/>
                <w:rtl/>
              </w:rPr>
            </w:pPr>
            <w:r>
              <w:rPr>
                <w:b/>
                <w:bCs/>
                <w:szCs w:val="26"/>
                <w:rtl/>
              </w:rPr>
              <w:t>1998/1999</w:t>
            </w:r>
          </w:p>
        </w:tc>
        <w:tc>
          <w:tcPr>
            <w:tcW w:w="2359" w:type="dxa"/>
            <w:gridSpan w:val="2"/>
          </w:tcPr>
          <w:p w:rsidR="00000000" w:rsidRDefault="00000000">
            <w:pPr>
              <w:pStyle w:val="SingleTxt"/>
              <w:ind w:left="0" w:right="0"/>
              <w:jc w:val="center"/>
              <w:rPr>
                <w:b/>
                <w:bCs/>
                <w:szCs w:val="26"/>
                <w:rtl/>
              </w:rPr>
            </w:pPr>
            <w:r>
              <w:rPr>
                <w:b/>
                <w:bCs/>
                <w:szCs w:val="26"/>
                <w:rtl/>
              </w:rPr>
              <w:t>1999/2000</w:t>
            </w:r>
          </w:p>
        </w:tc>
      </w:tr>
      <w:tr w:rsidR="00000000">
        <w:tblPrEx>
          <w:tblCellMar>
            <w:top w:w="0" w:type="dxa"/>
            <w:bottom w:w="0" w:type="dxa"/>
          </w:tblCellMar>
        </w:tblPrEx>
        <w:trPr>
          <w:cantSplit/>
        </w:trPr>
        <w:tc>
          <w:tcPr>
            <w:tcW w:w="2410" w:type="dxa"/>
            <w:vMerge/>
          </w:tcPr>
          <w:p w:rsidR="00000000" w:rsidRDefault="00000000">
            <w:pPr>
              <w:pStyle w:val="SingleTxt"/>
              <w:ind w:left="0" w:right="0"/>
              <w:jc w:val="center"/>
              <w:rPr>
                <w:b/>
                <w:bCs/>
                <w:szCs w:val="26"/>
                <w:rtl/>
              </w:rPr>
            </w:pPr>
          </w:p>
        </w:tc>
        <w:tc>
          <w:tcPr>
            <w:tcW w:w="1276" w:type="dxa"/>
          </w:tcPr>
          <w:p w:rsidR="00000000" w:rsidRDefault="00000000">
            <w:pPr>
              <w:pStyle w:val="SingleTxt"/>
              <w:ind w:left="0" w:right="0"/>
              <w:jc w:val="center"/>
              <w:rPr>
                <w:b/>
                <w:bCs/>
                <w:szCs w:val="26"/>
                <w:rtl/>
              </w:rPr>
            </w:pPr>
            <w:r>
              <w:rPr>
                <w:b/>
                <w:bCs/>
                <w:szCs w:val="26"/>
                <w:rtl/>
              </w:rPr>
              <w:t>النسبة المئوية للذكور</w:t>
            </w:r>
          </w:p>
        </w:tc>
        <w:tc>
          <w:tcPr>
            <w:tcW w:w="1184" w:type="dxa"/>
          </w:tcPr>
          <w:p w:rsidR="00000000" w:rsidRDefault="00000000">
            <w:pPr>
              <w:pStyle w:val="SingleTxt"/>
              <w:ind w:left="0" w:right="0"/>
              <w:jc w:val="center"/>
              <w:rPr>
                <w:b/>
                <w:bCs/>
                <w:szCs w:val="26"/>
                <w:rtl/>
              </w:rPr>
            </w:pPr>
            <w:r>
              <w:rPr>
                <w:b/>
                <w:bCs/>
                <w:szCs w:val="26"/>
                <w:rtl/>
              </w:rPr>
              <w:t>النسبة المئوية للإناث</w:t>
            </w:r>
          </w:p>
        </w:tc>
        <w:tc>
          <w:tcPr>
            <w:tcW w:w="1225" w:type="dxa"/>
          </w:tcPr>
          <w:p w:rsidR="00000000" w:rsidRDefault="00000000">
            <w:pPr>
              <w:pStyle w:val="SingleTxt"/>
              <w:ind w:left="0" w:right="0"/>
              <w:jc w:val="center"/>
              <w:rPr>
                <w:b/>
                <w:bCs/>
                <w:szCs w:val="26"/>
                <w:rtl/>
              </w:rPr>
            </w:pPr>
            <w:r>
              <w:rPr>
                <w:b/>
                <w:bCs/>
                <w:szCs w:val="26"/>
                <w:rtl/>
              </w:rPr>
              <w:t>النسبة المئوية للذكور</w:t>
            </w:r>
          </w:p>
        </w:tc>
        <w:tc>
          <w:tcPr>
            <w:tcW w:w="1134" w:type="dxa"/>
          </w:tcPr>
          <w:p w:rsidR="00000000" w:rsidRDefault="00000000">
            <w:pPr>
              <w:pStyle w:val="SingleTxt"/>
              <w:ind w:left="0" w:right="0"/>
              <w:jc w:val="center"/>
              <w:rPr>
                <w:b/>
                <w:bCs/>
                <w:szCs w:val="26"/>
                <w:rtl/>
              </w:rPr>
            </w:pPr>
            <w:r>
              <w:rPr>
                <w:b/>
                <w:bCs/>
                <w:szCs w:val="26"/>
                <w:rtl/>
              </w:rPr>
              <w:t>النسبة المئوية للإناث</w:t>
            </w:r>
          </w:p>
        </w:tc>
      </w:tr>
      <w:tr w:rsidR="00000000">
        <w:tblPrEx>
          <w:tblCellMar>
            <w:top w:w="0" w:type="dxa"/>
            <w:bottom w:w="0" w:type="dxa"/>
          </w:tblCellMar>
        </w:tblPrEx>
        <w:tc>
          <w:tcPr>
            <w:tcW w:w="2410" w:type="dxa"/>
          </w:tcPr>
          <w:p w:rsidR="00000000" w:rsidRDefault="00000000">
            <w:pPr>
              <w:pStyle w:val="SingleTxt"/>
              <w:ind w:left="0" w:right="0"/>
              <w:rPr>
                <w:szCs w:val="26"/>
                <w:rtl/>
              </w:rPr>
            </w:pPr>
            <w:r>
              <w:rPr>
                <w:szCs w:val="26"/>
                <w:rtl/>
              </w:rPr>
              <w:t>ابتدائي</w:t>
            </w:r>
          </w:p>
        </w:tc>
        <w:tc>
          <w:tcPr>
            <w:tcW w:w="1276" w:type="dxa"/>
          </w:tcPr>
          <w:p w:rsidR="00000000" w:rsidRDefault="00000000">
            <w:pPr>
              <w:pStyle w:val="SingleTxt"/>
              <w:ind w:left="0" w:right="0"/>
              <w:rPr>
                <w:szCs w:val="26"/>
                <w:rtl/>
              </w:rPr>
            </w:pPr>
            <w:r>
              <w:rPr>
                <w:szCs w:val="26"/>
                <w:rtl/>
              </w:rPr>
              <w:t>20.43</w:t>
            </w:r>
          </w:p>
        </w:tc>
        <w:tc>
          <w:tcPr>
            <w:tcW w:w="1184" w:type="dxa"/>
          </w:tcPr>
          <w:p w:rsidR="00000000" w:rsidRDefault="00000000">
            <w:pPr>
              <w:pStyle w:val="SingleTxt"/>
              <w:ind w:left="0" w:right="0"/>
              <w:rPr>
                <w:szCs w:val="26"/>
                <w:rtl/>
              </w:rPr>
            </w:pPr>
            <w:r>
              <w:rPr>
                <w:szCs w:val="26"/>
                <w:rtl/>
              </w:rPr>
              <w:t>22.32</w:t>
            </w:r>
          </w:p>
        </w:tc>
        <w:tc>
          <w:tcPr>
            <w:tcW w:w="1225" w:type="dxa"/>
          </w:tcPr>
          <w:p w:rsidR="00000000" w:rsidRDefault="00000000">
            <w:pPr>
              <w:pStyle w:val="SingleTxt"/>
              <w:ind w:left="0" w:right="0"/>
              <w:rPr>
                <w:szCs w:val="26"/>
                <w:rtl/>
              </w:rPr>
            </w:pPr>
            <w:r>
              <w:rPr>
                <w:szCs w:val="26"/>
                <w:rtl/>
              </w:rPr>
              <w:t>14.3</w:t>
            </w:r>
          </w:p>
        </w:tc>
        <w:tc>
          <w:tcPr>
            <w:tcW w:w="1134" w:type="dxa"/>
          </w:tcPr>
          <w:p w:rsidR="00000000" w:rsidRDefault="00000000">
            <w:pPr>
              <w:pStyle w:val="SingleTxt"/>
              <w:ind w:left="0" w:right="0"/>
              <w:rPr>
                <w:szCs w:val="26"/>
                <w:rtl/>
              </w:rPr>
            </w:pPr>
            <w:r>
              <w:rPr>
                <w:szCs w:val="26"/>
                <w:rtl/>
              </w:rPr>
              <w:t>15.2</w:t>
            </w:r>
          </w:p>
        </w:tc>
      </w:tr>
      <w:tr w:rsidR="00000000">
        <w:tblPrEx>
          <w:tblCellMar>
            <w:top w:w="0" w:type="dxa"/>
            <w:bottom w:w="0" w:type="dxa"/>
          </w:tblCellMar>
        </w:tblPrEx>
        <w:tc>
          <w:tcPr>
            <w:tcW w:w="2410" w:type="dxa"/>
          </w:tcPr>
          <w:p w:rsidR="00000000" w:rsidRDefault="00000000">
            <w:pPr>
              <w:pStyle w:val="SingleTxt"/>
              <w:ind w:left="0" w:right="0"/>
              <w:rPr>
                <w:szCs w:val="26"/>
                <w:rtl/>
              </w:rPr>
            </w:pPr>
            <w:r>
              <w:rPr>
                <w:szCs w:val="26"/>
                <w:rtl/>
              </w:rPr>
              <w:t>إعدادي</w:t>
            </w:r>
          </w:p>
        </w:tc>
        <w:tc>
          <w:tcPr>
            <w:tcW w:w="1276" w:type="dxa"/>
          </w:tcPr>
          <w:p w:rsidR="00000000" w:rsidRDefault="00000000">
            <w:pPr>
              <w:pStyle w:val="SingleTxt"/>
              <w:ind w:left="0" w:right="0"/>
              <w:rPr>
                <w:szCs w:val="26"/>
                <w:rtl/>
              </w:rPr>
            </w:pPr>
            <w:r>
              <w:rPr>
                <w:szCs w:val="26"/>
                <w:rtl/>
              </w:rPr>
              <w:t>16.29</w:t>
            </w:r>
          </w:p>
        </w:tc>
        <w:tc>
          <w:tcPr>
            <w:tcW w:w="1184" w:type="dxa"/>
          </w:tcPr>
          <w:p w:rsidR="00000000" w:rsidRDefault="00000000">
            <w:pPr>
              <w:pStyle w:val="SingleTxt"/>
              <w:ind w:left="0" w:right="0"/>
              <w:rPr>
                <w:szCs w:val="26"/>
                <w:rtl/>
              </w:rPr>
            </w:pPr>
            <w:r>
              <w:rPr>
                <w:szCs w:val="26"/>
                <w:rtl/>
              </w:rPr>
              <w:t>27.22</w:t>
            </w:r>
          </w:p>
        </w:tc>
        <w:tc>
          <w:tcPr>
            <w:tcW w:w="1225" w:type="dxa"/>
          </w:tcPr>
          <w:p w:rsidR="00000000" w:rsidRDefault="00000000">
            <w:pPr>
              <w:pStyle w:val="SingleTxt"/>
              <w:ind w:left="0" w:right="0"/>
              <w:rPr>
                <w:szCs w:val="26"/>
                <w:rtl/>
              </w:rPr>
            </w:pPr>
            <w:r>
              <w:rPr>
                <w:szCs w:val="26"/>
                <w:rtl/>
              </w:rPr>
              <w:t>16.9</w:t>
            </w:r>
          </w:p>
        </w:tc>
        <w:tc>
          <w:tcPr>
            <w:tcW w:w="1134" w:type="dxa"/>
          </w:tcPr>
          <w:p w:rsidR="00000000" w:rsidRDefault="00000000">
            <w:pPr>
              <w:pStyle w:val="SingleTxt"/>
              <w:ind w:left="0" w:right="0"/>
              <w:rPr>
                <w:szCs w:val="26"/>
                <w:rtl/>
              </w:rPr>
            </w:pPr>
            <w:r>
              <w:rPr>
                <w:szCs w:val="26"/>
                <w:rtl/>
              </w:rPr>
              <w:t>24.0</w:t>
            </w:r>
          </w:p>
        </w:tc>
      </w:tr>
      <w:tr w:rsidR="00000000">
        <w:tblPrEx>
          <w:tblCellMar>
            <w:top w:w="0" w:type="dxa"/>
            <w:bottom w:w="0" w:type="dxa"/>
          </w:tblCellMar>
        </w:tblPrEx>
        <w:tc>
          <w:tcPr>
            <w:tcW w:w="2410" w:type="dxa"/>
          </w:tcPr>
          <w:p w:rsidR="00000000" w:rsidRDefault="00000000">
            <w:pPr>
              <w:pStyle w:val="SingleTxt"/>
              <w:ind w:left="0" w:right="0"/>
              <w:rPr>
                <w:szCs w:val="26"/>
                <w:rtl/>
              </w:rPr>
            </w:pPr>
            <w:r>
              <w:rPr>
                <w:szCs w:val="26"/>
                <w:rtl/>
              </w:rPr>
              <w:t>ثانوي</w:t>
            </w:r>
          </w:p>
        </w:tc>
        <w:tc>
          <w:tcPr>
            <w:tcW w:w="1276" w:type="dxa"/>
          </w:tcPr>
          <w:p w:rsidR="00000000" w:rsidRDefault="00000000">
            <w:pPr>
              <w:pStyle w:val="SingleTxt"/>
              <w:ind w:left="0" w:right="0"/>
              <w:rPr>
                <w:szCs w:val="26"/>
                <w:rtl/>
              </w:rPr>
            </w:pPr>
            <w:r>
              <w:rPr>
                <w:szCs w:val="26"/>
                <w:rtl/>
              </w:rPr>
              <w:t>20.42</w:t>
            </w:r>
          </w:p>
        </w:tc>
        <w:tc>
          <w:tcPr>
            <w:tcW w:w="1184" w:type="dxa"/>
          </w:tcPr>
          <w:p w:rsidR="00000000" w:rsidRDefault="00000000">
            <w:pPr>
              <w:pStyle w:val="SingleTxt"/>
              <w:ind w:left="0" w:right="0"/>
              <w:rPr>
                <w:szCs w:val="26"/>
                <w:rtl/>
              </w:rPr>
            </w:pPr>
            <w:r>
              <w:rPr>
                <w:szCs w:val="26"/>
                <w:rtl/>
              </w:rPr>
              <w:t>36.55</w:t>
            </w:r>
          </w:p>
        </w:tc>
        <w:tc>
          <w:tcPr>
            <w:tcW w:w="1225" w:type="dxa"/>
          </w:tcPr>
          <w:p w:rsidR="00000000" w:rsidRDefault="00000000">
            <w:pPr>
              <w:pStyle w:val="SingleTxt"/>
              <w:ind w:left="0" w:right="0"/>
              <w:rPr>
                <w:szCs w:val="26"/>
                <w:rtl/>
              </w:rPr>
            </w:pPr>
            <w:r>
              <w:rPr>
                <w:szCs w:val="26"/>
                <w:rtl/>
              </w:rPr>
              <w:t>15.6</w:t>
            </w:r>
          </w:p>
        </w:tc>
        <w:tc>
          <w:tcPr>
            <w:tcW w:w="1134" w:type="dxa"/>
          </w:tcPr>
          <w:p w:rsidR="00000000" w:rsidRDefault="00000000">
            <w:pPr>
              <w:pStyle w:val="SingleTxt"/>
              <w:ind w:left="0" w:right="0"/>
              <w:rPr>
                <w:szCs w:val="26"/>
                <w:rtl/>
              </w:rPr>
            </w:pPr>
            <w:r>
              <w:rPr>
                <w:szCs w:val="26"/>
                <w:rtl/>
              </w:rPr>
              <w:t>23.8</w:t>
            </w:r>
          </w:p>
        </w:tc>
      </w:tr>
    </w:tbl>
    <w:p w:rsidR="00000000" w:rsidRDefault="00000000">
      <w:pPr>
        <w:pStyle w:val="SingleTxt"/>
        <w:ind w:left="1264" w:right="1264"/>
        <w:rPr>
          <w:szCs w:val="26"/>
          <w:rtl/>
        </w:rPr>
      </w:pPr>
      <w:r>
        <w:rPr>
          <w:i/>
          <w:iCs/>
          <w:szCs w:val="26"/>
          <w:rtl/>
        </w:rPr>
        <w:t>المصدر: إحصاءات التعليم الأساسي بوزارة التعليم.</w:t>
      </w:r>
    </w:p>
    <w:p w:rsidR="00000000" w:rsidRDefault="00000000">
      <w:pPr>
        <w:pStyle w:val="SingleTxt"/>
        <w:ind w:left="1264" w:right="1264"/>
        <w:rPr>
          <w:b/>
          <w:bCs/>
          <w:rtl/>
        </w:rPr>
      </w:pPr>
      <w:r>
        <w:rPr>
          <w:b/>
          <w:bCs/>
          <w:rtl/>
        </w:rPr>
        <w:t>الجدول 7: الانسحاب حسب المرحلة ونوع الجنس</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298"/>
        <w:gridCol w:w="1396"/>
        <w:gridCol w:w="1701"/>
        <w:gridCol w:w="1275"/>
      </w:tblGrid>
      <w:tr w:rsidR="00000000">
        <w:tblPrEx>
          <w:tblCellMar>
            <w:top w:w="0" w:type="dxa"/>
            <w:bottom w:w="0" w:type="dxa"/>
          </w:tblCellMar>
        </w:tblPrEx>
        <w:trPr>
          <w:cantSplit/>
        </w:trPr>
        <w:tc>
          <w:tcPr>
            <w:tcW w:w="1559" w:type="dxa"/>
            <w:vMerge w:val="restart"/>
          </w:tcPr>
          <w:p w:rsidR="00000000" w:rsidRDefault="00000000">
            <w:pPr>
              <w:pStyle w:val="SingleTxt"/>
              <w:ind w:left="0" w:right="0"/>
              <w:jc w:val="center"/>
              <w:rPr>
                <w:b/>
                <w:bCs/>
                <w:rtl/>
              </w:rPr>
            </w:pPr>
            <w:r>
              <w:rPr>
                <w:b/>
                <w:bCs/>
                <w:rtl/>
              </w:rPr>
              <w:t>المراحل</w:t>
            </w:r>
          </w:p>
        </w:tc>
        <w:tc>
          <w:tcPr>
            <w:tcW w:w="2694" w:type="dxa"/>
            <w:gridSpan w:val="2"/>
          </w:tcPr>
          <w:p w:rsidR="00000000" w:rsidRDefault="00000000">
            <w:pPr>
              <w:pStyle w:val="SingleTxt"/>
              <w:ind w:left="0" w:right="0"/>
              <w:jc w:val="center"/>
              <w:rPr>
                <w:b/>
                <w:bCs/>
                <w:rtl/>
              </w:rPr>
            </w:pPr>
            <w:r>
              <w:rPr>
                <w:b/>
                <w:bCs/>
                <w:rtl/>
              </w:rPr>
              <w:t>1998/1999</w:t>
            </w:r>
          </w:p>
        </w:tc>
        <w:tc>
          <w:tcPr>
            <w:tcW w:w="2976" w:type="dxa"/>
            <w:gridSpan w:val="2"/>
          </w:tcPr>
          <w:p w:rsidR="00000000" w:rsidRDefault="00000000">
            <w:pPr>
              <w:pStyle w:val="SingleTxt"/>
              <w:ind w:left="0" w:right="0"/>
              <w:jc w:val="center"/>
              <w:rPr>
                <w:b/>
                <w:bCs/>
                <w:rtl/>
              </w:rPr>
            </w:pPr>
            <w:r>
              <w:rPr>
                <w:b/>
                <w:bCs/>
                <w:rtl/>
              </w:rPr>
              <w:t>1999/2000</w:t>
            </w:r>
          </w:p>
        </w:tc>
      </w:tr>
      <w:tr w:rsidR="00000000">
        <w:tblPrEx>
          <w:tblCellMar>
            <w:top w:w="0" w:type="dxa"/>
            <w:bottom w:w="0" w:type="dxa"/>
          </w:tblCellMar>
        </w:tblPrEx>
        <w:trPr>
          <w:cantSplit/>
        </w:trPr>
        <w:tc>
          <w:tcPr>
            <w:tcW w:w="1559" w:type="dxa"/>
            <w:vMerge/>
          </w:tcPr>
          <w:p w:rsidR="00000000" w:rsidRDefault="00000000">
            <w:pPr>
              <w:pStyle w:val="SingleTxt"/>
              <w:ind w:left="0" w:right="0"/>
              <w:jc w:val="center"/>
              <w:rPr>
                <w:b/>
                <w:bCs/>
                <w:rtl/>
              </w:rPr>
            </w:pPr>
          </w:p>
        </w:tc>
        <w:tc>
          <w:tcPr>
            <w:tcW w:w="1298" w:type="dxa"/>
          </w:tcPr>
          <w:p w:rsidR="00000000" w:rsidRDefault="00000000">
            <w:pPr>
              <w:pStyle w:val="SingleTxt"/>
              <w:ind w:left="0" w:right="0"/>
              <w:jc w:val="center"/>
              <w:rPr>
                <w:b/>
                <w:bCs/>
                <w:rtl/>
              </w:rPr>
            </w:pPr>
            <w:r>
              <w:rPr>
                <w:b/>
                <w:bCs/>
                <w:rtl/>
              </w:rPr>
              <w:t>النسبة المئوية للذكور</w:t>
            </w:r>
          </w:p>
        </w:tc>
        <w:tc>
          <w:tcPr>
            <w:tcW w:w="1396" w:type="dxa"/>
          </w:tcPr>
          <w:p w:rsidR="00000000" w:rsidRDefault="00000000">
            <w:pPr>
              <w:pStyle w:val="SingleTxt"/>
              <w:ind w:left="0" w:right="0"/>
              <w:jc w:val="center"/>
              <w:rPr>
                <w:b/>
                <w:bCs/>
                <w:rtl/>
              </w:rPr>
            </w:pPr>
            <w:r>
              <w:rPr>
                <w:b/>
                <w:bCs/>
                <w:rtl/>
              </w:rPr>
              <w:t>النسبة المئوية للإناث</w:t>
            </w:r>
          </w:p>
        </w:tc>
        <w:tc>
          <w:tcPr>
            <w:tcW w:w="1701" w:type="dxa"/>
          </w:tcPr>
          <w:p w:rsidR="00000000" w:rsidRDefault="00000000">
            <w:pPr>
              <w:pStyle w:val="SingleTxt"/>
              <w:ind w:left="0" w:right="0"/>
              <w:jc w:val="center"/>
              <w:rPr>
                <w:b/>
                <w:bCs/>
                <w:rtl/>
              </w:rPr>
            </w:pPr>
            <w:r>
              <w:rPr>
                <w:b/>
                <w:bCs/>
                <w:rtl/>
              </w:rPr>
              <w:t>النسبة المئوية للذكور</w:t>
            </w:r>
          </w:p>
        </w:tc>
        <w:tc>
          <w:tcPr>
            <w:tcW w:w="1275" w:type="dxa"/>
          </w:tcPr>
          <w:p w:rsidR="00000000" w:rsidRDefault="00000000">
            <w:pPr>
              <w:pStyle w:val="SingleTxt"/>
              <w:ind w:left="0" w:right="0"/>
              <w:jc w:val="center"/>
              <w:rPr>
                <w:b/>
                <w:bCs/>
                <w:rtl/>
              </w:rPr>
            </w:pPr>
            <w:r>
              <w:rPr>
                <w:b/>
                <w:bCs/>
                <w:rtl/>
              </w:rPr>
              <w:t>النسبة المئوية للإناث</w:t>
            </w:r>
          </w:p>
        </w:tc>
      </w:tr>
      <w:tr w:rsidR="00000000">
        <w:tblPrEx>
          <w:tblCellMar>
            <w:top w:w="0" w:type="dxa"/>
            <w:bottom w:w="0" w:type="dxa"/>
          </w:tblCellMar>
        </w:tblPrEx>
        <w:tc>
          <w:tcPr>
            <w:tcW w:w="1559" w:type="dxa"/>
          </w:tcPr>
          <w:p w:rsidR="00000000" w:rsidRDefault="00000000">
            <w:pPr>
              <w:pStyle w:val="SingleTxt"/>
              <w:ind w:left="0" w:right="0"/>
              <w:rPr>
                <w:rtl/>
              </w:rPr>
            </w:pPr>
            <w:r>
              <w:rPr>
                <w:rtl/>
              </w:rPr>
              <w:t>الابتدائي</w:t>
            </w:r>
          </w:p>
        </w:tc>
        <w:tc>
          <w:tcPr>
            <w:tcW w:w="1298" w:type="dxa"/>
          </w:tcPr>
          <w:p w:rsidR="00000000" w:rsidRDefault="00000000">
            <w:pPr>
              <w:pStyle w:val="SingleTxt"/>
              <w:ind w:left="0" w:right="0"/>
              <w:rPr>
                <w:rtl/>
              </w:rPr>
            </w:pPr>
            <w:r>
              <w:rPr>
                <w:rtl/>
              </w:rPr>
              <w:t>9.93</w:t>
            </w:r>
          </w:p>
        </w:tc>
        <w:tc>
          <w:tcPr>
            <w:tcW w:w="1396" w:type="dxa"/>
          </w:tcPr>
          <w:p w:rsidR="00000000" w:rsidRDefault="00000000">
            <w:pPr>
              <w:pStyle w:val="SingleTxt"/>
              <w:ind w:left="0" w:right="0"/>
              <w:rPr>
                <w:rtl/>
              </w:rPr>
            </w:pPr>
            <w:r>
              <w:rPr>
                <w:rtl/>
              </w:rPr>
              <w:t>8.7</w:t>
            </w:r>
          </w:p>
        </w:tc>
        <w:tc>
          <w:tcPr>
            <w:tcW w:w="1701" w:type="dxa"/>
          </w:tcPr>
          <w:p w:rsidR="00000000" w:rsidRDefault="00000000">
            <w:pPr>
              <w:pStyle w:val="SingleTxt"/>
              <w:ind w:left="0" w:right="0"/>
              <w:rPr>
                <w:rtl/>
              </w:rPr>
            </w:pPr>
            <w:r>
              <w:rPr>
                <w:rtl/>
              </w:rPr>
              <w:t>13.3</w:t>
            </w:r>
          </w:p>
        </w:tc>
        <w:tc>
          <w:tcPr>
            <w:tcW w:w="1275" w:type="dxa"/>
          </w:tcPr>
          <w:p w:rsidR="00000000" w:rsidRDefault="00000000">
            <w:pPr>
              <w:pStyle w:val="SingleTxt"/>
              <w:ind w:left="0" w:right="0"/>
              <w:rPr>
                <w:rtl/>
              </w:rPr>
            </w:pPr>
            <w:r>
              <w:rPr>
                <w:rtl/>
              </w:rPr>
              <w:t>12.7</w:t>
            </w:r>
          </w:p>
        </w:tc>
      </w:tr>
      <w:tr w:rsidR="00000000">
        <w:tblPrEx>
          <w:tblCellMar>
            <w:top w:w="0" w:type="dxa"/>
            <w:bottom w:w="0" w:type="dxa"/>
          </w:tblCellMar>
        </w:tblPrEx>
        <w:tc>
          <w:tcPr>
            <w:tcW w:w="1559" w:type="dxa"/>
          </w:tcPr>
          <w:p w:rsidR="00000000" w:rsidRDefault="00000000">
            <w:pPr>
              <w:pStyle w:val="SingleTxt"/>
              <w:ind w:left="0" w:right="0"/>
              <w:rPr>
                <w:rtl/>
              </w:rPr>
            </w:pPr>
            <w:r>
              <w:rPr>
                <w:rtl/>
              </w:rPr>
              <w:t>الإعدادي</w:t>
            </w:r>
          </w:p>
        </w:tc>
        <w:tc>
          <w:tcPr>
            <w:tcW w:w="1298" w:type="dxa"/>
          </w:tcPr>
          <w:p w:rsidR="00000000" w:rsidRDefault="00000000">
            <w:pPr>
              <w:pStyle w:val="SingleTxt"/>
              <w:ind w:left="0" w:right="0"/>
              <w:rPr>
                <w:rtl/>
              </w:rPr>
            </w:pPr>
            <w:r>
              <w:rPr>
                <w:rtl/>
              </w:rPr>
              <w:t>9.51</w:t>
            </w:r>
          </w:p>
        </w:tc>
        <w:tc>
          <w:tcPr>
            <w:tcW w:w="1396" w:type="dxa"/>
          </w:tcPr>
          <w:p w:rsidR="00000000" w:rsidRDefault="00000000">
            <w:pPr>
              <w:pStyle w:val="SingleTxt"/>
              <w:ind w:left="0" w:right="0"/>
              <w:rPr>
                <w:rtl/>
              </w:rPr>
            </w:pPr>
            <w:r>
              <w:rPr>
                <w:rtl/>
              </w:rPr>
              <w:t>8.05</w:t>
            </w:r>
          </w:p>
        </w:tc>
        <w:tc>
          <w:tcPr>
            <w:tcW w:w="1701" w:type="dxa"/>
          </w:tcPr>
          <w:p w:rsidR="00000000" w:rsidRDefault="00000000">
            <w:pPr>
              <w:pStyle w:val="SingleTxt"/>
              <w:ind w:left="0" w:right="0"/>
              <w:rPr>
                <w:rtl/>
              </w:rPr>
            </w:pPr>
            <w:r>
              <w:rPr>
                <w:rtl/>
              </w:rPr>
              <w:t>20.8</w:t>
            </w:r>
          </w:p>
        </w:tc>
        <w:tc>
          <w:tcPr>
            <w:tcW w:w="1275" w:type="dxa"/>
          </w:tcPr>
          <w:p w:rsidR="00000000" w:rsidRDefault="00000000">
            <w:pPr>
              <w:pStyle w:val="SingleTxt"/>
              <w:ind w:left="0" w:right="0"/>
              <w:rPr>
                <w:rtl/>
              </w:rPr>
            </w:pPr>
            <w:r>
              <w:rPr>
                <w:rtl/>
              </w:rPr>
              <w:t>14.1</w:t>
            </w:r>
          </w:p>
        </w:tc>
      </w:tr>
      <w:tr w:rsidR="00000000">
        <w:tblPrEx>
          <w:tblCellMar>
            <w:top w:w="0" w:type="dxa"/>
            <w:bottom w:w="0" w:type="dxa"/>
          </w:tblCellMar>
        </w:tblPrEx>
        <w:tc>
          <w:tcPr>
            <w:tcW w:w="1559" w:type="dxa"/>
          </w:tcPr>
          <w:p w:rsidR="00000000" w:rsidRDefault="00000000">
            <w:pPr>
              <w:pStyle w:val="SingleTxt"/>
              <w:ind w:left="0" w:right="0"/>
              <w:rPr>
                <w:rtl/>
              </w:rPr>
            </w:pPr>
            <w:r>
              <w:rPr>
                <w:rtl/>
              </w:rPr>
              <w:t>الثانوي</w:t>
            </w:r>
          </w:p>
        </w:tc>
        <w:tc>
          <w:tcPr>
            <w:tcW w:w="1298" w:type="dxa"/>
          </w:tcPr>
          <w:p w:rsidR="00000000" w:rsidRDefault="00000000">
            <w:pPr>
              <w:pStyle w:val="SingleTxt"/>
              <w:ind w:left="0" w:right="0"/>
              <w:rPr>
                <w:rtl/>
              </w:rPr>
            </w:pPr>
            <w:r>
              <w:rPr>
                <w:rtl/>
              </w:rPr>
              <w:t>10.03</w:t>
            </w:r>
          </w:p>
        </w:tc>
        <w:tc>
          <w:tcPr>
            <w:tcW w:w="1396" w:type="dxa"/>
          </w:tcPr>
          <w:p w:rsidR="00000000" w:rsidRDefault="00000000">
            <w:pPr>
              <w:pStyle w:val="SingleTxt"/>
              <w:ind w:left="0" w:right="0"/>
              <w:rPr>
                <w:rtl/>
              </w:rPr>
            </w:pPr>
            <w:r>
              <w:rPr>
                <w:rtl/>
              </w:rPr>
              <w:t>7.39</w:t>
            </w:r>
          </w:p>
        </w:tc>
        <w:tc>
          <w:tcPr>
            <w:tcW w:w="1701" w:type="dxa"/>
          </w:tcPr>
          <w:p w:rsidR="00000000" w:rsidRDefault="00000000">
            <w:pPr>
              <w:pStyle w:val="SingleTxt"/>
              <w:ind w:left="0" w:right="0"/>
              <w:rPr>
                <w:rtl/>
              </w:rPr>
            </w:pPr>
            <w:r>
              <w:rPr>
                <w:rtl/>
              </w:rPr>
              <w:t>26.0</w:t>
            </w:r>
          </w:p>
        </w:tc>
        <w:tc>
          <w:tcPr>
            <w:tcW w:w="1275" w:type="dxa"/>
          </w:tcPr>
          <w:p w:rsidR="00000000" w:rsidRDefault="00000000">
            <w:pPr>
              <w:pStyle w:val="SingleTxt"/>
              <w:ind w:left="0" w:right="0"/>
              <w:rPr>
                <w:rtl/>
              </w:rPr>
            </w:pPr>
            <w:r>
              <w:rPr>
                <w:rtl/>
              </w:rPr>
              <w:t>12.5</w:t>
            </w:r>
          </w:p>
        </w:tc>
      </w:tr>
    </w:tbl>
    <w:p w:rsidR="00000000" w:rsidRDefault="00000000">
      <w:pPr>
        <w:pStyle w:val="SingleTxt"/>
        <w:ind w:left="1264" w:right="1264"/>
        <w:rPr>
          <w:i/>
          <w:iCs/>
          <w:rtl/>
        </w:rPr>
      </w:pPr>
      <w:r>
        <w:rPr>
          <w:i/>
          <w:iCs/>
          <w:szCs w:val="26"/>
          <w:rtl/>
        </w:rPr>
        <w:t>المصدر: إحصاءات التعليم الأساسي بوزارة التعليم</w:t>
      </w:r>
      <w:r>
        <w:rPr>
          <w:i/>
          <w:iCs/>
          <w:rtl/>
        </w:rPr>
        <w:t>.</w:t>
      </w:r>
    </w:p>
    <w:p w:rsidR="00000000" w:rsidRDefault="00000000">
      <w:pPr>
        <w:pStyle w:val="SingleTxt"/>
        <w:spacing w:line="360" w:lineRule="exact"/>
        <w:ind w:left="1264" w:right="1264"/>
        <w:rPr>
          <w:rtl/>
        </w:rPr>
      </w:pPr>
      <w:r>
        <w:rPr>
          <w:rtl/>
        </w:rPr>
        <w:tab/>
      </w:r>
      <w:r>
        <w:rPr>
          <w:rtl/>
        </w:rPr>
        <w:tab/>
        <w:t>وبصفة عامة، فإن العوامل داخل المدرسة وخارج المدرسة (الأشغال المنـزلية، والمسافة من البيت إلى المدرسة، وانعدام الدعم الأبوي، والزواج المبكر، والحمل، الخ) هي السبب في ارتفاع معدل الإعادة والانسحاب في جميع المراحل فيما بين الطالبات. ومن المدهش على الرغم من ذلك رؤية الانسحاب يمارس من جانب البنين أكثر من جانب البنات، ويزداد ارتفاعا في المرحلة الثانوية. وتخطط وزارة التعليم لإجراء بحث متعمق وتقييم لتحديد وعلاج الأسباب الجذرية وتوصي بخطة عمل استراتيجية للإقلال من مستوى المعيدين والمنسحبين وزيادة معدل الكفاءة الداخلية في المدارس.</w:t>
      </w:r>
    </w:p>
    <w:p w:rsidR="00000000" w:rsidRDefault="00000000">
      <w:pPr>
        <w:pStyle w:val="SingleTxt"/>
        <w:spacing w:line="360" w:lineRule="exact"/>
        <w:ind w:left="1264" w:right="1264"/>
        <w:rPr>
          <w:rtl/>
        </w:rPr>
      </w:pPr>
      <w:r>
        <w:rPr>
          <w:rtl/>
        </w:rPr>
        <w:tab/>
      </w:r>
      <w:r>
        <w:rPr>
          <w:rtl/>
        </w:rPr>
        <w:tab/>
        <w:t>ولزيادة مشاركة الآباء في برنامج المدرسة ومساعدتهم على أن يصبحوا جزءا من التنمية الشاملة للنظام المدرسي، يجري تشجيع المدارس على إنشاء لجنة للآباء والمدرسين وقد توقف أثر هذه اللجان على مستوى الالتزام الذي تبديه كل لجنة. ومن الناحية العملية، تحاول بعض اللجان معالجة المشاركة المتدنية للفتيات والبحث عن حلول محلية في حين أن البعض يركز على الدعم اللوجستي في المدارس.</w:t>
      </w:r>
    </w:p>
    <w:p w:rsidR="00000000" w:rsidRDefault="00000000">
      <w:pPr>
        <w:pStyle w:val="SingleTxt"/>
        <w:spacing w:line="360" w:lineRule="exact"/>
        <w:ind w:left="1264" w:right="1264"/>
        <w:rPr>
          <w:b/>
          <w:bCs/>
        </w:rPr>
      </w:pPr>
      <w:r>
        <w:rPr>
          <w:b/>
          <w:bCs/>
          <w:rtl/>
        </w:rPr>
        <w:t>المرأة في المناصب التعليمية</w:t>
      </w:r>
    </w:p>
    <w:p w:rsidR="00000000" w:rsidRDefault="00000000">
      <w:pPr>
        <w:pStyle w:val="SingleTxt"/>
        <w:spacing w:line="360" w:lineRule="exact"/>
        <w:ind w:left="1264" w:right="1264"/>
        <w:rPr>
          <w:rtl/>
        </w:rPr>
      </w:pPr>
      <w:r>
        <w:rPr>
          <w:b/>
          <w:bCs/>
          <w:rtl/>
        </w:rPr>
        <w:tab/>
      </w:r>
      <w:r>
        <w:rPr>
          <w:b/>
          <w:bCs/>
        </w:rPr>
        <w:tab/>
      </w:r>
      <w:r>
        <w:rPr>
          <w:rtl/>
        </w:rPr>
        <w:t xml:space="preserve">تمثل وزارة التعليم أحد القطاعات العامة التي يتضح فيها مشاركة النساء. وفي مهنة التعليم فإن مشاركة المرأة في المرحلة الابتدائية (35 </w:t>
      </w:r>
      <w:r>
        <w:t>–</w:t>
      </w:r>
      <w:r>
        <w:rPr>
          <w:rtl/>
        </w:rPr>
        <w:t xml:space="preserve"> 40 في المائة) أعلى بالمقارنة بمدارس المرحلة الإعدادية والثانوية التي تبلغ 11 و12 في المائة على التوالي. غير أن المدرسات نادراً ما يوجدن في المدارس التقنية (10 في المائة في أنحاء البلد) وبنسبة 5 في المائة فقط. ويوجد تغيير ملحوظ في معاهد المعلمين التي كانت تمثل 6 في المائة فقط في عام 98/1999 وتحسنت إلى أن تكون بنسبة 30 في المائة في عام 2000/2001. ويبدو أن المدرسات لهن الغلبة في مرحلة ما قبل المدرسة الابتدائية. انظر الجدول التالي:</w:t>
      </w:r>
    </w:p>
    <w:p w:rsidR="00000000" w:rsidRDefault="00000000">
      <w:pPr>
        <w:pStyle w:val="SingleTxt"/>
        <w:ind w:left="1264" w:right="1264"/>
        <w:rPr>
          <w:b/>
          <w:bCs/>
          <w:rtl/>
        </w:rPr>
      </w:pPr>
      <w:r>
        <w:rPr>
          <w:b/>
          <w:bCs/>
          <w:rtl/>
        </w:rPr>
        <w:t>الجدول 8: مدرسات المدارس</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1"/>
        <w:gridCol w:w="993"/>
        <w:gridCol w:w="708"/>
        <w:gridCol w:w="851"/>
        <w:gridCol w:w="1134"/>
        <w:gridCol w:w="709"/>
        <w:gridCol w:w="708"/>
        <w:gridCol w:w="1134"/>
        <w:gridCol w:w="851"/>
        <w:gridCol w:w="709"/>
      </w:tblGrid>
      <w:tr w:rsidR="00000000">
        <w:tblPrEx>
          <w:tblCellMar>
            <w:top w:w="0" w:type="dxa"/>
            <w:bottom w:w="0" w:type="dxa"/>
          </w:tblCellMar>
        </w:tblPrEx>
        <w:trPr>
          <w:cantSplit/>
        </w:trPr>
        <w:tc>
          <w:tcPr>
            <w:tcW w:w="2161" w:type="dxa"/>
            <w:vMerge w:val="restart"/>
          </w:tcPr>
          <w:p w:rsidR="00000000" w:rsidRDefault="00000000">
            <w:pPr>
              <w:pStyle w:val="SingleTxt"/>
              <w:spacing w:after="0"/>
              <w:ind w:left="-57" w:right="0"/>
              <w:jc w:val="center"/>
              <w:rPr>
                <w:b/>
                <w:bCs/>
                <w:szCs w:val="24"/>
                <w:rtl/>
              </w:rPr>
            </w:pPr>
            <w:r>
              <w:rPr>
                <w:b/>
                <w:bCs/>
                <w:szCs w:val="24"/>
                <w:rtl/>
              </w:rPr>
              <w:t>مستويات المدارس</w:t>
            </w:r>
          </w:p>
        </w:tc>
        <w:tc>
          <w:tcPr>
            <w:tcW w:w="2552" w:type="dxa"/>
            <w:gridSpan w:val="3"/>
          </w:tcPr>
          <w:p w:rsidR="00000000" w:rsidRDefault="00000000">
            <w:pPr>
              <w:pStyle w:val="SingleTxt"/>
              <w:spacing w:after="0"/>
              <w:ind w:left="-57" w:right="0"/>
              <w:jc w:val="center"/>
              <w:rPr>
                <w:b/>
                <w:bCs/>
                <w:szCs w:val="24"/>
                <w:rtl/>
              </w:rPr>
            </w:pPr>
            <w:r>
              <w:rPr>
                <w:b/>
                <w:bCs/>
                <w:szCs w:val="24"/>
                <w:rtl/>
              </w:rPr>
              <w:t>1998/1999</w:t>
            </w:r>
          </w:p>
        </w:tc>
        <w:tc>
          <w:tcPr>
            <w:tcW w:w="2551" w:type="dxa"/>
            <w:gridSpan w:val="3"/>
          </w:tcPr>
          <w:p w:rsidR="00000000" w:rsidRDefault="00000000">
            <w:pPr>
              <w:pStyle w:val="SingleTxt"/>
              <w:spacing w:after="0"/>
              <w:ind w:left="-57" w:right="0"/>
              <w:jc w:val="center"/>
              <w:rPr>
                <w:b/>
                <w:bCs/>
                <w:szCs w:val="24"/>
                <w:rtl/>
              </w:rPr>
            </w:pPr>
            <w:r>
              <w:rPr>
                <w:b/>
                <w:bCs/>
                <w:szCs w:val="24"/>
                <w:rtl/>
              </w:rPr>
              <w:t>1999/2000</w:t>
            </w:r>
          </w:p>
        </w:tc>
        <w:tc>
          <w:tcPr>
            <w:tcW w:w="2694" w:type="dxa"/>
            <w:gridSpan w:val="3"/>
          </w:tcPr>
          <w:p w:rsidR="00000000" w:rsidRDefault="00000000">
            <w:pPr>
              <w:pStyle w:val="SingleTxt"/>
              <w:spacing w:after="0"/>
              <w:ind w:left="-57" w:right="0"/>
              <w:jc w:val="center"/>
              <w:rPr>
                <w:b/>
                <w:bCs/>
                <w:szCs w:val="24"/>
                <w:rtl/>
              </w:rPr>
            </w:pPr>
            <w:r>
              <w:rPr>
                <w:b/>
                <w:bCs/>
                <w:szCs w:val="24"/>
                <w:rtl/>
              </w:rPr>
              <w:t>2000/2001</w:t>
            </w:r>
          </w:p>
        </w:tc>
      </w:tr>
      <w:tr w:rsidR="00000000">
        <w:tblPrEx>
          <w:tblCellMar>
            <w:top w:w="0" w:type="dxa"/>
            <w:bottom w:w="0" w:type="dxa"/>
          </w:tblCellMar>
        </w:tblPrEx>
        <w:trPr>
          <w:cantSplit/>
        </w:trPr>
        <w:tc>
          <w:tcPr>
            <w:tcW w:w="2161" w:type="dxa"/>
            <w:vMerge/>
          </w:tcPr>
          <w:p w:rsidR="00000000" w:rsidRDefault="00000000">
            <w:pPr>
              <w:pStyle w:val="SingleTxt"/>
              <w:spacing w:after="0"/>
              <w:ind w:left="-57" w:right="0"/>
              <w:rPr>
                <w:szCs w:val="24"/>
                <w:rtl/>
              </w:rPr>
            </w:pPr>
          </w:p>
        </w:tc>
        <w:tc>
          <w:tcPr>
            <w:tcW w:w="993" w:type="dxa"/>
          </w:tcPr>
          <w:p w:rsidR="00000000" w:rsidRDefault="00000000">
            <w:pPr>
              <w:pStyle w:val="SingleTxt"/>
              <w:spacing w:after="0"/>
              <w:ind w:left="-57" w:right="0"/>
              <w:rPr>
                <w:b/>
                <w:bCs/>
                <w:szCs w:val="24"/>
                <w:rtl/>
              </w:rPr>
            </w:pPr>
            <w:r>
              <w:rPr>
                <w:b/>
                <w:bCs/>
                <w:szCs w:val="24"/>
                <w:rtl/>
              </w:rPr>
              <w:t>النسبة المئوية</w:t>
            </w:r>
          </w:p>
          <w:p w:rsidR="00000000" w:rsidRDefault="00000000">
            <w:pPr>
              <w:pStyle w:val="SingleTxt"/>
              <w:spacing w:after="0"/>
              <w:ind w:left="-57" w:right="0"/>
              <w:jc w:val="center"/>
              <w:rPr>
                <w:b/>
                <w:bCs/>
                <w:szCs w:val="24"/>
                <w:rtl/>
              </w:rPr>
            </w:pPr>
            <w:r>
              <w:rPr>
                <w:b/>
                <w:bCs/>
                <w:szCs w:val="24"/>
                <w:rtl/>
              </w:rPr>
              <w:t>للإناث</w:t>
            </w:r>
          </w:p>
        </w:tc>
        <w:tc>
          <w:tcPr>
            <w:tcW w:w="708" w:type="dxa"/>
          </w:tcPr>
          <w:p w:rsidR="00000000" w:rsidRDefault="00000000">
            <w:pPr>
              <w:pStyle w:val="SingleTxt"/>
              <w:spacing w:after="0"/>
              <w:ind w:left="-57" w:right="0"/>
              <w:rPr>
                <w:b/>
                <w:bCs/>
                <w:szCs w:val="24"/>
                <w:rtl/>
              </w:rPr>
            </w:pPr>
            <w:r>
              <w:rPr>
                <w:b/>
                <w:bCs/>
                <w:szCs w:val="24"/>
                <w:rtl/>
              </w:rPr>
              <w:t>الإناث</w:t>
            </w:r>
          </w:p>
        </w:tc>
        <w:tc>
          <w:tcPr>
            <w:tcW w:w="851" w:type="dxa"/>
          </w:tcPr>
          <w:p w:rsidR="00000000" w:rsidRDefault="00000000">
            <w:pPr>
              <w:pStyle w:val="SingleTxt"/>
              <w:spacing w:after="0"/>
              <w:ind w:left="-57" w:right="0"/>
              <w:rPr>
                <w:b/>
                <w:bCs/>
                <w:szCs w:val="24"/>
                <w:rtl/>
              </w:rPr>
            </w:pPr>
            <w:r>
              <w:rPr>
                <w:b/>
                <w:bCs/>
                <w:szCs w:val="24"/>
                <w:rtl/>
              </w:rPr>
              <w:t>المجموع</w:t>
            </w:r>
          </w:p>
        </w:tc>
        <w:tc>
          <w:tcPr>
            <w:tcW w:w="1134" w:type="dxa"/>
          </w:tcPr>
          <w:p w:rsidR="00000000" w:rsidRDefault="00000000">
            <w:pPr>
              <w:pStyle w:val="SingleTxt"/>
              <w:spacing w:after="0"/>
              <w:ind w:left="-57" w:right="0"/>
              <w:rPr>
                <w:b/>
                <w:bCs/>
                <w:szCs w:val="24"/>
                <w:rtl/>
              </w:rPr>
            </w:pPr>
            <w:r>
              <w:rPr>
                <w:b/>
                <w:bCs/>
                <w:szCs w:val="24"/>
                <w:rtl/>
              </w:rPr>
              <w:t xml:space="preserve">النسبة المئوية </w:t>
            </w:r>
          </w:p>
          <w:p w:rsidR="00000000" w:rsidRDefault="00000000">
            <w:pPr>
              <w:pStyle w:val="SingleTxt"/>
              <w:spacing w:after="0"/>
              <w:ind w:left="-57" w:right="0"/>
              <w:jc w:val="center"/>
              <w:rPr>
                <w:b/>
                <w:bCs/>
                <w:szCs w:val="24"/>
                <w:rtl/>
              </w:rPr>
            </w:pPr>
            <w:r>
              <w:rPr>
                <w:b/>
                <w:bCs/>
                <w:szCs w:val="24"/>
                <w:rtl/>
              </w:rPr>
              <w:t>للإناث</w:t>
            </w:r>
          </w:p>
        </w:tc>
        <w:tc>
          <w:tcPr>
            <w:tcW w:w="709" w:type="dxa"/>
          </w:tcPr>
          <w:p w:rsidR="00000000" w:rsidRDefault="00000000">
            <w:pPr>
              <w:pStyle w:val="SingleTxt"/>
              <w:spacing w:after="0"/>
              <w:ind w:left="-57" w:right="0"/>
              <w:rPr>
                <w:b/>
                <w:bCs/>
                <w:szCs w:val="24"/>
                <w:rtl/>
              </w:rPr>
            </w:pPr>
            <w:r>
              <w:rPr>
                <w:b/>
                <w:bCs/>
                <w:szCs w:val="24"/>
                <w:rtl/>
              </w:rPr>
              <w:t>الإناث</w:t>
            </w:r>
          </w:p>
        </w:tc>
        <w:tc>
          <w:tcPr>
            <w:tcW w:w="708" w:type="dxa"/>
          </w:tcPr>
          <w:p w:rsidR="00000000" w:rsidRDefault="00000000">
            <w:pPr>
              <w:pStyle w:val="SingleTxt"/>
              <w:spacing w:after="0"/>
              <w:ind w:left="-57" w:right="0"/>
              <w:rPr>
                <w:b/>
                <w:bCs/>
                <w:szCs w:val="24"/>
                <w:rtl/>
              </w:rPr>
            </w:pPr>
            <w:r>
              <w:rPr>
                <w:b/>
                <w:bCs/>
                <w:szCs w:val="24"/>
                <w:rtl/>
              </w:rPr>
              <w:t>المجموع</w:t>
            </w:r>
          </w:p>
        </w:tc>
        <w:tc>
          <w:tcPr>
            <w:tcW w:w="1134" w:type="dxa"/>
          </w:tcPr>
          <w:p w:rsidR="00000000" w:rsidRDefault="00000000">
            <w:pPr>
              <w:pStyle w:val="SingleTxt"/>
              <w:spacing w:after="0"/>
              <w:ind w:left="-57" w:right="0"/>
              <w:jc w:val="center"/>
              <w:rPr>
                <w:b/>
                <w:bCs/>
                <w:szCs w:val="24"/>
                <w:rtl/>
              </w:rPr>
            </w:pPr>
            <w:r>
              <w:rPr>
                <w:b/>
                <w:bCs/>
                <w:szCs w:val="24"/>
                <w:rtl/>
              </w:rPr>
              <w:t>النسبة المئوية</w:t>
            </w:r>
          </w:p>
          <w:p w:rsidR="00000000" w:rsidRDefault="00000000">
            <w:pPr>
              <w:pStyle w:val="SingleTxt"/>
              <w:spacing w:after="0"/>
              <w:ind w:left="-57" w:right="0"/>
              <w:jc w:val="center"/>
              <w:rPr>
                <w:b/>
                <w:bCs/>
                <w:szCs w:val="24"/>
                <w:rtl/>
              </w:rPr>
            </w:pPr>
            <w:r>
              <w:rPr>
                <w:b/>
                <w:bCs/>
                <w:szCs w:val="24"/>
                <w:rtl/>
              </w:rPr>
              <w:t>للإناث</w:t>
            </w:r>
          </w:p>
        </w:tc>
        <w:tc>
          <w:tcPr>
            <w:tcW w:w="851" w:type="dxa"/>
          </w:tcPr>
          <w:p w:rsidR="00000000" w:rsidRDefault="00000000">
            <w:pPr>
              <w:pStyle w:val="SingleTxt"/>
              <w:spacing w:after="0"/>
              <w:ind w:left="-57" w:right="0"/>
              <w:rPr>
                <w:b/>
                <w:bCs/>
                <w:szCs w:val="24"/>
                <w:rtl/>
              </w:rPr>
            </w:pPr>
            <w:r>
              <w:rPr>
                <w:b/>
                <w:bCs/>
                <w:szCs w:val="24"/>
                <w:rtl/>
              </w:rPr>
              <w:t>الإناث</w:t>
            </w:r>
          </w:p>
        </w:tc>
        <w:tc>
          <w:tcPr>
            <w:tcW w:w="709" w:type="dxa"/>
          </w:tcPr>
          <w:p w:rsidR="00000000" w:rsidRDefault="00000000">
            <w:pPr>
              <w:pStyle w:val="SingleTxt"/>
              <w:spacing w:after="0"/>
              <w:ind w:left="-57" w:right="0"/>
              <w:rPr>
                <w:b/>
                <w:bCs/>
                <w:szCs w:val="24"/>
                <w:rtl/>
              </w:rPr>
            </w:pPr>
            <w:r>
              <w:rPr>
                <w:b/>
                <w:bCs/>
                <w:szCs w:val="24"/>
                <w:rtl/>
              </w:rPr>
              <w:t>المجموع</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ما قبل المدرسة الابتدائية</w:t>
            </w:r>
          </w:p>
        </w:tc>
        <w:tc>
          <w:tcPr>
            <w:tcW w:w="993" w:type="dxa"/>
          </w:tcPr>
          <w:p w:rsidR="00000000" w:rsidRDefault="00000000">
            <w:pPr>
              <w:pStyle w:val="SingleTxt"/>
              <w:spacing w:after="0"/>
              <w:ind w:left="-57" w:right="0"/>
              <w:rPr>
                <w:rFonts w:cs="Akhbar MT"/>
                <w:szCs w:val="24"/>
                <w:rtl/>
              </w:rPr>
            </w:pPr>
            <w:r>
              <w:rPr>
                <w:szCs w:val="24"/>
                <w:rtl/>
              </w:rPr>
              <w:t>97</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312</w:t>
            </w:r>
          </w:p>
        </w:tc>
        <w:tc>
          <w:tcPr>
            <w:tcW w:w="851" w:type="dxa"/>
          </w:tcPr>
          <w:p w:rsidR="00000000" w:rsidRDefault="00000000">
            <w:pPr>
              <w:pStyle w:val="SingleTxt"/>
              <w:spacing w:after="0"/>
              <w:ind w:left="-57" w:right="0"/>
              <w:rPr>
                <w:szCs w:val="24"/>
                <w:rtl/>
              </w:rPr>
            </w:pPr>
            <w:r>
              <w:rPr>
                <w:szCs w:val="24"/>
                <w:rtl/>
              </w:rPr>
              <w:t>321</w:t>
            </w:r>
          </w:p>
        </w:tc>
        <w:tc>
          <w:tcPr>
            <w:tcW w:w="1134" w:type="dxa"/>
          </w:tcPr>
          <w:p w:rsidR="00000000" w:rsidRDefault="00000000">
            <w:pPr>
              <w:pStyle w:val="SingleTxt"/>
              <w:spacing w:after="0"/>
              <w:ind w:left="-57" w:right="0"/>
              <w:rPr>
                <w:szCs w:val="24"/>
                <w:rtl/>
              </w:rPr>
            </w:pPr>
            <w:r>
              <w:rPr>
                <w:szCs w:val="24"/>
                <w:rtl/>
              </w:rPr>
              <w:t>98</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314</w:t>
            </w:r>
          </w:p>
        </w:tc>
        <w:tc>
          <w:tcPr>
            <w:tcW w:w="708" w:type="dxa"/>
          </w:tcPr>
          <w:p w:rsidR="00000000" w:rsidRDefault="00000000">
            <w:pPr>
              <w:pStyle w:val="SingleTxt"/>
              <w:spacing w:after="0"/>
              <w:ind w:left="-57" w:right="0"/>
              <w:rPr>
                <w:szCs w:val="24"/>
                <w:rtl/>
              </w:rPr>
            </w:pPr>
            <w:r>
              <w:rPr>
                <w:szCs w:val="24"/>
                <w:rtl/>
              </w:rPr>
              <w:t>320</w:t>
            </w:r>
          </w:p>
        </w:tc>
        <w:tc>
          <w:tcPr>
            <w:tcW w:w="1134" w:type="dxa"/>
          </w:tcPr>
          <w:p w:rsidR="00000000" w:rsidRDefault="00000000">
            <w:pPr>
              <w:pStyle w:val="SingleTxt"/>
              <w:spacing w:after="0"/>
              <w:ind w:left="-57" w:right="0"/>
              <w:rPr>
                <w:szCs w:val="24"/>
                <w:rtl/>
              </w:rPr>
            </w:pPr>
            <w:r>
              <w:rPr>
                <w:szCs w:val="24"/>
                <w:rtl/>
              </w:rPr>
              <w:t>97.5</w:t>
            </w:r>
          </w:p>
        </w:tc>
        <w:tc>
          <w:tcPr>
            <w:tcW w:w="851" w:type="dxa"/>
          </w:tcPr>
          <w:p w:rsidR="00000000" w:rsidRDefault="00000000">
            <w:pPr>
              <w:pStyle w:val="SingleTxt"/>
              <w:spacing w:after="0"/>
              <w:ind w:left="-57" w:right="0"/>
              <w:rPr>
                <w:szCs w:val="24"/>
                <w:rtl/>
              </w:rPr>
            </w:pPr>
            <w:r>
              <w:rPr>
                <w:szCs w:val="24"/>
                <w:rtl/>
              </w:rPr>
              <w:t>318</w:t>
            </w:r>
          </w:p>
        </w:tc>
        <w:tc>
          <w:tcPr>
            <w:tcW w:w="709" w:type="dxa"/>
          </w:tcPr>
          <w:p w:rsidR="00000000" w:rsidRDefault="00000000">
            <w:pPr>
              <w:pStyle w:val="SingleTxt"/>
              <w:spacing w:after="0"/>
              <w:ind w:left="-57" w:right="0"/>
              <w:rPr>
                <w:szCs w:val="24"/>
                <w:rtl/>
              </w:rPr>
            </w:pPr>
            <w:r>
              <w:rPr>
                <w:szCs w:val="24"/>
                <w:rtl/>
              </w:rPr>
              <w:t>326</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الابتدائية</w:t>
            </w:r>
          </w:p>
        </w:tc>
        <w:tc>
          <w:tcPr>
            <w:tcW w:w="993" w:type="dxa"/>
          </w:tcPr>
          <w:p w:rsidR="00000000" w:rsidRDefault="00000000">
            <w:pPr>
              <w:pStyle w:val="SingleTxt"/>
              <w:spacing w:after="0"/>
              <w:ind w:left="-57" w:right="0"/>
              <w:rPr>
                <w:szCs w:val="24"/>
                <w:rtl/>
              </w:rPr>
            </w:pPr>
            <w:r>
              <w:rPr>
                <w:szCs w:val="24"/>
                <w:rtl/>
              </w:rPr>
              <w:t>34.9</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951 1</w:t>
            </w:r>
          </w:p>
        </w:tc>
        <w:tc>
          <w:tcPr>
            <w:tcW w:w="851" w:type="dxa"/>
          </w:tcPr>
          <w:p w:rsidR="00000000" w:rsidRDefault="00000000">
            <w:pPr>
              <w:pStyle w:val="SingleTxt"/>
              <w:spacing w:after="0"/>
              <w:ind w:left="-57" w:right="0"/>
              <w:rPr>
                <w:szCs w:val="24"/>
                <w:rtl/>
              </w:rPr>
            </w:pPr>
            <w:r>
              <w:rPr>
                <w:szCs w:val="24"/>
                <w:rtl/>
              </w:rPr>
              <w:t>576 5</w:t>
            </w:r>
          </w:p>
        </w:tc>
        <w:tc>
          <w:tcPr>
            <w:tcW w:w="1134" w:type="dxa"/>
          </w:tcPr>
          <w:p w:rsidR="00000000" w:rsidRDefault="00000000">
            <w:pPr>
              <w:pStyle w:val="SingleTxt"/>
              <w:spacing w:after="0"/>
              <w:ind w:left="-57" w:right="0"/>
              <w:rPr>
                <w:szCs w:val="24"/>
                <w:rtl/>
              </w:rPr>
            </w:pPr>
            <w:r>
              <w:rPr>
                <w:szCs w:val="24"/>
                <w:rtl/>
              </w:rPr>
              <w:t>37.4</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330 2</w:t>
            </w:r>
          </w:p>
        </w:tc>
        <w:tc>
          <w:tcPr>
            <w:tcW w:w="708" w:type="dxa"/>
          </w:tcPr>
          <w:p w:rsidR="00000000" w:rsidRDefault="00000000">
            <w:pPr>
              <w:pStyle w:val="SingleTxt"/>
              <w:spacing w:after="0"/>
              <w:ind w:left="-57" w:right="0"/>
              <w:rPr>
                <w:szCs w:val="24"/>
                <w:rtl/>
              </w:rPr>
            </w:pPr>
            <w:r>
              <w:rPr>
                <w:szCs w:val="24"/>
                <w:rtl/>
              </w:rPr>
              <w:t>229 6</w:t>
            </w:r>
          </w:p>
        </w:tc>
        <w:tc>
          <w:tcPr>
            <w:tcW w:w="1134" w:type="dxa"/>
          </w:tcPr>
          <w:p w:rsidR="00000000" w:rsidRDefault="00000000">
            <w:pPr>
              <w:pStyle w:val="SingleTxt"/>
              <w:spacing w:after="0"/>
              <w:ind w:left="-57" w:right="0"/>
              <w:rPr>
                <w:szCs w:val="24"/>
                <w:rtl/>
              </w:rPr>
            </w:pPr>
            <w:r>
              <w:rPr>
                <w:szCs w:val="24"/>
                <w:rtl/>
              </w:rPr>
              <w:t>36</w:t>
            </w:r>
            <w:r>
              <w:rPr>
                <w:rFonts w:cs="Akhbar MT"/>
                <w:szCs w:val="24"/>
                <w:rtl/>
              </w:rPr>
              <w:t>%</w:t>
            </w:r>
          </w:p>
        </w:tc>
        <w:tc>
          <w:tcPr>
            <w:tcW w:w="851" w:type="dxa"/>
          </w:tcPr>
          <w:p w:rsidR="00000000" w:rsidRDefault="00000000">
            <w:pPr>
              <w:pStyle w:val="SingleTxt"/>
              <w:spacing w:after="0"/>
              <w:ind w:left="-57" w:right="0"/>
              <w:rPr>
                <w:szCs w:val="24"/>
                <w:rtl/>
              </w:rPr>
            </w:pPr>
            <w:r>
              <w:rPr>
                <w:szCs w:val="24"/>
                <w:rtl/>
              </w:rPr>
              <w:t>710 2</w:t>
            </w:r>
          </w:p>
        </w:tc>
        <w:tc>
          <w:tcPr>
            <w:tcW w:w="709" w:type="dxa"/>
          </w:tcPr>
          <w:p w:rsidR="00000000" w:rsidRDefault="00000000">
            <w:pPr>
              <w:pStyle w:val="SingleTxt"/>
              <w:spacing w:after="0"/>
              <w:ind w:left="-57" w:right="0"/>
              <w:rPr>
                <w:szCs w:val="24"/>
                <w:rtl/>
              </w:rPr>
            </w:pPr>
            <w:r>
              <w:rPr>
                <w:szCs w:val="24"/>
                <w:rtl/>
              </w:rPr>
              <w:t>668 6</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الإعدادية</w:t>
            </w:r>
          </w:p>
        </w:tc>
        <w:tc>
          <w:tcPr>
            <w:tcW w:w="993" w:type="dxa"/>
          </w:tcPr>
          <w:p w:rsidR="00000000" w:rsidRDefault="00000000">
            <w:pPr>
              <w:pStyle w:val="SingleTxt"/>
              <w:spacing w:after="0"/>
              <w:ind w:left="-57" w:right="0"/>
              <w:rPr>
                <w:szCs w:val="24"/>
                <w:rtl/>
              </w:rPr>
            </w:pPr>
            <w:r>
              <w:rPr>
                <w:szCs w:val="24"/>
                <w:rtl/>
              </w:rPr>
              <w:t>12.3</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149</w:t>
            </w:r>
          </w:p>
        </w:tc>
        <w:tc>
          <w:tcPr>
            <w:tcW w:w="851" w:type="dxa"/>
          </w:tcPr>
          <w:p w:rsidR="00000000" w:rsidRDefault="00000000">
            <w:pPr>
              <w:pStyle w:val="SingleTxt"/>
              <w:spacing w:after="0"/>
              <w:ind w:left="-57" w:right="0"/>
              <w:rPr>
                <w:szCs w:val="24"/>
                <w:rtl/>
              </w:rPr>
            </w:pPr>
            <w:r>
              <w:rPr>
                <w:szCs w:val="24"/>
                <w:rtl/>
              </w:rPr>
              <w:t>208 1</w:t>
            </w:r>
          </w:p>
        </w:tc>
        <w:tc>
          <w:tcPr>
            <w:tcW w:w="1134" w:type="dxa"/>
          </w:tcPr>
          <w:p w:rsidR="00000000" w:rsidRDefault="00000000">
            <w:pPr>
              <w:pStyle w:val="SingleTxt"/>
              <w:spacing w:after="0"/>
              <w:ind w:left="-57" w:right="0"/>
              <w:rPr>
                <w:szCs w:val="24"/>
                <w:rtl/>
              </w:rPr>
            </w:pPr>
            <w:r>
              <w:rPr>
                <w:szCs w:val="24"/>
                <w:rtl/>
              </w:rPr>
              <w:t>12.7</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167</w:t>
            </w:r>
          </w:p>
        </w:tc>
        <w:tc>
          <w:tcPr>
            <w:tcW w:w="708" w:type="dxa"/>
          </w:tcPr>
          <w:p w:rsidR="00000000" w:rsidRDefault="00000000">
            <w:pPr>
              <w:pStyle w:val="SingleTxt"/>
              <w:spacing w:after="0"/>
              <w:ind w:left="-57" w:right="0"/>
              <w:rPr>
                <w:szCs w:val="24"/>
                <w:rtl/>
              </w:rPr>
            </w:pPr>
            <w:r>
              <w:rPr>
                <w:szCs w:val="24"/>
                <w:rtl/>
              </w:rPr>
              <w:t>312 1</w:t>
            </w:r>
          </w:p>
        </w:tc>
        <w:tc>
          <w:tcPr>
            <w:tcW w:w="1134" w:type="dxa"/>
          </w:tcPr>
          <w:p w:rsidR="00000000" w:rsidRDefault="00000000">
            <w:pPr>
              <w:pStyle w:val="SingleTxt"/>
              <w:spacing w:after="0"/>
              <w:ind w:left="-57" w:right="0"/>
              <w:rPr>
                <w:szCs w:val="24"/>
                <w:rtl/>
              </w:rPr>
            </w:pPr>
            <w:r>
              <w:rPr>
                <w:szCs w:val="24"/>
                <w:rtl/>
              </w:rPr>
              <w:t>11.6</w:t>
            </w:r>
            <w:r>
              <w:rPr>
                <w:rFonts w:cs="Akhbar MT"/>
                <w:szCs w:val="24"/>
                <w:rtl/>
              </w:rPr>
              <w:t>%</w:t>
            </w:r>
          </w:p>
        </w:tc>
        <w:tc>
          <w:tcPr>
            <w:tcW w:w="851" w:type="dxa"/>
          </w:tcPr>
          <w:p w:rsidR="00000000" w:rsidRDefault="00000000">
            <w:pPr>
              <w:pStyle w:val="SingleTxt"/>
              <w:spacing w:after="0"/>
              <w:ind w:left="-57" w:right="0"/>
              <w:rPr>
                <w:szCs w:val="24"/>
                <w:rtl/>
              </w:rPr>
            </w:pPr>
            <w:r>
              <w:rPr>
                <w:szCs w:val="24"/>
                <w:rtl/>
              </w:rPr>
              <w:t>160</w:t>
            </w:r>
          </w:p>
        </w:tc>
        <w:tc>
          <w:tcPr>
            <w:tcW w:w="709" w:type="dxa"/>
          </w:tcPr>
          <w:p w:rsidR="00000000" w:rsidRDefault="00000000">
            <w:pPr>
              <w:pStyle w:val="SingleTxt"/>
              <w:spacing w:after="0"/>
              <w:ind w:left="-57" w:right="0"/>
              <w:rPr>
                <w:szCs w:val="24"/>
                <w:rtl/>
              </w:rPr>
            </w:pPr>
            <w:r>
              <w:rPr>
                <w:szCs w:val="24"/>
                <w:rtl/>
              </w:rPr>
              <w:t>377 1</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الثانوية</w:t>
            </w:r>
          </w:p>
        </w:tc>
        <w:tc>
          <w:tcPr>
            <w:tcW w:w="993" w:type="dxa"/>
          </w:tcPr>
          <w:p w:rsidR="00000000" w:rsidRDefault="00000000">
            <w:pPr>
              <w:pStyle w:val="SingleTxt"/>
              <w:spacing w:after="0"/>
              <w:ind w:left="-57" w:right="0"/>
              <w:rPr>
                <w:szCs w:val="24"/>
                <w:rtl/>
              </w:rPr>
            </w:pPr>
            <w:r>
              <w:rPr>
                <w:szCs w:val="24"/>
                <w:rtl/>
              </w:rPr>
              <w:t>11.4</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112</w:t>
            </w:r>
          </w:p>
        </w:tc>
        <w:tc>
          <w:tcPr>
            <w:tcW w:w="851" w:type="dxa"/>
          </w:tcPr>
          <w:p w:rsidR="00000000" w:rsidRDefault="00000000">
            <w:pPr>
              <w:pStyle w:val="SingleTxt"/>
              <w:spacing w:after="0"/>
              <w:ind w:left="-57" w:right="0"/>
              <w:rPr>
                <w:szCs w:val="24"/>
                <w:rtl/>
              </w:rPr>
            </w:pPr>
            <w:r>
              <w:rPr>
                <w:szCs w:val="24"/>
                <w:rtl/>
              </w:rPr>
              <w:t>982</w:t>
            </w:r>
          </w:p>
        </w:tc>
        <w:tc>
          <w:tcPr>
            <w:tcW w:w="1134" w:type="dxa"/>
          </w:tcPr>
          <w:p w:rsidR="00000000" w:rsidRDefault="00000000">
            <w:pPr>
              <w:pStyle w:val="SingleTxt"/>
              <w:spacing w:after="0"/>
              <w:ind w:left="-57" w:right="0"/>
              <w:rPr>
                <w:szCs w:val="24"/>
                <w:rtl/>
              </w:rPr>
            </w:pPr>
            <w:r>
              <w:rPr>
                <w:szCs w:val="24"/>
                <w:rtl/>
              </w:rPr>
              <w:t>10.4</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109</w:t>
            </w:r>
          </w:p>
        </w:tc>
        <w:tc>
          <w:tcPr>
            <w:tcW w:w="708" w:type="dxa"/>
          </w:tcPr>
          <w:p w:rsidR="00000000" w:rsidRDefault="00000000">
            <w:pPr>
              <w:pStyle w:val="SingleTxt"/>
              <w:spacing w:after="0"/>
              <w:ind w:left="-57" w:right="0"/>
              <w:rPr>
                <w:szCs w:val="24"/>
                <w:rtl/>
              </w:rPr>
            </w:pPr>
            <w:r>
              <w:rPr>
                <w:szCs w:val="24"/>
                <w:rtl/>
              </w:rPr>
              <w:t>047 1</w:t>
            </w:r>
          </w:p>
        </w:tc>
        <w:tc>
          <w:tcPr>
            <w:tcW w:w="1134" w:type="dxa"/>
          </w:tcPr>
          <w:p w:rsidR="00000000" w:rsidRDefault="00000000">
            <w:pPr>
              <w:pStyle w:val="SingleTxt"/>
              <w:spacing w:after="0"/>
              <w:ind w:left="-57" w:right="0"/>
              <w:rPr>
                <w:szCs w:val="24"/>
                <w:rtl/>
              </w:rPr>
            </w:pPr>
            <w:r>
              <w:rPr>
                <w:szCs w:val="24"/>
                <w:rtl/>
              </w:rPr>
              <w:t>9.6</w:t>
            </w:r>
            <w:r>
              <w:rPr>
                <w:rFonts w:cs="Akhbar MT"/>
                <w:szCs w:val="24"/>
                <w:rtl/>
              </w:rPr>
              <w:t>%</w:t>
            </w:r>
          </w:p>
        </w:tc>
        <w:tc>
          <w:tcPr>
            <w:tcW w:w="851" w:type="dxa"/>
          </w:tcPr>
          <w:p w:rsidR="00000000" w:rsidRDefault="00000000">
            <w:pPr>
              <w:pStyle w:val="SingleTxt"/>
              <w:spacing w:after="0"/>
              <w:ind w:left="-57" w:right="0"/>
              <w:rPr>
                <w:szCs w:val="24"/>
                <w:rtl/>
              </w:rPr>
            </w:pPr>
            <w:r>
              <w:rPr>
                <w:szCs w:val="24"/>
                <w:rtl/>
              </w:rPr>
              <w:t>115</w:t>
            </w:r>
          </w:p>
        </w:tc>
        <w:tc>
          <w:tcPr>
            <w:tcW w:w="709" w:type="dxa"/>
          </w:tcPr>
          <w:p w:rsidR="00000000" w:rsidRDefault="00000000">
            <w:pPr>
              <w:pStyle w:val="SingleTxt"/>
              <w:spacing w:after="0"/>
              <w:ind w:left="-57" w:right="0"/>
              <w:rPr>
                <w:szCs w:val="24"/>
                <w:rtl/>
              </w:rPr>
            </w:pPr>
            <w:r>
              <w:rPr>
                <w:szCs w:val="24"/>
                <w:rtl/>
              </w:rPr>
              <w:t>188 1</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المدارس التقنية المعلمين</w:t>
            </w:r>
          </w:p>
        </w:tc>
        <w:tc>
          <w:tcPr>
            <w:tcW w:w="993" w:type="dxa"/>
          </w:tcPr>
          <w:p w:rsidR="00000000" w:rsidRDefault="00000000">
            <w:pPr>
              <w:pStyle w:val="SingleTxt"/>
              <w:spacing w:after="0"/>
              <w:ind w:left="-57" w:right="0"/>
              <w:rPr>
                <w:szCs w:val="24"/>
                <w:rtl/>
              </w:rPr>
            </w:pPr>
            <w:r>
              <w:rPr>
                <w:szCs w:val="24"/>
                <w:rtl/>
              </w:rPr>
              <w:t>7.8</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3</w:t>
            </w:r>
          </w:p>
        </w:tc>
        <w:tc>
          <w:tcPr>
            <w:tcW w:w="851" w:type="dxa"/>
          </w:tcPr>
          <w:p w:rsidR="00000000" w:rsidRDefault="00000000">
            <w:pPr>
              <w:pStyle w:val="SingleTxt"/>
              <w:spacing w:after="0"/>
              <w:ind w:left="-57" w:right="0"/>
              <w:rPr>
                <w:szCs w:val="24"/>
                <w:rtl/>
              </w:rPr>
            </w:pPr>
            <w:r>
              <w:rPr>
                <w:szCs w:val="24"/>
                <w:rtl/>
              </w:rPr>
              <w:t>38</w:t>
            </w:r>
          </w:p>
        </w:tc>
        <w:tc>
          <w:tcPr>
            <w:tcW w:w="1134" w:type="dxa"/>
          </w:tcPr>
          <w:p w:rsidR="00000000" w:rsidRDefault="00000000">
            <w:pPr>
              <w:pStyle w:val="SingleTxt"/>
              <w:spacing w:after="0"/>
              <w:ind w:left="-57" w:right="0"/>
              <w:rPr>
                <w:szCs w:val="24"/>
                <w:rtl/>
              </w:rPr>
            </w:pPr>
            <w:r>
              <w:rPr>
                <w:szCs w:val="24"/>
                <w:rtl/>
              </w:rPr>
              <w:t>6.25</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2</w:t>
            </w:r>
          </w:p>
        </w:tc>
        <w:tc>
          <w:tcPr>
            <w:tcW w:w="708" w:type="dxa"/>
          </w:tcPr>
          <w:p w:rsidR="00000000" w:rsidRDefault="00000000">
            <w:pPr>
              <w:pStyle w:val="SingleTxt"/>
              <w:spacing w:after="0"/>
              <w:ind w:left="-57" w:right="0"/>
              <w:rPr>
                <w:szCs w:val="24"/>
                <w:rtl/>
              </w:rPr>
            </w:pPr>
            <w:r>
              <w:rPr>
                <w:szCs w:val="24"/>
                <w:rtl/>
              </w:rPr>
              <w:t>32</w:t>
            </w:r>
          </w:p>
        </w:tc>
        <w:tc>
          <w:tcPr>
            <w:tcW w:w="1134" w:type="dxa"/>
          </w:tcPr>
          <w:p w:rsidR="00000000" w:rsidRDefault="00000000">
            <w:pPr>
              <w:pStyle w:val="SingleTxt"/>
              <w:spacing w:after="0"/>
              <w:ind w:left="-57" w:right="0"/>
              <w:rPr>
                <w:szCs w:val="24"/>
                <w:rtl/>
              </w:rPr>
            </w:pPr>
            <w:r>
              <w:rPr>
                <w:szCs w:val="24"/>
                <w:rtl/>
              </w:rPr>
              <w:t>29.7</w:t>
            </w:r>
            <w:r>
              <w:rPr>
                <w:rFonts w:cs="Akhbar MT"/>
                <w:szCs w:val="24"/>
                <w:rtl/>
              </w:rPr>
              <w:t>%</w:t>
            </w:r>
          </w:p>
        </w:tc>
        <w:tc>
          <w:tcPr>
            <w:tcW w:w="851" w:type="dxa"/>
          </w:tcPr>
          <w:p w:rsidR="00000000" w:rsidRDefault="00000000">
            <w:pPr>
              <w:pStyle w:val="SingleTxt"/>
              <w:spacing w:after="0"/>
              <w:ind w:left="-57" w:right="0"/>
              <w:rPr>
                <w:szCs w:val="24"/>
                <w:rtl/>
              </w:rPr>
            </w:pPr>
            <w:r>
              <w:rPr>
                <w:szCs w:val="24"/>
                <w:rtl/>
              </w:rPr>
              <w:t>11</w:t>
            </w:r>
          </w:p>
        </w:tc>
        <w:tc>
          <w:tcPr>
            <w:tcW w:w="709" w:type="dxa"/>
          </w:tcPr>
          <w:p w:rsidR="00000000" w:rsidRDefault="00000000">
            <w:pPr>
              <w:pStyle w:val="SingleTxt"/>
              <w:spacing w:after="0"/>
              <w:ind w:left="-57" w:right="0"/>
              <w:rPr>
                <w:szCs w:val="24"/>
                <w:rtl/>
              </w:rPr>
            </w:pPr>
            <w:r>
              <w:rPr>
                <w:szCs w:val="24"/>
                <w:rtl/>
              </w:rPr>
              <w:t>37</w:t>
            </w:r>
          </w:p>
        </w:tc>
      </w:tr>
      <w:tr w:rsidR="00000000">
        <w:tblPrEx>
          <w:tblCellMar>
            <w:top w:w="0" w:type="dxa"/>
            <w:bottom w:w="0" w:type="dxa"/>
          </w:tblCellMar>
        </w:tblPrEx>
        <w:tc>
          <w:tcPr>
            <w:tcW w:w="2161" w:type="dxa"/>
          </w:tcPr>
          <w:p w:rsidR="00000000" w:rsidRDefault="00000000">
            <w:pPr>
              <w:pStyle w:val="SingleTxt"/>
              <w:spacing w:after="0"/>
              <w:ind w:left="-57" w:right="0"/>
              <w:rPr>
                <w:szCs w:val="24"/>
                <w:rtl/>
              </w:rPr>
            </w:pPr>
            <w:r>
              <w:rPr>
                <w:szCs w:val="24"/>
                <w:rtl/>
              </w:rPr>
              <w:t>المدارس التقنية والمدارس المهنية</w:t>
            </w:r>
          </w:p>
        </w:tc>
        <w:tc>
          <w:tcPr>
            <w:tcW w:w="993" w:type="dxa"/>
          </w:tcPr>
          <w:p w:rsidR="00000000" w:rsidRDefault="00000000">
            <w:pPr>
              <w:pStyle w:val="SingleTxt"/>
              <w:spacing w:after="0"/>
              <w:ind w:left="-57" w:right="0"/>
              <w:rPr>
                <w:szCs w:val="24"/>
                <w:rtl/>
              </w:rPr>
            </w:pPr>
            <w:r>
              <w:rPr>
                <w:szCs w:val="24"/>
                <w:rtl/>
              </w:rPr>
              <w:t>3.9</w:t>
            </w:r>
            <w:r>
              <w:rPr>
                <w:rFonts w:cs="Akhbar MT"/>
                <w:szCs w:val="24"/>
                <w:rtl/>
              </w:rPr>
              <w:t>%</w:t>
            </w:r>
          </w:p>
        </w:tc>
        <w:tc>
          <w:tcPr>
            <w:tcW w:w="708" w:type="dxa"/>
          </w:tcPr>
          <w:p w:rsidR="00000000" w:rsidRDefault="00000000">
            <w:pPr>
              <w:pStyle w:val="SingleTxt"/>
              <w:spacing w:after="0"/>
              <w:ind w:left="-57" w:right="0"/>
              <w:rPr>
                <w:szCs w:val="24"/>
                <w:rtl/>
              </w:rPr>
            </w:pPr>
            <w:r>
              <w:rPr>
                <w:szCs w:val="24"/>
                <w:rtl/>
              </w:rPr>
              <w:t>4</w:t>
            </w:r>
          </w:p>
        </w:tc>
        <w:tc>
          <w:tcPr>
            <w:tcW w:w="851" w:type="dxa"/>
          </w:tcPr>
          <w:p w:rsidR="00000000" w:rsidRDefault="00000000">
            <w:pPr>
              <w:pStyle w:val="SingleTxt"/>
              <w:spacing w:after="0"/>
              <w:ind w:left="-57" w:right="0"/>
              <w:rPr>
                <w:szCs w:val="24"/>
                <w:rtl/>
              </w:rPr>
            </w:pPr>
            <w:r>
              <w:rPr>
                <w:szCs w:val="24"/>
                <w:rtl/>
              </w:rPr>
              <w:t>101</w:t>
            </w:r>
          </w:p>
        </w:tc>
        <w:tc>
          <w:tcPr>
            <w:tcW w:w="1134" w:type="dxa"/>
          </w:tcPr>
          <w:p w:rsidR="00000000" w:rsidRDefault="00000000">
            <w:pPr>
              <w:pStyle w:val="SingleTxt"/>
              <w:spacing w:after="0"/>
              <w:ind w:left="-57" w:right="0"/>
              <w:rPr>
                <w:szCs w:val="24"/>
                <w:rtl/>
              </w:rPr>
            </w:pPr>
            <w:r>
              <w:rPr>
                <w:szCs w:val="24"/>
                <w:rtl/>
              </w:rPr>
              <w:t>8.6</w:t>
            </w:r>
            <w:r>
              <w:rPr>
                <w:rFonts w:cs="Akhbar MT"/>
                <w:szCs w:val="24"/>
                <w:rtl/>
              </w:rPr>
              <w:t>%</w:t>
            </w:r>
          </w:p>
        </w:tc>
        <w:tc>
          <w:tcPr>
            <w:tcW w:w="709" w:type="dxa"/>
          </w:tcPr>
          <w:p w:rsidR="00000000" w:rsidRDefault="00000000">
            <w:pPr>
              <w:pStyle w:val="SingleTxt"/>
              <w:spacing w:after="0"/>
              <w:ind w:left="-57" w:right="0"/>
              <w:rPr>
                <w:szCs w:val="24"/>
                <w:rtl/>
              </w:rPr>
            </w:pPr>
            <w:r>
              <w:rPr>
                <w:szCs w:val="24"/>
                <w:rtl/>
              </w:rPr>
              <w:t>9</w:t>
            </w:r>
          </w:p>
        </w:tc>
        <w:tc>
          <w:tcPr>
            <w:tcW w:w="708" w:type="dxa"/>
          </w:tcPr>
          <w:p w:rsidR="00000000" w:rsidRDefault="00000000">
            <w:pPr>
              <w:pStyle w:val="SingleTxt"/>
              <w:spacing w:after="0"/>
              <w:ind w:left="-57" w:right="0"/>
              <w:rPr>
                <w:szCs w:val="24"/>
                <w:rtl/>
              </w:rPr>
            </w:pPr>
            <w:r>
              <w:rPr>
                <w:szCs w:val="24"/>
                <w:rtl/>
              </w:rPr>
              <w:t>104</w:t>
            </w:r>
          </w:p>
        </w:tc>
        <w:tc>
          <w:tcPr>
            <w:tcW w:w="1134" w:type="dxa"/>
          </w:tcPr>
          <w:p w:rsidR="00000000" w:rsidRDefault="00000000">
            <w:pPr>
              <w:pStyle w:val="SingleTxt"/>
              <w:spacing w:after="0"/>
              <w:ind w:left="-57" w:right="0"/>
              <w:rPr>
                <w:szCs w:val="24"/>
                <w:rtl/>
              </w:rPr>
            </w:pPr>
            <w:r>
              <w:rPr>
                <w:szCs w:val="24"/>
                <w:rtl/>
              </w:rPr>
              <w:t>5.2</w:t>
            </w:r>
            <w:r>
              <w:rPr>
                <w:rFonts w:cs="Akhbar MT"/>
                <w:szCs w:val="24"/>
                <w:rtl/>
              </w:rPr>
              <w:t>%</w:t>
            </w:r>
          </w:p>
        </w:tc>
        <w:tc>
          <w:tcPr>
            <w:tcW w:w="851" w:type="dxa"/>
          </w:tcPr>
          <w:p w:rsidR="00000000" w:rsidRDefault="00000000">
            <w:pPr>
              <w:pStyle w:val="SingleTxt"/>
              <w:spacing w:after="0"/>
              <w:ind w:left="-57" w:right="0"/>
              <w:rPr>
                <w:szCs w:val="24"/>
                <w:rtl/>
              </w:rPr>
            </w:pPr>
            <w:r>
              <w:rPr>
                <w:szCs w:val="24"/>
                <w:rtl/>
              </w:rPr>
              <w:t>9</w:t>
            </w:r>
          </w:p>
        </w:tc>
        <w:tc>
          <w:tcPr>
            <w:tcW w:w="709" w:type="dxa"/>
          </w:tcPr>
          <w:p w:rsidR="00000000" w:rsidRDefault="00000000">
            <w:pPr>
              <w:pStyle w:val="SingleTxt"/>
              <w:spacing w:after="0"/>
              <w:ind w:left="-57" w:right="0"/>
              <w:rPr>
                <w:szCs w:val="24"/>
                <w:rtl/>
              </w:rPr>
            </w:pPr>
            <w:r>
              <w:rPr>
                <w:szCs w:val="24"/>
                <w:rtl/>
              </w:rPr>
              <w:t>173</w:t>
            </w:r>
          </w:p>
        </w:tc>
      </w:tr>
    </w:tbl>
    <w:p w:rsidR="00000000" w:rsidRDefault="00000000">
      <w:pPr>
        <w:pStyle w:val="SingleTxt"/>
        <w:ind w:left="1264" w:right="1264"/>
        <w:rPr>
          <w:i/>
          <w:iCs/>
          <w:szCs w:val="26"/>
          <w:rtl/>
        </w:rPr>
      </w:pPr>
      <w:r>
        <w:rPr>
          <w:i/>
          <w:iCs/>
          <w:szCs w:val="26"/>
          <w:rtl/>
        </w:rPr>
        <w:t>المصدر: مؤشرات التعليم الأساسية بوزارة التعليم 2000/2001</w:t>
      </w:r>
    </w:p>
    <w:p w:rsidR="00000000" w:rsidRDefault="00000000">
      <w:pPr>
        <w:pStyle w:val="SingleTxt"/>
        <w:ind w:left="1264" w:right="1264"/>
        <w:rPr>
          <w:rtl/>
        </w:rPr>
      </w:pPr>
      <w:r>
        <w:rPr>
          <w:rtl/>
        </w:rPr>
        <w:tab/>
      </w:r>
      <w:r>
        <w:rPr>
          <w:rtl/>
        </w:rPr>
        <w:tab/>
        <w:t>وتوجد امرأتان على مستوى المدير (من أصل 9) في الوزارة وترأسان قسمين، ولا توجد مديرات عموميات ولا مديرات للمكاتب الإقليمية بالوزارة. لذلك، يمكن القول أن جميع الوظائف التعليمية العالية المستوى يهيمن عليها الموظفون الذكور. ومن المدهش أن هناك عددا ضئيلاً جداً من ناظرات المدارس ولا يوجد مشرفات في أنحاء البلد، وبالتالي يمكن للمرء أن يقول أن المرأة ضعيفة التمثيل في حقائب الإدارة التعليمية.</w:t>
      </w:r>
    </w:p>
    <w:p w:rsidR="00000000" w:rsidRDefault="00000000">
      <w:pPr>
        <w:pStyle w:val="SingleTxt"/>
        <w:ind w:left="1264" w:right="1264"/>
        <w:rPr>
          <w:b/>
          <w:bCs/>
          <w:rtl/>
        </w:rPr>
      </w:pPr>
      <w:r>
        <w:rPr>
          <w:b/>
          <w:bCs/>
          <w:rtl/>
        </w:rPr>
        <w:t>الجدول 9: ناظرات المدارس في المرحلة الابتدائية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53"/>
        <w:gridCol w:w="1240"/>
        <w:gridCol w:w="2126"/>
      </w:tblGrid>
      <w:tr w:rsidR="00000000">
        <w:tblPrEx>
          <w:tblCellMar>
            <w:top w:w="0" w:type="dxa"/>
            <w:bottom w:w="0" w:type="dxa"/>
          </w:tblCellMar>
        </w:tblPrEx>
        <w:tc>
          <w:tcPr>
            <w:tcW w:w="2268" w:type="dxa"/>
          </w:tcPr>
          <w:p w:rsidR="00000000" w:rsidRDefault="00000000">
            <w:pPr>
              <w:pStyle w:val="SingleTxt"/>
              <w:ind w:left="0" w:right="0"/>
              <w:rPr>
                <w:b/>
                <w:bCs/>
                <w:rtl/>
              </w:rPr>
            </w:pPr>
            <w:r>
              <w:rPr>
                <w:b/>
                <w:bCs/>
                <w:rtl/>
              </w:rPr>
              <w:t>المنطقة</w:t>
            </w:r>
          </w:p>
        </w:tc>
        <w:tc>
          <w:tcPr>
            <w:tcW w:w="1453" w:type="dxa"/>
          </w:tcPr>
          <w:p w:rsidR="00000000" w:rsidRDefault="00000000">
            <w:pPr>
              <w:pStyle w:val="SingleTxt"/>
              <w:ind w:left="0" w:right="0"/>
              <w:jc w:val="center"/>
              <w:rPr>
                <w:b/>
                <w:bCs/>
                <w:rtl/>
              </w:rPr>
            </w:pPr>
            <w:r>
              <w:rPr>
                <w:b/>
                <w:bCs/>
                <w:rtl/>
              </w:rPr>
              <w:t>المجموع</w:t>
            </w:r>
          </w:p>
        </w:tc>
        <w:tc>
          <w:tcPr>
            <w:tcW w:w="1240" w:type="dxa"/>
          </w:tcPr>
          <w:p w:rsidR="00000000" w:rsidRDefault="00000000">
            <w:pPr>
              <w:pStyle w:val="SingleTxt"/>
              <w:ind w:left="0" w:right="0"/>
              <w:jc w:val="center"/>
              <w:rPr>
                <w:b/>
                <w:bCs/>
                <w:rtl/>
              </w:rPr>
            </w:pPr>
            <w:r>
              <w:rPr>
                <w:b/>
                <w:bCs/>
                <w:rtl/>
              </w:rPr>
              <w:t>الإناث</w:t>
            </w:r>
          </w:p>
        </w:tc>
        <w:tc>
          <w:tcPr>
            <w:tcW w:w="2126" w:type="dxa"/>
          </w:tcPr>
          <w:p w:rsidR="00000000" w:rsidRDefault="00000000">
            <w:pPr>
              <w:pStyle w:val="SingleTxt"/>
              <w:ind w:left="0" w:right="0"/>
              <w:jc w:val="center"/>
              <w:rPr>
                <w:b/>
                <w:bCs/>
                <w:rtl/>
              </w:rPr>
            </w:pPr>
            <w:r>
              <w:rPr>
                <w:b/>
                <w:bCs/>
                <w:rtl/>
              </w:rPr>
              <w:t>النسبة المئوية للإناث</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دبوب</w:t>
            </w:r>
          </w:p>
        </w:tc>
        <w:tc>
          <w:tcPr>
            <w:tcW w:w="1453" w:type="dxa"/>
          </w:tcPr>
          <w:p w:rsidR="00000000" w:rsidRDefault="00000000">
            <w:pPr>
              <w:pStyle w:val="SingleTxt"/>
              <w:ind w:left="0" w:right="0"/>
              <w:rPr>
                <w:rtl/>
              </w:rPr>
            </w:pPr>
            <w:r>
              <w:rPr>
                <w:rtl/>
              </w:rPr>
              <w:t>214</w:t>
            </w:r>
          </w:p>
        </w:tc>
        <w:tc>
          <w:tcPr>
            <w:tcW w:w="1240" w:type="dxa"/>
          </w:tcPr>
          <w:p w:rsidR="00000000" w:rsidRDefault="00000000">
            <w:pPr>
              <w:pStyle w:val="SingleTxt"/>
              <w:ind w:left="0" w:right="0"/>
              <w:rPr>
                <w:rtl/>
              </w:rPr>
            </w:pPr>
            <w:r>
              <w:rPr>
                <w:rtl/>
              </w:rPr>
              <w:t>6</w:t>
            </w:r>
          </w:p>
        </w:tc>
        <w:tc>
          <w:tcPr>
            <w:tcW w:w="2126" w:type="dxa"/>
          </w:tcPr>
          <w:p w:rsidR="00000000" w:rsidRDefault="00000000">
            <w:pPr>
              <w:pStyle w:val="SingleTxt"/>
              <w:ind w:left="0" w:right="0"/>
              <w:rPr>
                <w:rtl/>
              </w:rPr>
            </w:pPr>
            <w:r>
              <w:rPr>
                <w:rtl/>
              </w:rPr>
              <w:t>2.80</w:t>
            </w:r>
            <w:r>
              <w:rPr>
                <w:rFonts w:cs="Akhbar MT"/>
                <w:rtl/>
              </w:rPr>
              <w:t>%</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انسيبا</w:t>
            </w:r>
          </w:p>
        </w:tc>
        <w:tc>
          <w:tcPr>
            <w:tcW w:w="1453" w:type="dxa"/>
          </w:tcPr>
          <w:p w:rsidR="00000000" w:rsidRDefault="00000000">
            <w:pPr>
              <w:pStyle w:val="SingleTxt"/>
              <w:ind w:left="0" w:right="0"/>
              <w:rPr>
                <w:rtl/>
              </w:rPr>
            </w:pPr>
            <w:r>
              <w:rPr>
                <w:rtl/>
              </w:rPr>
              <w:t>110</w:t>
            </w:r>
          </w:p>
        </w:tc>
        <w:tc>
          <w:tcPr>
            <w:tcW w:w="1240" w:type="dxa"/>
          </w:tcPr>
          <w:p w:rsidR="00000000" w:rsidRDefault="00000000">
            <w:pPr>
              <w:pStyle w:val="SingleTxt"/>
              <w:ind w:left="0" w:right="0"/>
              <w:rPr>
                <w:rtl/>
              </w:rPr>
            </w:pPr>
            <w:r>
              <w:rPr>
                <w:rtl/>
              </w:rPr>
              <w:t>7</w:t>
            </w:r>
          </w:p>
        </w:tc>
        <w:tc>
          <w:tcPr>
            <w:tcW w:w="2126" w:type="dxa"/>
          </w:tcPr>
          <w:p w:rsidR="00000000" w:rsidRDefault="00000000">
            <w:pPr>
              <w:pStyle w:val="SingleTxt"/>
              <w:ind w:left="0" w:right="0"/>
              <w:rPr>
                <w:rtl/>
              </w:rPr>
            </w:pPr>
            <w:r>
              <w:rPr>
                <w:rtl/>
              </w:rPr>
              <w:t>6.36</w:t>
            </w:r>
            <w:r>
              <w:rPr>
                <w:rFonts w:cs="Akhbar MT"/>
                <w:rtl/>
              </w:rPr>
              <w:t>%</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شمالي البحر الأحمر</w:t>
            </w:r>
          </w:p>
        </w:tc>
        <w:tc>
          <w:tcPr>
            <w:tcW w:w="1453" w:type="dxa"/>
          </w:tcPr>
          <w:p w:rsidR="00000000" w:rsidRDefault="00000000">
            <w:pPr>
              <w:pStyle w:val="SingleTxt"/>
              <w:ind w:left="0" w:right="0"/>
              <w:rPr>
                <w:rtl/>
              </w:rPr>
            </w:pPr>
            <w:r>
              <w:rPr>
                <w:rtl/>
              </w:rPr>
              <w:t>79</w:t>
            </w:r>
          </w:p>
        </w:tc>
        <w:tc>
          <w:tcPr>
            <w:tcW w:w="1240" w:type="dxa"/>
          </w:tcPr>
          <w:p w:rsidR="00000000" w:rsidRDefault="00000000">
            <w:pPr>
              <w:pStyle w:val="SingleTxt"/>
              <w:ind w:left="0" w:right="0"/>
              <w:rPr>
                <w:rtl/>
              </w:rPr>
            </w:pPr>
            <w:r>
              <w:rPr>
                <w:rtl/>
              </w:rPr>
              <w:t>6</w:t>
            </w:r>
          </w:p>
        </w:tc>
        <w:tc>
          <w:tcPr>
            <w:tcW w:w="2126" w:type="dxa"/>
          </w:tcPr>
          <w:p w:rsidR="00000000" w:rsidRDefault="00000000">
            <w:pPr>
              <w:pStyle w:val="SingleTxt"/>
              <w:ind w:left="0" w:right="0"/>
              <w:rPr>
                <w:rtl/>
              </w:rPr>
            </w:pPr>
            <w:r>
              <w:rPr>
                <w:rtl/>
              </w:rPr>
              <w:t>7.5</w:t>
            </w:r>
            <w:r>
              <w:rPr>
                <w:rFonts w:cs="Akhbar MT"/>
                <w:rtl/>
              </w:rPr>
              <w:t>%</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 xml:space="preserve">غاش </w:t>
            </w:r>
            <w:r>
              <w:t>–</w:t>
            </w:r>
            <w:r>
              <w:rPr>
                <w:rtl/>
              </w:rPr>
              <w:t xml:space="preserve"> بركا</w:t>
            </w:r>
          </w:p>
        </w:tc>
        <w:tc>
          <w:tcPr>
            <w:tcW w:w="1453" w:type="dxa"/>
          </w:tcPr>
          <w:p w:rsidR="00000000" w:rsidRDefault="00000000">
            <w:pPr>
              <w:pStyle w:val="SingleTxt"/>
              <w:ind w:left="0" w:right="0"/>
              <w:rPr>
                <w:rtl/>
              </w:rPr>
            </w:pPr>
            <w:r>
              <w:rPr>
                <w:rtl/>
              </w:rPr>
              <w:t>153</w:t>
            </w:r>
          </w:p>
        </w:tc>
        <w:tc>
          <w:tcPr>
            <w:tcW w:w="1240" w:type="dxa"/>
          </w:tcPr>
          <w:p w:rsidR="00000000" w:rsidRDefault="00000000">
            <w:pPr>
              <w:pStyle w:val="SingleTxt"/>
              <w:ind w:left="0" w:right="0"/>
              <w:rPr>
                <w:rtl/>
              </w:rPr>
            </w:pPr>
            <w:r>
              <w:rPr>
                <w:rtl/>
              </w:rPr>
              <w:t>3</w:t>
            </w:r>
          </w:p>
        </w:tc>
        <w:tc>
          <w:tcPr>
            <w:tcW w:w="2126" w:type="dxa"/>
          </w:tcPr>
          <w:p w:rsidR="00000000" w:rsidRDefault="00000000">
            <w:pPr>
              <w:pStyle w:val="SingleTxt"/>
              <w:ind w:left="0" w:right="0"/>
              <w:rPr>
                <w:rtl/>
              </w:rPr>
            </w:pPr>
            <w:r>
              <w:rPr>
                <w:rtl/>
              </w:rPr>
              <w:t>0.02</w:t>
            </w:r>
            <w:r>
              <w:rPr>
                <w:rFonts w:cs="Akhbar MT"/>
                <w:rtl/>
              </w:rPr>
              <w:t>%</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ماكيل</w:t>
            </w:r>
          </w:p>
        </w:tc>
        <w:tc>
          <w:tcPr>
            <w:tcW w:w="1453" w:type="dxa"/>
          </w:tcPr>
          <w:p w:rsidR="00000000" w:rsidRDefault="00000000">
            <w:pPr>
              <w:pStyle w:val="SingleTxt"/>
              <w:ind w:left="0" w:right="0"/>
              <w:rPr>
                <w:rtl/>
              </w:rPr>
            </w:pPr>
            <w:r>
              <w:rPr>
                <w:rtl/>
              </w:rPr>
              <w:t>108</w:t>
            </w:r>
          </w:p>
        </w:tc>
        <w:tc>
          <w:tcPr>
            <w:tcW w:w="1240" w:type="dxa"/>
          </w:tcPr>
          <w:p w:rsidR="00000000" w:rsidRDefault="00000000">
            <w:pPr>
              <w:pStyle w:val="SingleTxt"/>
              <w:ind w:left="0" w:right="0"/>
              <w:rPr>
                <w:rtl/>
              </w:rPr>
            </w:pPr>
            <w:r>
              <w:rPr>
                <w:rtl/>
              </w:rPr>
              <w:t>10</w:t>
            </w:r>
          </w:p>
        </w:tc>
        <w:tc>
          <w:tcPr>
            <w:tcW w:w="2126" w:type="dxa"/>
          </w:tcPr>
          <w:p w:rsidR="00000000" w:rsidRDefault="00000000">
            <w:pPr>
              <w:pStyle w:val="SingleTxt"/>
              <w:ind w:left="0" w:right="0"/>
              <w:rPr>
                <w:rtl/>
              </w:rPr>
            </w:pPr>
            <w:r>
              <w:rPr>
                <w:rtl/>
              </w:rPr>
              <w:t>9.25</w:t>
            </w:r>
            <w:r>
              <w:rPr>
                <w:rFonts w:cs="Akhbar MT"/>
                <w:rtl/>
              </w:rPr>
              <w:t>%</w:t>
            </w:r>
          </w:p>
        </w:tc>
      </w:tr>
      <w:tr w:rsidR="00000000">
        <w:tblPrEx>
          <w:tblCellMar>
            <w:top w:w="0" w:type="dxa"/>
            <w:bottom w:w="0" w:type="dxa"/>
          </w:tblCellMar>
        </w:tblPrEx>
        <w:tc>
          <w:tcPr>
            <w:tcW w:w="2268" w:type="dxa"/>
          </w:tcPr>
          <w:p w:rsidR="00000000" w:rsidRDefault="00000000">
            <w:pPr>
              <w:pStyle w:val="SingleTxt"/>
              <w:ind w:left="0" w:right="0"/>
              <w:rPr>
                <w:rtl/>
              </w:rPr>
            </w:pPr>
            <w:r>
              <w:rPr>
                <w:rtl/>
              </w:rPr>
              <w:t>جنوب البحر الأحمر</w:t>
            </w:r>
          </w:p>
        </w:tc>
        <w:tc>
          <w:tcPr>
            <w:tcW w:w="1453" w:type="dxa"/>
          </w:tcPr>
          <w:p w:rsidR="00000000" w:rsidRDefault="00000000">
            <w:pPr>
              <w:pStyle w:val="SingleTxt"/>
              <w:ind w:left="0" w:right="0"/>
              <w:rPr>
                <w:rtl/>
              </w:rPr>
            </w:pPr>
            <w:r>
              <w:rPr>
                <w:rtl/>
              </w:rPr>
              <w:t>24</w:t>
            </w:r>
          </w:p>
        </w:tc>
        <w:tc>
          <w:tcPr>
            <w:tcW w:w="1240" w:type="dxa"/>
          </w:tcPr>
          <w:p w:rsidR="00000000" w:rsidRDefault="00000000">
            <w:pPr>
              <w:pStyle w:val="SingleTxt"/>
              <w:ind w:left="0" w:right="0"/>
              <w:rPr>
                <w:rtl/>
              </w:rPr>
            </w:pPr>
            <w:r>
              <w:rPr>
                <w:rtl/>
              </w:rPr>
              <w:t>غير موجود</w:t>
            </w:r>
          </w:p>
        </w:tc>
        <w:tc>
          <w:tcPr>
            <w:tcW w:w="2126" w:type="dxa"/>
          </w:tcPr>
          <w:p w:rsidR="00000000" w:rsidRDefault="00000000">
            <w:pPr>
              <w:pStyle w:val="SingleTxt"/>
              <w:ind w:left="0" w:right="0"/>
              <w:rPr>
                <w:rtl/>
              </w:rPr>
            </w:pPr>
          </w:p>
        </w:tc>
      </w:tr>
    </w:tbl>
    <w:p w:rsidR="00000000" w:rsidRDefault="00000000">
      <w:pPr>
        <w:pStyle w:val="SingleTxt"/>
        <w:ind w:left="1264" w:right="1264"/>
        <w:rPr>
          <w:i/>
          <w:iCs/>
          <w:rtl/>
        </w:rPr>
      </w:pPr>
      <w:r>
        <w:rPr>
          <w:i/>
          <w:iCs/>
          <w:szCs w:val="26"/>
          <w:rtl/>
        </w:rPr>
        <w:t>المصدر: وزارة التعليم، المكتب الإقليمي</w:t>
      </w:r>
      <w:r>
        <w:rPr>
          <w:i/>
          <w:iCs/>
          <w:rtl/>
        </w:rPr>
        <w:t>.</w:t>
      </w:r>
    </w:p>
    <w:p w:rsidR="00000000" w:rsidRDefault="00000000">
      <w:pPr>
        <w:pStyle w:val="SingleTxt"/>
        <w:ind w:left="1264" w:right="1264"/>
        <w:rPr>
          <w:rtl/>
        </w:rPr>
      </w:pPr>
      <w:r>
        <w:rPr>
          <w:rtl/>
        </w:rPr>
        <w:tab/>
      </w:r>
      <w:r>
        <w:rPr>
          <w:rtl/>
        </w:rPr>
        <w:tab/>
        <w:t>وتقدم المنح الدراسية وغيرها من المنح بدون تفرقة حسب نوع الجنس والأصل الإثني، غير أن مشاركة المرأة في التعليم المهني والتعليم التقني العالي منخفضة جدا في الوقت الحالي. وعلى الرغم من تشجيع النساء على الاستفادة من المنح الدراسية المخصصة فإن أعدادا منهن لم يؤخذ في الاعتبار.</w:t>
      </w:r>
    </w:p>
    <w:p w:rsidR="00000000" w:rsidRDefault="00000000">
      <w:pPr>
        <w:pStyle w:val="SingleTxt"/>
        <w:ind w:left="1264" w:right="1264"/>
        <w:rPr>
          <w:b/>
          <w:bCs/>
          <w:rtl/>
        </w:rPr>
      </w:pPr>
      <w:r>
        <w:rPr>
          <w:b/>
          <w:bCs/>
          <w:rtl/>
        </w:rPr>
        <w:t xml:space="preserve">الجدول 10: التحاق الإناث بالجامعة، 1998 </w:t>
      </w:r>
      <w:r>
        <w:rPr>
          <w:b/>
          <w:bCs/>
        </w:rPr>
        <w:t>–</w:t>
      </w:r>
      <w:r>
        <w:rPr>
          <w:b/>
          <w:bCs/>
          <w:rtl/>
        </w:rPr>
        <w:t xml:space="preserve"> 2001</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1914"/>
        <w:gridCol w:w="1914"/>
        <w:gridCol w:w="1914"/>
      </w:tblGrid>
      <w:tr w:rsidR="00000000">
        <w:tblPrEx>
          <w:tblCellMar>
            <w:top w:w="0" w:type="dxa"/>
            <w:bottom w:w="0" w:type="dxa"/>
          </w:tblCellMar>
        </w:tblPrEx>
        <w:tc>
          <w:tcPr>
            <w:tcW w:w="1913" w:type="dxa"/>
          </w:tcPr>
          <w:p w:rsidR="00000000" w:rsidRDefault="00000000">
            <w:pPr>
              <w:pStyle w:val="SingleTxt"/>
              <w:ind w:left="0" w:right="0"/>
              <w:rPr>
                <w:rtl/>
              </w:rPr>
            </w:pPr>
            <w:r>
              <w:rPr>
                <w:rtl/>
              </w:rPr>
              <w:t>البرنامج</w:t>
            </w:r>
          </w:p>
        </w:tc>
        <w:tc>
          <w:tcPr>
            <w:tcW w:w="1914" w:type="dxa"/>
          </w:tcPr>
          <w:p w:rsidR="00000000" w:rsidRDefault="00000000">
            <w:pPr>
              <w:pStyle w:val="SingleTxt"/>
              <w:ind w:left="0" w:right="0"/>
              <w:rPr>
                <w:rtl/>
              </w:rPr>
            </w:pPr>
            <w:r>
              <w:rPr>
                <w:rtl/>
              </w:rPr>
              <w:t>1998/1999</w:t>
            </w:r>
          </w:p>
        </w:tc>
        <w:tc>
          <w:tcPr>
            <w:tcW w:w="1914" w:type="dxa"/>
          </w:tcPr>
          <w:p w:rsidR="00000000" w:rsidRDefault="00000000">
            <w:pPr>
              <w:pStyle w:val="SingleTxt"/>
              <w:ind w:left="0" w:right="0"/>
              <w:rPr>
                <w:rtl/>
              </w:rPr>
            </w:pPr>
            <w:r>
              <w:rPr>
                <w:rtl/>
              </w:rPr>
              <w:t>1999/2000</w:t>
            </w:r>
          </w:p>
        </w:tc>
        <w:tc>
          <w:tcPr>
            <w:tcW w:w="1914" w:type="dxa"/>
          </w:tcPr>
          <w:p w:rsidR="00000000" w:rsidRDefault="00000000">
            <w:pPr>
              <w:pStyle w:val="SingleTxt"/>
              <w:ind w:left="0" w:right="0"/>
              <w:rPr>
                <w:rtl/>
              </w:rPr>
            </w:pPr>
            <w:r>
              <w:rPr>
                <w:rtl/>
              </w:rPr>
              <w:t>2000/2001</w:t>
            </w:r>
          </w:p>
        </w:tc>
      </w:tr>
      <w:tr w:rsidR="00000000">
        <w:tblPrEx>
          <w:tblCellMar>
            <w:top w:w="0" w:type="dxa"/>
            <w:bottom w:w="0" w:type="dxa"/>
          </w:tblCellMar>
        </w:tblPrEx>
        <w:tc>
          <w:tcPr>
            <w:tcW w:w="1913" w:type="dxa"/>
          </w:tcPr>
          <w:p w:rsidR="00000000" w:rsidRDefault="00000000">
            <w:pPr>
              <w:pStyle w:val="SingleTxt"/>
              <w:ind w:left="0" w:right="0"/>
              <w:rPr>
                <w:rtl/>
              </w:rPr>
            </w:pPr>
            <w:r>
              <w:rPr>
                <w:rtl/>
              </w:rPr>
              <w:t>الإناث</w:t>
            </w:r>
          </w:p>
        </w:tc>
        <w:tc>
          <w:tcPr>
            <w:tcW w:w="1914" w:type="dxa"/>
          </w:tcPr>
          <w:p w:rsidR="00000000" w:rsidRDefault="00000000">
            <w:pPr>
              <w:pStyle w:val="SingleTxt"/>
              <w:ind w:left="0" w:right="0"/>
              <w:rPr>
                <w:rtl/>
              </w:rPr>
            </w:pPr>
            <w:r>
              <w:rPr>
                <w:rtl/>
              </w:rPr>
              <w:t>540</w:t>
            </w:r>
          </w:p>
        </w:tc>
        <w:tc>
          <w:tcPr>
            <w:tcW w:w="1914" w:type="dxa"/>
          </w:tcPr>
          <w:p w:rsidR="00000000" w:rsidRDefault="00000000">
            <w:pPr>
              <w:pStyle w:val="SingleTxt"/>
              <w:ind w:left="0" w:right="0"/>
              <w:rPr>
                <w:rtl/>
              </w:rPr>
            </w:pPr>
            <w:r>
              <w:rPr>
                <w:rtl/>
              </w:rPr>
              <w:t>592</w:t>
            </w:r>
          </w:p>
        </w:tc>
        <w:tc>
          <w:tcPr>
            <w:tcW w:w="1914" w:type="dxa"/>
          </w:tcPr>
          <w:p w:rsidR="00000000" w:rsidRDefault="00000000">
            <w:pPr>
              <w:pStyle w:val="SingleTxt"/>
              <w:ind w:left="0" w:right="0"/>
              <w:rPr>
                <w:rtl/>
              </w:rPr>
            </w:pPr>
            <w:r>
              <w:rPr>
                <w:rtl/>
              </w:rPr>
              <w:t>652</w:t>
            </w:r>
          </w:p>
        </w:tc>
      </w:tr>
      <w:tr w:rsidR="00000000">
        <w:tblPrEx>
          <w:tblCellMar>
            <w:top w:w="0" w:type="dxa"/>
            <w:bottom w:w="0" w:type="dxa"/>
          </w:tblCellMar>
        </w:tblPrEx>
        <w:tc>
          <w:tcPr>
            <w:tcW w:w="1913" w:type="dxa"/>
          </w:tcPr>
          <w:p w:rsidR="00000000" w:rsidRDefault="00000000">
            <w:pPr>
              <w:pStyle w:val="SingleTxt"/>
              <w:ind w:left="0" w:right="0"/>
              <w:rPr>
                <w:rtl/>
              </w:rPr>
            </w:pPr>
            <w:r>
              <w:rPr>
                <w:rtl/>
              </w:rPr>
              <w:t>المجموع</w:t>
            </w:r>
          </w:p>
        </w:tc>
        <w:tc>
          <w:tcPr>
            <w:tcW w:w="1914" w:type="dxa"/>
          </w:tcPr>
          <w:p w:rsidR="00000000" w:rsidRDefault="00000000">
            <w:pPr>
              <w:pStyle w:val="SingleTxt"/>
              <w:ind w:left="0" w:right="0"/>
              <w:rPr>
                <w:rtl/>
              </w:rPr>
            </w:pPr>
            <w:r>
              <w:rPr>
                <w:rtl/>
              </w:rPr>
              <w:t>994 3</w:t>
            </w:r>
          </w:p>
        </w:tc>
        <w:tc>
          <w:tcPr>
            <w:tcW w:w="1914" w:type="dxa"/>
          </w:tcPr>
          <w:p w:rsidR="00000000" w:rsidRDefault="00000000">
            <w:pPr>
              <w:pStyle w:val="SingleTxt"/>
              <w:ind w:left="0" w:right="0"/>
              <w:rPr>
                <w:rtl/>
              </w:rPr>
            </w:pPr>
            <w:r>
              <w:rPr>
                <w:rtl/>
              </w:rPr>
              <w:t>135 4</w:t>
            </w:r>
          </w:p>
        </w:tc>
        <w:tc>
          <w:tcPr>
            <w:tcW w:w="1914" w:type="dxa"/>
          </w:tcPr>
          <w:p w:rsidR="00000000" w:rsidRDefault="00000000">
            <w:pPr>
              <w:pStyle w:val="SingleTxt"/>
              <w:ind w:left="0" w:right="0"/>
              <w:rPr>
                <w:rtl/>
              </w:rPr>
            </w:pPr>
            <w:r>
              <w:rPr>
                <w:rtl/>
              </w:rPr>
              <w:t>628 4</w:t>
            </w:r>
          </w:p>
        </w:tc>
      </w:tr>
      <w:tr w:rsidR="00000000">
        <w:tblPrEx>
          <w:tblCellMar>
            <w:top w:w="0" w:type="dxa"/>
            <w:bottom w:w="0" w:type="dxa"/>
          </w:tblCellMar>
        </w:tblPrEx>
        <w:tc>
          <w:tcPr>
            <w:tcW w:w="1913" w:type="dxa"/>
          </w:tcPr>
          <w:p w:rsidR="00000000" w:rsidRDefault="00000000">
            <w:pPr>
              <w:pStyle w:val="SingleTxt"/>
              <w:ind w:left="0" w:right="0"/>
              <w:rPr>
                <w:rtl/>
              </w:rPr>
            </w:pPr>
            <w:r>
              <w:rPr>
                <w:rtl/>
              </w:rPr>
              <w:t>النسبة المئوية للإناث</w:t>
            </w:r>
          </w:p>
        </w:tc>
        <w:tc>
          <w:tcPr>
            <w:tcW w:w="1914" w:type="dxa"/>
          </w:tcPr>
          <w:p w:rsidR="00000000" w:rsidRDefault="00000000">
            <w:pPr>
              <w:pStyle w:val="SingleTxt"/>
              <w:ind w:left="0" w:right="0"/>
              <w:rPr>
                <w:rtl/>
              </w:rPr>
            </w:pPr>
            <w:r>
              <w:rPr>
                <w:rtl/>
              </w:rPr>
              <w:t>13.52</w:t>
            </w:r>
            <w:r>
              <w:rPr>
                <w:rFonts w:cs="Akhbar MT"/>
                <w:rtl/>
              </w:rPr>
              <w:t>%</w:t>
            </w:r>
          </w:p>
        </w:tc>
        <w:tc>
          <w:tcPr>
            <w:tcW w:w="1914" w:type="dxa"/>
          </w:tcPr>
          <w:p w:rsidR="00000000" w:rsidRDefault="00000000">
            <w:pPr>
              <w:pStyle w:val="SingleTxt"/>
              <w:ind w:left="0" w:right="0"/>
              <w:rPr>
                <w:rtl/>
              </w:rPr>
            </w:pPr>
            <w:r>
              <w:rPr>
                <w:rtl/>
              </w:rPr>
              <w:t>14.31</w:t>
            </w:r>
            <w:r>
              <w:rPr>
                <w:rFonts w:cs="Akhbar MT"/>
                <w:rtl/>
              </w:rPr>
              <w:t>%</w:t>
            </w:r>
          </w:p>
        </w:tc>
        <w:tc>
          <w:tcPr>
            <w:tcW w:w="1914" w:type="dxa"/>
          </w:tcPr>
          <w:p w:rsidR="00000000" w:rsidRDefault="00000000">
            <w:pPr>
              <w:pStyle w:val="SingleTxt"/>
              <w:ind w:left="0" w:right="0"/>
              <w:rPr>
                <w:rtl/>
              </w:rPr>
            </w:pPr>
            <w:r>
              <w:rPr>
                <w:rtl/>
              </w:rPr>
              <w:t>14.1</w:t>
            </w:r>
            <w:r>
              <w:rPr>
                <w:rFonts w:cs="Akhbar MT"/>
                <w:rtl/>
              </w:rPr>
              <w:t>%</w:t>
            </w:r>
          </w:p>
        </w:tc>
      </w:tr>
    </w:tbl>
    <w:p w:rsidR="00000000" w:rsidRDefault="00000000">
      <w:pPr>
        <w:pStyle w:val="SingleTxt"/>
        <w:ind w:left="1264" w:right="1264"/>
        <w:rPr>
          <w:rtl/>
        </w:rPr>
      </w:pPr>
      <w:r>
        <w:rPr>
          <w:i/>
          <w:iCs/>
          <w:szCs w:val="26"/>
          <w:rtl/>
        </w:rPr>
        <w:t>المصدر: الشؤون الأكاديمية بجامعة أسمره</w:t>
      </w:r>
      <w:r>
        <w:rPr>
          <w:i/>
          <w:iCs/>
          <w:rtl/>
        </w:rPr>
        <w:t>.</w:t>
      </w:r>
    </w:p>
    <w:p w:rsidR="00000000" w:rsidRDefault="00000000">
      <w:pPr>
        <w:pStyle w:val="SingleTxt"/>
        <w:ind w:left="1264" w:right="1264"/>
        <w:rPr>
          <w:rtl/>
        </w:rPr>
      </w:pPr>
      <w:r>
        <w:rPr>
          <w:rtl/>
        </w:rPr>
        <w:tab/>
      </w:r>
      <w:r>
        <w:rPr>
          <w:rtl/>
        </w:rPr>
        <w:tab/>
        <w:t xml:space="preserve">ويتراوح معدل التحاق الفتيات بالجامعة في برامج الحصول على الدرجة والدبلوم والشهادة بين 13 </w:t>
      </w:r>
      <w:r>
        <w:t>–</w:t>
      </w:r>
      <w:r>
        <w:rPr>
          <w:rtl/>
        </w:rPr>
        <w:t xml:space="preserve"> 14 في المائة. وقد حدثت زيادة طفيفة في الالتحاق في عام 2001. ومع ذلك، ظلت مشاركة النساء منخفضة جدا بالمقارنة بمشاركة الذكور. وثمة نتيجة أخرى تستفاد من إحصاءات الجامعة هي أن الطلبات يتجهن نحو العلوم الاجتماعية. وعلى سبيل المثال، كانت هناك 47 طالبة فقط مسجلات في ميدان العلوم الطبيعية في برنامج المستجدين عام 1999/2000 في حين أن 136 طالبة كن مسجلات في العلوم الاجتماعية. وفي برنامج المستجدين لعام 2000/2001 كانت هناك ما مجموعة 62 طالبة في ميدان العلوم الطبيعية في حين كانت هناك 128 طالبة في برنامج العلوم الاجتماعية. وعلى الرغم من أنه من الصعب جدا التوصل إلى نتيجة، فإن المرء يمكن أن يقول أن هناك اتجاها لدى الطالبات لتفضيل البرامج الاجتماعية.</w:t>
      </w:r>
    </w:p>
    <w:p w:rsidR="00000000" w:rsidRDefault="00000000">
      <w:pPr>
        <w:pStyle w:val="SingleTxt"/>
        <w:ind w:left="1264" w:right="1264"/>
        <w:rPr>
          <w:b/>
          <w:bCs/>
          <w:rtl/>
        </w:rPr>
      </w:pPr>
      <w:r>
        <w:rPr>
          <w:b/>
          <w:bCs/>
          <w:rtl/>
        </w:rPr>
        <w:t xml:space="preserve">الجدول 11: خريجات الجامعة، 1991 </w:t>
      </w:r>
      <w:r>
        <w:rPr>
          <w:b/>
          <w:bCs/>
        </w:rPr>
        <w:t>–</w:t>
      </w:r>
      <w:r>
        <w:rPr>
          <w:b/>
          <w:bCs/>
          <w:rtl/>
        </w:rPr>
        <w:t xml:space="preserve"> 2001</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3"/>
        <w:gridCol w:w="708"/>
        <w:gridCol w:w="709"/>
        <w:gridCol w:w="709"/>
        <w:gridCol w:w="709"/>
        <w:gridCol w:w="708"/>
        <w:gridCol w:w="851"/>
        <w:gridCol w:w="709"/>
        <w:gridCol w:w="708"/>
        <w:gridCol w:w="851"/>
        <w:gridCol w:w="709"/>
        <w:gridCol w:w="1232"/>
      </w:tblGrid>
      <w:tr w:rsidR="00000000">
        <w:tblPrEx>
          <w:tblCellMar>
            <w:top w:w="0" w:type="dxa"/>
            <w:bottom w:w="0" w:type="dxa"/>
          </w:tblCellMar>
        </w:tblPrEx>
        <w:trPr>
          <w:cantSplit/>
        </w:trPr>
        <w:tc>
          <w:tcPr>
            <w:tcW w:w="1453" w:type="dxa"/>
            <w:vMerge w:val="restart"/>
          </w:tcPr>
          <w:p w:rsidR="00000000" w:rsidRDefault="00000000">
            <w:pPr>
              <w:pStyle w:val="SingleTxt"/>
              <w:ind w:left="-57" w:right="0"/>
              <w:jc w:val="center"/>
              <w:rPr>
                <w:b/>
                <w:bCs/>
                <w:szCs w:val="24"/>
                <w:rtl/>
              </w:rPr>
            </w:pPr>
            <w:r>
              <w:rPr>
                <w:b/>
                <w:bCs/>
                <w:szCs w:val="24"/>
                <w:rtl/>
              </w:rPr>
              <w:t>الكليات</w:t>
            </w:r>
          </w:p>
        </w:tc>
        <w:tc>
          <w:tcPr>
            <w:tcW w:w="2126" w:type="dxa"/>
            <w:gridSpan w:val="3"/>
          </w:tcPr>
          <w:p w:rsidR="00000000" w:rsidRDefault="00000000">
            <w:pPr>
              <w:pStyle w:val="SingleTxt"/>
              <w:ind w:left="-57" w:right="0"/>
              <w:jc w:val="center"/>
              <w:rPr>
                <w:b/>
                <w:bCs/>
                <w:szCs w:val="24"/>
                <w:rtl/>
              </w:rPr>
            </w:pPr>
            <w:r>
              <w:rPr>
                <w:b/>
                <w:bCs/>
                <w:szCs w:val="24"/>
                <w:rtl/>
              </w:rPr>
              <w:t>الدرجة</w:t>
            </w:r>
          </w:p>
        </w:tc>
        <w:tc>
          <w:tcPr>
            <w:tcW w:w="2268" w:type="dxa"/>
            <w:gridSpan w:val="3"/>
          </w:tcPr>
          <w:p w:rsidR="00000000" w:rsidRDefault="00000000">
            <w:pPr>
              <w:pStyle w:val="SingleTxt"/>
              <w:ind w:left="-57" w:right="0"/>
              <w:jc w:val="center"/>
              <w:rPr>
                <w:b/>
                <w:bCs/>
                <w:szCs w:val="24"/>
                <w:rtl/>
              </w:rPr>
            </w:pPr>
            <w:r>
              <w:rPr>
                <w:b/>
                <w:bCs/>
                <w:szCs w:val="24"/>
                <w:rtl/>
              </w:rPr>
              <w:t>الدبلوم</w:t>
            </w:r>
          </w:p>
        </w:tc>
        <w:tc>
          <w:tcPr>
            <w:tcW w:w="2268" w:type="dxa"/>
            <w:gridSpan w:val="3"/>
          </w:tcPr>
          <w:p w:rsidR="00000000" w:rsidRDefault="00000000">
            <w:pPr>
              <w:pStyle w:val="SingleTxt"/>
              <w:ind w:left="-57" w:right="0"/>
              <w:jc w:val="center"/>
              <w:rPr>
                <w:b/>
                <w:bCs/>
                <w:szCs w:val="24"/>
                <w:rtl/>
              </w:rPr>
            </w:pPr>
            <w:r>
              <w:rPr>
                <w:b/>
                <w:bCs/>
                <w:szCs w:val="24"/>
                <w:rtl/>
              </w:rPr>
              <w:t>الشهادة</w:t>
            </w:r>
          </w:p>
        </w:tc>
        <w:tc>
          <w:tcPr>
            <w:tcW w:w="1941" w:type="dxa"/>
            <w:gridSpan w:val="2"/>
          </w:tcPr>
          <w:p w:rsidR="00000000" w:rsidRDefault="00000000">
            <w:pPr>
              <w:pStyle w:val="SingleTxt"/>
              <w:ind w:left="-57" w:right="0"/>
              <w:jc w:val="center"/>
              <w:rPr>
                <w:b/>
                <w:bCs/>
                <w:szCs w:val="24"/>
                <w:rtl/>
              </w:rPr>
            </w:pPr>
            <w:r>
              <w:rPr>
                <w:b/>
                <w:bCs/>
                <w:szCs w:val="24"/>
                <w:rtl/>
              </w:rPr>
              <w:t>المجموع الكلي</w:t>
            </w:r>
          </w:p>
        </w:tc>
      </w:tr>
      <w:tr w:rsidR="00000000">
        <w:tblPrEx>
          <w:tblCellMar>
            <w:top w:w="0" w:type="dxa"/>
            <w:bottom w:w="0" w:type="dxa"/>
          </w:tblCellMar>
        </w:tblPrEx>
        <w:trPr>
          <w:cantSplit/>
        </w:trPr>
        <w:tc>
          <w:tcPr>
            <w:tcW w:w="1453" w:type="dxa"/>
            <w:vMerge/>
          </w:tcPr>
          <w:p w:rsidR="00000000" w:rsidRDefault="00000000">
            <w:pPr>
              <w:pStyle w:val="SingleTxt"/>
              <w:ind w:left="-57" w:right="0"/>
              <w:rPr>
                <w:szCs w:val="24"/>
                <w:rtl/>
              </w:rPr>
            </w:pPr>
          </w:p>
        </w:tc>
        <w:tc>
          <w:tcPr>
            <w:tcW w:w="708" w:type="dxa"/>
          </w:tcPr>
          <w:p w:rsidR="00000000" w:rsidRDefault="00000000">
            <w:pPr>
              <w:pStyle w:val="SingleTxt"/>
              <w:ind w:left="-57" w:right="0"/>
              <w:rPr>
                <w:b/>
                <w:bCs/>
                <w:szCs w:val="24"/>
                <w:rtl/>
              </w:rPr>
            </w:pPr>
            <w:r>
              <w:rPr>
                <w:b/>
                <w:bCs/>
                <w:szCs w:val="24"/>
                <w:rtl/>
              </w:rPr>
              <w:t>ذكور</w:t>
            </w:r>
          </w:p>
        </w:tc>
        <w:tc>
          <w:tcPr>
            <w:tcW w:w="709" w:type="dxa"/>
          </w:tcPr>
          <w:p w:rsidR="00000000" w:rsidRDefault="00000000">
            <w:pPr>
              <w:pStyle w:val="SingleTxt"/>
              <w:ind w:left="-57" w:right="0"/>
              <w:rPr>
                <w:b/>
                <w:bCs/>
                <w:szCs w:val="24"/>
                <w:rtl/>
              </w:rPr>
            </w:pPr>
            <w:r>
              <w:rPr>
                <w:b/>
                <w:bCs/>
                <w:szCs w:val="24"/>
                <w:rtl/>
              </w:rPr>
              <w:t>إناث</w:t>
            </w:r>
          </w:p>
        </w:tc>
        <w:tc>
          <w:tcPr>
            <w:tcW w:w="709" w:type="dxa"/>
          </w:tcPr>
          <w:p w:rsidR="00000000" w:rsidRDefault="00000000">
            <w:pPr>
              <w:pStyle w:val="SingleTxt"/>
              <w:ind w:left="-57" w:right="0"/>
              <w:rPr>
                <w:b/>
                <w:bCs/>
                <w:szCs w:val="24"/>
                <w:rtl/>
              </w:rPr>
            </w:pPr>
            <w:r>
              <w:rPr>
                <w:b/>
                <w:bCs/>
                <w:szCs w:val="24"/>
                <w:rtl/>
              </w:rPr>
              <w:t>المجموع</w:t>
            </w:r>
          </w:p>
        </w:tc>
        <w:tc>
          <w:tcPr>
            <w:tcW w:w="709" w:type="dxa"/>
          </w:tcPr>
          <w:p w:rsidR="00000000" w:rsidRDefault="00000000">
            <w:pPr>
              <w:pStyle w:val="SingleTxt"/>
              <w:ind w:left="-57" w:right="0"/>
              <w:rPr>
                <w:b/>
                <w:bCs/>
                <w:szCs w:val="24"/>
                <w:rtl/>
              </w:rPr>
            </w:pPr>
            <w:r>
              <w:rPr>
                <w:b/>
                <w:bCs/>
                <w:szCs w:val="24"/>
                <w:rtl/>
              </w:rPr>
              <w:t>ذكور</w:t>
            </w:r>
          </w:p>
        </w:tc>
        <w:tc>
          <w:tcPr>
            <w:tcW w:w="708" w:type="dxa"/>
          </w:tcPr>
          <w:p w:rsidR="00000000" w:rsidRDefault="00000000">
            <w:pPr>
              <w:pStyle w:val="SingleTxt"/>
              <w:ind w:left="-57" w:right="0"/>
              <w:rPr>
                <w:b/>
                <w:bCs/>
                <w:szCs w:val="24"/>
                <w:rtl/>
              </w:rPr>
            </w:pPr>
            <w:r>
              <w:rPr>
                <w:b/>
                <w:bCs/>
                <w:szCs w:val="24"/>
                <w:rtl/>
              </w:rPr>
              <w:t>إناث</w:t>
            </w:r>
          </w:p>
        </w:tc>
        <w:tc>
          <w:tcPr>
            <w:tcW w:w="851" w:type="dxa"/>
          </w:tcPr>
          <w:p w:rsidR="00000000" w:rsidRDefault="00000000">
            <w:pPr>
              <w:pStyle w:val="SingleTxt"/>
              <w:ind w:left="-57" w:right="0"/>
              <w:rPr>
                <w:b/>
                <w:bCs/>
                <w:szCs w:val="24"/>
                <w:rtl/>
              </w:rPr>
            </w:pPr>
            <w:r>
              <w:rPr>
                <w:b/>
                <w:bCs/>
                <w:szCs w:val="24"/>
                <w:rtl/>
              </w:rPr>
              <w:t>المجموع</w:t>
            </w:r>
          </w:p>
        </w:tc>
        <w:tc>
          <w:tcPr>
            <w:tcW w:w="709" w:type="dxa"/>
          </w:tcPr>
          <w:p w:rsidR="00000000" w:rsidRDefault="00000000">
            <w:pPr>
              <w:pStyle w:val="SingleTxt"/>
              <w:ind w:left="-57" w:right="0"/>
              <w:rPr>
                <w:b/>
                <w:bCs/>
                <w:szCs w:val="24"/>
                <w:rtl/>
              </w:rPr>
            </w:pPr>
            <w:r>
              <w:rPr>
                <w:b/>
                <w:bCs/>
                <w:szCs w:val="24"/>
                <w:rtl/>
              </w:rPr>
              <w:t>ذكور</w:t>
            </w:r>
          </w:p>
        </w:tc>
        <w:tc>
          <w:tcPr>
            <w:tcW w:w="708" w:type="dxa"/>
          </w:tcPr>
          <w:p w:rsidR="00000000" w:rsidRDefault="00000000">
            <w:pPr>
              <w:pStyle w:val="SingleTxt"/>
              <w:ind w:left="-57" w:right="0"/>
              <w:rPr>
                <w:b/>
                <w:bCs/>
                <w:szCs w:val="24"/>
                <w:rtl/>
              </w:rPr>
            </w:pPr>
            <w:r>
              <w:rPr>
                <w:b/>
                <w:bCs/>
                <w:szCs w:val="24"/>
                <w:rtl/>
              </w:rPr>
              <w:t>إناث</w:t>
            </w:r>
          </w:p>
        </w:tc>
        <w:tc>
          <w:tcPr>
            <w:tcW w:w="851" w:type="dxa"/>
          </w:tcPr>
          <w:p w:rsidR="00000000" w:rsidRDefault="00000000">
            <w:pPr>
              <w:pStyle w:val="SingleTxt"/>
              <w:ind w:left="-57" w:right="0"/>
              <w:rPr>
                <w:b/>
                <w:bCs/>
                <w:szCs w:val="24"/>
                <w:rtl/>
              </w:rPr>
            </w:pPr>
            <w:r>
              <w:rPr>
                <w:b/>
                <w:bCs/>
                <w:szCs w:val="24"/>
                <w:rtl/>
              </w:rPr>
              <w:t>المجموع</w:t>
            </w:r>
          </w:p>
        </w:tc>
        <w:tc>
          <w:tcPr>
            <w:tcW w:w="709" w:type="dxa"/>
          </w:tcPr>
          <w:p w:rsidR="00000000" w:rsidRDefault="00000000">
            <w:pPr>
              <w:pStyle w:val="SingleTxt"/>
              <w:ind w:left="-57" w:right="0"/>
              <w:rPr>
                <w:b/>
                <w:bCs/>
                <w:szCs w:val="24"/>
                <w:rtl/>
              </w:rPr>
            </w:pPr>
            <w:r>
              <w:rPr>
                <w:b/>
                <w:bCs/>
                <w:szCs w:val="24"/>
                <w:rtl/>
              </w:rPr>
              <w:t>المجموع</w:t>
            </w:r>
          </w:p>
        </w:tc>
        <w:tc>
          <w:tcPr>
            <w:tcW w:w="1232" w:type="dxa"/>
          </w:tcPr>
          <w:p w:rsidR="00000000" w:rsidRDefault="00000000">
            <w:pPr>
              <w:pStyle w:val="SingleTxt"/>
              <w:ind w:left="-57" w:right="0"/>
              <w:rPr>
                <w:b/>
                <w:bCs/>
                <w:szCs w:val="24"/>
                <w:rtl/>
              </w:rPr>
            </w:pPr>
            <w:r>
              <w:rPr>
                <w:b/>
                <w:bCs/>
                <w:szCs w:val="24"/>
                <w:rtl/>
              </w:rPr>
              <w:t>النسبة المئوية</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العلوم الطبيعية</w:t>
            </w:r>
          </w:p>
        </w:tc>
        <w:tc>
          <w:tcPr>
            <w:tcW w:w="708" w:type="dxa"/>
          </w:tcPr>
          <w:p w:rsidR="00000000" w:rsidRDefault="00000000">
            <w:pPr>
              <w:pStyle w:val="SingleTxt"/>
              <w:ind w:left="-57" w:right="0"/>
              <w:rPr>
                <w:szCs w:val="24"/>
                <w:rtl/>
              </w:rPr>
            </w:pPr>
            <w:r>
              <w:rPr>
                <w:szCs w:val="24"/>
                <w:rtl/>
              </w:rPr>
              <w:t>686</w:t>
            </w:r>
          </w:p>
        </w:tc>
        <w:tc>
          <w:tcPr>
            <w:tcW w:w="709" w:type="dxa"/>
          </w:tcPr>
          <w:p w:rsidR="00000000" w:rsidRDefault="00000000">
            <w:pPr>
              <w:pStyle w:val="SingleTxt"/>
              <w:ind w:left="-57" w:right="0"/>
              <w:rPr>
                <w:szCs w:val="24"/>
                <w:rtl/>
              </w:rPr>
            </w:pPr>
            <w:r>
              <w:rPr>
                <w:szCs w:val="24"/>
                <w:rtl/>
              </w:rPr>
              <w:t>79</w:t>
            </w:r>
          </w:p>
        </w:tc>
        <w:tc>
          <w:tcPr>
            <w:tcW w:w="709" w:type="dxa"/>
          </w:tcPr>
          <w:p w:rsidR="00000000" w:rsidRDefault="00000000">
            <w:pPr>
              <w:pStyle w:val="SingleTxt"/>
              <w:ind w:left="-57" w:right="0"/>
              <w:rPr>
                <w:szCs w:val="24"/>
                <w:rtl/>
              </w:rPr>
            </w:pPr>
            <w:r>
              <w:rPr>
                <w:szCs w:val="24"/>
                <w:rtl/>
              </w:rPr>
              <w:t>765</w:t>
            </w:r>
          </w:p>
        </w:tc>
        <w:tc>
          <w:tcPr>
            <w:tcW w:w="709" w:type="dxa"/>
          </w:tcPr>
          <w:p w:rsidR="00000000" w:rsidRDefault="00000000">
            <w:pPr>
              <w:pStyle w:val="SingleTxt"/>
              <w:ind w:left="-57" w:right="0"/>
              <w:rPr>
                <w:szCs w:val="24"/>
                <w:rtl/>
              </w:rPr>
            </w:pPr>
            <w:r>
              <w:rPr>
                <w:szCs w:val="24"/>
                <w:rtl/>
              </w:rPr>
              <w:t>-</w:t>
            </w:r>
          </w:p>
        </w:tc>
        <w:tc>
          <w:tcPr>
            <w:tcW w:w="708" w:type="dxa"/>
          </w:tcPr>
          <w:p w:rsidR="00000000" w:rsidRDefault="00000000">
            <w:pPr>
              <w:pStyle w:val="SingleTxt"/>
              <w:ind w:left="-57" w:right="0"/>
              <w:rPr>
                <w:szCs w:val="24"/>
                <w:rtl/>
              </w:rPr>
            </w:pPr>
            <w:r>
              <w:rPr>
                <w:szCs w:val="24"/>
                <w:rtl/>
              </w:rPr>
              <w:t>-</w:t>
            </w:r>
          </w:p>
        </w:tc>
        <w:tc>
          <w:tcPr>
            <w:tcW w:w="851" w:type="dxa"/>
          </w:tcPr>
          <w:p w:rsidR="00000000" w:rsidRDefault="00000000">
            <w:pPr>
              <w:pStyle w:val="SingleTxt"/>
              <w:ind w:left="-57" w:right="0"/>
              <w:rPr>
                <w:szCs w:val="24"/>
                <w:rtl/>
              </w:rPr>
            </w:pPr>
            <w:r>
              <w:rPr>
                <w:szCs w:val="24"/>
                <w:rtl/>
              </w:rPr>
              <w:t>-</w:t>
            </w:r>
          </w:p>
        </w:tc>
        <w:tc>
          <w:tcPr>
            <w:tcW w:w="709" w:type="dxa"/>
          </w:tcPr>
          <w:p w:rsidR="00000000" w:rsidRDefault="00000000">
            <w:pPr>
              <w:pStyle w:val="SingleTxt"/>
              <w:ind w:left="-57" w:right="0"/>
              <w:rPr>
                <w:szCs w:val="24"/>
                <w:rtl/>
              </w:rPr>
            </w:pPr>
            <w:r>
              <w:rPr>
                <w:szCs w:val="24"/>
                <w:rtl/>
              </w:rPr>
              <w:t>20</w:t>
            </w:r>
          </w:p>
        </w:tc>
        <w:tc>
          <w:tcPr>
            <w:tcW w:w="708" w:type="dxa"/>
          </w:tcPr>
          <w:p w:rsidR="00000000" w:rsidRDefault="00000000">
            <w:pPr>
              <w:pStyle w:val="SingleTxt"/>
              <w:ind w:left="-57" w:right="0"/>
              <w:rPr>
                <w:szCs w:val="24"/>
                <w:rtl/>
              </w:rPr>
            </w:pPr>
            <w:r>
              <w:rPr>
                <w:szCs w:val="24"/>
                <w:rtl/>
              </w:rPr>
              <w:t>2</w:t>
            </w:r>
          </w:p>
        </w:tc>
        <w:tc>
          <w:tcPr>
            <w:tcW w:w="851" w:type="dxa"/>
          </w:tcPr>
          <w:p w:rsidR="00000000" w:rsidRDefault="00000000">
            <w:pPr>
              <w:pStyle w:val="SingleTxt"/>
              <w:ind w:left="-57" w:right="0"/>
              <w:rPr>
                <w:szCs w:val="24"/>
                <w:rtl/>
              </w:rPr>
            </w:pPr>
            <w:r>
              <w:rPr>
                <w:szCs w:val="24"/>
                <w:rtl/>
              </w:rPr>
              <w:t>22</w:t>
            </w:r>
          </w:p>
        </w:tc>
        <w:tc>
          <w:tcPr>
            <w:tcW w:w="709" w:type="dxa"/>
          </w:tcPr>
          <w:p w:rsidR="00000000" w:rsidRDefault="00000000">
            <w:pPr>
              <w:pStyle w:val="SingleTxt"/>
              <w:ind w:left="-57" w:right="0"/>
              <w:rPr>
                <w:szCs w:val="24"/>
                <w:rtl/>
              </w:rPr>
            </w:pPr>
            <w:r>
              <w:rPr>
                <w:szCs w:val="24"/>
                <w:rtl/>
              </w:rPr>
              <w:t>787</w:t>
            </w:r>
          </w:p>
        </w:tc>
        <w:tc>
          <w:tcPr>
            <w:tcW w:w="1232" w:type="dxa"/>
          </w:tcPr>
          <w:p w:rsidR="00000000" w:rsidRDefault="00000000">
            <w:pPr>
              <w:pStyle w:val="SingleTxt"/>
              <w:ind w:left="-57" w:right="0"/>
              <w:rPr>
                <w:szCs w:val="24"/>
                <w:rtl/>
              </w:rPr>
            </w:pPr>
            <w:r>
              <w:rPr>
                <w:szCs w:val="24"/>
                <w:rtl/>
              </w:rPr>
              <w:t>16.6</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علوم الصحة</w:t>
            </w:r>
          </w:p>
        </w:tc>
        <w:tc>
          <w:tcPr>
            <w:tcW w:w="708" w:type="dxa"/>
          </w:tcPr>
          <w:p w:rsidR="00000000" w:rsidRDefault="00000000">
            <w:pPr>
              <w:pStyle w:val="SingleTxt"/>
              <w:ind w:left="-57" w:right="0"/>
              <w:rPr>
                <w:szCs w:val="24"/>
                <w:rtl/>
              </w:rPr>
            </w:pPr>
            <w:r>
              <w:rPr>
                <w:szCs w:val="24"/>
                <w:rtl/>
              </w:rPr>
              <w:t>66</w:t>
            </w:r>
          </w:p>
        </w:tc>
        <w:tc>
          <w:tcPr>
            <w:tcW w:w="709" w:type="dxa"/>
          </w:tcPr>
          <w:p w:rsidR="00000000" w:rsidRDefault="00000000">
            <w:pPr>
              <w:pStyle w:val="SingleTxt"/>
              <w:ind w:left="-57" w:right="0"/>
              <w:rPr>
                <w:szCs w:val="24"/>
                <w:rtl/>
              </w:rPr>
            </w:pPr>
            <w:r>
              <w:rPr>
                <w:szCs w:val="24"/>
                <w:rtl/>
              </w:rPr>
              <w:t>17</w:t>
            </w:r>
          </w:p>
        </w:tc>
        <w:tc>
          <w:tcPr>
            <w:tcW w:w="709" w:type="dxa"/>
          </w:tcPr>
          <w:p w:rsidR="00000000" w:rsidRDefault="00000000">
            <w:pPr>
              <w:pStyle w:val="SingleTxt"/>
              <w:ind w:left="-57" w:right="0"/>
              <w:rPr>
                <w:szCs w:val="24"/>
                <w:rtl/>
              </w:rPr>
            </w:pPr>
            <w:r>
              <w:rPr>
                <w:szCs w:val="24"/>
                <w:rtl/>
              </w:rPr>
              <w:t>83</w:t>
            </w:r>
          </w:p>
        </w:tc>
        <w:tc>
          <w:tcPr>
            <w:tcW w:w="709" w:type="dxa"/>
          </w:tcPr>
          <w:p w:rsidR="00000000" w:rsidRDefault="00000000">
            <w:pPr>
              <w:pStyle w:val="SingleTxt"/>
              <w:ind w:left="-57" w:right="0"/>
              <w:rPr>
                <w:szCs w:val="24"/>
                <w:rtl/>
              </w:rPr>
            </w:pPr>
            <w:r>
              <w:rPr>
                <w:szCs w:val="24"/>
                <w:rtl/>
              </w:rPr>
              <w:t>34</w:t>
            </w:r>
          </w:p>
        </w:tc>
        <w:tc>
          <w:tcPr>
            <w:tcW w:w="708" w:type="dxa"/>
          </w:tcPr>
          <w:p w:rsidR="00000000" w:rsidRDefault="00000000">
            <w:pPr>
              <w:pStyle w:val="SingleTxt"/>
              <w:ind w:left="-57" w:right="0"/>
              <w:rPr>
                <w:szCs w:val="24"/>
                <w:rtl/>
              </w:rPr>
            </w:pPr>
            <w:r>
              <w:rPr>
                <w:szCs w:val="24"/>
                <w:rtl/>
              </w:rPr>
              <w:t>4</w:t>
            </w:r>
          </w:p>
        </w:tc>
        <w:tc>
          <w:tcPr>
            <w:tcW w:w="851" w:type="dxa"/>
          </w:tcPr>
          <w:p w:rsidR="00000000" w:rsidRDefault="00000000">
            <w:pPr>
              <w:pStyle w:val="SingleTxt"/>
              <w:ind w:left="-57" w:right="0"/>
              <w:rPr>
                <w:szCs w:val="24"/>
                <w:rtl/>
              </w:rPr>
            </w:pPr>
            <w:r>
              <w:rPr>
                <w:szCs w:val="24"/>
                <w:rtl/>
              </w:rPr>
              <w:t>38</w:t>
            </w:r>
          </w:p>
        </w:tc>
        <w:tc>
          <w:tcPr>
            <w:tcW w:w="709" w:type="dxa"/>
          </w:tcPr>
          <w:p w:rsidR="00000000" w:rsidRDefault="00000000">
            <w:pPr>
              <w:pStyle w:val="SingleTxt"/>
              <w:ind w:left="-57" w:right="0"/>
              <w:rPr>
                <w:szCs w:val="24"/>
                <w:rtl/>
              </w:rPr>
            </w:pPr>
            <w:r>
              <w:rPr>
                <w:szCs w:val="24"/>
                <w:rtl/>
              </w:rPr>
              <w:t>- -</w:t>
            </w:r>
          </w:p>
        </w:tc>
        <w:tc>
          <w:tcPr>
            <w:tcW w:w="708" w:type="dxa"/>
          </w:tcPr>
          <w:p w:rsidR="00000000" w:rsidRDefault="00000000">
            <w:pPr>
              <w:pStyle w:val="SingleTxt"/>
              <w:ind w:left="-57" w:right="0"/>
              <w:rPr>
                <w:szCs w:val="24"/>
                <w:rtl/>
              </w:rPr>
            </w:pPr>
            <w:r>
              <w:rPr>
                <w:szCs w:val="24"/>
                <w:rtl/>
              </w:rPr>
              <w:t>-</w:t>
            </w:r>
          </w:p>
        </w:tc>
        <w:tc>
          <w:tcPr>
            <w:tcW w:w="851" w:type="dxa"/>
          </w:tcPr>
          <w:p w:rsidR="00000000" w:rsidRDefault="00000000">
            <w:pPr>
              <w:pStyle w:val="SingleTxt"/>
              <w:ind w:left="-57" w:right="0"/>
              <w:rPr>
                <w:szCs w:val="24"/>
                <w:rtl/>
              </w:rPr>
            </w:pPr>
            <w:r>
              <w:rPr>
                <w:szCs w:val="24"/>
                <w:rtl/>
              </w:rPr>
              <w:t>- -</w:t>
            </w:r>
          </w:p>
        </w:tc>
        <w:tc>
          <w:tcPr>
            <w:tcW w:w="709" w:type="dxa"/>
          </w:tcPr>
          <w:p w:rsidR="00000000" w:rsidRDefault="00000000">
            <w:pPr>
              <w:pStyle w:val="SingleTxt"/>
              <w:ind w:left="-57" w:right="0"/>
              <w:rPr>
                <w:szCs w:val="24"/>
                <w:rtl/>
              </w:rPr>
            </w:pPr>
            <w:r>
              <w:rPr>
                <w:szCs w:val="24"/>
                <w:rtl/>
              </w:rPr>
              <w:t>121</w:t>
            </w:r>
          </w:p>
        </w:tc>
        <w:tc>
          <w:tcPr>
            <w:tcW w:w="1232" w:type="dxa"/>
          </w:tcPr>
          <w:p w:rsidR="00000000" w:rsidRDefault="00000000">
            <w:pPr>
              <w:pStyle w:val="SingleTxt"/>
              <w:ind w:left="-57" w:right="0"/>
              <w:rPr>
                <w:szCs w:val="24"/>
                <w:rtl/>
              </w:rPr>
            </w:pPr>
            <w:r>
              <w:rPr>
                <w:szCs w:val="24"/>
                <w:rtl/>
              </w:rPr>
              <w:t>2.6</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الفنون والعلوم الاجتماعية</w:t>
            </w:r>
          </w:p>
        </w:tc>
        <w:tc>
          <w:tcPr>
            <w:tcW w:w="708" w:type="dxa"/>
          </w:tcPr>
          <w:p w:rsidR="00000000" w:rsidRDefault="00000000">
            <w:pPr>
              <w:pStyle w:val="SingleTxt"/>
              <w:ind w:left="-57" w:right="0"/>
              <w:rPr>
                <w:szCs w:val="24"/>
                <w:rtl/>
              </w:rPr>
            </w:pPr>
            <w:r>
              <w:rPr>
                <w:szCs w:val="24"/>
                <w:rtl/>
              </w:rPr>
              <w:t>462</w:t>
            </w:r>
          </w:p>
        </w:tc>
        <w:tc>
          <w:tcPr>
            <w:tcW w:w="709" w:type="dxa"/>
          </w:tcPr>
          <w:p w:rsidR="00000000" w:rsidRDefault="00000000">
            <w:pPr>
              <w:pStyle w:val="SingleTxt"/>
              <w:ind w:left="-57" w:right="0"/>
              <w:rPr>
                <w:szCs w:val="24"/>
                <w:rtl/>
              </w:rPr>
            </w:pPr>
            <w:r>
              <w:rPr>
                <w:szCs w:val="24"/>
                <w:rtl/>
              </w:rPr>
              <w:t>64</w:t>
            </w:r>
          </w:p>
        </w:tc>
        <w:tc>
          <w:tcPr>
            <w:tcW w:w="709" w:type="dxa"/>
          </w:tcPr>
          <w:p w:rsidR="00000000" w:rsidRDefault="00000000">
            <w:pPr>
              <w:pStyle w:val="SingleTxt"/>
              <w:ind w:left="-57" w:right="0"/>
              <w:rPr>
                <w:szCs w:val="24"/>
                <w:rtl/>
              </w:rPr>
            </w:pPr>
            <w:r>
              <w:rPr>
                <w:szCs w:val="24"/>
                <w:rtl/>
              </w:rPr>
              <w:t>526</w:t>
            </w:r>
          </w:p>
        </w:tc>
        <w:tc>
          <w:tcPr>
            <w:tcW w:w="709" w:type="dxa"/>
          </w:tcPr>
          <w:p w:rsidR="00000000" w:rsidRDefault="00000000">
            <w:pPr>
              <w:pStyle w:val="SingleTxt"/>
              <w:ind w:left="-57" w:right="0"/>
              <w:rPr>
                <w:szCs w:val="24"/>
                <w:rtl/>
              </w:rPr>
            </w:pPr>
            <w:r>
              <w:rPr>
                <w:szCs w:val="24"/>
                <w:rtl/>
              </w:rPr>
              <w:t>164</w:t>
            </w:r>
          </w:p>
        </w:tc>
        <w:tc>
          <w:tcPr>
            <w:tcW w:w="708" w:type="dxa"/>
          </w:tcPr>
          <w:p w:rsidR="00000000" w:rsidRDefault="00000000">
            <w:pPr>
              <w:pStyle w:val="SingleTxt"/>
              <w:ind w:left="-57" w:right="0"/>
              <w:rPr>
                <w:szCs w:val="24"/>
                <w:rtl/>
              </w:rPr>
            </w:pPr>
            <w:r>
              <w:rPr>
                <w:szCs w:val="24"/>
                <w:rtl/>
              </w:rPr>
              <w:t>42</w:t>
            </w:r>
          </w:p>
        </w:tc>
        <w:tc>
          <w:tcPr>
            <w:tcW w:w="851" w:type="dxa"/>
          </w:tcPr>
          <w:p w:rsidR="00000000" w:rsidRDefault="00000000">
            <w:pPr>
              <w:pStyle w:val="SingleTxt"/>
              <w:ind w:left="-57" w:right="0"/>
              <w:rPr>
                <w:szCs w:val="24"/>
                <w:rtl/>
              </w:rPr>
            </w:pPr>
            <w:r>
              <w:rPr>
                <w:szCs w:val="24"/>
                <w:rtl/>
              </w:rPr>
              <w:t>206</w:t>
            </w:r>
          </w:p>
        </w:tc>
        <w:tc>
          <w:tcPr>
            <w:tcW w:w="709" w:type="dxa"/>
          </w:tcPr>
          <w:p w:rsidR="00000000" w:rsidRDefault="00000000">
            <w:pPr>
              <w:pStyle w:val="SingleTxt"/>
              <w:ind w:left="-57" w:right="0"/>
              <w:rPr>
                <w:szCs w:val="24"/>
                <w:rtl/>
              </w:rPr>
            </w:pPr>
            <w:r>
              <w:rPr>
                <w:szCs w:val="24"/>
                <w:rtl/>
              </w:rPr>
              <w:t>105</w:t>
            </w:r>
          </w:p>
        </w:tc>
        <w:tc>
          <w:tcPr>
            <w:tcW w:w="708" w:type="dxa"/>
          </w:tcPr>
          <w:p w:rsidR="00000000" w:rsidRDefault="00000000">
            <w:pPr>
              <w:pStyle w:val="SingleTxt"/>
              <w:ind w:left="-57" w:right="0"/>
              <w:rPr>
                <w:szCs w:val="24"/>
                <w:rtl/>
              </w:rPr>
            </w:pPr>
            <w:r>
              <w:rPr>
                <w:szCs w:val="24"/>
                <w:rtl/>
              </w:rPr>
              <w:t>33</w:t>
            </w:r>
          </w:p>
        </w:tc>
        <w:tc>
          <w:tcPr>
            <w:tcW w:w="851" w:type="dxa"/>
          </w:tcPr>
          <w:p w:rsidR="00000000" w:rsidRDefault="00000000">
            <w:pPr>
              <w:pStyle w:val="SingleTxt"/>
              <w:ind w:left="-57" w:right="0"/>
              <w:rPr>
                <w:szCs w:val="24"/>
                <w:rtl/>
              </w:rPr>
            </w:pPr>
            <w:r>
              <w:rPr>
                <w:szCs w:val="24"/>
                <w:rtl/>
              </w:rPr>
              <w:t>138</w:t>
            </w:r>
          </w:p>
        </w:tc>
        <w:tc>
          <w:tcPr>
            <w:tcW w:w="709" w:type="dxa"/>
          </w:tcPr>
          <w:p w:rsidR="00000000" w:rsidRDefault="00000000">
            <w:pPr>
              <w:pStyle w:val="SingleTxt"/>
              <w:ind w:left="-57" w:right="0"/>
              <w:rPr>
                <w:szCs w:val="24"/>
                <w:rtl/>
              </w:rPr>
            </w:pPr>
            <w:r>
              <w:rPr>
                <w:szCs w:val="24"/>
                <w:rtl/>
              </w:rPr>
              <w:t>870</w:t>
            </w:r>
          </w:p>
        </w:tc>
        <w:tc>
          <w:tcPr>
            <w:tcW w:w="1232" w:type="dxa"/>
          </w:tcPr>
          <w:p w:rsidR="00000000" w:rsidRDefault="00000000">
            <w:pPr>
              <w:pStyle w:val="SingleTxt"/>
              <w:ind w:left="-57" w:right="0"/>
              <w:rPr>
                <w:szCs w:val="24"/>
                <w:rtl/>
              </w:rPr>
            </w:pPr>
            <w:r>
              <w:rPr>
                <w:szCs w:val="24"/>
                <w:rtl/>
              </w:rPr>
              <w:t>18.4</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الأعمال والاقتصاد</w:t>
            </w:r>
          </w:p>
        </w:tc>
        <w:tc>
          <w:tcPr>
            <w:tcW w:w="708" w:type="dxa"/>
          </w:tcPr>
          <w:p w:rsidR="00000000" w:rsidRDefault="00000000">
            <w:pPr>
              <w:pStyle w:val="SingleTxt"/>
              <w:ind w:left="-57" w:right="0"/>
              <w:rPr>
                <w:szCs w:val="24"/>
                <w:rtl/>
              </w:rPr>
            </w:pPr>
            <w:r>
              <w:rPr>
                <w:szCs w:val="24"/>
                <w:rtl/>
              </w:rPr>
              <w:t>882</w:t>
            </w:r>
          </w:p>
        </w:tc>
        <w:tc>
          <w:tcPr>
            <w:tcW w:w="709" w:type="dxa"/>
          </w:tcPr>
          <w:p w:rsidR="00000000" w:rsidRDefault="00000000">
            <w:pPr>
              <w:pStyle w:val="SingleTxt"/>
              <w:ind w:left="-57" w:right="0"/>
              <w:rPr>
                <w:szCs w:val="24"/>
                <w:rtl/>
              </w:rPr>
            </w:pPr>
            <w:r>
              <w:rPr>
                <w:szCs w:val="24"/>
                <w:rtl/>
              </w:rPr>
              <w:t>156</w:t>
            </w:r>
          </w:p>
        </w:tc>
        <w:tc>
          <w:tcPr>
            <w:tcW w:w="709" w:type="dxa"/>
          </w:tcPr>
          <w:p w:rsidR="00000000" w:rsidRDefault="00000000">
            <w:pPr>
              <w:pStyle w:val="SingleTxt"/>
              <w:ind w:left="-57" w:right="0"/>
              <w:rPr>
                <w:szCs w:val="24"/>
                <w:rtl/>
              </w:rPr>
            </w:pPr>
            <w:r>
              <w:rPr>
                <w:szCs w:val="24"/>
                <w:rtl/>
              </w:rPr>
              <w:t>038 1</w:t>
            </w:r>
          </w:p>
        </w:tc>
        <w:tc>
          <w:tcPr>
            <w:tcW w:w="709" w:type="dxa"/>
          </w:tcPr>
          <w:p w:rsidR="00000000" w:rsidRDefault="00000000">
            <w:pPr>
              <w:pStyle w:val="SingleTxt"/>
              <w:ind w:left="-57" w:right="0"/>
              <w:rPr>
                <w:szCs w:val="24"/>
                <w:rtl/>
              </w:rPr>
            </w:pPr>
            <w:r>
              <w:rPr>
                <w:szCs w:val="24"/>
                <w:rtl/>
              </w:rPr>
              <w:t>290</w:t>
            </w:r>
          </w:p>
        </w:tc>
        <w:tc>
          <w:tcPr>
            <w:tcW w:w="708" w:type="dxa"/>
          </w:tcPr>
          <w:p w:rsidR="00000000" w:rsidRDefault="00000000">
            <w:pPr>
              <w:pStyle w:val="SingleTxt"/>
              <w:ind w:left="-57" w:right="0"/>
              <w:rPr>
                <w:szCs w:val="24"/>
                <w:rtl/>
              </w:rPr>
            </w:pPr>
            <w:r>
              <w:rPr>
                <w:szCs w:val="24"/>
                <w:rtl/>
              </w:rPr>
              <w:t>164</w:t>
            </w:r>
          </w:p>
        </w:tc>
        <w:tc>
          <w:tcPr>
            <w:tcW w:w="851" w:type="dxa"/>
          </w:tcPr>
          <w:p w:rsidR="00000000" w:rsidRDefault="00000000">
            <w:pPr>
              <w:pStyle w:val="SingleTxt"/>
              <w:ind w:left="-57" w:right="0"/>
              <w:rPr>
                <w:szCs w:val="24"/>
                <w:rtl/>
              </w:rPr>
            </w:pPr>
            <w:r>
              <w:rPr>
                <w:szCs w:val="24"/>
                <w:rtl/>
              </w:rPr>
              <w:t>454</w:t>
            </w:r>
          </w:p>
        </w:tc>
        <w:tc>
          <w:tcPr>
            <w:tcW w:w="709" w:type="dxa"/>
          </w:tcPr>
          <w:p w:rsidR="00000000" w:rsidRDefault="00000000">
            <w:pPr>
              <w:pStyle w:val="SingleTxt"/>
              <w:ind w:left="-57" w:right="0"/>
              <w:rPr>
                <w:szCs w:val="24"/>
                <w:rtl/>
              </w:rPr>
            </w:pPr>
            <w:r>
              <w:rPr>
                <w:szCs w:val="24"/>
                <w:rtl/>
              </w:rPr>
              <w:t>262</w:t>
            </w:r>
          </w:p>
        </w:tc>
        <w:tc>
          <w:tcPr>
            <w:tcW w:w="708" w:type="dxa"/>
          </w:tcPr>
          <w:p w:rsidR="00000000" w:rsidRDefault="00000000">
            <w:pPr>
              <w:pStyle w:val="SingleTxt"/>
              <w:ind w:left="-57" w:right="0"/>
              <w:rPr>
                <w:szCs w:val="24"/>
                <w:rtl/>
              </w:rPr>
            </w:pPr>
            <w:r>
              <w:rPr>
                <w:szCs w:val="24"/>
                <w:rtl/>
              </w:rPr>
              <w:t>77</w:t>
            </w:r>
          </w:p>
        </w:tc>
        <w:tc>
          <w:tcPr>
            <w:tcW w:w="851" w:type="dxa"/>
          </w:tcPr>
          <w:p w:rsidR="00000000" w:rsidRDefault="00000000">
            <w:pPr>
              <w:pStyle w:val="SingleTxt"/>
              <w:ind w:left="-57" w:right="0"/>
              <w:rPr>
                <w:szCs w:val="24"/>
                <w:rtl/>
              </w:rPr>
            </w:pPr>
            <w:r>
              <w:rPr>
                <w:szCs w:val="24"/>
                <w:rtl/>
              </w:rPr>
              <w:t>339</w:t>
            </w:r>
          </w:p>
        </w:tc>
        <w:tc>
          <w:tcPr>
            <w:tcW w:w="709" w:type="dxa"/>
          </w:tcPr>
          <w:p w:rsidR="00000000" w:rsidRDefault="00000000">
            <w:pPr>
              <w:pStyle w:val="SingleTxt"/>
              <w:ind w:left="-57" w:right="0"/>
              <w:rPr>
                <w:szCs w:val="24"/>
                <w:rtl/>
              </w:rPr>
            </w:pPr>
            <w:r>
              <w:rPr>
                <w:szCs w:val="24"/>
                <w:rtl/>
              </w:rPr>
              <w:t>831 1</w:t>
            </w:r>
          </w:p>
        </w:tc>
        <w:tc>
          <w:tcPr>
            <w:tcW w:w="1232" w:type="dxa"/>
          </w:tcPr>
          <w:p w:rsidR="00000000" w:rsidRDefault="00000000">
            <w:pPr>
              <w:pStyle w:val="SingleTxt"/>
              <w:ind w:left="-57" w:right="0"/>
              <w:rPr>
                <w:szCs w:val="24"/>
                <w:rtl/>
              </w:rPr>
            </w:pPr>
            <w:r>
              <w:rPr>
                <w:szCs w:val="24"/>
                <w:rtl/>
              </w:rPr>
              <w:t>38.7</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التعليم</w:t>
            </w:r>
          </w:p>
        </w:tc>
        <w:tc>
          <w:tcPr>
            <w:tcW w:w="708" w:type="dxa"/>
          </w:tcPr>
          <w:p w:rsidR="00000000" w:rsidRDefault="00000000">
            <w:pPr>
              <w:pStyle w:val="SingleTxt"/>
              <w:ind w:left="-57" w:right="0"/>
              <w:rPr>
                <w:szCs w:val="24"/>
                <w:rtl/>
              </w:rPr>
            </w:pPr>
            <w:r>
              <w:rPr>
                <w:szCs w:val="24"/>
                <w:rtl/>
              </w:rPr>
              <w:t>85</w:t>
            </w:r>
          </w:p>
        </w:tc>
        <w:tc>
          <w:tcPr>
            <w:tcW w:w="709" w:type="dxa"/>
          </w:tcPr>
          <w:p w:rsidR="00000000" w:rsidRDefault="00000000">
            <w:pPr>
              <w:pStyle w:val="SingleTxt"/>
              <w:ind w:left="-57" w:right="0"/>
              <w:rPr>
                <w:szCs w:val="24"/>
                <w:rtl/>
              </w:rPr>
            </w:pPr>
            <w:r>
              <w:rPr>
                <w:szCs w:val="24"/>
                <w:rtl/>
              </w:rPr>
              <w:t>15</w:t>
            </w:r>
          </w:p>
        </w:tc>
        <w:tc>
          <w:tcPr>
            <w:tcW w:w="709" w:type="dxa"/>
          </w:tcPr>
          <w:p w:rsidR="00000000" w:rsidRDefault="00000000">
            <w:pPr>
              <w:pStyle w:val="SingleTxt"/>
              <w:ind w:left="-57" w:right="0"/>
              <w:rPr>
                <w:szCs w:val="24"/>
                <w:rtl/>
              </w:rPr>
            </w:pPr>
            <w:r>
              <w:rPr>
                <w:szCs w:val="24"/>
                <w:rtl/>
              </w:rPr>
              <w:t>100</w:t>
            </w:r>
          </w:p>
        </w:tc>
        <w:tc>
          <w:tcPr>
            <w:tcW w:w="709" w:type="dxa"/>
          </w:tcPr>
          <w:p w:rsidR="00000000" w:rsidRDefault="00000000">
            <w:pPr>
              <w:pStyle w:val="SingleTxt"/>
              <w:ind w:left="-57" w:right="0"/>
              <w:rPr>
                <w:szCs w:val="24"/>
                <w:rtl/>
              </w:rPr>
            </w:pPr>
            <w:r>
              <w:rPr>
                <w:szCs w:val="24"/>
                <w:rtl/>
              </w:rPr>
              <w:t>212</w:t>
            </w:r>
          </w:p>
        </w:tc>
        <w:tc>
          <w:tcPr>
            <w:tcW w:w="708" w:type="dxa"/>
          </w:tcPr>
          <w:p w:rsidR="00000000" w:rsidRDefault="00000000">
            <w:pPr>
              <w:pStyle w:val="SingleTxt"/>
              <w:ind w:left="-57" w:right="0"/>
              <w:rPr>
                <w:szCs w:val="24"/>
                <w:rtl/>
              </w:rPr>
            </w:pPr>
            <w:r>
              <w:rPr>
                <w:szCs w:val="24"/>
                <w:rtl/>
              </w:rPr>
              <w:t>15</w:t>
            </w:r>
          </w:p>
        </w:tc>
        <w:tc>
          <w:tcPr>
            <w:tcW w:w="851" w:type="dxa"/>
          </w:tcPr>
          <w:p w:rsidR="00000000" w:rsidRDefault="00000000">
            <w:pPr>
              <w:pStyle w:val="SingleTxt"/>
              <w:ind w:left="-57" w:right="0"/>
              <w:rPr>
                <w:szCs w:val="24"/>
                <w:rtl/>
              </w:rPr>
            </w:pPr>
            <w:r>
              <w:rPr>
                <w:szCs w:val="24"/>
                <w:rtl/>
              </w:rPr>
              <w:t>227</w:t>
            </w:r>
          </w:p>
        </w:tc>
        <w:tc>
          <w:tcPr>
            <w:tcW w:w="709" w:type="dxa"/>
          </w:tcPr>
          <w:p w:rsidR="00000000" w:rsidRDefault="00000000">
            <w:pPr>
              <w:pStyle w:val="SingleTxt"/>
              <w:ind w:left="-57" w:right="0"/>
              <w:rPr>
                <w:szCs w:val="24"/>
                <w:rtl/>
              </w:rPr>
            </w:pPr>
            <w:r>
              <w:rPr>
                <w:szCs w:val="24"/>
                <w:rtl/>
              </w:rPr>
              <w:t>-</w:t>
            </w:r>
          </w:p>
        </w:tc>
        <w:tc>
          <w:tcPr>
            <w:tcW w:w="708" w:type="dxa"/>
          </w:tcPr>
          <w:p w:rsidR="00000000" w:rsidRDefault="00000000">
            <w:pPr>
              <w:pStyle w:val="SingleTxt"/>
              <w:ind w:left="-57" w:right="0"/>
              <w:rPr>
                <w:szCs w:val="24"/>
                <w:rtl/>
              </w:rPr>
            </w:pPr>
            <w:r>
              <w:rPr>
                <w:szCs w:val="24"/>
                <w:rtl/>
              </w:rPr>
              <w:t>-</w:t>
            </w:r>
          </w:p>
        </w:tc>
        <w:tc>
          <w:tcPr>
            <w:tcW w:w="851" w:type="dxa"/>
          </w:tcPr>
          <w:p w:rsidR="00000000" w:rsidRDefault="00000000">
            <w:pPr>
              <w:pStyle w:val="SingleTxt"/>
              <w:ind w:left="-57" w:right="0"/>
              <w:rPr>
                <w:szCs w:val="24"/>
                <w:rtl/>
              </w:rPr>
            </w:pPr>
            <w:r>
              <w:rPr>
                <w:szCs w:val="24"/>
                <w:rtl/>
              </w:rPr>
              <w:t>-</w:t>
            </w:r>
          </w:p>
        </w:tc>
        <w:tc>
          <w:tcPr>
            <w:tcW w:w="709" w:type="dxa"/>
          </w:tcPr>
          <w:p w:rsidR="00000000" w:rsidRDefault="00000000">
            <w:pPr>
              <w:pStyle w:val="SingleTxt"/>
              <w:ind w:left="-57" w:right="0"/>
              <w:rPr>
                <w:szCs w:val="24"/>
                <w:rtl/>
              </w:rPr>
            </w:pPr>
            <w:r>
              <w:rPr>
                <w:szCs w:val="24"/>
                <w:rtl/>
              </w:rPr>
              <w:t>327</w:t>
            </w:r>
          </w:p>
        </w:tc>
        <w:tc>
          <w:tcPr>
            <w:tcW w:w="1232" w:type="dxa"/>
          </w:tcPr>
          <w:p w:rsidR="00000000" w:rsidRDefault="00000000">
            <w:pPr>
              <w:pStyle w:val="SingleTxt"/>
              <w:ind w:left="-57" w:right="0"/>
              <w:rPr>
                <w:szCs w:val="24"/>
                <w:rtl/>
              </w:rPr>
            </w:pPr>
            <w:r>
              <w:rPr>
                <w:szCs w:val="24"/>
                <w:rtl/>
              </w:rPr>
              <w:t>6.9</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الزراعة والعلوم الزراعية</w:t>
            </w:r>
          </w:p>
        </w:tc>
        <w:tc>
          <w:tcPr>
            <w:tcW w:w="708" w:type="dxa"/>
          </w:tcPr>
          <w:p w:rsidR="00000000" w:rsidRDefault="00000000">
            <w:pPr>
              <w:pStyle w:val="SingleTxt"/>
              <w:ind w:left="-57" w:right="0"/>
              <w:rPr>
                <w:szCs w:val="24"/>
                <w:rtl/>
              </w:rPr>
            </w:pPr>
            <w:r>
              <w:rPr>
                <w:szCs w:val="24"/>
                <w:rtl/>
              </w:rPr>
              <w:t>407</w:t>
            </w:r>
          </w:p>
        </w:tc>
        <w:tc>
          <w:tcPr>
            <w:tcW w:w="709" w:type="dxa"/>
          </w:tcPr>
          <w:p w:rsidR="00000000" w:rsidRDefault="00000000">
            <w:pPr>
              <w:pStyle w:val="SingleTxt"/>
              <w:ind w:left="-57" w:right="0"/>
              <w:rPr>
                <w:szCs w:val="24"/>
                <w:rtl/>
              </w:rPr>
            </w:pPr>
            <w:r>
              <w:rPr>
                <w:szCs w:val="24"/>
                <w:rtl/>
              </w:rPr>
              <w:t>59</w:t>
            </w:r>
          </w:p>
        </w:tc>
        <w:tc>
          <w:tcPr>
            <w:tcW w:w="709" w:type="dxa"/>
          </w:tcPr>
          <w:p w:rsidR="00000000" w:rsidRDefault="00000000">
            <w:pPr>
              <w:pStyle w:val="SingleTxt"/>
              <w:ind w:left="-57" w:right="0"/>
              <w:rPr>
                <w:szCs w:val="24"/>
                <w:rtl/>
              </w:rPr>
            </w:pPr>
            <w:r>
              <w:rPr>
                <w:szCs w:val="24"/>
                <w:rtl/>
              </w:rPr>
              <w:t>466</w:t>
            </w:r>
          </w:p>
        </w:tc>
        <w:tc>
          <w:tcPr>
            <w:tcW w:w="709" w:type="dxa"/>
          </w:tcPr>
          <w:p w:rsidR="00000000" w:rsidRDefault="00000000">
            <w:pPr>
              <w:pStyle w:val="SingleTxt"/>
              <w:ind w:left="-57" w:right="0"/>
              <w:rPr>
                <w:szCs w:val="24"/>
                <w:rtl/>
              </w:rPr>
            </w:pPr>
            <w:r>
              <w:rPr>
                <w:szCs w:val="24"/>
                <w:rtl/>
              </w:rPr>
              <w:t>11</w:t>
            </w:r>
          </w:p>
        </w:tc>
        <w:tc>
          <w:tcPr>
            <w:tcW w:w="708" w:type="dxa"/>
          </w:tcPr>
          <w:p w:rsidR="00000000" w:rsidRDefault="00000000">
            <w:pPr>
              <w:pStyle w:val="SingleTxt"/>
              <w:ind w:left="-57" w:right="0"/>
              <w:rPr>
                <w:szCs w:val="24"/>
                <w:rtl/>
              </w:rPr>
            </w:pPr>
            <w:r>
              <w:rPr>
                <w:szCs w:val="24"/>
                <w:rtl/>
              </w:rPr>
              <w:t>4</w:t>
            </w:r>
          </w:p>
        </w:tc>
        <w:tc>
          <w:tcPr>
            <w:tcW w:w="851" w:type="dxa"/>
          </w:tcPr>
          <w:p w:rsidR="00000000" w:rsidRDefault="00000000">
            <w:pPr>
              <w:pStyle w:val="SingleTxt"/>
              <w:ind w:left="-57" w:right="0"/>
              <w:rPr>
                <w:szCs w:val="24"/>
                <w:rtl/>
              </w:rPr>
            </w:pPr>
            <w:r>
              <w:rPr>
                <w:szCs w:val="24"/>
                <w:rtl/>
              </w:rPr>
              <w:t>15</w:t>
            </w:r>
          </w:p>
        </w:tc>
        <w:tc>
          <w:tcPr>
            <w:tcW w:w="709" w:type="dxa"/>
          </w:tcPr>
          <w:p w:rsidR="00000000" w:rsidRDefault="00000000">
            <w:pPr>
              <w:pStyle w:val="SingleTxt"/>
              <w:ind w:left="-57" w:right="0"/>
              <w:rPr>
                <w:szCs w:val="24"/>
                <w:rtl/>
              </w:rPr>
            </w:pPr>
            <w:r>
              <w:rPr>
                <w:szCs w:val="24"/>
                <w:rtl/>
              </w:rPr>
              <w:t>-</w:t>
            </w:r>
          </w:p>
        </w:tc>
        <w:tc>
          <w:tcPr>
            <w:tcW w:w="708" w:type="dxa"/>
          </w:tcPr>
          <w:p w:rsidR="00000000" w:rsidRDefault="00000000">
            <w:pPr>
              <w:pStyle w:val="SingleTxt"/>
              <w:ind w:left="-57" w:right="0"/>
              <w:rPr>
                <w:szCs w:val="24"/>
                <w:rtl/>
              </w:rPr>
            </w:pPr>
            <w:r>
              <w:rPr>
                <w:szCs w:val="24"/>
                <w:rtl/>
              </w:rPr>
              <w:t>-</w:t>
            </w:r>
          </w:p>
        </w:tc>
        <w:tc>
          <w:tcPr>
            <w:tcW w:w="851" w:type="dxa"/>
          </w:tcPr>
          <w:p w:rsidR="00000000" w:rsidRDefault="00000000">
            <w:pPr>
              <w:pStyle w:val="SingleTxt"/>
              <w:ind w:left="-57" w:right="0"/>
              <w:rPr>
                <w:szCs w:val="24"/>
                <w:rtl/>
              </w:rPr>
            </w:pPr>
            <w:r>
              <w:rPr>
                <w:szCs w:val="24"/>
                <w:rtl/>
              </w:rPr>
              <w:t>-</w:t>
            </w:r>
          </w:p>
        </w:tc>
        <w:tc>
          <w:tcPr>
            <w:tcW w:w="709" w:type="dxa"/>
          </w:tcPr>
          <w:p w:rsidR="00000000" w:rsidRDefault="00000000">
            <w:pPr>
              <w:pStyle w:val="SingleTxt"/>
              <w:ind w:left="-57" w:right="0"/>
              <w:rPr>
                <w:szCs w:val="24"/>
                <w:rtl/>
              </w:rPr>
            </w:pPr>
            <w:r>
              <w:rPr>
                <w:szCs w:val="24"/>
                <w:rtl/>
              </w:rPr>
              <w:t>481</w:t>
            </w:r>
          </w:p>
        </w:tc>
        <w:tc>
          <w:tcPr>
            <w:tcW w:w="1232" w:type="dxa"/>
          </w:tcPr>
          <w:p w:rsidR="00000000" w:rsidRDefault="00000000">
            <w:pPr>
              <w:pStyle w:val="SingleTxt"/>
              <w:ind w:left="-57" w:right="0"/>
              <w:rPr>
                <w:szCs w:val="24"/>
                <w:rtl/>
              </w:rPr>
            </w:pPr>
            <w:r>
              <w:rPr>
                <w:szCs w:val="24"/>
                <w:rtl/>
              </w:rPr>
              <w:t>10.2</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الهندسة</w:t>
            </w:r>
          </w:p>
        </w:tc>
        <w:tc>
          <w:tcPr>
            <w:tcW w:w="708" w:type="dxa"/>
          </w:tcPr>
          <w:p w:rsidR="00000000" w:rsidRDefault="00000000">
            <w:pPr>
              <w:pStyle w:val="SingleTxt"/>
              <w:ind w:left="-57" w:right="0"/>
              <w:rPr>
                <w:szCs w:val="24"/>
                <w:rtl/>
              </w:rPr>
            </w:pPr>
            <w:r>
              <w:rPr>
                <w:szCs w:val="24"/>
                <w:rtl/>
              </w:rPr>
              <w:t>75</w:t>
            </w:r>
          </w:p>
        </w:tc>
        <w:tc>
          <w:tcPr>
            <w:tcW w:w="709" w:type="dxa"/>
          </w:tcPr>
          <w:p w:rsidR="00000000" w:rsidRDefault="00000000">
            <w:pPr>
              <w:pStyle w:val="SingleTxt"/>
              <w:ind w:left="-57" w:right="0"/>
              <w:rPr>
                <w:szCs w:val="24"/>
                <w:rtl/>
              </w:rPr>
            </w:pPr>
            <w:r>
              <w:rPr>
                <w:szCs w:val="24"/>
                <w:rtl/>
              </w:rPr>
              <w:t>2</w:t>
            </w:r>
          </w:p>
        </w:tc>
        <w:tc>
          <w:tcPr>
            <w:tcW w:w="709" w:type="dxa"/>
          </w:tcPr>
          <w:p w:rsidR="00000000" w:rsidRDefault="00000000">
            <w:pPr>
              <w:pStyle w:val="SingleTxt"/>
              <w:ind w:left="-57" w:right="0"/>
              <w:rPr>
                <w:szCs w:val="24"/>
                <w:rtl/>
              </w:rPr>
            </w:pPr>
            <w:r>
              <w:rPr>
                <w:szCs w:val="24"/>
                <w:rtl/>
              </w:rPr>
              <w:t>77</w:t>
            </w:r>
          </w:p>
        </w:tc>
        <w:tc>
          <w:tcPr>
            <w:tcW w:w="709" w:type="dxa"/>
          </w:tcPr>
          <w:p w:rsidR="00000000" w:rsidRDefault="00000000">
            <w:pPr>
              <w:pStyle w:val="SingleTxt"/>
              <w:ind w:left="-57" w:right="0"/>
              <w:rPr>
                <w:szCs w:val="24"/>
                <w:rtl/>
              </w:rPr>
            </w:pPr>
            <w:r>
              <w:rPr>
                <w:szCs w:val="24"/>
                <w:rtl/>
              </w:rPr>
              <w:t>228</w:t>
            </w:r>
          </w:p>
        </w:tc>
        <w:tc>
          <w:tcPr>
            <w:tcW w:w="708" w:type="dxa"/>
          </w:tcPr>
          <w:p w:rsidR="00000000" w:rsidRDefault="00000000">
            <w:pPr>
              <w:pStyle w:val="SingleTxt"/>
              <w:ind w:left="-57" w:right="0"/>
              <w:rPr>
                <w:szCs w:val="24"/>
                <w:rtl/>
              </w:rPr>
            </w:pPr>
            <w:r>
              <w:rPr>
                <w:szCs w:val="24"/>
                <w:rtl/>
              </w:rPr>
              <w:t>14</w:t>
            </w:r>
          </w:p>
        </w:tc>
        <w:tc>
          <w:tcPr>
            <w:tcW w:w="851" w:type="dxa"/>
          </w:tcPr>
          <w:p w:rsidR="00000000" w:rsidRDefault="00000000">
            <w:pPr>
              <w:pStyle w:val="SingleTxt"/>
              <w:ind w:left="-57" w:right="0"/>
              <w:rPr>
                <w:szCs w:val="24"/>
                <w:rtl/>
              </w:rPr>
            </w:pPr>
            <w:r>
              <w:rPr>
                <w:szCs w:val="24"/>
                <w:rtl/>
              </w:rPr>
              <w:t>242</w:t>
            </w:r>
          </w:p>
        </w:tc>
        <w:tc>
          <w:tcPr>
            <w:tcW w:w="709" w:type="dxa"/>
          </w:tcPr>
          <w:p w:rsidR="00000000" w:rsidRDefault="00000000">
            <w:pPr>
              <w:pStyle w:val="SingleTxt"/>
              <w:ind w:left="-57" w:right="0"/>
              <w:rPr>
                <w:szCs w:val="24"/>
                <w:rtl/>
              </w:rPr>
            </w:pPr>
            <w:r>
              <w:rPr>
                <w:szCs w:val="24"/>
                <w:rtl/>
              </w:rPr>
              <w:t>-</w:t>
            </w:r>
          </w:p>
        </w:tc>
        <w:tc>
          <w:tcPr>
            <w:tcW w:w="708" w:type="dxa"/>
          </w:tcPr>
          <w:p w:rsidR="00000000" w:rsidRDefault="00000000">
            <w:pPr>
              <w:pStyle w:val="SingleTxt"/>
              <w:ind w:left="-57" w:right="0"/>
              <w:rPr>
                <w:szCs w:val="24"/>
                <w:rtl/>
              </w:rPr>
            </w:pPr>
            <w:r>
              <w:rPr>
                <w:szCs w:val="24"/>
                <w:rtl/>
              </w:rPr>
              <w:t>-</w:t>
            </w:r>
          </w:p>
        </w:tc>
        <w:tc>
          <w:tcPr>
            <w:tcW w:w="851" w:type="dxa"/>
          </w:tcPr>
          <w:p w:rsidR="00000000" w:rsidRDefault="00000000">
            <w:pPr>
              <w:pStyle w:val="SingleTxt"/>
              <w:ind w:left="-57" w:right="0"/>
              <w:rPr>
                <w:szCs w:val="24"/>
                <w:rtl/>
              </w:rPr>
            </w:pPr>
            <w:r>
              <w:rPr>
                <w:szCs w:val="24"/>
                <w:rtl/>
              </w:rPr>
              <w:t>-</w:t>
            </w:r>
          </w:p>
        </w:tc>
        <w:tc>
          <w:tcPr>
            <w:tcW w:w="709" w:type="dxa"/>
          </w:tcPr>
          <w:p w:rsidR="00000000" w:rsidRDefault="00000000">
            <w:pPr>
              <w:pStyle w:val="SingleTxt"/>
              <w:ind w:left="-57" w:right="0"/>
              <w:rPr>
                <w:szCs w:val="24"/>
                <w:rtl/>
              </w:rPr>
            </w:pPr>
            <w:r>
              <w:rPr>
                <w:szCs w:val="24"/>
                <w:rtl/>
              </w:rPr>
              <w:t>319</w:t>
            </w:r>
          </w:p>
        </w:tc>
        <w:tc>
          <w:tcPr>
            <w:tcW w:w="1232" w:type="dxa"/>
          </w:tcPr>
          <w:p w:rsidR="00000000" w:rsidRDefault="00000000">
            <w:pPr>
              <w:pStyle w:val="SingleTxt"/>
              <w:ind w:left="-57" w:right="0"/>
              <w:rPr>
                <w:szCs w:val="24"/>
                <w:rtl/>
              </w:rPr>
            </w:pPr>
            <w:r>
              <w:rPr>
                <w:szCs w:val="24"/>
                <w:rtl/>
              </w:rPr>
              <w:t>6.7</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المجموع</w:t>
            </w:r>
          </w:p>
        </w:tc>
        <w:tc>
          <w:tcPr>
            <w:tcW w:w="708" w:type="dxa"/>
          </w:tcPr>
          <w:p w:rsidR="00000000" w:rsidRDefault="00000000">
            <w:pPr>
              <w:pStyle w:val="SingleTxt"/>
              <w:ind w:left="-57" w:right="0"/>
              <w:rPr>
                <w:szCs w:val="24"/>
                <w:rtl/>
              </w:rPr>
            </w:pPr>
            <w:r>
              <w:rPr>
                <w:szCs w:val="24"/>
                <w:rtl/>
              </w:rPr>
              <w:t>663 2</w:t>
            </w:r>
          </w:p>
        </w:tc>
        <w:tc>
          <w:tcPr>
            <w:tcW w:w="709" w:type="dxa"/>
          </w:tcPr>
          <w:p w:rsidR="00000000" w:rsidRDefault="00000000">
            <w:pPr>
              <w:pStyle w:val="SingleTxt"/>
              <w:ind w:left="-57" w:right="0"/>
              <w:rPr>
                <w:szCs w:val="24"/>
                <w:rtl/>
              </w:rPr>
            </w:pPr>
            <w:r>
              <w:rPr>
                <w:szCs w:val="24"/>
                <w:rtl/>
              </w:rPr>
              <w:t>392</w:t>
            </w:r>
          </w:p>
        </w:tc>
        <w:tc>
          <w:tcPr>
            <w:tcW w:w="709" w:type="dxa"/>
          </w:tcPr>
          <w:p w:rsidR="00000000" w:rsidRDefault="00000000">
            <w:pPr>
              <w:pStyle w:val="SingleTxt"/>
              <w:ind w:left="-57" w:right="0"/>
              <w:rPr>
                <w:szCs w:val="24"/>
                <w:rtl/>
              </w:rPr>
            </w:pPr>
            <w:r>
              <w:rPr>
                <w:szCs w:val="24"/>
                <w:rtl/>
              </w:rPr>
              <w:t>055 3</w:t>
            </w:r>
          </w:p>
        </w:tc>
        <w:tc>
          <w:tcPr>
            <w:tcW w:w="709" w:type="dxa"/>
          </w:tcPr>
          <w:p w:rsidR="00000000" w:rsidRDefault="00000000">
            <w:pPr>
              <w:pStyle w:val="SingleTxt"/>
              <w:ind w:left="-57" w:right="0"/>
              <w:rPr>
                <w:szCs w:val="24"/>
                <w:rtl/>
              </w:rPr>
            </w:pPr>
            <w:r>
              <w:rPr>
                <w:szCs w:val="24"/>
                <w:rtl/>
              </w:rPr>
              <w:t>939</w:t>
            </w:r>
          </w:p>
        </w:tc>
        <w:tc>
          <w:tcPr>
            <w:tcW w:w="708" w:type="dxa"/>
          </w:tcPr>
          <w:p w:rsidR="00000000" w:rsidRDefault="00000000">
            <w:pPr>
              <w:pStyle w:val="SingleTxt"/>
              <w:ind w:left="-57" w:right="0"/>
              <w:rPr>
                <w:szCs w:val="24"/>
                <w:rtl/>
              </w:rPr>
            </w:pPr>
            <w:r>
              <w:rPr>
                <w:szCs w:val="24"/>
                <w:rtl/>
              </w:rPr>
              <w:t>243</w:t>
            </w:r>
          </w:p>
        </w:tc>
        <w:tc>
          <w:tcPr>
            <w:tcW w:w="851" w:type="dxa"/>
          </w:tcPr>
          <w:p w:rsidR="00000000" w:rsidRDefault="00000000">
            <w:pPr>
              <w:pStyle w:val="SingleTxt"/>
              <w:ind w:left="-57" w:right="0"/>
              <w:rPr>
                <w:szCs w:val="24"/>
                <w:rtl/>
              </w:rPr>
            </w:pPr>
            <w:r>
              <w:rPr>
                <w:szCs w:val="24"/>
                <w:rtl/>
              </w:rPr>
              <w:t>182 1</w:t>
            </w:r>
          </w:p>
        </w:tc>
        <w:tc>
          <w:tcPr>
            <w:tcW w:w="709" w:type="dxa"/>
          </w:tcPr>
          <w:p w:rsidR="00000000" w:rsidRDefault="00000000">
            <w:pPr>
              <w:pStyle w:val="SingleTxt"/>
              <w:ind w:left="-57" w:right="0"/>
              <w:rPr>
                <w:szCs w:val="24"/>
                <w:rtl/>
              </w:rPr>
            </w:pPr>
            <w:r>
              <w:rPr>
                <w:szCs w:val="24"/>
                <w:rtl/>
              </w:rPr>
              <w:t>387</w:t>
            </w:r>
          </w:p>
        </w:tc>
        <w:tc>
          <w:tcPr>
            <w:tcW w:w="708" w:type="dxa"/>
          </w:tcPr>
          <w:p w:rsidR="00000000" w:rsidRDefault="00000000">
            <w:pPr>
              <w:pStyle w:val="SingleTxt"/>
              <w:ind w:left="-57" w:right="0"/>
              <w:rPr>
                <w:szCs w:val="24"/>
                <w:rtl/>
              </w:rPr>
            </w:pPr>
            <w:r>
              <w:rPr>
                <w:szCs w:val="24"/>
                <w:rtl/>
              </w:rPr>
              <w:t>112</w:t>
            </w:r>
          </w:p>
        </w:tc>
        <w:tc>
          <w:tcPr>
            <w:tcW w:w="851" w:type="dxa"/>
          </w:tcPr>
          <w:p w:rsidR="00000000" w:rsidRDefault="00000000">
            <w:pPr>
              <w:pStyle w:val="SingleTxt"/>
              <w:ind w:left="-57" w:right="0"/>
              <w:rPr>
                <w:szCs w:val="24"/>
                <w:rtl/>
              </w:rPr>
            </w:pPr>
            <w:r>
              <w:rPr>
                <w:szCs w:val="24"/>
                <w:rtl/>
              </w:rPr>
              <w:t>499</w:t>
            </w:r>
          </w:p>
        </w:tc>
        <w:tc>
          <w:tcPr>
            <w:tcW w:w="709" w:type="dxa"/>
          </w:tcPr>
          <w:p w:rsidR="00000000" w:rsidRDefault="00000000">
            <w:pPr>
              <w:pStyle w:val="SingleTxt"/>
              <w:ind w:left="-57" w:right="0"/>
              <w:rPr>
                <w:szCs w:val="24"/>
                <w:rtl/>
              </w:rPr>
            </w:pPr>
            <w:r>
              <w:rPr>
                <w:szCs w:val="24"/>
                <w:rtl/>
              </w:rPr>
              <w:t>736 4</w:t>
            </w:r>
          </w:p>
        </w:tc>
        <w:tc>
          <w:tcPr>
            <w:tcW w:w="1232" w:type="dxa"/>
          </w:tcPr>
          <w:p w:rsidR="00000000" w:rsidRDefault="00000000">
            <w:pPr>
              <w:pStyle w:val="SingleTxt"/>
              <w:ind w:left="-57" w:right="0"/>
              <w:rPr>
                <w:szCs w:val="24"/>
                <w:rtl/>
              </w:rPr>
            </w:pPr>
            <w:r>
              <w:rPr>
                <w:szCs w:val="24"/>
                <w:rtl/>
              </w:rPr>
              <w:t>100</w:t>
            </w:r>
          </w:p>
        </w:tc>
      </w:tr>
      <w:tr w:rsidR="00000000">
        <w:tblPrEx>
          <w:tblCellMar>
            <w:top w:w="0" w:type="dxa"/>
            <w:bottom w:w="0" w:type="dxa"/>
          </w:tblCellMar>
        </w:tblPrEx>
        <w:tc>
          <w:tcPr>
            <w:tcW w:w="1453" w:type="dxa"/>
          </w:tcPr>
          <w:p w:rsidR="00000000" w:rsidRDefault="00000000">
            <w:pPr>
              <w:pStyle w:val="SingleTxt"/>
              <w:ind w:left="-57" w:right="0"/>
              <w:rPr>
                <w:szCs w:val="24"/>
                <w:rtl/>
              </w:rPr>
            </w:pPr>
            <w:r>
              <w:rPr>
                <w:szCs w:val="24"/>
                <w:rtl/>
              </w:rPr>
              <w:t>النسبة المئوية</w:t>
            </w:r>
          </w:p>
        </w:tc>
        <w:tc>
          <w:tcPr>
            <w:tcW w:w="708" w:type="dxa"/>
          </w:tcPr>
          <w:p w:rsidR="00000000" w:rsidRDefault="00000000">
            <w:pPr>
              <w:pStyle w:val="SingleTxt"/>
              <w:ind w:left="-57" w:right="0"/>
              <w:rPr>
                <w:szCs w:val="24"/>
                <w:rtl/>
              </w:rPr>
            </w:pPr>
            <w:r>
              <w:rPr>
                <w:szCs w:val="24"/>
                <w:rtl/>
              </w:rPr>
              <w:t>87.2</w:t>
            </w:r>
          </w:p>
        </w:tc>
        <w:tc>
          <w:tcPr>
            <w:tcW w:w="709" w:type="dxa"/>
          </w:tcPr>
          <w:p w:rsidR="00000000" w:rsidRDefault="00000000">
            <w:pPr>
              <w:pStyle w:val="SingleTxt"/>
              <w:ind w:left="-57" w:right="0"/>
              <w:rPr>
                <w:b/>
                <w:bCs/>
                <w:szCs w:val="24"/>
                <w:rtl/>
              </w:rPr>
            </w:pPr>
            <w:r>
              <w:rPr>
                <w:b/>
                <w:bCs/>
                <w:szCs w:val="24"/>
                <w:rtl/>
              </w:rPr>
              <w:t>12.8</w:t>
            </w:r>
          </w:p>
        </w:tc>
        <w:tc>
          <w:tcPr>
            <w:tcW w:w="709" w:type="dxa"/>
          </w:tcPr>
          <w:p w:rsidR="00000000" w:rsidRDefault="00000000">
            <w:pPr>
              <w:pStyle w:val="SingleTxt"/>
              <w:ind w:left="-57" w:right="0"/>
              <w:rPr>
                <w:szCs w:val="24"/>
                <w:rtl/>
              </w:rPr>
            </w:pPr>
            <w:r>
              <w:rPr>
                <w:szCs w:val="24"/>
                <w:rtl/>
              </w:rPr>
              <w:t>100</w:t>
            </w:r>
          </w:p>
        </w:tc>
        <w:tc>
          <w:tcPr>
            <w:tcW w:w="709" w:type="dxa"/>
          </w:tcPr>
          <w:p w:rsidR="00000000" w:rsidRDefault="00000000">
            <w:pPr>
              <w:pStyle w:val="SingleTxt"/>
              <w:ind w:left="-57" w:right="0"/>
              <w:rPr>
                <w:szCs w:val="24"/>
                <w:rtl/>
              </w:rPr>
            </w:pPr>
            <w:r>
              <w:rPr>
                <w:szCs w:val="24"/>
                <w:rtl/>
              </w:rPr>
              <w:t>79.4</w:t>
            </w:r>
          </w:p>
        </w:tc>
        <w:tc>
          <w:tcPr>
            <w:tcW w:w="708" w:type="dxa"/>
          </w:tcPr>
          <w:p w:rsidR="00000000" w:rsidRDefault="00000000">
            <w:pPr>
              <w:pStyle w:val="SingleTxt"/>
              <w:ind w:left="-57" w:right="0"/>
              <w:rPr>
                <w:b/>
                <w:bCs/>
                <w:szCs w:val="24"/>
                <w:rtl/>
              </w:rPr>
            </w:pPr>
            <w:r>
              <w:rPr>
                <w:b/>
                <w:bCs/>
                <w:szCs w:val="24"/>
                <w:rtl/>
              </w:rPr>
              <w:t>20.6</w:t>
            </w:r>
          </w:p>
        </w:tc>
        <w:tc>
          <w:tcPr>
            <w:tcW w:w="851" w:type="dxa"/>
          </w:tcPr>
          <w:p w:rsidR="00000000" w:rsidRDefault="00000000">
            <w:pPr>
              <w:pStyle w:val="SingleTxt"/>
              <w:ind w:left="-57" w:right="0"/>
              <w:rPr>
                <w:szCs w:val="24"/>
                <w:rtl/>
              </w:rPr>
            </w:pPr>
            <w:r>
              <w:rPr>
                <w:szCs w:val="24"/>
                <w:rtl/>
              </w:rPr>
              <w:t>100</w:t>
            </w:r>
          </w:p>
        </w:tc>
        <w:tc>
          <w:tcPr>
            <w:tcW w:w="709" w:type="dxa"/>
          </w:tcPr>
          <w:p w:rsidR="00000000" w:rsidRDefault="00000000">
            <w:pPr>
              <w:pStyle w:val="SingleTxt"/>
              <w:ind w:left="-57" w:right="0"/>
              <w:rPr>
                <w:szCs w:val="24"/>
                <w:rtl/>
              </w:rPr>
            </w:pPr>
            <w:r>
              <w:rPr>
                <w:szCs w:val="24"/>
                <w:rtl/>
              </w:rPr>
              <w:t>77.6</w:t>
            </w:r>
          </w:p>
        </w:tc>
        <w:tc>
          <w:tcPr>
            <w:tcW w:w="708" w:type="dxa"/>
          </w:tcPr>
          <w:p w:rsidR="00000000" w:rsidRDefault="00000000">
            <w:pPr>
              <w:pStyle w:val="SingleTxt"/>
              <w:ind w:left="-57" w:right="0"/>
              <w:rPr>
                <w:szCs w:val="24"/>
                <w:rtl/>
              </w:rPr>
            </w:pPr>
            <w:r>
              <w:rPr>
                <w:szCs w:val="24"/>
                <w:rtl/>
              </w:rPr>
              <w:t>22.4</w:t>
            </w:r>
          </w:p>
        </w:tc>
        <w:tc>
          <w:tcPr>
            <w:tcW w:w="851" w:type="dxa"/>
          </w:tcPr>
          <w:p w:rsidR="00000000" w:rsidRDefault="00000000">
            <w:pPr>
              <w:pStyle w:val="SingleTxt"/>
              <w:ind w:left="-57" w:right="0"/>
              <w:rPr>
                <w:szCs w:val="24"/>
                <w:rtl/>
              </w:rPr>
            </w:pPr>
            <w:r>
              <w:rPr>
                <w:szCs w:val="24"/>
                <w:rtl/>
              </w:rPr>
              <w:t>100</w:t>
            </w:r>
          </w:p>
        </w:tc>
        <w:tc>
          <w:tcPr>
            <w:tcW w:w="709" w:type="dxa"/>
          </w:tcPr>
          <w:p w:rsidR="00000000" w:rsidRDefault="00000000">
            <w:pPr>
              <w:pStyle w:val="SingleTxt"/>
              <w:ind w:left="-57" w:right="0"/>
              <w:rPr>
                <w:szCs w:val="24"/>
                <w:rtl/>
              </w:rPr>
            </w:pPr>
          </w:p>
        </w:tc>
        <w:tc>
          <w:tcPr>
            <w:tcW w:w="1232" w:type="dxa"/>
          </w:tcPr>
          <w:p w:rsidR="00000000" w:rsidRDefault="00000000">
            <w:pPr>
              <w:pStyle w:val="SingleTxt"/>
              <w:ind w:left="-57" w:right="0"/>
              <w:rPr>
                <w:szCs w:val="24"/>
                <w:rtl/>
              </w:rPr>
            </w:pPr>
          </w:p>
        </w:tc>
      </w:tr>
    </w:tbl>
    <w:p w:rsidR="00000000" w:rsidRDefault="00000000">
      <w:pPr>
        <w:pStyle w:val="SingleTxt"/>
        <w:ind w:left="1264" w:right="1264"/>
        <w:rPr>
          <w:i/>
          <w:iCs/>
          <w:rtl/>
        </w:rPr>
      </w:pPr>
      <w:r>
        <w:rPr>
          <w:i/>
          <w:iCs/>
          <w:szCs w:val="26"/>
          <w:rtl/>
        </w:rPr>
        <w:t>المصدر: تم التجميع من إحصاءات الجامعة</w:t>
      </w:r>
      <w:r>
        <w:rPr>
          <w:i/>
          <w:iCs/>
          <w:rtl/>
        </w:rPr>
        <w:t>.</w:t>
      </w:r>
    </w:p>
    <w:p w:rsidR="00000000" w:rsidRDefault="00000000">
      <w:pPr>
        <w:pStyle w:val="SingleTxt"/>
        <w:ind w:left="1264" w:right="1264"/>
        <w:rPr>
          <w:rtl/>
        </w:rPr>
      </w:pPr>
      <w:r>
        <w:rPr>
          <w:rtl/>
        </w:rPr>
        <w:tab/>
      </w:r>
      <w:r>
        <w:rPr>
          <w:rtl/>
        </w:rPr>
        <w:tab/>
        <w:t>وفيما يتعلق بالوظائف الأكاديمية في الجامعة، كانت الإناث المعينات قليلة جدا. وعلى سبيل المثال، كانت هناك عميدتان (من أصل 8) ومديرة واحدة من أصل 9 مديرين.</w:t>
      </w:r>
    </w:p>
    <w:p w:rsidR="00000000" w:rsidRDefault="00000000">
      <w:pPr>
        <w:pStyle w:val="SingleTxt"/>
        <w:ind w:left="1264" w:right="1264"/>
        <w:rPr>
          <w:rtl/>
        </w:rPr>
      </w:pPr>
      <w:r>
        <w:rPr>
          <w:rtl/>
        </w:rPr>
        <w:tab/>
      </w:r>
      <w:r>
        <w:rPr>
          <w:rtl/>
        </w:rPr>
        <w:tab/>
        <w:t>وقد أقترح أخيرا إنشاء مركز للبحث حسب نوع الجنس والدراسات والموارد في جامعة أسمره. وتحكم المركز لجنة توجيهية حسب الإقتضاء، بالنسبة لتركيب الجامعة تعاونها لجنة استشارية من المؤسسات ذات الصلة (وزارة التعليم والاتحاد الوطني للنساء الأريتريات، والاتحاد الوطني للشباب والطلبة الأريتريين، وغير ذلك من منظمات.</w:t>
      </w:r>
      <w:r>
        <w:rPr>
          <w:rStyle w:val="FootnoteReference"/>
          <w:rtl/>
        </w:rPr>
        <w:footnoteReference w:customMarkFollows="1" w:id="18"/>
        <w:t>(17)</w:t>
      </w:r>
    </w:p>
    <w:p w:rsidR="00000000" w:rsidRDefault="00000000">
      <w:pPr>
        <w:pStyle w:val="SingleTxt"/>
        <w:ind w:left="1264" w:right="1264"/>
        <w:rPr>
          <w:rtl/>
        </w:rPr>
      </w:pPr>
      <w:r>
        <w:rPr>
          <w:rtl/>
        </w:rPr>
        <w:tab/>
      </w:r>
      <w:r>
        <w:rPr>
          <w:rtl/>
        </w:rPr>
        <w:tab/>
        <w:t>والغرض من إنشاء مركز أبحاث نوع الجنس والدراسات والموارد بوصفه مركزا للخبرة التقنية والجودة فيما يتعلق بقضية المرأة ونوع الجنس، هو توليد بيانات يوثق بها من أجل الساسة الوطنية والتركيز بالدرجة الأولى على التعليم. ومن المتوقع أن يقوم المركز بدور محوري في تحديد القضايا الحاسمة وتوليد المعرفة المطلوبة واستحداث المعلومات اللازمة للنهج الاستراتيجية لضمان اشتراك المرأة في تنمية البلد.</w:t>
      </w:r>
    </w:p>
    <w:p w:rsidR="00000000" w:rsidRDefault="00000000">
      <w:pPr>
        <w:pStyle w:val="SingleTxt"/>
        <w:ind w:left="1264" w:right="1264"/>
        <w:rPr>
          <w:b/>
          <w:bCs/>
          <w:i/>
          <w:iCs/>
          <w:rtl/>
        </w:rPr>
      </w:pPr>
      <w:r>
        <w:rPr>
          <w:b/>
          <w:bCs/>
          <w:i/>
          <w:iCs/>
          <w:rtl/>
        </w:rPr>
        <w:t>المنهج الدراسي والتنميط حسب نوع الجنس</w:t>
      </w:r>
    </w:p>
    <w:p w:rsidR="00000000" w:rsidRDefault="00000000">
      <w:pPr>
        <w:pStyle w:val="SingleTxt"/>
        <w:ind w:left="1264" w:right="1264"/>
        <w:rPr>
          <w:rtl/>
        </w:rPr>
      </w:pPr>
      <w:r>
        <w:rPr>
          <w:rtl/>
        </w:rPr>
        <w:tab/>
      </w:r>
      <w:r>
        <w:rPr>
          <w:rtl/>
        </w:rPr>
        <w:tab/>
        <w:t>لدى كل من الطلبة والطلبات إمكانية الوصول إلى المنهج الدراسي ذاته، والامتحانات ذاتها، والتقدير التقني ذاته، وتدابير النظام المدرسي، وهيئة التدريس المتساوية في الكفاءة، والمباني المدرسية والمعدات المدرسية من النوعية ذاتها وعلى ذلك، فإنه لا يزال من الممكن أن تكون المسألة تتعلق بإمكانية الوصول عندما تحدث الحالات التالية:</w:t>
      </w:r>
    </w:p>
    <w:p w:rsidR="00000000" w:rsidRDefault="00000000">
      <w:pPr>
        <w:pStyle w:val="SingleTxt"/>
        <w:ind w:left="1264" w:right="1264"/>
        <w:rPr>
          <w:rtl/>
        </w:rPr>
      </w:pPr>
      <w:r>
        <w:rPr>
          <w:rtl/>
        </w:rPr>
        <w:tab/>
        <w:t>1 -</w:t>
      </w:r>
      <w:r>
        <w:rPr>
          <w:rtl/>
        </w:rPr>
        <w:tab/>
        <w:t xml:space="preserve">يقوم البنين بالتحرش بالبنات أو تخويفهن لدى أخذ دروس في مواد معينة (التفاعل </w:t>
      </w:r>
      <w:r>
        <w:rPr>
          <w:rtl/>
        </w:rPr>
        <w:tab/>
      </w:r>
      <w:r>
        <w:rPr>
          <w:rtl/>
        </w:rPr>
        <w:tab/>
        <w:t>بين الطلاب)</w:t>
      </w:r>
    </w:p>
    <w:p w:rsidR="00000000" w:rsidRDefault="00000000">
      <w:pPr>
        <w:pStyle w:val="SingleTxt"/>
        <w:ind w:left="1264" w:right="1264"/>
        <w:rPr>
          <w:rtl/>
        </w:rPr>
      </w:pPr>
      <w:r>
        <w:rPr>
          <w:rtl/>
        </w:rPr>
        <w:tab/>
        <w:t>2 -</w:t>
      </w:r>
      <w:r>
        <w:rPr>
          <w:rtl/>
        </w:rPr>
        <w:tab/>
        <w:t xml:space="preserve">أن يكون المنهج الدراسي لمادة معينة مألوفا لدى البنين أو متصلا بهم ولكنه غريب </w:t>
      </w:r>
      <w:r>
        <w:rPr>
          <w:rtl/>
        </w:rPr>
        <w:tab/>
      </w:r>
      <w:r>
        <w:rPr>
          <w:rtl/>
        </w:rPr>
        <w:tab/>
        <w:t>بالنسبة للبنات (الأهمية)</w:t>
      </w:r>
    </w:p>
    <w:p w:rsidR="00000000" w:rsidRDefault="00000000">
      <w:pPr>
        <w:pStyle w:val="SingleTxt"/>
        <w:ind w:left="1264" w:right="1264"/>
        <w:rPr>
          <w:rtl/>
        </w:rPr>
      </w:pPr>
      <w:r>
        <w:rPr>
          <w:rtl/>
        </w:rPr>
        <w:tab/>
        <w:t>3 -</w:t>
      </w:r>
      <w:r>
        <w:rPr>
          <w:rtl/>
        </w:rPr>
        <w:tab/>
        <w:t xml:space="preserve">يقدم المدرسون معاملة تفضيلية للبنين، عن وعي أو دون وعي، عن البنات في </w:t>
      </w:r>
      <w:r>
        <w:rPr>
          <w:rtl/>
        </w:rPr>
        <w:tab/>
      </w:r>
      <w:r>
        <w:rPr>
          <w:rtl/>
        </w:rPr>
        <w:tab/>
        <w:t>مجالات موضوع مادة معينة (المعاملة التفضيلية)</w:t>
      </w:r>
    </w:p>
    <w:p w:rsidR="00000000" w:rsidRDefault="00000000">
      <w:pPr>
        <w:pStyle w:val="SingleTxt"/>
        <w:ind w:left="1264" w:right="1264"/>
        <w:rPr>
          <w:rtl/>
        </w:rPr>
      </w:pPr>
      <w:r>
        <w:rPr>
          <w:rtl/>
        </w:rPr>
        <w:tab/>
        <w:t>4 -</w:t>
      </w:r>
      <w:r>
        <w:rPr>
          <w:rtl/>
        </w:rPr>
        <w:tab/>
        <w:t xml:space="preserve">يتم تثبيط البنات بانتظام عن انتهاج طريق معين بالنسبة للمستقبل أو تركهن على </w:t>
      </w:r>
      <w:r>
        <w:rPr>
          <w:rtl/>
        </w:rPr>
        <w:tab/>
      </w:r>
      <w:r>
        <w:rPr>
          <w:rtl/>
        </w:rPr>
        <w:tab/>
        <w:t xml:space="preserve">غير وعي بفرص المستقبل في مجال مادة معينة (تضييق فرص الاختيار) </w:t>
      </w:r>
      <w:r>
        <w:rPr>
          <w:rStyle w:val="FootnoteReference"/>
          <w:rtl/>
        </w:rPr>
        <w:footnoteReference w:customMarkFollows="1" w:id="19"/>
        <w:t>(18)</w:t>
      </w:r>
    </w:p>
    <w:p w:rsidR="00000000" w:rsidRDefault="00000000">
      <w:pPr>
        <w:pStyle w:val="SingleTxt"/>
        <w:ind w:left="1264" w:right="1264"/>
        <w:rPr>
          <w:rtl/>
        </w:rPr>
      </w:pPr>
      <w:r>
        <w:rPr>
          <w:rtl/>
        </w:rPr>
        <w:tab/>
      </w:r>
      <w:r>
        <w:rPr>
          <w:rtl/>
        </w:rPr>
        <w:tab/>
        <w:t>ومن أجل ذلك تم بذل جهد هام من جانب وزارة التعليم لتحديد قضايا التنميط حسب نوع الجنس وتوليد المنهج الدراسي في نظام التعليم. وحتى الآن، تم القضاء على بعض المفاهيم النمطية والتصريحات من معينات التدريس ومواده، أي الكتب المدرسية، ودليل والتصديرات المدرسين، والكتيبات والملصقات. غير أنه يلزم القيام بالكثير من أجل تغيير أو تحسين لغة الكتب المدرسية وبعض التصويرات التي تتوجه نحو الذكور حالياً.</w:t>
      </w:r>
    </w:p>
    <w:p w:rsidR="00000000" w:rsidRDefault="00000000">
      <w:pPr>
        <w:pStyle w:val="SingleTxt"/>
        <w:ind w:left="1264" w:right="1264"/>
        <w:rPr>
          <w:rtl/>
        </w:rPr>
      </w:pPr>
      <w:r>
        <w:rPr>
          <w:rtl/>
        </w:rPr>
        <w:tab/>
      </w:r>
      <w:r>
        <w:rPr>
          <w:rtl/>
        </w:rPr>
        <w:tab/>
        <w:t>وشملت خطة وزارة التعليم استحداث كتيب للتدريب حسب نوع الجنس وإجراء التدريب من أجل تعزيز وضمان المساواة في إمكانية الوصول ومعاملة كلا الجنسين والإحجام عن أي فعل من أفعال التمييز في الدراسة. ويتم بانتظام إجراء دورة تدريب حسب نوع الجنس على أنه مادة إضافية في معهد أسمره للمعلمين من أجل الطلبة الذين يتخرجون للعمل بالتدريس في مستويات التعليم الابتدائي. ووعيا من معهد أسمره للمعلمين بالأهمية الأولى للتوعية بنوع الجنس فيما بين المدرسين، استحدث المعهد مؤخرا كتيب للتدريب حسب نوع الجنس، المدرس النـزيه فيا يتعلق بنوع الجنس، وسوف يدمج الكتيب في المنهج الدراسي الخاص بالتربية.</w:t>
      </w:r>
    </w:p>
    <w:p w:rsidR="00000000" w:rsidRDefault="00000000">
      <w:pPr>
        <w:pStyle w:val="SingleTxt"/>
        <w:ind w:left="1264" w:right="1264"/>
        <w:rPr>
          <w:rtl/>
        </w:rPr>
      </w:pPr>
      <w:r>
        <w:rPr>
          <w:rtl/>
        </w:rPr>
        <w:tab/>
      </w:r>
      <w:r>
        <w:rPr>
          <w:rtl/>
        </w:rPr>
        <w:tab/>
        <w:t>ولا بد من إعطاء الفضل لسياسة التعليم المختلط واستخدام نظام المدرسة المختلطة الذي تتبعه الوزارة، الأمر الذي يسهم باستمرار بالقدر الكبير في تخفيف التنميط في ميدان التعليم.</w:t>
      </w:r>
    </w:p>
    <w:p w:rsidR="00000000" w:rsidRDefault="00000000">
      <w:pPr>
        <w:pStyle w:val="SingleTxt"/>
        <w:ind w:left="1264" w:right="1264"/>
        <w:rPr>
          <w:rtl/>
        </w:rPr>
      </w:pPr>
      <w:r>
        <w:rPr>
          <w:rtl/>
        </w:rPr>
        <w:tab/>
      </w:r>
      <w:r>
        <w:rPr>
          <w:rtl/>
        </w:rPr>
        <w:tab/>
        <w:t>وهذا يمثل اتجاها نحو المواد التي يمكن أن تختارها البنات في المدرسة. وكان المعروف فيما بين الجميع أن البنات يفضلن الموضوعات الاجتماعية، ويخترن المواد الخفيفة بدلاً من العلوم الطبيعية. وقد قام ذلك بدوره في تضليل البنات بالتركيز على المجال ”الخفيف“ وكان له أثر على معدل إنجازهن في مجال الرياضة والفيزياء والكيمياء، الخ على مستوى المدرسة العليا ليكون متدنيا جدا. وعلى سبيل المثال تبلغ مشاركة البنات في التعليم التقني 14 في المائة فقط ويقل معدل التقدم عن 10 في المائة. ومن ناحية أخرى يمثل البنات/النساء أغلبية كبيرة عندما يتعلق الأمر بالمدرسة التجارية في دراسات السكرتارية وإدارة المكاتب.</w:t>
      </w:r>
    </w:p>
    <w:p w:rsidR="00000000" w:rsidRDefault="00000000">
      <w:pPr>
        <w:pStyle w:val="SingleTxt"/>
        <w:ind w:left="1264" w:right="1264"/>
        <w:rPr>
          <w:rtl/>
        </w:rPr>
      </w:pPr>
      <w:r>
        <w:rPr>
          <w:rtl/>
        </w:rPr>
        <w:tab/>
      </w:r>
      <w:r>
        <w:tab/>
      </w:r>
      <w:r>
        <w:rPr>
          <w:rtl/>
        </w:rPr>
        <w:t>ومن الصعب للغاية إثبات حقيقة أن البنات يفضلن الاتجاه ”الخفيف“ في الدراسة نظرا لعدم وجود بيانات شاملة للاستناد إليها في ذلك. ولكن من الحقائق العامة أن جميع الطلبة تقريبا على مستوى المدرسة الإعدادية هم دون المتوسط عندما يتعلق الأمر بالرياضيات، وأن نسبة 14.88 في المائة فقط يحققون أعلى من معدل الترفيع عند الجلوس إلى الامتحان الوطني للفصل السابع.</w:t>
      </w:r>
      <w:r>
        <w:rPr>
          <w:rStyle w:val="FootnoteReference"/>
          <w:rtl/>
        </w:rPr>
        <w:footnoteReference w:customMarkFollows="1" w:id="20"/>
        <w:t>(19)</w:t>
      </w:r>
      <w:r>
        <w:rPr>
          <w:rtl/>
        </w:rPr>
        <w:t xml:space="preserve"> وقد أجرت وزارة التعليم بدعم من اليونيسيف/اليونسكو دراسة استقصائية بشأن رصد إنجاز التعلم في عام 2001 في 60 مدرسة ابتدائية تمثل ست مناطق وجميع المجموعات الإثنية. وقد تم استهداف الصفين الثالث والخامس وأظهرت النتيجة أن الطلبة كليهما أحرزا القليل في مجال الرياضيات والمعرفة العامة، وكان أداء البنات أقل بكثير من أداء البنين. انظر الجدول التالي:</w:t>
      </w:r>
    </w:p>
    <w:p w:rsidR="00000000" w:rsidRDefault="00000000">
      <w:pPr>
        <w:pStyle w:val="SingleTxt"/>
        <w:ind w:left="1264" w:right="1264"/>
        <w:rPr>
          <w:b/>
          <w:bCs/>
          <w:rtl/>
        </w:rPr>
      </w:pPr>
      <w:r>
        <w:rPr>
          <w:b/>
          <w:bCs/>
          <w:rtl/>
        </w:rPr>
        <w:t>الجدول 12: رصد إنجاز التعلم في الصف الخامس</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993"/>
        <w:gridCol w:w="897"/>
        <w:gridCol w:w="1087"/>
        <w:gridCol w:w="851"/>
        <w:gridCol w:w="992"/>
      </w:tblGrid>
      <w:tr w:rsidR="00000000">
        <w:tblPrEx>
          <w:tblCellMar>
            <w:top w:w="0" w:type="dxa"/>
            <w:bottom w:w="0" w:type="dxa"/>
          </w:tblCellMar>
        </w:tblPrEx>
        <w:trPr>
          <w:cantSplit/>
        </w:trPr>
        <w:tc>
          <w:tcPr>
            <w:tcW w:w="1701" w:type="dxa"/>
          </w:tcPr>
          <w:p w:rsidR="00000000" w:rsidRDefault="00000000">
            <w:pPr>
              <w:pStyle w:val="SingleTxt"/>
              <w:ind w:left="0" w:right="0"/>
              <w:rPr>
                <w:szCs w:val="24"/>
                <w:rtl/>
              </w:rPr>
            </w:pPr>
          </w:p>
        </w:tc>
        <w:tc>
          <w:tcPr>
            <w:tcW w:w="3024" w:type="dxa"/>
            <w:gridSpan w:val="3"/>
          </w:tcPr>
          <w:p w:rsidR="00000000" w:rsidRDefault="00000000">
            <w:pPr>
              <w:pStyle w:val="SingleTxt"/>
              <w:ind w:left="0" w:right="0"/>
              <w:jc w:val="center"/>
              <w:rPr>
                <w:b/>
                <w:bCs/>
                <w:szCs w:val="24"/>
                <w:rtl/>
              </w:rPr>
            </w:pPr>
            <w:r>
              <w:rPr>
                <w:b/>
                <w:bCs/>
                <w:szCs w:val="24"/>
                <w:rtl/>
              </w:rPr>
              <w:t xml:space="preserve">إنجاز التعلم </w:t>
            </w:r>
            <w:r>
              <w:rPr>
                <w:b/>
                <w:bCs/>
                <w:szCs w:val="24"/>
              </w:rPr>
              <w:t>MML</w:t>
            </w:r>
          </w:p>
        </w:tc>
        <w:tc>
          <w:tcPr>
            <w:tcW w:w="2930" w:type="dxa"/>
            <w:gridSpan w:val="3"/>
          </w:tcPr>
          <w:p w:rsidR="00000000" w:rsidRDefault="00000000">
            <w:pPr>
              <w:pStyle w:val="SingleTxt"/>
              <w:ind w:left="0" w:right="0"/>
              <w:jc w:val="center"/>
              <w:rPr>
                <w:b/>
                <w:bCs/>
                <w:szCs w:val="24"/>
                <w:rtl/>
              </w:rPr>
            </w:pPr>
            <w:r>
              <w:rPr>
                <w:b/>
                <w:bCs/>
                <w:szCs w:val="24"/>
                <w:rtl/>
              </w:rPr>
              <w:t xml:space="preserve">إنجاز التعلم </w:t>
            </w:r>
            <w:r>
              <w:rPr>
                <w:b/>
                <w:bCs/>
                <w:szCs w:val="24"/>
              </w:rPr>
              <w:t>DML</w:t>
            </w:r>
          </w:p>
        </w:tc>
      </w:tr>
      <w:tr w:rsidR="00000000">
        <w:tblPrEx>
          <w:tblCellMar>
            <w:top w:w="0" w:type="dxa"/>
            <w:bottom w:w="0" w:type="dxa"/>
          </w:tblCellMar>
        </w:tblPrEx>
        <w:tc>
          <w:tcPr>
            <w:tcW w:w="1701" w:type="dxa"/>
          </w:tcPr>
          <w:p w:rsidR="00000000" w:rsidRDefault="00000000">
            <w:pPr>
              <w:pStyle w:val="SingleTxt"/>
              <w:ind w:left="0" w:right="0"/>
              <w:rPr>
                <w:b/>
                <w:bCs/>
                <w:szCs w:val="24"/>
                <w:rtl/>
              </w:rPr>
            </w:pPr>
            <w:r>
              <w:rPr>
                <w:b/>
                <w:bCs/>
                <w:szCs w:val="24"/>
                <w:rtl/>
              </w:rPr>
              <w:t>مجالات التعلم</w:t>
            </w:r>
          </w:p>
        </w:tc>
        <w:tc>
          <w:tcPr>
            <w:tcW w:w="1134" w:type="dxa"/>
          </w:tcPr>
          <w:p w:rsidR="00000000" w:rsidRDefault="00000000">
            <w:pPr>
              <w:pStyle w:val="SingleTxt"/>
              <w:ind w:left="0" w:right="0"/>
              <w:rPr>
                <w:b/>
                <w:bCs/>
                <w:szCs w:val="24"/>
                <w:rtl/>
              </w:rPr>
            </w:pPr>
            <w:r>
              <w:rPr>
                <w:b/>
                <w:bCs/>
                <w:szCs w:val="24"/>
                <w:rtl/>
              </w:rPr>
              <w:t>ذكور</w:t>
            </w:r>
          </w:p>
        </w:tc>
        <w:tc>
          <w:tcPr>
            <w:tcW w:w="993" w:type="dxa"/>
          </w:tcPr>
          <w:p w:rsidR="00000000" w:rsidRDefault="00000000">
            <w:pPr>
              <w:pStyle w:val="SingleTxt"/>
              <w:ind w:left="0" w:right="0"/>
              <w:rPr>
                <w:b/>
                <w:bCs/>
                <w:szCs w:val="24"/>
                <w:rtl/>
              </w:rPr>
            </w:pPr>
            <w:r>
              <w:rPr>
                <w:b/>
                <w:bCs/>
                <w:szCs w:val="24"/>
                <w:rtl/>
              </w:rPr>
              <w:t>إناث</w:t>
            </w:r>
          </w:p>
        </w:tc>
        <w:tc>
          <w:tcPr>
            <w:tcW w:w="897" w:type="dxa"/>
          </w:tcPr>
          <w:p w:rsidR="00000000" w:rsidRDefault="00000000">
            <w:pPr>
              <w:pStyle w:val="SingleTxt"/>
              <w:ind w:left="0" w:right="0"/>
              <w:rPr>
                <w:b/>
                <w:bCs/>
                <w:szCs w:val="24"/>
                <w:rtl/>
              </w:rPr>
            </w:pPr>
            <w:r>
              <w:rPr>
                <w:b/>
                <w:bCs/>
                <w:szCs w:val="24"/>
                <w:rtl/>
              </w:rPr>
              <w:t>النسبة</w:t>
            </w:r>
          </w:p>
        </w:tc>
        <w:tc>
          <w:tcPr>
            <w:tcW w:w="1087" w:type="dxa"/>
          </w:tcPr>
          <w:p w:rsidR="00000000" w:rsidRDefault="00000000">
            <w:pPr>
              <w:pStyle w:val="SingleTxt"/>
              <w:ind w:left="0" w:right="0"/>
              <w:rPr>
                <w:b/>
                <w:bCs/>
                <w:szCs w:val="24"/>
                <w:rtl/>
              </w:rPr>
            </w:pPr>
            <w:r>
              <w:rPr>
                <w:b/>
                <w:bCs/>
                <w:szCs w:val="24"/>
                <w:rtl/>
              </w:rPr>
              <w:t>ذكور</w:t>
            </w:r>
          </w:p>
        </w:tc>
        <w:tc>
          <w:tcPr>
            <w:tcW w:w="851" w:type="dxa"/>
          </w:tcPr>
          <w:p w:rsidR="00000000" w:rsidRDefault="00000000">
            <w:pPr>
              <w:pStyle w:val="SingleTxt"/>
              <w:ind w:left="0" w:right="0"/>
              <w:rPr>
                <w:b/>
                <w:bCs/>
                <w:szCs w:val="24"/>
                <w:rtl/>
              </w:rPr>
            </w:pPr>
            <w:r>
              <w:rPr>
                <w:b/>
                <w:bCs/>
                <w:szCs w:val="24"/>
                <w:rtl/>
              </w:rPr>
              <w:t>إناث</w:t>
            </w:r>
          </w:p>
        </w:tc>
        <w:tc>
          <w:tcPr>
            <w:tcW w:w="992" w:type="dxa"/>
          </w:tcPr>
          <w:p w:rsidR="00000000" w:rsidRDefault="00000000">
            <w:pPr>
              <w:pStyle w:val="SingleTxt"/>
              <w:ind w:left="0" w:right="0"/>
              <w:rPr>
                <w:b/>
                <w:bCs/>
                <w:szCs w:val="24"/>
                <w:rtl/>
              </w:rPr>
            </w:pPr>
            <w:r>
              <w:rPr>
                <w:b/>
                <w:bCs/>
                <w:szCs w:val="24"/>
                <w:rtl/>
              </w:rPr>
              <w:t>النسبة</w:t>
            </w:r>
          </w:p>
        </w:tc>
      </w:tr>
      <w:tr w:rsidR="00000000">
        <w:tblPrEx>
          <w:tblCellMar>
            <w:top w:w="0" w:type="dxa"/>
            <w:bottom w:w="0" w:type="dxa"/>
          </w:tblCellMar>
        </w:tblPrEx>
        <w:tc>
          <w:tcPr>
            <w:tcW w:w="1701" w:type="dxa"/>
          </w:tcPr>
          <w:p w:rsidR="00000000" w:rsidRDefault="00000000">
            <w:pPr>
              <w:pStyle w:val="SingleTxt"/>
              <w:ind w:left="0" w:right="0"/>
              <w:rPr>
                <w:szCs w:val="24"/>
                <w:rtl/>
              </w:rPr>
            </w:pPr>
            <w:r>
              <w:rPr>
                <w:szCs w:val="24"/>
                <w:rtl/>
              </w:rPr>
              <w:t>لغة إنكليزية</w:t>
            </w:r>
          </w:p>
        </w:tc>
        <w:tc>
          <w:tcPr>
            <w:tcW w:w="1134" w:type="dxa"/>
          </w:tcPr>
          <w:p w:rsidR="00000000" w:rsidRDefault="00000000">
            <w:pPr>
              <w:pStyle w:val="SingleTxt"/>
              <w:ind w:left="0" w:right="0"/>
              <w:rPr>
                <w:szCs w:val="24"/>
                <w:rtl/>
              </w:rPr>
            </w:pPr>
            <w:r>
              <w:rPr>
                <w:szCs w:val="24"/>
                <w:rtl/>
              </w:rPr>
              <w:t>59.1</w:t>
            </w:r>
          </w:p>
        </w:tc>
        <w:tc>
          <w:tcPr>
            <w:tcW w:w="993" w:type="dxa"/>
          </w:tcPr>
          <w:p w:rsidR="00000000" w:rsidRDefault="00000000">
            <w:pPr>
              <w:pStyle w:val="SingleTxt"/>
              <w:ind w:left="0" w:right="0"/>
              <w:rPr>
                <w:szCs w:val="24"/>
                <w:rtl/>
              </w:rPr>
            </w:pPr>
            <w:r>
              <w:rPr>
                <w:szCs w:val="24"/>
                <w:rtl/>
              </w:rPr>
              <w:t>48.5</w:t>
            </w:r>
          </w:p>
        </w:tc>
        <w:tc>
          <w:tcPr>
            <w:tcW w:w="897" w:type="dxa"/>
          </w:tcPr>
          <w:p w:rsidR="00000000" w:rsidRDefault="00000000">
            <w:pPr>
              <w:pStyle w:val="SingleTxt"/>
              <w:ind w:left="0" w:right="0"/>
              <w:rPr>
                <w:szCs w:val="24"/>
                <w:rtl/>
              </w:rPr>
            </w:pPr>
            <w:r>
              <w:rPr>
                <w:szCs w:val="24"/>
                <w:rtl/>
              </w:rPr>
              <w:t>0.000</w:t>
            </w:r>
          </w:p>
        </w:tc>
        <w:tc>
          <w:tcPr>
            <w:tcW w:w="1087" w:type="dxa"/>
          </w:tcPr>
          <w:p w:rsidR="00000000" w:rsidRDefault="00000000">
            <w:pPr>
              <w:pStyle w:val="SingleTxt"/>
              <w:ind w:left="0" w:right="0"/>
              <w:rPr>
                <w:szCs w:val="24"/>
                <w:rtl/>
              </w:rPr>
            </w:pPr>
            <w:r>
              <w:rPr>
                <w:szCs w:val="24"/>
                <w:rtl/>
              </w:rPr>
              <w:t>16.1</w:t>
            </w:r>
          </w:p>
        </w:tc>
        <w:tc>
          <w:tcPr>
            <w:tcW w:w="851" w:type="dxa"/>
          </w:tcPr>
          <w:p w:rsidR="00000000" w:rsidRDefault="00000000">
            <w:pPr>
              <w:pStyle w:val="SingleTxt"/>
              <w:ind w:left="0" w:right="0"/>
              <w:rPr>
                <w:szCs w:val="24"/>
                <w:rtl/>
              </w:rPr>
            </w:pPr>
            <w:r>
              <w:rPr>
                <w:szCs w:val="24"/>
                <w:rtl/>
              </w:rPr>
              <w:t>9.5</w:t>
            </w:r>
          </w:p>
        </w:tc>
        <w:tc>
          <w:tcPr>
            <w:tcW w:w="992" w:type="dxa"/>
          </w:tcPr>
          <w:p w:rsidR="00000000" w:rsidRDefault="00000000">
            <w:pPr>
              <w:pStyle w:val="SingleTxt"/>
              <w:ind w:left="0" w:right="0"/>
              <w:rPr>
                <w:szCs w:val="24"/>
                <w:rtl/>
              </w:rPr>
            </w:pPr>
            <w:r>
              <w:rPr>
                <w:szCs w:val="24"/>
                <w:rtl/>
              </w:rPr>
              <w:t>0.000</w:t>
            </w:r>
          </w:p>
        </w:tc>
      </w:tr>
      <w:tr w:rsidR="00000000">
        <w:tblPrEx>
          <w:tblCellMar>
            <w:top w:w="0" w:type="dxa"/>
            <w:bottom w:w="0" w:type="dxa"/>
          </w:tblCellMar>
        </w:tblPrEx>
        <w:tc>
          <w:tcPr>
            <w:tcW w:w="1701" w:type="dxa"/>
          </w:tcPr>
          <w:p w:rsidR="00000000" w:rsidRDefault="00000000">
            <w:pPr>
              <w:pStyle w:val="SingleTxt"/>
              <w:ind w:left="0" w:right="0"/>
              <w:rPr>
                <w:szCs w:val="24"/>
                <w:rtl/>
              </w:rPr>
            </w:pPr>
            <w:r>
              <w:rPr>
                <w:szCs w:val="24"/>
                <w:rtl/>
              </w:rPr>
              <w:t>لغة الأم</w:t>
            </w:r>
          </w:p>
        </w:tc>
        <w:tc>
          <w:tcPr>
            <w:tcW w:w="1134" w:type="dxa"/>
          </w:tcPr>
          <w:p w:rsidR="00000000" w:rsidRDefault="00000000">
            <w:pPr>
              <w:pStyle w:val="SingleTxt"/>
              <w:ind w:left="0" w:right="0"/>
              <w:rPr>
                <w:szCs w:val="24"/>
                <w:rtl/>
              </w:rPr>
            </w:pPr>
            <w:r>
              <w:rPr>
                <w:szCs w:val="24"/>
                <w:rtl/>
              </w:rPr>
              <w:t>72.7</w:t>
            </w:r>
          </w:p>
        </w:tc>
        <w:tc>
          <w:tcPr>
            <w:tcW w:w="993" w:type="dxa"/>
          </w:tcPr>
          <w:p w:rsidR="00000000" w:rsidRDefault="00000000">
            <w:pPr>
              <w:pStyle w:val="SingleTxt"/>
              <w:ind w:left="0" w:right="0"/>
              <w:rPr>
                <w:szCs w:val="24"/>
                <w:rtl/>
              </w:rPr>
            </w:pPr>
            <w:r>
              <w:rPr>
                <w:szCs w:val="24"/>
                <w:rtl/>
              </w:rPr>
              <w:t>74.4</w:t>
            </w:r>
          </w:p>
        </w:tc>
        <w:tc>
          <w:tcPr>
            <w:tcW w:w="897" w:type="dxa"/>
          </w:tcPr>
          <w:p w:rsidR="00000000" w:rsidRDefault="00000000">
            <w:pPr>
              <w:pStyle w:val="SingleTxt"/>
              <w:ind w:left="0" w:right="0"/>
              <w:rPr>
                <w:szCs w:val="24"/>
                <w:rtl/>
              </w:rPr>
            </w:pPr>
            <w:r>
              <w:rPr>
                <w:szCs w:val="24"/>
                <w:rtl/>
              </w:rPr>
              <w:t>0.397</w:t>
            </w:r>
          </w:p>
        </w:tc>
        <w:tc>
          <w:tcPr>
            <w:tcW w:w="1087" w:type="dxa"/>
          </w:tcPr>
          <w:p w:rsidR="00000000" w:rsidRDefault="00000000">
            <w:pPr>
              <w:pStyle w:val="SingleTxt"/>
              <w:ind w:left="0" w:right="0"/>
              <w:rPr>
                <w:szCs w:val="24"/>
                <w:rtl/>
              </w:rPr>
            </w:pPr>
            <w:r>
              <w:rPr>
                <w:szCs w:val="24"/>
                <w:rtl/>
              </w:rPr>
              <w:t>19.0</w:t>
            </w:r>
          </w:p>
        </w:tc>
        <w:tc>
          <w:tcPr>
            <w:tcW w:w="851" w:type="dxa"/>
          </w:tcPr>
          <w:p w:rsidR="00000000" w:rsidRDefault="00000000">
            <w:pPr>
              <w:pStyle w:val="SingleTxt"/>
              <w:ind w:left="0" w:right="0"/>
              <w:rPr>
                <w:szCs w:val="24"/>
                <w:rtl/>
              </w:rPr>
            </w:pPr>
            <w:r>
              <w:rPr>
                <w:szCs w:val="24"/>
                <w:rtl/>
              </w:rPr>
              <w:t>15.6</w:t>
            </w:r>
          </w:p>
        </w:tc>
        <w:tc>
          <w:tcPr>
            <w:tcW w:w="992" w:type="dxa"/>
          </w:tcPr>
          <w:p w:rsidR="00000000" w:rsidRDefault="00000000">
            <w:pPr>
              <w:pStyle w:val="SingleTxt"/>
              <w:ind w:left="0" w:right="0"/>
              <w:rPr>
                <w:szCs w:val="24"/>
                <w:rtl/>
              </w:rPr>
            </w:pPr>
            <w:r>
              <w:rPr>
                <w:szCs w:val="24"/>
                <w:rtl/>
              </w:rPr>
              <w:t>0.045</w:t>
            </w:r>
          </w:p>
        </w:tc>
      </w:tr>
      <w:tr w:rsidR="00000000">
        <w:tblPrEx>
          <w:tblCellMar>
            <w:top w:w="0" w:type="dxa"/>
            <w:bottom w:w="0" w:type="dxa"/>
          </w:tblCellMar>
        </w:tblPrEx>
        <w:tc>
          <w:tcPr>
            <w:tcW w:w="1701" w:type="dxa"/>
          </w:tcPr>
          <w:p w:rsidR="00000000" w:rsidRDefault="00000000">
            <w:pPr>
              <w:pStyle w:val="SingleTxt"/>
              <w:ind w:left="0" w:right="0"/>
              <w:rPr>
                <w:szCs w:val="24"/>
                <w:rtl/>
              </w:rPr>
            </w:pPr>
            <w:r>
              <w:rPr>
                <w:szCs w:val="24"/>
                <w:rtl/>
              </w:rPr>
              <w:t>رياضيات</w:t>
            </w:r>
          </w:p>
        </w:tc>
        <w:tc>
          <w:tcPr>
            <w:tcW w:w="1134" w:type="dxa"/>
          </w:tcPr>
          <w:p w:rsidR="00000000" w:rsidRDefault="00000000">
            <w:pPr>
              <w:pStyle w:val="SingleTxt"/>
              <w:ind w:left="0" w:right="0"/>
              <w:rPr>
                <w:szCs w:val="24"/>
                <w:rtl/>
              </w:rPr>
            </w:pPr>
            <w:r>
              <w:rPr>
                <w:szCs w:val="24"/>
                <w:rtl/>
              </w:rPr>
              <w:t>16.5</w:t>
            </w:r>
          </w:p>
        </w:tc>
        <w:tc>
          <w:tcPr>
            <w:tcW w:w="993" w:type="dxa"/>
          </w:tcPr>
          <w:p w:rsidR="00000000" w:rsidRDefault="00000000">
            <w:pPr>
              <w:pStyle w:val="SingleTxt"/>
              <w:ind w:left="0" w:right="0"/>
              <w:rPr>
                <w:szCs w:val="24"/>
                <w:rtl/>
              </w:rPr>
            </w:pPr>
            <w:r>
              <w:rPr>
                <w:szCs w:val="24"/>
                <w:rtl/>
              </w:rPr>
              <w:t>10.5</w:t>
            </w:r>
          </w:p>
        </w:tc>
        <w:tc>
          <w:tcPr>
            <w:tcW w:w="897" w:type="dxa"/>
          </w:tcPr>
          <w:p w:rsidR="00000000" w:rsidRDefault="00000000">
            <w:pPr>
              <w:pStyle w:val="SingleTxt"/>
              <w:ind w:left="0" w:right="0"/>
              <w:rPr>
                <w:szCs w:val="24"/>
                <w:rtl/>
              </w:rPr>
            </w:pPr>
            <w:r>
              <w:rPr>
                <w:szCs w:val="24"/>
                <w:rtl/>
              </w:rPr>
              <w:t>0.000</w:t>
            </w:r>
          </w:p>
        </w:tc>
        <w:tc>
          <w:tcPr>
            <w:tcW w:w="1087" w:type="dxa"/>
          </w:tcPr>
          <w:p w:rsidR="00000000" w:rsidRDefault="00000000">
            <w:pPr>
              <w:pStyle w:val="SingleTxt"/>
              <w:ind w:left="0" w:right="0"/>
              <w:rPr>
                <w:szCs w:val="24"/>
                <w:rtl/>
              </w:rPr>
            </w:pPr>
            <w:r>
              <w:rPr>
                <w:szCs w:val="24"/>
                <w:rtl/>
              </w:rPr>
              <w:t>3,3</w:t>
            </w:r>
          </w:p>
        </w:tc>
        <w:tc>
          <w:tcPr>
            <w:tcW w:w="851" w:type="dxa"/>
          </w:tcPr>
          <w:p w:rsidR="00000000" w:rsidRDefault="00000000">
            <w:pPr>
              <w:pStyle w:val="SingleTxt"/>
              <w:ind w:left="0" w:right="0"/>
              <w:rPr>
                <w:szCs w:val="24"/>
                <w:rtl/>
              </w:rPr>
            </w:pPr>
            <w:r>
              <w:rPr>
                <w:szCs w:val="24"/>
                <w:rtl/>
              </w:rPr>
              <w:t>1.20</w:t>
            </w:r>
          </w:p>
        </w:tc>
        <w:tc>
          <w:tcPr>
            <w:tcW w:w="992" w:type="dxa"/>
          </w:tcPr>
          <w:p w:rsidR="00000000" w:rsidRDefault="00000000">
            <w:pPr>
              <w:pStyle w:val="SingleTxt"/>
              <w:ind w:left="0" w:right="0"/>
              <w:rPr>
                <w:szCs w:val="24"/>
                <w:rtl/>
              </w:rPr>
            </w:pPr>
            <w:r>
              <w:rPr>
                <w:szCs w:val="24"/>
                <w:rtl/>
              </w:rPr>
              <w:t>0.001</w:t>
            </w:r>
          </w:p>
        </w:tc>
      </w:tr>
      <w:tr w:rsidR="00000000">
        <w:tblPrEx>
          <w:tblCellMar>
            <w:top w:w="0" w:type="dxa"/>
            <w:bottom w:w="0" w:type="dxa"/>
          </w:tblCellMar>
        </w:tblPrEx>
        <w:tc>
          <w:tcPr>
            <w:tcW w:w="1701" w:type="dxa"/>
          </w:tcPr>
          <w:p w:rsidR="00000000" w:rsidRDefault="00000000">
            <w:pPr>
              <w:pStyle w:val="SingleTxt"/>
              <w:ind w:left="0" w:right="0"/>
              <w:rPr>
                <w:szCs w:val="24"/>
                <w:rtl/>
              </w:rPr>
            </w:pPr>
            <w:r>
              <w:rPr>
                <w:szCs w:val="24"/>
                <w:rtl/>
              </w:rPr>
              <w:t>معرفة عامة</w:t>
            </w:r>
          </w:p>
        </w:tc>
        <w:tc>
          <w:tcPr>
            <w:tcW w:w="1134" w:type="dxa"/>
          </w:tcPr>
          <w:p w:rsidR="00000000" w:rsidRDefault="00000000">
            <w:pPr>
              <w:pStyle w:val="SingleTxt"/>
              <w:ind w:left="0" w:right="0"/>
              <w:rPr>
                <w:szCs w:val="24"/>
                <w:rtl/>
              </w:rPr>
            </w:pPr>
            <w:r>
              <w:rPr>
                <w:szCs w:val="24"/>
                <w:rtl/>
              </w:rPr>
              <w:t>40.0</w:t>
            </w:r>
          </w:p>
        </w:tc>
        <w:tc>
          <w:tcPr>
            <w:tcW w:w="993" w:type="dxa"/>
          </w:tcPr>
          <w:p w:rsidR="00000000" w:rsidRDefault="00000000">
            <w:pPr>
              <w:pStyle w:val="SingleTxt"/>
              <w:ind w:left="0" w:right="0"/>
              <w:rPr>
                <w:szCs w:val="24"/>
                <w:rtl/>
              </w:rPr>
            </w:pPr>
            <w:r>
              <w:rPr>
                <w:szCs w:val="24"/>
                <w:rtl/>
              </w:rPr>
              <w:t>25.0</w:t>
            </w:r>
          </w:p>
        </w:tc>
        <w:tc>
          <w:tcPr>
            <w:tcW w:w="897" w:type="dxa"/>
          </w:tcPr>
          <w:p w:rsidR="00000000" w:rsidRDefault="00000000">
            <w:pPr>
              <w:pStyle w:val="SingleTxt"/>
              <w:ind w:left="0" w:right="0"/>
              <w:rPr>
                <w:szCs w:val="24"/>
                <w:rtl/>
              </w:rPr>
            </w:pPr>
            <w:r>
              <w:rPr>
                <w:szCs w:val="24"/>
                <w:rtl/>
              </w:rPr>
              <w:t>0.000</w:t>
            </w:r>
          </w:p>
        </w:tc>
        <w:tc>
          <w:tcPr>
            <w:tcW w:w="1087" w:type="dxa"/>
          </w:tcPr>
          <w:p w:rsidR="00000000" w:rsidRDefault="00000000">
            <w:pPr>
              <w:pStyle w:val="SingleTxt"/>
              <w:ind w:left="0" w:right="0"/>
              <w:rPr>
                <w:szCs w:val="24"/>
                <w:rtl/>
              </w:rPr>
            </w:pPr>
            <w:r>
              <w:rPr>
                <w:szCs w:val="24"/>
                <w:rtl/>
              </w:rPr>
              <w:t>3.4</w:t>
            </w:r>
          </w:p>
        </w:tc>
        <w:tc>
          <w:tcPr>
            <w:tcW w:w="851" w:type="dxa"/>
          </w:tcPr>
          <w:p w:rsidR="00000000" w:rsidRDefault="00000000">
            <w:pPr>
              <w:pStyle w:val="SingleTxt"/>
              <w:ind w:left="0" w:right="0"/>
              <w:rPr>
                <w:szCs w:val="24"/>
                <w:rtl/>
              </w:rPr>
            </w:pPr>
            <w:r>
              <w:rPr>
                <w:szCs w:val="24"/>
                <w:rtl/>
              </w:rPr>
              <w:t>1,1</w:t>
            </w:r>
          </w:p>
        </w:tc>
        <w:tc>
          <w:tcPr>
            <w:tcW w:w="992" w:type="dxa"/>
          </w:tcPr>
          <w:p w:rsidR="00000000" w:rsidRDefault="00000000">
            <w:pPr>
              <w:pStyle w:val="SingleTxt"/>
              <w:ind w:left="0" w:right="0"/>
              <w:rPr>
                <w:szCs w:val="24"/>
                <w:rtl/>
              </w:rPr>
            </w:pPr>
            <w:r>
              <w:rPr>
                <w:szCs w:val="24"/>
                <w:rtl/>
              </w:rPr>
              <w:t>0.003</w:t>
            </w:r>
          </w:p>
        </w:tc>
      </w:tr>
      <w:tr w:rsidR="00000000">
        <w:tblPrEx>
          <w:tblCellMar>
            <w:top w:w="0" w:type="dxa"/>
            <w:bottom w:w="0" w:type="dxa"/>
          </w:tblCellMar>
        </w:tblPrEx>
        <w:tc>
          <w:tcPr>
            <w:tcW w:w="1701" w:type="dxa"/>
          </w:tcPr>
          <w:p w:rsidR="00000000" w:rsidRDefault="00000000">
            <w:pPr>
              <w:pStyle w:val="SingleTxt"/>
              <w:ind w:left="0" w:right="0"/>
              <w:rPr>
                <w:szCs w:val="24"/>
                <w:rtl/>
              </w:rPr>
            </w:pPr>
            <w:r>
              <w:rPr>
                <w:szCs w:val="24"/>
                <w:rtl/>
              </w:rPr>
              <w:t>المجالات مجتمعة</w:t>
            </w:r>
          </w:p>
        </w:tc>
        <w:tc>
          <w:tcPr>
            <w:tcW w:w="1134" w:type="dxa"/>
          </w:tcPr>
          <w:p w:rsidR="00000000" w:rsidRDefault="00000000">
            <w:pPr>
              <w:pStyle w:val="SingleTxt"/>
              <w:ind w:left="0" w:right="0"/>
              <w:rPr>
                <w:szCs w:val="24"/>
                <w:rtl/>
              </w:rPr>
            </w:pPr>
            <w:r>
              <w:rPr>
                <w:szCs w:val="24"/>
                <w:rtl/>
              </w:rPr>
              <w:t>36.6</w:t>
            </w:r>
          </w:p>
        </w:tc>
        <w:tc>
          <w:tcPr>
            <w:tcW w:w="993" w:type="dxa"/>
          </w:tcPr>
          <w:p w:rsidR="00000000" w:rsidRDefault="00000000">
            <w:pPr>
              <w:pStyle w:val="SingleTxt"/>
              <w:ind w:left="0" w:right="0"/>
              <w:rPr>
                <w:szCs w:val="24"/>
                <w:rtl/>
              </w:rPr>
            </w:pPr>
            <w:r>
              <w:rPr>
                <w:szCs w:val="24"/>
                <w:rtl/>
              </w:rPr>
              <w:t>26.8</w:t>
            </w:r>
          </w:p>
        </w:tc>
        <w:tc>
          <w:tcPr>
            <w:tcW w:w="897" w:type="dxa"/>
          </w:tcPr>
          <w:p w:rsidR="00000000" w:rsidRDefault="00000000">
            <w:pPr>
              <w:pStyle w:val="SingleTxt"/>
              <w:ind w:left="0" w:right="0"/>
              <w:rPr>
                <w:szCs w:val="24"/>
                <w:rtl/>
              </w:rPr>
            </w:pPr>
            <w:r>
              <w:rPr>
                <w:szCs w:val="24"/>
                <w:rtl/>
              </w:rPr>
              <w:t>0.000</w:t>
            </w:r>
          </w:p>
        </w:tc>
        <w:tc>
          <w:tcPr>
            <w:tcW w:w="1087" w:type="dxa"/>
          </w:tcPr>
          <w:p w:rsidR="00000000" w:rsidRDefault="00000000">
            <w:pPr>
              <w:pStyle w:val="SingleTxt"/>
              <w:ind w:left="0" w:right="0"/>
              <w:rPr>
                <w:szCs w:val="24"/>
                <w:rtl/>
              </w:rPr>
            </w:pPr>
            <w:r>
              <w:rPr>
                <w:szCs w:val="24"/>
                <w:rtl/>
              </w:rPr>
              <w:t>3,3</w:t>
            </w:r>
          </w:p>
        </w:tc>
        <w:tc>
          <w:tcPr>
            <w:tcW w:w="851" w:type="dxa"/>
          </w:tcPr>
          <w:p w:rsidR="00000000" w:rsidRDefault="00000000">
            <w:pPr>
              <w:pStyle w:val="SingleTxt"/>
              <w:ind w:left="0" w:right="0"/>
              <w:rPr>
                <w:szCs w:val="24"/>
                <w:rtl/>
              </w:rPr>
            </w:pPr>
            <w:r>
              <w:rPr>
                <w:szCs w:val="24"/>
                <w:rtl/>
              </w:rPr>
              <w:t>2.4</w:t>
            </w:r>
          </w:p>
        </w:tc>
        <w:tc>
          <w:tcPr>
            <w:tcW w:w="992" w:type="dxa"/>
          </w:tcPr>
          <w:p w:rsidR="00000000" w:rsidRDefault="00000000">
            <w:pPr>
              <w:pStyle w:val="SingleTxt"/>
              <w:ind w:left="0" w:right="0"/>
              <w:rPr>
                <w:szCs w:val="24"/>
                <w:rtl/>
              </w:rPr>
            </w:pPr>
            <w:r>
              <w:rPr>
                <w:szCs w:val="24"/>
                <w:rtl/>
              </w:rPr>
              <w:t>0.001</w:t>
            </w:r>
          </w:p>
        </w:tc>
      </w:tr>
    </w:tbl>
    <w:p w:rsidR="00000000" w:rsidRDefault="00000000">
      <w:pPr>
        <w:pStyle w:val="SingleTxt"/>
        <w:ind w:left="1264" w:right="1264"/>
      </w:pPr>
      <w:r>
        <w:rPr>
          <w:szCs w:val="26"/>
          <w:rtl/>
        </w:rPr>
        <w:t>المصدر: وزارة التعليم، إدارة التعليم الأساسي، 2001</w:t>
      </w:r>
      <w:r>
        <w:rPr>
          <w:rtl/>
        </w:rPr>
        <w:t>.</w:t>
      </w:r>
    </w:p>
    <w:p w:rsidR="00000000" w:rsidRDefault="00000000">
      <w:pPr>
        <w:pStyle w:val="SingleTxt"/>
        <w:ind w:left="1264" w:right="1264"/>
        <w:rPr>
          <w:rtl/>
        </w:rPr>
      </w:pPr>
      <w:r>
        <w:rPr>
          <w:rtl/>
        </w:rPr>
        <w:tab/>
      </w:r>
      <w:r>
        <w:tab/>
      </w:r>
      <w:r>
        <w:rPr>
          <w:rtl/>
        </w:rPr>
        <w:t>ولم تبين الدراسة الاستقصائية بالفعل الأسباب الكافية وراء هذه النتائج فيما يتعلق بالسبب في انخفاض أداء الفتيات عن أداء الفتيان وما إذا كان ذلك يتأثر على الإطلاق بنهج التنميط حسب نوع الجنس في عملية التعلم. ويتطلب الأمر اتخاذ إجراءات أخرى لتوضيح الصورة.</w:t>
      </w:r>
    </w:p>
    <w:p w:rsidR="00000000" w:rsidRDefault="00000000">
      <w:pPr>
        <w:pStyle w:val="SingleTxt"/>
        <w:ind w:left="1264" w:right="1264"/>
        <w:rPr>
          <w:rtl/>
        </w:rPr>
      </w:pPr>
      <w:r>
        <w:rPr>
          <w:rtl/>
        </w:rPr>
        <w:tab/>
      </w:r>
      <w:r>
        <w:rPr>
          <w:rtl/>
        </w:rPr>
        <w:tab/>
        <w:t>وكان عدد الفتيات اللاتي حضرن امتحان شهادة التعليم الثانوي الأريتري، وهو امتحان وطني للتأهل لدخول الجامعة، 2905 في عام 1999/2000، وتمكن 161 فقط (5,5 في المائة) من اجتياز الامتحان. وهذا يبين أن أداء الفتيات في الفصول الأعلى (وقد أجرى ذلك بالفعل على المستوى الابتدائي) غير مرضي بالفعل ويتطلب اهتماما كافيا.</w:t>
      </w:r>
    </w:p>
    <w:p w:rsidR="00000000" w:rsidRDefault="00000000">
      <w:pPr>
        <w:pStyle w:val="SingleTxt"/>
        <w:ind w:left="1264" w:right="1264"/>
        <w:rPr>
          <w:rtl/>
        </w:rPr>
      </w:pPr>
      <w:r>
        <w:rPr>
          <w:rtl/>
        </w:rPr>
        <w:tab/>
      </w:r>
      <w:r>
        <w:rPr>
          <w:rtl/>
        </w:rPr>
        <w:tab/>
        <w:t>وتوجد برامج معينة، وإن كانت محدودة، أجراها الاتحاد الوطني للنساء الأريتريات والاتحاد الوطني للشباب والطلبة الأريتريين من أجل النهوض بإنجاز الفتيات في ميدان التعلم وخاصة في ميدان الرياضيات والمواد الأخرى المتعلقة بالعلوم الطبيعية عن طريق تنظيم فصول مفصلة من أجل الفتيات الضعاف في الرياضيات والفيزياء. وما زال يتعين علاج مسألة خفض معدلات تسرب الطالبات وتنظيم برامج من أجل الفتيات والنساء اللاتي تركن المدرسة قبل الأوان، وذلك بمعرفة وزارة التعليم.</w:t>
      </w:r>
    </w:p>
    <w:p w:rsidR="00000000" w:rsidRDefault="00000000">
      <w:pPr>
        <w:pStyle w:val="SingleTxt"/>
        <w:ind w:left="1264" w:right="1264"/>
        <w:rPr>
          <w:rtl/>
        </w:rPr>
      </w:pPr>
      <w:r>
        <w:rPr>
          <w:rtl/>
        </w:rPr>
        <w:tab/>
      </w:r>
      <w:r>
        <w:rPr>
          <w:rtl/>
        </w:rPr>
        <w:tab/>
        <w:t>وما زال يتعين إعداد ورقة تتعلق بالسياسة بشأن تعليم الفتاة من جانب الوزارة. ويجري حاليا تنفيذ مشروع بدعم من اليونيسيف بشأن الدراسة الاستقصائية وإعداد سياسة وطنية بشأن تعليم الفتاة بهدف توثيق هذه السياسة.</w:t>
      </w:r>
    </w:p>
    <w:p w:rsidR="00000000" w:rsidRDefault="00000000">
      <w:pPr>
        <w:pStyle w:val="SingleTxt"/>
        <w:ind w:left="1264" w:right="1264"/>
        <w:rPr>
          <w:b/>
          <w:bCs/>
          <w:i/>
          <w:iCs/>
          <w:rtl/>
        </w:rPr>
      </w:pPr>
      <w:r>
        <w:rPr>
          <w:b/>
          <w:bCs/>
          <w:i/>
          <w:iCs/>
          <w:rtl/>
        </w:rPr>
        <w:t>التعليم الخاص</w:t>
      </w:r>
    </w:p>
    <w:p w:rsidR="00000000" w:rsidRDefault="00000000">
      <w:pPr>
        <w:pStyle w:val="SingleTxt"/>
        <w:ind w:left="1264" w:right="1264"/>
        <w:rPr>
          <w:rtl/>
        </w:rPr>
      </w:pPr>
      <w:r>
        <w:rPr>
          <w:rtl/>
        </w:rPr>
        <w:tab/>
      </w:r>
      <w:r>
        <w:rPr>
          <w:rtl/>
        </w:rPr>
        <w:tab/>
        <w:t xml:space="preserve">توجد مدرستان غير حكوميتين للصم ومدرسة حكومية واحدة للمكفوفين وتضم ما مجموعه 213 طالبا 50 في المائة منهم من الطالبات. وعدد المدرسين المؤهلين غير كاف وتمثل المعلمات أكثر من 50 في المائة من هؤلاء المدرسين. وتستخدم المدارس المنهج الرسمي للتعليم الأساسي على المستوى الأولي ولا توجد أنشطة مفصلة خصيصاً لتدريب هذه الفئة الخاصة. وتبين إحصاءات الفترة 1998 </w:t>
      </w:r>
      <w:r>
        <w:t>–</w:t>
      </w:r>
      <w:r>
        <w:rPr>
          <w:rtl/>
        </w:rPr>
        <w:t xml:space="preserve"> 2001 عدم وجود أي تمييز حسب نوع الجنس في التحاق ومشاركة الجنسين في هذا البرنامج الخاص. ووفقا لوزارة التعليم يوجد بالطبع الكثير من الأطفال الآخرين ذوي الاحتياجات الخاصة المختلفة ويتم الآن تحديد وتصنيف هؤلاء الأطفال.</w:t>
      </w:r>
    </w:p>
    <w:p w:rsidR="00000000" w:rsidRDefault="00000000">
      <w:pPr>
        <w:pStyle w:val="SingleTxt"/>
        <w:ind w:left="1264" w:right="1264"/>
        <w:rPr>
          <w:b/>
          <w:bCs/>
          <w:i/>
          <w:iCs/>
          <w:rtl/>
        </w:rPr>
      </w:pPr>
      <w:r>
        <w:rPr>
          <w:b/>
          <w:bCs/>
          <w:i/>
          <w:iCs/>
          <w:rtl/>
        </w:rPr>
        <w:t>تعليم الكبار</w:t>
      </w:r>
    </w:p>
    <w:p w:rsidR="00000000" w:rsidRDefault="00000000">
      <w:pPr>
        <w:pStyle w:val="SingleTxt"/>
        <w:ind w:left="1264" w:right="1264"/>
        <w:rPr>
          <w:rtl/>
        </w:rPr>
      </w:pPr>
      <w:r>
        <w:rPr>
          <w:rtl/>
        </w:rPr>
        <w:tab/>
      </w:r>
      <w:r>
        <w:rPr>
          <w:rtl/>
        </w:rPr>
        <w:tab/>
        <w:t>يوضح البرنامج الوطني لمحو الأمية التابع لوزارة التعليم صراحة أن أحد أهدافه الرئيسية يتمثل فيما يلي:</w:t>
      </w:r>
    </w:p>
    <w:p w:rsidR="00000000" w:rsidRDefault="00000000">
      <w:pPr>
        <w:pStyle w:val="SingleTxt"/>
        <w:ind w:left="1264" w:right="1264"/>
        <w:rPr>
          <w:rtl/>
        </w:rPr>
      </w:pPr>
      <w:r>
        <w:rPr>
          <w:rtl/>
        </w:rPr>
        <w:tab/>
      </w:r>
      <w:r>
        <w:rPr>
          <w:rtl/>
        </w:rPr>
        <w:tab/>
      </w:r>
      <w:r>
        <w:rPr>
          <w:i/>
          <w:iCs/>
          <w:rtl/>
        </w:rPr>
        <w:t xml:space="preserve">”تضييق أوجه الاختلاف حسب نوع الجنس في محو الأمية عن طريق زيادة مشاركة </w:t>
      </w:r>
      <w:r>
        <w:rPr>
          <w:i/>
          <w:iCs/>
          <w:rtl/>
        </w:rPr>
        <w:tab/>
      </w:r>
      <w:r>
        <w:rPr>
          <w:i/>
          <w:iCs/>
          <w:rtl/>
        </w:rPr>
        <w:tab/>
        <w:t>النساء في برامج محو الأمية.“</w:t>
      </w:r>
    </w:p>
    <w:p w:rsidR="00000000" w:rsidRDefault="00000000">
      <w:pPr>
        <w:pStyle w:val="SingleTxt"/>
        <w:ind w:left="1264" w:right="1264"/>
        <w:rPr>
          <w:rtl/>
        </w:rPr>
      </w:pPr>
      <w:r>
        <w:rPr>
          <w:i/>
          <w:iCs/>
          <w:rtl/>
        </w:rPr>
        <w:tab/>
      </w:r>
      <w:r>
        <w:rPr>
          <w:i/>
          <w:iCs/>
          <w:rtl/>
        </w:rPr>
        <w:tab/>
      </w:r>
      <w:r>
        <w:rPr>
          <w:rtl/>
        </w:rPr>
        <w:t>وتحقيقاً لذلك، تم بذل جهود قوية لتشجيع مشاركة المرأة في خفض المعدل العالي للأمية فيما بين النساء في أريتريا ويتم إجراء التعلم بلغة الأم تسهيلاً للعملية، وكتب تعلم مبادئ القراءة وكتب القراءة التكميلية الأخرى يجري إعدادها بثماني لغات أصلية (من بين تسع لغات). وتم إنشاء أكثر من 60 مكتبة ريفية لتشجيع المجتمعات المحلية على قراءة كتب ومنشورات محلية مبسطة ومواصلة عملية التعلم. ويتم دعم البرنامج أيضا عن طريق فتح مراكز استماع إذاعية حيث تتمتع المرأة وأعضاء المجتمع المحلي الآخرون بالاستماع إلى برنامج التعليم الإذاعي للكبار في فصول كل منهم.</w:t>
      </w:r>
    </w:p>
    <w:p w:rsidR="00000000" w:rsidRDefault="00000000">
      <w:pPr>
        <w:pStyle w:val="SingleTxt"/>
        <w:ind w:left="1264" w:right="1264"/>
        <w:rPr>
          <w:rtl/>
        </w:rPr>
      </w:pPr>
      <w:r>
        <w:tab/>
      </w:r>
      <w:r>
        <w:rPr>
          <w:rtl/>
        </w:rPr>
        <w:tab/>
        <w:t xml:space="preserve">وتمثل النساء 90 في المائة من المشتركين في برنامج محو الأمية وتضم هؤلاء النساء مزارعات وشبه راعيات، وترتفع مشاركة النساء للغاية بين جماعتين إثنتين (23.64 في المائة) في حين أن المشاركة ما زالت منخفضة جداً في بقية الجماعات الإثنية الأخرى (1 </w:t>
      </w:r>
      <w:r>
        <w:t>–</w:t>
      </w:r>
      <w:r>
        <w:rPr>
          <w:rtl/>
        </w:rPr>
        <w:t xml:space="preserve"> 3 في المائة). وينبغي أن تركز شعبة تعليم الكبار والقطاعات المعنية الأخرى بشكل خاص على التدخل لصالح هذه الفئات المحرومة. وتتم إدارة الفصول في أكثر من 045 1 مركزاً عبر البلاد. ومع نهاية البرنامج الدراسي سيكون الطلبة قد اكتسبوا مهارات القراءة والكتابة ويعرفون الرياضيات الأساسية.</w:t>
      </w:r>
    </w:p>
    <w:p w:rsidR="00000000" w:rsidRDefault="00000000">
      <w:pPr>
        <w:pStyle w:val="SingleTxt"/>
        <w:ind w:left="1264" w:right="1264"/>
        <w:rPr>
          <w:rtl/>
        </w:rPr>
      </w:pPr>
      <w:r>
        <w:rPr>
          <w:rtl/>
        </w:rPr>
        <w:tab/>
      </w:r>
      <w:r>
        <w:rPr>
          <w:rtl/>
        </w:rPr>
        <w:tab/>
        <w:t>وقد التحق أكثر من 000 52 من الكبار ببرامج محو الأمية التي تعمل على تيسيرها وزارة التعليم/شعبة تعليم الكبار في سنة 2000/2001 من بينهم 90 في المائة من النساء</w:t>
      </w:r>
      <w:r>
        <w:rPr>
          <w:rStyle w:val="FootnoteReference"/>
          <w:rtl/>
        </w:rPr>
        <w:footnoteReference w:customMarkFollows="1" w:id="21"/>
        <w:t>(20)</w:t>
      </w:r>
      <w:r>
        <w:rPr>
          <w:rtl/>
        </w:rPr>
        <w:t>. وسر نجاح البرنامج كان مشاركة أكثر من 500 2 مُدَرِّسة شابة يتوجهن إلى كل قرية وكل مركز لمحو الأمية من أجل تعليم العدد الكبير من المشتركات من كبار النساء بحماسة والتزام.</w:t>
      </w:r>
    </w:p>
    <w:p w:rsidR="00000000" w:rsidRDefault="00000000">
      <w:pPr>
        <w:pStyle w:val="SingleTxt"/>
        <w:ind w:left="1264" w:right="1264"/>
        <w:rPr>
          <w:rtl/>
        </w:rPr>
      </w:pPr>
      <w:r>
        <w:rPr>
          <w:rtl/>
        </w:rPr>
        <w:tab/>
      </w:r>
      <w:r>
        <w:rPr>
          <w:rtl/>
        </w:rPr>
        <w:tab/>
        <w:t>وقد عملت شعبة تعليم الكبار على إطلاق البرنامج بتعاون ملحوظ من جانب الحكومات المحلية والاتحاد الوطني للنساء الأريتريات. وعلى سبيل المثال بدأ برنامج الأغذية العالمي على أساس طلب مقدَّم من الاتحاد الوطني للنساء الأريتريات ووزارة التعليم/شعبة تعليم الكبار، في شباط/فبراير 2002 بتقديم المعونات الغذائية إلى برنامج الأغذية مقابل التدريب الذي تنظمه وزارة التعليم، وهو يشمل 000 6 منتفع في 72 موقعاً لمحو أمية الكبار في منطقتي أنسيبا وشمالي البحر الأحمر. ولاحظت شعبة تعليم الكبار أن هناك تحسناً في حضور الفصول وانخفاضاً في معدلات التسرب من هذا البرنامج.</w:t>
      </w:r>
    </w:p>
    <w:p w:rsidR="00000000" w:rsidRDefault="00000000">
      <w:pPr>
        <w:pStyle w:val="SingleTxt"/>
        <w:ind w:left="1264" w:right="1264"/>
        <w:rPr>
          <w:b/>
          <w:bCs/>
          <w:rtl/>
        </w:rPr>
      </w:pPr>
      <w:r>
        <w:rPr>
          <w:b/>
          <w:bCs/>
          <w:rtl/>
        </w:rPr>
        <w:t xml:space="preserve">الجدول 13 </w:t>
      </w:r>
      <w:r>
        <w:rPr>
          <w:b/>
          <w:bCs/>
        </w:rPr>
        <w:t>–</w:t>
      </w:r>
      <w:r>
        <w:rPr>
          <w:b/>
          <w:bCs/>
          <w:rtl/>
        </w:rPr>
        <w:t xml:space="preserve"> اشتراك المرأة في برامج محو الأمية</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50"/>
        <w:gridCol w:w="993"/>
        <w:gridCol w:w="850"/>
        <w:gridCol w:w="992"/>
        <w:gridCol w:w="1134"/>
        <w:gridCol w:w="851"/>
        <w:gridCol w:w="709"/>
        <w:gridCol w:w="850"/>
        <w:gridCol w:w="851"/>
      </w:tblGrid>
      <w:tr w:rsidR="00000000">
        <w:tblPrEx>
          <w:tblCellMar>
            <w:top w:w="0" w:type="dxa"/>
            <w:bottom w:w="0" w:type="dxa"/>
          </w:tblCellMar>
        </w:tblPrEx>
        <w:trPr>
          <w:cantSplit/>
          <w:tblHeader/>
        </w:trPr>
        <w:tc>
          <w:tcPr>
            <w:tcW w:w="1276" w:type="dxa"/>
            <w:vAlign w:val="center"/>
          </w:tcPr>
          <w:p w:rsidR="00000000" w:rsidRDefault="00000000">
            <w:pPr>
              <w:pStyle w:val="SingleTxt"/>
              <w:ind w:left="0" w:right="0"/>
              <w:jc w:val="center"/>
              <w:rPr>
                <w:b/>
                <w:bCs/>
                <w:szCs w:val="24"/>
                <w:rtl/>
              </w:rPr>
            </w:pPr>
            <w:r>
              <w:rPr>
                <w:b/>
                <w:bCs/>
                <w:szCs w:val="24"/>
                <w:rtl/>
              </w:rPr>
              <w:t>زوبا/المنطقة</w:t>
            </w:r>
          </w:p>
        </w:tc>
        <w:tc>
          <w:tcPr>
            <w:tcW w:w="2693" w:type="dxa"/>
            <w:gridSpan w:val="3"/>
            <w:vAlign w:val="center"/>
          </w:tcPr>
          <w:p w:rsidR="00000000" w:rsidRDefault="00000000">
            <w:pPr>
              <w:pStyle w:val="SingleTxt"/>
              <w:ind w:left="0" w:right="0"/>
              <w:jc w:val="center"/>
              <w:rPr>
                <w:b/>
                <w:bCs/>
                <w:szCs w:val="24"/>
                <w:rtl/>
              </w:rPr>
            </w:pPr>
            <w:r>
              <w:rPr>
                <w:b/>
                <w:bCs/>
                <w:szCs w:val="24"/>
                <w:rtl/>
              </w:rPr>
              <w:t>المستوى الأول</w:t>
            </w:r>
          </w:p>
        </w:tc>
        <w:tc>
          <w:tcPr>
            <w:tcW w:w="2977" w:type="dxa"/>
            <w:gridSpan w:val="3"/>
            <w:vAlign w:val="center"/>
          </w:tcPr>
          <w:p w:rsidR="00000000" w:rsidRDefault="00000000">
            <w:pPr>
              <w:pStyle w:val="SingleTxt"/>
              <w:ind w:left="0" w:right="0"/>
              <w:jc w:val="center"/>
              <w:rPr>
                <w:b/>
                <w:bCs/>
                <w:szCs w:val="24"/>
                <w:rtl/>
              </w:rPr>
            </w:pPr>
            <w:r>
              <w:rPr>
                <w:b/>
                <w:bCs/>
                <w:szCs w:val="24"/>
                <w:rtl/>
              </w:rPr>
              <w:t>المستوى الثاني</w:t>
            </w:r>
          </w:p>
        </w:tc>
        <w:tc>
          <w:tcPr>
            <w:tcW w:w="2410" w:type="dxa"/>
            <w:gridSpan w:val="3"/>
            <w:vAlign w:val="center"/>
          </w:tcPr>
          <w:p w:rsidR="00000000" w:rsidRDefault="00000000">
            <w:pPr>
              <w:pStyle w:val="SingleTxt"/>
              <w:ind w:left="0" w:right="0"/>
              <w:jc w:val="center"/>
              <w:rPr>
                <w:b/>
                <w:bCs/>
                <w:szCs w:val="24"/>
                <w:rtl/>
              </w:rPr>
            </w:pPr>
            <w:r>
              <w:rPr>
                <w:b/>
                <w:bCs/>
                <w:szCs w:val="24"/>
                <w:rtl/>
              </w:rPr>
              <w:t>المستوى الثالث</w:t>
            </w:r>
          </w:p>
        </w:tc>
      </w:tr>
      <w:tr w:rsidR="00000000">
        <w:tblPrEx>
          <w:tblCellMar>
            <w:top w:w="0" w:type="dxa"/>
            <w:bottom w:w="0" w:type="dxa"/>
          </w:tblCellMar>
        </w:tblPrEx>
        <w:trPr>
          <w:tblHeader/>
        </w:trPr>
        <w:tc>
          <w:tcPr>
            <w:tcW w:w="1276" w:type="dxa"/>
            <w:vAlign w:val="center"/>
          </w:tcPr>
          <w:p w:rsidR="00000000" w:rsidRDefault="00000000">
            <w:pPr>
              <w:pStyle w:val="SingleTxt"/>
              <w:ind w:left="0" w:right="0"/>
              <w:jc w:val="center"/>
              <w:rPr>
                <w:b/>
                <w:bCs/>
                <w:szCs w:val="24"/>
                <w:rtl/>
              </w:rPr>
            </w:pPr>
          </w:p>
        </w:tc>
        <w:tc>
          <w:tcPr>
            <w:tcW w:w="850" w:type="dxa"/>
            <w:vAlign w:val="center"/>
          </w:tcPr>
          <w:p w:rsidR="00000000" w:rsidRDefault="00000000">
            <w:pPr>
              <w:pStyle w:val="SingleTxt"/>
              <w:ind w:left="0" w:right="0"/>
              <w:jc w:val="center"/>
              <w:rPr>
                <w:b/>
                <w:bCs/>
                <w:szCs w:val="24"/>
                <w:rtl/>
              </w:rPr>
            </w:pPr>
            <w:r>
              <w:rPr>
                <w:b/>
                <w:bCs/>
                <w:szCs w:val="24"/>
                <w:rtl/>
              </w:rPr>
              <w:t>ذكور</w:t>
            </w:r>
          </w:p>
        </w:tc>
        <w:tc>
          <w:tcPr>
            <w:tcW w:w="993" w:type="dxa"/>
            <w:vAlign w:val="center"/>
          </w:tcPr>
          <w:p w:rsidR="00000000" w:rsidRDefault="00000000">
            <w:pPr>
              <w:pStyle w:val="SingleTxt"/>
              <w:ind w:left="0" w:right="0"/>
              <w:jc w:val="center"/>
              <w:rPr>
                <w:b/>
                <w:bCs/>
                <w:szCs w:val="24"/>
                <w:rtl/>
              </w:rPr>
            </w:pPr>
            <w:r>
              <w:rPr>
                <w:b/>
                <w:bCs/>
                <w:szCs w:val="24"/>
                <w:rtl/>
              </w:rPr>
              <w:t>إناث</w:t>
            </w:r>
          </w:p>
        </w:tc>
        <w:tc>
          <w:tcPr>
            <w:tcW w:w="850" w:type="dxa"/>
            <w:vAlign w:val="center"/>
          </w:tcPr>
          <w:p w:rsidR="00000000" w:rsidRDefault="00000000">
            <w:pPr>
              <w:pStyle w:val="SingleTxt"/>
              <w:ind w:left="0" w:right="0"/>
              <w:jc w:val="center"/>
              <w:rPr>
                <w:b/>
                <w:bCs/>
                <w:szCs w:val="24"/>
                <w:rtl/>
              </w:rPr>
            </w:pPr>
            <w:r>
              <w:rPr>
                <w:b/>
                <w:bCs/>
                <w:szCs w:val="24"/>
                <w:rtl/>
              </w:rPr>
              <w:t>للإناث</w:t>
            </w:r>
            <w:r>
              <w:rPr>
                <w:rFonts w:cs="Akhbar MT"/>
                <w:b/>
                <w:bCs/>
                <w:szCs w:val="24"/>
                <w:rtl/>
              </w:rPr>
              <w:t>%</w:t>
            </w:r>
          </w:p>
        </w:tc>
        <w:tc>
          <w:tcPr>
            <w:tcW w:w="992" w:type="dxa"/>
            <w:vAlign w:val="center"/>
          </w:tcPr>
          <w:p w:rsidR="00000000" w:rsidRDefault="00000000">
            <w:pPr>
              <w:pStyle w:val="SingleTxt"/>
              <w:ind w:left="0" w:right="0"/>
              <w:jc w:val="center"/>
              <w:rPr>
                <w:b/>
                <w:bCs/>
                <w:szCs w:val="24"/>
                <w:rtl/>
              </w:rPr>
            </w:pPr>
            <w:r>
              <w:rPr>
                <w:b/>
                <w:bCs/>
                <w:szCs w:val="24"/>
                <w:rtl/>
              </w:rPr>
              <w:t>ذكور</w:t>
            </w:r>
          </w:p>
        </w:tc>
        <w:tc>
          <w:tcPr>
            <w:tcW w:w="1134" w:type="dxa"/>
            <w:vAlign w:val="center"/>
          </w:tcPr>
          <w:p w:rsidR="00000000" w:rsidRDefault="00000000">
            <w:pPr>
              <w:pStyle w:val="SingleTxt"/>
              <w:ind w:left="0" w:right="0"/>
              <w:jc w:val="center"/>
              <w:rPr>
                <w:b/>
                <w:bCs/>
                <w:szCs w:val="24"/>
                <w:rtl/>
              </w:rPr>
            </w:pPr>
            <w:r>
              <w:rPr>
                <w:b/>
                <w:bCs/>
                <w:szCs w:val="24"/>
                <w:rtl/>
              </w:rPr>
              <w:t>إناث</w:t>
            </w:r>
          </w:p>
        </w:tc>
        <w:tc>
          <w:tcPr>
            <w:tcW w:w="851" w:type="dxa"/>
            <w:vAlign w:val="center"/>
          </w:tcPr>
          <w:p w:rsidR="00000000" w:rsidRDefault="00000000">
            <w:pPr>
              <w:pStyle w:val="SingleTxt"/>
              <w:ind w:left="0" w:right="0"/>
              <w:jc w:val="center"/>
              <w:rPr>
                <w:b/>
                <w:bCs/>
                <w:szCs w:val="24"/>
                <w:rtl/>
              </w:rPr>
            </w:pPr>
            <w:r>
              <w:rPr>
                <w:b/>
                <w:bCs/>
                <w:szCs w:val="24"/>
                <w:rtl/>
              </w:rPr>
              <w:t>للإناث</w:t>
            </w:r>
            <w:r>
              <w:rPr>
                <w:rFonts w:cs="Akhbar MT"/>
                <w:b/>
                <w:bCs/>
                <w:szCs w:val="24"/>
                <w:rtl/>
              </w:rPr>
              <w:t>%</w:t>
            </w:r>
          </w:p>
        </w:tc>
        <w:tc>
          <w:tcPr>
            <w:tcW w:w="709" w:type="dxa"/>
            <w:vAlign w:val="center"/>
          </w:tcPr>
          <w:p w:rsidR="00000000" w:rsidRDefault="00000000">
            <w:pPr>
              <w:pStyle w:val="SingleTxt"/>
              <w:ind w:left="0" w:right="0"/>
              <w:jc w:val="center"/>
              <w:rPr>
                <w:b/>
                <w:bCs/>
                <w:szCs w:val="24"/>
                <w:rtl/>
              </w:rPr>
            </w:pPr>
            <w:r>
              <w:rPr>
                <w:b/>
                <w:bCs/>
                <w:szCs w:val="24"/>
                <w:rtl/>
              </w:rPr>
              <w:t>ذكور</w:t>
            </w:r>
          </w:p>
        </w:tc>
        <w:tc>
          <w:tcPr>
            <w:tcW w:w="850" w:type="dxa"/>
            <w:vAlign w:val="center"/>
          </w:tcPr>
          <w:p w:rsidR="00000000" w:rsidRDefault="00000000">
            <w:pPr>
              <w:pStyle w:val="SingleTxt"/>
              <w:ind w:left="0" w:right="0"/>
              <w:jc w:val="center"/>
              <w:rPr>
                <w:b/>
                <w:bCs/>
                <w:szCs w:val="24"/>
                <w:rtl/>
              </w:rPr>
            </w:pPr>
            <w:r>
              <w:rPr>
                <w:b/>
                <w:bCs/>
                <w:szCs w:val="24"/>
                <w:rtl/>
              </w:rPr>
              <w:t>إناث</w:t>
            </w:r>
          </w:p>
        </w:tc>
        <w:tc>
          <w:tcPr>
            <w:tcW w:w="851" w:type="dxa"/>
            <w:vAlign w:val="center"/>
          </w:tcPr>
          <w:p w:rsidR="00000000" w:rsidRDefault="00000000">
            <w:pPr>
              <w:pStyle w:val="SingleTxt"/>
              <w:ind w:left="0" w:right="0"/>
              <w:jc w:val="center"/>
              <w:rPr>
                <w:b/>
                <w:bCs/>
                <w:szCs w:val="24"/>
                <w:rtl/>
              </w:rPr>
            </w:pPr>
            <w:r>
              <w:rPr>
                <w:b/>
                <w:bCs/>
                <w:szCs w:val="24"/>
                <w:rtl/>
              </w:rPr>
              <w:t>للإناث</w:t>
            </w:r>
            <w:r>
              <w:rPr>
                <w:rFonts w:cs="Akhbar MT"/>
                <w:b/>
                <w:bCs/>
                <w:szCs w:val="24"/>
                <w:rtl/>
              </w:rPr>
              <w:t>%</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ماكيل</w:t>
            </w:r>
          </w:p>
        </w:tc>
        <w:tc>
          <w:tcPr>
            <w:tcW w:w="850" w:type="dxa"/>
          </w:tcPr>
          <w:p w:rsidR="00000000" w:rsidRDefault="00000000">
            <w:pPr>
              <w:pStyle w:val="SingleTxt"/>
              <w:ind w:left="0" w:right="0"/>
              <w:rPr>
                <w:szCs w:val="24"/>
                <w:rtl/>
              </w:rPr>
            </w:pPr>
            <w:r>
              <w:rPr>
                <w:szCs w:val="24"/>
                <w:rtl/>
              </w:rPr>
              <w:t>10</w:t>
            </w:r>
          </w:p>
        </w:tc>
        <w:tc>
          <w:tcPr>
            <w:tcW w:w="993" w:type="dxa"/>
          </w:tcPr>
          <w:p w:rsidR="00000000" w:rsidRDefault="00000000">
            <w:pPr>
              <w:pStyle w:val="SingleTxt"/>
              <w:ind w:left="0" w:right="0"/>
              <w:rPr>
                <w:szCs w:val="24"/>
                <w:rtl/>
              </w:rPr>
            </w:pPr>
            <w:r>
              <w:rPr>
                <w:szCs w:val="24"/>
                <w:rtl/>
              </w:rPr>
              <w:t>564 1</w:t>
            </w:r>
          </w:p>
        </w:tc>
        <w:tc>
          <w:tcPr>
            <w:tcW w:w="850" w:type="dxa"/>
          </w:tcPr>
          <w:p w:rsidR="00000000" w:rsidRDefault="00000000">
            <w:pPr>
              <w:pStyle w:val="SingleTxt"/>
              <w:ind w:left="0" w:right="0"/>
              <w:rPr>
                <w:szCs w:val="24"/>
                <w:rtl/>
              </w:rPr>
            </w:pPr>
            <w:r>
              <w:rPr>
                <w:szCs w:val="24"/>
                <w:rtl/>
              </w:rPr>
              <w:t>99.3</w:t>
            </w:r>
          </w:p>
        </w:tc>
        <w:tc>
          <w:tcPr>
            <w:tcW w:w="992" w:type="dxa"/>
          </w:tcPr>
          <w:p w:rsidR="00000000" w:rsidRDefault="00000000">
            <w:pPr>
              <w:pStyle w:val="SingleTxt"/>
              <w:ind w:left="0" w:right="0"/>
              <w:rPr>
                <w:szCs w:val="24"/>
                <w:rtl/>
              </w:rPr>
            </w:pPr>
            <w:r>
              <w:rPr>
                <w:szCs w:val="24"/>
                <w:rtl/>
              </w:rPr>
              <w:t>15</w:t>
            </w:r>
          </w:p>
        </w:tc>
        <w:tc>
          <w:tcPr>
            <w:tcW w:w="1134" w:type="dxa"/>
          </w:tcPr>
          <w:p w:rsidR="00000000" w:rsidRDefault="00000000">
            <w:pPr>
              <w:pStyle w:val="SingleTxt"/>
              <w:ind w:left="0" w:right="0"/>
              <w:rPr>
                <w:szCs w:val="24"/>
                <w:rtl/>
              </w:rPr>
            </w:pPr>
            <w:r>
              <w:rPr>
                <w:szCs w:val="24"/>
                <w:rtl/>
              </w:rPr>
              <w:t>046 1</w:t>
            </w:r>
          </w:p>
        </w:tc>
        <w:tc>
          <w:tcPr>
            <w:tcW w:w="851" w:type="dxa"/>
          </w:tcPr>
          <w:p w:rsidR="00000000" w:rsidRDefault="00000000">
            <w:pPr>
              <w:pStyle w:val="SingleTxt"/>
              <w:ind w:left="0" w:right="0"/>
              <w:rPr>
                <w:szCs w:val="24"/>
                <w:rtl/>
              </w:rPr>
            </w:pPr>
            <w:r>
              <w:rPr>
                <w:szCs w:val="24"/>
                <w:rtl/>
              </w:rPr>
              <w:t>98.5</w:t>
            </w:r>
          </w:p>
        </w:tc>
        <w:tc>
          <w:tcPr>
            <w:tcW w:w="709" w:type="dxa"/>
          </w:tcPr>
          <w:p w:rsidR="00000000" w:rsidRDefault="00000000">
            <w:pPr>
              <w:pStyle w:val="SingleTxt"/>
              <w:ind w:left="0" w:right="0"/>
              <w:rPr>
                <w:szCs w:val="24"/>
                <w:rtl/>
              </w:rPr>
            </w:pPr>
            <w:r>
              <w:rPr>
                <w:szCs w:val="24"/>
                <w:rtl/>
              </w:rPr>
              <w:t>7</w:t>
            </w:r>
          </w:p>
        </w:tc>
        <w:tc>
          <w:tcPr>
            <w:tcW w:w="850" w:type="dxa"/>
          </w:tcPr>
          <w:p w:rsidR="00000000" w:rsidRDefault="00000000">
            <w:pPr>
              <w:pStyle w:val="SingleTxt"/>
              <w:ind w:left="0" w:right="0"/>
              <w:rPr>
                <w:szCs w:val="24"/>
                <w:rtl/>
              </w:rPr>
            </w:pPr>
            <w:r>
              <w:rPr>
                <w:szCs w:val="24"/>
                <w:rtl/>
              </w:rPr>
              <w:t>205</w:t>
            </w:r>
          </w:p>
        </w:tc>
        <w:tc>
          <w:tcPr>
            <w:tcW w:w="851" w:type="dxa"/>
          </w:tcPr>
          <w:p w:rsidR="00000000" w:rsidRDefault="00000000">
            <w:pPr>
              <w:pStyle w:val="SingleTxt"/>
              <w:ind w:left="0" w:right="0"/>
              <w:rPr>
                <w:szCs w:val="24"/>
                <w:rtl/>
              </w:rPr>
            </w:pPr>
            <w:r>
              <w:rPr>
                <w:szCs w:val="24"/>
                <w:rtl/>
              </w:rPr>
              <w:t>96.6</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ديبوب</w:t>
            </w:r>
          </w:p>
        </w:tc>
        <w:tc>
          <w:tcPr>
            <w:tcW w:w="850" w:type="dxa"/>
          </w:tcPr>
          <w:p w:rsidR="00000000" w:rsidRDefault="00000000">
            <w:pPr>
              <w:pStyle w:val="SingleTxt"/>
              <w:ind w:left="0" w:right="0"/>
              <w:rPr>
                <w:szCs w:val="24"/>
                <w:rtl/>
              </w:rPr>
            </w:pPr>
            <w:r>
              <w:rPr>
                <w:szCs w:val="24"/>
                <w:rtl/>
              </w:rPr>
              <w:t>001 1</w:t>
            </w:r>
          </w:p>
        </w:tc>
        <w:tc>
          <w:tcPr>
            <w:tcW w:w="993" w:type="dxa"/>
          </w:tcPr>
          <w:p w:rsidR="00000000" w:rsidRDefault="00000000">
            <w:pPr>
              <w:pStyle w:val="SingleTxt"/>
              <w:ind w:left="0" w:right="0"/>
              <w:rPr>
                <w:szCs w:val="24"/>
                <w:rtl/>
              </w:rPr>
            </w:pPr>
            <w:r>
              <w:rPr>
                <w:szCs w:val="24"/>
                <w:rtl/>
              </w:rPr>
              <w:t>592 13</w:t>
            </w:r>
          </w:p>
        </w:tc>
        <w:tc>
          <w:tcPr>
            <w:tcW w:w="850" w:type="dxa"/>
          </w:tcPr>
          <w:p w:rsidR="00000000" w:rsidRDefault="00000000">
            <w:pPr>
              <w:pStyle w:val="SingleTxt"/>
              <w:ind w:left="0" w:right="0"/>
              <w:rPr>
                <w:szCs w:val="24"/>
                <w:rtl/>
              </w:rPr>
            </w:pPr>
            <w:r>
              <w:rPr>
                <w:szCs w:val="24"/>
                <w:rtl/>
              </w:rPr>
              <w:t>93.14</w:t>
            </w:r>
          </w:p>
        </w:tc>
        <w:tc>
          <w:tcPr>
            <w:tcW w:w="992" w:type="dxa"/>
          </w:tcPr>
          <w:p w:rsidR="00000000" w:rsidRDefault="00000000">
            <w:pPr>
              <w:pStyle w:val="SingleTxt"/>
              <w:ind w:left="0" w:right="0"/>
              <w:rPr>
                <w:szCs w:val="24"/>
                <w:rtl/>
              </w:rPr>
            </w:pPr>
            <w:r>
              <w:rPr>
                <w:szCs w:val="24"/>
                <w:rtl/>
              </w:rPr>
              <w:t>300</w:t>
            </w:r>
          </w:p>
        </w:tc>
        <w:tc>
          <w:tcPr>
            <w:tcW w:w="1134" w:type="dxa"/>
          </w:tcPr>
          <w:p w:rsidR="00000000" w:rsidRDefault="00000000">
            <w:pPr>
              <w:pStyle w:val="SingleTxt"/>
              <w:ind w:left="0" w:right="0"/>
              <w:rPr>
                <w:szCs w:val="24"/>
                <w:rtl/>
              </w:rPr>
            </w:pPr>
            <w:r>
              <w:rPr>
                <w:szCs w:val="24"/>
                <w:rtl/>
              </w:rPr>
              <w:t>097 7</w:t>
            </w:r>
          </w:p>
        </w:tc>
        <w:tc>
          <w:tcPr>
            <w:tcW w:w="851" w:type="dxa"/>
          </w:tcPr>
          <w:p w:rsidR="00000000" w:rsidRDefault="00000000">
            <w:pPr>
              <w:pStyle w:val="SingleTxt"/>
              <w:ind w:left="0" w:right="0"/>
              <w:rPr>
                <w:szCs w:val="24"/>
                <w:rtl/>
              </w:rPr>
            </w:pPr>
            <w:r>
              <w:rPr>
                <w:szCs w:val="24"/>
                <w:rtl/>
              </w:rPr>
              <w:t>95.9</w:t>
            </w:r>
          </w:p>
        </w:tc>
        <w:tc>
          <w:tcPr>
            <w:tcW w:w="709" w:type="dxa"/>
          </w:tcPr>
          <w:p w:rsidR="00000000" w:rsidRDefault="00000000">
            <w:pPr>
              <w:pStyle w:val="SingleTxt"/>
              <w:ind w:left="0" w:right="0"/>
              <w:rPr>
                <w:szCs w:val="24"/>
                <w:rtl/>
              </w:rPr>
            </w:pPr>
            <w:r>
              <w:rPr>
                <w:szCs w:val="24"/>
                <w:rtl/>
              </w:rPr>
              <w:t>57</w:t>
            </w:r>
          </w:p>
        </w:tc>
        <w:tc>
          <w:tcPr>
            <w:tcW w:w="850" w:type="dxa"/>
          </w:tcPr>
          <w:p w:rsidR="00000000" w:rsidRDefault="00000000">
            <w:pPr>
              <w:pStyle w:val="SingleTxt"/>
              <w:ind w:left="0" w:right="0"/>
              <w:rPr>
                <w:szCs w:val="24"/>
                <w:rtl/>
              </w:rPr>
            </w:pPr>
            <w:r>
              <w:rPr>
                <w:szCs w:val="24"/>
                <w:rtl/>
              </w:rPr>
              <w:t>095 2</w:t>
            </w:r>
          </w:p>
        </w:tc>
        <w:tc>
          <w:tcPr>
            <w:tcW w:w="851" w:type="dxa"/>
          </w:tcPr>
          <w:p w:rsidR="00000000" w:rsidRDefault="00000000">
            <w:pPr>
              <w:pStyle w:val="SingleTxt"/>
              <w:ind w:left="0" w:right="0"/>
              <w:rPr>
                <w:szCs w:val="24"/>
                <w:rtl/>
              </w:rPr>
            </w:pPr>
            <w:r>
              <w:rPr>
                <w:szCs w:val="24"/>
                <w:rtl/>
              </w:rPr>
              <w:t>97.3</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أنسيبا</w:t>
            </w:r>
          </w:p>
        </w:tc>
        <w:tc>
          <w:tcPr>
            <w:tcW w:w="850" w:type="dxa"/>
          </w:tcPr>
          <w:p w:rsidR="00000000" w:rsidRDefault="00000000">
            <w:pPr>
              <w:pStyle w:val="SingleTxt"/>
              <w:ind w:left="0" w:right="0"/>
              <w:rPr>
                <w:szCs w:val="24"/>
                <w:rtl/>
              </w:rPr>
            </w:pPr>
            <w:r>
              <w:rPr>
                <w:szCs w:val="24"/>
                <w:rtl/>
              </w:rPr>
              <w:t>638</w:t>
            </w:r>
          </w:p>
        </w:tc>
        <w:tc>
          <w:tcPr>
            <w:tcW w:w="993" w:type="dxa"/>
          </w:tcPr>
          <w:p w:rsidR="00000000" w:rsidRDefault="00000000">
            <w:pPr>
              <w:pStyle w:val="SingleTxt"/>
              <w:ind w:left="0" w:right="0"/>
              <w:rPr>
                <w:szCs w:val="24"/>
                <w:rtl/>
              </w:rPr>
            </w:pPr>
            <w:r>
              <w:rPr>
                <w:szCs w:val="24"/>
                <w:rtl/>
              </w:rPr>
              <w:t>419 4</w:t>
            </w:r>
          </w:p>
        </w:tc>
        <w:tc>
          <w:tcPr>
            <w:tcW w:w="850" w:type="dxa"/>
          </w:tcPr>
          <w:p w:rsidR="00000000" w:rsidRDefault="00000000">
            <w:pPr>
              <w:pStyle w:val="SingleTxt"/>
              <w:ind w:left="0" w:right="0"/>
              <w:rPr>
                <w:szCs w:val="24"/>
                <w:rtl/>
              </w:rPr>
            </w:pPr>
            <w:r>
              <w:rPr>
                <w:szCs w:val="24"/>
                <w:rtl/>
              </w:rPr>
              <w:t>87.38</w:t>
            </w:r>
          </w:p>
        </w:tc>
        <w:tc>
          <w:tcPr>
            <w:tcW w:w="992" w:type="dxa"/>
          </w:tcPr>
          <w:p w:rsidR="00000000" w:rsidRDefault="00000000">
            <w:pPr>
              <w:pStyle w:val="SingleTxt"/>
              <w:ind w:left="0" w:right="0"/>
              <w:rPr>
                <w:szCs w:val="24"/>
                <w:rtl/>
              </w:rPr>
            </w:pPr>
            <w:r>
              <w:rPr>
                <w:szCs w:val="24"/>
                <w:rtl/>
              </w:rPr>
              <w:t>308</w:t>
            </w:r>
          </w:p>
        </w:tc>
        <w:tc>
          <w:tcPr>
            <w:tcW w:w="1134" w:type="dxa"/>
          </w:tcPr>
          <w:p w:rsidR="00000000" w:rsidRDefault="00000000">
            <w:pPr>
              <w:pStyle w:val="SingleTxt"/>
              <w:ind w:left="0" w:right="0"/>
              <w:rPr>
                <w:szCs w:val="24"/>
                <w:rtl/>
              </w:rPr>
            </w:pPr>
            <w:r>
              <w:rPr>
                <w:szCs w:val="24"/>
                <w:rtl/>
              </w:rPr>
              <w:t>521 2</w:t>
            </w:r>
          </w:p>
        </w:tc>
        <w:tc>
          <w:tcPr>
            <w:tcW w:w="851" w:type="dxa"/>
          </w:tcPr>
          <w:p w:rsidR="00000000" w:rsidRDefault="00000000">
            <w:pPr>
              <w:pStyle w:val="SingleTxt"/>
              <w:ind w:left="0" w:right="0"/>
              <w:rPr>
                <w:szCs w:val="24"/>
                <w:rtl/>
              </w:rPr>
            </w:pPr>
            <w:r>
              <w:rPr>
                <w:szCs w:val="24"/>
                <w:rtl/>
              </w:rPr>
              <w:t>89.1</w:t>
            </w:r>
          </w:p>
        </w:tc>
        <w:tc>
          <w:tcPr>
            <w:tcW w:w="709" w:type="dxa"/>
          </w:tcPr>
          <w:p w:rsidR="00000000" w:rsidRDefault="00000000">
            <w:pPr>
              <w:pStyle w:val="SingleTxt"/>
              <w:ind w:left="0" w:right="0"/>
              <w:rPr>
                <w:szCs w:val="24"/>
                <w:rtl/>
              </w:rPr>
            </w:pPr>
            <w:r>
              <w:rPr>
                <w:szCs w:val="24"/>
                <w:rtl/>
              </w:rPr>
              <w:t>158</w:t>
            </w:r>
          </w:p>
        </w:tc>
        <w:tc>
          <w:tcPr>
            <w:tcW w:w="850" w:type="dxa"/>
          </w:tcPr>
          <w:p w:rsidR="00000000" w:rsidRDefault="00000000">
            <w:pPr>
              <w:pStyle w:val="SingleTxt"/>
              <w:ind w:left="0" w:right="0"/>
              <w:rPr>
                <w:szCs w:val="24"/>
                <w:rtl/>
              </w:rPr>
            </w:pPr>
            <w:r>
              <w:rPr>
                <w:szCs w:val="24"/>
                <w:rtl/>
              </w:rPr>
              <w:t>201 1</w:t>
            </w:r>
          </w:p>
        </w:tc>
        <w:tc>
          <w:tcPr>
            <w:tcW w:w="851" w:type="dxa"/>
          </w:tcPr>
          <w:p w:rsidR="00000000" w:rsidRDefault="00000000">
            <w:pPr>
              <w:pStyle w:val="SingleTxt"/>
              <w:ind w:left="0" w:right="0"/>
              <w:rPr>
                <w:szCs w:val="24"/>
                <w:rtl/>
              </w:rPr>
            </w:pPr>
            <w:r>
              <w:rPr>
                <w:szCs w:val="24"/>
                <w:rtl/>
              </w:rPr>
              <w:t>88.3</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غاشي/بركا</w:t>
            </w:r>
          </w:p>
        </w:tc>
        <w:tc>
          <w:tcPr>
            <w:tcW w:w="850" w:type="dxa"/>
          </w:tcPr>
          <w:p w:rsidR="00000000" w:rsidRDefault="00000000">
            <w:pPr>
              <w:pStyle w:val="SingleTxt"/>
              <w:ind w:left="0" w:right="0"/>
              <w:rPr>
                <w:szCs w:val="24"/>
                <w:rtl/>
              </w:rPr>
            </w:pPr>
            <w:r>
              <w:rPr>
                <w:szCs w:val="24"/>
                <w:rtl/>
              </w:rPr>
              <w:t>580 1</w:t>
            </w:r>
          </w:p>
        </w:tc>
        <w:tc>
          <w:tcPr>
            <w:tcW w:w="993" w:type="dxa"/>
          </w:tcPr>
          <w:p w:rsidR="00000000" w:rsidRDefault="00000000">
            <w:pPr>
              <w:pStyle w:val="SingleTxt"/>
              <w:ind w:left="0" w:right="0"/>
              <w:rPr>
                <w:szCs w:val="24"/>
                <w:rtl/>
              </w:rPr>
            </w:pPr>
            <w:r>
              <w:rPr>
                <w:szCs w:val="24"/>
                <w:rtl/>
              </w:rPr>
              <w:t>310 6</w:t>
            </w:r>
          </w:p>
        </w:tc>
        <w:tc>
          <w:tcPr>
            <w:tcW w:w="850" w:type="dxa"/>
          </w:tcPr>
          <w:p w:rsidR="00000000" w:rsidRDefault="00000000">
            <w:pPr>
              <w:pStyle w:val="SingleTxt"/>
              <w:ind w:left="0" w:right="0"/>
              <w:rPr>
                <w:szCs w:val="24"/>
                <w:rtl/>
              </w:rPr>
            </w:pPr>
            <w:r>
              <w:rPr>
                <w:szCs w:val="24"/>
                <w:rtl/>
              </w:rPr>
              <w:t>79.97</w:t>
            </w:r>
          </w:p>
        </w:tc>
        <w:tc>
          <w:tcPr>
            <w:tcW w:w="992" w:type="dxa"/>
          </w:tcPr>
          <w:p w:rsidR="00000000" w:rsidRDefault="00000000">
            <w:pPr>
              <w:pStyle w:val="SingleTxt"/>
              <w:ind w:left="0" w:right="0"/>
              <w:rPr>
                <w:szCs w:val="24"/>
                <w:rtl/>
              </w:rPr>
            </w:pPr>
            <w:r>
              <w:rPr>
                <w:szCs w:val="24"/>
                <w:rtl/>
              </w:rPr>
              <w:t>399</w:t>
            </w:r>
          </w:p>
        </w:tc>
        <w:tc>
          <w:tcPr>
            <w:tcW w:w="1134" w:type="dxa"/>
          </w:tcPr>
          <w:p w:rsidR="00000000" w:rsidRDefault="00000000">
            <w:pPr>
              <w:pStyle w:val="SingleTxt"/>
              <w:ind w:left="0" w:right="0"/>
              <w:rPr>
                <w:szCs w:val="24"/>
                <w:rtl/>
              </w:rPr>
            </w:pPr>
            <w:r>
              <w:rPr>
                <w:szCs w:val="24"/>
                <w:rtl/>
              </w:rPr>
              <w:t>646 2</w:t>
            </w:r>
          </w:p>
        </w:tc>
        <w:tc>
          <w:tcPr>
            <w:tcW w:w="851" w:type="dxa"/>
          </w:tcPr>
          <w:p w:rsidR="00000000" w:rsidRDefault="00000000">
            <w:pPr>
              <w:pStyle w:val="SingleTxt"/>
              <w:ind w:left="0" w:right="0"/>
              <w:rPr>
                <w:szCs w:val="24"/>
                <w:rtl/>
              </w:rPr>
            </w:pPr>
            <w:r>
              <w:rPr>
                <w:szCs w:val="24"/>
                <w:rtl/>
              </w:rPr>
              <w:t>86.8</w:t>
            </w:r>
          </w:p>
        </w:tc>
        <w:tc>
          <w:tcPr>
            <w:tcW w:w="709" w:type="dxa"/>
          </w:tcPr>
          <w:p w:rsidR="00000000" w:rsidRDefault="00000000">
            <w:pPr>
              <w:pStyle w:val="SingleTxt"/>
              <w:ind w:left="0" w:right="0"/>
              <w:rPr>
                <w:szCs w:val="24"/>
                <w:rtl/>
              </w:rPr>
            </w:pPr>
            <w:r>
              <w:rPr>
                <w:szCs w:val="24"/>
                <w:rtl/>
              </w:rPr>
              <w:t>84</w:t>
            </w:r>
          </w:p>
        </w:tc>
        <w:tc>
          <w:tcPr>
            <w:tcW w:w="850" w:type="dxa"/>
          </w:tcPr>
          <w:p w:rsidR="00000000" w:rsidRDefault="00000000">
            <w:pPr>
              <w:pStyle w:val="SingleTxt"/>
              <w:ind w:left="0" w:right="0"/>
              <w:rPr>
                <w:szCs w:val="24"/>
                <w:rtl/>
              </w:rPr>
            </w:pPr>
            <w:r>
              <w:rPr>
                <w:szCs w:val="24"/>
                <w:rtl/>
              </w:rPr>
              <w:t>506</w:t>
            </w:r>
          </w:p>
        </w:tc>
        <w:tc>
          <w:tcPr>
            <w:tcW w:w="851" w:type="dxa"/>
          </w:tcPr>
          <w:p w:rsidR="00000000" w:rsidRDefault="00000000">
            <w:pPr>
              <w:pStyle w:val="SingleTxt"/>
              <w:ind w:left="0" w:right="0"/>
              <w:rPr>
                <w:szCs w:val="24"/>
                <w:rtl/>
              </w:rPr>
            </w:pPr>
            <w:r>
              <w:rPr>
                <w:szCs w:val="24"/>
                <w:rtl/>
              </w:rPr>
              <w:t>85.7</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س. ك. بحري</w:t>
            </w:r>
          </w:p>
        </w:tc>
        <w:tc>
          <w:tcPr>
            <w:tcW w:w="850" w:type="dxa"/>
          </w:tcPr>
          <w:p w:rsidR="00000000" w:rsidRDefault="00000000">
            <w:pPr>
              <w:pStyle w:val="SingleTxt"/>
              <w:ind w:left="0" w:right="0"/>
              <w:rPr>
                <w:szCs w:val="24"/>
                <w:rtl/>
              </w:rPr>
            </w:pPr>
            <w:r>
              <w:rPr>
                <w:szCs w:val="24"/>
                <w:rtl/>
              </w:rPr>
              <w:t>272</w:t>
            </w:r>
          </w:p>
        </w:tc>
        <w:tc>
          <w:tcPr>
            <w:tcW w:w="993" w:type="dxa"/>
          </w:tcPr>
          <w:p w:rsidR="00000000" w:rsidRDefault="00000000">
            <w:pPr>
              <w:pStyle w:val="SingleTxt"/>
              <w:ind w:left="0" w:right="0"/>
              <w:rPr>
                <w:szCs w:val="24"/>
                <w:rtl/>
              </w:rPr>
            </w:pPr>
            <w:r>
              <w:rPr>
                <w:szCs w:val="24"/>
                <w:rtl/>
              </w:rPr>
              <w:t>481 2</w:t>
            </w:r>
          </w:p>
        </w:tc>
        <w:tc>
          <w:tcPr>
            <w:tcW w:w="850" w:type="dxa"/>
          </w:tcPr>
          <w:p w:rsidR="00000000" w:rsidRDefault="00000000">
            <w:pPr>
              <w:pStyle w:val="SingleTxt"/>
              <w:ind w:left="0" w:right="0"/>
              <w:rPr>
                <w:szCs w:val="24"/>
                <w:rtl/>
              </w:rPr>
            </w:pPr>
            <w:r>
              <w:rPr>
                <w:szCs w:val="24"/>
                <w:rtl/>
              </w:rPr>
              <w:t>90.11</w:t>
            </w:r>
          </w:p>
        </w:tc>
        <w:tc>
          <w:tcPr>
            <w:tcW w:w="992" w:type="dxa"/>
          </w:tcPr>
          <w:p w:rsidR="00000000" w:rsidRDefault="00000000">
            <w:pPr>
              <w:pStyle w:val="SingleTxt"/>
              <w:ind w:left="0" w:right="0"/>
              <w:rPr>
                <w:szCs w:val="24"/>
                <w:rtl/>
              </w:rPr>
            </w:pPr>
            <w:r>
              <w:rPr>
                <w:szCs w:val="24"/>
                <w:rtl/>
              </w:rPr>
              <w:t>111</w:t>
            </w:r>
          </w:p>
        </w:tc>
        <w:tc>
          <w:tcPr>
            <w:tcW w:w="1134" w:type="dxa"/>
          </w:tcPr>
          <w:p w:rsidR="00000000" w:rsidRDefault="00000000">
            <w:pPr>
              <w:pStyle w:val="SingleTxt"/>
              <w:ind w:left="0" w:right="0"/>
              <w:rPr>
                <w:szCs w:val="24"/>
                <w:rtl/>
              </w:rPr>
            </w:pPr>
            <w:r>
              <w:rPr>
                <w:szCs w:val="24"/>
                <w:rtl/>
              </w:rPr>
              <w:t>115 1</w:t>
            </w:r>
          </w:p>
        </w:tc>
        <w:tc>
          <w:tcPr>
            <w:tcW w:w="851" w:type="dxa"/>
          </w:tcPr>
          <w:p w:rsidR="00000000" w:rsidRDefault="00000000">
            <w:pPr>
              <w:pStyle w:val="SingleTxt"/>
              <w:ind w:left="0" w:right="0"/>
              <w:rPr>
                <w:szCs w:val="24"/>
                <w:rtl/>
              </w:rPr>
            </w:pPr>
            <w:r>
              <w:rPr>
                <w:szCs w:val="24"/>
                <w:rtl/>
              </w:rPr>
              <w:t>90.9</w:t>
            </w:r>
          </w:p>
        </w:tc>
        <w:tc>
          <w:tcPr>
            <w:tcW w:w="709" w:type="dxa"/>
          </w:tcPr>
          <w:p w:rsidR="00000000" w:rsidRDefault="00000000">
            <w:pPr>
              <w:pStyle w:val="SingleTxt"/>
              <w:ind w:left="0" w:right="0"/>
              <w:rPr>
                <w:szCs w:val="24"/>
                <w:rtl/>
              </w:rPr>
            </w:pPr>
            <w:r>
              <w:rPr>
                <w:szCs w:val="24"/>
                <w:rtl/>
              </w:rPr>
              <w:t>17</w:t>
            </w:r>
          </w:p>
        </w:tc>
        <w:tc>
          <w:tcPr>
            <w:tcW w:w="850" w:type="dxa"/>
          </w:tcPr>
          <w:p w:rsidR="00000000" w:rsidRDefault="00000000">
            <w:pPr>
              <w:pStyle w:val="SingleTxt"/>
              <w:ind w:left="0" w:right="0"/>
              <w:rPr>
                <w:szCs w:val="24"/>
                <w:rtl/>
              </w:rPr>
            </w:pPr>
            <w:r>
              <w:rPr>
                <w:szCs w:val="24"/>
                <w:rtl/>
              </w:rPr>
              <w:t>449</w:t>
            </w:r>
          </w:p>
        </w:tc>
        <w:tc>
          <w:tcPr>
            <w:tcW w:w="851" w:type="dxa"/>
          </w:tcPr>
          <w:p w:rsidR="00000000" w:rsidRDefault="00000000">
            <w:pPr>
              <w:pStyle w:val="SingleTxt"/>
              <w:ind w:left="0" w:right="0"/>
              <w:rPr>
                <w:szCs w:val="24"/>
                <w:rtl/>
              </w:rPr>
            </w:pPr>
            <w:r>
              <w:rPr>
                <w:szCs w:val="24"/>
                <w:rtl/>
              </w:rPr>
              <w:t>96.3</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د. ك. بحري</w:t>
            </w:r>
          </w:p>
        </w:tc>
        <w:tc>
          <w:tcPr>
            <w:tcW w:w="850" w:type="dxa"/>
          </w:tcPr>
          <w:p w:rsidR="00000000" w:rsidRDefault="00000000">
            <w:pPr>
              <w:pStyle w:val="SingleTxt"/>
              <w:ind w:left="0" w:right="0"/>
              <w:rPr>
                <w:szCs w:val="24"/>
                <w:rtl/>
              </w:rPr>
            </w:pPr>
            <w:r>
              <w:rPr>
                <w:szCs w:val="24"/>
                <w:rtl/>
              </w:rPr>
              <w:t>133</w:t>
            </w:r>
          </w:p>
        </w:tc>
        <w:tc>
          <w:tcPr>
            <w:tcW w:w="993" w:type="dxa"/>
          </w:tcPr>
          <w:p w:rsidR="00000000" w:rsidRDefault="00000000">
            <w:pPr>
              <w:pStyle w:val="SingleTxt"/>
              <w:ind w:left="0" w:right="0"/>
              <w:rPr>
                <w:szCs w:val="24"/>
                <w:rtl/>
              </w:rPr>
            </w:pPr>
            <w:r>
              <w:rPr>
                <w:szCs w:val="24"/>
                <w:rtl/>
              </w:rPr>
              <w:t>382</w:t>
            </w:r>
          </w:p>
        </w:tc>
        <w:tc>
          <w:tcPr>
            <w:tcW w:w="850" w:type="dxa"/>
          </w:tcPr>
          <w:p w:rsidR="00000000" w:rsidRDefault="00000000">
            <w:pPr>
              <w:pStyle w:val="SingleTxt"/>
              <w:ind w:left="0" w:right="0"/>
              <w:rPr>
                <w:szCs w:val="24"/>
                <w:rtl/>
              </w:rPr>
            </w:pPr>
            <w:r>
              <w:rPr>
                <w:szCs w:val="24"/>
                <w:rtl/>
              </w:rPr>
              <w:t>74.17</w:t>
            </w:r>
          </w:p>
        </w:tc>
        <w:tc>
          <w:tcPr>
            <w:tcW w:w="992" w:type="dxa"/>
          </w:tcPr>
          <w:p w:rsidR="00000000" w:rsidRDefault="00000000">
            <w:pPr>
              <w:pStyle w:val="SingleTxt"/>
              <w:ind w:left="0" w:right="0"/>
              <w:rPr>
                <w:szCs w:val="24"/>
                <w:rtl/>
              </w:rPr>
            </w:pPr>
            <w:r>
              <w:rPr>
                <w:szCs w:val="24"/>
                <w:rtl/>
              </w:rPr>
              <w:t>20</w:t>
            </w:r>
          </w:p>
        </w:tc>
        <w:tc>
          <w:tcPr>
            <w:tcW w:w="1134" w:type="dxa"/>
          </w:tcPr>
          <w:p w:rsidR="00000000" w:rsidRDefault="00000000">
            <w:pPr>
              <w:pStyle w:val="SingleTxt"/>
              <w:ind w:left="0" w:right="0"/>
              <w:rPr>
                <w:szCs w:val="24"/>
                <w:rtl/>
              </w:rPr>
            </w:pPr>
            <w:r>
              <w:rPr>
                <w:szCs w:val="24"/>
                <w:rtl/>
              </w:rPr>
              <w:t>67</w:t>
            </w:r>
          </w:p>
        </w:tc>
        <w:tc>
          <w:tcPr>
            <w:tcW w:w="851" w:type="dxa"/>
          </w:tcPr>
          <w:p w:rsidR="00000000" w:rsidRDefault="00000000">
            <w:pPr>
              <w:pStyle w:val="SingleTxt"/>
              <w:ind w:left="0" w:right="0"/>
              <w:rPr>
                <w:szCs w:val="24"/>
                <w:rtl/>
              </w:rPr>
            </w:pPr>
            <w:r>
              <w:rPr>
                <w:szCs w:val="24"/>
                <w:rtl/>
              </w:rPr>
              <w:t>77</w:t>
            </w:r>
          </w:p>
        </w:tc>
        <w:tc>
          <w:tcPr>
            <w:tcW w:w="709" w:type="dxa"/>
          </w:tcPr>
          <w:p w:rsidR="00000000" w:rsidRDefault="00000000">
            <w:pPr>
              <w:pStyle w:val="SingleTxt"/>
              <w:ind w:left="0" w:right="0"/>
              <w:rPr>
                <w:szCs w:val="24"/>
                <w:rtl/>
              </w:rPr>
            </w:pPr>
            <w:r>
              <w:rPr>
                <w:szCs w:val="24"/>
                <w:rtl/>
              </w:rPr>
              <w:t>2</w:t>
            </w:r>
          </w:p>
        </w:tc>
        <w:tc>
          <w:tcPr>
            <w:tcW w:w="850" w:type="dxa"/>
          </w:tcPr>
          <w:p w:rsidR="00000000" w:rsidRDefault="00000000">
            <w:pPr>
              <w:pStyle w:val="SingleTxt"/>
              <w:ind w:left="0" w:right="0"/>
              <w:rPr>
                <w:szCs w:val="24"/>
                <w:rtl/>
              </w:rPr>
            </w:pPr>
            <w:r>
              <w:rPr>
                <w:szCs w:val="24"/>
                <w:rtl/>
              </w:rPr>
              <w:t>23</w:t>
            </w:r>
          </w:p>
        </w:tc>
        <w:tc>
          <w:tcPr>
            <w:tcW w:w="851" w:type="dxa"/>
          </w:tcPr>
          <w:p w:rsidR="00000000" w:rsidRDefault="00000000">
            <w:pPr>
              <w:pStyle w:val="SingleTxt"/>
              <w:ind w:left="0" w:right="0"/>
              <w:rPr>
                <w:szCs w:val="24"/>
                <w:rtl/>
              </w:rPr>
            </w:pPr>
            <w:r>
              <w:rPr>
                <w:szCs w:val="24"/>
                <w:rtl/>
              </w:rPr>
              <w:t>92</w:t>
            </w:r>
          </w:p>
        </w:tc>
      </w:tr>
      <w:tr w:rsidR="00000000">
        <w:tblPrEx>
          <w:tblCellMar>
            <w:top w:w="0" w:type="dxa"/>
            <w:bottom w:w="0" w:type="dxa"/>
          </w:tblCellMar>
        </w:tblPrEx>
        <w:tc>
          <w:tcPr>
            <w:tcW w:w="1276" w:type="dxa"/>
          </w:tcPr>
          <w:p w:rsidR="00000000" w:rsidRDefault="00000000">
            <w:pPr>
              <w:pStyle w:val="SingleTxt"/>
              <w:ind w:left="0" w:right="0"/>
              <w:rPr>
                <w:b/>
                <w:bCs/>
                <w:szCs w:val="24"/>
                <w:rtl/>
              </w:rPr>
            </w:pPr>
            <w:r>
              <w:rPr>
                <w:b/>
                <w:bCs/>
                <w:szCs w:val="24"/>
                <w:rtl/>
              </w:rPr>
              <w:t>المجموع</w:t>
            </w:r>
          </w:p>
        </w:tc>
        <w:tc>
          <w:tcPr>
            <w:tcW w:w="850" w:type="dxa"/>
          </w:tcPr>
          <w:p w:rsidR="00000000" w:rsidRDefault="00000000">
            <w:pPr>
              <w:pStyle w:val="SingleTxt"/>
              <w:ind w:left="0" w:right="0"/>
              <w:rPr>
                <w:b/>
                <w:bCs/>
                <w:szCs w:val="24"/>
                <w:rtl/>
              </w:rPr>
            </w:pPr>
            <w:r>
              <w:rPr>
                <w:b/>
                <w:bCs/>
                <w:szCs w:val="24"/>
                <w:rtl/>
              </w:rPr>
              <w:t>634 3</w:t>
            </w:r>
          </w:p>
        </w:tc>
        <w:tc>
          <w:tcPr>
            <w:tcW w:w="993" w:type="dxa"/>
          </w:tcPr>
          <w:p w:rsidR="00000000" w:rsidRDefault="00000000">
            <w:pPr>
              <w:pStyle w:val="SingleTxt"/>
              <w:ind w:left="0" w:right="0"/>
              <w:rPr>
                <w:b/>
                <w:bCs/>
                <w:szCs w:val="24"/>
                <w:rtl/>
              </w:rPr>
            </w:pPr>
            <w:r>
              <w:rPr>
                <w:b/>
                <w:bCs/>
                <w:szCs w:val="24"/>
                <w:rtl/>
              </w:rPr>
              <w:t>748 28</w:t>
            </w:r>
          </w:p>
        </w:tc>
        <w:tc>
          <w:tcPr>
            <w:tcW w:w="850" w:type="dxa"/>
          </w:tcPr>
          <w:p w:rsidR="00000000" w:rsidRDefault="00000000">
            <w:pPr>
              <w:pStyle w:val="SingleTxt"/>
              <w:ind w:left="0" w:right="0"/>
              <w:rPr>
                <w:b/>
                <w:bCs/>
                <w:szCs w:val="24"/>
                <w:rtl/>
              </w:rPr>
            </w:pPr>
            <w:r>
              <w:rPr>
                <w:b/>
                <w:bCs/>
                <w:szCs w:val="24"/>
                <w:rtl/>
              </w:rPr>
              <w:t>88.7</w:t>
            </w:r>
            <w:r>
              <w:rPr>
                <w:rFonts w:cs="Akhbar MT"/>
                <w:b/>
                <w:bCs/>
                <w:szCs w:val="24"/>
                <w:rtl/>
              </w:rPr>
              <w:t>%</w:t>
            </w:r>
          </w:p>
        </w:tc>
        <w:tc>
          <w:tcPr>
            <w:tcW w:w="992" w:type="dxa"/>
          </w:tcPr>
          <w:p w:rsidR="00000000" w:rsidRDefault="00000000">
            <w:pPr>
              <w:pStyle w:val="SingleTxt"/>
              <w:ind w:left="0" w:right="0"/>
              <w:rPr>
                <w:b/>
                <w:bCs/>
                <w:szCs w:val="24"/>
                <w:rtl/>
              </w:rPr>
            </w:pPr>
            <w:r>
              <w:rPr>
                <w:b/>
                <w:bCs/>
                <w:szCs w:val="24"/>
                <w:rtl/>
              </w:rPr>
              <w:t>153 1</w:t>
            </w:r>
          </w:p>
        </w:tc>
        <w:tc>
          <w:tcPr>
            <w:tcW w:w="1134" w:type="dxa"/>
          </w:tcPr>
          <w:p w:rsidR="00000000" w:rsidRDefault="00000000">
            <w:pPr>
              <w:pStyle w:val="SingleTxt"/>
              <w:ind w:left="0" w:right="0"/>
              <w:rPr>
                <w:b/>
                <w:bCs/>
                <w:szCs w:val="24"/>
                <w:rtl/>
              </w:rPr>
            </w:pPr>
            <w:r>
              <w:rPr>
                <w:b/>
                <w:bCs/>
                <w:szCs w:val="24"/>
                <w:rtl/>
              </w:rPr>
              <w:t>492 14</w:t>
            </w:r>
          </w:p>
        </w:tc>
        <w:tc>
          <w:tcPr>
            <w:tcW w:w="851" w:type="dxa"/>
          </w:tcPr>
          <w:p w:rsidR="00000000" w:rsidRDefault="00000000">
            <w:pPr>
              <w:pStyle w:val="SingleTxt"/>
              <w:ind w:left="0" w:right="0"/>
              <w:rPr>
                <w:b/>
                <w:bCs/>
                <w:szCs w:val="24"/>
                <w:rtl/>
              </w:rPr>
            </w:pPr>
            <w:r>
              <w:rPr>
                <w:b/>
                <w:bCs/>
                <w:szCs w:val="24"/>
                <w:rtl/>
              </w:rPr>
              <w:t>92.6</w:t>
            </w:r>
            <w:r>
              <w:rPr>
                <w:rFonts w:cs="Akhbar MT"/>
                <w:b/>
                <w:bCs/>
                <w:szCs w:val="24"/>
                <w:rtl/>
              </w:rPr>
              <w:t>%</w:t>
            </w:r>
          </w:p>
        </w:tc>
        <w:tc>
          <w:tcPr>
            <w:tcW w:w="709" w:type="dxa"/>
          </w:tcPr>
          <w:p w:rsidR="00000000" w:rsidRDefault="00000000">
            <w:pPr>
              <w:pStyle w:val="SingleTxt"/>
              <w:ind w:left="0" w:right="0"/>
              <w:rPr>
                <w:b/>
                <w:bCs/>
                <w:szCs w:val="24"/>
                <w:rtl/>
              </w:rPr>
            </w:pPr>
            <w:r>
              <w:rPr>
                <w:b/>
                <w:bCs/>
                <w:szCs w:val="24"/>
                <w:rtl/>
              </w:rPr>
              <w:t>325</w:t>
            </w:r>
          </w:p>
        </w:tc>
        <w:tc>
          <w:tcPr>
            <w:tcW w:w="850" w:type="dxa"/>
          </w:tcPr>
          <w:p w:rsidR="00000000" w:rsidRDefault="00000000">
            <w:pPr>
              <w:pStyle w:val="SingleTxt"/>
              <w:ind w:left="0" w:right="0"/>
              <w:rPr>
                <w:b/>
                <w:bCs/>
                <w:szCs w:val="24"/>
                <w:rtl/>
              </w:rPr>
            </w:pPr>
            <w:r>
              <w:rPr>
                <w:b/>
                <w:bCs/>
                <w:szCs w:val="24"/>
                <w:rtl/>
              </w:rPr>
              <w:t>479 4</w:t>
            </w:r>
          </w:p>
        </w:tc>
        <w:tc>
          <w:tcPr>
            <w:tcW w:w="851" w:type="dxa"/>
          </w:tcPr>
          <w:p w:rsidR="00000000" w:rsidRDefault="00000000">
            <w:pPr>
              <w:pStyle w:val="SingleTxt"/>
              <w:ind w:left="0" w:right="0"/>
              <w:rPr>
                <w:b/>
                <w:bCs/>
                <w:szCs w:val="24"/>
                <w:rtl/>
              </w:rPr>
            </w:pPr>
            <w:r>
              <w:rPr>
                <w:b/>
                <w:bCs/>
                <w:szCs w:val="24"/>
                <w:rtl/>
              </w:rPr>
              <w:t>93.2</w:t>
            </w:r>
            <w:r>
              <w:rPr>
                <w:rFonts w:cs="Akhbar MT"/>
                <w:b/>
                <w:bCs/>
                <w:szCs w:val="24"/>
                <w:rtl/>
              </w:rPr>
              <w:t>%</w:t>
            </w:r>
          </w:p>
        </w:tc>
      </w:tr>
    </w:tbl>
    <w:p w:rsidR="00000000" w:rsidRDefault="00000000">
      <w:pPr>
        <w:pStyle w:val="SingleTxt"/>
        <w:ind w:left="1264" w:right="1264"/>
        <w:rPr>
          <w:rtl/>
        </w:rPr>
      </w:pPr>
      <w:r>
        <w:rPr>
          <w:szCs w:val="26"/>
          <w:rtl/>
        </w:rPr>
        <w:t>المصدر: إحصاءات شعبة محو الأمية بوزارة التعليم، 2000/2001</w:t>
      </w:r>
      <w:r>
        <w:rPr>
          <w:rtl/>
        </w:rPr>
        <w:t>.</w:t>
      </w:r>
    </w:p>
    <w:p w:rsidR="00000000" w:rsidRDefault="00000000">
      <w:pPr>
        <w:pStyle w:val="SingleTxt"/>
        <w:spacing w:line="360" w:lineRule="exact"/>
        <w:ind w:left="1264" w:right="1264"/>
        <w:rPr>
          <w:rtl/>
        </w:rPr>
      </w:pPr>
      <w:r>
        <w:rPr>
          <w:rtl/>
        </w:rPr>
        <w:tab/>
      </w:r>
      <w:r>
        <w:rPr>
          <w:rtl/>
        </w:rPr>
        <w:tab/>
        <w:t>وقد منحت شعبة تعليم الكبار جائزة اليونسكو للرابطة الدولية لمحو الأمية والقراءة في تموز/يوليه 2002 كرمز لأحسن أداء في برامج محو الأمية.</w:t>
      </w:r>
    </w:p>
    <w:p w:rsidR="00000000" w:rsidRDefault="00000000">
      <w:pPr>
        <w:pStyle w:val="SingleTxt"/>
        <w:spacing w:line="360" w:lineRule="exact"/>
        <w:ind w:left="1264" w:right="1264"/>
        <w:rPr>
          <w:rtl/>
        </w:rPr>
      </w:pPr>
      <w:r>
        <w:rPr>
          <w:rtl/>
        </w:rPr>
        <w:tab/>
      </w:r>
      <w:r>
        <w:rPr>
          <w:rtl/>
        </w:rPr>
        <w:tab/>
        <w:t>وقبل برنامج محو الأمية الذي بدأ في عام 1997، تمكن الاتحاد الوطني للنساء الأريتريات والمنظمات المحلية غير الحكومية الأخرى من شن حملة واسعة وناجحة بشأن محو الأمية بين النساء في أنحاء البلد حيث استطاع أكثر من 000 30 امرأة وفتاة الحضور</w:t>
      </w:r>
      <w:r>
        <w:rPr>
          <w:rStyle w:val="FootnoteReference"/>
          <w:rtl/>
        </w:rPr>
        <w:footnoteReference w:customMarkFollows="1" w:id="22"/>
        <w:t>(21)</w:t>
      </w:r>
      <w:r>
        <w:rPr>
          <w:rtl/>
        </w:rPr>
        <w:t>.</w:t>
      </w:r>
    </w:p>
    <w:p w:rsidR="00000000" w:rsidRDefault="00000000">
      <w:pPr>
        <w:pStyle w:val="SingleTxt"/>
        <w:spacing w:line="360" w:lineRule="exact"/>
        <w:ind w:left="1264" w:right="1264"/>
        <w:rPr>
          <w:rtl/>
        </w:rPr>
      </w:pPr>
      <w:r>
        <w:rPr>
          <w:rtl/>
        </w:rPr>
        <w:tab/>
      </w:r>
      <w:r>
        <w:rPr>
          <w:rtl/>
        </w:rPr>
        <w:tab/>
        <w:t>وكنتيجة إجمالية، تم تسجيل تحسن ملحوظ في مستوى محو أمية النساء في السنوات الخمس الأخيرة، وأصبح حالياً باستطاعة 49 في المائة القراءة والكتابة مقابل 34.1 في المائة في عام 1995.</w:t>
      </w:r>
    </w:p>
    <w:p w:rsidR="00000000" w:rsidRDefault="00000000">
      <w:pPr>
        <w:pStyle w:val="SingleTxt"/>
        <w:spacing w:line="360" w:lineRule="exact"/>
        <w:ind w:left="1264" w:right="1264"/>
        <w:rPr>
          <w:i/>
          <w:iCs/>
          <w:rtl/>
        </w:rPr>
      </w:pPr>
      <w:r>
        <w:rPr>
          <w:b/>
          <w:bCs/>
          <w:i/>
          <w:iCs/>
          <w:rtl/>
        </w:rPr>
        <w:t>الألعاب الرياضية والفنون المرئية والتربية الجنسية</w:t>
      </w:r>
    </w:p>
    <w:p w:rsidR="00000000" w:rsidRDefault="00000000">
      <w:pPr>
        <w:pStyle w:val="SingleTxt"/>
        <w:spacing w:line="360" w:lineRule="exact"/>
        <w:ind w:left="1264" w:right="1264"/>
        <w:rPr>
          <w:rtl/>
        </w:rPr>
      </w:pPr>
      <w:r>
        <w:rPr>
          <w:rtl/>
        </w:rPr>
        <w:tab/>
      </w:r>
      <w:r>
        <w:rPr>
          <w:rtl/>
        </w:rPr>
        <w:tab/>
        <w:t>لا يجري فصل البنات في الانضمام إلى الأنشطة الرياضية في المدارس ونوادي الشباب وفصول الفنون المرئية. ونظراً لأن التربية البدنية تشكل جزءاً من المنهج الدراسي وفي الوقت نفسه مادة إلزامية ينبغي للجنسين حضورها دون تمييز، فلم يتم تسجيل أي مشكلة ملحوظة إلى الآن. وبالإضافة إلى ذلك، يتم تعيين النساء أعضاء في جميع الاتحادات الرياضية تحت إشراف وزارة التعليم.</w:t>
      </w:r>
    </w:p>
    <w:p w:rsidR="00000000" w:rsidRDefault="00000000">
      <w:pPr>
        <w:pStyle w:val="SingleTxt"/>
        <w:spacing w:line="360" w:lineRule="exact"/>
        <w:ind w:left="1264" w:right="1264"/>
        <w:rPr>
          <w:rtl/>
        </w:rPr>
      </w:pPr>
      <w:r>
        <w:rPr>
          <w:rtl/>
        </w:rPr>
        <w:tab/>
      </w:r>
      <w:r>
        <w:rPr>
          <w:rtl/>
        </w:rPr>
        <w:tab/>
        <w:t>وتبدأ التربية الجنسية رسمياً على مستوى المدرسة الإعدادية وتشكل جزءاً من فصول علم الأحياء موجهة إلى المراهقين في المدرسة. غير أن البرنامج الأكثر وثاقة بالموضوع بشأن التربية الجنسية على مستوى المدرسة الثانوية تقدمه الأنشطة الاستشارية للاتحاد الوطني للشباب والطلبة الأريتريين حيث تطرح المسائل المتعلقة بفيروس نقص المناعة البشرية/الإيدز وتنظيم الأسرة والحمل أثناء المراهقة على نطاق واسع.</w:t>
      </w:r>
    </w:p>
    <w:p w:rsidR="00000000" w:rsidRDefault="00000000">
      <w:pPr>
        <w:pStyle w:val="SingleTxt"/>
        <w:spacing w:line="360" w:lineRule="exact"/>
        <w:ind w:left="1264" w:right="1264"/>
        <w:rPr>
          <w:rtl/>
        </w:rPr>
      </w:pPr>
      <w:r>
        <w:rPr>
          <w:rtl/>
        </w:rPr>
        <w:tab/>
      </w:r>
      <w:r>
        <w:rPr>
          <w:rtl/>
        </w:rPr>
        <w:tab/>
        <w:t>وأخيراً، يتوقف نجاح برنامج التربية عامة وتعزيز تعليم الفتيات خاصة على الجهد التنسيقي بصفة رئيسية ”لأعمدة التربية الثلاثة“، أي الآباء والطلبة والحكومة.</w:t>
      </w:r>
    </w:p>
    <w:p w:rsidR="00000000" w:rsidRDefault="00000000">
      <w:pPr>
        <w:pStyle w:val="SingleTxt"/>
        <w:spacing w:line="360" w:lineRule="exact"/>
        <w:ind w:left="1264" w:right="1264"/>
        <w:rPr>
          <w:rtl/>
        </w:rPr>
      </w:pPr>
      <w:r>
        <w:rPr>
          <w:b/>
          <w:bCs/>
          <w:rtl/>
        </w:rPr>
        <w:t xml:space="preserve">المادة 11 </w:t>
      </w:r>
      <w:r>
        <w:rPr>
          <w:b/>
          <w:bCs/>
        </w:rPr>
        <w:t>–</w:t>
      </w:r>
      <w:r>
        <w:rPr>
          <w:b/>
          <w:bCs/>
          <w:rtl/>
        </w:rPr>
        <w:t xml:space="preserve"> العمالة</w:t>
      </w:r>
    </w:p>
    <w:p w:rsidR="00000000" w:rsidRDefault="00000000">
      <w:pPr>
        <w:pStyle w:val="SingleTxt"/>
        <w:spacing w:line="360" w:lineRule="exact"/>
        <w:ind w:left="1264" w:right="1264"/>
        <w:rPr>
          <w:rtl/>
        </w:rPr>
      </w:pPr>
      <w:r>
        <w:rPr>
          <w:rtl/>
        </w:rPr>
        <w:tab/>
      </w:r>
      <w:r>
        <w:rPr>
          <w:rtl/>
        </w:rPr>
        <w:tab/>
        <w:t>العمالة</w:t>
      </w:r>
      <w:r>
        <w:rPr>
          <w:rStyle w:val="FootnoteReference"/>
          <w:rtl/>
        </w:rPr>
        <w:footnoteReference w:customMarkFollows="1" w:id="23"/>
        <w:t>(22)</w:t>
      </w:r>
      <w:r>
        <w:rPr>
          <w:rtl/>
        </w:rPr>
        <w:t xml:space="preserve"> لها أشكال متعددة فيما بين النساء، فبعضهن موظفون لكل الوقت في الحكومة والقطاع الخاص، وبعضهن عمَّال لبعض الوقت، والبعض يعمل لحسابه في حين أن البعض الآخر موظفون موسميون. ويعمل عدداً أكبر من النساء في المدن بالمقارنة بالمناطق الريفية.</w:t>
      </w:r>
    </w:p>
    <w:p w:rsidR="00000000" w:rsidRDefault="00000000">
      <w:pPr>
        <w:pStyle w:val="SingleTxt"/>
        <w:spacing w:line="360" w:lineRule="exact"/>
        <w:ind w:left="1264" w:right="1264"/>
        <w:rPr>
          <w:rtl/>
        </w:rPr>
      </w:pPr>
      <w:r>
        <w:rPr>
          <w:rtl/>
        </w:rPr>
        <w:tab/>
      </w:r>
      <w:r>
        <w:rPr>
          <w:rtl/>
        </w:rPr>
        <w:tab/>
        <w:t>وتسعون في المائة من النساء في المدن، من اللاتي يعملن، يعملن مقابل نقد. ومن ناحية أخرى، لا تحصل المرأة الريفية عامة على تقاضي أجرها نقداً مقابل العمل وأنها تعمل على الأرجح لحسابها ولأقاربها (نحو 40 في المائة). وتبين المعلومات المتعلقة بالمهنة الحالية للمرأة العاملة أن غالبية النساء العاملات (55 في المائة) لديهن مهنة زراعية، و44 في المائة يعملن في أراضيهن و6.2 في المائة يعملن لحساب آخرين، و5 في المائة يعملن في أراضي الأسرة. والنساء اللاتي لا يعملن في ميدان الزراعة يتراوحن بين 9 في المائة في المبيعات/الخدمات و13 في المائة يعملن كعاملات في الأسر المعيشية والمنازل. وواحدة من كل عشر نساء عاملات لديها حرفة مهنية أو تقنية أو إدارية</w:t>
      </w:r>
      <w:r>
        <w:rPr>
          <w:rStyle w:val="FootnoteReference"/>
          <w:rtl/>
        </w:rPr>
        <w:footnoteReference w:customMarkFollows="1" w:id="24"/>
        <w:t>(23)</w:t>
      </w:r>
      <w:r>
        <w:rPr>
          <w:rtl/>
        </w:rPr>
        <w:t>.</w:t>
      </w:r>
    </w:p>
    <w:p w:rsidR="00000000" w:rsidRDefault="00000000">
      <w:pPr>
        <w:pStyle w:val="SingleTxt"/>
        <w:spacing w:line="360" w:lineRule="exact"/>
        <w:ind w:left="1264" w:right="1264"/>
        <w:rPr>
          <w:rtl/>
        </w:rPr>
      </w:pPr>
      <w:r>
        <w:rPr>
          <w:rtl/>
        </w:rPr>
        <w:tab/>
      </w:r>
      <w:r>
        <w:rPr>
          <w:rtl/>
        </w:rPr>
        <w:tab/>
        <w:t>وتقدر حصة المرأة من السكان النشطين اقتصادياً بأنها 5.1 في المائة في الميادين المهنية والتقنية، و0.2 في المائة في المناصب الإدارية والتنظيمية، و5 في المائة في الحكومة والأعمال الكتابية، و5.7 في المائة في المبيعات، و17.3 في المائة في الخدمات و50 في المائة في الزراعة، و15.5 في المائة في الإنتاج والأعمال المتعلقة به</w:t>
      </w:r>
      <w:r>
        <w:rPr>
          <w:rStyle w:val="FootnoteReference"/>
          <w:rtl/>
        </w:rPr>
        <w:footnoteReference w:customMarkFollows="1" w:id="25"/>
        <w:t>(24)</w:t>
      </w:r>
      <w:r>
        <w:rPr>
          <w:rtl/>
        </w:rPr>
        <w:t>.</w:t>
      </w:r>
    </w:p>
    <w:p w:rsidR="00000000" w:rsidRDefault="00000000">
      <w:pPr>
        <w:pStyle w:val="SingleTxt"/>
        <w:spacing w:line="360" w:lineRule="exact"/>
        <w:ind w:left="1264" w:right="1264"/>
        <w:rPr>
          <w:rtl/>
        </w:rPr>
      </w:pPr>
      <w:r>
        <w:rPr>
          <w:rtl/>
        </w:rPr>
        <w:tab/>
      </w:r>
      <w:r>
        <w:rPr>
          <w:rtl/>
        </w:rPr>
        <w:tab/>
        <w:t>وأظهرت دراسة استقصائية أخيرة عن تنمية الموارد البشرية في الصناعة أجرتها وزارة التجارة والصناعة أن القطاع الصناعي في أريتريا ما زال صغيراً نسبياً ويعمل به نحو 000 25 عامل، وأن القطاعات الصناعية الفرعية الرئيسية هي المنسوجات والجلود والأحذية وأشغال المعادن والمعادن فضلاً عن القطاعات الفرعية غير المعدنية. ويبدو أن التكوين حسب نوع الجنس لقوة العمل كبير ويضم 40 في المائة من العاملين</w:t>
      </w:r>
      <w:r>
        <w:rPr>
          <w:rStyle w:val="FootnoteReference"/>
          <w:rtl/>
        </w:rPr>
        <w:footnoteReference w:customMarkFollows="1" w:id="26"/>
        <w:t>(25)</w:t>
      </w:r>
      <w:r>
        <w:rPr>
          <w:rtl/>
        </w:rPr>
        <w:t>.</w:t>
      </w:r>
    </w:p>
    <w:p w:rsidR="00000000" w:rsidRDefault="00000000">
      <w:pPr>
        <w:pStyle w:val="SingleTxt"/>
        <w:ind w:left="1264" w:right="1264"/>
        <w:rPr>
          <w:rtl/>
        </w:rPr>
      </w:pPr>
      <w:r>
        <w:rPr>
          <w:rtl/>
        </w:rPr>
        <w:tab/>
      </w:r>
      <w:r>
        <w:rPr>
          <w:rtl/>
        </w:rPr>
        <w:tab/>
        <w:t>وقد تم المزيد من تفصيل ذلك بدراسة أجراها القطاع الخاص مع التركيز على الشركات الصغرى والصغيرة والمتوسطة</w:t>
      </w:r>
      <w:r>
        <w:rPr>
          <w:rStyle w:val="FootnoteReference"/>
          <w:rtl/>
        </w:rPr>
        <w:footnoteReference w:customMarkFollows="1" w:id="27"/>
        <w:t>(26)</w:t>
      </w:r>
      <w:r>
        <w:rPr>
          <w:rtl/>
        </w:rPr>
        <w:t xml:space="preserve"> التي أظهرت أن نحو 40 في المائة من مجموع القوة العاملة في هذه الشركات في البلد من النساء. ومن بين المجموعات الثلاث الأساسية في الشركات الصغرى والصغيرة والمتوسطة، نحو 45.7 في المائة من قوة العمل في المجموعة الصغرى تتألف من النساء، و37.9 في المائة في المجموعة الصغيرة، و28.8 في المائة في المجموعة المتوسطة. وداخل المجموعة الصغرى ذاتها فإن للصناعات التحويلية أكبر نسبة من النساء (69 في المائة) مقابل (41.9 في المائة) في التجارة و(24.8 في المائة) في الخدمات. انظر الجدول التالي</w:t>
      </w:r>
    </w:p>
    <w:p w:rsidR="00000000" w:rsidRDefault="00000000">
      <w:pPr>
        <w:pStyle w:val="SingleTxt"/>
        <w:ind w:left="1264" w:right="1264"/>
        <w:rPr>
          <w:b/>
          <w:bCs/>
          <w:rtl/>
        </w:rPr>
      </w:pPr>
      <w:r>
        <w:rPr>
          <w:b/>
          <w:bCs/>
          <w:rtl/>
        </w:rPr>
        <w:t xml:space="preserve">الجدول 14 </w:t>
      </w:r>
      <w:r>
        <w:rPr>
          <w:b/>
          <w:bCs/>
        </w:rPr>
        <w:t>–</w:t>
      </w:r>
      <w:r>
        <w:rPr>
          <w:b/>
          <w:bCs/>
          <w:rtl/>
        </w:rPr>
        <w:t xml:space="preserve"> النسبة المئوية الإجمالية للنساء في مجموع القوى العاملة في بعض فئات الشركات الصغرى والصغيرة والمتوسطة في أريتريا</w:t>
      </w:r>
      <w:r>
        <w:rPr>
          <w:rStyle w:val="FootnoteReference"/>
          <w:b/>
          <w:bCs/>
          <w:rtl/>
        </w:rPr>
        <w:footnoteReference w:customMarkFollows="1" w:id="28"/>
        <w:t>(27)</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843"/>
        <w:gridCol w:w="1275"/>
        <w:gridCol w:w="1276"/>
        <w:gridCol w:w="851"/>
      </w:tblGrid>
      <w:tr w:rsidR="00000000">
        <w:tblPrEx>
          <w:tblCellMar>
            <w:top w:w="0" w:type="dxa"/>
            <w:bottom w:w="0" w:type="dxa"/>
          </w:tblCellMar>
        </w:tblPrEx>
        <w:trPr>
          <w:cantSplit/>
        </w:trPr>
        <w:tc>
          <w:tcPr>
            <w:tcW w:w="2977" w:type="dxa"/>
            <w:vMerge w:val="restart"/>
          </w:tcPr>
          <w:p w:rsidR="00000000" w:rsidRDefault="00000000">
            <w:pPr>
              <w:pStyle w:val="SingleTxt"/>
              <w:spacing w:after="0" w:line="360" w:lineRule="exact"/>
              <w:ind w:left="-57" w:right="0"/>
              <w:rPr>
                <w:b/>
                <w:bCs/>
                <w:szCs w:val="26"/>
                <w:rtl/>
              </w:rPr>
            </w:pPr>
            <w:r>
              <w:rPr>
                <w:b/>
                <w:bCs/>
                <w:szCs w:val="26"/>
                <w:rtl/>
              </w:rPr>
              <w:t>التقسيم حسب الحجم والموقع والجنس</w:t>
            </w:r>
          </w:p>
        </w:tc>
        <w:tc>
          <w:tcPr>
            <w:tcW w:w="4394" w:type="dxa"/>
            <w:gridSpan w:val="3"/>
          </w:tcPr>
          <w:p w:rsidR="00000000" w:rsidRDefault="00000000">
            <w:pPr>
              <w:pStyle w:val="SingleTxt"/>
              <w:spacing w:after="0" w:line="360" w:lineRule="exact"/>
              <w:ind w:left="-57" w:right="0"/>
              <w:jc w:val="center"/>
              <w:rPr>
                <w:b/>
                <w:bCs/>
                <w:szCs w:val="26"/>
                <w:rtl/>
              </w:rPr>
            </w:pPr>
            <w:r>
              <w:rPr>
                <w:b/>
                <w:bCs/>
                <w:szCs w:val="26"/>
                <w:rtl/>
              </w:rPr>
              <w:t>النسبة المئوية للنساء في المجموعات القطاعية الاقتصادية</w:t>
            </w:r>
          </w:p>
        </w:tc>
        <w:tc>
          <w:tcPr>
            <w:tcW w:w="851" w:type="dxa"/>
            <w:vMerge w:val="restart"/>
          </w:tcPr>
          <w:p w:rsidR="00000000" w:rsidRDefault="00000000">
            <w:pPr>
              <w:pStyle w:val="SingleTxt"/>
              <w:spacing w:after="0" w:line="360" w:lineRule="exact"/>
              <w:ind w:left="-57" w:right="0"/>
              <w:rPr>
                <w:b/>
                <w:bCs/>
                <w:szCs w:val="26"/>
                <w:rtl/>
              </w:rPr>
            </w:pPr>
            <w:r>
              <w:rPr>
                <w:b/>
                <w:bCs/>
                <w:szCs w:val="26"/>
                <w:rtl/>
              </w:rPr>
              <w:t>المجموع</w:t>
            </w:r>
          </w:p>
        </w:tc>
      </w:tr>
      <w:tr w:rsidR="00000000">
        <w:tblPrEx>
          <w:tblCellMar>
            <w:top w:w="0" w:type="dxa"/>
            <w:bottom w:w="0" w:type="dxa"/>
          </w:tblCellMar>
        </w:tblPrEx>
        <w:trPr>
          <w:cantSplit/>
        </w:trPr>
        <w:tc>
          <w:tcPr>
            <w:tcW w:w="2977" w:type="dxa"/>
            <w:vMerge/>
          </w:tcPr>
          <w:p w:rsidR="00000000" w:rsidRDefault="00000000">
            <w:pPr>
              <w:pStyle w:val="SingleTxt"/>
              <w:spacing w:after="0" w:line="360" w:lineRule="exact"/>
              <w:ind w:left="-57" w:right="0"/>
              <w:rPr>
                <w:b/>
                <w:bCs/>
                <w:szCs w:val="26"/>
                <w:rtl/>
              </w:rPr>
            </w:pPr>
          </w:p>
        </w:tc>
        <w:tc>
          <w:tcPr>
            <w:tcW w:w="1843" w:type="dxa"/>
          </w:tcPr>
          <w:p w:rsidR="00000000" w:rsidRDefault="00000000">
            <w:pPr>
              <w:pStyle w:val="SingleTxt"/>
              <w:spacing w:after="0" w:line="360" w:lineRule="exact"/>
              <w:ind w:left="-57" w:right="0"/>
              <w:rPr>
                <w:b/>
                <w:bCs/>
                <w:szCs w:val="26"/>
                <w:rtl/>
              </w:rPr>
            </w:pPr>
            <w:r>
              <w:rPr>
                <w:b/>
                <w:bCs/>
                <w:szCs w:val="26"/>
                <w:rtl/>
              </w:rPr>
              <w:t>الصناعات التحويلية</w:t>
            </w:r>
          </w:p>
        </w:tc>
        <w:tc>
          <w:tcPr>
            <w:tcW w:w="1275" w:type="dxa"/>
          </w:tcPr>
          <w:p w:rsidR="00000000" w:rsidRDefault="00000000">
            <w:pPr>
              <w:pStyle w:val="SingleTxt"/>
              <w:spacing w:after="0" w:line="360" w:lineRule="exact"/>
              <w:ind w:left="-57" w:right="0"/>
              <w:rPr>
                <w:b/>
                <w:bCs/>
                <w:szCs w:val="26"/>
                <w:rtl/>
              </w:rPr>
            </w:pPr>
            <w:r>
              <w:rPr>
                <w:b/>
                <w:bCs/>
                <w:szCs w:val="26"/>
                <w:rtl/>
              </w:rPr>
              <w:t>التجارة</w:t>
            </w:r>
          </w:p>
        </w:tc>
        <w:tc>
          <w:tcPr>
            <w:tcW w:w="1276" w:type="dxa"/>
          </w:tcPr>
          <w:p w:rsidR="00000000" w:rsidRDefault="00000000">
            <w:pPr>
              <w:pStyle w:val="SingleTxt"/>
              <w:spacing w:after="0" w:line="360" w:lineRule="exact"/>
              <w:ind w:left="-57" w:right="0"/>
              <w:rPr>
                <w:b/>
                <w:bCs/>
                <w:szCs w:val="26"/>
                <w:rtl/>
              </w:rPr>
            </w:pPr>
            <w:r>
              <w:rPr>
                <w:b/>
                <w:bCs/>
                <w:szCs w:val="26"/>
                <w:rtl/>
              </w:rPr>
              <w:t>الخدمات</w:t>
            </w:r>
          </w:p>
        </w:tc>
        <w:tc>
          <w:tcPr>
            <w:tcW w:w="851" w:type="dxa"/>
            <w:vMerge/>
          </w:tcPr>
          <w:p w:rsidR="00000000" w:rsidRDefault="00000000">
            <w:pPr>
              <w:pStyle w:val="SingleTxt"/>
              <w:spacing w:after="0" w:line="360" w:lineRule="exact"/>
              <w:ind w:left="-57" w:right="0"/>
              <w:rPr>
                <w:b/>
                <w:bCs/>
                <w:szCs w:val="26"/>
                <w:rtl/>
              </w:rPr>
            </w:pP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b/>
                <w:bCs/>
                <w:szCs w:val="26"/>
                <w:rtl/>
              </w:rPr>
            </w:pPr>
            <w:r>
              <w:rPr>
                <w:b/>
                <w:bCs/>
                <w:szCs w:val="26"/>
                <w:rtl/>
              </w:rPr>
              <w:t>مجموعات الحجم:</w:t>
            </w:r>
          </w:p>
          <w:p w:rsidR="00000000" w:rsidRDefault="00000000">
            <w:pPr>
              <w:pStyle w:val="SingleTxt"/>
              <w:spacing w:after="0" w:line="360" w:lineRule="exact"/>
              <w:ind w:left="-57" w:right="0"/>
              <w:rPr>
                <w:szCs w:val="26"/>
                <w:rtl/>
              </w:rPr>
            </w:pPr>
            <w:r>
              <w:rPr>
                <w:szCs w:val="26"/>
                <w:rtl/>
              </w:rPr>
              <w:t>صغرى</w:t>
            </w:r>
          </w:p>
        </w:tc>
        <w:tc>
          <w:tcPr>
            <w:tcW w:w="1843"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69.0</w:t>
            </w:r>
          </w:p>
        </w:tc>
        <w:tc>
          <w:tcPr>
            <w:tcW w:w="1275"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41.9</w:t>
            </w:r>
          </w:p>
        </w:tc>
        <w:tc>
          <w:tcPr>
            <w:tcW w:w="1276"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24.8</w:t>
            </w:r>
          </w:p>
        </w:tc>
        <w:tc>
          <w:tcPr>
            <w:tcW w:w="851"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45.7</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صغيرة</w:t>
            </w:r>
          </w:p>
        </w:tc>
        <w:tc>
          <w:tcPr>
            <w:tcW w:w="1843" w:type="dxa"/>
          </w:tcPr>
          <w:p w:rsidR="00000000" w:rsidRDefault="00000000">
            <w:pPr>
              <w:pStyle w:val="SingleTxt"/>
              <w:spacing w:after="0" w:line="360" w:lineRule="exact"/>
              <w:ind w:left="-57" w:right="0"/>
              <w:rPr>
                <w:szCs w:val="26"/>
                <w:rtl/>
              </w:rPr>
            </w:pPr>
            <w:r>
              <w:rPr>
                <w:szCs w:val="26"/>
                <w:rtl/>
              </w:rPr>
              <w:t>29.0</w:t>
            </w:r>
          </w:p>
        </w:tc>
        <w:tc>
          <w:tcPr>
            <w:tcW w:w="1275" w:type="dxa"/>
          </w:tcPr>
          <w:p w:rsidR="00000000" w:rsidRDefault="00000000">
            <w:pPr>
              <w:pStyle w:val="SingleTxt"/>
              <w:spacing w:after="0" w:line="360" w:lineRule="exact"/>
              <w:ind w:left="-57" w:right="0"/>
              <w:rPr>
                <w:szCs w:val="26"/>
                <w:rtl/>
              </w:rPr>
            </w:pPr>
            <w:r>
              <w:rPr>
                <w:szCs w:val="26"/>
                <w:rtl/>
              </w:rPr>
              <w:t>45.5</w:t>
            </w:r>
          </w:p>
        </w:tc>
        <w:tc>
          <w:tcPr>
            <w:tcW w:w="1276" w:type="dxa"/>
          </w:tcPr>
          <w:p w:rsidR="00000000" w:rsidRDefault="00000000">
            <w:pPr>
              <w:pStyle w:val="SingleTxt"/>
              <w:spacing w:after="0" w:line="360" w:lineRule="exact"/>
              <w:ind w:left="-57" w:right="0"/>
              <w:rPr>
                <w:szCs w:val="26"/>
                <w:rtl/>
              </w:rPr>
            </w:pPr>
            <w:r>
              <w:rPr>
                <w:szCs w:val="26"/>
                <w:rtl/>
              </w:rPr>
              <w:t>24.9</w:t>
            </w:r>
          </w:p>
        </w:tc>
        <w:tc>
          <w:tcPr>
            <w:tcW w:w="851" w:type="dxa"/>
          </w:tcPr>
          <w:p w:rsidR="00000000" w:rsidRDefault="00000000">
            <w:pPr>
              <w:pStyle w:val="SingleTxt"/>
              <w:spacing w:after="0" w:line="360" w:lineRule="exact"/>
              <w:ind w:left="-57" w:right="0"/>
              <w:rPr>
                <w:szCs w:val="26"/>
                <w:rtl/>
              </w:rPr>
            </w:pPr>
            <w:r>
              <w:rPr>
                <w:szCs w:val="26"/>
                <w:rtl/>
              </w:rPr>
              <w:t>37.9</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متوسطة</w:t>
            </w:r>
          </w:p>
        </w:tc>
        <w:tc>
          <w:tcPr>
            <w:tcW w:w="1843" w:type="dxa"/>
          </w:tcPr>
          <w:p w:rsidR="00000000" w:rsidRDefault="00000000">
            <w:pPr>
              <w:pStyle w:val="SingleTxt"/>
              <w:spacing w:after="0" w:line="360" w:lineRule="exact"/>
              <w:ind w:left="-57" w:right="0"/>
              <w:rPr>
                <w:szCs w:val="26"/>
                <w:rtl/>
              </w:rPr>
            </w:pPr>
            <w:r>
              <w:rPr>
                <w:szCs w:val="26"/>
                <w:rtl/>
              </w:rPr>
              <w:t>22.9</w:t>
            </w:r>
          </w:p>
        </w:tc>
        <w:tc>
          <w:tcPr>
            <w:tcW w:w="1275" w:type="dxa"/>
          </w:tcPr>
          <w:p w:rsidR="00000000" w:rsidRDefault="00000000">
            <w:pPr>
              <w:pStyle w:val="SingleTxt"/>
              <w:spacing w:after="0" w:line="360" w:lineRule="exact"/>
              <w:ind w:left="-57" w:right="0"/>
              <w:rPr>
                <w:szCs w:val="26"/>
                <w:rtl/>
              </w:rPr>
            </w:pPr>
            <w:r>
              <w:rPr>
                <w:szCs w:val="26"/>
                <w:rtl/>
              </w:rPr>
              <w:t>36.9</w:t>
            </w:r>
          </w:p>
        </w:tc>
        <w:tc>
          <w:tcPr>
            <w:tcW w:w="1276" w:type="dxa"/>
          </w:tcPr>
          <w:p w:rsidR="00000000" w:rsidRDefault="00000000">
            <w:pPr>
              <w:pStyle w:val="SingleTxt"/>
              <w:spacing w:after="0" w:line="360" w:lineRule="exact"/>
              <w:ind w:left="-57" w:right="0"/>
              <w:rPr>
                <w:szCs w:val="26"/>
                <w:rtl/>
              </w:rPr>
            </w:pPr>
            <w:r>
              <w:rPr>
                <w:szCs w:val="26"/>
                <w:rtl/>
              </w:rPr>
              <w:t>26.0</w:t>
            </w:r>
          </w:p>
        </w:tc>
        <w:tc>
          <w:tcPr>
            <w:tcW w:w="851" w:type="dxa"/>
          </w:tcPr>
          <w:p w:rsidR="00000000" w:rsidRDefault="00000000">
            <w:pPr>
              <w:pStyle w:val="SingleTxt"/>
              <w:spacing w:after="0" w:line="360" w:lineRule="exact"/>
              <w:ind w:left="-57" w:right="0"/>
              <w:rPr>
                <w:szCs w:val="26"/>
                <w:rtl/>
              </w:rPr>
            </w:pPr>
            <w:r>
              <w:rPr>
                <w:szCs w:val="26"/>
                <w:rtl/>
              </w:rPr>
              <w:t>28.8</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b/>
                <w:bCs/>
                <w:szCs w:val="26"/>
                <w:rtl/>
              </w:rPr>
            </w:pPr>
          </w:p>
        </w:tc>
        <w:tc>
          <w:tcPr>
            <w:tcW w:w="1843" w:type="dxa"/>
          </w:tcPr>
          <w:p w:rsidR="00000000" w:rsidRDefault="00000000">
            <w:pPr>
              <w:pStyle w:val="SingleTxt"/>
              <w:spacing w:after="0" w:line="360" w:lineRule="exact"/>
              <w:ind w:left="-57" w:right="0"/>
              <w:rPr>
                <w:szCs w:val="26"/>
                <w:rtl/>
              </w:rPr>
            </w:pPr>
          </w:p>
        </w:tc>
        <w:tc>
          <w:tcPr>
            <w:tcW w:w="1275" w:type="dxa"/>
          </w:tcPr>
          <w:p w:rsidR="00000000" w:rsidRDefault="00000000">
            <w:pPr>
              <w:pStyle w:val="SingleTxt"/>
              <w:spacing w:after="0" w:line="360" w:lineRule="exact"/>
              <w:ind w:left="-57" w:right="0"/>
              <w:rPr>
                <w:szCs w:val="26"/>
                <w:rtl/>
              </w:rPr>
            </w:pPr>
          </w:p>
        </w:tc>
        <w:tc>
          <w:tcPr>
            <w:tcW w:w="1276" w:type="dxa"/>
          </w:tcPr>
          <w:p w:rsidR="00000000" w:rsidRDefault="00000000">
            <w:pPr>
              <w:pStyle w:val="SingleTxt"/>
              <w:spacing w:after="0" w:line="360" w:lineRule="exact"/>
              <w:ind w:left="-57" w:right="0"/>
              <w:rPr>
                <w:szCs w:val="26"/>
                <w:rtl/>
              </w:rPr>
            </w:pPr>
          </w:p>
        </w:tc>
        <w:tc>
          <w:tcPr>
            <w:tcW w:w="851" w:type="dxa"/>
          </w:tcPr>
          <w:p w:rsidR="00000000" w:rsidRDefault="00000000">
            <w:pPr>
              <w:pStyle w:val="SingleTxt"/>
              <w:spacing w:after="0" w:line="360" w:lineRule="exact"/>
              <w:ind w:left="-57" w:right="0"/>
              <w:rPr>
                <w:szCs w:val="26"/>
                <w:rtl/>
              </w:rPr>
            </w:pP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b/>
                <w:bCs/>
                <w:szCs w:val="26"/>
                <w:rtl/>
              </w:rPr>
            </w:pPr>
            <w:r>
              <w:rPr>
                <w:b/>
                <w:bCs/>
                <w:szCs w:val="26"/>
                <w:rtl/>
              </w:rPr>
              <w:t>مجموعات الموقع:</w:t>
            </w:r>
          </w:p>
          <w:p w:rsidR="00000000" w:rsidRDefault="00000000">
            <w:pPr>
              <w:pStyle w:val="SingleTxt"/>
              <w:spacing w:after="0" w:line="360" w:lineRule="exact"/>
              <w:ind w:left="-57" w:right="0"/>
              <w:rPr>
                <w:szCs w:val="26"/>
                <w:rtl/>
              </w:rPr>
            </w:pPr>
            <w:r>
              <w:rPr>
                <w:szCs w:val="26"/>
                <w:rtl/>
              </w:rPr>
              <w:t>حضر</w:t>
            </w:r>
          </w:p>
        </w:tc>
        <w:tc>
          <w:tcPr>
            <w:tcW w:w="1843"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36.7</w:t>
            </w:r>
          </w:p>
        </w:tc>
        <w:tc>
          <w:tcPr>
            <w:tcW w:w="1275"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45.4</w:t>
            </w:r>
          </w:p>
        </w:tc>
        <w:tc>
          <w:tcPr>
            <w:tcW w:w="1276"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26.2</w:t>
            </w:r>
          </w:p>
        </w:tc>
        <w:tc>
          <w:tcPr>
            <w:tcW w:w="851"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40.0</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ريف</w:t>
            </w:r>
          </w:p>
        </w:tc>
        <w:tc>
          <w:tcPr>
            <w:tcW w:w="1843" w:type="dxa"/>
          </w:tcPr>
          <w:p w:rsidR="00000000" w:rsidRDefault="00000000">
            <w:pPr>
              <w:pStyle w:val="SingleTxt"/>
              <w:spacing w:after="0" w:line="360" w:lineRule="exact"/>
              <w:ind w:left="-57" w:right="0"/>
              <w:rPr>
                <w:szCs w:val="26"/>
                <w:rtl/>
              </w:rPr>
            </w:pPr>
            <w:r>
              <w:rPr>
                <w:szCs w:val="26"/>
                <w:rtl/>
              </w:rPr>
              <w:t>74.4</w:t>
            </w:r>
          </w:p>
        </w:tc>
        <w:tc>
          <w:tcPr>
            <w:tcW w:w="1275" w:type="dxa"/>
          </w:tcPr>
          <w:p w:rsidR="00000000" w:rsidRDefault="00000000">
            <w:pPr>
              <w:pStyle w:val="SingleTxt"/>
              <w:spacing w:after="0" w:line="360" w:lineRule="exact"/>
              <w:ind w:left="-57" w:right="0"/>
              <w:rPr>
                <w:szCs w:val="26"/>
                <w:rtl/>
              </w:rPr>
            </w:pPr>
            <w:r>
              <w:rPr>
                <w:szCs w:val="26"/>
                <w:rtl/>
              </w:rPr>
              <w:t>37.3</w:t>
            </w:r>
          </w:p>
        </w:tc>
        <w:tc>
          <w:tcPr>
            <w:tcW w:w="1276" w:type="dxa"/>
          </w:tcPr>
          <w:p w:rsidR="00000000" w:rsidRDefault="00000000">
            <w:pPr>
              <w:pStyle w:val="SingleTxt"/>
              <w:spacing w:after="0" w:line="360" w:lineRule="exact"/>
              <w:ind w:left="-57" w:right="0"/>
              <w:rPr>
                <w:szCs w:val="26"/>
                <w:rtl/>
              </w:rPr>
            </w:pPr>
            <w:r>
              <w:rPr>
                <w:szCs w:val="26"/>
                <w:rtl/>
              </w:rPr>
              <w:t>19.9</w:t>
            </w:r>
          </w:p>
        </w:tc>
        <w:tc>
          <w:tcPr>
            <w:tcW w:w="851" w:type="dxa"/>
          </w:tcPr>
          <w:p w:rsidR="00000000" w:rsidRDefault="00000000">
            <w:pPr>
              <w:pStyle w:val="SingleTxt"/>
              <w:spacing w:after="0" w:line="360" w:lineRule="exact"/>
              <w:ind w:left="-57" w:right="0"/>
              <w:rPr>
                <w:szCs w:val="26"/>
                <w:rtl/>
              </w:rPr>
            </w:pPr>
            <w:r>
              <w:rPr>
                <w:szCs w:val="26"/>
                <w:rtl/>
              </w:rPr>
              <w:t>46.7</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p>
        </w:tc>
        <w:tc>
          <w:tcPr>
            <w:tcW w:w="1843" w:type="dxa"/>
          </w:tcPr>
          <w:p w:rsidR="00000000" w:rsidRDefault="00000000">
            <w:pPr>
              <w:pStyle w:val="SingleTxt"/>
              <w:spacing w:after="0" w:line="360" w:lineRule="exact"/>
              <w:ind w:left="-57" w:right="0"/>
              <w:rPr>
                <w:szCs w:val="26"/>
                <w:rtl/>
              </w:rPr>
            </w:pPr>
          </w:p>
        </w:tc>
        <w:tc>
          <w:tcPr>
            <w:tcW w:w="1275" w:type="dxa"/>
          </w:tcPr>
          <w:p w:rsidR="00000000" w:rsidRDefault="00000000">
            <w:pPr>
              <w:pStyle w:val="SingleTxt"/>
              <w:spacing w:after="0" w:line="360" w:lineRule="exact"/>
              <w:ind w:left="-57" w:right="0"/>
              <w:rPr>
                <w:szCs w:val="26"/>
                <w:rtl/>
              </w:rPr>
            </w:pPr>
          </w:p>
        </w:tc>
        <w:tc>
          <w:tcPr>
            <w:tcW w:w="1276" w:type="dxa"/>
          </w:tcPr>
          <w:p w:rsidR="00000000" w:rsidRDefault="00000000">
            <w:pPr>
              <w:pStyle w:val="SingleTxt"/>
              <w:spacing w:after="0" w:line="360" w:lineRule="exact"/>
              <w:ind w:left="-57" w:right="0"/>
              <w:rPr>
                <w:szCs w:val="26"/>
                <w:rtl/>
              </w:rPr>
            </w:pPr>
          </w:p>
        </w:tc>
        <w:tc>
          <w:tcPr>
            <w:tcW w:w="851" w:type="dxa"/>
          </w:tcPr>
          <w:p w:rsidR="00000000" w:rsidRDefault="00000000">
            <w:pPr>
              <w:pStyle w:val="SingleTxt"/>
              <w:spacing w:after="0" w:line="360" w:lineRule="exact"/>
              <w:ind w:left="-57" w:right="0"/>
              <w:rPr>
                <w:szCs w:val="26"/>
                <w:rtl/>
              </w:rPr>
            </w:pP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b/>
                <w:bCs/>
                <w:szCs w:val="26"/>
                <w:rtl/>
              </w:rPr>
              <w:t>مجموعات حسب الملكية:</w:t>
            </w:r>
          </w:p>
          <w:p w:rsidR="00000000" w:rsidRDefault="00000000">
            <w:pPr>
              <w:pStyle w:val="SingleTxt"/>
              <w:spacing w:after="0" w:line="360" w:lineRule="exact"/>
              <w:ind w:left="-57" w:right="0"/>
              <w:rPr>
                <w:szCs w:val="26"/>
                <w:rtl/>
              </w:rPr>
            </w:pPr>
            <w:r>
              <w:rPr>
                <w:szCs w:val="26"/>
                <w:rtl/>
              </w:rPr>
              <w:t>ذكور فقط</w:t>
            </w:r>
          </w:p>
        </w:tc>
        <w:tc>
          <w:tcPr>
            <w:tcW w:w="1843"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9.7</w:t>
            </w:r>
          </w:p>
        </w:tc>
        <w:tc>
          <w:tcPr>
            <w:tcW w:w="1275"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21.9</w:t>
            </w:r>
          </w:p>
        </w:tc>
        <w:tc>
          <w:tcPr>
            <w:tcW w:w="1276"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7.8</w:t>
            </w:r>
          </w:p>
        </w:tc>
        <w:tc>
          <w:tcPr>
            <w:tcW w:w="851" w:type="dxa"/>
          </w:tcPr>
          <w:p w:rsidR="00000000" w:rsidRDefault="00000000">
            <w:pPr>
              <w:pStyle w:val="SingleTxt"/>
              <w:spacing w:after="0" w:line="360" w:lineRule="exact"/>
              <w:ind w:left="-57" w:right="0"/>
              <w:rPr>
                <w:szCs w:val="26"/>
                <w:rtl/>
              </w:rPr>
            </w:pPr>
          </w:p>
          <w:p w:rsidR="00000000" w:rsidRDefault="00000000">
            <w:pPr>
              <w:pStyle w:val="SingleTxt"/>
              <w:spacing w:after="0" w:line="360" w:lineRule="exact"/>
              <w:ind w:left="-57" w:right="0"/>
              <w:rPr>
                <w:szCs w:val="26"/>
                <w:rtl/>
              </w:rPr>
            </w:pPr>
            <w:r>
              <w:rPr>
                <w:szCs w:val="26"/>
                <w:rtl/>
              </w:rPr>
              <w:t>17.0</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إناث فقط</w:t>
            </w:r>
          </w:p>
        </w:tc>
        <w:tc>
          <w:tcPr>
            <w:tcW w:w="1843" w:type="dxa"/>
          </w:tcPr>
          <w:p w:rsidR="00000000" w:rsidRDefault="00000000">
            <w:pPr>
              <w:pStyle w:val="SingleTxt"/>
              <w:spacing w:after="0" w:line="360" w:lineRule="exact"/>
              <w:ind w:left="-57" w:right="0"/>
              <w:rPr>
                <w:szCs w:val="26"/>
                <w:rtl/>
              </w:rPr>
            </w:pPr>
            <w:r>
              <w:rPr>
                <w:szCs w:val="26"/>
                <w:rtl/>
              </w:rPr>
              <w:t>89.0</w:t>
            </w:r>
          </w:p>
        </w:tc>
        <w:tc>
          <w:tcPr>
            <w:tcW w:w="1275" w:type="dxa"/>
          </w:tcPr>
          <w:p w:rsidR="00000000" w:rsidRDefault="00000000">
            <w:pPr>
              <w:pStyle w:val="SingleTxt"/>
              <w:spacing w:after="0" w:line="360" w:lineRule="exact"/>
              <w:ind w:left="-57" w:right="0"/>
              <w:rPr>
                <w:szCs w:val="26"/>
                <w:rtl/>
              </w:rPr>
            </w:pPr>
            <w:r>
              <w:rPr>
                <w:szCs w:val="26"/>
                <w:rtl/>
              </w:rPr>
              <w:t>77.9</w:t>
            </w:r>
          </w:p>
        </w:tc>
        <w:tc>
          <w:tcPr>
            <w:tcW w:w="1276" w:type="dxa"/>
          </w:tcPr>
          <w:p w:rsidR="00000000" w:rsidRDefault="00000000">
            <w:pPr>
              <w:pStyle w:val="SingleTxt"/>
              <w:spacing w:after="0" w:line="360" w:lineRule="exact"/>
              <w:ind w:left="-57" w:right="0"/>
              <w:rPr>
                <w:szCs w:val="26"/>
                <w:rtl/>
              </w:rPr>
            </w:pPr>
            <w:r>
              <w:rPr>
                <w:szCs w:val="26"/>
                <w:rtl/>
              </w:rPr>
              <w:t>74.3</w:t>
            </w:r>
          </w:p>
        </w:tc>
        <w:tc>
          <w:tcPr>
            <w:tcW w:w="851" w:type="dxa"/>
          </w:tcPr>
          <w:p w:rsidR="00000000" w:rsidRDefault="00000000">
            <w:pPr>
              <w:pStyle w:val="SingleTxt"/>
              <w:spacing w:after="0" w:line="360" w:lineRule="exact"/>
              <w:ind w:left="-57" w:right="0"/>
              <w:rPr>
                <w:szCs w:val="26"/>
                <w:rtl/>
              </w:rPr>
            </w:pPr>
            <w:r>
              <w:rPr>
                <w:szCs w:val="26"/>
                <w:rtl/>
              </w:rPr>
              <w:t>81.1</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ذكور وإناث</w:t>
            </w:r>
          </w:p>
        </w:tc>
        <w:tc>
          <w:tcPr>
            <w:tcW w:w="1843" w:type="dxa"/>
          </w:tcPr>
          <w:p w:rsidR="00000000" w:rsidRDefault="00000000">
            <w:pPr>
              <w:pStyle w:val="SingleTxt"/>
              <w:spacing w:after="0" w:line="360" w:lineRule="exact"/>
              <w:ind w:left="-57" w:right="0"/>
              <w:rPr>
                <w:szCs w:val="26"/>
                <w:rtl/>
              </w:rPr>
            </w:pPr>
            <w:r>
              <w:rPr>
                <w:szCs w:val="26"/>
                <w:rtl/>
              </w:rPr>
              <w:t>46.5</w:t>
            </w:r>
          </w:p>
        </w:tc>
        <w:tc>
          <w:tcPr>
            <w:tcW w:w="1275" w:type="dxa"/>
          </w:tcPr>
          <w:p w:rsidR="00000000" w:rsidRDefault="00000000">
            <w:pPr>
              <w:pStyle w:val="SingleTxt"/>
              <w:spacing w:after="0" w:line="360" w:lineRule="exact"/>
              <w:ind w:left="-57" w:right="0"/>
              <w:rPr>
                <w:szCs w:val="26"/>
                <w:rtl/>
              </w:rPr>
            </w:pPr>
            <w:r>
              <w:rPr>
                <w:szCs w:val="26"/>
                <w:rtl/>
              </w:rPr>
              <w:t>36.7</w:t>
            </w:r>
          </w:p>
        </w:tc>
        <w:tc>
          <w:tcPr>
            <w:tcW w:w="1276" w:type="dxa"/>
          </w:tcPr>
          <w:p w:rsidR="00000000" w:rsidRDefault="00000000">
            <w:pPr>
              <w:pStyle w:val="SingleTxt"/>
              <w:spacing w:after="0" w:line="360" w:lineRule="exact"/>
              <w:ind w:left="-57" w:right="0"/>
              <w:rPr>
                <w:szCs w:val="26"/>
                <w:rtl/>
              </w:rPr>
            </w:pPr>
            <w:r>
              <w:rPr>
                <w:szCs w:val="26"/>
                <w:rtl/>
              </w:rPr>
              <w:t>27.0</w:t>
            </w:r>
          </w:p>
        </w:tc>
        <w:tc>
          <w:tcPr>
            <w:tcW w:w="851" w:type="dxa"/>
          </w:tcPr>
          <w:p w:rsidR="00000000" w:rsidRDefault="00000000">
            <w:pPr>
              <w:pStyle w:val="SingleTxt"/>
              <w:spacing w:after="0" w:line="360" w:lineRule="exact"/>
              <w:ind w:left="-57" w:right="0"/>
              <w:rPr>
                <w:szCs w:val="26"/>
                <w:rtl/>
              </w:rPr>
            </w:pPr>
            <w:r>
              <w:rPr>
                <w:szCs w:val="26"/>
                <w:rtl/>
              </w:rPr>
              <w:t>36.3</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فرع الشركة</w:t>
            </w:r>
          </w:p>
        </w:tc>
        <w:tc>
          <w:tcPr>
            <w:tcW w:w="1843" w:type="dxa"/>
          </w:tcPr>
          <w:p w:rsidR="00000000" w:rsidRDefault="00000000">
            <w:pPr>
              <w:pStyle w:val="SingleTxt"/>
              <w:spacing w:after="0" w:line="360" w:lineRule="exact"/>
              <w:ind w:left="-57" w:right="0"/>
              <w:rPr>
                <w:szCs w:val="26"/>
                <w:rtl/>
              </w:rPr>
            </w:pPr>
            <w:r>
              <w:rPr>
                <w:szCs w:val="26"/>
                <w:rtl/>
              </w:rPr>
              <w:t>24.6</w:t>
            </w:r>
          </w:p>
        </w:tc>
        <w:tc>
          <w:tcPr>
            <w:tcW w:w="1275" w:type="dxa"/>
          </w:tcPr>
          <w:p w:rsidR="00000000" w:rsidRDefault="00000000">
            <w:pPr>
              <w:pStyle w:val="SingleTxt"/>
              <w:spacing w:after="0" w:line="360" w:lineRule="exact"/>
              <w:ind w:left="-57" w:right="0"/>
              <w:rPr>
                <w:szCs w:val="26"/>
                <w:rtl/>
              </w:rPr>
            </w:pPr>
            <w:r>
              <w:rPr>
                <w:szCs w:val="26"/>
                <w:rtl/>
              </w:rPr>
              <w:t>29.6</w:t>
            </w:r>
          </w:p>
        </w:tc>
        <w:tc>
          <w:tcPr>
            <w:tcW w:w="1276" w:type="dxa"/>
          </w:tcPr>
          <w:p w:rsidR="00000000" w:rsidRDefault="00000000">
            <w:pPr>
              <w:pStyle w:val="SingleTxt"/>
              <w:spacing w:after="0" w:line="360" w:lineRule="exact"/>
              <w:ind w:left="-57" w:right="0"/>
              <w:rPr>
                <w:szCs w:val="26"/>
                <w:rtl/>
              </w:rPr>
            </w:pPr>
            <w:r>
              <w:rPr>
                <w:szCs w:val="26"/>
                <w:rtl/>
              </w:rPr>
              <w:t>31.8</w:t>
            </w:r>
          </w:p>
        </w:tc>
        <w:tc>
          <w:tcPr>
            <w:tcW w:w="851" w:type="dxa"/>
          </w:tcPr>
          <w:p w:rsidR="00000000" w:rsidRDefault="00000000">
            <w:pPr>
              <w:pStyle w:val="SingleTxt"/>
              <w:spacing w:after="0" w:line="360" w:lineRule="exact"/>
              <w:ind w:left="-57" w:right="0"/>
              <w:rPr>
                <w:szCs w:val="26"/>
                <w:rtl/>
              </w:rPr>
            </w:pPr>
            <w:r>
              <w:rPr>
                <w:szCs w:val="26"/>
                <w:rtl/>
              </w:rPr>
              <w:t>30.0</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r>
              <w:rPr>
                <w:szCs w:val="26"/>
                <w:rtl/>
              </w:rPr>
              <w:t>مجموعات أخرى</w:t>
            </w:r>
          </w:p>
        </w:tc>
        <w:tc>
          <w:tcPr>
            <w:tcW w:w="1843" w:type="dxa"/>
          </w:tcPr>
          <w:p w:rsidR="00000000" w:rsidRDefault="00000000">
            <w:pPr>
              <w:pStyle w:val="SingleTxt"/>
              <w:spacing w:after="0" w:line="360" w:lineRule="exact"/>
              <w:ind w:left="-57" w:right="0"/>
              <w:rPr>
                <w:szCs w:val="26"/>
                <w:rtl/>
              </w:rPr>
            </w:pPr>
            <w:r>
              <w:rPr>
                <w:szCs w:val="26"/>
                <w:rtl/>
              </w:rPr>
              <w:t>54.6</w:t>
            </w:r>
          </w:p>
        </w:tc>
        <w:tc>
          <w:tcPr>
            <w:tcW w:w="1275" w:type="dxa"/>
          </w:tcPr>
          <w:p w:rsidR="00000000" w:rsidRDefault="00000000">
            <w:pPr>
              <w:pStyle w:val="SingleTxt"/>
              <w:spacing w:after="0" w:line="360" w:lineRule="exact"/>
              <w:ind w:left="-57" w:right="0"/>
              <w:rPr>
                <w:szCs w:val="26"/>
                <w:rtl/>
              </w:rPr>
            </w:pPr>
            <w:r>
              <w:rPr>
                <w:szCs w:val="26"/>
                <w:rtl/>
              </w:rPr>
              <w:t>39.9</w:t>
            </w:r>
          </w:p>
        </w:tc>
        <w:tc>
          <w:tcPr>
            <w:tcW w:w="1276" w:type="dxa"/>
          </w:tcPr>
          <w:p w:rsidR="00000000" w:rsidRDefault="00000000">
            <w:pPr>
              <w:pStyle w:val="SingleTxt"/>
              <w:spacing w:after="0" w:line="360" w:lineRule="exact"/>
              <w:ind w:left="-57" w:right="0"/>
              <w:rPr>
                <w:szCs w:val="26"/>
                <w:rtl/>
              </w:rPr>
            </w:pPr>
            <w:r>
              <w:rPr>
                <w:szCs w:val="26"/>
                <w:rtl/>
              </w:rPr>
              <w:t>58.1</w:t>
            </w:r>
          </w:p>
        </w:tc>
        <w:tc>
          <w:tcPr>
            <w:tcW w:w="851" w:type="dxa"/>
          </w:tcPr>
          <w:p w:rsidR="00000000" w:rsidRDefault="00000000">
            <w:pPr>
              <w:pStyle w:val="SingleTxt"/>
              <w:spacing w:after="0" w:line="360" w:lineRule="exact"/>
              <w:ind w:left="-57" w:right="0"/>
              <w:rPr>
                <w:szCs w:val="26"/>
                <w:rtl/>
              </w:rPr>
            </w:pPr>
            <w:r>
              <w:rPr>
                <w:szCs w:val="26"/>
                <w:rtl/>
              </w:rPr>
              <w:t>53.9</w:t>
            </w: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szCs w:val="26"/>
                <w:rtl/>
              </w:rPr>
            </w:pPr>
          </w:p>
        </w:tc>
        <w:tc>
          <w:tcPr>
            <w:tcW w:w="1843" w:type="dxa"/>
          </w:tcPr>
          <w:p w:rsidR="00000000" w:rsidRDefault="00000000">
            <w:pPr>
              <w:pStyle w:val="SingleTxt"/>
              <w:spacing w:after="0" w:line="360" w:lineRule="exact"/>
              <w:ind w:left="-57" w:right="0"/>
              <w:rPr>
                <w:szCs w:val="26"/>
                <w:rtl/>
              </w:rPr>
            </w:pPr>
          </w:p>
        </w:tc>
        <w:tc>
          <w:tcPr>
            <w:tcW w:w="1275" w:type="dxa"/>
          </w:tcPr>
          <w:p w:rsidR="00000000" w:rsidRDefault="00000000">
            <w:pPr>
              <w:pStyle w:val="SingleTxt"/>
              <w:spacing w:after="0" w:line="360" w:lineRule="exact"/>
              <w:ind w:left="-57" w:right="0"/>
              <w:rPr>
                <w:szCs w:val="26"/>
                <w:rtl/>
              </w:rPr>
            </w:pPr>
          </w:p>
        </w:tc>
        <w:tc>
          <w:tcPr>
            <w:tcW w:w="1276" w:type="dxa"/>
          </w:tcPr>
          <w:p w:rsidR="00000000" w:rsidRDefault="00000000">
            <w:pPr>
              <w:pStyle w:val="SingleTxt"/>
              <w:spacing w:after="0" w:line="360" w:lineRule="exact"/>
              <w:ind w:left="-57" w:right="0"/>
              <w:rPr>
                <w:szCs w:val="26"/>
                <w:rtl/>
              </w:rPr>
            </w:pPr>
          </w:p>
        </w:tc>
        <w:tc>
          <w:tcPr>
            <w:tcW w:w="851" w:type="dxa"/>
          </w:tcPr>
          <w:p w:rsidR="00000000" w:rsidRDefault="00000000">
            <w:pPr>
              <w:pStyle w:val="SingleTxt"/>
              <w:spacing w:after="0" w:line="360" w:lineRule="exact"/>
              <w:ind w:left="-57" w:right="0"/>
              <w:rPr>
                <w:szCs w:val="26"/>
                <w:rtl/>
              </w:rPr>
            </w:pPr>
          </w:p>
        </w:tc>
      </w:tr>
      <w:tr w:rsidR="00000000">
        <w:tblPrEx>
          <w:tblCellMar>
            <w:top w:w="0" w:type="dxa"/>
            <w:bottom w:w="0" w:type="dxa"/>
          </w:tblCellMar>
        </w:tblPrEx>
        <w:tc>
          <w:tcPr>
            <w:tcW w:w="2977" w:type="dxa"/>
          </w:tcPr>
          <w:p w:rsidR="00000000" w:rsidRDefault="00000000">
            <w:pPr>
              <w:pStyle w:val="SingleTxt"/>
              <w:spacing w:after="0" w:line="360" w:lineRule="exact"/>
              <w:ind w:left="-57" w:right="0"/>
              <w:rPr>
                <w:b/>
                <w:bCs/>
                <w:szCs w:val="26"/>
                <w:rtl/>
              </w:rPr>
            </w:pPr>
            <w:r>
              <w:rPr>
                <w:b/>
                <w:bCs/>
                <w:szCs w:val="26"/>
                <w:rtl/>
              </w:rPr>
              <w:t>المجموع</w:t>
            </w:r>
          </w:p>
        </w:tc>
        <w:tc>
          <w:tcPr>
            <w:tcW w:w="1843" w:type="dxa"/>
          </w:tcPr>
          <w:p w:rsidR="00000000" w:rsidRDefault="00000000">
            <w:pPr>
              <w:pStyle w:val="SingleTxt"/>
              <w:spacing w:after="0" w:line="360" w:lineRule="exact"/>
              <w:ind w:left="-57" w:right="0"/>
              <w:rPr>
                <w:b/>
                <w:bCs/>
                <w:szCs w:val="26"/>
                <w:rtl/>
              </w:rPr>
            </w:pPr>
            <w:r>
              <w:rPr>
                <w:b/>
                <w:bCs/>
                <w:szCs w:val="26"/>
                <w:rtl/>
              </w:rPr>
              <w:t>51.7</w:t>
            </w:r>
          </w:p>
        </w:tc>
        <w:tc>
          <w:tcPr>
            <w:tcW w:w="1275" w:type="dxa"/>
          </w:tcPr>
          <w:p w:rsidR="00000000" w:rsidRDefault="00000000">
            <w:pPr>
              <w:pStyle w:val="SingleTxt"/>
              <w:spacing w:after="0" w:line="360" w:lineRule="exact"/>
              <w:ind w:left="-57" w:right="0"/>
              <w:rPr>
                <w:b/>
                <w:bCs/>
                <w:szCs w:val="26"/>
                <w:rtl/>
              </w:rPr>
            </w:pPr>
            <w:r>
              <w:rPr>
                <w:b/>
                <w:bCs/>
                <w:szCs w:val="26"/>
                <w:rtl/>
              </w:rPr>
              <w:t>42.9</w:t>
            </w:r>
          </w:p>
        </w:tc>
        <w:tc>
          <w:tcPr>
            <w:tcW w:w="1276" w:type="dxa"/>
          </w:tcPr>
          <w:p w:rsidR="00000000" w:rsidRDefault="00000000">
            <w:pPr>
              <w:pStyle w:val="SingleTxt"/>
              <w:spacing w:after="0" w:line="360" w:lineRule="exact"/>
              <w:ind w:left="-57" w:right="0"/>
              <w:rPr>
                <w:b/>
                <w:bCs/>
                <w:szCs w:val="26"/>
                <w:rtl/>
              </w:rPr>
            </w:pPr>
            <w:r>
              <w:rPr>
                <w:b/>
                <w:bCs/>
                <w:szCs w:val="26"/>
                <w:rtl/>
              </w:rPr>
              <w:t>25.0</w:t>
            </w:r>
          </w:p>
        </w:tc>
        <w:tc>
          <w:tcPr>
            <w:tcW w:w="851" w:type="dxa"/>
          </w:tcPr>
          <w:p w:rsidR="00000000" w:rsidRDefault="00000000">
            <w:pPr>
              <w:pStyle w:val="SingleTxt"/>
              <w:spacing w:after="0" w:line="360" w:lineRule="exact"/>
              <w:ind w:left="-57" w:right="0"/>
              <w:rPr>
                <w:b/>
                <w:bCs/>
                <w:szCs w:val="26"/>
                <w:rtl/>
              </w:rPr>
            </w:pPr>
            <w:r>
              <w:rPr>
                <w:b/>
                <w:bCs/>
                <w:szCs w:val="26"/>
                <w:rtl/>
              </w:rPr>
              <w:t>42.1</w:t>
            </w:r>
          </w:p>
        </w:tc>
      </w:tr>
    </w:tbl>
    <w:p w:rsidR="00000000" w:rsidRDefault="00000000">
      <w:pPr>
        <w:pStyle w:val="SingleTxt"/>
        <w:ind w:left="0" w:right="0" w:firstLine="69"/>
        <w:rPr>
          <w:rtl/>
        </w:rPr>
      </w:pPr>
    </w:p>
    <w:p w:rsidR="00000000" w:rsidRDefault="00000000">
      <w:pPr>
        <w:pStyle w:val="SingleTxt"/>
        <w:spacing w:line="360" w:lineRule="exact"/>
        <w:ind w:left="1264" w:right="1264"/>
        <w:rPr>
          <w:rtl/>
        </w:rPr>
      </w:pPr>
      <w:r>
        <w:rPr>
          <w:rtl/>
        </w:rPr>
        <w:tab/>
      </w:r>
      <w:r>
        <w:rPr>
          <w:rtl/>
        </w:rPr>
        <w:tab/>
        <w:t>تمثل الشركات ذات الملكية النسائية نحو ثلثي الشركات العاملة في قطاع الصناعة التحويلية الذي يشمل أنشطة صغيرة مثل تخمير المشروبات المحلية وصناعة السلال وصناعة الحصير، إلخ. والنساء أقل بروزاً في قطاع الخدمات، ما عدا في صالونات الشعر ومقص الشعر والخدمات الإيجارية. وفي المجالات التجارية فإن أكثر من نصف الفنادق ودور الضيافة والمطاعم والبارات ودور تناول الشاي، وصالونات الشرب التقليدية وبيع المواد الغذائية وغير الغذائية مملوكة للمرأة.</w:t>
      </w:r>
    </w:p>
    <w:p w:rsidR="00000000" w:rsidRDefault="00000000">
      <w:pPr>
        <w:pStyle w:val="SingleTxt"/>
        <w:spacing w:line="360" w:lineRule="exact"/>
        <w:ind w:left="1264" w:right="1264"/>
        <w:rPr>
          <w:rtl/>
        </w:rPr>
      </w:pPr>
      <w:r>
        <w:rPr>
          <w:rtl/>
        </w:rPr>
        <w:tab/>
      </w:r>
      <w:r>
        <w:rPr>
          <w:rtl/>
        </w:rPr>
        <w:tab/>
        <w:t>ونسبة النساء المشاركات في القوى العاملة للمؤسسات الكبيرة تكاد تكون مطابقة لمثيلتها في مجموعة الشركات الصغرى والصغيرة والمتوسطة. وهكذا فإن نسبة 41.5 في المائة من مجموع قوة العمل في المؤسسات الكبرى من النساء بالمقابل بنسبة 42.1 في المائة في مجموعة الشركات الصغرى والصغيرة والمتوسطة.</w:t>
      </w:r>
    </w:p>
    <w:p w:rsidR="00000000" w:rsidRDefault="00000000">
      <w:pPr>
        <w:pStyle w:val="SingleTxt"/>
        <w:spacing w:line="360" w:lineRule="exact"/>
        <w:ind w:left="1264" w:right="1264"/>
        <w:rPr>
          <w:rtl/>
        </w:rPr>
      </w:pPr>
      <w:r>
        <w:rPr>
          <w:rtl/>
        </w:rPr>
        <w:tab/>
      </w:r>
      <w:r>
        <w:rPr>
          <w:rtl/>
        </w:rPr>
        <w:tab/>
        <w:t>وإذا اعتبرنا أن معدل نمو القوى العاملة بين الاشتراك المبدئي في الأعمال والوقت الراهن، فإن معدل النمو المتوسط للمرأة هو 6.56 في المائة مقابل 4.24 في المائة للرجل.</w:t>
      </w:r>
    </w:p>
    <w:p w:rsidR="00000000" w:rsidRDefault="00000000">
      <w:pPr>
        <w:pStyle w:val="SingleTxt"/>
        <w:spacing w:line="360" w:lineRule="exact"/>
        <w:ind w:left="1264" w:right="1264"/>
        <w:rPr>
          <w:rtl/>
        </w:rPr>
      </w:pPr>
      <w:r>
        <w:rPr>
          <w:rtl/>
        </w:rPr>
        <w:tab/>
      </w:r>
      <w:r>
        <w:rPr>
          <w:rtl/>
        </w:rPr>
        <w:tab/>
        <w:t>وفي قطاع الخدمة المدنية، تمثل المرأة 30.02 في المائة من مجموع قوة العمل (العاملون الدائمون في الخدمة المدنية) وهو ما يقدَّر بأنه 000 21 ونسبة 33.5 في المائة من العاملين بعقود.</w:t>
      </w:r>
    </w:p>
    <w:p w:rsidR="00000000" w:rsidRDefault="00000000">
      <w:pPr>
        <w:pStyle w:val="SingleTxt"/>
        <w:spacing w:line="360" w:lineRule="exact"/>
        <w:ind w:left="1264" w:right="1264"/>
        <w:rPr>
          <w:i/>
          <w:iCs/>
          <w:rtl/>
        </w:rPr>
      </w:pPr>
      <w:r>
        <w:rPr>
          <w:b/>
          <w:bCs/>
          <w:i/>
          <w:iCs/>
          <w:rtl/>
        </w:rPr>
        <w:t>التدابير الدستورية والتشريعية</w:t>
      </w:r>
    </w:p>
    <w:p w:rsidR="00000000" w:rsidRDefault="00000000">
      <w:pPr>
        <w:pStyle w:val="SingleTxt"/>
        <w:spacing w:line="360" w:lineRule="exact"/>
        <w:ind w:left="1264" w:right="1264"/>
        <w:rPr>
          <w:rtl/>
        </w:rPr>
      </w:pPr>
      <w:r>
        <w:rPr>
          <w:rtl/>
        </w:rPr>
        <w:tab/>
      </w:r>
      <w:r>
        <w:rPr>
          <w:rtl/>
        </w:rPr>
        <w:tab/>
        <w:t>تتمتع المرأة الأريترية بحقوق دستورية وتشريعية للعمل بوصفها كائناً بشرياً. ومن البديهي أن عمالة المرأة في أريتريا أصبحت ضرورة أكثر من كونها حقاً. وهذا صحيح نظراً لأن نحو 46.7 في المائة من الأسر الأريترية يترأسها أم وحيدة لعدة أسباب (لكونها أرملة أو مطلقة أو منفصلة أو موضع هجران أو غير متزوجة) ولا بُد أن تعمل على نحو ما من أجل التعيُّش أو مباشرة حياتها.</w:t>
      </w:r>
    </w:p>
    <w:p w:rsidR="00000000" w:rsidRDefault="00000000">
      <w:pPr>
        <w:pStyle w:val="SingleTxt"/>
        <w:spacing w:line="360" w:lineRule="exact"/>
        <w:ind w:left="1264" w:right="1264"/>
        <w:rPr>
          <w:rtl/>
        </w:rPr>
      </w:pPr>
      <w:r>
        <w:rPr>
          <w:rtl/>
        </w:rPr>
        <w:tab/>
      </w:r>
      <w:r>
        <w:rPr>
          <w:rtl/>
        </w:rPr>
        <w:tab/>
        <w:t>وينص إعلان العمل في أريتريا رقم 118/2001 على تكافؤ فرص العمالة ومنافع حماية الأمومة بالنسبة للنساء.</w:t>
      </w:r>
    </w:p>
    <w:p w:rsidR="00000000" w:rsidRDefault="00000000">
      <w:pPr>
        <w:pStyle w:val="SingleTxt"/>
        <w:spacing w:line="360" w:lineRule="exact"/>
        <w:ind w:left="1264" w:right="1264"/>
        <w:rPr>
          <w:rtl/>
        </w:rPr>
      </w:pPr>
      <w:r>
        <w:rPr>
          <w:rtl/>
        </w:rPr>
        <w:tab/>
        <w:t>وتنص المادة 65 من الإعلان بشأن التدابير العامة للحماية على ما يلي:</w:t>
      </w:r>
    </w:p>
    <w:p w:rsidR="00000000" w:rsidRDefault="00000000">
      <w:pPr>
        <w:pStyle w:val="SingleTxt"/>
        <w:spacing w:line="360" w:lineRule="exact"/>
        <w:ind w:left="1264" w:right="1264"/>
        <w:rPr>
          <w:rtl/>
        </w:rPr>
      </w:pPr>
      <w:r>
        <w:rPr>
          <w:rtl/>
        </w:rPr>
        <w:tab/>
      </w:r>
      <w:r>
        <w:rPr>
          <w:rtl/>
        </w:rPr>
        <w:tab/>
        <w:t>1 -</w:t>
      </w:r>
      <w:r>
        <w:rPr>
          <w:rtl/>
        </w:rPr>
        <w:tab/>
        <w:t xml:space="preserve">ينبغي عدم التمييز ضد المرأة فيما يتعلق بالفرص أو المعاملة في مجال العمالة </w:t>
      </w:r>
      <w:r>
        <w:rPr>
          <w:rtl/>
        </w:rPr>
        <w:tab/>
      </w:r>
      <w:r>
        <w:rPr>
          <w:rtl/>
        </w:rPr>
        <w:tab/>
      </w:r>
      <w:r>
        <w:rPr>
          <w:rtl/>
        </w:rPr>
        <w:tab/>
        <w:t>والأجر، على أساس جنسها.</w:t>
      </w:r>
    </w:p>
    <w:p w:rsidR="00000000" w:rsidRDefault="00000000">
      <w:pPr>
        <w:pStyle w:val="SingleTxt"/>
        <w:spacing w:line="360" w:lineRule="exact"/>
        <w:ind w:left="1264" w:right="1264"/>
        <w:rPr>
          <w:rtl/>
        </w:rPr>
      </w:pPr>
      <w:r>
        <w:rPr>
          <w:rtl/>
        </w:rPr>
        <w:tab/>
      </w:r>
      <w:r>
        <w:rPr>
          <w:rtl/>
        </w:rPr>
        <w:tab/>
        <w:t>2 -</w:t>
      </w:r>
      <w:r>
        <w:rPr>
          <w:rtl/>
        </w:rPr>
        <w:tab/>
        <w:t xml:space="preserve">يجوز للوزير عندما تشكو المرأة من التمييز عملاً بالمادة الفرعية (1) من </w:t>
      </w:r>
      <w:r>
        <w:rPr>
          <w:rtl/>
        </w:rPr>
        <w:tab/>
      </w:r>
      <w:r>
        <w:rPr>
          <w:rtl/>
        </w:rPr>
        <w:tab/>
      </w:r>
      <w:r>
        <w:rPr>
          <w:rtl/>
        </w:rPr>
        <w:tab/>
        <w:t xml:space="preserve">المادة السابقة أن يقرر ما إذا كان هناك تمييز على أساس جنسها. ويجوز </w:t>
      </w:r>
      <w:r>
        <w:rPr>
          <w:rtl/>
        </w:rPr>
        <w:tab/>
      </w:r>
      <w:r>
        <w:rPr>
          <w:rtl/>
        </w:rPr>
        <w:tab/>
      </w:r>
      <w:r>
        <w:rPr>
          <w:rtl/>
        </w:rPr>
        <w:tab/>
        <w:t xml:space="preserve">للوزير عندما يقرر أن هناك تمييزاً، أن يأمر صاحب العمل المعني بإصلاح </w:t>
      </w:r>
      <w:r>
        <w:rPr>
          <w:rtl/>
        </w:rPr>
        <w:tab/>
      </w:r>
      <w:r>
        <w:rPr>
          <w:rtl/>
        </w:rPr>
        <w:tab/>
      </w:r>
      <w:r>
        <w:rPr>
          <w:rtl/>
        </w:rPr>
        <w:tab/>
        <w:t>الوضع.</w:t>
      </w:r>
    </w:p>
    <w:p w:rsidR="00000000" w:rsidRDefault="00000000">
      <w:pPr>
        <w:pStyle w:val="SingleTxt"/>
        <w:spacing w:line="380" w:lineRule="exact"/>
        <w:ind w:left="1264" w:right="1264"/>
        <w:rPr>
          <w:rtl/>
        </w:rPr>
      </w:pPr>
      <w:r>
        <w:rPr>
          <w:rtl/>
        </w:rPr>
        <w:tab/>
      </w:r>
      <w:r>
        <w:rPr>
          <w:rtl/>
        </w:rPr>
        <w:tab/>
        <w:t>3 -</w:t>
      </w:r>
      <w:r>
        <w:rPr>
          <w:rtl/>
        </w:rPr>
        <w:tab/>
        <w:t xml:space="preserve">يجوز للمرأة أو صاحب العمل أن يستأنف ضد قرار الوزير أمام المحكمة </w:t>
      </w:r>
      <w:r>
        <w:rPr>
          <w:rtl/>
        </w:rPr>
        <w:tab/>
      </w:r>
      <w:r>
        <w:rPr>
          <w:rtl/>
        </w:rPr>
        <w:tab/>
      </w:r>
      <w:r>
        <w:rPr>
          <w:rtl/>
        </w:rPr>
        <w:tab/>
        <w:t>العليا خلال 15 يوماً اعتباراً من يوم تلقيها أو تلقيه نسخة من القرار.</w:t>
      </w:r>
    </w:p>
    <w:p w:rsidR="00000000" w:rsidRDefault="00000000">
      <w:pPr>
        <w:pStyle w:val="SingleTxt"/>
        <w:spacing w:line="380" w:lineRule="exact"/>
        <w:ind w:left="1264" w:right="1264"/>
        <w:rPr>
          <w:rtl/>
        </w:rPr>
      </w:pPr>
      <w:r>
        <w:rPr>
          <w:rtl/>
        </w:rPr>
        <w:tab/>
      </w:r>
      <w:r>
        <w:rPr>
          <w:rtl/>
        </w:rPr>
        <w:tab/>
        <w:t>ومع ذلك، فإن هذا الإعلان لا ينطبق على العاملين في القوات العسكرية أو قوات الشرطة أو الأمن، والخدمة المدنية الأريترية، والقضاة، والمدَّعين، حيث أن الأعضاء الإناث في الخدمة المدنية يحصلن على إجازة أمومة قدرها 45 يوماً (بالمقارنة بستين يوماً بموجب هذا الإعلان) وذلك بموجب تشريع عمل منفصل. وحسب الإدارة المركزية للموظفين، تعكف حالياً لجنة على إعداد قانون للخدمة المدنية ومن المتوقع أن يكون القانون على وعي بمسألة نوع الجنس. ومع ذلك، فإن الاتحاد الوطني للنساء الأريتريات والقطاعات المعنية الأخرى ينبغي أن تدرج في اللجنة وأن يؤخذ رأيها في المدخلات الأساسية في تقديس القضايا المتعلقة بنوع الجنس.</w:t>
      </w:r>
    </w:p>
    <w:p w:rsidR="00000000" w:rsidRDefault="00000000">
      <w:pPr>
        <w:pStyle w:val="SingleTxt"/>
        <w:spacing w:line="380" w:lineRule="exact"/>
        <w:ind w:left="1264" w:right="1264"/>
        <w:rPr>
          <w:rtl/>
        </w:rPr>
      </w:pPr>
      <w:r>
        <w:rPr>
          <w:rtl/>
        </w:rPr>
        <w:tab/>
      </w:r>
      <w:r>
        <w:rPr>
          <w:rtl/>
        </w:rPr>
        <w:tab/>
        <w:t>ومن حق المرأة الأريترية اختيار مهنتها وعمالتها قبل الزواج وبعده. ومن حقها فتح حساب في المصرف دون موافقة زوجها. وتمارس المرأة العاملة الحق في تقرير كيفية إنفاق مكتسباتها التي يمكن أن تستخدم كمؤشر على وضعها الراهن. واستناداً إلى المسح الديمغرافي والصحي لأريتريا لعام 1995، تقرر نسبة 72 في المائة من النساء اللاتي يتقاضين مكتسبات نقدية بأنفسهن كيفية إنفاق نقودهن، وأن نسبة 15 في المائة تقرر ذلك بالاشتراك مع زوجها/شريكها. وأقل من نصف في المائة تقرر النساء اللاتي يكسبن نقوداً أن زوجهن فقط يقرر كيفية استخدام نقودهن.</w:t>
      </w:r>
    </w:p>
    <w:p w:rsidR="00000000" w:rsidRDefault="00000000">
      <w:pPr>
        <w:pStyle w:val="SingleTxt"/>
        <w:spacing w:line="380" w:lineRule="exact"/>
        <w:ind w:left="1264" w:right="1264"/>
        <w:rPr>
          <w:rtl/>
        </w:rPr>
      </w:pPr>
      <w:r>
        <w:rPr>
          <w:b/>
          <w:bCs/>
          <w:rtl/>
        </w:rPr>
        <w:t>الاختيار والتوظيف</w:t>
      </w:r>
    </w:p>
    <w:p w:rsidR="00000000" w:rsidRDefault="00000000">
      <w:pPr>
        <w:pStyle w:val="SingleTxt"/>
        <w:spacing w:line="380" w:lineRule="exact"/>
        <w:ind w:left="1264" w:right="1264"/>
        <w:rPr>
          <w:rtl/>
        </w:rPr>
      </w:pPr>
      <w:r>
        <w:rPr>
          <w:rtl/>
        </w:rPr>
        <w:tab/>
      </w:r>
      <w:r>
        <w:rPr>
          <w:rtl/>
        </w:rPr>
        <w:tab/>
        <w:t>من الصعب إثبات التمييز غير السافر القائم بشأن فرص العمالة وعمليات الاختيار حيث أن الاختيار تقوم بإدارته لجان للاختيار لا تخلو من وجود الفصل بين الجنسين. ويجري الإعلان علناً عن الوظائف وتعرض على كلا الجنسين ما عدا في بعض الحالات عندما يتم البحث عن مرشحون ذكور. وأشار استقصاء بشأن المؤسسات الصناعية إلى أنه فيما يتعلق بأفضلية نوع الجنس في الاستخدام، فإن نحو 46 في المائة من المؤسسات تفضل استخدام العمال الذكور، في حين أن 3 في المائة فقط تفضل استخدام العمال الإناث، وأن نحو 47 في المائة ليس لديها تفضيل لأي من الجنسين</w:t>
      </w:r>
      <w:r>
        <w:rPr>
          <w:rStyle w:val="FootnoteReference"/>
          <w:rtl/>
        </w:rPr>
        <w:footnoteReference w:customMarkFollows="1" w:id="29"/>
        <w:t>(28)</w:t>
      </w:r>
      <w:r>
        <w:rPr>
          <w:rtl/>
        </w:rPr>
        <w:t>.</w:t>
      </w:r>
    </w:p>
    <w:p w:rsidR="00000000" w:rsidRDefault="00000000">
      <w:pPr>
        <w:pStyle w:val="SingleTxt"/>
        <w:spacing w:line="380" w:lineRule="exact"/>
        <w:ind w:left="1264" w:right="1264"/>
        <w:rPr>
          <w:rtl/>
        </w:rPr>
      </w:pPr>
      <w:r>
        <w:rPr>
          <w:rtl/>
        </w:rPr>
        <w:tab/>
      </w:r>
      <w:r>
        <w:rPr>
          <w:rtl/>
        </w:rPr>
        <w:tab/>
        <w:t>ومن ناحية أخرى، تتخذ في حالات قليلة إجراءات إيجابية لإعطاء الفرصة للمرشحات (مثل مدرسات المدارس الابتدائية) للمحافظة على التوازن بين الجنسين. غير أن الحصة ما زالت 37 في المائة.</w:t>
      </w:r>
    </w:p>
    <w:p w:rsidR="00000000" w:rsidRDefault="00000000">
      <w:pPr>
        <w:pStyle w:val="SingleTxt"/>
        <w:ind w:left="1264" w:right="0"/>
        <w:rPr>
          <w:b/>
          <w:bCs/>
          <w:rtl/>
        </w:rPr>
      </w:pPr>
      <w:r>
        <w:rPr>
          <w:b/>
          <w:bCs/>
          <w:rtl/>
        </w:rPr>
        <w:t xml:space="preserve">الجدول 15 </w:t>
      </w:r>
      <w:r>
        <w:rPr>
          <w:b/>
          <w:bCs/>
        </w:rPr>
        <w:t>–</w:t>
      </w:r>
      <w:r>
        <w:rPr>
          <w:b/>
          <w:bCs/>
          <w:rtl/>
        </w:rPr>
        <w:t xml:space="preserve"> تنسيب الباحثين عن وظيفة حسب المهنة والجنس والسنة</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688"/>
        <w:gridCol w:w="839"/>
        <w:gridCol w:w="839"/>
        <w:gridCol w:w="839"/>
        <w:gridCol w:w="839"/>
        <w:gridCol w:w="839"/>
        <w:gridCol w:w="787"/>
        <w:gridCol w:w="850"/>
        <w:gridCol w:w="993"/>
        <w:gridCol w:w="1418"/>
      </w:tblGrid>
      <w:tr w:rsidR="00000000">
        <w:tblPrEx>
          <w:tblCellMar>
            <w:top w:w="0" w:type="dxa"/>
            <w:bottom w:w="0" w:type="dxa"/>
          </w:tblCellMar>
        </w:tblPrEx>
        <w:tc>
          <w:tcPr>
            <w:tcW w:w="1559" w:type="dxa"/>
            <w:vAlign w:val="center"/>
          </w:tcPr>
          <w:p w:rsidR="00000000" w:rsidRDefault="00000000">
            <w:pPr>
              <w:pStyle w:val="SingleTxt"/>
              <w:spacing w:after="0" w:line="340" w:lineRule="exact"/>
              <w:ind w:left="-57" w:right="0"/>
              <w:jc w:val="center"/>
              <w:rPr>
                <w:b/>
                <w:bCs/>
                <w:szCs w:val="24"/>
                <w:rtl/>
              </w:rPr>
            </w:pPr>
            <w:r>
              <w:rPr>
                <w:b/>
                <w:bCs/>
                <w:szCs w:val="24"/>
                <w:rtl/>
              </w:rPr>
              <w:t>المهنة</w:t>
            </w:r>
          </w:p>
        </w:tc>
        <w:tc>
          <w:tcPr>
            <w:tcW w:w="688" w:type="dxa"/>
            <w:vAlign w:val="bottom"/>
          </w:tcPr>
          <w:p w:rsidR="00000000" w:rsidRDefault="00000000">
            <w:pPr>
              <w:pStyle w:val="SingleTxt"/>
              <w:spacing w:after="0" w:line="340" w:lineRule="exact"/>
              <w:ind w:left="-57" w:right="0"/>
              <w:rPr>
                <w:b/>
                <w:bCs/>
                <w:szCs w:val="24"/>
                <w:rtl/>
              </w:rPr>
            </w:pPr>
            <w:r>
              <w:rPr>
                <w:b/>
                <w:bCs/>
                <w:szCs w:val="24"/>
                <w:rtl/>
              </w:rPr>
              <w:t>الجنس</w:t>
            </w:r>
          </w:p>
        </w:tc>
        <w:tc>
          <w:tcPr>
            <w:tcW w:w="839" w:type="dxa"/>
            <w:vAlign w:val="bottom"/>
          </w:tcPr>
          <w:p w:rsidR="00000000" w:rsidRDefault="00000000">
            <w:pPr>
              <w:pStyle w:val="SingleTxt"/>
              <w:spacing w:after="0" w:line="340" w:lineRule="exact"/>
              <w:ind w:left="-57" w:right="0"/>
              <w:rPr>
                <w:b/>
                <w:bCs/>
                <w:szCs w:val="24"/>
                <w:rtl/>
              </w:rPr>
            </w:pPr>
            <w:r>
              <w:rPr>
                <w:b/>
                <w:bCs/>
                <w:szCs w:val="24"/>
                <w:rtl/>
              </w:rPr>
              <w:t>1996</w:t>
            </w:r>
          </w:p>
        </w:tc>
        <w:tc>
          <w:tcPr>
            <w:tcW w:w="839" w:type="dxa"/>
            <w:vAlign w:val="bottom"/>
          </w:tcPr>
          <w:p w:rsidR="00000000" w:rsidRDefault="00000000">
            <w:pPr>
              <w:pStyle w:val="SingleTxt"/>
              <w:spacing w:after="0" w:line="340" w:lineRule="exact"/>
              <w:ind w:left="-57" w:right="0"/>
              <w:rPr>
                <w:b/>
                <w:bCs/>
                <w:szCs w:val="24"/>
                <w:rtl/>
              </w:rPr>
            </w:pPr>
            <w:r>
              <w:rPr>
                <w:b/>
                <w:bCs/>
                <w:szCs w:val="24"/>
                <w:rtl/>
              </w:rPr>
              <w:t>1997</w:t>
            </w:r>
          </w:p>
        </w:tc>
        <w:tc>
          <w:tcPr>
            <w:tcW w:w="839" w:type="dxa"/>
            <w:vAlign w:val="bottom"/>
          </w:tcPr>
          <w:p w:rsidR="00000000" w:rsidRDefault="00000000">
            <w:pPr>
              <w:pStyle w:val="SingleTxt"/>
              <w:spacing w:after="0" w:line="340" w:lineRule="exact"/>
              <w:ind w:left="-57" w:right="0"/>
              <w:rPr>
                <w:b/>
                <w:bCs/>
                <w:szCs w:val="24"/>
                <w:rtl/>
              </w:rPr>
            </w:pPr>
            <w:r>
              <w:rPr>
                <w:b/>
                <w:bCs/>
                <w:szCs w:val="24"/>
                <w:rtl/>
              </w:rPr>
              <w:t>1998</w:t>
            </w:r>
          </w:p>
        </w:tc>
        <w:tc>
          <w:tcPr>
            <w:tcW w:w="839" w:type="dxa"/>
            <w:vAlign w:val="bottom"/>
          </w:tcPr>
          <w:p w:rsidR="00000000" w:rsidRDefault="00000000">
            <w:pPr>
              <w:pStyle w:val="SingleTxt"/>
              <w:spacing w:after="0" w:line="340" w:lineRule="exact"/>
              <w:ind w:left="-57" w:right="0"/>
              <w:rPr>
                <w:b/>
                <w:bCs/>
                <w:szCs w:val="24"/>
                <w:rtl/>
              </w:rPr>
            </w:pPr>
            <w:r>
              <w:rPr>
                <w:b/>
                <w:bCs/>
                <w:szCs w:val="24"/>
                <w:rtl/>
              </w:rPr>
              <w:t>1999</w:t>
            </w:r>
          </w:p>
        </w:tc>
        <w:tc>
          <w:tcPr>
            <w:tcW w:w="839" w:type="dxa"/>
            <w:vAlign w:val="bottom"/>
          </w:tcPr>
          <w:p w:rsidR="00000000" w:rsidRDefault="00000000">
            <w:pPr>
              <w:pStyle w:val="SingleTxt"/>
              <w:spacing w:after="0" w:line="340" w:lineRule="exact"/>
              <w:ind w:left="-57" w:right="0"/>
              <w:rPr>
                <w:b/>
                <w:bCs/>
                <w:szCs w:val="24"/>
                <w:rtl/>
              </w:rPr>
            </w:pPr>
            <w:r>
              <w:rPr>
                <w:b/>
                <w:bCs/>
                <w:szCs w:val="24"/>
                <w:rtl/>
              </w:rPr>
              <w:t>2000</w:t>
            </w:r>
          </w:p>
        </w:tc>
        <w:tc>
          <w:tcPr>
            <w:tcW w:w="787" w:type="dxa"/>
            <w:vAlign w:val="bottom"/>
          </w:tcPr>
          <w:p w:rsidR="00000000" w:rsidRDefault="00000000">
            <w:pPr>
              <w:pStyle w:val="SingleTxt"/>
              <w:spacing w:after="0" w:line="340" w:lineRule="exact"/>
              <w:ind w:left="-57" w:right="0"/>
              <w:rPr>
                <w:b/>
                <w:bCs/>
                <w:szCs w:val="24"/>
                <w:rtl/>
              </w:rPr>
            </w:pPr>
            <w:r>
              <w:rPr>
                <w:b/>
                <w:bCs/>
                <w:szCs w:val="24"/>
                <w:rtl/>
              </w:rPr>
              <w:t>2001</w:t>
            </w:r>
          </w:p>
        </w:tc>
        <w:tc>
          <w:tcPr>
            <w:tcW w:w="850" w:type="dxa"/>
          </w:tcPr>
          <w:p w:rsidR="00000000" w:rsidRDefault="00000000">
            <w:pPr>
              <w:pStyle w:val="SingleTxt"/>
              <w:spacing w:after="0" w:line="340" w:lineRule="exact"/>
              <w:ind w:left="-57" w:right="0"/>
              <w:rPr>
                <w:b/>
                <w:bCs/>
                <w:szCs w:val="24"/>
                <w:rtl/>
              </w:rPr>
            </w:pPr>
            <w:r>
              <w:rPr>
                <w:b/>
                <w:bCs/>
                <w:szCs w:val="24"/>
                <w:rtl/>
              </w:rPr>
              <w:t>مجمــــوع</w:t>
            </w:r>
          </w:p>
          <w:p w:rsidR="00000000" w:rsidRDefault="00000000">
            <w:pPr>
              <w:pStyle w:val="SingleTxt"/>
              <w:spacing w:after="0" w:line="340" w:lineRule="exact"/>
              <w:ind w:left="-57" w:right="0"/>
              <w:rPr>
                <w:b/>
                <w:bCs/>
                <w:szCs w:val="24"/>
                <w:rtl/>
              </w:rPr>
            </w:pPr>
            <w:r>
              <w:rPr>
                <w:b/>
                <w:bCs/>
                <w:szCs w:val="24"/>
                <w:rtl/>
              </w:rPr>
              <w:t>المنسبين</w:t>
            </w:r>
          </w:p>
        </w:tc>
        <w:tc>
          <w:tcPr>
            <w:tcW w:w="993" w:type="dxa"/>
          </w:tcPr>
          <w:p w:rsidR="00000000" w:rsidRDefault="00000000">
            <w:pPr>
              <w:pStyle w:val="SingleTxt"/>
              <w:spacing w:after="0" w:line="340" w:lineRule="exact"/>
              <w:ind w:left="-57" w:right="0"/>
              <w:rPr>
                <w:b/>
                <w:bCs/>
                <w:szCs w:val="24"/>
                <w:rtl/>
              </w:rPr>
            </w:pPr>
            <w:r>
              <w:rPr>
                <w:b/>
                <w:bCs/>
                <w:szCs w:val="24"/>
                <w:rtl/>
              </w:rPr>
              <w:t>مجمــــــوع</w:t>
            </w:r>
          </w:p>
          <w:p w:rsidR="00000000" w:rsidRDefault="00000000">
            <w:pPr>
              <w:pStyle w:val="SingleTxt"/>
              <w:spacing w:after="0" w:line="340" w:lineRule="exact"/>
              <w:ind w:left="-57" w:right="0"/>
              <w:rPr>
                <w:b/>
                <w:bCs/>
                <w:szCs w:val="24"/>
                <w:rtl/>
              </w:rPr>
            </w:pPr>
            <w:r>
              <w:rPr>
                <w:b/>
                <w:bCs/>
                <w:szCs w:val="24"/>
                <w:rtl/>
              </w:rPr>
              <w:t>المسجلين</w:t>
            </w:r>
          </w:p>
        </w:tc>
        <w:tc>
          <w:tcPr>
            <w:tcW w:w="1418" w:type="dxa"/>
          </w:tcPr>
          <w:p w:rsidR="00000000" w:rsidRDefault="00000000">
            <w:pPr>
              <w:pStyle w:val="SingleTxt"/>
              <w:spacing w:after="0" w:line="340" w:lineRule="exact"/>
              <w:ind w:left="-57" w:right="0"/>
              <w:rPr>
                <w:b/>
                <w:bCs/>
                <w:w w:val="95"/>
                <w:szCs w:val="24"/>
                <w:rtl/>
              </w:rPr>
            </w:pPr>
            <w:r>
              <w:rPr>
                <w:b/>
                <w:bCs/>
                <w:w w:val="95"/>
                <w:szCs w:val="24"/>
                <w:rtl/>
              </w:rPr>
              <w:t>النسبة المئوية للنساء</w:t>
            </w:r>
          </w:p>
          <w:p w:rsidR="00000000" w:rsidRDefault="00000000">
            <w:pPr>
              <w:pStyle w:val="SingleTxt"/>
              <w:spacing w:after="0" w:line="340" w:lineRule="exact"/>
              <w:ind w:left="-57" w:right="0"/>
              <w:jc w:val="center"/>
              <w:rPr>
                <w:b/>
                <w:bCs/>
                <w:szCs w:val="24"/>
                <w:rtl/>
              </w:rPr>
            </w:pPr>
            <w:r>
              <w:rPr>
                <w:b/>
                <w:bCs/>
                <w:szCs w:val="24"/>
                <w:rtl/>
              </w:rPr>
              <w:t>المستخدمات</w:t>
            </w: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المشرعون وكبار المسؤولين والمديرون</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6</w:t>
            </w:r>
          </w:p>
        </w:tc>
        <w:tc>
          <w:tcPr>
            <w:tcW w:w="839" w:type="dxa"/>
          </w:tcPr>
          <w:p w:rsidR="00000000" w:rsidRDefault="00000000">
            <w:pPr>
              <w:pStyle w:val="SingleTxt"/>
              <w:spacing w:after="0" w:line="340" w:lineRule="exact"/>
              <w:ind w:left="-57" w:right="0"/>
              <w:rPr>
                <w:szCs w:val="24"/>
                <w:rtl/>
              </w:rPr>
            </w:pPr>
            <w:r>
              <w:rPr>
                <w:szCs w:val="24"/>
                <w:rtl/>
              </w:rPr>
              <w:t>12</w:t>
            </w:r>
          </w:p>
        </w:tc>
        <w:tc>
          <w:tcPr>
            <w:tcW w:w="839" w:type="dxa"/>
          </w:tcPr>
          <w:p w:rsidR="00000000" w:rsidRDefault="00000000">
            <w:pPr>
              <w:pStyle w:val="SingleTxt"/>
              <w:spacing w:after="0" w:line="340" w:lineRule="exact"/>
              <w:ind w:left="-57" w:right="0"/>
              <w:rPr>
                <w:szCs w:val="24"/>
                <w:rtl/>
              </w:rPr>
            </w:pPr>
            <w:r>
              <w:rPr>
                <w:szCs w:val="24"/>
                <w:rtl/>
              </w:rPr>
              <w:t>2</w:t>
            </w:r>
          </w:p>
        </w:tc>
        <w:tc>
          <w:tcPr>
            <w:tcW w:w="839" w:type="dxa"/>
          </w:tcPr>
          <w:p w:rsidR="00000000" w:rsidRDefault="00000000">
            <w:pPr>
              <w:pStyle w:val="SingleTxt"/>
              <w:spacing w:after="0" w:line="340" w:lineRule="exact"/>
              <w:ind w:left="-57" w:right="0"/>
              <w:rPr>
                <w:szCs w:val="24"/>
                <w:rtl/>
              </w:rPr>
            </w:pPr>
            <w:r>
              <w:rPr>
                <w:szCs w:val="24"/>
                <w:rtl/>
              </w:rPr>
              <w:t>4</w:t>
            </w:r>
          </w:p>
        </w:tc>
        <w:tc>
          <w:tcPr>
            <w:tcW w:w="839" w:type="dxa"/>
          </w:tcPr>
          <w:p w:rsidR="00000000" w:rsidRDefault="00000000">
            <w:pPr>
              <w:pStyle w:val="SingleTxt"/>
              <w:spacing w:after="0" w:line="340" w:lineRule="exact"/>
              <w:ind w:left="-57" w:right="0"/>
              <w:rPr>
                <w:szCs w:val="24"/>
                <w:rtl/>
              </w:rPr>
            </w:pPr>
            <w:r>
              <w:rPr>
                <w:szCs w:val="24"/>
                <w:rtl/>
              </w:rPr>
              <w:t>-</w:t>
            </w:r>
          </w:p>
        </w:tc>
        <w:tc>
          <w:tcPr>
            <w:tcW w:w="787" w:type="dxa"/>
          </w:tcPr>
          <w:p w:rsidR="00000000" w:rsidRDefault="00000000">
            <w:pPr>
              <w:pStyle w:val="SingleTxt"/>
              <w:spacing w:after="0" w:line="340" w:lineRule="exact"/>
              <w:ind w:left="-57" w:right="0"/>
              <w:rPr>
                <w:szCs w:val="24"/>
                <w:rtl/>
              </w:rPr>
            </w:pPr>
            <w:r>
              <w:rPr>
                <w:szCs w:val="24"/>
                <w:rtl/>
              </w:rPr>
              <w:t>4</w:t>
            </w:r>
          </w:p>
        </w:tc>
        <w:tc>
          <w:tcPr>
            <w:tcW w:w="850" w:type="dxa"/>
          </w:tcPr>
          <w:p w:rsidR="00000000" w:rsidRDefault="00000000">
            <w:pPr>
              <w:pStyle w:val="SingleTxt"/>
              <w:spacing w:after="0" w:line="340" w:lineRule="exact"/>
              <w:ind w:left="-57" w:right="0"/>
              <w:rPr>
                <w:szCs w:val="24"/>
                <w:rtl/>
              </w:rPr>
            </w:pPr>
            <w:r>
              <w:rPr>
                <w:szCs w:val="24"/>
                <w:rtl/>
              </w:rPr>
              <w:t>28</w:t>
            </w:r>
          </w:p>
        </w:tc>
        <w:tc>
          <w:tcPr>
            <w:tcW w:w="993" w:type="dxa"/>
          </w:tcPr>
          <w:p w:rsidR="00000000" w:rsidRDefault="00000000">
            <w:pPr>
              <w:pStyle w:val="SingleTxt"/>
              <w:spacing w:after="0" w:line="340" w:lineRule="exact"/>
              <w:ind w:left="-57" w:right="0"/>
              <w:rPr>
                <w:szCs w:val="24"/>
                <w:rtl/>
              </w:rPr>
            </w:pPr>
            <w:r>
              <w:rPr>
                <w:szCs w:val="24"/>
                <w:rtl/>
              </w:rPr>
              <w:t>274</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w:t>
            </w:r>
          </w:p>
        </w:tc>
        <w:tc>
          <w:tcPr>
            <w:tcW w:w="839" w:type="dxa"/>
          </w:tcPr>
          <w:p w:rsidR="00000000" w:rsidRDefault="00000000">
            <w:pPr>
              <w:pStyle w:val="SingleTxt"/>
              <w:spacing w:after="0" w:line="340" w:lineRule="exact"/>
              <w:ind w:left="-57" w:right="0"/>
              <w:rPr>
                <w:szCs w:val="24"/>
                <w:rtl/>
              </w:rPr>
            </w:pPr>
            <w:r>
              <w:rPr>
                <w:szCs w:val="24"/>
                <w:rtl/>
              </w:rPr>
              <w:t>-</w:t>
            </w:r>
          </w:p>
        </w:tc>
        <w:tc>
          <w:tcPr>
            <w:tcW w:w="839" w:type="dxa"/>
          </w:tcPr>
          <w:p w:rsidR="00000000" w:rsidRDefault="00000000">
            <w:pPr>
              <w:pStyle w:val="SingleTxt"/>
              <w:spacing w:after="0" w:line="340" w:lineRule="exact"/>
              <w:ind w:left="-57" w:right="0"/>
              <w:rPr>
                <w:szCs w:val="24"/>
                <w:rtl/>
              </w:rPr>
            </w:pPr>
            <w:r>
              <w:rPr>
                <w:szCs w:val="24"/>
                <w:rtl/>
              </w:rPr>
              <w:t>-</w:t>
            </w:r>
          </w:p>
        </w:tc>
        <w:tc>
          <w:tcPr>
            <w:tcW w:w="839" w:type="dxa"/>
          </w:tcPr>
          <w:p w:rsidR="00000000" w:rsidRDefault="00000000">
            <w:pPr>
              <w:pStyle w:val="SingleTxt"/>
              <w:spacing w:after="0" w:line="340" w:lineRule="exact"/>
              <w:ind w:left="-57" w:right="0"/>
              <w:rPr>
                <w:szCs w:val="24"/>
                <w:rtl/>
              </w:rPr>
            </w:pPr>
            <w:r>
              <w:rPr>
                <w:szCs w:val="24"/>
                <w:rtl/>
              </w:rPr>
              <w:t>1</w:t>
            </w:r>
          </w:p>
        </w:tc>
        <w:tc>
          <w:tcPr>
            <w:tcW w:w="839" w:type="dxa"/>
          </w:tcPr>
          <w:p w:rsidR="00000000" w:rsidRDefault="00000000">
            <w:pPr>
              <w:pStyle w:val="SingleTxt"/>
              <w:spacing w:after="0" w:line="340" w:lineRule="exact"/>
              <w:ind w:left="-57" w:right="0"/>
              <w:rPr>
                <w:szCs w:val="24"/>
                <w:rtl/>
              </w:rPr>
            </w:pPr>
            <w:r>
              <w:rPr>
                <w:szCs w:val="24"/>
                <w:rtl/>
              </w:rPr>
              <w:t>-</w:t>
            </w:r>
          </w:p>
        </w:tc>
        <w:tc>
          <w:tcPr>
            <w:tcW w:w="787" w:type="dxa"/>
          </w:tcPr>
          <w:p w:rsidR="00000000" w:rsidRDefault="00000000">
            <w:pPr>
              <w:pStyle w:val="SingleTxt"/>
              <w:spacing w:after="0" w:line="340" w:lineRule="exact"/>
              <w:ind w:left="-57" w:right="0"/>
              <w:rPr>
                <w:szCs w:val="24"/>
                <w:rtl/>
              </w:rPr>
            </w:pPr>
            <w:r>
              <w:rPr>
                <w:szCs w:val="24"/>
                <w:rtl/>
              </w:rPr>
              <w:t>2</w:t>
            </w:r>
          </w:p>
        </w:tc>
        <w:tc>
          <w:tcPr>
            <w:tcW w:w="850" w:type="dxa"/>
          </w:tcPr>
          <w:p w:rsidR="00000000" w:rsidRDefault="00000000">
            <w:pPr>
              <w:pStyle w:val="SingleTxt"/>
              <w:spacing w:after="0" w:line="340" w:lineRule="exact"/>
              <w:ind w:left="-57" w:right="0"/>
              <w:rPr>
                <w:szCs w:val="24"/>
                <w:rtl/>
              </w:rPr>
            </w:pPr>
            <w:r>
              <w:rPr>
                <w:szCs w:val="24"/>
                <w:rtl/>
              </w:rPr>
              <w:t>3</w:t>
            </w:r>
          </w:p>
        </w:tc>
        <w:tc>
          <w:tcPr>
            <w:tcW w:w="993" w:type="dxa"/>
          </w:tcPr>
          <w:p w:rsidR="00000000" w:rsidRDefault="00000000">
            <w:pPr>
              <w:pStyle w:val="SingleTxt"/>
              <w:spacing w:after="0" w:line="340" w:lineRule="exact"/>
              <w:ind w:left="-57" w:right="0"/>
              <w:rPr>
                <w:szCs w:val="24"/>
                <w:rtl/>
              </w:rPr>
            </w:pPr>
            <w:r>
              <w:rPr>
                <w:szCs w:val="24"/>
                <w:rtl/>
              </w:rPr>
              <w:t>52</w:t>
            </w:r>
          </w:p>
        </w:tc>
        <w:tc>
          <w:tcPr>
            <w:tcW w:w="1418" w:type="dxa"/>
          </w:tcPr>
          <w:p w:rsidR="00000000" w:rsidRDefault="00000000">
            <w:pPr>
              <w:pStyle w:val="SingleTxt"/>
              <w:spacing w:after="0" w:line="340" w:lineRule="exact"/>
              <w:ind w:left="-57" w:right="0"/>
              <w:rPr>
                <w:rFonts w:cs="Akhbar MT"/>
                <w:szCs w:val="24"/>
                <w:rtl/>
              </w:rPr>
            </w:pPr>
            <w:r>
              <w:rPr>
                <w:szCs w:val="24"/>
                <w:rtl/>
              </w:rPr>
              <w:t>9.6</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6</w:t>
            </w:r>
          </w:p>
        </w:tc>
        <w:tc>
          <w:tcPr>
            <w:tcW w:w="839" w:type="dxa"/>
          </w:tcPr>
          <w:p w:rsidR="00000000" w:rsidRDefault="00000000">
            <w:pPr>
              <w:pStyle w:val="SingleTxt"/>
              <w:spacing w:after="0" w:line="340" w:lineRule="exact"/>
              <w:ind w:left="-57" w:right="0"/>
              <w:rPr>
                <w:szCs w:val="24"/>
                <w:rtl/>
              </w:rPr>
            </w:pPr>
            <w:r>
              <w:rPr>
                <w:szCs w:val="24"/>
                <w:rtl/>
              </w:rPr>
              <w:t>12</w:t>
            </w:r>
          </w:p>
        </w:tc>
        <w:tc>
          <w:tcPr>
            <w:tcW w:w="839" w:type="dxa"/>
          </w:tcPr>
          <w:p w:rsidR="00000000" w:rsidRDefault="00000000">
            <w:pPr>
              <w:pStyle w:val="SingleTxt"/>
              <w:spacing w:after="0" w:line="340" w:lineRule="exact"/>
              <w:ind w:left="-57" w:right="0"/>
              <w:rPr>
                <w:szCs w:val="24"/>
                <w:rtl/>
              </w:rPr>
            </w:pPr>
            <w:r>
              <w:rPr>
                <w:szCs w:val="24"/>
                <w:rtl/>
              </w:rPr>
              <w:t>2</w:t>
            </w:r>
          </w:p>
        </w:tc>
        <w:tc>
          <w:tcPr>
            <w:tcW w:w="839" w:type="dxa"/>
          </w:tcPr>
          <w:p w:rsidR="00000000" w:rsidRDefault="00000000">
            <w:pPr>
              <w:pStyle w:val="SingleTxt"/>
              <w:spacing w:after="0" w:line="340" w:lineRule="exact"/>
              <w:ind w:left="-57" w:right="0"/>
              <w:rPr>
                <w:szCs w:val="24"/>
                <w:rtl/>
              </w:rPr>
            </w:pPr>
            <w:r>
              <w:rPr>
                <w:szCs w:val="24"/>
                <w:rtl/>
              </w:rPr>
              <w:t>5</w:t>
            </w:r>
          </w:p>
        </w:tc>
        <w:tc>
          <w:tcPr>
            <w:tcW w:w="839" w:type="dxa"/>
          </w:tcPr>
          <w:p w:rsidR="00000000" w:rsidRDefault="00000000">
            <w:pPr>
              <w:pStyle w:val="SingleTxt"/>
              <w:spacing w:after="0" w:line="340" w:lineRule="exact"/>
              <w:ind w:left="-57" w:right="0"/>
              <w:rPr>
                <w:szCs w:val="24"/>
                <w:rtl/>
              </w:rPr>
            </w:pPr>
            <w:r>
              <w:rPr>
                <w:szCs w:val="24"/>
                <w:rtl/>
              </w:rPr>
              <w:t>-</w:t>
            </w:r>
          </w:p>
        </w:tc>
        <w:tc>
          <w:tcPr>
            <w:tcW w:w="787" w:type="dxa"/>
          </w:tcPr>
          <w:p w:rsidR="00000000" w:rsidRDefault="00000000">
            <w:pPr>
              <w:pStyle w:val="SingleTxt"/>
              <w:spacing w:after="0" w:line="340" w:lineRule="exact"/>
              <w:ind w:left="-57" w:right="0"/>
              <w:rPr>
                <w:szCs w:val="24"/>
                <w:rtl/>
              </w:rPr>
            </w:pPr>
            <w:r>
              <w:rPr>
                <w:szCs w:val="24"/>
                <w:rtl/>
              </w:rPr>
              <w:t>6</w:t>
            </w:r>
          </w:p>
        </w:tc>
        <w:tc>
          <w:tcPr>
            <w:tcW w:w="850" w:type="dxa"/>
          </w:tcPr>
          <w:p w:rsidR="00000000" w:rsidRDefault="00000000">
            <w:pPr>
              <w:pStyle w:val="SingleTxt"/>
              <w:spacing w:after="0" w:line="340" w:lineRule="exact"/>
              <w:ind w:left="-57" w:right="0"/>
              <w:rPr>
                <w:szCs w:val="24"/>
                <w:rtl/>
              </w:rPr>
            </w:pPr>
            <w:r>
              <w:rPr>
                <w:szCs w:val="24"/>
                <w:rtl/>
              </w:rPr>
              <w:t>31</w:t>
            </w:r>
          </w:p>
        </w:tc>
        <w:tc>
          <w:tcPr>
            <w:tcW w:w="993" w:type="dxa"/>
          </w:tcPr>
          <w:p w:rsidR="00000000" w:rsidRDefault="00000000">
            <w:pPr>
              <w:pStyle w:val="SingleTxt"/>
              <w:spacing w:after="0" w:line="340" w:lineRule="exact"/>
              <w:ind w:left="-57" w:right="0"/>
              <w:rPr>
                <w:szCs w:val="24"/>
                <w:rtl/>
              </w:rPr>
            </w:pPr>
            <w:r>
              <w:rPr>
                <w:szCs w:val="24"/>
                <w:rtl/>
              </w:rPr>
              <w:t>326</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c>
          <w:tcPr>
            <w:tcW w:w="1559" w:type="dxa"/>
          </w:tcPr>
          <w:p w:rsidR="00000000" w:rsidRDefault="00000000">
            <w:pPr>
              <w:pStyle w:val="SingleTxt"/>
              <w:spacing w:after="0" w:line="340" w:lineRule="exact"/>
              <w:ind w:left="-57" w:right="0"/>
              <w:rPr>
                <w:szCs w:val="24"/>
                <w:rtl/>
              </w:rPr>
            </w:pPr>
            <w:r>
              <w:rPr>
                <w:szCs w:val="24"/>
                <w:rtl/>
              </w:rPr>
              <w:t>المهنيون</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111</w:t>
            </w:r>
          </w:p>
        </w:tc>
        <w:tc>
          <w:tcPr>
            <w:tcW w:w="839" w:type="dxa"/>
          </w:tcPr>
          <w:p w:rsidR="00000000" w:rsidRDefault="00000000">
            <w:pPr>
              <w:pStyle w:val="SingleTxt"/>
              <w:spacing w:after="0" w:line="340" w:lineRule="exact"/>
              <w:ind w:left="-57" w:right="0"/>
              <w:rPr>
                <w:szCs w:val="24"/>
                <w:rtl/>
              </w:rPr>
            </w:pPr>
            <w:r>
              <w:rPr>
                <w:szCs w:val="24"/>
                <w:rtl/>
              </w:rPr>
              <w:t>106</w:t>
            </w:r>
          </w:p>
        </w:tc>
        <w:tc>
          <w:tcPr>
            <w:tcW w:w="839" w:type="dxa"/>
          </w:tcPr>
          <w:p w:rsidR="00000000" w:rsidRDefault="00000000">
            <w:pPr>
              <w:pStyle w:val="SingleTxt"/>
              <w:spacing w:after="0" w:line="340" w:lineRule="exact"/>
              <w:ind w:left="-57" w:right="0"/>
              <w:rPr>
                <w:szCs w:val="24"/>
                <w:rtl/>
              </w:rPr>
            </w:pPr>
            <w:r>
              <w:rPr>
                <w:szCs w:val="24"/>
                <w:rtl/>
              </w:rPr>
              <w:t>184</w:t>
            </w:r>
          </w:p>
        </w:tc>
        <w:tc>
          <w:tcPr>
            <w:tcW w:w="839" w:type="dxa"/>
          </w:tcPr>
          <w:p w:rsidR="00000000" w:rsidRDefault="00000000">
            <w:pPr>
              <w:pStyle w:val="SingleTxt"/>
              <w:spacing w:after="0" w:line="340" w:lineRule="exact"/>
              <w:ind w:left="-57" w:right="0"/>
              <w:rPr>
                <w:szCs w:val="24"/>
                <w:rtl/>
              </w:rPr>
            </w:pPr>
            <w:r>
              <w:rPr>
                <w:szCs w:val="24"/>
                <w:rtl/>
              </w:rPr>
              <w:t>152</w:t>
            </w:r>
          </w:p>
        </w:tc>
        <w:tc>
          <w:tcPr>
            <w:tcW w:w="839" w:type="dxa"/>
          </w:tcPr>
          <w:p w:rsidR="00000000" w:rsidRDefault="00000000">
            <w:pPr>
              <w:pStyle w:val="SingleTxt"/>
              <w:spacing w:after="0" w:line="340" w:lineRule="exact"/>
              <w:ind w:left="-57" w:right="0"/>
              <w:rPr>
                <w:szCs w:val="24"/>
                <w:rtl/>
              </w:rPr>
            </w:pPr>
            <w:r>
              <w:rPr>
                <w:szCs w:val="24"/>
                <w:rtl/>
              </w:rPr>
              <w:t>32</w:t>
            </w:r>
          </w:p>
        </w:tc>
        <w:tc>
          <w:tcPr>
            <w:tcW w:w="787" w:type="dxa"/>
          </w:tcPr>
          <w:p w:rsidR="00000000" w:rsidRDefault="00000000">
            <w:pPr>
              <w:pStyle w:val="SingleTxt"/>
              <w:spacing w:after="0" w:line="340" w:lineRule="exact"/>
              <w:ind w:left="-57" w:right="0"/>
              <w:rPr>
                <w:szCs w:val="24"/>
                <w:rtl/>
              </w:rPr>
            </w:pPr>
            <w:r>
              <w:rPr>
                <w:szCs w:val="24"/>
                <w:rtl/>
              </w:rPr>
              <w:t>23</w:t>
            </w:r>
          </w:p>
        </w:tc>
        <w:tc>
          <w:tcPr>
            <w:tcW w:w="850" w:type="dxa"/>
          </w:tcPr>
          <w:p w:rsidR="00000000" w:rsidRDefault="00000000">
            <w:pPr>
              <w:pStyle w:val="SingleTxt"/>
              <w:spacing w:after="0" w:line="340" w:lineRule="exact"/>
              <w:ind w:left="-57" w:right="0"/>
              <w:rPr>
                <w:szCs w:val="24"/>
                <w:rtl/>
              </w:rPr>
            </w:pPr>
            <w:r>
              <w:rPr>
                <w:szCs w:val="24"/>
                <w:rtl/>
              </w:rPr>
              <w:t>608</w:t>
            </w:r>
          </w:p>
        </w:tc>
        <w:tc>
          <w:tcPr>
            <w:tcW w:w="993" w:type="dxa"/>
          </w:tcPr>
          <w:p w:rsidR="00000000" w:rsidRDefault="00000000">
            <w:pPr>
              <w:pStyle w:val="SingleTxt"/>
              <w:spacing w:after="0" w:line="340" w:lineRule="exact"/>
              <w:ind w:left="-57" w:right="0"/>
              <w:rPr>
                <w:szCs w:val="24"/>
                <w:rtl/>
              </w:rPr>
            </w:pPr>
            <w:r>
              <w:rPr>
                <w:szCs w:val="24"/>
                <w:rtl/>
              </w:rPr>
              <w:t>969 1</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c>
          <w:tcPr>
            <w:tcW w:w="1559" w:type="dxa"/>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24</w:t>
            </w:r>
          </w:p>
        </w:tc>
        <w:tc>
          <w:tcPr>
            <w:tcW w:w="839" w:type="dxa"/>
          </w:tcPr>
          <w:p w:rsidR="00000000" w:rsidRDefault="00000000">
            <w:pPr>
              <w:pStyle w:val="SingleTxt"/>
              <w:spacing w:after="0" w:line="340" w:lineRule="exact"/>
              <w:ind w:left="-57" w:right="0"/>
              <w:rPr>
                <w:szCs w:val="24"/>
                <w:rtl/>
              </w:rPr>
            </w:pPr>
            <w:r>
              <w:rPr>
                <w:szCs w:val="24"/>
                <w:rtl/>
              </w:rPr>
              <w:t>5</w:t>
            </w:r>
          </w:p>
        </w:tc>
        <w:tc>
          <w:tcPr>
            <w:tcW w:w="839" w:type="dxa"/>
          </w:tcPr>
          <w:p w:rsidR="00000000" w:rsidRDefault="00000000">
            <w:pPr>
              <w:pStyle w:val="SingleTxt"/>
              <w:spacing w:after="0" w:line="340" w:lineRule="exact"/>
              <w:ind w:left="-57" w:right="0"/>
              <w:rPr>
                <w:szCs w:val="24"/>
                <w:rtl/>
              </w:rPr>
            </w:pPr>
            <w:r>
              <w:rPr>
                <w:szCs w:val="24"/>
                <w:rtl/>
              </w:rPr>
              <w:t>37</w:t>
            </w:r>
          </w:p>
        </w:tc>
        <w:tc>
          <w:tcPr>
            <w:tcW w:w="839" w:type="dxa"/>
          </w:tcPr>
          <w:p w:rsidR="00000000" w:rsidRDefault="00000000">
            <w:pPr>
              <w:pStyle w:val="SingleTxt"/>
              <w:spacing w:after="0" w:line="340" w:lineRule="exact"/>
              <w:ind w:left="-57" w:right="0"/>
              <w:rPr>
                <w:szCs w:val="24"/>
                <w:rtl/>
              </w:rPr>
            </w:pPr>
            <w:r>
              <w:rPr>
                <w:szCs w:val="24"/>
                <w:rtl/>
              </w:rPr>
              <w:t>50</w:t>
            </w:r>
          </w:p>
        </w:tc>
        <w:tc>
          <w:tcPr>
            <w:tcW w:w="839" w:type="dxa"/>
          </w:tcPr>
          <w:p w:rsidR="00000000" w:rsidRDefault="00000000">
            <w:pPr>
              <w:pStyle w:val="SingleTxt"/>
              <w:spacing w:after="0" w:line="340" w:lineRule="exact"/>
              <w:ind w:left="-57" w:right="0"/>
              <w:rPr>
                <w:szCs w:val="24"/>
                <w:rtl/>
              </w:rPr>
            </w:pPr>
            <w:r>
              <w:rPr>
                <w:szCs w:val="24"/>
                <w:rtl/>
              </w:rPr>
              <w:t>15</w:t>
            </w:r>
          </w:p>
        </w:tc>
        <w:tc>
          <w:tcPr>
            <w:tcW w:w="787" w:type="dxa"/>
          </w:tcPr>
          <w:p w:rsidR="00000000" w:rsidRDefault="00000000">
            <w:pPr>
              <w:pStyle w:val="SingleTxt"/>
              <w:spacing w:after="0" w:line="340" w:lineRule="exact"/>
              <w:ind w:left="-57" w:right="0"/>
              <w:rPr>
                <w:szCs w:val="24"/>
                <w:rtl/>
              </w:rPr>
            </w:pPr>
            <w:r>
              <w:rPr>
                <w:szCs w:val="24"/>
                <w:rtl/>
              </w:rPr>
              <w:t>13</w:t>
            </w:r>
          </w:p>
        </w:tc>
        <w:tc>
          <w:tcPr>
            <w:tcW w:w="850" w:type="dxa"/>
          </w:tcPr>
          <w:p w:rsidR="00000000" w:rsidRDefault="00000000">
            <w:pPr>
              <w:pStyle w:val="SingleTxt"/>
              <w:spacing w:after="0" w:line="340" w:lineRule="exact"/>
              <w:ind w:left="-57" w:right="0"/>
              <w:rPr>
                <w:szCs w:val="24"/>
                <w:rtl/>
              </w:rPr>
            </w:pPr>
            <w:r>
              <w:rPr>
                <w:szCs w:val="24"/>
                <w:rtl/>
              </w:rPr>
              <w:t>144</w:t>
            </w:r>
          </w:p>
        </w:tc>
        <w:tc>
          <w:tcPr>
            <w:tcW w:w="993" w:type="dxa"/>
          </w:tcPr>
          <w:p w:rsidR="00000000" w:rsidRDefault="00000000">
            <w:pPr>
              <w:pStyle w:val="SingleTxt"/>
              <w:spacing w:after="0" w:line="340" w:lineRule="exact"/>
              <w:ind w:left="-57" w:right="0"/>
              <w:rPr>
                <w:szCs w:val="24"/>
                <w:rtl/>
              </w:rPr>
            </w:pPr>
            <w:r>
              <w:rPr>
                <w:szCs w:val="24"/>
                <w:rtl/>
              </w:rPr>
              <w:t>699</w:t>
            </w:r>
          </w:p>
        </w:tc>
        <w:tc>
          <w:tcPr>
            <w:tcW w:w="1418" w:type="dxa"/>
          </w:tcPr>
          <w:p w:rsidR="00000000" w:rsidRDefault="00000000">
            <w:pPr>
              <w:pStyle w:val="SingleTxt"/>
              <w:spacing w:after="0" w:line="340" w:lineRule="exact"/>
              <w:ind w:left="-57" w:right="0"/>
              <w:rPr>
                <w:szCs w:val="24"/>
                <w:rtl/>
              </w:rPr>
            </w:pPr>
            <w:r>
              <w:rPr>
                <w:szCs w:val="24"/>
                <w:rtl/>
              </w:rPr>
              <w:t>19.1</w:t>
            </w:r>
            <w:r>
              <w:rPr>
                <w:rFonts w:cs="Akhbar MT"/>
                <w:szCs w:val="24"/>
                <w:rtl/>
              </w:rPr>
              <w:t>%</w:t>
            </w:r>
          </w:p>
        </w:tc>
      </w:tr>
      <w:tr w:rsidR="00000000">
        <w:tblPrEx>
          <w:tblCellMar>
            <w:top w:w="0" w:type="dxa"/>
            <w:bottom w:w="0" w:type="dxa"/>
          </w:tblCellMar>
        </w:tblPrEx>
        <w:tc>
          <w:tcPr>
            <w:tcW w:w="1559" w:type="dxa"/>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135</w:t>
            </w:r>
          </w:p>
        </w:tc>
        <w:tc>
          <w:tcPr>
            <w:tcW w:w="839" w:type="dxa"/>
          </w:tcPr>
          <w:p w:rsidR="00000000" w:rsidRDefault="00000000">
            <w:pPr>
              <w:pStyle w:val="SingleTxt"/>
              <w:spacing w:after="0" w:line="340" w:lineRule="exact"/>
              <w:ind w:left="-57" w:right="0"/>
              <w:rPr>
                <w:szCs w:val="24"/>
                <w:rtl/>
              </w:rPr>
            </w:pPr>
            <w:r>
              <w:rPr>
                <w:szCs w:val="24"/>
                <w:rtl/>
              </w:rPr>
              <w:t>111</w:t>
            </w:r>
          </w:p>
        </w:tc>
        <w:tc>
          <w:tcPr>
            <w:tcW w:w="839" w:type="dxa"/>
          </w:tcPr>
          <w:p w:rsidR="00000000" w:rsidRDefault="00000000">
            <w:pPr>
              <w:pStyle w:val="SingleTxt"/>
              <w:spacing w:after="0" w:line="340" w:lineRule="exact"/>
              <w:ind w:left="-57" w:right="0"/>
              <w:rPr>
                <w:szCs w:val="24"/>
                <w:rtl/>
              </w:rPr>
            </w:pPr>
            <w:r>
              <w:rPr>
                <w:szCs w:val="24"/>
                <w:rtl/>
              </w:rPr>
              <w:t>321</w:t>
            </w:r>
          </w:p>
        </w:tc>
        <w:tc>
          <w:tcPr>
            <w:tcW w:w="839" w:type="dxa"/>
          </w:tcPr>
          <w:p w:rsidR="00000000" w:rsidRDefault="00000000">
            <w:pPr>
              <w:pStyle w:val="SingleTxt"/>
              <w:spacing w:after="0" w:line="340" w:lineRule="exact"/>
              <w:ind w:left="-57" w:right="0"/>
              <w:rPr>
                <w:szCs w:val="24"/>
                <w:rtl/>
              </w:rPr>
            </w:pPr>
            <w:r>
              <w:rPr>
                <w:szCs w:val="24"/>
                <w:rtl/>
              </w:rPr>
              <w:t>202</w:t>
            </w:r>
          </w:p>
        </w:tc>
        <w:tc>
          <w:tcPr>
            <w:tcW w:w="839" w:type="dxa"/>
          </w:tcPr>
          <w:p w:rsidR="00000000" w:rsidRDefault="00000000">
            <w:pPr>
              <w:pStyle w:val="SingleTxt"/>
              <w:spacing w:after="0" w:line="340" w:lineRule="exact"/>
              <w:ind w:left="-57" w:right="0"/>
              <w:rPr>
                <w:szCs w:val="24"/>
                <w:rtl/>
              </w:rPr>
            </w:pPr>
            <w:r>
              <w:rPr>
                <w:szCs w:val="24"/>
                <w:rtl/>
              </w:rPr>
              <w:t>47</w:t>
            </w:r>
          </w:p>
        </w:tc>
        <w:tc>
          <w:tcPr>
            <w:tcW w:w="787" w:type="dxa"/>
          </w:tcPr>
          <w:p w:rsidR="00000000" w:rsidRDefault="00000000">
            <w:pPr>
              <w:pStyle w:val="SingleTxt"/>
              <w:spacing w:after="0" w:line="340" w:lineRule="exact"/>
              <w:ind w:left="-57" w:right="0"/>
              <w:rPr>
                <w:szCs w:val="24"/>
                <w:rtl/>
              </w:rPr>
            </w:pPr>
            <w:r>
              <w:rPr>
                <w:szCs w:val="24"/>
                <w:rtl/>
              </w:rPr>
              <w:t>36</w:t>
            </w:r>
          </w:p>
        </w:tc>
        <w:tc>
          <w:tcPr>
            <w:tcW w:w="850" w:type="dxa"/>
          </w:tcPr>
          <w:p w:rsidR="00000000" w:rsidRDefault="00000000">
            <w:pPr>
              <w:pStyle w:val="SingleTxt"/>
              <w:spacing w:after="0" w:line="340" w:lineRule="exact"/>
              <w:ind w:left="-57" w:right="0"/>
              <w:rPr>
                <w:szCs w:val="24"/>
                <w:rtl/>
              </w:rPr>
            </w:pPr>
            <w:r>
              <w:rPr>
                <w:szCs w:val="24"/>
                <w:rtl/>
              </w:rPr>
              <w:t>752</w:t>
            </w:r>
          </w:p>
        </w:tc>
        <w:tc>
          <w:tcPr>
            <w:tcW w:w="993" w:type="dxa"/>
          </w:tcPr>
          <w:p w:rsidR="00000000" w:rsidRDefault="00000000">
            <w:pPr>
              <w:pStyle w:val="SingleTxt"/>
              <w:spacing w:after="0" w:line="340" w:lineRule="exact"/>
              <w:ind w:left="-57" w:right="0"/>
              <w:rPr>
                <w:szCs w:val="24"/>
                <w:rtl/>
              </w:rPr>
            </w:pPr>
            <w:r>
              <w:rPr>
                <w:szCs w:val="24"/>
                <w:rtl/>
              </w:rPr>
              <w:t>668 3</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التقنيون والمهنيون المساعدون</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99</w:t>
            </w:r>
          </w:p>
        </w:tc>
        <w:tc>
          <w:tcPr>
            <w:tcW w:w="839" w:type="dxa"/>
          </w:tcPr>
          <w:p w:rsidR="00000000" w:rsidRDefault="00000000">
            <w:pPr>
              <w:pStyle w:val="SingleTxt"/>
              <w:spacing w:after="0" w:line="340" w:lineRule="exact"/>
              <w:ind w:left="-57" w:right="0"/>
              <w:rPr>
                <w:szCs w:val="24"/>
                <w:rtl/>
              </w:rPr>
            </w:pPr>
            <w:r>
              <w:rPr>
                <w:szCs w:val="24"/>
                <w:rtl/>
              </w:rPr>
              <w:t>134</w:t>
            </w:r>
          </w:p>
        </w:tc>
        <w:tc>
          <w:tcPr>
            <w:tcW w:w="839" w:type="dxa"/>
          </w:tcPr>
          <w:p w:rsidR="00000000" w:rsidRDefault="00000000">
            <w:pPr>
              <w:pStyle w:val="SingleTxt"/>
              <w:spacing w:after="0" w:line="340" w:lineRule="exact"/>
              <w:ind w:left="-57" w:right="0"/>
              <w:rPr>
                <w:szCs w:val="24"/>
                <w:rtl/>
              </w:rPr>
            </w:pPr>
            <w:r>
              <w:rPr>
                <w:szCs w:val="24"/>
                <w:rtl/>
              </w:rPr>
              <w:t>39</w:t>
            </w:r>
          </w:p>
        </w:tc>
        <w:tc>
          <w:tcPr>
            <w:tcW w:w="839" w:type="dxa"/>
          </w:tcPr>
          <w:p w:rsidR="00000000" w:rsidRDefault="00000000">
            <w:pPr>
              <w:pStyle w:val="SingleTxt"/>
              <w:spacing w:after="0" w:line="340" w:lineRule="exact"/>
              <w:ind w:left="-57" w:right="0"/>
              <w:rPr>
                <w:szCs w:val="24"/>
                <w:rtl/>
              </w:rPr>
            </w:pPr>
            <w:r>
              <w:rPr>
                <w:szCs w:val="24"/>
                <w:rtl/>
              </w:rPr>
              <w:t>36</w:t>
            </w:r>
          </w:p>
        </w:tc>
        <w:tc>
          <w:tcPr>
            <w:tcW w:w="839" w:type="dxa"/>
          </w:tcPr>
          <w:p w:rsidR="00000000" w:rsidRDefault="00000000">
            <w:pPr>
              <w:pStyle w:val="SingleTxt"/>
              <w:spacing w:after="0" w:line="340" w:lineRule="exact"/>
              <w:ind w:left="-57" w:right="0"/>
              <w:rPr>
                <w:szCs w:val="24"/>
                <w:rtl/>
              </w:rPr>
            </w:pPr>
            <w:r>
              <w:rPr>
                <w:szCs w:val="24"/>
                <w:rtl/>
              </w:rPr>
              <w:t>19</w:t>
            </w:r>
          </w:p>
        </w:tc>
        <w:tc>
          <w:tcPr>
            <w:tcW w:w="787" w:type="dxa"/>
          </w:tcPr>
          <w:p w:rsidR="00000000" w:rsidRDefault="00000000">
            <w:pPr>
              <w:pStyle w:val="SingleTxt"/>
              <w:spacing w:after="0" w:line="340" w:lineRule="exact"/>
              <w:ind w:left="-57" w:right="0"/>
              <w:rPr>
                <w:szCs w:val="24"/>
                <w:rtl/>
              </w:rPr>
            </w:pPr>
            <w:r>
              <w:rPr>
                <w:szCs w:val="24"/>
                <w:rtl/>
              </w:rPr>
              <w:t>26</w:t>
            </w:r>
          </w:p>
        </w:tc>
        <w:tc>
          <w:tcPr>
            <w:tcW w:w="850" w:type="dxa"/>
          </w:tcPr>
          <w:p w:rsidR="00000000" w:rsidRDefault="00000000">
            <w:pPr>
              <w:pStyle w:val="SingleTxt"/>
              <w:spacing w:after="0" w:line="340" w:lineRule="exact"/>
              <w:ind w:left="-57" w:right="0"/>
              <w:rPr>
                <w:szCs w:val="24"/>
                <w:rtl/>
              </w:rPr>
            </w:pPr>
            <w:r>
              <w:rPr>
                <w:szCs w:val="24"/>
                <w:rtl/>
              </w:rPr>
              <w:t>373</w:t>
            </w:r>
          </w:p>
        </w:tc>
        <w:tc>
          <w:tcPr>
            <w:tcW w:w="993" w:type="dxa"/>
          </w:tcPr>
          <w:p w:rsidR="00000000" w:rsidRDefault="00000000">
            <w:pPr>
              <w:pStyle w:val="SingleTxt"/>
              <w:spacing w:after="0" w:line="340" w:lineRule="exact"/>
              <w:ind w:left="-57" w:right="0"/>
              <w:rPr>
                <w:szCs w:val="24"/>
                <w:rtl/>
              </w:rPr>
            </w:pPr>
            <w:r>
              <w:rPr>
                <w:szCs w:val="24"/>
                <w:rtl/>
              </w:rPr>
              <w:t>627 1</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9</w:t>
            </w:r>
          </w:p>
        </w:tc>
        <w:tc>
          <w:tcPr>
            <w:tcW w:w="839" w:type="dxa"/>
          </w:tcPr>
          <w:p w:rsidR="00000000" w:rsidRDefault="00000000">
            <w:pPr>
              <w:pStyle w:val="SingleTxt"/>
              <w:spacing w:after="0" w:line="340" w:lineRule="exact"/>
              <w:ind w:left="-57" w:right="0"/>
              <w:rPr>
                <w:szCs w:val="24"/>
                <w:rtl/>
              </w:rPr>
            </w:pPr>
            <w:r>
              <w:rPr>
                <w:szCs w:val="24"/>
                <w:rtl/>
              </w:rPr>
              <w:t>8</w:t>
            </w:r>
          </w:p>
        </w:tc>
        <w:tc>
          <w:tcPr>
            <w:tcW w:w="839" w:type="dxa"/>
          </w:tcPr>
          <w:p w:rsidR="00000000" w:rsidRDefault="00000000">
            <w:pPr>
              <w:pStyle w:val="SingleTxt"/>
              <w:spacing w:after="0" w:line="340" w:lineRule="exact"/>
              <w:ind w:left="-57" w:right="0"/>
              <w:rPr>
                <w:szCs w:val="24"/>
                <w:rtl/>
              </w:rPr>
            </w:pPr>
            <w:r>
              <w:rPr>
                <w:szCs w:val="24"/>
                <w:rtl/>
              </w:rPr>
              <w:t>3</w:t>
            </w:r>
          </w:p>
        </w:tc>
        <w:tc>
          <w:tcPr>
            <w:tcW w:w="839" w:type="dxa"/>
          </w:tcPr>
          <w:p w:rsidR="00000000" w:rsidRDefault="00000000">
            <w:pPr>
              <w:pStyle w:val="SingleTxt"/>
              <w:spacing w:after="0" w:line="340" w:lineRule="exact"/>
              <w:ind w:left="-57" w:right="0"/>
              <w:rPr>
                <w:szCs w:val="24"/>
                <w:rtl/>
              </w:rPr>
            </w:pPr>
            <w:r>
              <w:rPr>
                <w:szCs w:val="24"/>
                <w:rtl/>
              </w:rPr>
              <w:t>12</w:t>
            </w:r>
          </w:p>
        </w:tc>
        <w:tc>
          <w:tcPr>
            <w:tcW w:w="839" w:type="dxa"/>
          </w:tcPr>
          <w:p w:rsidR="00000000" w:rsidRDefault="00000000">
            <w:pPr>
              <w:pStyle w:val="SingleTxt"/>
              <w:spacing w:after="0" w:line="340" w:lineRule="exact"/>
              <w:ind w:left="-57" w:right="0"/>
              <w:rPr>
                <w:szCs w:val="24"/>
                <w:rtl/>
              </w:rPr>
            </w:pPr>
            <w:r>
              <w:rPr>
                <w:szCs w:val="24"/>
                <w:rtl/>
              </w:rPr>
              <w:t>3</w:t>
            </w:r>
          </w:p>
        </w:tc>
        <w:tc>
          <w:tcPr>
            <w:tcW w:w="787" w:type="dxa"/>
          </w:tcPr>
          <w:p w:rsidR="00000000" w:rsidRDefault="00000000">
            <w:pPr>
              <w:pStyle w:val="SingleTxt"/>
              <w:spacing w:after="0" w:line="340" w:lineRule="exact"/>
              <w:ind w:left="-57" w:right="0"/>
              <w:rPr>
                <w:szCs w:val="24"/>
                <w:rtl/>
              </w:rPr>
            </w:pPr>
            <w:r>
              <w:rPr>
                <w:szCs w:val="24"/>
                <w:rtl/>
              </w:rPr>
              <w:t>19</w:t>
            </w:r>
          </w:p>
        </w:tc>
        <w:tc>
          <w:tcPr>
            <w:tcW w:w="850" w:type="dxa"/>
          </w:tcPr>
          <w:p w:rsidR="00000000" w:rsidRDefault="00000000">
            <w:pPr>
              <w:pStyle w:val="SingleTxt"/>
              <w:spacing w:after="0" w:line="340" w:lineRule="exact"/>
              <w:ind w:left="-57" w:right="0"/>
              <w:rPr>
                <w:szCs w:val="24"/>
                <w:rtl/>
              </w:rPr>
            </w:pPr>
            <w:r>
              <w:rPr>
                <w:szCs w:val="24"/>
                <w:rtl/>
              </w:rPr>
              <w:t>54</w:t>
            </w:r>
          </w:p>
        </w:tc>
        <w:tc>
          <w:tcPr>
            <w:tcW w:w="993" w:type="dxa"/>
          </w:tcPr>
          <w:p w:rsidR="00000000" w:rsidRDefault="00000000">
            <w:pPr>
              <w:pStyle w:val="SingleTxt"/>
              <w:spacing w:after="0" w:line="340" w:lineRule="exact"/>
              <w:ind w:left="-57" w:right="0"/>
              <w:rPr>
                <w:szCs w:val="24"/>
                <w:rtl/>
              </w:rPr>
            </w:pPr>
            <w:r>
              <w:rPr>
                <w:szCs w:val="24"/>
                <w:rtl/>
              </w:rPr>
              <w:t>408</w:t>
            </w:r>
          </w:p>
        </w:tc>
        <w:tc>
          <w:tcPr>
            <w:tcW w:w="1418" w:type="dxa"/>
          </w:tcPr>
          <w:p w:rsidR="00000000" w:rsidRDefault="00000000">
            <w:pPr>
              <w:pStyle w:val="SingleTxt"/>
              <w:spacing w:after="0" w:line="340" w:lineRule="exact"/>
              <w:ind w:left="-57" w:right="0"/>
              <w:rPr>
                <w:szCs w:val="24"/>
                <w:rtl/>
              </w:rPr>
            </w:pPr>
            <w:r>
              <w:rPr>
                <w:szCs w:val="24"/>
                <w:rtl/>
              </w:rPr>
              <w:t>12.6</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108</w:t>
            </w:r>
          </w:p>
        </w:tc>
        <w:tc>
          <w:tcPr>
            <w:tcW w:w="839" w:type="dxa"/>
          </w:tcPr>
          <w:p w:rsidR="00000000" w:rsidRDefault="00000000">
            <w:pPr>
              <w:pStyle w:val="SingleTxt"/>
              <w:spacing w:after="0" w:line="340" w:lineRule="exact"/>
              <w:ind w:left="-57" w:right="0"/>
              <w:rPr>
                <w:szCs w:val="24"/>
                <w:rtl/>
              </w:rPr>
            </w:pPr>
            <w:r>
              <w:rPr>
                <w:szCs w:val="24"/>
                <w:rtl/>
              </w:rPr>
              <w:t>142</w:t>
            </w:r>
          </w:p>
        </w:tc>
        <w:tc>
          <w:tcPr>
            <w:tcW w:w="839" w:type="dxa"/>
          </w:tcPr>
          <w:p w:rsidR="00000000" w:rsidRDefault="00000000">
            <w:pPr>
              <w:pStyle w:val="SingleTxt"/>
              <w:spacing w:after="0" w:line="340" w:lineRule="exact"/>
              <w:ind w:left="-57" w:right="0"/>
              <w:rPr>
                <w:szCs w:val="24"/>
                <w:rtl/>
              </w:rPr>
            </w:pPr>
            <w:r>
              <w:rPr>
                <w:szCs w:val="24"/>
                <w:rtl/>
              </w:rPr>
              <w:t>62</w:t>
            </w:r>
          </w:p>
        </w:tc>
        <w:tc>
          <w:tcPr>
            <w:tcW w:w="839" w:type="dxa"/>
          </w:tcPr>
          <w:p w:rsidR="00000000" w:rsidRDefault="00000000">
            <w:pPr>
              <w:pStyle w:val="SingleTxt"/>
              <w:spacing w:after="0" w:line="340" w:lineRule="exact"/>
              <w:ind w:left="-57" w:right="0"/>
              <w:rPr>
                <w:szCs w:val="24"/>
                <w:rtl/>
              </w:rPr>
            </w:pPr>
            <w:r>
              <w:rPr>
                <w:szCs w:val="24"/>
                <w:rtl/>
              </w:rPr>
              <w:t>48</w:t>
            </w:r>
          </w:p>
        </w:tc>
        <w:tc>
          <w:tcPr>
            <w:tcW w:w="839" w:type="dxa"/>
          </w:tcPr>
          <w:p w:rsidR="00000000" w:rsidRDefault="00000000">
            <w:pPr>
              <w:pStyle w:val="SingleTxt"/>
              <w:spacing w:after="0" w:line="340" w:lineRule="exact"/>
              <w:ind w:left="-57" w:right="0"/>
              <w:rPr>
                <w:szCs w:val="24"/>
                <w:rtl/>
              </w:rPr>
            </w:pPr>
            <w:r>
              <w:rPr>
                <w:szCs w:val="24"/>
                <w:rtl/>
              </w:rPr>
              <w:t>22</w:t>
            </w:r>
          </w:p>
        </w:tc>
        <w:tc>
          <w:tcPr>
            <w:tcW w:w="787" w:type="dxa"/>
          </w:tcPr>
          <w:p w:rsidR="00000000" w:rsidRDefault="00000000">
            <w:pPr>
              <w:pStyle w:val="SingleTxt"/>
              <w:spacing w:after="0" w:line="340" w:lineRule="exact"/>
              <w:ind w:left="-57" w:right="0"/>
              <w:rPr>
                <w:szCs w:val="24"/>
                <w:rtl/>
              </w:rPr>
            </w:pPr>
            <w:r>
              <w:rPr>
                <w:szCs w:val="24"/>
                <w:rtl/>
              </w:rPr>
              <w:t>45</w:t>
            </w:r>
          </w:p>
        </w:tc>
        <w:tc>
          <w:tcPr>
            <w:tcW w:w="850" w:type="dxa"/>
          </w:tcPr>
          <w:p w:rsidR="00000000" w:rsidRDefault="00000000">
            <w:pPr>
              <w:pStyle w:val="SingleTxt"/>
              <w:spacing w:after="0" w:line="340" w:lineRule="exact"/>
              <w:ind w:left="-57" w:right="0"/>
              <w:rPr>
                <w:szCs w:val="24"/>
                <w:rtl/>
              </w:rPr>
            </w:pPr>
            <w:r>
              <w:rPr>
                <w:szCs w:val="24"/>
                <w:rtl/>
              </w:rPr>
              <w:t>427</w:t>
            </w:r>
          </w:p>
        </w:tc>
        <w:tc>
          <w:tcPr>
            <w:tcW w:w="993" w:type="dxa"/>
          </w:tcPr>
          <w:p w:rsidR="00000000" w:rsidRDefault="00000000">
            <w:pPr>
              <w:pStyle w:val="SingleTxt"/>
              <w:spacing w:after="0" w:line="340" w:lineRule="exact"/>
              <w:ind w:left="-57" w:right="0"/>
              <w:rPr>
                <w:szCs w:val="24"/>
                <w:rtl/>
              </w:rPr>
            </w:pPr>
            <w:r>
              <w:rPr>
                <w:szCs w:val="24"/>
                <w:rtl/>
              </w:rPr>
              <w:t>035 2</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الأعمال الكتابية</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286</w:t>
            </w:r>
          </w:p>
        </w:tc>
        <w:tc>
          <w:tcPr>
            <w:tcW w:w="839" w:type="dxa"/>
          </w:tcPr>
          <w:p w:rsidR="00000000" w:rsidRDefault="00000000">
            <w:pPr>
              <w:pStyle w:val="SingleTxt"/>
              <w:spacing w:after="0" w:line="340" w:lineRule="exact"/>
              <w:ind w:left="-57" w:right="0"/>
              <w:rPr>
                <w:szCs w:val="24"/>
                <w:rtl/>
              </w:rPr>
            </w:pPr>
            <w:r>
              <w:rPr>
                <w:szCs w:val="24"/>
                <w:rtl/>
              </w:rPr>
              <w:t>436</w:t>
            </w:r>
          </w:p>
        </w:tc>
        <w:tc>
          <w:tcPr>
            <w:tcW w:w="839" w:type="dxa"/>
          </w:tcPr>
          <w:p w:rsidR="00000000" w:rsidRDefault="00000000">
            <w:pPr>
              <w:pStyle w:val="SingleTxt"/>
              <w:spacing w:after="0" w:line="340" w:lineRule="exact"/>
              <w:ind w:left="-57" w:right="0"/>
              <w:rPr>
                <w:szCs w:val="24"/>
                <w:rtl/>
              </w:rPr>
            </w:pPr>
            <w:r>
              <w:rPr>
                <w:szCs w:val="24"/>
                <w:rtl/>
              </w:rPr>
              <w:t>337</w:t>
            </w:r>
          </w:p>
        </w:tc>
        <w:tc>
          <w:tcPr>
            <w:tcW w:w="839" w:type="dxa"/>
          </w:tcPr>
          <w:p w:rsidR="00000000" w:rsidRDefault="00000000">
            <w:pPr>
              <w:pStyle w:val="SingleTxt"/>
              <w:spacing w:after="0" w:line="340" w:lineRule="exact"/>
              <w:ind w:left="-57" w:right="0"/>
              <w:rPr>
                <w:szCs w:val="24"/>
                <w:rtl/>
              </w:rPr>
            </w:pPr>
            <w:r>
              <w:rPr>
                <w:szCs w:val="24"/>
                <w:rtl/>
              </w:rPr>
              <w:t>249</w:t>
            </w:r>
          </w:p>
        </w:tc>
        <w:tc>
          <w:tcPr>
            <w:tcW w:w="839" w:type="dxa"/>
          </w:tcPr>
          <w:p w:rsidR="00000000" w:rsidRDefault="00000000">
            <w:pPr>
              <w:pStyle w:val="SingleTxt"/>
              <w:spacing w:after="0" w:line="340" w:lineRule="exact"/>
              <w:ind w:left="-57" w:right="0"/>
              <w:rPr>
                <w:szCs w:val="24"/>
                <w:rtl/>
              </w:rPr>
            </w:pPr>
            <w:r>
              <w:rPr>
                <w:szCs w:val="24"/>
                <w:rtl/>
              </w:rPr>
              <w:t>82</w:t>
            </w:r>
          </w:p>
        </w:tc>
        <w:tc>
          <w:tcPr>
            <w:tcW w:w="787" w:type="dxa"/>
          </w:tcPr>
          <w:p w:rsidR="00000000" w:rsidRDefault="00000000">
            <w:pPr>
              <w:pStyle w:val="SingleTxt"/>
              <w:spacing w:after="0" w:line="340" w:lineRule="exact"/>
              <w:ind w:left="-57" w:right="0"/>
              <w:rPr>
                <w:szCs w:val="24"/>
                <w:rtl/>
              </w:rPr>
            </w:pPr>
            <w:r>
              <w:rPr>
                <w:szCs w:val="24"/>
                <w:rtl/>
              </w:rPr>
              <w:t>70</w:t>
            </w:r>
          </w:p>
        </w:tc>
        <w:tc>
          <w:tcPr>
            <w:tcW w:w="850" w:type="dxa"/>
          </w:tcPr>
          <w:p w:rsidR="00000000" w:rsidRDefault="00000000">
            <w:pPr>
              <w:pStyle w:val="SingleTxt"/>
              <w:spacing w:after="0" w:line="340" w:lineRule="exact"/>
              <w:ind w:left="-57" w:right="0"/>
              <w:rPr>
                <w:szCs w:val="24"/>
                <w:rtl/>
              </w:rPr>
            </w:pPr>
            <w:r>
              <w:rPr>
                <w:szCs w:val="24"/>
                <w:rtl/>
              </w:rPr>
              <w:t>460 1</w:t>
            </w:r>
          </w:p>
        </w:tc>
        <w:tc>
          <w:tcPr>
            <w:tcW w:w="993" w:type="dxa"/>
          </w:tcPr>
          <w:p w:rsidR="00000000" w:rsidRDefault="00000000">
            <w:pPr>
              <w:pStyle w:val="SingleTxt"/>
              <w:spacing w:after="0" w:line="340" w:lineRule="exact"/>
              <w:ind w:left="-57" w:right="0"/>
              <w:rPr>
                <w:szCs w:val="24"/>
                <w:rtl/>
              </w:rPr>
            </w:pPr>
            <w:r>
              <w:rPr>
                <w:szCs w:val="24"/>
                <w:rtl/>
              </w:rPr>
              <w:t>398 15</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132</w:t>
            </w:r>
          </w:p>
        </w:tc>
        <w:tc>
          <w:tcPr>
            <w:tcW w:w="839" w:type="dxa"/>
          </w:tcPr>
          <w:p w:rsidR="00000000" w:rsidRDefault="00000000">
            <w:pPr>
              <w:pStyle w:val="SingleTxt"/>
              <w:spacing w:after="0" w:line="340" w:lineRule="exact"/>
              <w:ind w:left="-57" w:right="0"/>
              <w:rPr>
                <w:szCs w:val="24"/>
                <w:rtl/>
              </w:rPr>
            </w:pPr>
            <w:r>
              <w:rPr>
                <w:szCs w:val="24"/>
                <w:rtl/>
              </w:rPr>
              <w:t>194</w:t>
            </w:r>
          </w:p>
        </w:tc>
        <w:tc>
          <w:tcPr>
            <w:tcW w:w="839" w:type="dxa"/>
          </w:tcPr>
          <w:p w:rsidR="00000000" w:rsidRDefault="00000000">
            <w:pPr>
              <w:pStyle w:val="SingleTxt"/>
              <w:spacing w:after="0" w:line="340" w:lineRule="exact"/>
              <w:ind w:left="-57" w:right="0"/>
              <w:rPr>
                <w:szCs w:val="24"/>
                <w:rtl/>
              </w:rPr>
            </w:pPr>
            <w:r>
              <w:rPr>
                <w:szCs w:val="24"/>
                <w:rtl/>
              </w:rPr>
              <w:t>261</w:t>
            </w:r>
          </w:p>
        </w:tc>
        <w:tc>
          <w:tcPr>
            <w:tcW w:w="839" w:type="dxa"/>
          </w:tcPr>
          <w:p w:rsidR="00000000" w:rsidRDefault="00000000">
            <w:pPr>
              <w:pStyle w:val="SingleTxt"/>
              <w:spacing w:after="0" w:line="340" w:lineRule="exact"/>
              <w:ind w:left="-57" w:right="0"/>
              <w:rPr>
                <w:szCs w:val="24"/>
                <w:rtl/>
              </w:rPr>
            </w:pPr>
            <w:r>
              <w:rPr>
                <w:szCs w:val="24"/>
                <w:rtl/>
              </w:rPr>
              <w:t>223</w:t>
            </w:r>
          </w:p>
        </w:tc>
        <w:tc>
          <w:tcPr>
            <w:tcW w:w="839" w:type="dxa"/>
          </w:tcPr>
          <w:p w:rsidR="00000000" w:rsidRDefault="00000000">
            <w:pPr>
              <w:pStyle w:val="SingleTxt"/>
              <w:spacing w:after="0" w:line="340" w:lineRule="exact"/>
              <w:ind w:left="-57" w:right="0"/>
              <w:rPr>
                <w:szCs w:val="24"/>
                <w:rtl/>
              </w:rPr>
            </w:pPr>
            <w:r>
              <w:rPr>
                <w:szCs w:val="24"/>
                <w:rtl/>
              </w:rPr>
              <w:t>169</w:t>
            </w:r>
          </w:p>
        </w:tc>
        <w:tc>
          <w:tcPr>
            <w:tcW w:w="787" w:type="dxa"/>
          </w:tcPr>
          <w:p w:rsidR="00000000" w:rsidRDefault="00000000">
            <w:pPr>
              <w:pStyle w:val="SingleTxt"/>
              <w:spacing w:after="0" w:line="340" w:lineRule="exact"/>
              <w:ind w:left="-57" w:right="0"/>
              <w:rPr>
                <w:szCs w:val="24"/>
                <w:rtl/>
              </w:rPr>
            </w:pPr>
            <w:r>
              <w:rPr>
                <w:szCs w:val="24"/>
                <w:rtl/>
              </w:rPr>
              <w:t>103</w:t>
            </w:r>
          </w:p>
        </w:tc>
        <w:tc>
          <w:tcPr>
            <w:tcW w:w="850" w:type="dxa"/>
          </w:tcPr>
          <w:p w:rsidR="00000000" w:rsidRDefault="00000000">
            <w:pPr>
              <w:pStyle w:val="SingleTxt"/>
              <w:spacing w:after="0" w:line="340" w:lineRule="exact"/>
              <w:ind w:left="-57" w:right="0"/>
              <w:rPr>
                <w:szCs w:val="24"/>
                <w:rtl/>
              </w:rPr>
            </w:pPr>
            <w:r>
              <w:rPr>
                <w:szCs w:val="24"/>
                <w:rtl/>
              </w:rPr>
              <w:t>082 1</w:t>
            </w:r>
          </w:p>
        </w:tc>
        <w:tc>
          <w:tcPr>
            <w:tcW w:w="993" w:type="dxa"/>
          </w:tcPr>
          <w:p w:rsidR="00000000" w:rsidRDefault="00000000">
            <w:pPr>
              <w:pStyle w:val="SingleTxt"/>
              <w:spacing w:after="0" w:line="340" w:lineRule="exact"/>
              <w:ind w:left="-57" w:right="0"/>
              <w:rPr>
                <w:szCs w:val="24"/>
                <w:rtl/>
              </w:rPr>
            </w:pPr>
            <w:r>
              <w:rPr>
                <w:szCs w:val="24"/>
                <w:rtl/>
              </w:rPr>
              <w:t>297 10</w:t>
            </w:r>
          </w:p>
        </w:tc>
        <w:tc>
          <w:tcPr>
            <w:tcW w:w="1418" w:type="dxa"/>
          </w:tcPr>
          <w:p w:rsidR="00000000" w:rsidRDefault="00000000">
            <w:pPr>
              <w:pStyle w:val="SingleTxt"/>
              <w:spacing w:after="0" w:line="340" w:lineRule="exact"/>
              <w:ind w:left="-57" w:right="0"/>
              <w:rPr>
                <w:szCs w:val="24"/>
                <w:rtl/>
              </w:rPr>
            </w:pPr>
            <w:r>
              <w:rPr>
                <w:szCs w:val="24"/>
                <w:rtl/>
              </w:rPr>
              <w:t>42.5</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418</w:t>
            </w:r>
          </w:p>
        </w:tc>
        <w:tc>
          <w:tcPr>
            <w:tcW w:w="839" w:type="dxa"/>
          </w:tcPr>
          <w:p w:rsidR="00000000" w:rsidRDefault="00000000">
            <w:pPr>
              <w:pStyle w:val="SingleTxt"/>
              <w:spacing w:after="0" w:line="340" w:lineRule="exact"/>
              <w:ind w:left="-57" w:right="0"/>
              <w:rPr>
                <w:szCs w:val="24"/>
                <w:rtl/>
              </w:rPr>
            </w:pPr>
            <w:r>
              <w:rPr>
                <w:szCs w:val="24"/>
                <w:rtl/>
              </w:rPr>
              <w:t>630</w:t>
            </w:r>
          </w:p>
        </w:tc>
        <w:tc>
          <w:tcPr>
            <w:tcW w:w="839" w:type="dxa"/>
          </w:tcPr>
          <w:p w:rsidR="00000000" w:rsidRDefault="00000000">
            <w:pPr>
              <w:pStyle w:val="SingleTxt"/>
              <w:spacing w:after="0" w:line="340" w:lineRule="exact"/>
              <w:ind w:left="-57" w:right="0"/>
              <w:rPr>
                <w:szCs w:val="24"/>
                <w:rtl/>
              </w:rPr>
            </w:pPr>
            <w:r>
              <w:rPr>
                <w:szCs w:val="24"/>
                <w:rtl/>
              </w:rPr>
              <w:t>598</w:t>
            </w:r>
          </w:p>
        </w:tc>
        <w:tc>
          <w:tcPr>
            <w:tcW w:w="839" w:type="dxa"/>
          </w:tcPr>
          <w:p w:rsidR="00000000" w:rsidRDefault="00000000">
            <w:pPr>
              <w:pStyle w:val="SingleTxt"/>
              <w:spacing w:after="0" w:line="340" w:lineRule="exact"/>
              <w:ind w:left="-57" w:right="0"/>
              <w:rPr>
                <w:szCs w:val="24"/>
                <w:rtl/>
              </w:rPr>
            </w:pPr>
            <w:r>
              <w:rPr>
                <w:szCs w:val="24"/>
                <w:rtl/>
              </w:rPr>
              <w:t>472</w:t>
            </w:r>
          </w:p>
        </w:tc>
        <w:tc>
          <w:tcPr>
            <w:tcW w:w="839" w:type="dxa"/>
          </w:tcPr>
          <w:p w:rsidR="00000000" w:rsidRDefault="00000000">
            <w:pPr>
              <w:pStyle w:val="SingleTxt"/>
              <w:spacing w:after="0" w:line="340" w:lineRule="exact"/>
              <w:ind w:left="-57" w:right="0"/>
              <w:rPr>
                <w:szCs w:val="24"/>
                <w:rtl/>
              </w:rPr>
            </w:pPr>
            <w:r>
              <w:rPr>
                <w:szCs w:val="24"/>
                <w:rtl/>
              </w:rPr>
              <w:t>251</w:t>
            </w:r>
          </w:p>
        </w:tc>
        <w:tc>
          <w:tcPr>
            <w:tcW w:w="787" w:type="dxa"/>
          </w:tcPr>
          <w:p w:rsidR="00000000" w:rsidRDefault="00000000">
            <w:pPr>
              <w:pStyle w:val="SingleTxt"/>
              <w:spacing w:after="0" w:line="340" w:lineRule="exact"/>
              <w:ind w:left="-57" w:right="0"/>
              <w:rPr>
                <w:szCs w:val="24"/>
                <w:rtl/>
              </w:rPr>
            </w:pPr>
            <w:r>
              <w:rPr>
                <w:szCs w:val="24"/>
                <w:rtl/>
              </w:rPr>
              <w:t>173</w:t>
            </w:r>
          </w:p>
        </w:tc>
        <w:tc>
          <w:tcPr>
            <w:tcW w:w="850" w:type="dxa"/>
          </w:tcPr>
          <w:p w:rsidR="00000000" w:rsidRDefault="00000000">
            <w:pPr>
              <w:pStyle w:val="SingleTxt"/>
              <w:spacing w:after="0" w:line="340" w:lineRule="exact"/>
              <w:ind w:left="-57" w:right="0"/>
              <w:rPr>
                <w:szCs w:val="24"/>
                <w:rtl/>
              </w:rPr>
            </w:pPr>
            <w:r>
              <w:rPr>
                <w:szCs w:val="24"/>
                <w:rtl/>
              </w:rPr>
              <w:t>542 2</w:t>
            </w:r>
          </w:p>
        </w:tc>
        <w:tc>
          <w:tcPr>
            <w:tcW w:w="993" w:type="dxa"/>
          </w:tcPr>
          <w:p w:rsidR="00000000" w:rsidRDefault="00000000">
            <w:pPr>
              <w:pStyle w:val="SingleTxt"/>
              <w:spacing w:after="0" w:line="340" w:lineRule="exact"/>
              <w:ind w:left="-57" w:right="0"/>
              <w:rPr>
                <w:szCs w:val="24"/>
                <w:rtl/>
              </w:rPr>
            </w:pPr>
            <w:r>
              <w:rPr>
                <w:szCs w:val="24"/>
                <w:rtl/>
              </w:rPr>
              <w:t>695 25</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العاملون بالخدمات والمتاجر والعاملون بمبيعات الأسواق</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127</w:t>
            </w:r>
          </w:p>
        </w:tc>
        <w:tc>
          <w:tcPr>
            <w:tcW w:w="839" w:type="dxa"/>
          </w:tcPr>
          <w:p w:rsidR="00000000" w:rsidRDefault="00000000">
            <w:pPr>
              <w:pStyle w:val="SingleTxt"/>
              <w:spacing w:after="0" w:line="340" w:lineRule="exact"/>
              <w:ind w:left="-57" w:right="0"/>
              <w:rPr>
                <w:szCs w:val="24"/>
                <w:rtl/>
              </w:rPr>
            </w:pPr>
            <w:r>
              <w:rPr>
                <w:szCs w:val="24"/>
                <w:rtl/>
              </w:rPr>
              <w:t>153</w:t>
            </w:r>
          </w:p>
        </w:tc>
        <w:tc>
          <w:tcPr>
            <w:tcW w:w="839" w:type="dxa"/>
          </w:tcPr>
          <w:p w:rsidR="00000000" w:rsidRDefault="00000000">
            <w:pPr>
              <w:pStyle w:val="SingleTxt"/>
              <w:spacing w:after="0" w:line="340" w:lineRule="exact"/>
              <w:ind w:left="-57" w:right="0"/>
              <w:rPr>
                <w:szCs w:val="24"/>
                <w:rtl/>
              </w:rPr>
            </w:pPr>
            <w:r>
              <w:rPr>
                <w:szCs w:val="24"/>
                <w:rtl/>
              </w:rPr>
              <w:t>259</w:t>
            </w:r>
          </w:p>
        </w:tc>
        <w:tc>
          <w:tcPr>
            <w:tcW w:w="839" w:type="dxa"/>
          </w:tcPr>
          <w:p w:rsidR="00000000" w:rsidRDefault="00000000">
            <w:pPr>
              <w:pStyle w:val="SingleTxt"/>
              <w:spacing w:after="0" w:line="340" w:lineRule="exact"/>
              <w:ind w:left="-57" w:right="0"/>
              <w:rPr>
                <w:szCs w:val="24"/>
                <w:rtl/>
              </w:rPr>
            </w:pPr>
            <w:r>
              <w:rPr>
                <w:szCs w:val="24"/>
                <w:rtl/>
              </w:rPr>
              <w:t>74</w:t>
            </w:r>
          </w:p>
        </w:tc>
        <w:tc>
          <w:tcPr>
            <w:tcW w:w="839" w:type="dxa"/>
          </w:tcPr>
          <w:p w:rsidR="00000000" w:rsidRDefault="00000000">
            <w:pPr>
              <w:pStyle w:val="SingleTxt"/>
              <w:spacing w:after="0" w:line="340" w:lineRule="exact"/>
              <w:ind w:left="-57" w:right="0"/>
              <w:rPr>
                <w:szCs w:val="24"/>
                <w:rtl/>
              </w:rPr>
            </w:pPr>
            <w:r>
              <w:rPr>
                <w:szCs w:val="24"/>
                <w:rtl/>
              </w:rPr>
              <w:t>25</w:t>
            </w:r>
          </w:p>
        </w:tc>
        <w:tc>
          <w:tcPr>
            <w:tcW w:w="787" w:type="dxa"/>
          </w:tcPr>
          <w:p w:rsidR="00000000" w:rsidRDefault="00000000">
            <w:pPr>
              <w:pStyle w:val="SingleTxt"/>
              <w:spacing w:after="0" w:line="340" w:lineRule="exact"/>
              <w:ind w:left="-57" w:right="0"/>
              <w:rPr>
                <w:szCs w:val="24"/>
                <w:rtl/>
              </w:rPr>
            </w:pPr>
            <w:r>
              <w:rPr>
                <w:szCs w:val="24"/>
                <w:rtl/>
              </w:rPr>
              <w:t>34</w:t>
            </w:r>
          </w:p>
        </w:tc>
        <w:tc>
          <w:tcPr>
            <w:tcW w:w="850" w:type="dxa"/>
          </w:tcPr>
          <w:p w:rsidR="00000000" w:rsidRDefault="00000000">
            <w:pPr>
              <w:pStyle w:val="SingleTxt"/>
              <w:spacing w:after="0" w:line="340" w:lineRule="exact"/>
              <w:ind w:left="-57" w:right="0"/>
              <w:rPr>
                <w:szCs w:val="24"/>
                <w:rtl/>
              </w:rPr>
            </w:pPr>
            <w:r>
              <w:rPr>
                <w:szCs w:val="24"/>
                <w:rtl/>
              </w:rPr>
              <w:t>654</w:t>
            </w:r>
          </w:p>
        </w:tc>
        <w:tc>
          <w:tcPr>
            <w:tcW w:w="993" w:type="dxa"/>
          </w:tcPr>
          <w:p w:rsidR="00000000" w:rsidRDefault="00000000">
            <w:pPr>
              <w:pStyle w:val="SingleTxt"/>
              <w:spacing w:after="0" w:line="340" w:lineRule="exact"/>
              <w:ind w:left="-57" w:right="0"/>
              <w:rPr>
                <w:szCs w:val="24"/>
                <w:rtl/>
              </w:rPr>
            </w:pPr>
            <w:r>
              <w:rPr>
                <w:szCs w:val="24"/>
                <w:rtl/>
              </w:rPr>
              <w:t>321 1</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52</w:t>
            </w:r>
          </w:p>
        </w:tc>
        <w:tc>
          <w:tcPr>
            <w:tcW w:w="839" w:type="dxa"/>
          </w:tcPr>
          <w:p w:rsidR="00000000" w:rsidRDefault="00000000">
            <w:pPr>
              <w:pStyle w:val="SingleTxt"/>
              <w:spacing w:after="0" w:line="340" w:lineRule="exact"/>
              <w:ind w:left="-57" w:right="0"/>
              <w:rPr>
                <w:szCs w:val="24"/>
                <w:rtl/>
              </w:rPr>
            </w:pPr>
            <w:r>
              <w:rPr>
                <w:szCs w:val="24"/>
                <w:rtl/>
              </w:rPr>
              <w:t>83</w:t>
            </w:r>
          </w:p>
        </w:tc>
        <w:tc>
          <w:tcPr>
            <w:tcW w:w="839" w:type="dxa"/>
          </w:tcPr>
          <w:p w:rsidR="00000000" w:rsidRDefault="00000000">
            <w:pPr>
              <w:pStyle w:val="SingleTxt"/>
              <w:spacing w:after="0" w:line="340" w:lineRule="exact"/>
              <w:ind w:left="-57" w:right="0"/>
              <w:rPr>
                <w:szCs w:val="24"/>
                <w:rtl/>
              </w:rPr>
            </w:pPr>
            <w:r>
              <w:rPr>
                <w:szCs w:val="24"/>
                <w:rtl/>
              </w:rPr>
              <w:t>162</w:t>
            </w:r>
          </w:p>
        </w:tc>
        <w:tc>
          <w:tcPr>
            <w:tcW w:w="839" w:type="dxa"/>
          </w:tcPr>
          <w:p w:rsidR="00000000" w:rsidRDefault="00000000">
            <w:pPr>
              <w:pStyle w:val="SingleTxt"/>
              <w:spacing w:after="0" w:line="340" w:lineRule="exact"/>
              <w:ind w:left="-57" w:right="0"/>
              <w:rPr>
                <w:szCs w:val="24"/>
                <w:rtl/>
              </w:rPr>
            </w:pPr>
            <w:r>
              <w:rPr>
                <w:szCs w:val="24"/>
                <w:rtl/>
              </w:rPr>
              <w:t>86</w:t>
            </w:r>
          </w:p>
        </w:tc>
        <w:tc>
          <w:tcPr>
            <w:tcW w:w="839" w:type="dxa"/>
          </w:tcPr>
          <w:p w:rsidR="00000000" w:rsidRDefault="00000000">
            <w:pPr>
              <w:pStyle w:val="SingleTxt"/>
              <w:spacing w:after="0" w:line="340" w:lineRule="exact"/>
              <w:ind w:left="-57" w:right="0"/>
              <w:rPr>
                <w:szCs w:val="24"/>
                <w:rtl/>
              </w:rPr>
            </w:pPr>
            <w:r>
              <w:rPr>
                <w:szCs w:val="24"/>
                <w:rtl/>
              </w:rPr>
              <w:t>123</w:t>
            </w:r>
          </w:p>
        </w:tc>
        <w:tc>
          <w:tcPr>
            <w:tcW w:w="787" w:type="dxa"/>
          </w:tcPr>
          <w:p w:rsidR="00000000" w:rsidRDefault="00000000">
            <w:pPr>
              <w:pStyle w:val="SingleTxt"/>
              <w:spacing w:after="0" w:line="340" w:lineRule="exact"/>
              <w:ind w:left="-57" w:right="0"/>
              <w:rPr>
                <w:szCs w:val="24"/>
                <w:rtl/>
              </w:rPr>
            </w:pPr>
            <w:r>
              <w:rPr>
                <w:szCs w:val="24"/>
                <w:rtl/>
              </w:rPr>
              <w:t>78</w:t>
            </w:r>
          </w:p>
        </w:tc>
        <w:tc>
          <w:tcPr>
            <w:tcW w:w="850" w:type="dxa"/>
          </w:tcPr>
          <w:p w:rsidR="00000000" w:rsidRDefault="00000000">
            <w:pPr>
              <w:pStyle w:val="SingleTxt"/>
              <w:spacing w:after="0" w:line="340" w:lineRule="exact"/>
              <w:ind w:left="-57" w:right="0"/>
              <w:rPr>
                <w:szCs w:val="24"/>
                <w:rtl/>
              </w:rPr>
            </w:pPr>
            <w:r>
              <w:rPr>
                <w:szCs w:val="24"/>
                <w:rtl/>
              </w:rPr>
              <w:t>578</w:t>
            </w:r>
          </w:p>
        </w:tc>
        <w:tc>
          <w:tcPr>
            <w:tcW w:w="993" w:type="dxa"/>
          </w:tcPr>
          <w:p w:rsidR="00000000" w:rsidRDefault="00000000">
            <w:pPr>
              <w:pStyle w:val="SingleTxt"/>
              <w:spacing w:after="0" w:line="340" w:lineRule="exact"/>
              <w:ind w:left="-57" w:right="0"/>
              <w:rPr>
                <w:szCs w:val="24"/>
                <w:rtl/>
              </w:rPr>
            </w:pPr>
            <w:r>
              <w:rPr>
                <w:szCs w:val="24"/>
                <w:rtl/>
              </w:rPr>
              <w:t>003 1</w:t>
            </w:r>
          </w:p>
        </w:tc>
        <w:tc>
          <w:tcPr>
            <w:tcW w:w="1418" w:type="dxa"/>
          </w:tcPr>
          <w:p w:rsidR="00000000" w:rsidRDefault="00000000">
            <w:pPr>
              <w:pStyle w:val="SingleTxt"/>
              <w:spacing w:after="0" w:line="340" w:lineRule="exact"/>
              <w:ind w:left="-57" w:right="0"/>
              <w:rPr>
                <w:szCs w:val="24"/>
                <w:rtl/>
              </w:rPr>
            </w:pPr>
            <w:r>
              <w:rPr>
                <w:szCs w:val="24"/>
                <w:rtl/>
              </w:rPr>
              <w:t>46.9</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179</w:t>
            </w:r>
          </w:p>
        </w:tc>
        <w:tc>
          <w:tcPr>
            <w:tcW w:w="839" w:type="dxa"/>
          </w:tcPr>
          <w:p w:rsidR="00000000" w:rsidRDefault="00000000">
            <w:pPr>
              <w:pStyle w:val="SingleTxt"/>
              <w:spacing w:after="0" w:line="340" w:lineRule="exact"/>
              <w:ind w:left="-57" w:right="0"/>
              <w:rPr>
                <w:szCs w:val="24"/>
                <w:rtl/>
              </w:rPr>
            </w:pPr>
            <w:r>
              <w:rPr>
                <w:szCs w:val="24"/>
                <w:rtl/>
              </w:rPr>
              <w:t>218</w:t>
            </w:r>
          </w:p>
        </w:tc>
        <w:tc>
          <w:tcPr>
            <w:tcW w:w="839" w:type="dxa"/>
          </w:tcPr>
          <w:p w:rsidR="00000000" w:rsidRDefault="00000000">
            <w:pPr>
              <w:pStyle w:val="SingleTxt"/>
              <w:spacing w:after="0" w:line="340" w:lineRule="exact"/>
              <w:ind w:left="-57" w:right="0"/>
              <w:rPr>
                <w:szCs w:val="24"/>
                <w:rtl/>
              </w:rPr>
            </w:pPr>
            <w:r>
              <w:rPr>
                <w:szCs w:val="24"/>
                <w:rtl/>
              </w:rPr>
              <w:t>421</w:t>
            </w:r>
          </w:p>
        </w:tc>
        <w:tc>
          <w:tcPr>
            <w:tcW w:w="839" w:type="dxa"/>
          </w:tcPr>
          <w:p w:rsidR="00000000" w:rsidRDefault="00000000">
            <w:pPr>
              <w:pStyle w:val="SingleTxt"/>
              <w:spacing w:after="0" w:line="340" w:lineRule="exact"/>
              <w:ind w:left="-57" w:right="0"/>
              <w:rPr>
                <w:szCs w:val="24"/>
                <w:rtl/>
              </w:rPr>
            </w:pPr>
            <w:r>
              <w:rPr>
                <w:szCs w:val="24"/>
                <w:rtl/>
              </w:rPr>
              <w:t>154</w:t>
            </w:r>
          </w:p>
        </w:tc>
        <w:tc>
          <w:tcPr>
            <w:tcW w:w="839" w:type="dxa"/>
          </w:tcPr>
          <w:p w:rsidR="00000000" w:rsidRDefault="00000000">
            <w:pPr>
              <w:pStyle w:val="SingleTxt"/>
              <w:spacing w:after="0" w:line="340" w:lineRule="exact"/>
              <w:ind w:left="-57" w:right="0"/>
              <w:rPr>
                <w:szCs w:val="24"/>
                <w:rtl/>
              </w:rPr>
            </w:pPr>
            <w:r>
              <w:rPr>
                <w:szCs w:val="24"/>
                <w:rtl/>
              </w:rPr>
              <w:t>148</w:t>
            </w:r>
          </w:p>
        </w:tc>
        <w:tc>
          <w:tcPr>
            <w:tcW w:w="787" w:type="dxa"/>
          </w:tcPr>
          <w:p w:rsidR="00000000" w:rsidRDefault="00000000">
            <w:pPr>
              <w:pStyle w:val="SingleTxt"/>
              <w:spacing w:after="0" w:line="340" w:lineRule="exact"/>
              <w:ind w:left="-57" w:right="0"/>
              <w:rPr>
                <w:szCs w:val="24"/>
                <w:rtl/>
              </w:rPr>
            </w:pPr>
            <w:r>
              <w:rPr>
                <w:szCs w:val="24"/>
                <w:rtl/>
              </w:rPr>
              <w:t>112</w:t>
            </w:r>
          </w:p>
        </w:tc>
        <w:tc>
          <w:tcPr>
            <w:tcW w:w="850" w:type="dxa"/>
          </w:tcPr>
          <w:p w:rsidR="00000000" w:rsidRDefault="00000000">
            <w:pPr>
              <w:pStyle w:val="SingleTxt"/>
              <w:spacing w:after="0" w:line="340" w:lineRule="exact"/>
              <w:ind w:left="-57" w:right="0"/>
              <w:rPr>
                <w:szCs w:val="24"/>
                <w:rtl/>
              </w:rPr>
            </w:pPr>
            <w:r>
              <w:rPr>
                <w:szCs w:val="24"/>
                <w:rtl/>
              </w:rPr>
              <w:t>232 1</w:t>
            </w:r>
          </w:p>
        </w:tc>
        <w:tc>
          <w:tcPr>
            <w:tcW w:w="993" w:type="dxa"/>
          </w:tcPr>
          <w:p w:rsidR="00000000" w:rsidRDefault="00000000">
            <w:pPr>
              <w:pStyle w:val="SingleTxt"/>
              <w:spacing w:after="0" w:line="340" w:lineRule="exact"/>
              <w:ind w:left="-57" w:right="0"/>
              <w:rPr>
                <w:szCs w:val="24"/>
                <w:rtl/>
              </w:rPr>
            </w:pPr>
            <w:r>
              <w:rPr>
                <w:szCs w:val="24"/>
                <w:rtl/>
              </w:rPr>
              <w:t>324 2</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العاملون المهرة في الزراعة وصيد الأسماك</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18</w:t>
            </w:r>
          </w:p>
        </w:tc>
        <w:tc>
          <w:tcPr>
            <w:tcW w:w="839" w:type="dxa"/>
          </w:tcPr>
          <w:p w:rsidR="00000000" w:rsidRDefault="00000000">
            <w:pPr>
              <w:pStyle w:val="SingleTxt"/>
              <w:spacing w:after="0" w:line="340" w:lineRule="exact"/>
              <w:ind w:left="-57" w:right="0"/>
              <w:rPr>
                <w:szCs w:val="24"/>
                <w:rtl/>
              </w:rPr>
            </w:pPr>
            <w:r>
              <w:rPr>
                <w:szCs w:val="24"/>
                <w:rtl/>
              </w:rPr>
              <w:t>16</w:t>
            </w:r>
          </w:p>
        </w:tc>
        <w:tc>
          <w:tcPr>
            <w:tcW w:w="839" w:type="dxa"/>
          </w:tcPr>
          <w:p w:rsidR="00000000" w:rsidRDefault="00000000">
            <w:pPr>
              <w:pStyle w:val="SingleTxt"/>
              <w:spacing w:after="0" w:line="340" w:lineRule="exact"/>
              <w:ind w:left="-57" w:right="0"/>
              <w:rPr>
                <w:szCs w:val="24"/>
                <w:rtl/>
              </w:rPr>
            </w:pPr>
            <w:r>
              <w:rPr>
                <w:szCs w:val="24"/>
                <w:rtl/>
              </w:rPr>
              <w:t>20</w:t>
            </w:r>
          </w:p>
        </w:tc>
        <w:tc>
          <w:tcPr>
            <w:tcW w:w="839" w:type="dxa"/>
          </w:tcPr>
          <w:p w:rsidR="00000000" w:rsidRDefault="00000000">
            <w:pPr>
              <w:pStyle w:val="SingleTxt"/>
              <w:spacing w:after="0" w:line="340" w:lineRule="exact"/>
              <w:ind w:left="-57" w:right="0"/>
              <w:rPr>
                <w:szCs w:val="24"/>
                <w:rtl/>
              </w:rPr>
            </w:pPr>
            <w:r>
              <w:rPr>
                <w:szCs w:val="24"/>
                <w:rtl/>
              </w:rPr>
              <w:t>45</w:t>
            </w:r>
          </w:p>
        </w:tc>
        <w:tc>
          <w:tcPr>
            <w:tcW w:w="839" w:type="dxa"/>
          </w:tcPr>
          <w:p w:rsidR="00000000" w:rsidRDefault="00000000">
            <w:pPr>
              <w:pStyle w:val="SingleTxt"/>
              <w:spacing w:after="0" w:line="340" w:lineRule="exact"/>
              <w:ind w:left="-57" w:right="0"/>
              <w:rPr>
                <w:szCs w:val="24"/>
                <w:rtl/>
              </w:rPr>
            </w:pPr>
            <w:r>
              <w:rPr>
                <w:szCs w:val="24"/>
                <w:rtl/>
              </w:rPr>
              <w:t>67</w:t>
            </w:r>
          </w:p>
        </w:tc>
        <w:tc>
          <w:tcPr>
            <w:tcW w:w="787" w:type="dxa"/>
          </w:tcPr>
          <w:p w:rsidR="00000000" w:rsidRDefault="00000000">
            <w:pPr>
              <w:pStyle w:val="SingleTxt"/>
              <w:spacing w:after="0" w:line="340" w:lineRule="exact"/>
              <w:ind w:left="-57" w:right="0"/>
              <w:rPr>
                <w:szCs w:val="24"/>
                <w:rtl/>
              </w:rPr>
            </w:pPr>
            <w:r>
              <w:rPr>
                <w:szCs w:val="24"/>
                <w:rtl/>
              </w:rPr>
              <w:t>7</w:t>
            </w:r>
          </w:p>
        </w:tc>
        <w:tc>
          <w:tcPr>
            <w:tcW w:w="850" w:type="dxa"/>
          </w:tcPr>
          <w:p w:rsidR="00000000" w:rsidRDefault="00000000">
            <w:pPr>
              <w:pStyle w:val="SingleTxt"/>
              <w:spacing w:after="0" w:line="340" w:lineRule="exact"/>
              <w:ind w:left="-57" w:right="0"/>
              <w:rPr>
                <w:szCs w:val="24"/>
                <w:rtl/>
              </w:rPr>
            </w:pPr>
            <w:r>
              <w:rPr>
                <w:szCs w:val="24"/>
                <w:rtl/>
              </w:rPr>
              <w:t>173</w:t>
            </w:r>
          </w:p>
        </w:tc>
        <w:tc>
          <w:tcPr>
            <w:tcW w:w="993" w:type="dxa"/>
          </w:tcPr>
          <w:p w:rsidR="00000000" w:rsidRDefault="00000000">
            <w:pPr>
              <w:pStyle w:val="SingleTxt"/>
              <w:spacing w:after="0" w:line="340" w:lineRule="exact"/>
              <w:ind w:left="-57" w:right="0"/>
              <w:rPr>
                <w:szCs w:val="24"/>
                <w:rtl/>
              </w:rPr>
            </w:pPr>
            <w:r>
              <w:rPr>
                <w:szCs w:val="24"/>
                <w:rtl/>
              </w:rPr>
              <w:t>457</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w:t>
            </w:r>
          </w:p>
        </w:tc>
        <w:tc>
          <w:tcPr>
            <w:tcW w:w="839" w:type="dxa"/>
          </w:tcPr>
          <w:p w:rsidR="00000000" w:rsidRDefault="00000000">
            <w:pPr>
              <w:pStyle w:val="SingleTxt"/>
              <w:spacing w:after="0" w:line="340" w:lineRule="exact"/>
              <w:ind w:left="-57" w:right="0"/>
              <w:rPr>
                <w:szCs w:val="24"/>
                <w:rtl/>
              </w:rPr>
            </w:pPr>
            <w:r>
              <w:rPr>
                <w:szCs w:val="24"/>
                <w:rtl/>
              </w:rPr>
              <w:t>2</w:t>
            </w:r>
          </w:p>
        </w:tc>
        <w:tc>
          <w:tcPr>
            <w:tcW w:w="839" w:type="dxa"/>
          </w:tcPr>
          <w:p w:rsidR="00000000" w:rsidRDefault="00000000">
            <w:pPr>
              <w:pStyle w:val="SingleTxt"/>
              <w:spacing w:after="0" w:line="340" w:lineRule="exact"/>
              <w:ind w:left="-57" w:right="0"/>
              <w:rPr>
                <w:szCs w:val="24"/>
                <w:rtl/>
              </w:rPr>
            </w:pPr>
            <w:r>
              <w:rPr>
                <w:szCs w:val="24"/>
                <w:rtl/>
              </w:rPr>
              <w:t>1</w:t>
            </w:r>
          </w:p>
        </w:tc>
        <w:tc>
          <w:tcPr>
            <w:tcW w:w="839" w:type="dxa"/>
          </w:tcPr>
          <w:p w:rsidR="00000000" w:rsidRDefault="00000000">
            <w:pPr>
              <w:pStyle w:val="SingleTxt"/>
              <w:spacing w:after="0" w:line="340" w:lineRule="exact"/>
              <w:ind w:left="-57" w:right="0"/>
              <w:rPr>
                <w:szCs w:val="24"/>
                <w:rtl/>
              </w:rPr>
            </w:pPr>
            <w:r>
              <w:rPr>
                <w:szCs w:val="24"/>
                <w:rtl/>
              </w:rPr>
              <w:t>13</w:t>
            </w:r>
          </w:p>
        </w:tc>
        <w:tc>
          <w:tcPr>
            <w:tcW w:w="839" w:type="dxa"/>
          </w:tcPr>
          <w:p w:rsidR="00000000" w:rsidRDefault="00000000">
            <w:pPr>
              <w:pStyle w:val="SingleTxt"/>
              <w:spacing w:after="0" w:line="340" w:lineRule="exact"/>
              <w:ind w:left="-57" w:right="0"/>
              <w:rPr>
                <w:szCs w:val="24"/>
                <w:rtl/>
              </w:rPr>
            </w:pPr>
            <w:r>
              <w:rPr>
                <w:szCs w:val="24"/>
                <w:rtl/>
              </w:rPr>
              <w:t>10</w:t>
            </w:r>
          </w:p>
        </w:tc>
        <w:tc>
          <w:tcPr>
            <w:tcW w:w="787" w:type="dxa"/>
          </w:tcPr>
          <w:p w:rsidR="00000000" w:rsidRDefault="00000000">
            <w:pPr>
              <w:pStyle w:val="SingleTxt"/>
              <w:spacing w:after="0" w:line="340" w:lineRule="exact"/>
              <w:ind w:left="-57" w:right="0"/>
              <w:rPr>
                <w:szCs w:val="24"/>
                <w:rtl/>
              </w:rPr>
            </w:pPr>
            <w:r>
              <w:rPr>
                <w:szCs w:val="24"/>
                <w:rtl/>
              </w:rPr>
              <w:t>1</w:t>
            </w:r>
          </w:p>
        </w:tc>
        <w:tc>
          <w:tcPr>
            <w:tcW w:w="850" w:type="dxa"/>
          </w:tcPr>
          <w:p w:rsidR="00000000" w:rsidRDefault="00000000">
            <w:pPr>
              <w:pStyle w:val="SingleTxt"/>
              <w:spacing w:after="0" w:line="340" w:lineRule="exact"/>
              <w:ind w:left="-57" w:right="0"/>
              <w:rPr>
                <w:szCs w:val="24"/>
                <w:rtl/>
              </w:rPr>
            </w:pPr>
            <w:r>
              <w:rPr>
                <w:szCs w:val="24"/>
                <w:rtl/>
              </w:rPr>
              <w:t>27</w:t>
            </w:r>
          </w:p>
        </w:tc>
        <w:tc>
          <w:tcPr>
            <w:tcW w:w="993" w:type="dxa"/>
          </w:tcPr>
          <w:p w:rsidR="00000000" w:rsidRDefault="00000000">
            <w:pPr>
              <w:pStyle w:val="SingleTxt"/>
              <w:spacing w:after="0" w:line="340" w:lineRule="exact"/>
              <w:ind w:left="-57" w:right="0"/>
              <w:rPr>
                <w:szCs w:val="24"/>
                <w:rtl/>
              </w:rPr>
            </w:pPr>
            <w:r>
              <w:rPr>
                <w:szCs w:val="24"/>
                <w:rtl/>
              </w:rPr>
              <w:t>19</w:t>
            </w:r>
          </w:p>
        </w:tc>
        <w:tc>
          <w:tcPr>
            <w:tcW w:w="1418" w:type="dxa"/>
          </w:tcPr>
          <w:p w:rsidR="00000000" w:rsidRDefault="00000000">
            <w:pPr>
              <w:pStyle w:val="SingleTxt"/>
              <w:spacing w:after="0" w:line="340" w:lineRule="exact"/>
              <w:ind w:left="-57" w:right="0"/>
              <w:rPr>
                <w:szCs w:val="24"/>
                <w:rtl/>
              </w:rPr>
            </w:pPr>
            <w:r>
              <w:rPr>
                <w:szCs w:val="24"/>
                <w:rtl/>
              </w:rPr>
              <w:t>13.5</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18</w:t>
            </w:r>
          </w:p>
        </w:tc>
        <w:tc>
          <w:tcPr>
            <w:tcW w:w="839" w:type="dxa"/>
          </w:tcPr>
          <w:p w:rsidR="00000000" w:rsidRDefault="00000000">
            <w:pPr>
              <w:pStyle w:val="SingleTxt"/>
              <w:spacing w:after="0" w:line="340" w:lineRule="exact"/>
              <w:ind w:left="-57" w:right="0"/>
              <w:rPr>
                <w:szCs w:val="24"/>
                <w:rtl/>
              </w:rPr>
            </w:pPr>
            <w:r>
              <w:rPr>
                <w:szCs w:val="24"/>
                <w:rtl/>
              </w:rPr>
              <w:t>18</w:t>
            </w:r>
          </w:p>
        </w:tc>
        <w:tc>
          <w:tcPr>
            <w:tcW w:w="839" w:type="dxa"/>
          </w:tcPr>
          <w:p w:rsidR="00000000" w:rsidRDefault="00000000">
            <w:pPr>
              <w:pStyle w:val="SingleTxt"/>
              <w:spacing w:after="0" w:line="340" w:lineRule="exact"/>
              <w:ind w:left="-57" w:right="0"/>
              <w:rPr>
                <w:szCs w:val="24"/>
                <w:rtl/>
              </w:rPr>
            </w:pPr>
            <w:r>
              <w:rPr>
                <w:szCs w:val="24"/>
                <w:rtl/>
              </w:rPr>
              <w:t>21</w:t>
            </w:r>
          </w:p>
        </w:tc>
        <w:tc>
          <w:tcPr>
            <w:tcW w:w="839" w:type="dxa"/>
          </w:tcPr>
          <w:p w:rsidR="00000000" w:rsidRDefault="00000000">
            <w:pPr>
              <w:pStyle w:val="SingleTxt"/>
              <w:spacing w:after="0" w:line="340" w:lineRule="exact"/>
              <w:ind w:left="-57" w:right="0"/>
              <w:rPr>
                <w:szCs w:val="24"/>
                <w:rtl/>
              </w:rPr>
            </w:pPr>
            <w:r>
              <w:rPr>
                <w:szCs w:val="24"/>
                <w:rtl/>
              </w:rPr>
              <w:t>58</w:t>
            </w:r>
          </w:p>
        </w:tc>
        <w:tc>
          <w:tcPr>
            <w:tcW w:w="839" w:type="dxa"/>
          </w:tcPr>
          <w:p w:rsidR="00000000" w:rsidRDefault="00000000">
            <w:pPr>
              <w:pStyle w:val="SingleTxt"/>
              <w:spacing w:after="0" w:line="340" w:lineRule="exact"/>
              <w:ind w:left="-57" w:right="0"/>
              <w:rPr>
                <w:szCs w:val="24"/>
                <w:rtl/>
              </w:rPr>
            </w:pPr>
            <w:r>
              <w:rPr>
                <w:szCs w:val="24"/>
                <w:rtl/>
              </w:rPr>
              <w:t>77</w:t>
            </w:r>
          </w:p>
        </w:tc>
        <w:tc>
          <w:tcPr>
            <w:tcW w:w="787" w:type="dxa"/>
          </w:tcPr>
          <w:p w:rsidR="00000000" w:rsidRDefault="00000000">
            <w:pPr>
              <w:pStyle w:val="SingleTxt"/>
              <w:spacing w:after="0" w:line="340" w:lineRule="exact"/>
              <w:ind w:left="-57" w:right="0"/>
              <w:rPr>
                <w:szCs w:val="24"/>
                <w:rtl/>
              </w:rPr>
            </w:pPr>
            <w:r>
              <w:rPr>
                <w:szCs w:val="24"/>
                <w:rtl/>
              </w:rPr>
              <w:t>8</w:t>
            </w:r>
          </w:p>
        </w:tc>
        <w:tc>
          <w:tcPr>
            <w:tcW w:w="850" w:type="dxa"/>
          </w:tcPr>
          <w:p w:rsidR="00000000" w:rsidRDefault="00000000">
            <w:pPr>
              <w:pStyle w:val="SingleTxt"/>
              <w:spacing w:after="0" w:line="340" w:lineRule="exact"/>
              <w:ind w:left="-57" w:right="0"/>
              <w:rPr>
                <w:szCs w:val="24"/>
                <w:rtl/>
              </w:rPr>
            </w:pPr>
            <w:r>
              <w:rPr>
                <w:szCs w:val="24"/>
                <w:rtl/>
              </w:rPr>
              <w:t>200</w:t>
            </w:r>
          </w:p>
        </w:tc>
        <w:tc>
          <w:tcPr>
            <w:tcW w:w="993" w:type="dxa"/>
          </w:tcPr>
          <w:p w:rsidR="00000000" w:rsidRDefault="00000000">
            <w:pPr>
              <w:pStyle w:val="SingleTxt"/>
              <w:spacing w:after="0" w:line="340" w:lineRule="exact"/>
              <w:ind w:left="-57" w:right="0"/>
              <w:rPr>
                <w:szCs w:val="24"/>
                <w:rtl/>
              </w:rPr>
            </w:pPr>
            <w:r>
              <w:rPr>
                <w:szCs w:val="24"/>
                <w:rtl/>
              </w:rPr>
              <w:t>479</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الحِرَف والأشغال التجارية المتطلبات</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549 1</w:t>
            </w:r>
          </w:p>
        </w:tc>
        <w:tc>
          <w:tcPr>
            <w:tcW w:w="839" w:type="dxa"/>
          </w:tcPr>
          <w:p w:rsidR="00000000" w:rsidRDefault="00000000">
            <w:pPr>
              <w:pStyle w:val="SingleTxt"/>
              <w:spacing w:after="0" w:line="340" w:lineRule="exact"/>
              <w:ind w:left="-57" w:right="0"/>
              <w:rPr>
                <w:szCs w:val="24"/>
                <w:rtl/>
              </w:rPr>
            </w:pPr>
            <w:r>
              <w:rPr>
                <w:szCs w:val="24"/>
                <w:rtl/>
              </w:rPr>
              <w:t>807 4</w:t>
            </w:r>
          </w:p>
        </w:tc>
        <w:tc>
          <w:tcPr>
            <w:tcW w:w="839" w:type="dxa"/>
          </w:tcPr>
          <w:p w:rsidR="00000000" w:rsidRDefault="00000000">
            <w:pPr>
              <w:pStyle w:val="SingleTxt"/>
              <w:spacing w:after="0" w:line="340" w:lineRule="exact"/>
              <w:ind w:left="-57" w:right="0"/>
              <w:rPr>
                <w:szCs w:val="24"/>
                <w:rtl/>
              </w:rPr>
            </w:pPr>
            <w:r>
              <w:rPr>
                <w:szCs w:val="24"/>
                <w:rtl/>
              </w:rPr>
              <w:t>492 2</w:t>
            </w:r>
          </w:p>
        </w:tc>
        <w:tc>
          <w:tcPr>
            <w:tcW w:w="839" w:type="dxa"/>
          </w:tcPr>
          <w:p w:rsidR="00000000" w:rsidRDefault="00000000">
            <w:pPr>
              <w:pStyle w:val="SingleTxt"/>
              <w:spacing w:after="0" w:line="340" w:lineRule="exact"/>
              <w:ind w:left="-57" w:right="0"/>
              <w:rPr>
                <w:szCs w:val="24"/>
                <w:rtl/>
              </w:rPr>
            </w:pPr>
            <w:r>
              <w:rPr>
                <w:szCs w:val="24"/>
                <w:rtl/>
              </w:rPr>
              <w:t>222 1</w:t>
            </w:r>
          </w:p>
        </w:tc>
        <w:tc>
          <w:tcPr>
            <w:tcW w:w="839" w:type="dxa"/>
          </w:tcPr>
          <w:p w:rsidR="00000000" w:rsidRDefault="00000000">
            <w:pPr>
              <w:pStyle w:val="SingleTxt"/>
              <w:spacing w:after="0" w:line="340" w:lineRule="exact"/>
              <w:ind w:left="-57" w:right="0"/>
              <w:rPr>
                <w:szCs w:val="24"/>
                <w:rtl/>
              </w:rPr>
            </w:pPr>
            <w:r>
              <w:rPr>
                <w:szCs w:val="24"/>
                <w:rtl/>
              </w:rPr>
              <w:t>592</w:t>
            </w:r>
          </w:p>
        </w:tc>
        <w:tc>
          <w:tcPr>
            <w:tcW w:w="787" w:type="dxa"/>
          </w:tcPr>
          <w:p w:rsidR="00000000" w:rsidRDefault="00000000">
            <w:pPr>
              <w:pStyle w:val="SingleTxt"/>
              <w:spacing w:after="0" w:line="340" w:lineRule="exact"/>
              <w:ind w:left="-57" w:right="0"/>
              <w:rPr>
                <w:szCs w:val="24"/>
                <w:rtl/>
              </w:rPr>
            </w:pPr>
            <w:r>
              <w:rPr>
                <w:szCs w:val="24"/>
                <w:rtl/>
              </w:rPr>
              <w:t>870</w:t>
            </w:r>
          </w:p>
        </w:tc>
        <w:tc>
          <w:tcPr>
            <w:tcW w:w="850" w:type="dxa"/>
          </w:tcPr>
          <w:p w:rsidR="00000000" w:rsidRDefault="00000000">
            <w:pPr>
              <w:pStyle w:val="SingleTxt"/>
              <w:spacing w:after="0" w:line="340" w:lineRule="exact"/>
              <w:ind w:left="-57" w:right="0"/>
              <w:rPr>
                <w:szCs w:val="24"/>
                <w:rtl/>
              </w:rPr>
            </w:pPr>
            <w:r>
              <w:rPr>
                <w:szCs w:val="24"/>
                <w:rtl/>
              </w:rPr>
              <w:t>532 11</w:t>
            </w:r>
          </w:p>
        </w:tc>
        <w:tc>
          <w:tcPr>
            <w:tcW w:w="993" w:type="dxa"/>
          </w:tcPr>
          <w:p w:rsidR="00000000" w:rsidRDefault="00000000">
            <w:pPr>
              <w:pStyle w:val="SingleTxt"/>
              <w:spacing w:after="0" w:line="340" w:lineRule="exact"/>
              <w:ind w:left="-57" w:right="0"/>
              <w:rPr>
                <w:szCs w:val="24"/>
                <w:rtl/>
              </w:rPr>
            </w:pPr>
            <w:r>
              <w:rPr>
                <w:szCs w:val="24"/>
                <w:rtl/>
              </w:rPr>
              <w:t>722 14</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68</w:t>
            </w:r>
          </w:p>
        </w:tc>
        <w:tc>
          <w:tcPr>
            <w:tcW w:w="839" w:type="dxa"/>
          </w:tcPr>
          <w:p w:rsidR="00000000" w:rsidRDefault="00000000">
            <w:pPr>
              <w:pStyle w:val="SingleTxt"/>
              <w:spacing w:after="0" w:line="340" w:lineRule="exact"/>
              <w:ind w:left="-57" w:right="0"/>
              <w:rPr>
                <w:szCs w:val="24"/>
                <w:rtl/>
              </w:rPr>
            </w:pPr>
            <w:r>
              <w:rPr>
                <w:szCs w:val="24"/>
                <w:rtl/>
              </w:rPr>
              <w:t>11</w:t>
            </w:r>
          </w:p>
        </w:tc>
        <w:tc>
          <w:tcPr>
            <w:tcW w:w="839" w:type="dxa"/>
          </w:tcPr>
          <w:p w:rsidR="00000000" w:rsidRDefault="00000000">
            <w:pPr>
              <w:pStyle w:val="SingleTxt"/>
              <w:spacing w:after="0" w:line="340" w:lineRule="exact"/>
              <w:ind w:left="-57" w:right="0"/>
              <w:rPr>
                <w:szCs w:val="24"/>
                <w:rtl/>
              </w:rPr>
            </w:pPr>
            <w:r>
              <w:rPr>
                <w:szCs w:val="24"/>
                <w:rtl/>
              </w:rPr>
              <w:t>83</w:t>
            </w:r>
          </w:p>
        </w:tc>
        <w:tc>
          <w:tcPr>
            <w:tcW w:w="839" w:type="dxa"/>
          </w:tcPr>
          <w:p w:rsidR="00000000" w:rsidRDefault="00000000">
            <w:pPr>
              <w:pStyle w:val="SingleTxt"/>
              <w:spacing w:after="0" w:line="340" w:lineRule="exact"/>
              <w:ind w:left="-57" w:right="0"/>
              <w:rPr>
                <w:szCs w:val="24"/>
                <w:rtl/>
              </w:rPr>
            </w:pPr>
            <w:r>
              <w:rPr>
                <w:szCs w:val="24"/>
                <w:rtl/>
              </w:rPr>
              <w:t>81</w:t>
            </w:r>
          </w:p>
        </w:tc>
        <w:tc>
          <w:tcPr>
            <w:tcW w:w="839" w:type="dxa"/>
          </w:tcPr>
          <w:p w:rsidR="00000000" w:rsidRDefault="00000000">
            <w:pPr>
              <w:pStyle w:val="SingleTxt"/>
              <w:spacing w:after="0" w:line="340" w:lineRule="exact"/>
              <w:ind w:left="-57" w:right="0"/>
              <w:rPr>
                <w:szCs w:val="24"/>
                <w:rtl/>
              </w:rPr>
            </w:pPr>
            <w:r>
              <w:rPr>
                <w:szCs w:val="24"/>
                <w:rtl/>
              </w:rPr>
              <w:t>72</w:t>
            </w:r>
          </w:p>
        </w:tc>
        <w:tc>
          <w:tcPr>
            <w:tcW w:w="787" w:type="dxa"/>
          </w:tcPr>
          <w:p w:rsidR="00000000" w:rsidRDefault="00000000">
            <w:pPr>
              <w:pStyle w:val="SingleTxt"/>
              <w:spacing w:after="0" w:line="340" w:lineRule="exact"/>
              <w:ind w:left="-57" w:right="0"/>
              <w:rPr>
                <w:szCs w:val="24"/>
                <w:rtl/>
              </w:rPr>
            </w:pPr>
            <w:r>
              <w:rPr>
                <w:szCs w:val="24"/>
                <w:rtl/>
              </w:rPr>
              <w:t>34</w:t>
            </w:r>
          </w:p>
        </w:tc>
        <w:tc>
          <w:tcPr>
            <w:tcW w:w="850" w:type="dxa"/>
          </w:tcPr>
          <w:p w:rsidR="00000000" w:rsidRDefault="00000000">
            <w:pPr>
              <w:pStyle w:val="SingleTxt"/>
              <w:spacing w:after="0" w:line="340" w:lineRule="exact"/>
              <w:ind w:left="-57" w:right="0"/>
              <w:rPr>
                <w:szCs w:val="24"/>
                <w:rtl/>
              </w:rPr>
            </w:pPr>
            <w:r>
              <w:rPr>
                <w:szCs w:val="24"/>
                <w:rtl/>
              </w:rPr>
              <w:t>349</w:t>
            </w:r>
          </w:p>
        </w:tc>
        <w:tc>
          <w:tcPr>
            <w:tcW w:w="993" w:type="dxa"/>
          </w:tcPr>
          <w:p w:rsidR="00000000" w:rsidRDefault="00000000">
            <w:pPr>
              <w:pStyle w:val="SingleTxt"/>
              <w:spacing w:after="0" w:line="340" w:lineRule="exact"/>
              <w:ind w:left="-57" w:right="0"/>
              <w:rPr>
                <w:szCs w:val="24"/>
                <w:rtl/>
              </w:rPr>
            </w:pPr>
            <w:r>
              <w:rPr>
                <w:szCs w:val="24"/>
                <w:rtl/>
              </w:rPr>
              <w:t>147 1</w:t>
            </w:r>
          </w:p>
        </w:tc>
        <w:tc>
          <w:tcPr>
            <w:tcW w:w="1418" w:type="dxa"/>
          </w:tcPr>
          <w:p w:rsidR="00000000" w:rsidRDefault="00000000">
            <w:pPr>
              <w:pStyle w:val="SingleTxt"/>
              <w:spacing w:after="0" w:line="340" w:lineRule="exact"/>
              <w:ind w:left="-57" w:right="0"/>
              <w:rPr>
                <w:szCs w:val="24"/>
                <w:rtl/>
              </w:rPr>
            </w:pPr>
            <w:r>
              <w:rPr>
                <w:szCs w:val="24"/>
                <w:rtl/>
              </w:rPr>
              <w:t>2.9</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617 1</w:t>
            </w:r>
          </w:p>
        </w:tc>
        <w:tc>
          <w:tcPr>
            <w:tcW w:w="839" w:type="dxa"/>
          </w:tcPr>
          <w:p w:rsidR="00000000" w:rsidRDefault="00000000">
            <w:pPr>
              <w:pStyle w:val="SingleTxt"/>
              <w:spacing w:after="0" w:line="340" w:lineRule="exact"/>
              <w:ind w:left="-57" w:right="0"/>
              <w:rPr>
                <w:szCs w:val="24"/>
                <w:rtl/>
              </w:rPr>
            </w:pPr>
            <w:r>
              <w:rPr>
                <w:szCs w:val="24"/>
                <w:rtl/>
              </w:rPr>
              <w:t>818 4</w:t>
            </w:r>
          </w:p>
        </w:tc>
        <w:tc>
          <w:tcPr>
            <w:tcW w:w="839" w:type="dxa"/>
          </w:tcPr>
          <w:p w:rsidR="00000000" w:rsidRDefault="00000000">
            <w:pPr>
              <w:pStyle w:val="SingleTxt"/>
              <w:spacing w:after="0" w:line="340" w:lineRule="exact"/>
              <w:ind w:left="-57" w:right="0"/>
              <w:rPr>
                <w:szCs w:val="24"/>
                <w:rtl/>
              </w:rPr>
            </w:pPr>
            <w:r>
              <w:rPr>
                <w:szCs w:val="24"/>
                <w:rtl/>
              </w:rPr>
              <w:t>575 2</w:t>
            </w:r>
          </w:p>
        </w:tc>
        <w:tc>
          <w:tcPr>
            <w:tcW w:w="839" w:type="dxa"/>
          </w:tcPr>
          <w:p w:rsidR="00000000" w:rsidRDefault="00000000">
            <w:pPr>
              <w:pStyle w:val="SingleTxt"/>
              <w:spacing w:after="0" w:line="340" w:lineRule="exact"/>
              <w:ind w:left="-57" w:right="0"/>
              <w:rPr>
                <w:szCs w:val="24"/>
                <w:rtl/>
              </w:rPr>
            </w:pPr>
            <w:r>
              <w:rPr>
                <w:szCs w:val="24"/>
                <w:rtl/>
              </w:rPr>
              <w:t>303 1</w:t>
            </w:r>
          </w:p>
        </w:tc>
        <w:tc>
          <w:tcPr>
            <w:tcW w:w="839" w:type="dxa"/>
          </w:tcPr>
          <w:p w:rsidR="00000000" w:rsidRDefault="00000000">
            <w:pPr>
              <w:pStyle w:val="SingleTxt"/>
              <w:spacing w:after="0" w:line="340" w:lineRule="exact"/>
              <w:ind w:left="-57" w:right="0"/>
              <w:rPr>
                <w:szCs w:val="24"/>
                <w:rtl/>
              </w:rPr>
            </w:pPr>
            <w:r>
              <w:rPr>
                <w:szCs w:val="24"/>
                <w:rtl/>
              </w:rPr>
              <w:t>664</w:t>
            </w:r>
          </w:p>
        </w:tc>
        <w:tc>
          <w:tcPr>
            <w:tcW w:w="787" w:type="dxa"/>
          </w:tcPr>
          <w:p w:rsidR="00000000" w:rsidRDefault="00000000">
            <w:pPr>
              <w:pStyle w:val="SingleTxt"/>
              <w:spacing w:after="0" w:line="340" w:lineRule="exact"/>
              <w:ind w:left="-57" w:right="0"/>
              <w:rPr>
                <w:szCs w:val="24"/>
                <w:rtl/>
              </w:rPr>
            </w:pPr>
            <w:r>
              <w:rPr>
                <w:szCs w:val="24"/>
                <w:rtl/>
              </w:rPr>
              <w:t>904</w:t>
            </w:r>
          </w:p>
        </w:tc>
        <w:tc>
          <w:tcPr>
            <w:tcW w:w="850" w:type="dxa"/>
          </w:tcPr>
          <w:p w:rsidR="00000000" w:rsidRDefault="00000000">
            <w:pPr>
              <w:pStyle w:val="SingleTxt"/>
              <w:spacing w:after="0" w:line="340" w:lineRule="exact"/>
              <w:ind w:left="-57" w:right="0"/>
              <w:rPr>
                <w:szCs w:val="24"/>
                <w:rtl/>
              </w:rPr>
            </w:pPr>
            <w:r>
              <w:rPr>
                <w:szCs w:val="24"/>
                <w:rtl/>
              </w:rPr>
              <w:t>881 11</w:t>
            </w:r>
          </w:p>
        </w:tc>
        <w:tc>
          <w:tcPr>
            <w:tcW w:w="993" w:type="dxa"/>
          </w:tcPr>
          <w:p w:rsidR="00000000" w:rsidRDefault="00000000">
            <w:pPr>
              <w:pStyle w:val="SingleTxt"/>
              <w:spacing w:after="0" w:line="340" w:lineRule="exact"/>
              <w:ind w:left="-57" w:right="0"/>
              <w:rPr>
                <w:szCs w:val="24"/>
                <w:rtl/>
              </w:rPr>
            </w:pPr>
            <w:r>
              <w:rPr>
                <w:szCs w:val="24"/>
                <w:rtl/>
              </w:rPr>
              <w:t>869 15</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مشغلو المصانع والآلات والقائمون بالتجميع</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169</w:t>
            </w:r>
          </w:p>
        </w:tc>
        <w:tc>
          <w:tcPr>
            <w:tcW w:w="839" w:type="dxa"/>
          </w:tcPr>
          <w:p w:rsidR="00000000" w:rsidRDefault="00000000">
            <w:pPr>
              <w:pStyle w:val="SingleTxt"/>
              <w:spacing w:after="0" w:line="340" w:lineRule="exact"/>
              <w:ind w:left="-57" w:right="0"/>
              <w:rPr>
                <w:szCs w:val="24"/>
                <w:rtl/>
              </w:rPr>
            </w:pPr>
            <w:r>
              <w:rPr>
                <w:szCs w:val="24"/>
                <w:rtl/>
              </w:rPr>
              <w:t>413</w:t>
            </w:r>
          </w:p>
        </w:tc>
        <w:tc>
          <w:tcPr>
            <w:tcW w:w="839" w:type="dxa"/>
          </w:tcPr>
          <w:p w:rsidR="00000000" w:rsidRDefault="00000000">
            <w:pPr>
              <w:pStyle w:val="SingleTxt"/>
              <w:spacing w:after="0" w:line="340" w:lineRule="exact"/>
              <w:ind w:left="-57" w:right="0"/>
              <w:rPr>
                <w:szCs w:val="24"/>
                <w:rtl/>
              </w:rPr>
            </w:pPr>
            <w:r>
              <w:rPr>
                <w:szCs w:val="24"/>
                <w:rtl/>
              </w:rPr>
              <w:t>248 1</w:t>
            </w:r>
          </w:p>
        </w:tc>
        <w:tc>
          <w:tcPr>
            <w:tcW w:w="839" w:type="dxa"/>
          </w:tcPr>
          <w:p w:rsidR="00000000" w:rsidRDefault="00000000">
            <w:pPr>
              <w:pStyle w:val="SingleTxt"/>
              <w:spacing w:after="0" w:line="340" w:lineRule="exact"/>
              <w:ind w:left="-57" w:right="0"/>
              <w:rPr>
                <w:szCs w:val="24"/>
                <w:rtl/>
              </w:rPr>
            </w:pPr>
            <w:r>
              <w:rPr>
                <w:szCs w:val="24"/>
                <w:rtl/>
              </w:rPr>
              <w:t>365</w:t>
            </w:r>
          </w:p>
        </w:tc>
        <w:tc>
          <w:tcPr>
            <w:tcW w:w="839" w:type="dxa"/>
          </w:tcPr>
          <w:p w:rsidR="00000000" w:rsidRDefault="00000000">
            <w:pPr>
              <w:pStyle w:val="SingleTxt"/>
              <w:spacing w:after="0" w:line="340" w:lineRule="exact"/>
              <w:ind w:left="-57" w:right="0"/>
              <w:rPr>
                <w:szCs w:val="24"/>
                <w:rtl/>
              </w:rPr>
            </w:pPr>
            <w:r>
              <w:rPr>
                <w:szCs w:val="24"/>
                <w:rtl/>
              </w:rPr>
              <w:t>161</w:t>
            </w:r>
          </w:p>
        </w:tc>
        <w:tc>
          <w:tcPr>
            <w:tcW w:w="787" w:type="dxa"/>
          </w:tcPr>
          <w:p w:rsidR="00000000" w:rsidRDefault="00000000">
            <w:pPr>
              <w:pStyle w:val="SingleTxt"/>
              <w:spacing w:after="0" w:line="340" w:lineRule="exact"/>
              <w:ind w:left="-57" w:right="0"/>
              <w:rPr>
                <w:szCs w:val="24"/>
                <w:rtl/>
              </w:rPr>
            </w:pPr>
            <w:r>
              <w:rPr>
                <w:szCs w:val="24"/>
                <w:rtl/>
              </w:rPr>
              <w:t>189</w:t>
            </w:r>
          </w:p>
        </w:tc>
        <w:tc>
          <w:tcPr>
            <w:tcW w:w="850" w:type="dxa"/>
          </w:tcPr>
          <w:p w:rsidR="00000000" w:rsidRDefault="00000000">
            <w:pPr>
              <w:pStyle w:val="SingleTxt"/>
              <w:spacing w:after="0" w:line="340" w:lineRule="exact"/>
              <w:ind w:left="-57" w:right="0"/>
              <w:rPr>
                <w:szCs w:val="24"/>
                <w:rtl/>
              </w:rPr>
            </w:pPr>
            <w:r>
              <w:rPr>
                <w:szCs w:val="24"/>
                <w:rtl/>
              </w:rPr>
              <w:t>545 2</w:t>
            </w:r>
          </w:p>
        </w:tc>
        <w:tc>
          <w:tcPr>
            <w:tcW w:w="993" w:type="dxa"/>
          </w:tcPr>
          <w:p w:rsidR="00000000" w:rsidRDefault="00000000">
            <w:pPr>
              <w:pStyle w:val="SingleTxt"/>
              <w:spacing w:after="0" w:line="340" w:lineRule="exact"/>
              <w:ind w:left="-57" w:right="0"/>
              <w:rPr>
                <w:szCs w:val="24"/>
                <w:rtl/>
              </w:rPr>
            </w:pPr>
            <w:r>
              <w:rPr>
                <w:szCs w:val="24"/>
                <w:rtl/>
              </w:rPr>
              <w:t>546 5</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6</w:t>
            </w:r>
          </w:p>
        </w:tc>
        <w:tc>
          <w:tcPr>
            <w:tcW w:w="839" w:type="dxa"/>
          </w:tcPr>
          <w:p w:rsidR="00000000" w:rsidRDefault="00000000">
            <w:pPr>
              <w:pStyle w:val="SingleTxt"/>
              <w:spacing w:after="0" w:line="340" w:lineRule="exact"/>
              <w:ind w:left="-57" w:right="0"/>
              <w:rPr>
                <w:szCs w:val="24"/>
                <w:rtl/>
              </w:rPr>
            </w:pPr>
            <w:r>
              <w:rPr>
                <w:szCs w:val="24"/>
                <w:rtl/>
              </w:rPr>
              <w:t>24</w:t>
            </w:r>
          </w:p>
        </w:tc>
        <w:tc>
          <w:tcPr>
            <w:tcW w:w="839" w:type="dxa"/>
          </w:tcPr>
          <w:p w:rsidR="00000000" w:rsidRDefault="00000000">
            <w:pPr>
              <w:pStyle w:val="SingleTxt"/>
              <w:spacing w:after="0" w:line="340" w:lineRule="exact"/>
              <w:ind w:left="-57" w:right="0"/>
              <w:rPr>
                <w:szCs w:val="24"/>
                <w:rtl/>
              </w:rPr>
            </w:pPr>
            <w:r>
              <w:rPr>
                <w:szCs w:val="24"/>
                <w:rtl/>
              </w:rPr>
              <w:t>29</w:t>
            </w:r>
          </w:p>
        </w:tc>
        <w:tc>
          <w:tcPr>
            <w:tcW w:w="839" w:type="dxa"/>
          </w:tcPr>
          <w:p w:rsidR="00000000" w:rsidRDefault="00000000">
            <w:pPr>
              <w:pStyle w:val="SingleTxt"/>
              <w:spacing w:after="0" w:line="340" w:lineRule="exact"/>
              <w:ind w:left="-57" w:right="0"/>
              <w:rPr>
                <w:szCs w:val="24"/>
                <w:rtl/>
              </w:rPr>
            </w:pPr>
            <w:r>
              <w:rPr>
                <w:szCs w:val="24"/>
                <w:rtl/>
              </w:rPr>
              <w:t>31</w:t>
            </w:r>
          </w:p>
        </w:tc>
        <w:tc>
          <w:tcPr>
            <w:tcW w:w="839" w:type="dxa"/>
          </w:tcPr>
          <w:p w:rsidR="00000000" w:rsidRDefault="00000000">
            <w:pPr>
              <w:pStyle w:val="SingleTxt"/>
              <w:spacing w:after="0" w:line="340" w:lineRule="exact"/>
              <w:ind w:left="-57" w:right="0"/>
              <w:rPr>
                <w:szCs w:val="24"/>
                <w:rtl/>
              </w:rPr>
            </w:pPr>
            <w:r>
              <w:rPr>
                <w:szCs w:val="24"/>
                <w:rtl/>
              </w:rPr>
              <w:t>19</w:t>
            </w:r>
          </w:p>
        </w:tc>
        <w:tc>
          <w:tcPr>
            <w:tcW w:w="787" w:type="dxa"/>
          </w:tcPr>
          <w:p w:rsidR="00000000" w:rsidRDefault="00000000">
            <w:pPr>
              <w:pStyle w:val="SingleTxt"/>
              <w:spacing w:after="0" w:line="340" w:lineRule="exact"/>
              <w:ind w:left="-57" w:right="0"/>
              <w:rPr>
                <w:szCs w:val="24"/>
                <w:rtl/>
              </w:rPr>
            </w:pPr>
            <w:r>
              <w:rPr>
                <w:szCs w:val="24"/>
                <w:rtl/>
              </w:rPr>
              <w:t>3</w:t>
            </w:r>
          </w:p>
        </w:tc>
        <w:tc>
          <w:tcPr>
            <w:tcW w:w="850" w:type="dxa"/>
          </w:tcPr>
          <w:p w:rsidR="00000000" w:rsidRDefault="00000000">
            <w:pPr>
              <w:pStyle w:val="SingleTxt"/>
              <w:spacing w:after="0" w:line="340" w:lineRule="exact"/>
              <w:ind w:left="-57" w:right="0"/>
              <w:rPr>
                <w:szCs w:val="24"/>
                <w:rtl/>
              </w:rPr>
            </w:pPr>
            <w:r>
              <w:rPr>
                <w:szCs w:val="24"/>
                <w:rtl/>
              </w:rPr>
              <w:t>112</w:t>
            </w:r>
          </w:p>
        </w:tc>
        <w:tc>
          <w:tcPr>
            <w:tcW w:w="993" w:type="dxa"/>
          </w:tcPr>
          <w:p w:rsidR="00000000" w:rsidRDefault="00000000">
            <w:pPr>
              <w:pStyle w:val="SingleTxt"/>
              <w:spacing w:after="0" w:line="340" w:lineRule="exact"/>
              <w:ind w:left="-57" w:right="0"/>
              <w:rPr>
                <w:szCs w:val="24"/>
                <w:rtl/>
              </w:rPr>
            </w:pPr>
            <w:r>
              <w:rPr>
                <w:szCs w:val="24"/>
                <w:rtl/>
              </w:rPr>
              <w:t>104</w:t>
            </w:r>
          </w:p>
        </w:tc>
        <w:tc>
          <w:tcPr>
            <w:tcW w:w="1418" w:type="dxa"/>
          </w:tcPr>
          <w:p w:rsidR="00000000" w:rsidRDefault="00000000">
            <w:pPr>
              <w:pStyle w:val="SingleTxt"/>
              <w:spacing w:after="0" w:line="340" w:lineRule="exact"/>
              <w:ind w:left="-57" w:right="0"/>
              <w:rPr>
                <w:szCs w:val="24"/>
                <w:rtl/>
              </w:rPr>
            </w:pPr>
            <w:r>
              <w:rPr>
                <w:szCs w:val="24"/>
                <w:rtl/>
              </w:rPr>
              <w:t>4.2</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157</w:t>
            </w:r>
          </w:p>
        </w:tc>
        <w:tc>
          <w:tcPr>
            <w:tcW w:w="839" w:type="dxa"/>
          </w:tcPr>
          <w:p w:rsidR="00000000" w:rsidRDefault="00000000">
            <w:pPr>
              <w:pStyle w:val="SingleTxt"/>
              <w:spacing w:after="0" w:line="340" w:lineRule="exact"/>
              <w:ind w:left="-57" w:right="0"/>
              <w:rPr>
                <w:szCs w:val="24"/>
                <w:rtl/>
              </w:rPr>
            </w:pPr>
            <w:r>
              <w:rPr>
                <w:szCs w:val="24"/>
                <w:rtl/>
              </w:rPr>
              <w:t>437</w:t>
            </w:r>
          </w:p>
        </w:tc>
        <w:tc>
          <w:tcPr>
            <w:tcW w:w="839" w:type="dxa"/>
          </w:tcPr>
          <w:p w:rsidR="00000000" w:rsidRDefault="00000000">
            <w:pPr>
              <w:pStyle w:val="SingleTxt"/>
              <w:spacing w:after="0" w:line="340" w:lineRule="exact"/>
              <w:ind w:left="-57" w:right="0"/>
              <w:rPr>
                <w:szCs w:val="24"/>
                <w:rtl/>
              </w:rPr>
            </w:pPr>
            <w:r>
              <w:rPr>
                <w:szCs w:val="24"/>
                <w:rtl/>
              </w:rPr>
              <w:t>277 1</w:t>
            </w:r>
          </w:p>
        </w:tc>
        <w:tc>
          <w:tcPr>
            <w:tcW w:w="839" w:type="dxa"/>
          </w:tcPr>
          <w:p w:rsidR="00000000" w:rsidRDefault="00000000">
            <w:pPr>
              <w:pStyle w:val="SingleTxt"/>
              <w:spacing w:after="0" w:line="340" w:lineRule="exact"/>
              <w:ind w:left="-57" w:right="0"/>
              <w:rPr>
                <w:szCs w:val="24"/>
                <w:rtl/>
              </w:rPr>
            </w:pPr>
            <w:r>
              <w:rPr>
                <w:szCs w:val="24"/>
                <w:rtl/>
              </w:rPr>
              <w:t>396</w:t>
            </w:r>
          </w:p>
        </w:tc>
        <w:tc>
          <w:tcPr>
            <w:tcW w:w="839" w:type="dxa"/>
          </w:tcPr>
          <w:p w:rsidR="00000000" w:rsidRDefault="00000000">
            <w:pPr>
              <w:pStyle w:val="SingleTxt"/>
              <w:spacing w:after="0" w:line="340" w:lineRule="exact"/>
              <w:ind w:left="-57" w:right="0"/>
              <w:rPr>
                <w:szCs w:val="24"/>
                <w:rtl/>
              </w:rPr>
            </w:pPr>
            <w:r>
              <w:rPr>
                <w:szCs w:val="24"/>
                <w:rtl/>
              </w:rPr>
              <w:t>180</w:t>
            </w:r>
          </w:p>
        </w:tc>
        <w:tc>
          <w:tcPr>
            <w:tcW w:w="787" w:type="dxa"/>
          </w:tcPr>
          <w:p w:rsidR="00000000" w:rsidRDefault="00000000">
            <w:pPr>
              <w:pStyle w:val="SingleTxt"/>
              <w:spacing w:after="0" w:line="340" w:lineRule="exact"/>
              <w:ind w:left="-57" w:right="0"/>
              <w:rPr>
                <w:szCs w:val="24"/>
                <w:rtl/>
              </w:rPr>
            </w:pPr>
            <w:r>
              <w:rPr>
                <w:szCs w:val="24"/>
                <w:rtl/>
              </w:rPr>
              <w:t>192</w:t>
            </w:r>
          </w:p>
        </w:tc>
        <w:tc>
          <w:tcPr>
            <w:tcW w:w="850" w:type="dxa"/>
          </w:tcPr>
          <w:p w:rsidR="00000000" w:rsidRDefault="00000000">
            <w:pPr>
              <w:pStyle w:val="SingleTxt"/>
              <w:spacing w:after="0" w:line="340" w:lineRule="exact"/>
              <w:ind w:left="-57" w:right="0"/>
              <w:rPr>
                <w:szCs w:val="24"/>
                <w:rtl/>
              </w:rPr>
            </w:pPr>
            <w:r>
              <w:rPr>
                <w:szCs w:val="24"/>
                <w:rtl/>
              </w:rPr>
              <w:t>657 2</w:t>
            </w:r>
          </w:p>
        </w:tc>
        <w:tc>
          <w:tcPr>
            <w:tcW w:w="993" w:type="dxa"/>
          </w:tcPr>
          <w:p w:rsidR="00000000" w:rsidRDefault="00000000">
            <w:pPr>
              <w:pStyle w:val="SingleTxt"/>
              <w:spacing w:after="0" w:line="340" w:lineRule="exact"/>
              <w:ind w:left="-57" w:right="0"/>
              <w:rPr>
                <w:szCs w:val="24"/>
                <w:rtl/>
              </w:rPr>
            </w:pPr>
            <w:r>
              <w:rPr>
                <w:szCs w:val="24"/>
                <w:rtl/>
              </w:rPr>
              <w:t>650 5</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مهن أولية</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376 4</w:t>
            </w:r>
          </w:p>
        </w:tc>
        <w:tc>
          <w:tcPr>
            <w:tcW w:w="839" w:type="dxa"/>
          </w:tcPr>
          <w:p w:rsidR="00000000" w:rsidRDefault="00000000">
            <w:pPr>
              <w:pStyle w:val="SingleTxt"/>
              <w:spacing w:after="0" w:line="340" w:lineRule="exact"/>
              <w:ind w:left="-57" w:right="0"/>
              <w:rPr>
                <w:szCs w:val="24"/>
                <w:rtl/>
              </w:rPr>
            </w:pPr>
            <w:r>
              <w:rPr>
                <w:szCs w:val="24"/>
                <w:rtl/>
              </w:rPr>
              <w:t>954 8</w:t>
            </w:r>
          </w:p>
        </w:tc>
        <w:tc>
          <w:tcPr>
            <w:tcW w:w="839" w:type="dxa"/>
          </w:tcPr>
          <w:p w:rsidR="00000000" w:rsidRDefault="00000000">
            <w:pPr>
              <w:pStyle w:val="SingleTxt"/>
              <w:spacing w:after="0" w:line="340" w:lineRule="exact"/>
              <w:ind w:left="-57" w:right="0"/>
              <w:rPr>
                <w:szCs w:val="24"/>
                <w:rtl/>
              </w:rPr>
            </w:pPr>
            <w:r>
              <w:rPr>
                <w:szCs w:val="24"/>
                <w:rtl/>
              </w:rPr>
              <w:t>373 1</w:t>
            </w:r>
          </w:p>
        </w:tc>
        <w:tc>
          <w:tcPr>
            <w:tcW w:w="839" w:type="dxa"/>
          </w:tcPr>
          <w:p w:rsidR="00000000" w:rsidRDefault="00000000">
            <w:pPr>
              <w:pStyle w:val="SingleTxt"/>
              <w:spacing w:after="0" w:line="340" w:lineRule="exact"/>
              <w:ind w:left="-57" w:right="0"/>
              <w:rPr>
                <w:szCs w:val="24"/>
                <w:rtl/>
              </w:rPr>
            </w:pPr>
            <w:r>
              <w:rPr>
                <w:szCs w:val="24"/>
                <w:rtl/>
              </w:rPr>
              <w:t>356 3</w:t>
            </w:r>
          </w:p>
        </w:tc>
        <w:tc>
          <w:tcPr>
            <w:tcW w:w="839" w:type="dxa"/>
          </w:tcPr>
          <w:p w:rsidR="00000000" w:rsidRDefault="00000000">
            <w:pPr>
              <w:pStyle w:val="SingleTxt"/>
              <w:spacing w:after="0" w:line="340" w:lineRule="exact"/>
              <w:ind w:left="-57" w:right="0"/>
              <w:rPr>
                <w:szCs w:val="24"/>
                <w:rtl/>
              </w:rPr>
            </w:pPr>
            <w:r>
              <w:rPr>
                <w:szCs w:val="24"/>
                <w:rtl/>
              </w:rPr>
              <w:t>676 2</w:t>
            </w:r>
          </w:p>
        </w:tc>
        <w:tc>
          <w:tcPr>
            <w:tcW w:w="787" w:type="dxa"/>
          </w:tcPr>
          <w:p w:rsidR="00000000" w:rsidRDefault="00000000">
            <w:pPr>
              <w:pStyle w:val="SingleTxt"/>
              <w:spacing w:after="0" w:line="340" w:lineRule="exact"/>
              <w:ind w:left="-57" w:right="0"/>
              <w:rPr>
                <w:szCs w:val="24"/>
                <w:rtl/>
              </w:rPr>
            </w:pPr>
            <w:r>
              <w:rPr>
                <w:szCs w:val="24"/>
                <w:rtl/>
              </w:rPr>
              <w:t>644 1</w:t>
            </w:r>
          </w:p>
        </w:tc>
        <w:tc>
          <w:tcPr>
            <w:tcW w:w="850" w:type="dxa"/>
          </w:tcPr>
          <w:p w:rsidR="00000000" w:rsidRDefault="00000000">
            <w:pPr>
              <w:pStyle w:val="SingleTxt"/>
              <w:spacing w:after="0" w:line="340" w:lineRule="exact"/>
              <w:ind w:left="-57" w:right="0"/>
              <w:rPr>
                <w:szCs w:val="24"/>
                <w:rtl/>
              </w:rPr>
            </w:pPr>
            <w:r>
              <w:rPr>
                <w:szCs w:val="24"/>
                <w:rtl/>
              </w:rPr>
              <w:t>379 28</w:t>
            </w:r>
          </w:p>
        </w:tc>
        <w:tc>
          <w:tcPr>
            <w:tcW w:w="993" w:type="dxa"/>
          </w:tcPr>
          <w:p w:rsidR="00000000" w:rsidRDefault="00000000">
            <w:pPr>
              <w:pStyle w:val="SingleTxt"/>
              <w:spacing w:after="0" w:line="340" w:lineRule="exact"/>
              <w:ind w:left="-57" w:right="0"/>
              <w:rPr>
                <w:szCs w:val="24"/>
                <w:rtl/>
              </w:rPr>
            </w:pPr>
            <w:r>
              <w:rPr>
                <w:szCs w:val="24"/>
                <w:rtl/>
              </w:rPr>
              <w:t>018 33</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905</w:t>
            </w:r>
          </w:p>
        </w:tc>
        <w:tc>
          <w:tcPr>
            <w:tcW w:w="839" w:type="dxa"/>
          </w:tcPr>
          <w:p w:rsidR="00000000" w:rsidRDefault="00000000">
            <w:pPr>
              <w:pStyle w:val="SingleTxt"/>
              <w:spacing w:after="0" w:line="340" w:lineRule="exact"/>
              <w:ind w:left="-57" w:right="0"/>
              <w:rPr>
                <w:szCs w:val="24"/>
                <w:rtl/>
              </w:rPr>
            </w:pPr>
            <w:r>
              <w:rPr>
                <w:szCs w:val="24"/>
                <w:rtl/>
              </w:rPr>
              <w:t>570 1</w:t>
            </w:r>
          </w:p>
        </w:tc>
        <w:tc>
          <w:tcPr>
            <w:tcW w:w="839" w:type="dxa"/>
          </w:tcPr>
          <w:p w:rsidR="00000000" w:rsidRDefault="00000000">
            <w:pPr>
              <w:pStyle w:val="SingleTxt"/>
              <w:spacing w:after="0" w:line="340" w:lineRule="exact"/>
              <w:ind w:left="-57" w:right="0"/>
              <w:rPr>
                <w:szCs w:val="24"/>
                <w:rtl/>
              </w:rPr>
            </w:pPr>
            <w:r>
              <w:rPr>
                <w:szCs w:val="24"/>
                <w:rtl/>
              </w:rPr>
              <w:t>623 1</w:t>
            </w:r>
          </w:p>
        </w:tc>
        <w:tc>
          <w:tcPr>
            <w:tcW w:w="839" w:type="dxa"/>
          </w:tcPr>
          <w:p w:rsidR="00000000" w:rsidRDefault="00000000">
            <w:pPr>
              <w:pStyle w:val="SingleTxt"/>
              <w:spacing w:after="0" w:line="340" w:lineRule="exact"/>
              <w:ind w:left="-57" w:right="0"/>
              <w:rPr>
                <w:szCs w:val="24"/>
                <w:rtl/>
              </w:rPr>
            </w:pPr>
            <w:r>
              <w:rPr>
                <w:szCs w:val="24"/>
                <w:rtl/>
              </w:rPr>
              <w:t>167 1</w:t>
            </w:r>
          </w:p>
        </w:tc>
        <w:tc>
          <w:tcPr>
            <w:tcW w:w="839" w:type="dxa"/>
          </w:tcPr>
          <w:p w:rsidR="00000000" w:rsidRDefault="00000000">
            <w:pPr>
              <w:pStyle w:val="SingleTxt"/>
              <w:spacing w:after="0" w:line="340" w:lineRule="exact"/>
              <w:ind w:left="-57" w:right="0"/>
              <w:rPr>
                <w:szCs w:val="24"/>
                <w:rtl/>
              </w:rPr>
            </w:pPr>
            <w:r>
              <w:rPr>
                <w:szCs w:val="24"/>
                <w:rtl/>
              </w:rPr>
              <w:t>073 1</w:t>
            </w:r>
          </w:p>
        </w:tc>
        <w:tc>
          <w:tcPr>
            <w:tcW w:w="787" w:type="dxa"/>
          </w:tcPr>
          <w:p w:rsidR="00000000" w:rsidRDefault="00000000">
            <w:pPr>
              <w:pStyle w:val="SingleTxt"/>
              <w:spacing w:after="0" w:line="340" w:lineRule="exact"/>
              <w:ind w:left="-57" w:right="0"/>
              <w:rPr>
                <w:szCs w:val="24"/>
                <w:rtl/>
              </w:rPr>
            </w:pPr>
            <w:r>
              <w:rPr>
                <w:szCs w:val="24"/>
                <w:rtl/>
              </w:rPr>
              <w:t>435</w:t>
            </w:r>
          </w:p>
        </w:tc>
        <w:tc>
          <w:tcPr>
            <w:tcW w:w="850" w:type="dxa"/>
          </w:tcPr>
          <w:p w:rsidR="00000000" w:rsidRDefault="00000000">
            <w:pPr>
              <w:pStyle w:val="SingleTxt"/>
              <w:spacing w:after="0" w:line="340" w:lineRule="exact"/>
              <w:ind w:left="-57" w:right="0"/>
              <w:rPr>
                <w:szCs w:val="24"/>
                <w:rtl/>
              </w:rPr>
            </w:pPr>
            <w:r>
              <w:rPr>
                <w:szCs w:val="24"/>
                <w:rtl/>
              </w:rPr>
              <w:t>773 6</w:t>
            </w:r>
          </w:p>
        </w:tc>
        <w:tc>
          <w:tcPr>
            <w:tcW w:w="993" w:type="dxa"/>
          </w:tcPr>
          <w:p w:rsidR="00000000" w:rsidRDefault="00000000">
            <w:pPr>
              <w:pStyle w:val="SingleTxt"/>
              <w:spacing w:after="0" w:line="340" w:lineRule="exact"/>
              <w:ind w:left="-57" w:right="0"/>
              <w:rPr>
                <w:szCs w:val="24"/>
                <w:rtl/>
              </w:rPr>
            </w:pPr>
            <w:r>
              <w:rPr>
                <w:szCs w:val="24"/>
                <w:rtl/>
              </w:rPr>
              <w:t>694 15</w:t>
            </w:r>
          </w:p>
        </w:tc>
        <w:tc>
          <w:tcPr>
            <w:tcW w:w="1418" w:type="dxa"/>
          </w:tcPr>
          <w:p w:rsidR="00000000" w:rsidRDefault="00000000">
            <w:pPr>
              <w:pStyle w:val="SingleTxt"/>
              <w:spacing w:after="0" w:line="340" w:lineRule="exact"/>
              <w:ind w:left="-57" w:right="0"/>
              <w:rPr>
                <w:szCs w:val="24"/>
                <w:rtl/>
              </w:rPr>
            </w:pPr>
            <w:r>
              <w:rPr>
                <w:szCs w:val="24"/>
                <w:rtl/>
              </w:rPr>
              <w:t>19.2</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281 5</w:t>
            </w:r>
          </w:p>
        </w:tc>
        <w:tc>
          <w:tcPr>
            <w:tcW w:w="839" w:type="dxa"/>
          </w:tcPr>
          <w:p w:rsidR="00000000" w:rsidRDefault="00000000">
            <w:pPr>
              <w:pStyle w:val="SingleTxt"/>
              <w:spacing w:after="0" w:line="340" w:lineRule="exact"/>
              <w:ind w:left="-57" w:right="0"/>
              <w:rPr>
                <w:szCs w:val="24"/>
                <w:rtl/>
              </w:rPr>
            </w:pPr>
            <w:r>
              <w:rPr>
                <w:szCs w:val="24"/>
                <w:rtl/>
              </w:rPr>
              <w:t>524 10</w:t>
            </w:r>
          </w:p>
        </w:tc>
        <w:tc>
          <w:tcPr>
            <w:tcW w:w="839" w:type="dxa"/>
          </w:tcPr>
          <w:p w:rsidR="00000000" w:rsidRDefault="00000000">
            <w:pPr>
              <w:pStyle w:val="SingleTxt"/>
              <w:spacing w:after="0" w:line="340" w:lineRule="exact"/>
              <w:ind w:left="-57" w:right="0"/>
              <w:rPr>
                <w:szCs w:val="24"/>
                <w:rtl/>
              </w:rPr>
            </w:pPr>
            <w:r>
              <w:rPr>
                <w:szCs w:val="24"/>
                <w:rtl/>
              </w:rPr>
              <w:t>996 8</w:t>
            </w:r>
          </w:p>
        </w:tc>
        <w:tc>
          <w:tcPr>
            <w:tcW w:w="839" w:type="dxa"/>
          </w:tcPr>
          <w:p w:rsidR="00000000" w:rsidRDefault="00000000">
            <w:pPr>
              <w:pStyle w:val="SingleTxt"/>
              <w:spacing w:after="0" w:line="340" w:lineRule="exact"/>
              <w:ind w:left="-57" w:right="0"/>
              <w:rPr>
                <w:szCs w:val="24"/>
                <w:rtl/>
              </w:rPr>
            </w:pPr>
            <w:r>
              <w:rPr>
                <w:szCs w:val="24"/>
                <w:rtl/>
              </w:rPr>
              <w:t>523 4</w:t>
            </w:r>
          </w:p>
        </w:tc>
        <w:tc>
          <w:tcPr>
            <w:tcW w:w="839" w:type="dxa"/>
          </w:tcPr>
          <w:p w:rsidR="00000000" w:rsidRDefault="00000000">
            <w:pPr>
              <w:pStyle w:val="SingleTxt"/>
              <w:spacing w:after="0" w:line="340" w:lineRule="exact"/>
              <w:ind w:left="-57" w:right="0"/>
              <w:rPr>
                <w:szCs w:val="24"/>
                <w:rtl/>
              </w:rPr>
            </w:pPr>
            <w:r>
              <w:rPr>
                <w:szCs w:val="24"/>
                <w:rtl/>
              </w:rPr>
              <w:t>749 3</w:t>
            </w:r>
          </w:p>
        </w:tc>
        <w:tc>
          <w:tcPr>
            <w:tcW w:w="787" w:type="dxa"/>
          </w:tcPr>
          <w:p w:rsidR="00000000" w:rsidRDefault="00000000">
            <w:pPr>
              <w:pStyle w:val="SingleTxt"/>
              <w:spacing w:after="0" w:line="340" w:lineRule="exact"/>
              <w:ind w:left="-57" w:right="0"/>
              <w:rPr>
                <w:szCs w:val="24"/>
                <w:rtl/>
              </w:rPr>
            </w:pPr>
            <w:r>
              <w:rPr>
                <w:szCs w:val="24"/>
                <w:rtl/>
              </w:rPr>
              <w:t>079 2</w:t>
            </w:r>
          </w:p>
        </w:tc>
        <w:tc>
          <w:tcPr>
            <w:tcW w:w="850" w:type="dxa"/>
          </w:tcPr>
          <w:p w:rsidR="00000000" w:rsidRDefault="00000000">
            <w:pPr>
              <w:pStyle w:val="SingleTxt"/>
              <w:spacing w:after="0" w:line="340" w:lineRule="exact"/>
              <w:ind w:left="-57" w:right="0"/>
              <w:rPr>
                <w:szCs w:val="24"/>
                <w:rtl/>
              </w:rPr>
            </w:pPr>
            <w:r>
              <w:rPr>
                <w:szCs w:val="24"/>
                <w:rtl/>
              </w:rPr>
              <w:t>152 35</w:t>
            </w:r>
          </w:p>
        </w:tc>
        <w:tc>
          <w:tcPr>
            <w:tcW w:w="993" w:type="dxa"/>
          </w:tcPr>
          <w:p w:rsidR="00000000" w:rsidRDefault="00000000">
            <w:pPr>
              <w:pStyle w:val="SingleTxt"/>
              <w:spacing w:after="0" w:line="340" w:lineRule="exact"/>
              <w:ind w:left="-57" w:right="0"/>
              <w:rPr>
                <w:szCs w:val="24"/>
                <w:rtl/>
              </w:rPr>
            </w:pPr>
            <w:r>
              <w:rPr>
                <w:szCs w:val="24"/>
                <w:rtl/>
              </w:rPr>
              <w:t>712 48</w:t>
            </w:r>
          </w:p>
        </w:tc>
        <w:tc>
          <w:tcPr>
            <w:tcW w:w="1418" w:type="dxa"/>
          </w:tcPr>
          <w:p w:rsidR="00000000" w:rsidRDefault="00000000">
            <w:pPr>
              <w:pStyle w:val="SingleTxt"/>
              <w:spacing w:after="0" w:line="340" w:lineRule="exact"/>
              <w:ind w:left="-57" w:right="0"/>
              <w:rPr>
                <w:szCs w:val="24"/>
                <w:rtl/>
              </w:rPr>
            </w:pPr>
          </w:p>
        </w:tc>
      </w:tr>
      <w:tr w:rsidR="00000000">
        <w:tblPrEx>
          <w:tblCellMar>
            <w:top w:w="0" w:type="dxa"/>
            <w:bottom w:w="0" w:type="dxa"/>
          </w:tblCellMar>
        </w:tblPrEx>
        <w:trPr>
          <w:cantSplit/>
        </w:trPr>
        <w:tc>
          <w:tcPr>
            <w:tcW w:w="1559" w:type="dxa"/>
            <w:vMerge w:val="restart"/>
          </w:tcPr>
          <w:p w:rsidR="00000000" w:rsidRDefault="00000000">
            <w:pPr>
              <w:pStyle w:val="SingleTxt"/>
              <w:spacing w:after="0" w:line="340" w:lineRule="exact"/>
              <w:ind w:left="-57" w:right="0"/>
              <w:rPr>
                <w:szCs w:val="24"/>
                <w:rtl/>
              </w:rPr>
            </w:pPr>
            <w:r>
              <w:rPr>
                <w:szCs w:val="24"/>
                <w:rtl/>
              </w:rPr>
              <w:t>المجموع الكلي</w:t>
            </w:r>
          </w:p>
        </w:tc>
        <w:tc>
          <w:tcPr>
            <w:tcW w:w="688" w:type="dxa"/>
          </w:tcPr>
          <w:p w:rsidR="00000000" w:rsidRDefault="00000000">
            <w:pPr>
              <w:pStyle w:val="SingleTxt"/>
              <w:spacing w:after="0" w:line="340" w:lineRule="exact"/>
              <w:ind w:left="-57" w:right="0"/>
              <w:rPr>
                <w:szCs w:val="24"/>
                <w:rtl/>
              </w:rPr>
            </w:pPr>
            <w:r>
              <w:rPr>
                <w:szCs w:val="24"/>
                <w:rtl/>
              </w:rPr>
              <w:t>ذكر</w:t>
            </w:r>
          </w:p>
        </w:tc>
        <w:tc>
          <w:tcPr>
            <w:tcW w:w="839" w:type="dxa"/>
          </w:tcPr>
          <w:p w:rsidR="00000000" w:rsidRDefault="00000000">
            <w:pPr>
              <w:pStyle w:val="SingleTxt"/>
              <w:spacing w:after="0" w:line="340" w:lineRule="exact"/>
              <w:ind w:left="-57" w:right="0"/>
              <w:rPr>
                <w:szCs w:val="24"/>
                <w:rtl/>
              </w:rPr>
            </w:pPr>
            <w:r>
              <w:rPr>
                <w:szCs w:val="24"/>
                <w:rtl/>
              </w:rPr>
              <w:t>741 6</w:t>
            </w:r>
          </w:p>
        </w:tc>
        <w:tc>
          <w:tcPr>
            <w:tcW w:w="839" w:type="dxa"/>
          </w:tcPr>
          <w:p w:rsidR="00000000" w:rsidRDefault="00000000">
            <w:pPr>
              <w:pStyle w:val="SingleTxt"/>
              <w:spacing w:after="0" w:line="340" w:lineRule="exact"/>
              <w:ind w:left="-57" w:right="0"/>
              <w:rPr>
                <w:szCs w:val="24"/>
                <w:rtl/>
              </w:rPr>
            </w:pPr>
            <w:r>
              <w:rPr>
                <w:szCs w:val="24"/>
                <w:rtl/>
              </w:rPr>
              <w:t>013 15</w:t>
            </w:r>
          </w:p>
        </w:tc>
        <w:tc>
          <w:tcPr>
            <w:tcW w:w="839" w:type="dxa"/>
          </w:tcPr>
          <w:p w:rsidR="00000000" w:rsidRDefault="00000000">
            <w:pPr>
              <w:pStyle w:val="SingleTxt"/>
              <w:spacing w:after="0" w:line="340" w:lineRule="exact"/>
              <w:ind w:left="-57" w:right="0"/>
              <w:rPr>
                <w:szCs w:val="24"/>
                <w:rtl/>
              </w:rPr>
            </w:pPr>
            <w:r>
              <w:rPr>
                <w:szCs w:val="24"/>
                <w:rtl/>
              </w:rPr>
              <w:t>974 11</w:t>
            </w:r>
          </w:p>
        </w:tc>
        <w:tc>
          <w:tcPr>
            <w:tcW w:w="839" w:type="dxa"/>
          </w:tcPr>
          <w:p w:rsidR="00000000" w:rsidRDefault="00000000">
            <w:pPr>
              <w:pStyle w:val="SingleTxt"/>
              <w:spacing w:after="0" w:line="340" w:lineRule="exact"/>
              <w:ind w:left="-57" w:right="0"/>
              <w:rPr>
                <w:szCs w:val="24"/>
                <w:rtl/>
              </w:rPr>
            </w:pPr>
            <w:r>
              <w:rPr>
                <w:szCs w:val="24"/>
                <w:rtl/>
              </w:rPr>
              <w:t>503 5</w:t>
            </w:r>
          </w:p>
        </w:tc>
        <w:tc>
          <w:tcPr>
            <w:tcW w:w="839" w:type="dxa"/>
          </w:tcPr>
          <w:p w:rsidR="00000000" w:rsidRDefault="00000000">
            <w:pPr>
              <w:pStyle w:val="SingleTxt"/>
              <w:spacing w:after="0" w:line="340" w:lineRule="exact"/>
              <w:ind w:left="-57" w:right="0"/>
              <w:rPr>
                <w:szCs w:val="24"/>
                <w:rtl/>
              </w:rPr>
            </w:pPr>
            <w:r>
              <w:rPr>
                <w:szCs w:val="24"/>
                <w:rtl/>
              </w:rPr>
              <w:t>654 3</w:t>
            </w:r>
          </w:p>
        </w:tc>
        <w:tc>
          <w:tcPr>
            <w:tcW w:w="787" w:type="dxa"/>
          </w:tcPr>
          <w:p w:rsidR="00000000" w:rsidRDefault="00000000">
            <w:pPr>
              <w:pStyle w:val="SingleTxt"/>
              <w:spacing w:after="0" w:line="340" w:lineRule="exact"/>
              <w:ind w:left="-57" w:right="0"/>
              <w:rPr>
                <w:szCs w:val="24"/>
                <w:rtl/>
              </w:rPr>
            </w:pPr>
            <w:r>
              <w:rPr>
                <w:szCs w:val="24"/>
                <w:rtl/>
              </w:rPr>
              <w:t>867 2</w:t>
            </w:r>
          </w:p>
        </w:tc>
        <w:tc>
          <w:tcPr>
            <w:tcW w:w="850" w:type="dxa"/>
          </w:tcPr>
          <w:p w:rsidR="00000000" w:rsidRDefault="00000000">
            <w:pPr>
              <w:pStyle w:val="SingleTxt"/>
              <w:spacing w:after="0" w:line="340" w:lineRule="exact"/>
              <w:ind w:left="-57" w:right="0"/>
              <w:rPr>
                <w:szCs w:val="24"/>
                <w:rtl/>
              </w:rPr>
            </w:pPr>
            <w:r>
              <w:rPr>
                <w:szCs w:val="24"/>
                <w:rtl/>
              </w:rPr>
              <w:t>752 45</w:t>
            </w:r>
          </w:p>
        </w:tc>
        <w:tc>
          <w:tcPr>
            <w:tcW w:w="993" w:type="dxa"/>
          </w:tcPr>
          <w:p w:rsidR="00000000" w:rsidRDefault="00000000">
            <w:pPr>
              <w:pStyle w:val="SingleTxt"/>
              <w:spacing w:after="0" w:line="340" w:lineRule="exact"/>
              <w:ind w:left="-57" w:right="0"/>
              <w:rPr>
                <w:szCs w:val="24"/>
                <w:rtl/>
              </w:rPr>
            </w:pPr>
            <w:r>
              <w:rPr>
                <w:szCs w:val="24"/>
                <w:rtl/>
              </w:rPr>
              <w:t>332 74</w:t>
            </w:r>
          </w:p>
        </w:tc>
        <w:tc>
          <w:tcPr>
            <w:tcW w:w="1418" w:type="dxa"/>
          </w:tcPr>
          <w:p w:rsidR="00000000" w:rsidRDefault="00000000">
            <w:pPr>
              <w:pStyle w:val="SingleTxt"/>
              <w:spacing w:after="0" w:line="340" w:lineRule="exact"/>
              <w:ind w:left="-57" w:right="0"/>
              <w:rPr>
                <w:szCs w:val="24"/>
                <w:rtl/>
              </w:rPr>
            </w:pPr>
            <w:r>
              <w:rPr>
                <w:szCs w:val="24"/>
                <w:rtl/>
              </w:rPr>
              <w:t>71.6</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أنثى</w:t>
            </w:r>
          </w:p>
        </w:tc>
        <w:tc>
          <w:tcPr>
            <w:tcW w:w="839" w:type="dxa"/>
          </w:tcPr>
          <w:p w:rsidR="00000000" w:rsidRDefault="00000000">
            <w:pPr>
              <w:pStyle w:val="SingleTxt"/>
              <w:spacing w:after="0" w:line="340" w:lineRule="exact"/>
              <w:ind w:left="-57" w:right="0"/>
              <w:rPr>
                <w:szCs w:val="24"/>
                <w:rtl/>
              </w:rPr>
            </w:pPr>
            <w:r>
              <w:rPr>
                <w:szCs w:val="24"/>
                <w:rtl/>
              </w:rPr>
              <w:t>196 1</w:t>
            </w:r>
          </w:p>
        </w:tc>
        <w:tc>
          <w:tcPr>
            <w:tcW w:w="839" w:type="dxa"/>
          </w:tcPr>
          <w:p w:rsidR="00000000" w:rsidRDefault="00000000">
            <w:pPr>
              <w:pStyle w:val="SingleTxt"/>
              <w:spacing w:after="0" w:line="340" w:lineRule="exact"/>
              <w:ind w:left="-57" w:right="0"/>
              <w:rPr>
                <w:szCs w:val="24"/>
                <w:rtl/>
              </w:rPr>
            </w:pPr>
            <w:r>
              <w:rPr>
                <w:szCs w:val="24"/>
                <w:rtl/>
              </w:rPr>
              <w:t>897 1</w:t>
            </w:r>
          </w:p>
        </w:tc>
        <w:tc>
          <w:tcPr>
            <w:tcW w:w="839" w:type="dxa"/>
          </w:tcPr>
          <w:p w:rsidR="00000000" w:rsidRDefault="00000000">
            <w:pPr>
              <w:pStyle w:val="SingleTxt"/>
              <w:spacing w:after="0" w:line="340" w:lineRule="exact"/>
              <w:ind w:left="-57" w:right="0"/>
              <w:rPr>
                <w:szCs w:val="24"/>
                <w:rtl/>
              </w:rPr>
            </w:pPr>
            <w:r>
              <w:rPr>
                <w:szCs w:val="24"/>
                <w:rtl/>
              </w:rPr>
              <w:t>199 2</w:t>
            </w:r>
          </w:p>
        </w:tc>
        <w:tc>
          <w:tcPr>
            <w:tcW w:w="839" w:type="dxa"/>
          </w:tcPr>
          <w:p w:rsidR="00000000" w:rsidRDefault="00000000">
            <w:pPr>
              <w:pStyle w:val="SingleTxt"/>
              <w:spacing w:after="0" w:line="340" w:lineRule="exact"/>
              <w:ind w:left="-57" w:right="0"/>
              <w:rPr>
                <w:szCs w:val="24"/>
                <w:rtl/>
              </w:rPr>
            </w:pPr>
            <w:r>
              <w:rPr>
                <w:szCs w:val="24"/>
                <w:rtl/>
              </w:rPr>
              <w:t>658 1</w:t>
            </w:r>
          </w:p>
        </w:tc>
        <w:tc>
          <w:tcPr>
            <w:tcW w:w="839" w:type="dxa"/>
          </w:tcPr>
          <w:p w:rsidR="00000000" w:rsidRDefault="00000000">
            <w:pPr>
              <w:pStyle w:val="SingleTxt"/>
              <w:spacing w:after="0" w:line="340" w:lineRule="exact"/>
              <w:ind w:left="-57" w:right="0"/>
              <w:rPr>
                <w:szCs w:val="24"/>
                <w:rtl/>
              </w:rPr>
            </w:pPr>
            <w:r>
              <w:rPr>
                <w:szCs w:val="24"/>
                <w:rtl/>
              </w:rPr>
              <w:t>484 1</w:t>
            </w:r>
          </w:p>
        </w:tc>
        <w:tc>
          <w:tcPr>
            <w:tcW w:w="787" w:type="dxa"/>
          </w:tcPr>
          <w:p w:rsidR="00000000" w:rsidRDefault="00000000">
            <w:pPr>
              <w:pStyle w:val="SingleTxt"/>
              <w:spacing w:after="0" w:line="340" w:lineRule="exact"/>
              <w:ind w:left="-57" w:right="0"/>
              <w:rPr>
                <w:szCs w:val="24"/>
                <w:rtl/>
              </w:rPr>
            </w:pPr>
            <w:r>
              <w:rPr>
                <w:szCs w:val="24"/>
                <w:rtl/>
              </w:rPr>
              <w:t>688</w:t>
            </w:r>
          </w:p>
        </w:tc>
        <w:tc>
          <w:tcPr>
            <w:tcW w:w="850" w:type="dxa"/>
          </w:tcPr>
          <w:p w:rsidR="00000000" w:rsidRDefault="00000000">
            <w:pPr>
              <w:pStyle w:val="SingleTxt"/>
              <w:spacing w:after="0" w:line="340" w:lineRule="exact"/>
              <w:ind w:left="-57" w:right="0"/>
              <w:rPr>
                <w:szCs w:val="24"/>
                <w:rtl/>
              </w:rPr>
            </w:pPr>
            <w:r>
              <w:rPr>
                <w:szCs w:val="24"/>
                <w:rtl/>
              </w:rPr>
              <w:t>122 9</w:t>
            </w:r>
          </w:p>
        </w:tc>
        <w:tc>
          <w:tcPr>
            <w:tcW w:w="993" w:type="dxa"/>
          </w:tcPr>
          <w:p w:rsidR="00000000" w:rsidRDefault="00000000">
            <w:pPr>
              <w:pStyle w:val="SingleTxt"/>
              <w:spacing w:after="0" w:line="340" w:lineRule="exact"/>
              <w:ind w:left="-57" w:right="0"/>
              <w:rPr>
                <w:szCs w:val="24"/>
                <w:rtl/>
              </w:rPr>
            </w:pPr>
            <w:r>
              <w:rPr>
                <w:szCs w:val="24"/>
                <w:rtl/>
              </w:rPr>
              <w:t>423 29</w:t>
            </w:r>
          </w:p>
        </w:tc>
        <w:tc>
          <w:tcPr>
            <w:tcW w:w="1418" w:type="dxa"/>
          </w:tcPr>
          <w:p w:rsidR="00000000" w:rsidRDefault="00000000">
            <w:pPr>
              <w:pStyle w:val="SingleTxt"/>
              <w:spacing w:after="0" w:line="340" w:lineRule="exact"/>
              <w:ind w:left="-57" w:right="0"/>
              <w:rPr>
                <w:szCs w:val="24"/>
                <w:rtl/>
              </w:rPr>
            </w:pPr>
            <w:r>
              <w:rPr>
                <w:szCs w:val="24"/>
                <w:rtl/>
              </w:rPr>
              <w:t>28.3</w:t>
            </w:r>
            <w:r>
              <w:rPr>
                <w:rFonts w:cs="Akhbar MT"/>
                <w:szCs w:val="24"/>
                <w:rtl/>
              </w:rPr>
              <w:t>%</w:t>
            </w:r>
          </w:p>
        </w:tc>
      </w:tr>
      <w:tr w:rsidR="00000000">
        <w:tblPrEx>
          <w:tblCellMar>
            <w:top w:w="0" w:type="dxa"/>
            <w:bottom w:w="0" w:type="dxa"/>
          </w:tblCellMar>
        </w:tblPrEx>
        <w:trPr>
          <w:cantSplit/>
        </w:trPr>
        <w:tc>
          <w:tcPr>
            <w:tcW w:w="1559" w:type="dxa"/>
            <w:vMerge/>
          </w:tcPr>
          <w:p w:rsidR="00000000" w:rsidRDefault="00000000">
            <w:pPr>
              <w:pStyle w:val="SingleTxt"/>
              <w:spacing w:after="0" w:line="340" w:lineRule="exact"/>
              <w:ind w:left="-57" w:right="0"/>
              <w:rPr>
                <w:szCs w:val="24"/>
                <w:rtl/>
              </w:rPr>
            </w:pPr>
          </w:p>
        </w:tc>
        <w:tc>
          <w:tcPr>
            <w:tcW w:w="688" w:type="dxa"/>
          </w:tcPr>
          <w:p w:rsidR="00000000" w:rsidRDefault="00000000">
            <w:pPr>
              <w:pStyle w:val="SingleTxt"/>
              <w:spacing w:after="0" w:line="340" w:lineRule="exact"/>
              <w:ind w:left="-57" w:right="0"/>
              <w:rPr>
                <w:szCs w:val="24"/>
                <w:rtl/>
              </w:rPr>
            </w:pPr>
            <w:r>
              <w:rPr>
                <w:szCs w:val="24"/>
                <w:rtl/>
              </w:rPr>
              <w:t>المجموع</w:t>
            </w:r>
          </w:p>
        </w:tc>
        <w:tc>
          <w:tcPr>
            <w:tcW w:w="839" w:type="dxa"/>
          </w:tcPr>
          <w:p w:rsidR="00000000" w:rsidRDefault="00000000">
            <w:pPr>
              <w:pStyle w:val="SingleTxt"/>
              <w:spacing w:after="0" w:line="340" w:lineRule="exact"/>
              <w:ind w:left="-57" w:right="0"/>
              <w:rPr>
                <w:szCs w:val="24"/>
                <w:rtl/>
              </w:rPr>
            </w:pPr>
            <w:r>
              <w:rPr>
                <w:szCs w:val="24"/>
                <w:rtl/>
              </w:rPr>
              <w:t>937 7</w:t>
            </w:r>
          </w:p>
        </w:tc>
        <w:tc>
          <w:tcPr>
            <w:tcW w:w="839" w:type="dxa"/>
          </w:tcPr>
          <w:p w:rsidR="00000000" w:rsidRDefault="00000000">
            <w:pPr>
              <w:pStyle w:val="SingleTxt"/>
              <w:spacing w:after="0" w:line="340" w:lineRule="exact"/>
              <w:ind w:left="-57" w:right="0"/>
              <w:rPr>
                <w:szCs w:val="24"/>
                <w:rtl/>
              </w:rPr>
            </w:pPr>
            <w:r>
              <w:rPr>
                <w:szCs w:val="24"/>
                <w:rtl/>
              </w:rPr>
              <w:t>910 16</w:t>
            </w:r>
          </w:p>
        </w:tc>
        <w:tc>
          <w:tcPr>
            <w:tcW w:w="839" w:type="dxa"/>
          </w:tcPr>
          <w:p w:rsidR="00000000" w:rsidRDefault="00000000">
            <w:pPr>
              <w:pStyle w:val="SingleTxt"/>
              <w:spacing w:after="0" w:line="340" w:lineRule="exact"/>
              <w:ind w:left="-57" w:right="0"/>
              <w:rPr>
                <w:szCs w:val="24"/>
                <w:rtl/>
              </w:rPr>
            </w:pPr>
            <w:r>
              <w:rPr>
                <w:szCs w:val="24"/>
                <w:rtl/>
              </w:rPr>
              <w:t>174 14</w:t>
            </w:r>
          </w:p>
        </w:tc>
        <w:tc>
          <w:tcPr>
            <w:tcW w:w="839" w:type="dxa"/>
          </w:tcPr>
          <w:p w:rsidR="00000000" w:rsidRDefault="00000000">
            <w:pPr>
              <w:pStyle w:val="SingleTxt"/>
              <w:spacing w:after="0" w:line="340" w:lineRule="exact"/>
              <w:ind w:left="-57" w:right="0"/>
              <w:rPr>
                <w:szCs w:val="24"/>
                <w:rtl/>
              </w:rPr>
            </w:pPr>
            <w:r>
              <w:rPr>
                <w:szCs w:val="24"/>
                <w:rtl/>
              </w:rPr>
              <w:t>161 7</w:t>
            </w:r>
          </w:p>
        </w:tc>
        <w:tc>
          <w:tcPr>
            <w:tcW w:w="839" w:type="dxa"/>
          </w:tcPr>
          <w:p w:rsidR="00000000" w:rsidRDefault="00000000">
            <w:pPr>
              <w:pStyle w:val="SingleTxt"/>
              <w:spacing w:after="0" w:line="340" w:lineRule="exact"/>
              <w:ind w:left="-57" w:right="0"/>
              <w:rPr>
                <w:szCs w:val="24"/>
                <w:rtl/>
              </w:rPr>
            </w:pPr>
            <w:r>
              <w:rPr>
                <w:szCs w:val="24"/>
                <w:rtl/>
              </w:rPr>
              <w:t>138 5</w:t>
            </w:r>
          </w:p>
        </w:tc>
        <w:tc>
          <w:tcPr>
            <w:tcW w:w="787" w:type="dxa"/>
          </w:tcPr>
          <w:p w:rsidR="00000000" w:rsidRDefault="00000000">
            <w:pPr>
              <w:pStyle w:val="SingleTxt"/>
              <w:spacing w:after="0" w:line="340" w:lineRule="exact"/>
              <w:ind w:left="-57" w:right="0"/>
              <w:rPr>
                <w:szCs w:val="24"/>
                <w:rtl/>
              </w:rPr>
            </w:pPr>
            <w:r>
              <w:rPr>
                <w:szCs w:val="24"/>
                <w:rtl/>
              </w:rPr>
              <w:t>555 3</w:t>
            </w:r>
          </w:p>
        </w:tc>
        <w:tc>
          <w:tcPr>
            <w:tcW w:w="850" w:type="dxa"/>
          </w:tcPr>
          <w:p w:rsidR="00000000" w:rsidRDefault="00000000">
            <w:pPr>
              <w:pStyle w:val="SingleTxt"/>
              <w:spacing w:after="0" w:line="340" w:lineRule="exact"/>
              <w:ind w:left="-57" w:right="0"/>
              <w:rPr>
                <w:szCs w:val="24"/>
                <w:rtl/>
              </w:rPr>
            </w:pPr>
            <w:r>
              <w:rPr>
                <w:szCs w:val="24"/>
                <w:rtl/>
              </w:rPr>
              <w:t>874 54</w:t>
            </w:r>
          </w:p>
        </w:tc>
        <w:tc>
          <w:tcPr>
            <w:tcW w:w="993" w:type="dxa"/>
          </w:tcPr>
          <w:p w:rsidR="00000000" w:rsidRDefault="00000000">
            <w:pPr>
              <w:pStyle w:val="SingleTxt"/>
              <w:spacing w:after="0" w:line="340" w:lineRule="exact"/>
              <w:ind w:left="-57" w:right="0"/>
              <w:rPr>
                <w:szCs w:val="24"/>
                <w:rtl/>
              </w:rPr>
            </w:pPr>
            <w:r>
              <w:rPr>
                <w:szCs w:val="24"/>
                <w:rtl/>
              </w:rPr>
              <w:t>755 103</w:t>
            </w:r>
          </w:p>
        </w:tc>
        <w:tc>
          <w:tcPr>
            <w:tcW w:w="1418" w:type="dxa"/>
          </w:tcPr>
          <w:p w:rsidR="00000000" w:rsidRDefault="00000000">
            <w:pPr>
              <w:pStyle w:val="SingleTxt"/>
              <w:spacing w:after="0" w:line="340" w:lineRule="exact"/>
              <w:ind w:left="-57" w:right="0"/>
              <w:rPr>
                <w:szCs w:val="24"/>
                <w:rtl/>
              </w:rPr>
            </w:pPr>
          </w:p>
        </w:tc>
      </w:tr>
    </w:tbl>
    <w:p w:rsidR="00000000" w:rsidRDefault="00000000">
      <w:pPr>
        <w:pStyle w:val="SingleTxt"/>
        <w:ind w:left="1264" w:right="1264"/>
        <w:rPr>
          <w:rtl/>
        </w:rPr>
      </w:pPr>
      <w:r>
        <w:rPr>
          <w:szCs w:val="26"/>
          <w:rtl/>
        </w:rPr>
        <w:t>المصدر: شعبة الاستخدام بمكتب العمل</w:t>
      </w:r>
      <w:r>
        <w:rPr>
          <w:rtl/>
        </w:rPr>
        <w:t>.</w:t>
      </w:r>
    </w:p>
    <w:p w:rsidR="00000000" w:rsidRDefault="00000000">
      <w:pPr>
        <w:pStyle w:val="SingleTxt"/>
        <w:ind w:left="1264" w:right="1264"/>
        <w:rPr>
          <w:rtl/>
        </w:rPr>
      </w:pPr>
      <w:r>
        <w:rPr>
          <w:rtl/>
        </w:rPr>
        <w:tab/>
      </w:r>
      <w:r>
        <w:rPr>
          <w:rtl/>
        </w:rPr>
        <w:tab/>
        <w:t>وتبيِّن الإحصاءات أعلاه أن تنسيب المرأة على المستويات المهنية والعليا هو غالباً متدن جداً بالمقارنة بالتنسيب في الوظائف الكتابية والأعمال الخدمية. وتبين أيضاً أن 28 في المائة فقط من مجموع الباحثات عن وظيفة أنثوية يتمكن من الحصول على وظيفة. ومن الواضح أن هناك فجوة واسعة في فرص العمالة بالمقارنة بالباحثين الذكور عن وظيفة (71 في المائة).</w:t>
      </w:r>
    </w:p>
    <w:p w:rsidR="00000000" w:rsidRDefault="00000000">
      <w:pPr>
        <w:pStyle w:val="SingleTxt"/>
        <w:ind w:left="1264" w:right="1264"/>
        <w:rPr>
          <w:rtl/>
        </w:rPr>
      </w:pPr>
      <w:r>
        <w:rPr>
          <w:rtl/>
        </w:rPr>
        <w:tab/>
      </w:r>
      <w:r>
        <w:rPr>
          <w:rtl/>
        </w:rPr>
        <w:tab/>
        <w:t>ومن شأن ذلك أن يطرح قضية هامة تتعلق بعملية التوظيف والاختيار التي قد تحتاج إلى خط توجيهي واضح بشأن السياسة العامة للجان التوظيف لا لضمان مجرد فرص متكافئة، ولكن أيضاً لاتخاذ تمييز إيجابي من أجل الحفاظ على التوازن بين الجنسين في مجال العمالة.</w:t>
      </w:r>
    </w:p>
    <w:p w:rsidR="00000000" w:rsidRDefault="00000000">
      <w:pPr>
        <w:pStyle w:val="SingleTxt"/>
        <w:ind w:left="1264" w:right="1264"/>
        <w:rPr>
          <w:i/>
          <w:iCs/>
          <w:rtl/>
        </w:rPr>
      </w:pPr>
      <w:r>
        <w:rPr>
          <w:b/>
          <w:bCs/>
          <w:i/>
          <w:iCs/>
          <w:rtl/>
        </w:rPr>
        <w:t>فوارق الأجور</w:t>
      </w:r>
    </w:p>
    <w:p w:rsidR="00000000" w:rsidRDefault="00000000">
      <w:pPr>
        <w:pStyle w:val="SingleTxt"/>
        <w:ind w:left="1264" w:right="1264"/>
        <w:rPr>
          <w:rtl/>
        </w:rPr>
      </w:pPr>
      <w:r>
        <w:rPr>
          <w:rtl/>
        </w:rPr>
        <w:tab/>
      </w:r>
      <w:r>
        <w:rPr>
          <w:rtl/>
        </w:rPr>
        <w:tab/>
        <w:t>تتفاوت الأجور حسب النشاط والمهنة وحجم المؤسسة وخصائص أخرى. وكانت هناك في العهد الاستعماري تفرقة ملحوظة في الأجور بين العمال الذكور والإناث. وبالنسبة لنوع العمل ذاته كان الإعلان عن مرتب الرجل أعلى بكثير عن مرتب العاملة. غير أنه في أريتريا المستقلة، يسمح بالأجور بالنسبة للوظائف والمناصب على أساس الجدارة والمؤهلات لا على أساس الفوارق بين نوع الجنس. وعلى الرغم من أنه محدد بوضوح في قانون العمل (في إطار المادة 41) ”أن صاحب العمل يدفع مرتبات ابتدائية متساوية مقابل العمل من النوع ذاته“، غير أنه من الناحية العملية وبالإشارة إلى المؤسسات الخاصة، وجد أن العمال الذكور تدفع لهم أجور أعلى من العاملات. وصحيح أيضاً أنهم يتمتعون بمزايا علاوات المرتب والترقية أكثر مما يتمتع به العاملات.</w:t>
      </w:r>
    </w:p>
    <w:p w:rsidR="00000000" w:rsidRDefault="00000000">
      <w:pPr>
        <w:pStyle w:val="SingleTxt"/>
        <w:ind w:left="1264" w:right="1264"/>
        <w:rPr>
          <w:rtl/>
        </w:rPr>
      </w:pPr>
      <w:r>
        <w:rPr>
          <w:rtl/>
        </w:rPr>
        <w:tab/>
      </w:r>
      <w:r>
        <w:rPr>
          <w:rtl/>
        </w:rPr>
        <w:tab/>
        <w:t>وثمة ظاهرة أخرى هي ظاهرة هجرة النساء الأريتريات للعمل في الخارج سواء رسمياً عن طريق عقود يرتب أمرها وكلاء مسجلون لدى مكتب العمل أو بطريقة غير قانونية. وعلى الرغم من أنهن يعملن في معظم الحالات كخادمات منازل، فإن البعض منهن يشغلن أعمالاً مهنية وعالية القيمة وهن يساهمن ليس فقط في رفاهية أسرة كل منهم من خلال التحويلات المالية ولكنهن أصبحن أيضاً مصدراً موثوقاً به للنقد الأجنبي في الاقتصاد القومي. ولا تتوفر حالياً بيانات لإحصاءات شاملة عن العمال الإناث اللاتي يعملن في الخارج. وتنص المادة 7 من إعلان العمل على حماية حق العمال الأريتريين في الخارج وتقول إن الحكومة الأريترية سوف تبذل الجهود من خلال سفاراتها وقنصلياتها لضمان حماية حقوق وكرامة الأريتريين العاملين في الخارج.</w:t>
      </w:r>
    </w:p>
    <w:p w:rsidR="00000000" w:rsidRDefault="00000000">
      <w:pPr>
        <w:pStyle w:val="SingleTxt"/>
        <w:ind w:left="1264" w:right="1264"/>
        <w:rPr>
          <w:b/>
          <w:bCs/>
          <w:rtl/>
        </w:rPr>
      </w:pPr>
    </w:p>
    <w:p w:rsidR="00000000" w:rsidRDefault="00000000">
      <w:pPr>
        <w:pStyle w:val="SingleTxt"/>
        <w:spacing w:line="420" w:lineRule="exact"/>
        <w:ind w:left="1264" w:right="1264"/>
        <w:rPr>
          <w:i/>
          <w:iCs/>
          <w:rtl/>
        </w:rPr>
      </w:pPr>
      <w:r>
        <w:rPr>
          <w:b/>
          <w:bCs/>
          <w:i/>
          <w:iCs/>
          <w:rtl/>
        </w:rPr>
        <w:t>إجازة الأمومة</w:t>
      </w:r>
    </w:p>
    <w:p w:rsidR="00000000" w:rsidRDefault="00000000">
      <w:pPr>
        <w:pStyle w:val="SingleTxt"/>
        <w:spacing w:line="420" w:lineRule="exact"/>
        <w:ind w:left="1264" w:right="1264"/>
        <w:rPr>
          <w:rtl/>
        </w:rPr>
      </w:pPr>
      <w:r>
        <w:rPr>
          <w:rtl/>
        </w:rPr>
        <w:tab/>
      </w:r>
      <w:r>
        <w:rPr>
          <w:rtl/>
        </w:rPr>
        <w:tab/>
        <w:t>يحمي إعلان العمل إجازة الأمومة واستحقاقات الأمومة بموجب المادة 16 ونصها كما يلي:</w:t>
      </w:r>
    </w:p>
    <w:p w:rsidR="00000000" w:rsidRDefault="00000000">
      <w:pPr>
        <w:pStyle w:val="SingleTxt"/>
        <w:spacing w:line="420" w:lineRule="exact"/>
        <w:ind w:left="1264" w:right="1264"/>
        <w:rPr>
          <w:rtl/>
        </w:rPr>
      </w:pPr>
      <w:r>
        <w:rPr>
          <w:rtl/>
        </w:rPr>
        <w:tab/>
        <w:t>(1)</w:t>
      </w:r>
      <w:r>
        <w:rPr>
          <w:rtl/>
        </w:rPr>
        <w:tab/>
        <w:t>تمنح الموظفة الحامل إجازة بمرتب للقيام بفحوصات طبية تتعلق بحملها</w:t>
      </w:r>
    </w:p>
    <w:p w:rsidR="00000000" w:rsidRDefault="00000000">
      <w:pPr>
        <w:pStyle w:val="SingleTxt"/>
        <w:spacing w:line="420" w:lineRule="exact"/>
        <w:ind w:left="1264" w:right="1264"/>
        <w:rPr>
          <w:rtl/>
        </w:rPr>
      </w:pPr>
      <w:r>
        <w:rPr>
          <w:rtl/>
        </w:rPr>
        <w:tab/>
        <w:t>(2)</w:t>
      </w:r>
      <w:r>
        <w:rPr>
          <w:rtl/>
        </w:rPr>
        <w:tab/>
        <w:t xml:space="preserve">يحق للموظفة الحامل إجازة أمومة مدفوعة قدرها ستون يوماً متواصلة ابتداءً من </w:t>
      </w:r>
      <w:r>
        <w:rPr>
          <w:rtl/>
        </w:rPr>
        <w:tab/>
      </w:r>
      <w:r>
        <w:rPr>
          <w:rtl/>
        </w:rPr>
        <w:tab/>
        <w:t xml:space="preserve">اليوم التالي لوضعها. غير أنه يجوز لها أن تختار القيام بإجازتها المتعلقة بالأمومة على </w:t>
      </w:r>
      <w:r>
        <w:rPr>
          <w:rtl/>
        </w:rPr>
        <w:tab/>
      </w:r>
      <w:r>
        <w:rPr>
          <w:rtl/>
        </w:rPr>
        <w:tab/>
        <w:t>مرحلتين، مرحلة قبل وضعها الافتراضي ومرحلة بعد الوضع.</w:t>
      </w:r>
    </w:p>
    <w:p w:rsidR="00000000" w:rsidRDefault="00000000">
      <w:pPr>
        <w:pStyle w:val="SingleTxt"/>
        <w:spacing w:line="420" w:lineRule="exact"/>
        <w:ind w:left="1264" w:right="1264"/>
        <w:rPr>
          <w:rtl/>
        </w:rPr>
      </w:pPr>
      <w:r>
        <w:rPr>
          <w:rtl/>
        </w:rPr>
        <w:tab/>
        <w:t>(3)</w:t>
      </w:r>
      <w:r>
        <w:rPr>
          <w:rtl/>
        </w:rPr>
        <w:tab/>
        <w:t xml:space="preserve">تمنح الموظفة التي تمرض عقب نهاية إجازتها المتعلقة بالأمومة، إجازة مرضية بموجب </w:t>
      </w:r>
      <w:r>
        <w:rPr>
          <w:rtl/>
        </w:rPr>
        <w:tab/>
      </w:r>
      <w:r>
        <w:rPr>
          <w:rtl/>
        </w:rPr>
        <w:tab/>
        <w:t xml:space="preserve">المادة 62 من هذا الإعلان قدرها ستة أشهر على أن يكون الشهر الأول مدفوع </w:t>
      </w:r>
      <w:r>
        <w:rPr>
          <w:rtl/>
        </w:rPr>
        <w:tab/>
      </w:r>
      <w:r>
        <w:rPr>
          <w:rtl/>
        </w:rPr>
        <w:tab/>
        <w:t xml:space="preserve">الأجر الكامل (100 في المائة) والشهران التاليان بنسبة 50 في المائة والأشهر الثلاثة </w:t>
      </w:r>
      <w:r>
        <w:rPr>
          <w:rtl/>
        </w:rPr>
        <w:tab/>
      </w:r>
      <w:r>
        <w:rPr>
          <w:rtl/>
        </w:rPr>
        <w:tab/>
        <w:t>التالية بلا أجر).</w:t>
      </w:r>
    </w:p>
    <w:p w:rsidR="00000000" w:rsidRDefault="00000000">
      <w:pPr>
        <w:pStyle w:val="SingleTxt"/>
        <w:spacing w:line="420" w:lineRule="exact"/>
        <w:ind w:left="1264" w:right="1264"/>
        <w:rPr>
          <w:rtl/>
        </w:rPr>
      </w:pPr>
      <w:r>
        <w:rPr>
          <w:rtl/>
        </w:rPr>
        <w:tab/>
      </w:r>
      <w:r>
        <w:rPr>
          <w:rtl/>
        </w:rPr>
        <w:tab/>
        <w:t>ولا تمس إجازة الأمومة الإجازة السنوية. والواقع أن كل إجازة تعامل حسب حقها. ويحق للمرأة الحامل القيام بإجازتها المتعلقة بالأمومة وإجازتها السنوية معاً.</w:t>
      </w:r>
    </w:p>
    <w:p w:rsidR="00000000" w:rsidRDefault="00000000">
      <w:pPr>
        <w:pStyle w:val="SingleTxt"/>
        <w:spacing w:line="420" w:lineRule="exact"/>
        <w:ind w:left="1264" w:right="1264"/>
        <w:rPr>
          <w:rtl/>
        </w:rPr>
      </w:pPr>
      <w:r>
        <w:rPr>
          <w:rtl/>
        </w:rPr>
        <w:tab/>
        <w:t>وقد أشير بوضوح إلى أن قانون العمل لا ينص على إجازة والدية.</w:t>
      </w:r>
    </w:p>
    <w:p w:rsidR="00000000" w:rsidRDefault="00000000">
      <w:pPr>
        <w:pStyle w:val="SingleTxt"/>
        <w:spacing w:line="420" w:lineRule="exact"/>
        <w:ind w:left="1264" w:right="1264"/>
        <w:rPr>
          <w:rtl/>
        </w:rPr>
      </w:pPr>
      <w:r>
        <w:rPr>
          <w:rtl/>
        </w:rPr>
        <w:tab/>
        <w:t>وتنص المادة 67 على توفير ظروف عمل مستقرة للموظفة الحامل. وعندما تكون وظيفة الموظفة الحامل خطرة بالنسبة لحملها أو صحتها يحق لها أن تنقل إلى وظيفة أخرى بالمرتب ذاته ثم تعود إلى وظيفتها السابقة بعد نهاية إجازتها المتعلقة بالأمومة. ويحميها القانون أيضاً من انتدابها للعمل في نوبات ليلية والعمل الإضافي.</w:t>
      </w:r>
    </w:p>
    <w:p w:rsidR="00000000" w:rsidRDefault="00000000">
      <w:pPr>
        <w:pStyle w:val="SingleTxt"/>
        <w:spacing w:line="420" w:lineRule="exact"/>
        <w:ind w:left="1264" w:right="1264"/>
        <w:rPr>
          <w:rtl/>
        </w:rPr>
      </w:pPr>
      <w:r>
        <w:rPr>
          <w:rtl/>
        </w:rPr>
        <w:tab/>
      </w:r>
      <w:r>
        <w:rPr>
          <w:rtl/>
        </w:rPr>
        <w:tab/>
        <w:t>ويعتبر الجنس أساساً غير مشروع لإنهاء العقد (المادة 23). ويزداد تأكيد ذلك في إطار المادة 67 من إعلان العمل التي تنص على أنه لا يحق لصاحب العمل أن ينهي عقد العمل أو أن يقدم إشعاراً بإنهاء عمل موظفة في إجازة أمومة أو في إجازة مرضية نشأت عن حملها.</w:t>
      </w:r>
    </w:p>
    <w:p w:rsidR="00000000" w:rsidRDefault="00000000">
      <w:pPr>
        <w:pStyle w:val="SingleTxt"/>
        <w:spacing w:line="420" w:lineRule="exact"/>
        <w:ind w:left="1264" w:right="1264"/>
        <w:rPr>
          <w:i/>
          <w:iCs/>
          <w:rtl/>
        </w:rPr>
      </w:pPr>
      <w:r>
        <w:rPr>
          <w:b/>
          <w:bCs/>
          <w:i/>
          <w:iCs/>
          <w:rtl/>
        </w:rPr>
        <w:t>مرافق لرعاية الطفل من أجل النساء الموظفات</w:t>
      </w:r>
    </w:p>
    <w:p w:rsidR="00000000" w:rsidRDefault="00000000">
      <w:pPr>
        <w:pStyle w:val="SingleTxt"/>
        <w:spacing w:line="420" w:lineRule="exact"/>
        <w:ind w:left="1264" w:right="1264"/>
        <w:rPr>
          <w:rtl/>
        </w:rPr>
      </w:pPr>
      <w:r>
        <w:rPr>
          <w:rtl/>
        </w:rPr>
        <w:tab/>
      </w:r>
      <w:r>
        <w:rPr>
          <w:rtl/>
        </w:rPr>
        <w:tab/>
        <w:t xml:space="preserve">أصبح التحدي المتمثل في إيجاد طرق للجمع بين مسؤولية الأسرة والعمل مهمة صعبة للغاية بالنسبة لكثير من النساء الأريتريات. ومع ندرة رياض الأطفال الميسورة في المجتمع المحلي وعند وجودها تقدم فقط رعاية نصف نهارية، ولانعدام الكلي لوجود مرافق الرعاية/الحضانة في مكان العمل، أصبح الأمر مسؤولية مخيفة بالنسبة للموظفات. وفي معظم الحالات تتوجه الأمهات إلى أعضاء الأسرة الواسعة أو الأصدقاء للمساعدة في رعاية الطفل. ومن المتوقع أن تتحسن الحالة مع تنفيذ البرنامج الحالي بمساعدة البنك الدولي لمشروعات تنمية الطفولة المبكرة التي تتركز على توفير مرافق رعاية الطفل، وتحسين المكون التربوي لخدمات رعاية الطفل والقائمين الأكفاء برعاية الطفل. ويبلغ عدد المرافق القائمة لما قبل المدرسة بالنسبة للمجموعة العمرية 3 </w:t>
      </w:r>
      <w:r>
        <w:t>–</w:t>
      </w:r>
      <w:r>
        <w:rPr>
          <w:rtl/>
        </w:rPr>
        <w:t xml:space="preserve"> 6 سنوات عبر البلد نحو ما مجموعه 91 مدرسة.</w:t>
      </w:r>
    </w:p>
    <w:p w:rsidR="00000000" w:rsidRDefault="00000000">
      <w:pPr>
        <w:pStyle w:val="SingleTxt"/>
        <w:spacing w:line="420" w:lineRule="exact"/>
        <w:ind w:left="1264" w:right="1264"/>
        <w:rPr>
          <w:rtl/>
        </w:rPr>
      </w:pPr>
      <w:r>
        <w:rPr>
          <w:rtl/>
        </w:rPr>
        <w:tab/>
      </w:r>
      <w:r>
        <w:rPr>
          <w:rtl/>
        </w:rPr>
        <w:tab/>
        <w:t>ولا يغطي إعلان العمل مسألة توفير خدمة نهارية كشرط للعمل. غير أنه بموجب المادة 99 بشأن التفاوض الجماعي، سيكون من حق رابطة الموظفات التفاوض بشأن اتفاق جماعي عندما تسمح ظروف العمل وإجراءات إبرام قواعد للعمل وحل الشكاوى [المادة 102 (4)] ومن المتوقع أن تثير الموظفات هذه النقطة كمسألة محل تفاوض جماعي مما له تأثير كبير بالنسبة لإنشاء بيئة عمل ميسورة للموظفة والطفل. ومن هذا القبيل، يوصى بتشكيل جماعة ضاغطة قوية من خلال رابطة أصحاب العمل واتحاد العمال لامتناع أصحاب العمل وتحقيق أهمية مرافق رعاية الطفل ضمن مباني مكان العمل.</w:t>
      </w:r>
    </w:p>
    <w:p w:rsidR="00000000" w:rsidRDefault="00000000">
      <w:pPr>
        <w:pStyle w:val="SingleTxt"/>
        <w:spacing w:line="420" w:lineRule="exact"/>
        <w:ind w:left="1264" w:right="1264"/>
        <w:rPr>
          <w:i/>
          <w:iCs/>
          <w:rtl/>
        </w:rPr>
      </w:pPr>
      <w:r>
        <w:rPr>
          <w:b/>
          <w:bCs/>
          <w:i/>
          <w:iCs/>
          <w:rtl/>
        </w:rPr>
        <w:t>العمل المنـزلي والعمل المتعلق بالطفل</w:t>
      </w:r>
    </w:p>
    <w:p w:rsidR="00000000" w:rsidRDefault="00000000">
      <w:pPr>
        <w:pStyle w:val="SingleTxt"/>
        <w:spacing w:line="420" w:lineRule="exact"/>
        <w:ind w:left="1264" w:right="1264"/>
        <w:rPr>
          <w:rtl/>
        </w:rPr>
      </w:pPr>
      <w:r>
        <w:rPr>
          <w:rtl/>
        </w:rPr>
        <w:tab/>
      </w:r>
      <w:r>
        <w:rPr>
          <w:rtl/>
        </w:rPr>
        <w:tab/>
        <w:t>بصفة عامة، لا يعتبر العمل المنـزلي أنه عمل له تأثير على الناتج القومي الإجمالي. وعامل المنـزل يعرف بموجب المادة 39 من الإعلان بأنه شخص يستأجر بالدرجة الأولى لأداء واجبات وأشغال المنـزل وصيانة البيت ورعاية أعضاء الأسرة المعيشية والعمل على راحتهم ويشمل البستاني أو الحارس أو السائق. ويدخل في هذه الفئة العمل المنـزلي المدفوع الأجر الذي تقوم به الخادمة وينبغي اعتباره عملاً منـزلياً. ولكن العمل بدون أجر في المنـزل أو في الزراعة وغير ذلك من أنشطة اقتصادية غير مجزية ما زال يتعين الاعتراف به على أنه عمل يسهم في الناتج القومي الإجمالي.</w:t>
      </w:r>
    </w:p>
    <w:p w:rsidR="00000000" w:rsidRDefault="00000000">
      <w:pPr>
        <w:pStyle w:val="SingleTxt"/>
        <w:spacing w:line="420" w:lineRule="exact"/>
        <w:ind w:left="1264" w:right="1264"/>
        <w:rPr>
          <w:rtl/>
        </w:rPr>
      </w:pPr>
      <w:r>
        <w:rPr>
          <w:rtl/>
        </w:rPr>
        <w:tab/>
      </w:r>
      <w:r>
        <w:rPr>
          <w:rtl/>
        </w:rPr>
        <w:tab/>
        <w:t xml:space="preserve">ومن المحظور استخدام شخص دون سن الرابعة عشرة بموجب المادة 68 من إعلان العمل، ولا يسمح للموظف الشاب (14 </w:t>
      </w:r>
      <w:r>
        <w:t>–</w:t>
      </w:r>
      <w:r>
        <w:rPr>
          <w:rtl/>
        </w:rPr>
        <w:t xml:space="preserve"> 18 سنة) بالعمل لأكثر من سبع ساعات في اليوم (بالمقارنة بساعات العمل العادية التي لا يجوز أن تمتد إلى أكثر من ثماني ساعات في اليوم وثماني وأربعين ساعة في الأسبوع، المادة 48).</w:t>
      </w:r>
    </w:p>
    <w:p w:rsidR="00000000" w:rsidRDefault="00000000">
      <w:pPr>
        <w:pStyle w:val="SingleTxt"/>
        <w:spacing w:line="420" w:lineRule="exact"/>
        <w:ind w:left="1264" w:right="1264"/>
        <w:rPr>
          <w:rtl/>
        </w:rPr>
      </w:pPr>
      <w:r>
        <w:rPr>
          <w:rtl/>
        </w:rPr>
        <w:tab/>
      </w:r>
      <w:r>
        <w:rPr>
          <w:rtl/>
        </w:rPr>
        <w:tab/>
        <w:t>ومن الناحية التاريخية، اعتادت بعض المصانع (مثل مصنع الكبريت ومصنع المنسوجات) توظيف فتيات دون السن واستغلال عمل الإناث عن عمد عن طريق دفع أجور منخفضة للغاية وساعات عمل شاقة بما في ذلك النوبات الليلية. واليوم فإنه على الرغم من أن هذا النوع من العمالة غير سائد، فلا يمكن للمرء أن ينكر وجود فتيات دون السن يشتركن على نطاق واسع في أنشطة العمالة الذاتية و/أو يُستَخدَمن في حرفة الخدمات لإعالة أنفسهن وأسرهن.</w:t>
      </w:r>
    </w:p>
    <w:p w:rsidR="00000000" w:rsidRDefault="00000000">
      <w:pPr>
        <w:pStyle w:val="SingleTxt"/>
        <w:spacing w:line="420" w:lineRule="exact"/>
        <w:ind w:left="1264" w:right="1264"/>
        <w:rPr>
          <w:i/>
          <w:iCs/>
          <w:rtl/>
        </w:rPr>
      </w:pPr>
      <w:r>
        <w:rPr>
          <w:b/>
          <w:bCs/>
          <w:i/>
          <w:iCs/>
          <w:rtl/>
        </w:rPr>
        <w:t>قانون الضمان الاجتماعي</w:t>
      </w:r>
    </w:p>
    <w:p w:rsidR="00000000" w:rsidRDefault="00000000">
      <w:pPr>
        <w:pStyle w:val="SingleTxt"/>
        <w:spacing w:line="420" w:lineRule="exact"/>
        <w:ind w:left="1264" w:right="1264"/>
        <w:rPr>
          <w:rtl/>
        </w:rPr>
      </w:pPr>
      <w:r>
        <w:rPr>
          <w:rtl/>
        </w:rPr>
        <w:tab/>
      </w:r>
      <w:r>
        <w:rPr>
          <w:rtl/>
        </w:rPr>
        <w:tab/>
        <w:t>ما زال يتعين تنظيم الحق في الضمان الاجتماعي، وخاصة في حالة التقاعد، والبطالة، والمرض، والعجز، وكبر السن وغير ذلك من عدم القدرة على العمل. ويعطي قانون العمل سلطة لوزارة العمل والرفاهية الإنسانية بموجب المادة 84/85 لإصدار نظم تتعلق بالضمان الاجتماعي وأن تقدم إلى الجمعية الوطنية مشروع قانون ينظم إنشاء مؤسسة و/أو إدارة صندوق ادخار من أجل الموظفين.</w:t>
      </w:r>
    </w:p>
    <w:p w:rsidR="00000000" w:rsidRDefault="00000000">
      <w:pPr>
        <w:pStyle w:val="SingleTxt"/>
        <w:spacing w:line="420" w:lineRule="exact"/>
        <w:ind w:left="1264" w:right="1264"/>
        <w:rPr>
          <w:i/>
          <w:iCs/>
          <w:rtl/>
        </w:rPr>
      </w:pPr>
      <w:r>
        <w:rPr>
          <w:b/>
          <w:bCs/>
          <w:i/>
          <w:iCs/>
          <w:rtl/>
        </w:rPr>
        <w:t>فرص التدريب</w:t>
      </w:r>
    </w:p>
    <w:p w:rsidR="00000000" w:rsidRDefault="00000000">
      <w:pPr>
        <w:pStyle w:val="SingleTxt"/>
        <w:spacing w:line="420" w:lineRule="exact"/>
        <w:ind w:left="1264" w:right="1264"/>
        <w:rPr>
          <w:rtl/>
        </w:rPr>
      </w:pPr>
      <w:r>
        <w:rPr>
          <w:rtl/>
        </w:rPr>
        <w:tab/>
      </w:r>
      <w:r>
        <w:rPr>
          <w:rtl/>
        </w:rPr>
        <w:tab/>
        <w:t>هناك اتجاه عام لتوفير تكافؤ الفرص بالنسبة للتدريب وإعادة التدريب، والتلمذة الصناعية، والتدريب المهني المتقدم، والتدريب في مجال التوظيف بالنسبة للموظفات.</w:t>
      </w:r>
    </w:p>
    <w:p w:rsidR="00000000" w:rsidRDefault="00000000">
      <w:pPr>
        <w:pStyle w:val="SingleTxt"/>
        <w:spacing w:line="420" w:lineRule="exact"/>
        <w:ind w:left="1264" w:right="1264"/>
        <w:rPr>
          <w:rtl/>
        </w:rPr>
      </w:pPr>
      <w:r>
        <w:rPr>
          <w:rtl/>
        </w:rPr>
        <w:tab/>
      </w:r>
      <w:r>
        <w:rPr>
          <w:rtl/>
        </w:rPr>
        <w:tab/>
        <w:t>ويعتبر توفير التدريب أيضاً التزاماً من جانب صاحب العمل باتخاذ خطوات لضمان تدريب الموظفين في مجال العمل الذي تم توظيفهم من أجله (المادة 20/6). غير أنه من الصعب للغاية تقديم بيانات شاملة مفصَّلة حسب نوع الجنس بشأن التدريب الوظيفي المقدم من المؤسسات الخاصة نظراً لأن بيانات الانضمام إلى العمل ليست مصنَّفة حسب نوع الجنس.</w:t>
      </w:r>
    </w:p>
    <w:p w:rsidR="00000000" w:rsidRDefault="00000000">
      <w:pPr>
        <w:pStyle w:val="SingleTxt"/>
        <w:spacing w:line="420" w:lineRule="exact"/>
        <w:ind w:left="1264" w:right="1264"/>
        <w:rPr>
          <w:rtl/>
        </w:rPr>
      </w:pPr>
      <w:r>
        <w:rPr>
          <w:rtl/>
        </w:rPr>
        <w:tab/>
      </w:r>
      <w:r>
        <w:rPr>
          <w:rtl/>
        </w:rPr>
        <w:tab/>
        <w:t>ومن ناحية أخرى، تقوم وزارة التعليم والوزارات الأخرى بإدارة مهارات غير منتظمة وتقوم بتنظيم أعمال تدريب. ووفقاً للجدول التالي يشترك الجزء الأكبر من النساء في أعمال التفصيل والطباعة على الآلة الكاتبة.</w:t>
      </w:r>
    </w:p>
    <w:p w:rsidR="00000000" w:rsidRDefault="00000000">
      <w:pPr>
        <w:pStyle w:val="SingleTxt"/>
        <w:ind w:left="1264" w:right="1264"/>
        <w:rPr>
          <w:rtl/>
        </w:rPr>
      </w:pPr>
      <w:r>
        <w:rPr>
          <w:b/>
          <w:bCs/>
          <w:rtl/>
        </w:rPr>
        <w:br w:type="page"/>
        <w:t xml:space="preserve">الجدول 16 </w:t>
      </w:r>
      <w:r>
        <w:rPr>
          <w:b/>
          <w:bCs/>
        </w:rPr>
        <w:t>–</w:t>
      </w:r>
      <w:r>
        <w:rPr>
          <w:b/>
          <w:bCs/>
          <w:rtl/>
        </w:rPr>
        <w:t xml:space="preserve"> عدد المشتركين حسب البرامج المقدمة من خلال وزارة التعليم ووزارة الصحة ووزارة الزراعة، 1993 </w:t>
      </w:r>
      <w:r>
        <w:rPr>
          <w:b/>
          <w:bCs/>
        </w:rPr>
        <w:t>–</w:t>
      </w:r>
      <w:r>
        <w:rPr>
          <w:b/>
          <w:bCs/>
          <w:rtl/>
        </w:rPr>
        <w:t xml:space="preserve"> 1999</w:t>
      </w:r>
      <w:r>
        <w:rPr>
          <w:rStyle w:val="FootnoteReference"/>
          <w:rtl/>
        </w:rPr>
        <w:footnoteReference w:customMarkFollows="1" w:id="30"/>
        <w:t>(29)</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993"/>
        <w:gridCol w:w="992"/>
        <w:gridCol w:w="1276"/>
        <w:gridCol w:w="1842"/>
      </w:tblGrid>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مجال المهارة</w:t>
            </w:r>
          </w:p>
        </w:tc>
        <w:tc>
          <w:tcPr>
            <w:tcW w:w="993" w:type="dxa"/>
          </w:tcPr>
          <w:p w:rsidR="00000000" w:rsidRDefault="00000000">
            <w:pPr>
              <w:pStyle w:val="SingleTxt"/>
              <w:spacing w:after="0"/>
              <w:ind w:left="0" w:right="0"/>
              <w:jc w:val="center"/>
              <w:rPr>
                <w:b/>
                <w:bCs/>
                <w:szCs w:val="26"/>
                <w:rtl/>
              </w:rPr>
            </w:pPr>
            <w:r>
              <w:rPr>
                <w:b/>
                <w:bCs/>
                <w:szCs w:val="26"/>
                <w:rtl/>
              </w:rPr>
              <w:t>ذكر</w:t>
            </w:r>
          </w:p>
        </w:tc>
        <w:tc>
          <w:tcPr>
            <w:tcW w:w="992" w:type="dxa"/>
          </w:tcPr>
          <w:p w:rsidR="00000000" w:rsidRDefault="00000000">
            <w:pPr>
              <w:pStyle w:val="SingleTxt"/>
              <w:spacing w:after="0"/>
              <w:ind w:left="0" w:right="0"/>
              <w:jc w:val="center"/>
              <w:rPr>
                <w:b/>
                <w:bCs/>
                <w:szCs w:val="26"/>
                <w:rtl/>
              </w:rPr>
            </w:pPr>
            <w:r>
              <w:rPr>
                <w:b/>
                <w:bCs/>
                <w:szCs w:val="26"/>
                <w:rtl/>
              </w:rPr>
              <w:t>أنثى</w:t>
            </w:r>
          </w:p>
        </w:tc>
        <w:tc>
          <w:tcPr>
            <w:tcW w:w="1276" w:type="dxa"/>
          </w:tcPr>
          <w:p w:rsidR="00000000" w:rsidRDefault="00000000">
            <w:pPr>
              <w:pStyle w:val="SingleTxt"/>
              <w:spacing w:after="0"/>
              <w:ind w:left="0" w:right="0"/>
              <w:jc w:val="center"/>
              <w:rPr>
                <w:b/>
                <w:bCs/>
                <w:szCs w:val="26"/>
                <w:rtl/>
              </w:rPr>
            </w:pPr>
            <w:r>
              <w:rPr>
                <w:b/>
                <w:bCs/>
                <w:szCs w:val="26"/>
                <w:rtl/>
              </w:rPr>
              <w:t>المجموع</w:t>
            </w:r>
          </w:p>
        </w:tc>
        <w:tc>
          <w:tcPr>
            <w:tcW w:w="1842" w:type="dxa"/>
          </w:tcPr>
          <w:p w:rsidR="00000000" w:rsidRDefault="00000000">
            <w:pPr>
              <w:pStyle w:val="SingleTxt"/>
              <w:spacing w:after="0"/>
              <w:ind w:left="0" w:right="0"/>
              <w:rPr>
                <w:b/>
                <w:bCs/>
                <w:szCs w:val="26"/>
                <w:rtl/>
              </w:rPr>
            </w:pPr>
            <w:r>
              <w:rPr>
                <w:b/>
                <w:bCs/>
                <w:szCs w:val="26"/>
                <w:rtl/>
              </w:rPr>
              <w:t>النسبة المئوية للإناث</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حفظ التربة والبذور والمياه</w:t>
            </w:r>
          </w:p>
        </w:tc>
        <w:tc>
          <w:tcPr>
            <w:tcW w:w="993" w:type="dxa"/>
          </w:tcPr>
          <w:p w:rsidR="00000000" w:rsidRDefault="00000000">
            <w:pPr>
              <w:pStyle w:val="SingleTxt"/>
              <w:spacing w:after="0"/>
              <w:ind w:left="0" w:right="0"/>
              <w:rPr>
                <w:szCs w:val="26"/>
                <w:rtl/>
              </w:rPr>
            </w:pPr>
            <w:r>
              <w:rPr>
                <w:szCs w:val="26"/>
                <w:rtl/>
              </w:rPr>
              <w:t>710 35</w:t>
            </w:r>
          </w:p>
        </w:tc>
        <w:tc>
          <w:tcPr>
            <w:tcW w:w="992" w:type="dxa"/>
          </w:tcPr>
          <w:p w:rsidR="00000000" w:rsidRDefault="00000000">
            <w:pPr>
              <w:pStyle w:val="SingleTxt"/>
              <w:spacing w:after="0"/>
              <w:ind w:left="0" w:right="0"/>
              <w:rPr>
                <w:szCs w:val="26"/>
                <w:rtl/>
              </w:rPr>
            </w:pPr>
            <w:r>
              <w:rPr>
                <w:szCs w:val="26"/>
                <w:rtl/>
              </w:rPr>
              <w:t>360</w:t>
            </w:r>
          </w:p>
        </w:tc>
        <w:tc>
          <w:tcPr>
            <w:tcW w:w="1276" w:type="dxa"/>
          </w:tcPr>
          <w:p w:rsidR="00000000" w:rsidRDefault="00000000">
            <w:pPr>
              <w:pStyle w:val="SingleTxt"/>
              <w:spacing w:after="0"/>
              <w:ind w:left="0" w:right="0"/>
              <w:rPr>
                <w:szCs w:val="26"/>
                <w:rtl/>
              </w:rPr>
            </w:pPr>
            <w:r>
              <w:rPr>
                <w:szCs w:val="26"/>
                <w:rtl/>
              </w:rPr>
              <w:t>000 36</w:t>
            </w:r>
          </w:p>
        </w:tc>
        <w:tc>
          <w:tcPr>
            <w:tcW w:w="1842" w:type="dxa"/>
          </w:tcPr>
          <w:p w:rsidR="00000000" w:rsidRDefault="00000000">
            <w:pPr>
              <w:pStyle w:val="SingleTxt"/>
              <w:spacing w:after="0"/>
              <w:ind w:left="0" w:right="0"/>
              <w:rPr>
                <w:szCs w:val="26"/>
                <w:rtl/>
              </w:rPr>
            </w:pPr>
            <w:r>
              <w:rPr>
                <w:szCs w:val="26"/>
                <w:rtl/>
              </w:rPr>
              <w:t>0.8</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التفصيل</w:t>
            </w:r>
          </w:p>
        </w:tc>
        <w:tc>
          <w:tcPr>
            <w:tcW w:w="993" w:type="dxa"/>
          </w:tcPr>
          <w:p w:rsidR="00000000" w:rsidRDefault="00000000">
            <w:pPr>
              <w:pStyle w:val="SingleTxt"/>
              <w:spacing w:after="0"/>
              <w:ind w:left="0" w:right="0"/>
              <w:rPr>
                <w:szCs w:val="26"/>
                <w:rtl/>
              </w:rPr>
            </w:pPr>
            <w:r>
              <w:rPr>
                <w:szCs w:val="26"/>
                <w:rtl/>
              </w:rPr>
              <w:t>150</w:t>
            </w:r>
          </w:p>
        </w:tc>
        <w:tc>
          <w:tcPr>
            <w:tcW w:w="992" w:type="dxa"/>
          </w:tcPr>
          <w:p w:rsidR="00000000" w:rsidRDefault="00000000">
            <w:pPr>
              <w:pStyle w:val="SingleTxt"/>
              <w:spacing w:after="0"/>
              <w:ind w:left="0" w:right="0"/>
              <w:rPr>
                <w:szCs w:val="26"/>
                <w:rtl/>
              </w:rPr>
            </w:pPr>
            <w:r>
              <w:rPr>
                <w:szCs w:val="26"/>
                <w:rtl/>
              </w:rPr>
              <w:t>280 20</w:t>
            </w:r>
          </w:p>
        </w:tc>
        <w:tc>
          <w:tcPr>
            <w:tcW w:w="1276" w:type="dxa"/>
          </w:tcPr>
          <w:p w:rsidR="00000000" w:rsidRDefault="00000000">
            <w:pPr>
              <w:pStyle w:val="SingleTxt"/>
              <w:spacing w:after="0"/>
              <w:ind w:left="0" w:right="0"/>
              <w:rPr>
                <w:szCs w:val="26"/>
                <w:rtl/>
              </w:rPr>
            </w:pPr>
            <w:r>
              <w:rPr>
                <w:szCs w:val="26"/>
                <w:rtl/>
              </w:rPr>
              <w:t>430 20</w:t>
            </w:r>
          </w:p>
        </w:tc>
        <w:tc>
          <w:tcPr>
            <w:tcW w:w="1842" w:type="dxa"/>
          </w:tcPr>
          <w:p w:rsidR="00000000" w:rsidRDefault="00000000">
            <w:pPr>
              <w:pStyle w:val="SingleTxt"/>
              <w:spacing w:after="0"/>
              <w:ind w:left="0" w:right="0"/>
              <w:rPr>
                <w:szCs w:val="26"/>
                <w:rtl/>
              </w:rPr>
            </w:pPr>
            <w:r>
              <w:rPr>
                <w:szCs w:val="26"/>
                <w:rtl/>
              </w:rPr>
              <w:t>99.2</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الطباعة على الآلة الكاتبة</w:t>
            </w:r>
          </w:p>
        </w:tc>
        <w:tc>
          <w:tcPr>
            <w:tcW w:w="993" w:type="dxa"/>
          </w:tcPr>
          <w:p w:rsidR="00000000" w:rsidRDefault="00000000">
            <w:pPr>
              <w:pStyle w:val="SingleTxt"/>
              <w:spacing w:after="0"/>
              <w:ind w:left="0" w:right="0"/>
              <w:rPr>
                <w:szCs w:val="26"/>
                <w:rtl/>
              </w:rPr>
            </w:pPr>
            <w:r>
              <w:rPr>
                <w:szCs w:val="26"/>
                <w:rtl/>
              </w:rPr>
              <w:t>250 1</w:t>
            </w:r>
          </w:p>
        </w:tc>
        <w:tc>
          <w:tcPr>
            <w:tcW w:w="992" w:type="dxa"/>
          </w:tcPr>
          <w:p w:rsidR="00000000" w:rsidRDefault="00000000">
            <w:pPr>
              <w:pStyle w:val="SingleTxt"/>
              <w:spacing w:after="0"/>
              <w:ind w:left="0" w:right="0"/>
              <w:rPr>
                <w:szCs w:val="26"/>
                <w:rtl/>
              </w:rPr>
            </w:pPr>
            <w:r>
              <w:rPr>
                <w:szCs w:val="26"/>
                <w:rtl/>
              </w:rPr>
              <w:t>930 11</w:t>
            </w:r>
          </w:p>
        </w:tc>
        <w:tc>
          <w:tcPr>
            <w:tcW w:w="1276" w:type="dxa"/>
          </w:tcPr>
          <w:p w:rsidR="00000000" w:rsidRDefault="00000000">
            <w:pPr>
              <w:pStyle w:val="SingleTxt"/>
              <w:spacing w:after="0"/>
              <w:ind w:left="0" w:right="0"/>
              <w:rPr>
                <w:szCs w:val="26"/>
                <w:rtl/>
              </w:rPr>
            </w:pPr>
            <w:r>
              <w:rPr>
                <w:szCs w:val="26"/>
                <w:rtl/>
              </w:rPr>
              <w:t>180 13</w:t>
            </w:r>
          </w:p>
        </w:tc>
        <w:tc>
          <w:tcPr>
            <w:tcW w:w="1842" w:type="dxa"/>
          </w:tcPr>
          <w:p w:rsidR="00000000" w:rsidRDefault="00000000">
            <w:pPr>
              <w:pStyle w:val="SingleTxt"/>
              <w:spacing w:after="0"/>
              <w:ind w:left="0" w:right="0"/>
              <w:rPr>
                <w:szCs w:val="26"/>
                <w:rtl/>
              </w:rPr>
            </w:pPr>
            <w:r>
              <w:rPr>
                <w:szCs w:val="26"/>
                <w:rtl/>
              </w:rPr>
              <w:t>90.5</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استخدامات الحاسب الآلي</w:t>
            </w:r>
          </w:p>
        </w:tc>
        <w:tc>
          <w:tcPr>
            <w:tcW w:w="993" w:type="dxa"/>
          </w:tcPr>
          <w:p w:rsidR="00000000" w:rsidRDefault="00000000">
            <w:pPr>
              <w:pStyle w:val="SingleTxt"/>
              <w:spacing w:after="0"/>
              <w:ind w:left="0" w:right="0"/>
              <w:rPr>
                <w:szCs w:val="26"/>
                <w:rtl/>
              </w:rPr>
            </w:pPr>
            <w:r>
              <w:rPr>
                <w:szCs w:val="26"/>
                <w:rtl/>
              </w:rPr>
              <w:t>630 2</w:t>
            </w:r>
          </w:p>
        </w:tc>
        <w:tc>
          <w:tcPr>
            <w:tcW w:w="992" w:type="dxa"/>
          </w:tcPr>
          <w:p w:rsidR="00000000" w:rsidRDefault="00000000">
            <w:pPr>
              <w:pStyle w:val="SingleTxt"/>
              <w:spacing w:after="0"/>
              <w:ind w:left="0" w:right="0"/>
              <w:rPr>
                <w:szCs w:val="26"/>
                <w:rtl/>
              </w:rPr>
            </w:pPr>
            <w:r>
              <w:rPr>
                <w:szCs w:val="26"/>
                <w:rtl/>
              </w:rPr>
              <w:t>890 5</w:t>
            </w:r>
          </w:p>
        </w:tc>
        <w:tc>
          <w:tcPr>
            <w:tcW w:w="1276" w:type="dxa"/>
          </w:tcPr>
          <w:p w:rsidR="00000000" w:rsidRDefault="00000000">
            <w:pPr>
              <w:pStyle w:val="SingleTxt"/>
              <w:spacing w:after="0"/>
              <w:ind w:left="0" w:right="0"/>
              <w:rPr>
                <w:szCs w:val="26"/>
                <w:rtl/>
              </w:rPr>
            </w:pPr>
            <w:r>
              <w:rPr>
                <w:szCs w:val="26"/>
                <w:rtl/>
              </w:rPr>
              <w:t>520 8</w:t>
            </w:r>
          </w:p>
        </w:tc>
        <w:tc>
          <w:tcPr>
            <w:tcW w:w="1842" w:type="dxa"/>
          </w:tcPr>
          <w:p w:rsidR="00000000" w:rsidRDefault="00000000">
            <w:pPr>
              <w:pStyle w:val="SingleTxt"/>
              <w:spacing w:after="0"/>
              <w:ind w:left="0" w:right="0"/>
              <w:rPr>
                <w:szCs w:val="26"/>
                <w:rtl/>
              </w:rPr>
            </w:pPr>
            <w:r>
              <w:rPr>
                <w:szCs w:val="26"/>
                <w:rtl/>
              </w:rPr>
              <w:t>69.1</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الميكانيكا ومشغلو الجرارات</w:t>
            </w:r>
          </w:p>
        </w:tc>
        <w:tc>
          <w:tcPr>
            <w:tcW w:w="993" w:type="dxa"/>
          </w:tcPr>
          <w:p w:rsidR="00000000" w:rsidRDefault="00000000">
            <w:pPr>
              <w:pStyle w:val="SingleTxt"/>
              <w:spacing w:after="0"/>
              <w:ind w:left="0" w:right="0"/>
              <w:rPr>
                <w:szCs w:val="26"/>
                <w:rtl/>
              </w:rPr>
            </w:pPr>
            <w:r>
              <w:rPr>
                <w:szCs w:val="26"/>
                <w:rtl/>
              </w:rPr>
              <w:t>740 4</w:t>
            </w:r>
          </w:p>
        </w:tc>
        <w:tc>
          <w:tcPr>
            <w:tcW w:w="992" w:type="dxa"/>
          </w:tcPr>
          <w:p w:rsidR="00000000" w:rsidRDefault="00000000">
            <w:pPr>
              <w:pStyle w:val="SingleTxt"/>
              <w:spacing w:after="0"/>
              <w:ind w:left="0" w:right="0"/>
              <w:rPr>
                <w:szCs w:val="26"/>
                <w:rtl/>
              </w:rPr>
            </w:pPr>
            <w:r>
              <w:rPr>
                <w:szCs w:val="26"/>
                <w:rtl/>
              </w:rPr>
              <w:t>730 1</w:t>
            </w:r>
          </w:p>
        </w:tc>
        <w:tc>
          <w:tcPr>
            <w:tcW w:w="1276" w:type="dxa"/>
          </w:tcPr>
          <w:p w:rsidR="00000000" w:rsidRDefault="00000000">
            <w:pPr>
              <w:pStyle w:val="SingleTxt"/>
              <w:spacing w:after="0"/>
              <w:ind w:left="0" w:right="0"/>
              <w:rPr>
                <w:szCs w:val="26"/>
                <w:rtl/>
              </w:rPr>
            </w:pPr>
            <w:r>
              <w:rPr>
                <w:szCs w:val="26"/>
                <w:rtl/>
              </w:rPr>
              <w:t>460 6</w:t>
            </w:r>
          </w:p>
        </w:tc>
        <w:tc>
          <w:tcPr>
            <w:tcW w:w="1842" w:type="dxa"/>
          </w:tcPr>
          <w:p w:rsidR="00000000" w:rsidRDefault="00000000">
            <w:pPr>
              <w:pStyle w:val="SingleTxt"/>
              <w:spacing w:after="0"/>
              <w:ind w:left="0" w:right="0"/>
              <w:rPr>
                <w:szCs w:val="26"/>
                <w:rtl/>
              </w:rPr>
            </w:pPr>
            <w:r>
              <w:rPr>
                <w:szCs w:val="26"/>
                <w:rtl/>
              </w:rPr>
              <w:t>26.7</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الزراعة العامة والإرشاد</w:t>
            </w:r>
          </w:p>
        </w:tc>
        <w:tc>
          <w:tcPr>
            <w:tcW w:w="993" w:type="dxa"/>
          </w:tcPr>
          <w:p w:rsidR="00000000" w:rsidRDefault="00000000">
            <w:pPr>
              <w:pStyle w:val="SingleTxt"/>
              <w:spacing w:after="0"/>
              <w:ind w:left="0" w:right="0"/>
              <w:rPr>
                <w:szCs w:val="26"/>
                <w:rtl/>
              </w:rPr>
            </w:pPr>
            <w:r>
              <w:rPr>
                <w:szCs w:val="26"/>
                <w:rtl/>
              </w:rPr>
              <w:t>550 5</w:t>
            </w:r>
          </w:p>
        </w:tc>
        <w:tc>
          <w:tcPr>
            <w:tcW w:w="992" w:type="dxa"/>
          </w:tcPr>
          <w:p w:rsidR="00000000" w:rsidRDefault="00000000">
            <w:pPr>
              <w:pStyle w:val="SingleTxt"/>
              <w:spacing w:after="0"/>
              <w:ind w:left="0" w:right="0"/>
              <w:rPr>
                <w:szCs w:val="26"/>
                <w:rtl/>
              </w:rPr>
            </w:pPr>
            <w:r>
              <w:rPr>
                <w:szCs w:val="26"/>
                <w:rtl/>
              </w:rPr>
              <w:t>610</w:t>
            </w:r>
          </w:p>
        </w:tc>
        <w:tc>
          <w:tcPr>
            <w:tcW w:w="1276" w:type="dxa"/>
          </w:tcPr>
          <w:p w:rsidR="00000000" w:rsidRDefault="00000000">
            <w:pPr>
              <w:pStyle w:val="SingleTxt"/>
              <w:spacing w:after="0"/>
              <w:ind w:left="0" w:right="0"/>
              <w:rPr>
                <w:szCs w:val="26"/>
                <w:rtl/>
              </w:rPr>
            </w:pPr>
            <w:r>
              <w:rPr>
                <w:szCs w:val="26"/>
                <w:rtl/>
              </w:rPr>
              <w:t>170 6</w:t>
            </w:r>
          </w:p>
        </w:tc>
        <w:tc>
          <w:tcPr>
            <w:tcW w:w="1842" w:type="dxa"/>
          </w:tcPr>
          <w:p w:rsidR="00000000" w:rsidRDefault="00000000">
            <w:pPr>
              <w:pStyle w:val="SingleTxt"/>
              <w:spacing w:after="0"/>
              <w:ind w:left="0" w:right="0"/>
              <w:rPr>
                <w:szCs w:val="26"/>
                <w:rtl/>
              </w:rPr>
            </w:pPr>
            <w:r>
              <w:rPr>
                <w:szCs w:val="26"/>
                <w:rtl/>
              </w:rPr>
              <w:t>9.8</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الحراجة وحفظ الحيوانات البرية</w:t>
            </w:r>
          </w:p>
        </w:tc>
        <w:tc>
          <w:tcPr>
            <w:tcW w:w="993" w:type="dxa"/>
          </w:tcPr>
          <w:p w:rsidR="00000000" w:rsidRDefault="00000000">
            <w:pPr>
              <w:pStyle w:val="SingleTxt"/>
              <w:spacing w:after="0"/>
              <w:ind w:left="0" w:right="0"/>
              <w:rPr>
                <w:szCs w:val="26"/>
                <w:rtl/>
              </w:rPr>
            </w:pPr>
            <w:r>
              <w:rPr>
                <w:szCs w:val="26"/>
                <w:rtl/>
              </w:rPr>
              <w:t>580 5</w:t>
            </w:r>
          </w:p>
        </w:tc>
        <w:tc>
          <w:tcPr>
            <w:tcW w:w="992" w:type="dxa"/>
          </w:tcPr>
          <w:p w:rsidR="00000000" w:rsidRDefault="00000000">
            <w:pPr>
              <w:pStyle w:val="SingleTxt"/>
              <w:spacing w:after="0"/>
              <w:ind w:left="0" w:right="0"/>
              <w:rPr>
                <w:szCs w:val="26"/>
                <w:rtl/>
              </w:rPr>
            </w:pPr>
            <w:r>
              <w:rPr>
                <w:szCs w:val="26"/>
                <w:rtl/>
              </w:rPr>
              <w:t>صفر</w:t>
            </w:r>
          </w:p>
        </w:tc>
        <w:tc>
          <w:tcPr>
            <w:tcW w:w="1276" w:type="dxa"/>
          </w:tcPr>
          <w:p w:rsidR="00000000" w:rsidRDefault="00000000">
            <w:pPr>
              <w:pStyle w:val="SingleTxt"/>
              <w:spacing w:after="0"/>
              <w:ind w:left="0" w:right="0"/>
              <w:rPr>
                <w:szCs w:val="26"/>
                <w:rtl/>
              </w:rPr>
            </w:pPr>
            <w:r>
              <w:rPr>
                <w:szCs w:val="26"/>
                <w:rtl/>
              </w:rPr>
              <w:t>580 5</w:t>
            </w:r>
          </w:p>
        </w:tc>
        <w:tc>
          <w:tcPr>
            <w:tcW w:w="1842"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التشييد</w:t>
            </w:r>
          </w:p>
        </w:tc>
        <w:tc>
          <w:tcPr>
            <w:tcW w:w="993" w:type="dxa"/>
          </w:tcPr>
          <w:p w:rsidR="00000000" w:rsidRDefault="00000000">
            <w:pPr>
              <w:pStyle w:val="SingleTxt"/>
              <w:spacing w:after="0"/>
              <w:ind w:left="0" w:right="0"/>
              <w:rPr>
                <w:szCs w:val="26"/>
                <w:rtl/>
              </w:rPr>
            </w:pPr>
            <w:r>
              <w:rPr>
                <w:szCs w:val="26"/>
                <w:rtl/>
              </w:rPr>
              <w:t>800 2</w:t>
            </w:r>
          </w:p>
        </w:tc>
        <w:tc>
          <w:tcPr>
            <w:tcW w:w="992" w:type="dxa"/>
          </w:tcPr>
          <w:p w:rsidR="00000000" w:rsidRDefault="00000000">
            <w:pPr>
              <w:pStyle w:val="SingleTxt"/>
              <w:spacing w:after="0"/>
              <w:ind w:left="0" w:right="0"/>
              <w:rPr>
                <w:szCs w:val="26"/>
                <w:rtl/>
              </w:rPr>
            </w:pPr>
            <w:r>
              <w:rPr>
                <w:szCs w:val="26"/>
                <w:rtl/>
              </w:rPr>
              <w:t>360</w:t>
            </w:r>
          </w:p>
        </w:tc>
        <w:tc>
          <w:tcPr>
            <w:tcW w:w="1276" w:type="dxa"/>
          </w:tcPr>
          <w:p w:rsidR="00000000" w:rsidRDefault="00000000">
            <w:pPr>
              <w:pStyle w:val="SingleTxt"/>
              <w:spacing w:after="0"/>
              <w:ind w:left="0" w:right="0"/>
              <w:rPr>
                <w:szCs w:val="26"/>
                <w:rtl/>
              </w:rPr>
            </w:pPr>
            <w:r>
              <w:rPr>
                <w:szCs w:val="26"/>
                <w:rtl/>
              </w:rPr>
              <w:t>160 3</w:t>
            </w:r>
          </w:p>
        </w:tc>
        <w:tc>
          <w:tcPr>
            <w:tcW w:w="1842" w:type="dxa"/>
          </w:tcPr>
          <w:p w:rsidR="00000000" w:rsidRDefault="00000000">
            <w:pPr>
              <w:pStyle w:val="SingleTxt"/>
              <w:spacing w:after="0"/>
              <w:ind w:left="0" w:right="0"/>
              <w:rPr>
                <w:szCs w:val="26"/>
                <w:rtl/>
              </w:rPr>
            </w:pPr>
            <w:r>
              <w:rPr>
                <w:szCs w:val="26"/>
                <w:rtl/>
              </w:rPr>
              <w:t>11.3</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أشغال الخشب والمعادن</w:t>
            </w:r>
          </w:p>
        </w:tc>
        <w:tc>
          <w:tcPr>
            <w:tcW w:w="993" w:type="dxa"/>
          </w:tcPr>
          <w:p w:rsidR="00000000" w:rsidRDefault="00000000">
            <w:pPr>
              <w:pStyle w:val="SingleTxt"/>
              <w:spacing w:after="0"/>
              <w:ind w:left="0" w:right="0"/>
              <w:rPr>
                <w:szCs w:val="26"/>
                <w:rtl/>
              </w:rPr>
            </w:pPr>
            <w:r>
              <w:rPr>
                <w:szCs w:val="26"/>
                <w:rtl/>
              </w:rPr>
              <w:t>170 1</w:t>
            </w:r>
          </w:p>
        </w:tc>
        <w:tc>
          <w:tcPr>
            <w:tcW w:w="992" w:type="dxa"/>
          </w:tcPr>
          <w:p w:rsidR="00000000" w:rsidRDefault="00000000">
            <w:pPr>
              <w:pStyle w:val="SingleTxt"/>
              <w:spacing w:after="0"/>
              <w:ind w:left="0" w:right="0"/>
              <w:rPr>
                <w:szCs w:val="26"/>
                <w:rtl/>
              </w:rPr>
            </w:pPr>
            <w:r>
              <w:rPr>
                <w:szCs w:val="26"/>
                <w:rtl/>
              </w:rPr>
              <w:t>290</w:t>
            </w:r>
          </w:p>
        </w:tc>
        <w:tc>
          <w:tcPr>
            <w:tcW w:w="1276" w:type="dxa"/>
          </w:tcPr>
          <w:p w:rsidR="00000000" w:rsidRDefault="00000000">
            <w:pPr>
              <w:pStyle w:val="SingleTxt"/>
              <w:spacing w:after="0"/>
              <w:ind w:left="0" w:right="0"/>
              <w:rPr>
                <w:szCs w:val="26"/>
                <w:rtl/>
              </w:rPr>
            </w:pPr>
            <w:r>
              <w:rPr>
                <w:szCs w:val="26"/>
                <w:rtl/>
              </w:rPr>
              <w:t>460 1</w:t>
            </w:r>
          </w:p>
        </w:tc>
        <w:tc>
          <w:tcPr>
            <w:tcW w:w="1842" w:type="dxa"/>
          </w:tcPr>
          <w:p w:rsidR="00000000" w:rsidRDefault="00000000">
            <w:pPr>
              <w:pStyle w:val="SingleTxt"/>
              <w:spacing w:after="0"/>
              <w:ind w:left="0" w:right="0"/>
              <w:rPr>
                <w:szCs w:val="26"/>
                <w:rtl/>
              </w:rPr>
            </w:pPr>
            <w:r>
              <w:rPr>
                <w:szCs w:val="26"/>
                <w:rtl/>
              </w:rPr>
              <w:t>19.8</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صحة الحيوان وتربية الحيوان</w:t>
            </w:r>
          </w:p>
        </w:tc>
        <w:tc>
          <w:tcPr>
            <w:tcW w:w="993" w:type="dxa"/>
          </w:tcPr>
          <w:p w:rsidR="00000000" w:rsidRDefault="00000000">
            <w:pPr>
              <w:pStyle w:val="SingleTxt"/>
              <w:spacing w:after="0"/>
              <w:ind w:left="0" w:right="0"/>
              <w:rPr>
                <w:szCs w:val="26"/>
                <w:rtl/>
              </w:rPr>
            </w:pPr>
            <w:r>
              <w:rPr>
                <w:szCs w:val="26"/>
                <w:rtl/>
              </w:rPr>
              <w:t>090 1</w:t>
            </w:r>
          </w:p>
        </w:tc>
        <w:tc>
          <w:tcPr>
            <w:tcW w:w="992" w:type="dxa"/>
          </w:tcPr>
          <w:p w:rsidR="00000000" w:rsidRDefault="00000000">
            <w:pPr>
              <w:pStyle w:val="SingleTxt"/>
              <w:spacing w:after="0"/>
              <w:ind w:left="0" w:right="0"/>
              <w:rPr>
                <w:szCs w:val="26"/>
                <w:rtl/>
              </w:rPr>
            </w:pPr>
            <w:r>
              <w:rPr>
                <w:szCs w:val="26"/>
                <w:rtl/>
              </w:rPr>
              <w:t>200</w:t>
            </w:r>
          </w:p>
        </w:tc>
        <w:tc>
          <w:tcPr>
            <w:tcW w:w="1276" w:type="dxa"/>
          </w:tcPr>
          <w:p w:rsidR="00000000" w:rsidRDefault="00000000">
            <w:pPr>
              <w:pStyle w:val="SingleTxt"/>
              <w:spacing w:after="0"/>
              <w:ind w:left="0" w:right="0"/>
              <w:rPr>
                <w:szCs w:val="26"/>
                <w:rtl/>
              </w:rPr>
            </w:pPr>
            <w:r>
              <w:rPr>
                <w:szCs w:val="26"/>
                <w:rtl/>
              </w:rPr>
              <w:t>290 1</w:t>
            </w:r>
          </w:p>
        </w:tc>
        <w:tc>
          <w:tcPr>
            <w:tcW w:w="1842" w:type="dxa"/>
          </w:tcPr>
          <w:p w:rsidR="00000000" w:rsidRDefault="00000000">
            <w:pPr>
              <w:pStyle w:val="SingleTxt"/>
              <w:spacing w:after="0"/>
              <w:ind w:left="0" w:right="0"/>
              <w:rPr>
                <w:szCs w:val="26"/>
                <w:rtl/>
              </w:rPr>
            </w:pPr>
            <w:r>
              <w:rPr>
                <w:szCs w:val="26"/>
                <w:rtl/>
              </w:rPr>
              <w:t>15.5</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إدارة التجارة والقيادة التجارية</w:t>
            </w:r>
          </w:p>
        </w:tc>
        <w:tc>
          <w:tcPr>
            <w:tcW w:w="993" w:type="dxa"/>
          </w:tcPr>
          <w:p w:rsidR="00000000" w:rsidRDefault="00000000">
            <w:pPr>
              <w:pStyle w:val="SingleTxt"/>
              <w:spacing w:after="0"/>
              <w:ind w:left="0" w:right="0"/>
              <w:rPr>
                <w:szCs w:val="26"/>
                <w:rtl/>
              </w:rPr>
            </w:pPr>
            <w:r>
              <w:rPr>
                <w:szCs w:val="26"/>
                <w:rtl/>
              </w:rPr>
              <w:t>180</w:t>
            </w:r>
          </w:p>
        </w:tc>
        <w:tc>
          <w:tcPr>
            <w:tcW w:w="992" w:type="dxa"/>
          </w:tcPr>
          <w:p w:rsidR="00000000" w:rsidRDefault="00000000">
            <w:pPr>
              <w:pStyle w:val="SingleTxt"/>
              <w:spacing w:after="0"/>
              <w:ind w:left="0" w:right="0"/>
              <w:rPr>
                <w:szCs w:val="26"/>
                <w:rtl/>
              </w:rPr>
            </w:pPr>
            <w:r>
              <w:rPr>
                <w:szCs w:val="26"/>
                <w:rtl/>
              </w:rPr>
              <w:t>700</w:t>
            </w:r>
          </w:p>
        </w:tc>
        <w:tc>
          <w:tcPr>
            <w:tcW w:w="1276" w:type="dxa"/>
          </w:tcPr>
          <w:p w:rsidR="00000000" w:rsidRDefault="00000000">
            <w:pPr>
              <w:pStyle w:val="SingleTxt"/>
              <w:spacing w:after="0"/>
              <w:ind w:left="0" w:right="0"/>
              <w:rPr>
                <w:szCs w:val="26"/>
                <w:rtl/>
              </w:rPr>
            </w:pPr>
            <w:r>
              <w:rPr>
                <w:szCs w:val="26"/>
                <w:rtl/>
              </w:rPr>
              <w:t>890</w:t>
            </w:r>
          </w:p>
        </w:tc>
        <w:tc>
          <w:tcPr>
            <w:tcW w:w="1842" w:type="dxa"/>
          </w:tcPr>
          <w:p w:rsidR="00000000" w:rsidRDefault="00000000">
            <w:pPr>
              <w:pStyle w:val="SingleTxt"/>
              <w:spacing w:after="0"/>
              <w:ind w:left="0" w:right="0"/>
              <w:rPr>
                <w:szCs w:val="26"/>
                <w:rtl/>
              </w:rPr>
            </w:pPr>
            <w:r>
              <w:rPr>
                <w:szCs w:val="26"/>
                <w:rtl/>
              </w:rPr>
              <w:t>87.6</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الميكنة التقنية</w:t>
            </w:r>
          </w:p>
        </w:tc>
        <w:tc>
          <w:tcPr>
            <w:tcW w:w="993" w:type="dxa"/>
          </w:tcPr>
          <w:p w:rsidR="00000000" w:rsidRDefault="00000000">
            <w:pPr>
              <w:pStyle w:val="SingleTxt"/>
              <w:spacing w:after="0"/>
              <w:ind w:left="0" w:right="0"/>
              <w:rPr>
                <w:szCs w:val="26"/>
                <w:rtl/>
              </w:rPr>
            </w:pPr>
            <w:r>
              <w:rPr>
                <w:szCs w:val="26"/>
                <w:rtl/>
              </w:rPr>
              <w:t>300</w:t>
            </w:r>
          </w:p>
        </w:tc>
        <w:tc>
          <w:tcPr>
            <w:tcW w:w="992" w:type="dxa"/>
          </w:tcPr>
          <w:p w:rsidR="00000000" w:rsidRDefault="00000000">
            <w:pPr>
              <w:pStyle w:val="SingleTxt"/>
              <w:spacing w:after="0"/>
              <w:ind w:left="0" w:right="0"/>
              <w:rPr>
                <w:szCs w:val="26"/>
                <w:rtl/>
              </w:rPr>
            </w:pPr>
            <w:r>
              <w:rPr>
                <w:szCs w:val="26"/>
                <w:rtl/>
              </w:rPr>
              <w:t>صفر</w:t>
            </w:r>
          </w:p>
        </w:tc>
        <w:tc>
          <w:tcPr>
            <w:tcW w:w="1276" w:type="dxa"/>
          </w:tcPr>
          <w:p w:rsidR="00000000" w:rsidRDefault="00000000">
            <w:pPr>
              <w:pStyle w:val="SingleTxt"/>
              <w:spacing w:after="0"/>
              <w:ind w:left="0" w:right="0"/>
              <w:rPr>
                <w:szCs w:val="26"/>
                <w:rtl/>
              </w:rPr>
            </w:pPr>
            <w:r>
              <w:rPr>
                <w:szCs w:val="26"/>
                <w:rtl/>
              </w:rPr>
              <w:t>300</w:t>
            </w:r>
          </w:p>
        </w:tc>
        <w:tc>
          <w:tcPr>
            <w:tcW w:w="1842" w:type="dxa"/>
          </w:tcPr>
          <w:p w:rsidR="00000000" w:rsidRDefault="00000000">
            <w:pPr>
              <w:pStyle w:val="SingleTxt"/>
              <w:spacing w:after="0"/>
              <w:ind w:left="0" w:right="0"/>
              <w:rPr>
                <w:szCs w:val="26"/>
                <w:rtl/>
              </w:rPr>
            </w:pPr>
            <w:r>
              <w:rPr>
                <w:szCs w:val="26"/>
                <w:rtl/>
              </w:rPr>
              <w:t>صفر</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التواصل بين الأشخاص</w:t>
            </w:r>
          </w:p>
        </w:tc>
        <w:tc>
          <w:tcPr>
            <w:tcW w:w="993" w:type="dxa"/>
          </w:tcPr>
          <w:p w:rsidR="00000000" w:rsidRDefault="00000000">
            <w:pPr>
              <w:pStyle w:val="SingleTxt"/>
              <w:spacing w:after="0"/>
              <w:ind w:left="0" w:right="0"/>
              <w:rPr>
                <w:szCs w:val="26"/>
                <w:rtl/>
              </w:rPr>
            </w:pPr>
            <w:r>
              <w:rPr>
                <w:szCs w:val="26"/>
                <w:rtl/>
              </w:rPr>
              <w:t>110</w:t>
            </w:r>
          </w:p>
        </w:tc>
        <w:tc>
          <w:tcPr>
            <w:tcW w:w="992" w:type="dxa"/>
          </w:tcPr>
          <w:p w:rsidR="00000000" w:rsidRDefault="00000000">
            <w:pPr>
              <w:pStyle w:val="SingleTxt"/>
              <w:spacing w:after="0"/>
              <w:ind w:left="0" w:right="0"/>
              <w:rPr>
                <w:szCs w:val="26"/>
                <w:rtl/>
              </w:rPr>
            </w:pPr>
            <w:r>
              <w:rPr>
                <w:szCs w:val="26"/>
                <w:rtl/>
              </w:rPr>
              <w:t>50</w:t>
            </w:r>
          </w:p>
        </w:tc>
        <w:tc>
          <w:tcPr>
            <w:tcW w:w="1276" w:type="dxa"/>
          </w:tcPr>
          <w:p w:rsidR="00000000" w:rsidRDefault="00000000">
            <w:pPr>
              <w:pStyle w:val="SingleTxt"/>
              <w:spacing w:after="0"/>
              <w:ind w:left="0" w:right="0"/>
              <w:rPr>
                <w:szCs w:val="26"/>
                <w:rtl/>
              </w:rPr>
            </w:pPr>
            <w:r>
              <w:rPr>
                <w:szCs w:val="26"/>
                <w:rtl/>
              </w:rPr>
              <w:t>160</w:t>
            </w:r>
          </w:p>
        </w:tc>
        <w:tc>
          <w:tcPr>
            <w:tcW w:w="1842" w:type="dxa"/>
          </w:tcPr>
          <w:p w:rsidR="00000000" w:rsidRDefault="00000000">
            <w:pPr>
              <w:pStyle w:val="SingleTxt"/>
              <w:spacing w:after="0"/>
              <w:ind w:left="0" w:right="0"/>
              <w:rPr>
                <w:szCs w:val="26"/>
                <w:rtl/>
              </w:rPr>
            </w:pPr>
            <w:r>
              <w:rPr>
                <w:szCs w:val="26"/>
                <w:rtl/>
              </w:rPr>
              <w:t>31.2</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الفنادق والسياحة</w:t>
            </w:r>
          </w:p>
        </w:tc>
        <w:tc>
          <w:tcPr>
            <w:tcW w:w="993" w:type="dxa"/>
          </w:tcPr>
          <w:p w:rsidR="00000000" w:rsidRDefault="00000000">
            <w:pPr>
              <w:pStyle w:val="SingleTxt"/>
              <w:spacing w:after="0"/>
              <w:ind w:left="0" w:right="0"/>
              <w:rPr>
                <w:szCs w:val="26"/>
                <w:rtl/>
              </w:rPr>
            </w:pPr>
            <w:r>
              <w:rPr>
                <w:szCs w:val="26"/>
                <w:rtl/>
              </w:rPr>
              <w:t>10</w:t>
            </w:r>
          </w:p>
        </w:tc>
        <w:tc>
          <w:tcPr>
            <w:tcW w:w="992" w:type="dxa"/>
          </w:tcPr>
          <w:p w:rsidR="00000000" w:rsidRDefault="00000000">
            <w:pPr>
              <w:pStyle w:val="SingleTxt"/>
              <w:spacing w:after="0"/>
              <w:ind w:left="0" w:right="0"/>
              <w:rPr>
                <w:szCs w:val="26"/>
                <w:rtl/>
              </w:rPr>
            </w:pPr>
            <w:r>
              <w:rPr>
                <w:szCs w:val="26"/>
                <w:rtl/>
              </w:rPr>
              <w:t>110</w:t>
            </w:r>
          </w:p>
        </w:tc>
        <w:tc>
          <w:tcPr>
            <w:tcW w:w="1276" w:type="dxa"/>
          </w:tcPr>
          <w:p w:rsidR="00000000" w:rsidRDefault="00000000">
            <w:pPr>
              <w:pStyle w:val="SingleTxt"/>
              <w:spacing w:after="0"/>
              <w:ind w:left="0" w:right="0"/>
              <w:rPr>
                <w:szCs w:val="26"/>
                <w:rtl/>
              </w:rPr>
            </w:pPr>
            <w:r>
              <w:rPr>
                <w:szCs w:val="26"/>
                <w:rtl/>
              </w:rPr>
              <w:t>120</w:t>
            </w:r>
          </w:p>
        </w:tc>
        <w:tc>
          <w:tcPr>
            <w:tcW w:w="1842" w:type="dxa"/>
          </w:tcPr>
          <w:p w:rsidR="00000000" w:rsidRDefault="00000000">
            <w:pPr>
              <w:pStyle w:val="SingleTxt"/>
              <w:spacing w:after="0"/>
              <w:ind w:left="0" w:right="0"/>
              <w:rPr>
                <w:szCs w:val="26"/>
                <w:rtl/>
              </w:rPr>
            </w:pPr>
            <w:r>
              <w:rPr>
                <w:szCs w:val="26"/>
                <w:rtl/>
              </w:rPr>
              <w:t>91.6</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الكهرباء</w:t>
            </w:r>
          </w:p>
        </w:tc>
        <w:tc>
          <w:tcPr>
            <w:tcW w:w="993" w:type="dxa"/>
          </w:tcPr>
          <w:p w:rsidR="00000000" w:rsidRDefault="00000000">
            <w:pPr>
              <w:pStyle w:val="SingleTxt"/>
              <w:spacing w:after="0"/>
              <w:ind w:left="0" w:right="0"/>
              <w:rPr>
                <w:szCs w:val="26"/>
                <w:rtl/>
              </w:rPr>
            </w:pPr>
            <w:r>
              <w:rPr>
                <w:szCs w:val="26"/>
                <w:rtl/>
              </w:rPr>
              <w:t>100</w:t>
            </w:r>
          </w:p>
        </w:tc>
        <w:tc>
          <w:tcPr>
            <w:tcW w:w="992" w:type="dxa"/>
          </w:tcPr>
          <w:p w:rsidR="00000000" w:rsidRDefault="00000000">
            <w:pPr>
              <w:pStyle w:val="SingleTxt"/>
              <w:spacing w:after="0"/>
              <w:ind w:left="0" w:right="0"/>
              <w:rPr>
                <w:szCs w:val="26"/>
                <w:rtl/>
              </w:rPr>
            </w:pPr>
            <w:r>
              <w:rPr>
                <w:szCs w:val="26"/>
                <w:rtl/>
              </w:rPr>
              <w:t>10</w:t>
            </w:r>
          </w:p>
        </w:tc>
        <w:tc>
          <w:tcPr>
            <w:tcW w:w="1276" w:type="dxa"/>
          </w:tcPr>
          <w:p w:rsidR="00000000" w:rsidRDefault="00000000">
            <w:pPr>
              <w:pStyle w:val="SingleTxt"/>
              <w:spacing w:after="0"/>
              <w:ind w:left="0" w:right="0"/>
              <w:rPr>
                <w:szCs w:val="26"/>
                <w:rtl/>
              </w:rPr>
            </w:pPr>
            <w:r>
              <w:rPr>
                <w:szCs w:val="26"/>
                <w:rtl/>
              </w:rPr>
              <w:t>110</w:t>
            </w:r>
          </w:p>
        </w:tc>
        <w:tc>
          <w:tcPr>
            <w:tcW w:w="1842" w:type="dxa"/>
          </w:tcPr>
          <w:p w:rsidR="00000000" w:rsidRDefault="00000000">
            <w:pPr>
              <w:pStyle w:val="SingleTxt"/>
              <w:spacing w:after="0"/>
              <w:ind w:left="0" w:right="0"/>
              <w:rPr>
                <w:szCs w:val="26"/>
                <w:rtl/>
              </w:rPr>
            </w:pPr>
            <w:r>
              <w:rPr>
                <w:szCs w:val="26"/>
                <w:rtl/>
              </w:rPr>
              <w:t>9.0</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السباكة</w:t>
            </w:r>
          </w:p>
        </w:tc>
        <w:tc>
          <w:tcPr>
            <w:tcW w:w="993" w:type="dxa"/>
          </w:tcPr>
          <w:p w:rsidR="00000000" w:rsidRDefault="00000000">
            <w:pPr>
              <w:pStyle w:val="SingleTxt"/>
              <w:spacing w:after="0"/>
              <w:ind w:left="0" w:right="0"/>
              <w:rPr>
                <w:szCs w:val="26"/>
                <w:rtl/>
              </w:rPr>
            </w:pPr>
            <w:r>
              <w:rPr>
                <w:szCs w:val="26"/>
                <w:rtl/>
              </w:rPr>
              <w:t>60</w:t>
            </w:r>
          </w:p>
        </w:tc>
        <w:tc>
          <w:tcPr>
            <w:tcW w:w="992" w:type="dxa"/>
          </w:tcPr>
          <w:p w:rsidR="00000000" w:rsidRDefault="00000000">
            <w:pPr>
              <w:pStyle w:val="SingleTxt"/>
              <w:spacing w:after="0"/>
              <w:ind w:left="0" w:right="0"/>
              <w:rPr>
                <w:szCs w:val="26"/>
                <w:rtl/>
              </w:rPr>
            </w:pPr>
            <w:r>
              <w:rPr>
                <w:szCs w:val="26"/>
                <w:rtl/>
              </w:rPr>
              <w:t>10</w:t>
            </w:r>
          </w:p>
        </w:tc>
        <w:tc>
          <w:tcPr>
            <w:tcW w:w="1276" w:type="dxa"/>
          </w:tcPr>
          <w:p w:rsidR="00000000" w:rsidRDefault="00000000">
            <w:pPr>
              <w:pStyle w:val="SingleTxt"/>
              <w:spacing w:after="0"/>
              <w:ind w:left="0" w:right="0"/>
              <w:rPr>
                <w:szCs w:val="26"/>
                <w:rtl/>
              </w:rPr>
            </w:pPr>
            <w:r>
              <w:rPr>
                <w:szCs w:val="26"/>
                <w:rtl/>
              </w:rPr>
              <w:t>70</w:t>
            </w:r>
          </w:p>
        </w:tc>
        <w:tc>
          <w:tcPr>
            <w:tcW w:w="1842" w:type="dxa"/>
          </w:tcPr>
          <w:p w:rsidR="00000000" w:rsidRDefault="00000000">
            <w:pPr>
              <w:pStyle w:val="SingleTxt"/>
              <w:spacing w:after="0"/>
              <w:ind w:left="0" w:right="0"/>
              <w:rPr>
                <w:szCs w:val="26"/>
                <w:rtl/>
              </w:rPr>
            </w:pPr>
            <w:r>
              <w:rPr>
                <w:szCs w:val="26"/>
                <w:rtl/>
              </w:rPr>
              <w:t>14.2</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صيد الأسماك</w:t>
            </w:r>
          </w:p>
        </w:tc>
        <w:tc>
          <w:tcPr>
            <w:tcW w:w="993" w:type="dxa"/>
          </w:tcPr>
          <w:p w:rsidR="00000000" w:rsidRDefault="00000000">
            <w:pPr>
              <w:pStyle w:val="SingleTxt"/>
              <w:spacing w:after="0"/>
              <w:ind w:left="0" w:right="0"/>
              <w:rPr>
                <w:szCs w:val="26"/>
                <w:rtl/>
              </w:rPr>
            </w:pPr>
            <w:r>
              <w:rPr>
                <w:szCs w:val="26"/>
                <w:rtl/>
              </w:rPr>
              <w:t>صفر</w:t>
            </w:r>
          </w:p>
        </w:tc>
        <w:tc>
          <w:tcPr>
            <w:tcW w:w="992" w:type="dxa"/>
          </w:tcPr>
          <w:p w:rsidR="00000000" w:rsidRDefault="00000000">
            <w:pPr>
              <w:pStyle w:val="SingleTxt"/>
              <w:spacing w:after="0"/>
              <w:ind w:left="0" w:right="0"/>
              <w:rPr>
                <w:szCs w:val="26"/>
                <w:rtl/>
              </w:rPr>
            </w:pPr>
            <w:r>
              <w:rPr>
                <w:szCs w:val="26"/>
                <w:rtl/>
              </w:rPr>
              <w:t>30</w:t>
            </w:r>
          </w:p>
        </w:tc>
        <w:tc>
          <w:tcPr>
            <w:tcW w:w="1276" w:type="dxa"/>
          </w:tcPr>
          <w:p w:rsidR="00000000" w:rsidRDefault="00000000">
            <w:pPr>
              <w:pStyle w:val="SingleTxt"/>
              <w:spacing w:after="0"/>
              <w:ind w:left="0" w:right="0"/>
              <w:rPr>
                <w:szCs w:val="26"/>
                <w:rtl/>
              </w:rPr>
            </w:pPr>
            <w:r>
              <w:rPr>
                <w:szCs w:val="26"/>
                <w:rtl/>
              </w:rPr>
              <w:t>30</w:t>
            </w:r>
          </w:p>
        </w:tc>
        <w:tc>
          <w:tcPr>
            <w:tcW w:w="1842" w:type="dxa"/>
          </w:tcPr>
          <w:p w:rsidR="00000000" w:rsidRDefault="00000000">
            <w:pPr>
              <w:pStyle w:val="SingleTxt"/>
              <w:spacing w:after="0"/>
              <w:ind w:left="0" w:right="0"/>
              <w:rPr>
                <w:szCs w:val="26"/>
                <w:rtl/>
              </w:rPr>
            </w:pPr>
            <w:r>
              <w:rPr>
                <w:szCs w:val="26"/>
                <w:rtl/>
              </w:rPr>
              <w:t>100</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الميكانيكا العامة</w:t>
            </w:r>
          </w:p>
        </w:tc>
        <w:tc>
          <w:tcPr>
            <w:tcW w:w="993" w:type="dxa"/>
          </w:tcPr>
          <w:p w:rsidR="00000000" w:rsidRDefault="00000000">
            <w:pPr>
              <w:pStyle w:val="SingleTxt"/>
              <w:spacing w:after="0"/>
              <w:ind w:left="0" w:right="0"/>
              <w:rPr>
                <w:szCs w:val="26"/>
                <w:rtl/>
              </w:rPr>
            </w:pPr>
            <w:r>
              <w:rPr>
                <w:szCs w:val="26"/>
                <w:rtl/>
              </w:rPr>
              <w:t>20</w:t>
            </w:r>
          </w:p>
        </w:tc>
        <w:tc>
          <w:tcPr>
            <w:tcW w:w="992" w:type="dxa"/>
          </w:tcPr>
          <w:p w:rsidR="00000000" w:rsidRDefault="00000000">
            <w:pPr>
              <w:pStyle w:val="SingleTxt"/>
              <w:spacing w:after="0"/>
              <w:ind w:left="0" w:right="0"/>
              <w:rPr>
                <w:szCs w:val="26"/>
                <w:rtl/>
              </w:rPr>
            </w:pPr>
            <w:r>
              <w:rPr>
                <w:szCs w:val="26"/>
                <w:rtl/>
              </w:rPr>
              <w:t>6</w:t>
            </w:r>
          </w:p>
        </w:tc>
        <w:tc>
          <w:tcPr>
            <w:tcW w:w="1276" w:type="dxa"/>
          </w:tcPr>
          <w:p w:rsidR="00000000" w:rsidRDefault="00000000">
            <w:pPr>
              <w:pStyle w:val="SingleTxt"/>
              <w:spacing w:after="0"/>
              <w:ind w:left="0" w:right="0"/>
              <w:rPr>
                <w:szCs w:val="26"/>
                <w:rtl/>
              </w:rPr>
            </w:pPr>
            <w:r>
              <w:rPr>
                <w:szCs w:val="26"/>
                <w:rtl/>
              </w:rPr>
              <w:t>26</w:t>
            </w:r>
          </w:p>
        </w:tc>
        <w:tc>
          <w:tcPr>
            <w:tcW w:w="1842" w:type="dxa"/>
          </w:tcPr>
          <w:p w:rsidR="00000000" w:rsidRDefault="00000000">
            <w:pPr>
              <w:pStyle w:val="SingleTxt"/>
              <w:spacing w:after="0"/>
              <w:ind w:left="0" w:right="0"/>
              <w:rPr>
                <w:szCs w:val="26"/>
                <w:rtl/>
              </w:rPr>
            </w:pPr>
            <w:r>
              <w:rPr>
                <w:szCs w:val="26"/>
                <w:rtl/>
              </w:rPr>
              <w:t>23</w:t>
            </w:r>
          </w:p>
        </w:tc>
      </w:tr>
      <w:tr w:rsidR="00000000">
        <w:tblPrEx>
          <w:tblCellMar>
            <w:top w:w="0" w:type="dxa"/>
            <w:bottom w:w="0" w:type="dxa"/>
          </w:tblCellMar>
        </w:tblPrEx>
        <w:tc>
          <w:tcPr>
            <w:tcW w:w="2693" w:type="dxa"/>
          </w:tcPr>
          <w:p w:rsidR="00000000" w:rsidRDefault="00000000">
            <w:pPr>
              <w:pStyle w:val="SingleTxt"/>
              <w:spacing w:after="0"/>
              <w:ind w:left="0" w:right="0"/>
              <w:rPr>
                <w:szCs w:val="26"/>
                <w:rtl/>
              </w:rPr>
            </w:pPr>
            <w:r>
              <w:rPr>
                <w:szCs w:val="26"/>
                <w:rtl/>
              </w:rPr>
              <w:t>المجموع</w:t>
            </w:r>
          </w:p>
        </w:tc>
        <w:tc>
          <w:tcPr>
            <w:tcW w:w="993" w:type="dxa"/>
          </w:tcPr>
          <w:p w:rsidR="00000000" w:rsidRDefault="00000000">
            <w:pPr>
              <w:pStyle w:val="SingleTxt"/>
              <w:spacing w:after="0"/>
              <w:ind w:left="0" w:right="0"/>
              <w:rPr>
                <w:szCs w:val="26"/>
                <w:rtl/>
              </w:rPr>
            </w:pPr>
            <w:r>
              <w:rPr>
                <w:szCs w:val="26"/>
                <w:rtl/>
              </w:rPr>
              <w:t>450 61</w:t>
            </w:r>
          </w:p>
        </w:tc>
        <w:tc>
          <w:tcPr>
            <w:tcW w:w="992" w:type="dxa"/>
          </w:tcPr>
          <w:p w:rsidR="00000000" w:rsidRDefault="00000000">
            <w:pPr>
              <w:pStyle w:val="SingleTxt"/>
              <w:spacing w:after="0"/>
              <w:ind w:left="0" w:right="0"/>
              <w:rPr>
                <w:szCs w:val="26"/>
                <w:rtl/>
              </w:rPr>
            </w:pPr>
            <w:r>
              <w:rPr>
                <w:szCs w:val="26"/>
                <w:rtl/>
              </w:rPr>
              <w:t>566 42</w:t>
            </w:r>
          </w:p>
        </w:tc>
        <w:tc>
          <w:tcPr>
            <w:tcW w:w="1276" w:type="dxa"/>
          </w:tcPr>
          <w:p w:rsidR="00000000" w:rsidRDefault="00000000">
            <w:pPr>
              <w:pStyle w:val="SingleTxt"/>
              <w:spacing w:after="0"/>
              <w:ind w:left="0" w:right="0"/>
              <w:rPr>
                <w:szCs w:val="26"/>
                <w:rtl/>
              </w:rPr>
            </w:pPr>
            <w:r>
              <w:rPr>
                <w:szCs w:val="26"/>
                <w:rtl/>
              </w:rPr>
              <w:t>570 103</w:t>
            </w:r>
          </w:p>
        </w:tc>
        <w:tc>
          <w:tcPr>
            <w:tcW w:w="1842" w:type="dxa"/>
          </w:tcPr>
          <w:p w:rsidR="00000000" w:rsidRDefault="00000000">
            <w:pPr>
              <w:pStyle w:val="SingleTxt"/>
              <w:spacing w:after="0"/>
              <w:ind w:left="0" w:right="0"/>
              <w:rPr>
                <w:szCs w:val="26"/>
                <w:rtl/>
              </w:rPr>
            </w:pPr>
          </w:p>
        </w:tc>
      </w:tr>
    </w:tbl>
    <w:p w:rsidR="00000000" w:rsidRDefault="00000000">
      <w:pPr>
        <w:pStyle w:val="SingleTxt"/>
        <w:ind w:left="1264" w:right="1264"/>
        <w:rPr>
          <w:rtl/>
        </w:rPr>
      </w:pPr>
      <w:r>
        <w:rPr>
          <w:szCs w:val="26"/>
          <w:rtl/>
        </w:rPr>
        <w:t>المصدر: وزارة التعليم، إدارة تعليم الكبار والتعليم التقني</w:t>
      </w:r>
      <w:r>
        <w:rPr>
          <w:rtl/>
        </w:rPr>
        <w:t>.</w:t>
      </w:r>
    </w:p>
    <w:p w:rsidR="00000000" w:rsidRDefault="00000000">
      <w:pPr>
        <w:pStyle w:val="SingleTxt"/>
        <w:ind w:left="1264" w:right="1264"/>
        <w:rPr>
          <w:rtl/>
        </w:rPr>
      </w:pPr>
      <w:r>
        <w:rPr>
          <w:rtl/>
        </w:rPr>
        <w:tab/>
      </w:r>
      <w:r>
        <w:rPr>
          <w:rtl/>
        </w:rPr>
        <w:tab/>
        <w:t>وبالإضافة إلى ذلك، قامت وزارة الدفاع بتنظيم عمالة موجهة نحو التدريب غير النظامي مع التأكيد بصفة خاصة على الوظائف التي تعتبر ”وظائف ذكرية“ مثل مشغلي الجرارات الثقيلة والنجارة والبناء والسباكة، إلخ. وقد شارك نحو 545 3 امرأة شابة عضو في الخدمة الوطنية في هذا التدريب منهن 629 سائقات جرارات و248 مشغلات آلات ثقيلة و201 سبَّاكة و171 كهربائية. واستخدم عدد لا بأس به من المتدربين بعد تخرجهم مباشرة، ويقومون بعمل ممتاز على الطبيعة.</w:t>
      </w:r>
    </w:p>
    <w:p w:rsidR="00000000" w:rsidRDefault="00000000">
      <w:pPr>
        <w:pStyle w:val="SingleTxt"/>
        <w:ind w:left="1264" w:right="1264"/>
        <w:rPr>
          <w:rtl/>
        </w:rPr>
      </w:pPr>
      <w:r>
        <w:rPr>
          <w:rtl/>
        </w:rPr>
        <w:tab/>
      </w:r>
      <w:r>
        <w:rPr>
          <w:rtl/>
        </w:rPr>
        <w:tab/>
        <w:t xml:space="preserve">ويقوم أيضاً الاتحاد الوطني للنساء الأريتريات والاتحاد الوطني للشباب والطلبة الأريتريين ومنظمات غير حكومية أخرى بتوفير تدريب غير نظامي على المهارات من أجل المرأة (3 </w:t>
      </w:r>
      <w:r>
        <w:t>–</w:t>
      </w:r>
      <w:r>
        <w:rPr>
          <w:rtl/>
        </w:rPr>
        <w:t xml:space="preserve"> 6 أشهر من الدورات) بهدف الارتقاء بمستوى قدراتهن و/أو تهيئة ظروف للعمالة والعمالة الذاتية.</w:t>
      </w:r>
    </w:p>
    <w:p w:rsidR="00000000" w:rsidRDefault="00000000">
      <w:pPr>
        <w:pStyle w:val="SingleTxt"/>
        <w:ind w:left="1264" w:right="1264"/>
        <w:rPr>
          <w:rtl/>
        </w:rPr>
      </w:pPr>
      <w:r>
        <w:rPr>
          <w:b/>
          <w:bCs/>
          <w:rtl/>
        </w:rPr>
        <w:t xml:space="preserve">المادة 12 </w:t>
      </w:r>
      <w:r>
        <w:rPr>
          <w:b/>
          <w:bCs/>
        </w:rPr>
        <w:t>–</w:t>
      </w:r>
      <w:r>
        <w:rPr>
          <w:b/>
          <w:bCs/>
          <w:rtl/>
        </w:rPr>
        <w:t xml:space="preserve"> الصحة</w:t>
      </w:r>
    </w:p>
    <w:p w:rsidR="00000000" w:rsidRDefault="00000000">
      <w:pPr>
        <w:pStyle w:val="SingleTxt"/>
        <w:ind w:left="1264" w:right="1264"/>
        <w:rPr>
          <w:rtl/>
        </w:rPr>
      </w:pPr>
      <w:r>
        <w:rPr>
          <w:rtl/>
        </w:rPr>
        <w:tab/>
      </w:r>
      <w:r>
        <w:rPr>
          <w:rtl/>
        </w:rPr>
        <w:tab/>
        <w:t>تمثل وزارة الصحة المقدم الرئيسي للخدمات الصحية في أريتريا. ويتمثل هدفها الأساسي في توفير الصحة الجسدية والعقلية والاجتماعية للسكان عن طريق الأخذ بالنهج الوقائية والعلاجية. وتقدم سياسة الصحة الوطنية على مفهوم ومبادئ الرعاية الصحية الأولية، ويتم تصميمها وتطويرها على نحو تخدم معه صالح أغلبية السكان</w:t>
      </w:r>
      <w:r>
        <w:rPr>
          <w:rStyle w:val="FootnoteReference"/>
          <w:rtl/>
        </w:rPr>
        <w:footnoteReference w:customMarkFollows="1" w:id="31"/>
        <w:t>(30)</w:t>
      </w:r>
      <w:r>
        <w:rPr>
          <w:rtl/>
        </w:rPr>
        <w:t>.</w:t>
      </w:r>
    </w:p>
    <w:p w:rsidR="00000000" w:rsidRDefault="00000000">
      <w:pPr>
        <w:pStyle w:val="SingleTxt"/>
        <w:ind w:left="1264" w:right="1264"/>
        <w:rPr>
          <w:rtl/>
        </w:rPr>
      </w:pPr>
      <w:r>
        <w:rPr>
          <w:rtl/>
        </w:rPr>
        <w:tab/>
      </w:r>
      <w:r>
        <w:rPr>
          <w:rtl/>
        </w:rPr>
        <w:tab/>
        <w:t>والوضع الاجتماعي والاقتصادي المنخفض للسكان وتدهور المرافق الصحية الأساسية وقت الاستقلال أرغم الحكومة على توفير الخدمات الصحية بتكلفة اسمية أو مجانية. غير أنه في عام 1995، تم الأخذ بنظام لاستعادة التكلفة على أساس متفاوت، على أن تسدد أدنى رسوم على مستوى المحطات الصحية وأعلى رسوم على مستوى المستشفيات الجامعية. وحتى مع هذه الرسوم التي يتم جمعها، فإن وزارة الصحة لم تتمكن سوى استعادة 8 في المائة فقط من تكاليف الخدمات الصحية</w:t>
      </w:r>
      <w:r>
        <w:rPr>
          <w:rStyle w:val="FootnoteReference"/>
          <w:rtl/>
        </w:rPr>
        <w:footnoteReference w:customMarkFollows="1" w:id="32"/>
        <w:t>(31)</w:t>
      </w:r>
      <w:r>
        <w:rPr>
          <w:rtl/>
        </w:rPr>
        <w:t>.</w:t>
      </w:r>
    </w:p>
    <w:p w:rsidR="00000000" w:rsidRDefault="00000000">
      <w:pPr>
        <w:pStyle w:val="SingleTxt"/>
        <w:ind w:left="1264" w:right="1264"/>
        <w:rPr>
          <w:rtl/>
        </w:rPr>
      </w:pPr>
      <w:r>
        <w:rPr>
          <w:rtl/>
        </w:rPr>
        <w:tab/>
      </w:r>
      <w:r>
        <w:rPr>
          <w:rtl/>
        </w:rPr>
        <w:tab/>
        <w:t>وتشجع الوزارة على اشتراك المنظمات غير الحكومية والقطاع الخاص في تقديم الخدمات الصحية. وفي عام 2000 كان هناك ما مجموعه 315 مرفقاً صحياً، منها 37 مرفقاً تمتلكه المنظمات غير الحكومية الأخرى.</w:t>
      </w:r>
    </w:p>
    <w:p w:rsidR="00000000" w:rsidRDefault="00000000">
      <w:pPr>
        <w:pStyle w:val="SingleTxt"/>
        <w:ind w:left="1264" w:right="1264"/>
        <w:rPr>
          <w:rtl/>
        </w:rPr>
      </w:pPr>
      <w:r>
        <w:rPr>
          <w:rtl/>
        </w:rPr>
        <w:tab/>
      </w:r>
      <w:r>
        <w:rPr>
          <w:rtl/>
        </w:rPr>
        <w:tab/>
        <w:t>ويوجد نحو 470 3 من موظفي الصحة الأكفاء يعملون تحت إشراف وزارة الصحة ومنهم 52 في المائة امرأة. والممرضات المسجلات والمرضعات والقابلات والمعاونون الصحيون وتقنيو الأسنان هي كلها مهن تسيطر عليها النساء. غير أنه عندما يتعلق الأمر بوظيفة إدارية، فإن هناك 23 رئيس وحدة منهم ست نساء (أي 26 في المائة). وامرأة واحدة من بين ست نساء ترأس شعبة ولا توجد امرأة تشغل منصب المدير العام.</w:t>
      </w:r>
    </w:p>
    <w:p w:rsidR="00000000" w:rsidRDefault="00000000">
      <w:pPr>
        <w:pStyle w:val="SingleTxt"/>
        <w:ind w:left="1264" w:right="1264"/>
        <w:rPr>
          <w:rtl/>
        </w:rPr>
      </w:pPr>
      <w:r>
        <w:rPr>
          <w:rtl/>
        </w:rPr>
        <w:tab/>
      </w:r>
      <w:r>
        <w:rPr>
          <w:rtl/>
        </w:rPr>
        <w:tab/>
        <w:t>والرعاية الصحية الأولية، وهي إحدى الإدارات الفنية الرئيسية بوزارة الصحة، مسؤولة عن النهوض بالصحة والوقاية من الأمراض. وكان إقرار برامج الأمومة السالمة والإدارة المتكاملة لأمراض الطفولة خطوة رئيسية نحو تحسين صحة الأم والطفل.</w:t>
      </w:r>
    </w:p>
    <w:p w:rsidR="00000000" w:rsidRDefault="00000000">
      <w:pPr>
        <w:pStyle w:val="SingleTxt"/>
        <w:ind w:left="1264" w:right="1264"/>
        <w:rPr>
          <w:rtl/>
        </w:rPr>
      </w:pPr>
      <w:r>
        <w:rPr>
          <w:rtl/>
        </w:rPr>
        <w:tab/>
      </w:r>
      <w:r>
        <w:rPr>
          <w:rtl/>
        </w:rPr>
        <w:tab/>
        <w:t>وتركز الرعاية الصحية الأولية من خلال الوحدة الصحية للأسرة والمجتمع المحلي على الأنشطة التالية</w:t>
      </w:r>
      <w:r>
        <w:rPr>
          <w:rStyle w:val="FootnoteReference"/>
          <w:rtl/>
        </w:rPr>
        <w:footnoteReference w:customMarkFollows="1" w:id="33"/>
        <w:t>(32)</w:t>
      </w:r>
      <w:r>
        <w:rPr>
          <w:rtl/>
        </w:rPr>
        <w:t>:</w:t>
      </w:r>
    </w:p>
    <w:p w:rsidR="00000000" w:rsidRDefault="00000000">
      <w:pPr>
        <w:pStyle w:val="SingleTxt"/>
        <w:ind w:left="1264" w:right="1264"/>
        <w:rPr>
          <w:rtl/>
        </w:rPr>
      </w:pPr>
      <w:r>
        <w:rPr>
          <w:rtl/>
        </w:rPr>
        <w:t>•</w:t>
      </w:r>
      <w:r>
        <w:rPr>
          <w:rtl/>
        </w:rPr>
        <w:tab/>
        <w:t>تحسين صحة الأم من خلال برنامج الأمومة السالمة</w:t>
      </w:r>
    </w:p>
    <w:p w:rsidR="00000000" w:rsidRDefault="00000000">
      <w:pPr>
        <w:pStyle w:val="SingleTxt"/>
        <w:ind w:left="1264" w:right="1264"/>
        <w:rPr>
          <w:rtl/>
        </w:rPr>
      </w:pPr>
      <w:r>
        <w:rPr>
          <w:rtl/>
        </w:rPr>
        <w:t>•</w:t>
      </w:r>
      <w:r>
        <w:rPr>
          <w:rtl/>
        </w:rPr>
        <w:tab/>
        <w:t xml:space="preserve">توفير خدمات الصحة الإنجابية، بما في ذلك الصحة الإنجابية للمراهقين، وخدمات </w:t>
      </w:r>
      <w:r>
        <w:rPr>
          <w:rtl/>
        </w:rPr>
        <w:tab/>
      </w:r>
      <w:r>
        <w:rPr>
          <w:rtl/>
        </w:rPr>
        <w:tab/>
        <w:t>تنظيم الأسرة</w:t>
      </w:r>
    </w:p>
    <w:p w:rsidR="00000000" w:rsidRDefault="00000000">
      <w:pPr>
        <w:pStyle w:val="SingleTxt"/>
        <w:ind w:left="1264" w:right="1264"/>
        <w:rPr>
          <w:rtl/>
        </w:rPr>
      </w:pPr>
      <w:r>
        <w:rPr>
          <w:rtl/>
        </w:rPr>
        <w:t>•</w:t>
      </w:r>
      <w:r>
        <w:rPr>
          <w:rtl/>
        </w:rPr>
        <w:tab/>
        <w:t>توفير خدمات الصحة المدرسية</w:t>
      </w:r>
    </w:p>
    <w:p w:rsidR="00000000" w:rsidRDefault="00000000">
      <w:pPr>
        <w:pStyle w:val="SingleTxt"/>
        <w:ind w:left="1264" w:right="1264"/>
        <w:rPr>
          <w:rtl/>
        </w:rPr>
      </w:pPr>
      <w:r>
        <w:rPr>
          <w:rtl/>
        </w:rPr>
        <w:t>•</w:t>
      </w:r>
      <w:r>
        <w:rPr>
          <w:rtl/>
        </w:rPr>
        <w:tab/>
        <w:t xml:space="preserve">خلق الوعي بشأن تجنب الممارسات التقليدية الضارة، مثل بتـر جزء من العضو </w:t>
      </w:r>
      <w:r>
        <w:rPr>
          <w:rtl/>
        </w:rPr>
        <w:tab/>
      </w:r>
      <w:r>
        <w:rPr>
          <w:rtl/>
        </w:rPr>
        <w:tab/>
        <w:t>التناسلي للأنثى</w:t>
      </w:r>
    </w:p>
    <w:p w:rsidR="00000000" w:rsidRDefault="00000000">
      <w:pPr>
        <w:pStyle w:val="SingleTxt"/>
        <w:ind w:left="1264" w:right="1264"/>
        <w:rPr>
          <w:rtl/>
        </w:rPr>
      </w:pPr>
      <w:r>
        <w:rPr>
          <w:rtl/>
        </w:rPr>
        <w:t>•</w:t>
      </w:r>
      <w:r>
        <w:rPr>
          <w:rtl/>
        </w:rPr>
        <w:tab/>
        <w:t xml:space="preserve">أنشطة بناء القدرة لتنفيذ برامج الأمومة السالمة والإدارة المتكاملة لأمراض الطفولة </w:t>
      </w:r>
      <w:r>
        <w:rPr>
          <w:rtl/>
        </w:rPr>
        <w:tab/>
      </w:r>
      <w:r>
        <w:rPr>
          <w:rtl/>
        </w:rPr>
        <w:tab/>
        <w:t>والبرامج الأخرى لصحة الطفل</w:t>
      </w:r>
    </w:p>
    <w:p w:rsidR="00000000" w:rsidRDefault="00000000">
      <w:pPr>
        <w:pStyle w:val="SingleTxt"/>
        <w:ind w:left="1264" w:right="1264"/>
        <w:rPr>
          <w:i/>
          <w:iCs/>
          <w:rtl/>
        </w:rPr>
      </w:pPr>
      <w:r>
        <w:rPr>
          <w:b/>
          <w:bCs/>
          <w:i/>
          <w:iCs/>
          <w:rtl/>
        </w:rPr>
        <w:t>الوصول إلى المرافق الصحية وتوافرها</w:t>
      </w:r>
    </w:p>
    <w:p w:rsidR="00000000" w:rsidRDefault="00000000">
      <w:pPr>
        <w:pStyle w:val="SingleTxt"/>
        <w:ind w:left="1264" w:right="1264"/>
        <w:rPr>
          <w:rtl/>
        </w:rPr>
      </w:pPr>
      <w:r>
        <w:rPr>
          <w:rtl/>
        </w:rPr>
        <w:tab/>
      </w:r>
      <w:r>
        <w:rPr>
          <w:rtl/>
        </w:rPr>
        <w:tab/>
        <w:t>تسعى وزارة الصحة إلى الإبقاء على شبكة واسعة من المرافق الصحية. ويوجد حالياً ما مجموعه 315 مرفقاً صحياً تعمل في أنحاء البلد وتنقسم إلى 19 مستشفى، و4 مستشفيات صغيرة، و51 مركزاً صحياً، و179 محطة صحية، و62 عيادة</w:t>
      </w:r>
      <w:r>
        <w:rPr>
          <w:rStyle w:val="FootnoteReference"/>
          <w:rtl/>
        </w:rPr>
        <w:footnoteReference w:customMarkFollows="1" w:id="34"/>
        <w:t>(33)</w:t>
      </w:r>
      <w:r>
        <w:rPr>
          <w:rtl/>
        </w:rPr>
        <w:t xml:space="preserve"> وإلى جانب ذلك، توجد وحدات متنقلة تقدم خدمات متعددة إلى المناطق النائية على أساس مرتين في الشهر.</w:t>
      </w:r>
    </w:p>
    <w:p w:rsidR="00000000" w:rsidRDefault="00000000">
      <w:pPr>
        <w:pStyle w:val="SingleTxt"/>
        <w:ind w:left="1264" w:right="1264"/>
        <w:rPr>
          <w:rtl/>
        </w:rPr>
      </w:pPr>
      <w:r>
        <w:rPr>
          <w:rtl/>
        </w:rPr>
        <w:tab/>
        <w:t>غير أن دواعي القلق الرئيسية هي:</w:t>
      </w:r>
    </w:p>
    <w:p w:rsidR="00000000" w:rsidRDefault="00000000">
      <w:pPr>
        <w:pStyle w:val="SingleTxt"/>
        <w:ind w:left="1264" w:right="1264"/>
        <w:rPr>
          <w:rtl/>
        </w:rPr>
      </w:pPr>
      <w:r>
        <w:rPr>
          <w:rtl/>
        </w:rPr>
        <w:t>•</w:t>
      </w:r>
      <w:r>
        <w:rPr>
          <w:rtl/>
        </w:rPr>
        <w:tab/>
        <w:t>مقدار توفر هذه المرافق بالنسبة للمرأة والطفل؛</w:t>
      </w:r>
    </w:p>
    <w:p w:rsidR="00000000" w:rsidRDefault="00000000">
      <w:pPr>
        <w:pStyle w:val="SingleTxt"/>
        <w:ind w:left="1264" w:right="1264"/>
        <w:rPr>
          <w:rtl/>
        </w:rPr>
      </w:pPr>
      <w:r>
        <w:rPr>
          <w:rtl/>
        </w:rPr>
        <w:t>•</w:t>
      </w:r>
      <w:r>
        <w:rPr>
          <w:rtl/>
        </w:rPr>
        <w:tab/>
        <w:t>مقدار كفاءة الخدمة المقدمة؛</w:t>
      </w:r>
    </w:p>
    <w:p w:rsidR="00000000" w:rsidRDefault="00000000">
      <w:pPr>
        <w:pStyle w:val="SingleTxt"/>
        <w:ind w:left="1264" w:right="1264"/>
        <w:rPr>
          <w:rtl/>
        </w:rPr>
      </w:pPr>
      <w:r>
        <w:rPr>
          <w:rtl/>
        </w:rPr>
        <w:t>•</w:t>
      </w:r>
      <w:r>
        <w:rPr>
          <w:rtl/>
        </w:rPr>
        <w:tab/>
        <w:t xml:space="preserve">ما هي المسافة وما هو الزمن اللازمان للوصول إلى أقرب مرفق وإلى أي مدى يتم </w:t>
      </w:r>
      <w:r>
        <w:rPr>
          <w:rtl/>
        </w:rPr>
        <w:tab/>
      </w:r>
      <w:r>
        <w:rPr>
          <w:rtl/>
        </w:rPr>
        <w:tab/>
        <w:t>دعمه بواسطة مرافق النقل والاتصال؛</w:t>
      </w:r>
    </w:p>
    <w:p w:rsidR="00000000" w:rsidRDefault="00000000">
      <w:pPr>
        <w:pStyle w:val="SingleTxt"/>
        <w:ind w:left="1264" w:right="1264"/>
        <w:rPr>
          <w:rtl/>
        </w:rPr>
      </w:pPr>
      <w:r>
        <w:rPr>
          <w:rtl/>
        </w:rPr>
        <w:t>•</w:t>
      </w:r>
      <w:r>
        <w:rPr>
          <w:rtl/>
        </w:rPr>
        <w:tab/>
        <w:t>مقدار وعي النساء باستخدام هذه المرافق؛</w:t>
      </w:r>
    </w:p>
    <w:p w:rsidR="00000000" w:rsidRDefault="00000000">
      <w:pPr>
        <w:pStyle w:val="SingleTxt"/>
        <w:ind w:left="1264" w:right="1264"/>
        <w:rPr>
          <w:rtl/>
        </w:rPr>
      </w:pPr>
      <w:r>
        <w:rPr>
          <w:rtl/>
        </w:rPr>
        <w:t>•</w:t>
      </w:r>
      <w:r>
        <w:rPr>
          <w:rtl/>
        </w:rPr>
        <w:tab/>
        <w:t>مدى توافر موظفي الصحة المدربين.</w:t>
      </w:r>
    </w:p>
    <w:p w:rsidR="00000000" w:rsidRDefault="00000000">
      <w:pPr>
        <w:pStyle w:val="SingleTxt"/>
        <w:ind w:left="1264" w:right="1264"/>
        <w:rPr>
          <w:rtl/>
        </w:rPr>
      </w:pPr>
      <w:r>
        <w:rPr>
          <w:rtl/>
        </w:rPr>
        <w:tab/>
      </w:r>
      <w:r>
        <w:rPr>
          <w:rtl/>
        </w:rPr>
        <w:tab/>
        <w:t xml:space="preserve">ووفقاً لوزارة الصحة، يجري تنظيم مرافق الخدمات الصحية في نظام ثلاثي. ويركز المستوى الأول للمرافق الصحية على الخدمات الوقائية والتعزيزية والإصلاحية ويضم محطات الصحة (المتوقع أن تخدم ما مجموعه، 000 10 شخص ومزوَّدة بممرضة قانونية وممرضة مساعدة أو اثنتان)؛ والمراكز الصحية (المتوقع أن تخدم ما مجموعه 000 50 من السكان ومزوَّدة بممرضتين أو ثلاث، وموظفة صحية، وممرضة مساعدة، وتقني معمل، إلخ) ومستشفيات أول اتصال وإحالة تقوم برعاية 000 50 </w:t>
      </w:r>
      <w:r>
        <w:t>–</w:t>
      </w:r>
      <w:r>
        <w:rPr>
          <w:rtl/>
        </w:rPr>
        <w:t xml:space="preserve"> 000 200 من السكان</w:t>
      </w:r>
      <w:r>
        <w:rPr>
          <w:rStyle w:val="FootnoteReference"/>
          <w:rtl/>
        </w:rPr>
        <w:footnoteReference w:customMarkFollows="1" w:id="35"/>
        <w:t>(34)</w:t>
      </w:r>
      <w:r>
        <w:rPr>
          <w:rtl/>
        </w:rPr>
        <w:t>.</w:t>
      </w:r>
    </w:p>
    <w:p w:rsidR="00000000" w:rsidRDefault="00000000">
      <w:pPr>
        <w:pStyle w:val="SingleTxt"/>
        <w:ind w:left="1264" w:right="1264"/>
        <w:rPr>
          <w:rtl/>
        </w:rPr>
      </w:pPr>
      <w:r>
        <w:rPr>
          <w:rtl/>
        </w:rPr>
        <w:tab/>
      </w:r>
      <w:r>
        <w:rPr>
          <w:rtl/>
        </w:rPr>
        <w:tab/>
        <w:t>والواقع أن المسافة تشكل عاملاً محدداً في تقديم الخدمة الصحية. ومع الأخذ في الاعتبار بطبيعة التضاريس وروابط الطرق غير الكافية في البلد (نقص عربات الإسعاف، والاتصالات اللاسلكية، وحاملات المرضى أثناء السير، إلخ) فإن الكثير من النساء في الأماكن النائية ليس بمقدورهن الحصول على خدمة صحية كافية وعرضة لمضاعفات الحمل والولادة. والأمهات اللاتي يحصلن على رعاية قبل الولادة وأثناء الوضع هن في أغلب الظن يقمن على بعد نحو خمسة كيلومترات من المحطة الصحية أو المركز الصحي.</w:t>
      </w:r>
    </w:p>
    <w:p w:rsidR="00000000" w:rsidRDefault="00000000">
      <w:pPr>
        <w:pStyle w:val="SingleTxt"/>
        <w:ind w:left="1264" w:right="1264"/>
        <w:rPr>
          <w:rtl/>
        </w:rPr>
      </w:pPr>
      <w:r>
        <w:rPr>
          <w:rtl/>
        </w:rPr>
        <w:tab/>
      </w:r>
      <w:r>
        <w:rPr>
          <w:rtl/>
        </w:rPr>
        <w:tab/>
        <w:t>وعلى سبيل المثال، فإن متوسط المسافة إلى أقرب مرفق يقدم رعاية للوضع هو 8 كيلومترات، وهذا أيضاً متوسط المسافة إلى العيادات الصحية. ولكن ذلك يختلف من منطقة إلى منطقة. وفي منطقتي شمالي البحر الأحمر وغاش - بركا، تقل إمكانيات الوصول إلى المرافق التي تقدم رعاية الوضع، وتبلغ متوسط المسافة 15 كيلومتراً على الأقل. ونسبة 29 في المائة من النساء المتزوجات حالياً في منطقة جنوبي البحر الأحمر و23 في المائة منهن في منطقة غاش - بركا لا يصلن إلى مرفق يقدم رعاية الوضع. ونسبة النساء المتزوجات حالياً اللاتي باستطاعتهن الوصول إلى أقرب مرفق يقدم خدمة رعاية الوضع خلال 60 دقيقة يتراوح حسب المنطقة من 5 في المائة في المنطقة الوسطى إلى 15 في المائة في منطقة غاش - بركا</w:t>
      </w:r>
      <w:r>
        <w:rPr>
          <w:rStyle w:val="FootnoteReference"/>
          <w:rtl/>
        </w:rPr>
        <w:footnoteReference w:customMarkFollows="1" w:id="36"/>
        <w:t>(35)</w:t>
      </w:r>
      <w:r>
        <w:rPr>
          <w:rtl/>
        </w:rPr>
        <w:t>.</w:t>
      </w:r>
    </w:p>
    <w:p w:rsidR="00000000" w:rsidRDefault="00000000">
      <w:pPr>
        <w:pStyle w:val="SingleTxt"/>
        <w:ind w:left="1264" w:right="1264"/>
        <w:rPr>
          <w:rtl/>
        </w:rPr>
      </w:pPr>
      <w:r>
        <w:rPr>
          <w:rtl/>
        </w:rPr>
        <w:tab/>
      </w:r>
      <w:r>
        <w:rPr>
          <w:rtl/>
        </w:rPr>
        <w:tab/>
        <w:t xml:space="preserve">وباعتبار القدرة الحالية لوزارة الصحة في توسيع المرافق الصحية، وموظفي الصحة، ونقص الطرق المتوفرة في القرى النائية، فإن الوسائل البديلة يمكن أن تتمثل في تمكين المشرفات التقليديات للولادة والأخصائيات الصحيات في المجتمع المحلي لتغطية الثغرة محلياً. وهن بالفعل اللاتي يمكن الوصول إليهن لتقديم الخدمات في المناطق القروية </w:t>
      </w:r>
    </w:p>
    <w:p w:rsidR="00000000" w:rsidRDefault="00000000">
      <w:pPr>
        <w:pStyle w:val="SingleTxt"/>
        <w:ind w:left="1264" w:right="1264"/>
        <w:rPr>
          <w:rtl/>
        </w:rPr>
      </w:pPr>
      <w:r>
        <w:rPr>
          <w:rtl/>
        </w:rPr>
        <w:tab/>
      </w:r>
      <w:r>
        <w:rPr>
          <w:rtl/>
        </w:rPr>
        <w:tab/>
        <w:t>ووفقاً للاستقصاء الديمغرافي والصحي لأريتريا لعام 1995، فإن القابلات التقليديات على أكثر ترجيح، والقابلات المدربات هن على أقل ترجيح، متوفرات للمرأة في المناطق الريفية، بالمقارنة بالمرأة في المناطق الحضرية. غير أن 10 في المائة فقط من النساء المتزوجات حالياً تتوفر لديهن إحدى القابلات المدربات التقليديات، في حين 20 في المائة من النساء تتوفر لديهن قابلة مدربة. وهذا معناه وجود قصور في المواد التكميلية الحديدية والفيتامينات المتعددة وحُقَن التيتانوس بوصف ذلك خدمة للرعاية قبل الولادة وأثناء الوضع.</w:t>
      </w:r>
    </w:p>
    <w:p w:rsidR="00000000" w:rsidRDefault="00000000">
      <w:pPr>
        <w:pStyle w:val="SingleTxt"/>
        <w:ind w:left="1264" w:right="1264"/>
        <w:rPr>
          <w:rtl/>
        </w:rPr>
      </w:pPr>
      <w:r>
        <w:rPr>
          <w:rtl/>
        </w:rPr>
        <w:tab/>
      </w:r>
      <w:r>
        <w:rPr>
          <w:rtl/>
        </w:rPr>
        <w:tab/>
        <w:t>وسوف يتحقق الكثير في خدمات الاتصال إذا كانت وزارة الصحة هي التي ترعى القابلات التقليديات من حيث التدريب الكافي والحوافز لقاء الخدمات التي تقدمها في المجتمع المحلي. وعلى الرغم من إجراء التدريب لبعض منهن (نحو 930 في السنوات العشر الأخيرة) فإنه لم يتم بعد حل مسألة الدفع وأن المجتمعات المحلية في المناطق الريفية تأبى الدفع. ومن ثم فإن الأمهات لا يحصلن على الخدمات المنشودة المقدمة من القابلات المدربات. وقد أجريت مؤخراً بمعرفة وزارة الصحة دراسة عن المعرفة التي لدى القابلات التقليديات، واتجاههن، وممارستهن. وأكدت الدراسة أنه ”إلى حين توفر أطباء مؤهلين بدرجة كافية، فإنه يتم تقديم الممرضات والقابلات لتوفير رعاية طارئة تتعلق بالولادة في أنحاء البلد، ومن المهم معرفة أوجه القوة.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tblGrid>
      <w:tr w:rsidR="00000000">
        <w:tblPrEx>
          <w:tblCellMar>
            <w:top w:w="0" w:type="dxa"/>
            <w:bottom w:w="0" w:type="dxa"/>
          </w:tblCellMar>
        </w:tblPrEx>
        <w:tc>
          <w:tcPr>
            <w:tcW w:w="7513" w:type="dxa"/>
          </w:tcPr>
          <w:p w:rsidR="00000000" w:rsidRDefault="00000000">
            <w:pPr>
              <w:pStyle w:val="SingleTxt"/>
              <w:ind w:left="0" w:right="0"/>
              <w:rPr>
                <w:rtl/>
              </w:rPr>
            </w:pPr>
            <w:r>
              <w:rPr>
                <w:rtl/>
              </w:rPr>
              <w:t>استمتع بمساعدة الأمهات القائمات بالوضع في أي وقت، ولكن الوقت قد تغير وأصبحت تكاليف الحياة باهظة، ولا أستطيع أن أطلب من عميلتي قطعة من الصابون لغسل يدي والمعدات التي استخدمها أثناء الوضع. وفضلاً عن ذلك، أشعر بالخوف من المرض القاتل المتمثل في فيروس نقص المناعة البشرية/الإيدز والأسوأ من ذلك أنه لا توجد أي حوافز من قبل ولا الآن.</w:t>
            </w:r>
          </w:p>
          <w:p w:rsidR="00000000" w:rsidRDefault="00000000">
            <w:pPr>
              <w:pStyle w:val="SingleTxt"/>
              <w:ind w:left="0" w:right="0"/>
              <w:jc w:val="right"/>
              <w:rPr>
                <w:rtl/>
              </w:rPr>
            </w:pPr>
            <w:r>
              <w:rPr>
                <w:rtl/>
              </w:rPr>
              <w:t>نقلاً عن قابلة تقليدية مدرَّبة في منطقة ديبوت</w:t>
            </w:r>
          </w:p>
        </w:tc>
      </w:tr>
    </w:tbl>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ومعرفة أوجه القوة والضعف لدى القابلات التقليديات المدربات وتمكينهن حتى يستطعن أن يساعدن في تخفيض المعدل المرتفع لوفيات الأمهات على مستوى المجتمع المحلي</w:t>
      </w:r>
      <w:r>
        <w:rPr>
          <w:rStyle w:val="FootnoteReference"/>
          <w:rtl/>
        </w:rPr>
        <w:footnoteReference w:customMarkFollows="1" w:id="37"/>
        <w:t>(36)</w:t>
      </w:r>
      <w:r>
        <w:rPr>
          <w:rtl/>
        </w:rPr>
        <w:t>.</w:t>
      </w:r>
    </w:p>
    <w:p w:rsidR="00000000" w:rsidRDefault="00000000">
      <w:pPr>
        <w:pStyle w:val="SingleTxt"/>
        <w:ind w:left="1264" w:right="1264"/>
        <w:rPr>
          <w:b/>
          <w:bCs/>
          <w:w w:val="95"/>
          <w:rtl/>
        </w:rPr>
      </w:pPr>
      <w:r>
        <w:rPr>
          <w:b/>
          <w:bCs/>
          <w:w w:val="95"/>
          <w:rtl/>
        </w:rPr>
        <w:t xml:space="preserve">الجدول 17 </w:t>
      </w:r>
      <w:r>
        <w:rPr>
          <w:b/>
          <w:bCs/>
          <w:w w:val="95"/>
        </w:rPr>
        <w:t>–</w:t>
      </w:r>
      <w:r>
        <w:rPr>
          <w:b/>
          <w:bCs/>
          <w:w w:val="95"/>
          <w:rtl/>
        </w:rPr>
        <w:t xml:space="preserve"> عدد القابلات التقليدية المدربات في السنوات العشر الأخيرة حسب المنطقة</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134"/>
        <w:gridCol w:w="1134"/>
        <w:gridCol w:w="708"/>
        <w:gridCol w:w="1134"/>
        <w:gridCol w:w="709"/>
        <w:gridCol w:w="709"/>
        <w:gridCol w:w="850"/>
      </w:tblGrid>
      <w:tr w:rsidR="00000000">
        <w:tblPrEx>
          <w:tblCellMar>
            <w:top w:w="0" w:type="dxa"/>
            <w:bottom w:w="0" w:type="dxa"/>
          </w:tblCellMar>
        </w:tblPrEx>
        <w:tc>
          <w:tcPr>
            <w:tcW w:w="2552" w:type="dxa"/>
          </w:tcPr>
          <w:p w:rsidR="00000000" w:rsidRDefault="00000000">
            <w:pPr>
              <w:pStyle w:val="SingleTxt"/>
              <w:spacing w:after="0"/>
              <w:ind w:left="-57" w:right="0"/>
              <w:rPr>
                <w:b/>
                <w:bCs/>
                <w:szCs w:val="24"/>
                <w:rtl/>
              </w:rPr>
            </w:pPr>
            <w:r>
              <w:rPr>
                <w:b/>
                <w:bCs/>
                <w:szCs w:val="24"/>
                <w:rtl/>
              </w:rPr>
              <w:t>تدريب القابلات التقليديات</w:t>
            </w:r>
          </w:p>
        </w:tc>
        <w:tc>
          <w:tcPr>
            <w:tcW w:w="1134" w:type="dxa"/>
          </w:tcPr>
          <w:p w:rsidR="00000000" w:rsidRDefault="00000000">
            <w:pPr>
              <w:pStyle w:val="SingleTxt"/>
              <w:spacing w:after="0"/>
              <w:ind w:left="-57" w:right="0"/>
              <w:jc w:val="center"/>
              <w:rPr>
                <w:b/>
                <w:bCs/>
                <w:szCs w:val="24"/>
                <w:rtl/>
              </w:rPr>
            </w:pPr>
            <w:r>
              <w:rPr>
                <w:b/>
                <w:bCs/>
                <w:szCs w:val="24"/>
                <w:rtl/>
              </w:rPr>
              <w:t>جنوبي البحر</w:t>
            </w:r>
          </w:p>
          <w:p w:rsidR="00000000" w:rsidRDefault="00000000">
            <w:pPr>
              <w:pStyle w:val="SingleTxt"/>
              <w:spacing w:after="0"/>
              <w:ind w:left="-57" w:right="0"/>
              <w:jc w:val="center"/>
              <w:rPr>
                <w:b/>
                <w:bCs/>
                <w:szCs w:val="24"/>
                <w:rtl/>
              </w:rPr>
            </w:pPr>
            <w:r>
              <w:rPr>
                <w:b/>
                <w:bCs/>
                <w:szCs w:val="24"/>
                <w:rtl/>
              </w:rPr>
              <w:t>الأحمر</w:t>
            </w:r>
          </w:p>
        </w:tc>
        <w:tc>
          <w:tcPr>
            <w:tcW w:w="1134" w:type="dxa"/>
          </w:tcPr>
          <w:p w:rsidR="00000000" w:rsidRDefault="00000000">
            <w:pPr>
              <w:pStyle w:val="SingleTxt"/>
              <w:spacing w:after="0"/>
              <w:ind w:left="-57" w:right="0"/>
              <w:jc w:val="center"/>
              <w:rPr>
                <w:b/>
                <w:bCs/>
                <w:szCs w:val="24"/>
                <w:rtl/>
              </w:rPr>
            </w:pPr>
            <w:r>
              <w:rPr>
                <w:b/>
                <w:bCs/>
                <w:szCs w:val="24"/>
                <w:rtl/>
              </w:rPr>
              <w:t>شمالي البحر</w:t>
            </w:r>
          </w:p>
          <w:p w:rsidR="00000000" w:rsidRDefault="00000000">
            <w:pPr>
              <w:pStyle w:val="SingleTxt"/>
              <w:spacing w:after="0"/>
              <w:ind w:left="-57" w:right="0"/>
              <w:jc w:val="center"/>
              <w:rPr>
                <w:b/>
                <w:bCs/>
                <w:szCs w:val="24"/>
                <w:rtl/>
              </w:rPr>
            </w:pPr>
            <w:r>
              <w:rPr>
                <w:b/>
                <w:bCs/>
                <w:szCs w:val="24"/>
                <w:rtl/>
              </w:rPr>
              <w:t>الأحمر</w:t>
            </w:r>
          </w:p>
        </w:tc>
        <w:tc>
          <w:tcPr>
            <w:tcW w:w="708" w:type="dxa"/>
            <w:vAlign w:val="bottom"/>
          </w:tcPr>
          <w:p w:rsidR="00000000" w:rsidRDefault="00000000">
            <w:pPr>
              <w:pStyle w:val="SingleTxt"/>
              <w:spacing w:after="0"/>
              <w:ind w:left="-57" w:right="0"/>
              <w:rPr>
                <w:b/>
                <w:bCs/>
                <w:szCs w:val="24"/>
                <w:rtl/>
              </w:rPr>
            </w:pPr>
            <w:r>
              <w:rPr>
                <w:b/>
                <w:bCs/>
                <w:szCs w:val="24"/>
                <w:rtl/>
              </w:rPr>
              <w:t>أنسيبا</w:t>
            </w:r>
          </w:p>
        </w:tc>
        <w:tc>
          <w:tcPr>
            <w:tcW w:w="1134" w:type="dxa"/>
            <w:vAlign w:val="bottom"/>
          </w:tcPr>
          <w:p w:rsidR="00000000" w:rsidRDefault="00000000">
            <w:pPr>
              <w:pStyle w:val="SingleTxt"/>
              <w:spacing w:after="0"/>
              <w:ind w:left="-57" w:right="0"/>
              <w:rPr>
                <w:b/>
                <w:bCs/>
                <w:szCs w:val="24"/>
                <w:rtl/>
              </w:rPr>
            </w:pPr>
            <w:r>
              <w:rPr>
                <w:b/>
                <w:bCs/>
                <w:szCs w:val="24"/>
                <w:rtl/>
              </w:rPr>
              <w:t>غماش </w:t>
            </w:r>
            <w:r>
              <w:rPr>
                <w:b/>
                <w:bCs/>
                <w:szCs w:val="24"/>
              </w:rPr>
              <w:t>–</w:t>
            </w:r>
            <w:r>
              <w:rPr>
                <w:b/>
                <w:bCs/>
                <w:szCs w:val="24"/>
                <w:rtl/>
              </w:rPr>
              <w:t> بركا</w:t>
            </w:r>
          </w:p>
        </w:tc>
        <w:tc>
          <w:tcPr>
            <w:tcW w:w="709" w:type="dxa"/>
            <w:vAlign w:val="bottom"/>
          </w:tcPr>
          <w:p w:rsidR="00000000" w:rsidRDefault="00000000">
            <w:pPr>
              <w:pStyle w:val="SingleTxt"/>
              <w:spacing w:after="0"/>
              <w:ind w:left="-57" w:right="0"/>
              <w:rPr>
                <w:b/>
                <w:bCs/>
                <w:szCs w:val="24"/>
                <w:rtl/>
              </w:rPr>
            </w:pPr>
            <w:r>
              <w:rPr>
                <w:b/>
                <w:bCs/>
                <w:szCs w:val="24"/>
                <w:rtl/>
              </w:rPr>
              <w:t>ديبوب</w:t>
            </w:r>
          </w:p>
        </w:tc>
        <w:tc>
          <w:tcPr>
            <w:tcW w:w="709" w:type="dxa"/>
            <w:vAlign w:val="bottom"/>
          </w:tcPr>
          <w:p w:rsidR="00000000" w:rsidRDefault="00000000">
            <w:pPr>
              <w:pStyle w:val="SingleTxt"/>
              <w:spacing w:after="0"/>
              <w:ind w:left="-57" w:right="0"/>
              <w:rPr>
                <w:b/>
                <w:bCs/>
                <w:szCs w:val="24"/>
                <w:rtl/>
              </w:rPr>
            </w:pPr>
            <w:r>
              <w:rPr>
                <w:b/>
                <w:bCs/>
                <w:szCs w:val="24"/>
                <w:rtl/>
              </w:rPr>
              <w:t>ماكيل</w:t>
            </w:r>
          </w:p>
        </w:tc>
        <w:tc>
          <w:tcPr>
            <w:tcW w:w="850" w:type="dxa"/>
            <w:vAlign w:val="bottom"/>
          </w:tcPr>
          <w:p w:rsidR="00000000" w:rsidRDefault="00000000">
            <w:pPr>
              <w:pStyle w:val="SingleTxt"/>
              <w:spacing w:after="0"/>
              <w:ind w:left="-57" w:right="0"/>
              <w:rPr>
                <w:b/>
                <w:bCs/>
                <w:szCs w:val="24"/>
                <w:rtl/>
              </w:rPr>
            </w:pPr>
            <w:r>
              <w:rPr>
                <w:b/>
                <w:bCs/>
                <w:szCs w:val="24"/>
                <w:rtl/>
              </w:rPr>
              <w:t>المجموع</w:t>
            </w:r>
          </w:p>
        </w:tc>
      </w:tr>
      <w:tr w:rsidR="00000000">
        <w:tblPrEx>
          <w:tblCellMar>
            <w:top w:w="0" w:type="dxa"/>
            <w:bottom w:w="0" w:type="dxa"/>
          </w:tblCellMar>
        </w:tblPrEx>
        <w:tc>
          <w:tcPr>
            <w:tcW w:w="2552" w:type="dxa"/>
          </w:tcPr>
          <w:p w:rsidR="00000000" w:rsidRDefault="00000000">
            <w:pPr>
              <w:pStyle w:val="SingleTxt"/>
              <w:ind w:left="-57" w:right="0"/>
              <w:rPr>
                <w:szCs w:val="24"/>
                <w:rtl/>
              </w:rPr>
            </w:pPr>
            <w:r>
              <w:rPr>
                <w:szCs w:val="24"/>
                <w:rtl/>
              </w:rPr>
              <w:t xml:space="preserve">مجموع المدربات </w:t>
            </w:r>
          </w:p>
        </w:tc>
        <w:tc>
          <w:tcPr>
            <w:tcW w:w="1134" w:type="dxa"/>
          </w:tcPr>
          <w:p w:rsidR="00000000" w:rsidRDefault="00000000">
            <w:pPr>
              <w:pStyle w:val="SingleTxt"/>
              <w:ind w:left="-57" w:right="0"/>
              <w:rPr>
                <w:szCs w:val="24"/>
                <w:rtl/>
              </w:rPr>
            </w:pPr>
            <w:r>
              <w:rPr>
                <w:szCs w:val="24"/>
                <w:rtl/>
              </w:rPr>
              <w:t>130</w:t>
            </w:r>
          </w:p>
        </w:tc>
        <w:tc>
          <w:tcPr>
            <w:tcW w:w="1134" w:type="dxa"/>
          </w:tcPr>
          <w:p w:rsidR="00000000" w:rsidRDefault="00000000">
            <w:pPr>
              <w:pStyle w:val="SingleTxt"/>
              <w:ind w:left="-57" w:right="0"/>
              <w:rPr>
                <w:szCs w:val="24"/>
                <w:rtl/>
              </w:rPr>
            </w:pPr>
            <w:r>
              <w:rPr>
                <w:szCs w:val="24"/>
                <w:rtl/>
              </w:rPr>
              <w:t>210</w:t>
            </w:r>
          </w:p>
        </w:tc>
        <w:tc>
          <w:tcPr>
            <w:tcW w:w="708" w:type="dxa"/>
          </w:tcPr>
          <w:p w:rsidR="00000000" w:rsidRDefault="00000000">
            <w:pPr>
              <w:pStyle w:val="SingleTxt"/>
              <w:ind w:left="-57" w:right="0"/>
              <w:rPr>
                <w:szCs w:val="24"/>
                <w:rtl/>
              </w:rPr>
            </w:pPr>
            <w:r>
              <w:rPr>
                <w:szCs w:val="24"/>
                <w:rtl/>
              </w:rPr>
              <w:t>75</w:t>
            </w:r>
          </w:p>
        </w:tc>
        <w:tc>
          <w:tcPr>
            <w:tcW w:w="1134" w:type="dxa"/>
          </w:tcPr>
          <w:p w:rsidR="00000000" w:rsidRDefault="00000000">
            <w:pPr>
              <w:pStyle w:val="SingleTxt"/>
              <w:ind w:left="-57" w:right="0"/>
              <w:rPr>
                <w:szCs w:val="24"/>
                <w:rtl/>
              </w:rPr>
            </w:pPr>
            <w:r>
              <w:rPr>
                <w:szCs w:val="24"/>
                <w:rtl/>
              </w:rPr>
              <w:t>175</w:t>
            </w:r>
          </w:p>
        </w:tc>
        <w:tc>
          <w:tcPr>
            <w:tcW w:w="709" w:type="dxa"/>
          </w:tcPr>
          <w:p w:rsidR="00000000" w:rsidRDefault="00000000">
            <w:pPr>
              <w:pStyle w:val="SingleTxt"/>
              <w:ind w:left="-57" w:right="0"/>
              <w:rPr>
                <w:szCs w:val="24"/>
                <w:rtl/>
              </w:rPr>
            </w:pPr>
            <w:r>
              <w:rPr>
                <w:szCs w:val="24"/>
                <w:rtl/>
              </w:rPr>
              <w:t>199</w:t>
            </w:r>
          </w:p>
        </w:tc>
        <w:tc>
          <w:tcPr>
            <w:tcW w:w="709" w:type="dxa"/>
          </w:tcPr>
          <w:p w:rsidR="00000000" w:rsidRDefault="00000000">
            <w:pPr>
              <w:pStyle w:val="SingleTxt"/>
              <w:ind w:left="-57" w:right="0"/>
              <w:rPr>
                <w:szCs w:val="24"/>
                <w:rtl/>
              </w:rPr>
            </w:pPr>
            <w:r>
              <w:rPr>
                <w:szCs w:val="24"/>
                <w:rtl/>
              </w:rPr>
              <w:t>141</w:t>
            </w:r>
          </w:p>
        </w:tc>
        <w:tc>
          <w:tcPr>
            <w:tcW w:w="850" w:type="dxa"/>
          </w:tcPr>
          <w:p w:rsidR="00000000" w:rsidRDefault="00000000">
            <w:pPr>
              <w:pStyle w:val="SingleTxt"/>
              <w:ind w:left="-57" w:right="0"/>
              <w:rPr>
                <w:szCs w:val="24"/>
                <w:rtl/>
              </w:rPr>
            </w:pPr>
            <w:r>
              <w:rPr>
                <w:szCs w:val="24"/>
                <w:rtl/>
              </w:rPr>
              <w:t>930</w:t>
            </w:r>
          </w:p>
        </w:tc>
      </w:tr>
      <w:tr w:rsidR="00000000">
        <w:tblPrEx>
          <w:tblCellMar>
            <w:top w:w="0" w:type="dxa"/>
            <w:bottom w:w="0" w:type="dxa"/>
          </w:tblCellMar>
        </w:tblPrEx>
        <w:tc>
          <w:tcPr>
            <w:tcW w:w="2552" w:type="dxa"/>
          </w:tcPr>
          <w:p w:rsidR="00000000" w:rsidRDefault="00000000">
            <w:pPr>
              <w:pStyle w:val="SingleTxt"/>
              <w:ind w:left="-57" w:right="0"/>
              <w:rPr>
                <w:szCs w:val="24"/>
                <w:rtl/>
              </w:rPr>
            </w:pPr>
            <w:r>
              <w:rPr>
                <w:szCs w:val="24"/>
                <w:rtl/>
              </w:rPr>
              <w:t>النشيطات في عام 2000</w:t>
            </w:r>
          </w:p>
        </w:tc>
        <w:tc>
          <w:tcPr>
            <w:tcW w:w="1134" w:type="dxa"/>
          </w:tcPr>
          <w:p w:rsidR="00000000" w:rsidRDefault="00000000">
            <w:pPr>
              <w:pStyle w:val="SingleTxt"/>
              <w:ind w:left="-57" w:right="0"/>
              <w:rPr>
                <w:szCs w:val="24"/>
                <w:rtl/>
              </w:rPr>
            </w:pPr>
            <w:r>
              <w:rPr>
                <w:szCs w:val="24"/>
                <w:rtl/>
              </w:rPr>
              <w:t>126</w:t>
            </w:r>
          </w:p>
        </w:tc>
        <w:tc>
          <w:tcPr>
            <w:tcW w:w="1134" w:type="dxa"/>
          </w:tcPr>
          <w:p w:rsidR="00000000" w:rsidRDefault="00000000">
            <w:pPr>
              <w:pStyle w:val="SingleTxt"/>
              <w:ind w:left="-57" w:right="0"/>
              <w:rPr>
                <w:szCs w:val="24"/>
                <w:rtl/>
              </w:rPr>
            </w:pPr>
            <w:r>
              <w:rPr>
                <w:szCs w:val="24"/>
                <w:rtl/>
              </w:rPr>
              <w:t>167</w:t>
            </w:r>
          </w:p>
        </w:tc>
        <w:tc>
          <w:tcPr>
            <w:tcW w:w="708" w:type="dxa"/>
          </w:tcPr>
          <w:p w:rsidR="00000000" w:rsidRDefault="00000000">
            <w:pPr>
              <w:pStyle w:val="SingleTxt"/>
              <w:ind w:left="-57" w:right="0"/>
              <w:rPr>
                <w:szCs w:val="24"/>
                <w:rtl/>
              </w:rPr>
            </w:pPr>
            <w:r>
              <w:rPr>
                <w:szCs w:val="24"/>
                <w:rtl/>
              </w:rPr>
              <w:t>56</w:t>
            </w:r>
          </w:p>
        </w:tc>
        <w:tc>
          <w:tcPr>
            <w:tcW w:w="1134" w:type="dxa"/>
          </w:tcPr>
          <w:p w:rsidR="00000000" w:rsidRDefault="00000000">
            <w:pPr>
              <w:pStyle w:val="SingleTxt"/>
              <w:ind w:left="-57" w:right="0"/>
              <w:rPr>
                <w:szCs w:val="24"/>
                <w:rtl/>
              </w:rPr>
            </w:pPr>
            <w:r>
              <w:rPr>
                <w:szCs w:val="24"/>
                <w:rtl/>
              </w:rPr>
              <w:t>154</w:t>
            </w:r>
          </w:p>
        </w:tc>
        <w:tc>
          <w:tcPr>
            <w:tcW w:w="709" w:type="dxa"/>
          </w:tcPr>
          <w:p w:rsidR="00000000" w:rsidRDefault="00000000">
            <w:pPr>
              <w:pStyle w:val="SingleTxt"/>
              <w:ind w:left="-57" w:right="0"/>
              <w:rPr>
                <w:szCs w:val="24"/>
                <w:rtl/>
              </w:rPr>
            </w:pPr>
            <w:r>
              <w:rPr>
                <w:szCs w:val="24"/>
                <w:rtl/>
              </w:rPr>
              <w:t>193</w:t>
            </w:r>
          </w:p>
        </w:tc>
        <w:tc>
          <w:tcPr>
            <w:tcW w:w="709" w:type="dxa"/>
          </w:tcPr>
          <w:p w:rsidR="00000000" w:rsidRDefault="00000000">
            <w:pPr>
              <w:pStyle w:val="SingleTxt"/>
              <w:ind w:left="-57" w:right="0"/>
              <w:rPr>
                <w:szCs w:val="24"/>
                <w:rtl/>
              </w:rPr>
            </w:pPr>
            <w:r>
              <w:rPr>
                <w:szCs w:val="24"/>
                <w:rtl/>
              </w:rPr>
              <w:t>141</w:t>
            </w:r>
          </w:p>
        </w:tc>
        <w:tc>
          <w:tcPr>
            <w:tcW w:w="850" w:type="dxa"/>
          </w:tcPr>
          <w:p w:rsidR="00000000" w:rsidRDefault="00000000">
            <w:pPr>
              <w:pStyle w:val="SingleTxt"/>
              <w:ind w:left="-57" w:right="0"/>
              <w:rPr>
                <w:szCs w:val="24"/>
                <w:rtl/>
              </w:rPr>
            </w:pPr>
            <w:r>
              <w:rPr>
                <w:szCs w:val="24"/>
                <w:rtl/>
              </w:rPr>
              <w:t>837</w:t>
            </w:r>
          </w:p>
        </w:tc>
      </w:tr>
      <w:tr w:rsidR="00000000">
        <w:tblPrEx>
          <w:tblCellMar>
            <w:top w:w="0" w:type="dxa"/>
            <w:bottom w:w="0" w:type="dxa"/>
          </w:tblCellMar>
        </w:tblPrEx>
        <w:tc>
          <w:tcPr>
            <w:tcW w:w="2552" w:type="dxa"/>
          </w:tcPr>
          <w:p w:rsidR="00000000" w:rsidRDefault="00000000">
            <w:pPr>
              <w:pStyle w:val="SingleTxt"/>
              <w:ind w:left="-57" w:right="0"/>
              <w:rPr>
                <w:szCs w:val="24"/>
                <w:rtl/>
              </w:rPr>
            </w:pPr>
            <w:r>
              <w:rPr>
                <w:szCs w:val="24"/>
                <w:rtl/>
              </w:rPr>
              <w:t>النشيطات بالنسبة المئوية</w:t>
            </w:r>
          </w:p>
        </w:tc>
        <w:tc>
          <w:tcPr>
            <w:tcW w:w="1134" w:type="dxa"/>
          </w:tcPr>
          <w:p w:rsidR="00000000" w:rsidRDefault="00000000">
            <w:pPr>
              <w:pStyle w:val="SingleTxt"/>
              <w:ind w:left="-57" w:right="0"/>
              <w:rPr>
                <w:szCs w:val="24"/>
                <w:rtl/>
              </w:rPr>
            </w:pPr>
            <w:r>
              <w:rPr>
                <w:szCs w:val="24"/>
                <w:rtl/>
              </w:rPr>
              <w:t>96.9</w:t>
            </w:r>
            <w:r>
              <w:rPr>
                <w:rFonts w:cs="Akhbar MT"/>
                <w:szCs w:val="24"/>
                <w:rtl/>
              </w:rPr>
              <w:t>%</w:t>
            </w:r>
          </w:p>
        </w:tc>
        <w:tc>
          <w:tcPr>
            <w:tcW w:w="1134" w:type="dxa"/>
          </w:tcPr>
          <w:p w:rsidR="00000000" w:rsidRDefault="00000000">
            <w:pPr>
              <w:pStyle w:val="SingleTxt"/>
              <w:ind w:left="-57" w:right="0"/>
              <w:rPr>
                <w:szCs w:val="24"/>
                <w:rtl/>
              </w:rPr>
            </w:pPr>
            <w:r>
              <w:rPr>
                <w:szCs w:val="24"/>
                <w:rtl/>
              </w:rPr>
              <w:t>79.5</w:t>
            </w:r>
            <w:r>
              <w:rPr>
                <w:rFonts w:cs="Akhbar MT"/>
                <w:szCs w:val="24"/>
                <w:rtl/>
              </w:rPr>
              <w:t>%</w:t>
            </w:r>
          </w:p>
        </w:tc>
        <w:tc>
          <w:tcPr>
            <w:tcW w:w="708" w:type="dxa"/>
          </w:tcPr>
          <w:p w:rsidR="00000000" w:rsidRDefault="00000000">
            <w:pPr>
              <w:pStyle w:val="SingleTxt"/>
              <w:ind w:left="-57" w:right="0"/>
              <w:rPr>
                <w:szCs w:val="24"/>
                <w:rtl/>
              </w:rPr>
            </w:pPr>
            <w:r>
              <w:rPr>
                <w:szCs w:val="24"/>
                <w:rtl/>
              </w:rPr>
              <w:t>74.7</w:t>
            </w:r>
            <w:r>
              <w:rPr>
                <w:rFonts w:cs="Akhbar MT"/>
                <w:szCs w:val="24"/>
                <w:rtl/>
              </w:rPr>
              <w:t>%</w:t>
            </w:r>
          </w:p>
        </w:tc>
        <w:tc>
          <w:tcPr>
            <w:tcW w:w="1134" w:type="dxa"/>
          </w:tcPr>
          <w:p w:rsidR="00000000" w:rsidRDefault="00000000">
            <w:pPr>
              <w:pStyle w:val="SingleTxt"/>
              <w:ind w:left="-57" w:right="0"/>
              <w:rPr>
                <w:szCs w:val="24"/>
                <w:rtl/>
              </w:rPr>
            </w:pPr>
            <w:r>
              <w:rPr>
                <w:szCs w:val="24"/>
                <w:rtl/>
              </w:rPr>
              <w:t>88</w:t>
            </w:r>
            <w:r>
              <w:rPr>
                <w:rFonts w:cs="Akhbar MT"/>
                <w:szCs w:val="24"/>
                <w:rtl/>
              </w:rPr>
              <w:t>%</w:t>
            </w:r>
          </w:p>
        </w:tc>
        <w:tc>
          <w:tcPr>
            <w:tcW w:w="709" w:type="dxa"/>
          </w:tcPr>
          <w:p w:rsidR="00000000" w:rsidRDefault="00000000">
            <w:pPr>
              <w:pStyle w:val="SingleTxt"/>
              <w:ind w:left="-57" w:right="0"/>
              <w:rPr>
                <w:szCs w:val="24"/>
                <w:rtl/>
              </w:rPr>
            </w:pPr>
            <w:r>
              <w:rPr>
                <w:szCs w:val="24"/>
                <w:rtl/>
              </w:rPr>
              <w:t>97</w:t>
            </w:r>
            <w:r>
              <w:rPr>
                <w:rFonts w:cs="Akhbar MT"/>
                <w:szCs w:val="24"/>
                <w:rtl/>
              </w:rPr>
              <w:t>%</w:t>
            </w:r>
          </w:p>
        </w:tc>
        <w:tc>
          <w:tcPr>
            <w:tcW w:w="709" w:type="dxa"/>
          </w:tcPr>
          <w:p w:rsidR="00000000" w:rsidRDefault="00000000">
            <w:pPr>
              <w:pStyle w:val="SingleTxt"/>
              <w:ind w:left="-57" w:right="0"/>
              <w:rPr>
                <w:szCs w:val="24"/>
                <w:rtl/>
              </w:rPr>
            </w:pPr>
            <w:r>
              <w:rPr>
                <w:szCs w:val="24"/>
                <w:rtl/>
              </w:rPr>
              <w:t>100</w:t>
            </w:r>
            <w:r>
              <w:rPr>
                <w:rFonts w:cs="Akhbar MT"/>
                <w:szCs w:val="24"/>
                <w:rtl/>
              </w:rPr>
              <w:t>%</w:t>
            </w:r>
          </w:p>
        </w:tc>
        <w:tc>
          <w:tcPr>
            <w:tcW w:w="850" w:type="dxa"/>
          </w:tcPr>
          <w:p w:rsidR="00000000" w:rsidRDefault="00000000">
            <w:pPr>
              <w:pStyle w:val="SingleTxt"/>
              <w:ind w:left="-57" w:right="0"/>
              <w:rPr>
                <w:szCs w:val="24"/>
                <w:rtl/>
              </w:rPr>
            </w:pPr>
            <w:r>
              <w:rPr>
                <w:szCs w:val="24"/>
                <w:rtl/>
              </w:rPr>
              <w:t>90</w:t>
            </w:r>
            <w:r>
              <w:rPr>
                <w:rFonts w:cs="Akhbar MT"/>
                <w:szCs w:val="24"/>
                <w:rtl/>
              </w:rPr>
              <w:t>%</w:t>
            </w:r>
          </w:p>
        </w:tc>
      </w:tr>
    </w:tbl>
    <w:p w:rsidR="00000000" w:rsidRDefault="00000000">
      <w:pPr>
        <w:pStyle w:val="SingleTxt"/>
        <w:ind w:left="1264" w:right="1264"/>
        <w:rPr>
          <w:rtl/>
        </w:rPr>
      </w:pPr>
      <w:r>
        <w:rPr>
          <w:szCs w:val="26"/>
          <w:rtl/>
        </w:rPr>
        <w:t>المصدر: وزارة الصحة/مبادرة الأمومة السالمة، كانون الأول/ديسمبر 2000</w:t>
      </w:r>
      <w:r>
        <w:rPr>
          <w:rtl/>
        </w:rPr>
        <w:t>.</w:t>
      </w:r>
    </w:p>
    <w:p w:rsidR="00000000" w:rsidRDefault="00000000">
      <w:pPr>
        <w:pStyle w:val="SingleTxt"/>
        <w:ind w:left="1264" w:right="1264"/>
        <w:rPr>
          <w:rtl/>
        </w:rPr>
      </w:pPr>
      <w:r>
        <w:rPr>
          <w:rtl/>
        </w:rPr>
        <w:tab/>
      </w:r>
      <w:r>
        <w:rPr>
          <w:rtl/>
        </w:rPr>
        <w:tab/>
        <w:t xml:space="preserve">وثمة عامل مهم آخر هو موقف الأمهات تجاه استخدام المرافق الصحية. ووفقاً للاستقصاء الديمغرافي والصحي لأريتريا لعام 1990، فإن 51 في المائة من النساء لا يقمن بأي زيارة للمرافق الصحية من أجل الرعاية قبل الولادة خلال حملهن. ويبلغ متوسط عدد الرعاية لما قبل الولادة 4.3 زيارة نقط وهو أقل بكثير من العدد الموصى به ومقداره 12 </w:t>
      </w:r>
      <w:r>
        <w:t>–</w:t>
      </w:r>
      <w:r>
        <w:rPr>
          <w:rtl/>
        </w:rPr>
        <w:t xml:space="preserve"> 13 زيارة. (شهرياً في الأشهر السبعة الأولى، نصف شهرية في الأسبوع الثامن، ثم أسبوعياً حتى الولادة). والأسباب الكامنة وراء ذلك قد تكون ذات طابع مختلف بما في ذلك نقص وسائل النقل ونقص المعلومات وانعدام الثقة في الموظفين الصحيين ونقص المساعدة من جانب أعضاء الأسرة. ومن حيث الواقع فإن إحدى المعوقات في النظام الصحي تتمثل في انعدام برامج تدريب القابلات في الأشهر القليلة الماضية.</w:t>
      </w:r>
    </w:p>
    <w:p w:rsidR="00000000" w:rsidRDefault="00000000">
      <w:pPr>
        <w:pStyle w:val="SingleTxt"/>
        <w:ind w:left="1264" w:right="1264"/>
        <w:rPr>
          <w:rtl/>
        </w:rPr>
      </w:pPr>
      <w:r>
        <w:rPr>
          <w:rtl/>
        </w:rPr>
        <w:tab/>
      </w:r>
      <w:r>
        <w:rPr>
          <w:rtl/>
        </w:rPr>
        <w:tab/>
        <w:t>لذلك، يمكن القول إنه ينبغي للوزارة أن تتمكن من تنظيم دورات بشأن عمل القابلة من أجل دعم المراكز والمحطات الصحية بعدد كاف من الموظفين الصحيين المدربين الذين يمكن أن يسهموا حتماً في خفض المعدل الجاري لوفيات الأمهات، وينبغي من ناحية أخرى للأزواج وأفراد الأسرة الآخرين أن يكونوا على وعي بأهمية الرعاية قبل الولادة وأن يكون لديهم التزام بدعم وتشجيع زوجاتهم من أجل تحصيل رعاية صحية مناسبة.</w:t>
      </w:r>
    </w:p>
    <w:p w:rsidR="00000000" w:rsidRDefault="00000000">
      <w:pPr>
        <w:pStyle w:val="SingleTxt"/>
        <w:ind w:left="1264" w:right="1264"/>
        <w:rPr>
          <w:b/>
          <w:bCs/>
          <w:rtl/>
        </w:rPr>
      </w:pPr>
    </w:p>
    <w:p w:rsidR="00000000" w:rsidRDefault="00000000">
      <w:pPr>
        <w:pStyle w:val="SingleTxt"/>
        <w:ind w:left="1264" w:right="1264"/>
        <w:rPr>
          <w:i/>
          <w:iCs/>
          <w:rtl/>
        </w:rPr>
      </w:pPr>
      <w:r>
        <w:rPr>
          <w:b/>
          <w:bCs/>
          <w:i/>
          <w:iCs/>
          <w:rtl/>
        </w:rPr>
        <w:t>الخصوبة ومعدل وفيات الأمهات</w:t>
      </w:r>
    </w:p>
    <w:p w:rsidR="00000000" w:rsidRDefault="00000000">
      <w:pPr>
        <w:pStyle w:val="SingleTxt"/>
        <w:ind w:left="1264" w:right="1264"/>
        <w:rPr>
          <w:rtl/>
        </w:rPr>
      </w:pPr>
      <w:r>
        <w:rPr>
          <w:rtl/>
        </w:rPr>
        <w:tab/>
      </w:r>
      <w:r>
        <w:rPr>
          <w:rtl/>
        </w:rPr>
        <w:tab/>
        <w:t xml:space="preserve">يبلغ المعدل الكلي للخصوبة في أريتريا 6.1 طفل لكل امرأة أثناء سنواتها الإنجابية (15 </w:t>
      </w:r>
      <w:r>
        <w:t>–</w:t>
      </w:r>
      <w:r>
        <w:rPr>
          <w:rtl/>
        </w:rPr>
        <w:t xml:space="preserve"> 49 سنة من العمر). والخصوبة فيما بين النساء الحضريات أقل بكثير (4.2 طفل) من مثيلتها فيما بين النساء الريفيات (7)</w:t>
      </w:r>
      <w:r>
        <w:rPr>
          <w:rStyle w:val="FootnoteReference"/>
          <w:rtl/>
        </w:rPr>
        <w:footnoteReference w:customMarkFollows="1" w:id="38"/>
        <w:t>(37)</w:t>
      </w:r>
      <w:r>
        <w:rPr>
          <w:rtl/>
        </w:rPr>
        <w:t>. وتتجه الخصوبة نحو الانخفاض، فقد هبطت إلى 4.8 في سنة 2002، وانخفضت الخصوبة الحضرية من 4.2 إلى 3.5 في حين أن الخصوبة الريفية بنسبة أعلى بشكل طفيف من 7 إلى 5.7</w:t>
      </w:r>
      <w:r>
        <w:rPr>
          <w:rStyle w:val="FootnoteReference"/>
          <w:rtl/>
        </w:rPr>
        <w:footnoteReference w:customMarkFollows="1" w:id="39"/>
        <w:t>(38)</w:t>
      </w:r>
      <w:r>
        <w:rPr>
          <w:rtl/>
        </w:rPr>
        <w:t>. ويمكن أن يتمثل أحد الأسباب في الحروب المتكررة ومشكلات ما بعد الصراع. غير أنه مع الزيادة في اشتراك المرأة في التعليم العالي هناك احتمال بتأخير إنجاب الأطفال ومن ثم تخفيض عدد الأطفال للفرد.</w:t>
      </w:r>
    </w:p>
    <w:p w:rsidR="00000000" w:rsidRDefault="00000000">
      <w:pPr>
        <w:pStyle w:val="SingleTxt"/>
        <w:ind w:left="1264" w:right="1264"/>
        <w:rPr>
          <w:rtl/>
        </w:rPr>
      </w:pPr>
      <w:r>
        <w:rPr>
          <w:rtl/>
        </w:rPr>
        <w:tab/>
      </w:r>
      <w:r>
        <w:rPr>
          <w:rtl/>
        </w:rPr>
        <w:tab/>
        <w:t>ويتعلق هذا التحسن مباشرة بتحسين خدمات الرعاية الصحية الأولية، والخدمات الصحية الإنجابية، والأمومة السالمة، والإدارة المتكاملة لأمراض الطفولة، والتوسع في المرافق الصحية وتحسين الوصول إليها هي والخدمات المتنقلة إلى المناطق النائية وفي هذه المرحلة، تبلغ النسبة المئوية للولادات بمعرفة المهنيين الصحيين 28.3 وتبلغ نسبة الولادات في أحد المرافق الصحية 26.3 وهذا أفضل بكثير بالمقارنة بـ 17.3 في عام 1995. وعلى العموم، ازداد مستوى الرعاية قبل الولادة في عام 2002 إلى 70 في المائة من 50 في المائة في عام 1995.</w:t>
      </w:r>
    </w:p>
    <w:p w:rsidR="00000000" w:rsidRDefault="00000000">
      <w:pPr>
        <w:pStyle w:val="SingleTxt"/>
        <w:ind w:left="1264" w:right="1264"/>
        <w:rPr>
          <w:rtl/>
        </w:rPr>
      </w:pPr>
      <w:r>
        <w:rPr>
          <w:rtl/>
        </w:rPr>
        <w:tab/>
      </w:r>
      <w:r>
        <w:rPr>
          <w:rtl/>
        </w:rPr>
        <w:tab/>
        <w:t>والوفيات المتعلقة بالحمل فيما بين النساء الأريتريات تتأثر كثيراً بالوضع الاجتماعي والاقتصادي والثقافي الذي يعيشون فيه. ونذكر بعضاً من ذلك.</w:t>
      </w:r>
    </w:p>
    <w:p w:rsidR="00000000" w:rsidRDefault="00000000">
      <w:pPr>
        <w:pStyle w:val="SingleTxt"/>
        <w:ind w:left="1264" w:right="1264"/>
        <w:rPr>
          <w:rtl/>
        </w:rPr>
      </w:pPr>
      <w:r>
        <w:rPr>
          <w:rtl/>
        </w:rPr>
        <w:t>•</w:t>
      </w:r>
      <w:r>
        <w:rPr>
          <w:rtl/>
        </w:rPr>
        <w:tab/>
        <w:t xml:space="preserve">الختان أو الختان التخييطي هو أحد العوامل التي تعرض المرأة لمخاطر عالية تهدد </w:t>
      </w:r>
      <w:r>
        <w:rPr>
          <w:rtl/>
        </w:rPr>
        <w:tab/>
      </w:r>
      <w:r>
        <w:rPr>
          <w:rtl/>
        </w:rPr>
        <w:tab/>
        <w:t xml:space="preserve">الحمل وتتسبب في مضاعفات للولادة وتشوهات أو إزالة الختان التخييطي وإعادة </w:t>
      </w:r>
      <w:r>
        <w:rPr>
          <w:rtl/>
        </w:rPr>
        <w:tab/>
      </w:r>
      <w:r>
        <w:rPr>
          <w:rtl/>
        </w:rPr>
        <w:tab/>
        <w:t>الختان التخييطي قبل كل ولادة وبعدها، والنـزيف المهبلي، والعدوى، إلخ)؛</w:t>
      </w:r>
    </w:p>
    <w:p w:rsidR="00000000" w:rsidRDefault="00000000">
      <w:pPr>
        <w:pStyle w:val="SingleTxt"/>
        <w:ind w:left="1264" w:right="1264"/>
        <w:rPr>
          <w:rtl/>
        </w:rPr>
      </w:pPr>
      <w:r>
        <w:rPr>
          <w:rtl/>
        </w:rPr>
        <w:t>•</w:t>
      </w:r>
      <w:r>
        <w:rPr>
          <w:rtl/>
        </w:rPr>
        <w:tab/>
        <w:t>الزواج المبكر والحمل دون السن؛</w:t>
      </w:r>
    </w:p>
    <w:p w:rsidR="00000000" w:rsidRDefault="00000000">
      <w:pPr>
        <w:pStyle w:val="SingleTxt"/>
        <w:ind w:left="1264" w:right="1264"/>
        <w:rPr>
          <w:rtl/>
        </w:rPr>
      </w:pPr>
      <w:r>
        <w:rPr>
          <w:rtl/>
        </w:rPr>
        <w:t>•</w:t>
      </w:r>
      <w:r>
        <w:rPr>
          <w:rtl/>
        </w:rPr>
        <w:tab/>
        <w:t>الالتئام التقليدي للجروح والعلاج بالأعشاب الذي يؤخر العلاج الطبي؛</w:t>
      </w:r>
    </w:p>
    <w:p w:rsidR="00000000" w:rsidRDefault="00000000">
      <w:pPr>
        <w:pStyle w:val="SingleTxt"/>
        <w:ind w:left="1264" w:right="1264"/>
        <w:rPr>
          <w:rtl/>
        </w:rPr>
      </w:pPr>
      <w:r>
        <w:rPr>
          <w:rtl/>
        </w:rPr>
        <w:t>•</w:t>
      </w:r>
      <w:r>
        <w:rPr>
          <w:rtl/>
        </w:rPr>
        <w:tab/>
        <w:t xml:space="preserve">الحمل في سن المراهقة تعقبه تدابير الإجهاض غير القانوني التي تسبب النـزيف </w:t>
      </w:r>
      <w:r>
        <w:rPr>
          <w:rtl/>
        </w:rPr>
        <w:tab/>
      </w:r>
      <w:r>
        <w:rPr>
          <w:rtl/>
        </w:rPr>
        <w:tab/>
        <w:t>والعدوى والوفاة؛</w:t>
      </w:r>
    </w:p>
    <w:p w:rsidR="00000000" w:rsidRDefault="00000000">
      <w:pPr>
        <w:pStyle w:val="SingleTxt"/>
        <w:ind w:left="1264" w:right="1264"/>
        <w:rPr>
          <w:rtl/>
        </w:rPr>
      </w:pPr>
      <w:r>
        <w:rPr>
          <w:rtl/>
        </w:rPr>
        <w:t>•</w:t>
      </w:r>
      <w:r>
        <w:rPr>
          <w:rtl/>
        </w:rPr>
        <w:tab/>
        <w:t>سوء التغذية الناجم عن الفقر؛</w:t>
      </w:r>
    </w:p>
    <w:p w:rsidR="00000000" w:rsidRDefault="00000000">
      <w:pPr>
        <w:pStyle w:val="SingleTxt"/>
        <w:ind w:left="1264" w:right="1264"/>
        <w:rPr>
          <w:rtl/>
        </w:rPr>
      </w:pPr>
      <w:r>
        <w:rPr>
          <w:rtl/>
        </w:rPr>
        <w:t>•</w:t>
      </w:r>
      <w:r>
        <w:rPr>
          <w:rtl/>
        </w:rPr>
        <w:tab/>
        <w:t xml:space="preserve">ثغرات الإعلام والتثقيف والاتصالات فيما بين المجتمع المحلي وهي نقص المعلومات </w:t>
      </w:r>
      <w:r>
        <w:rPr>
          <w:rtl/>
        </w:rPr>
        <w:tab/>
      </w:r>
      <w:r>
        <w:rPr>
          <w:rtl/>
        </w:rPr>
        <w:tab/>
        <w:t>الصحية لدى الأسر؛</w:t>
      </w:r>
    </w:p>
    <w:p w:rsidR="00000000" w:rsidRDefault="00000000">
      <w:pPr>
        <w:pStyle w:val="SingleTxt"/>
        <w:ind w:left="1264" w:right="1264"/>
        <w:rPr>
          <w:rtl/>
        </w:rPr>
      </w:pPr>
      <w:r>
        <w:rPr>
          <w:rtl/>
        </w:rPr>
        <w:t>•</w:t>
      </w:r>
      <w:r>
        <w:rPr>
          <w:rtl/>
        </w:rPr>
        <w:tab/>
        <w:t xml:space="preserve">نقص مرافق النقل والمواصلات (عربات الإسعاف، والحافلات، والهاتف إلخ) ونقص </w:t>
      </w:r>
      <w:r>
        <w:rPr>
          <w:rtl/>
        </w:rPr>
        <w:tab/>
      </w:r>
      <w:r>
        <w:rPr>
          <w:rtl/>
        </w:rPr>
        <w:tab/>
        <w:t>الطرق؛</w:t>
      </w:r>
    </w:p>
    <w:p w:rsidR="00000000" w:rsidRDefault="00000000">
      <w:pPr>
        <w:pStyle w:val="SingleTxt"/>
        <w:ind w:left="1264" w:right="1264"/>
        <w:rPr>
          <w:rtl/>
        </w:rPr>
      </w:pPr>
      <w:r>
        <w:rPr>
          <w:rtl/>
        </w:rPr>
        <w:t>•</w:t>
      </w:r>
      <w:r>
        <w:rPr>
          <w:rtl/>
        </w:rPr>
        <w:tab/>
        <w:t>بُعد المرافق الصحية عن القرى من أجل رعاية طارئة للولادة؛</w:t>
      </w:r>
    </w:p>
    <w:p w:rsidR="00000000" w:rsidRDefault="00000000">
      <w:pPr>
        <w:pStyle w:val="SingleTxt"/>
        <w:ind w:left="1264" w:right="1264"/>
        <w:rPr>
          <w:rtl/>
        </w:rPr>
      </w:pPr>
      <w:r>
        <w:rPr>
          <w:rtl/>
        </w:rPr>
        <w:t>•</w:t>
      </w:r>
      <w:r>
        <w:rPr>
          <w:rtl/>
        </w:rPr>
        <w:tab/>
        <w:t>نقص القابلات التقليديات والأخصائيين الصحيين المجتمعيين؛</w:t>
      </w:r>
    </w:p>
    <w:p w:rsidR="00000000" w:rsidRDefault="00000000">
      <w:pPr>
        <w:pStyle w:val="SingleTxt"/>
        <w:ind w:left="1264" w:right="1264"/>
        <w:rPr>
          <w:rtl/>
        </w:rPr>
      </w:pPr>
      <w:r>
        <w:rPr>
          <w:rtl/>
        </w:rPr>
        <w:t>•</w:t>
      </w:r>
      <w:r>
        <w:rPr>
          <w:rtl/>
        </w:rPr>
        <w:tab/>
        <w:t>الأمراض المعدية الأخرى، إلخ.</w:t>
      </w:r>
    </w:p>
    <w:p w:rsidR="00000000" w:rsidRDefault="00000000">
      <w:pPr>
        <w:pStyle w:val="SingleTxt"/>
        <w:ind w:left="1264" w:right="1264"/>
        <w:rPr>
          <w:rtl/>
        </w:rPr>
      </w:pPr>
      <w:r>
        <w:rPr>
          <w:rtl/>
        </w:rPr>
        <w:tab/>
      </w:r>
      <w:r>
        <w:rPr>
          <w:rtl/>
        </w:rPr>
        <w:tab/>
        <w:t xml:space="preserve">وقد أسهمت هذه العوامل كلها في معدل وفيات الأمهات الذي يقدر بـ 998 في كل 000 100 من المواليد الأحياء، وتتراوح نسبة 37 في المائة من الوفيات بين المجموعة العمرية 15 </w:t>
      </w:r>
      <w:r>
        <w:t>–</w:t>
      </w:r>
      <w:r>
        <w:rPr>
          <w:rtl/>
        </w:rPr>
        <w:t xml:space="preserve"> 49 وتحدث في مراحل مختلفة. ويقدر معدل الوفاة أثناء فترة الحمل بـ 31 في المائة، منها 45 في المائة أثناء الوضع و24 في المائة بعد شهرين من الولادة. ولتخفيض المعدل المرتفع القائم لوفيات الأمهات وكذلك المعدلات المرتفعة لوفيات المواليد المبكرة ووفيات الرضَّع واعتلال صحتهم، تركز وزارة الصحة بالدرجة الأولى على برامج الأمومة السالمة. وتحقيقاً لذلك، تم إعداد بروتوكول للإدارة الإكلينيكية للأمومة السالمة بهدف توحيد الرعاية التي تستحق المرأة والأسرة والمجتمع الحصول عليها لدى الاتصال بنظام الرعاية الصحية.</w:t>
      </w:r>
    </w:p>
    <w:p w:rsidR="00000000" w:rsidRDefault="00000000">
      <w:pPr>
        <w:pStyle w:val="SingleTxt"/>
        <w:ind w:left="1264" w:right="1264"/>
        <w:rPr>
          <w:rtl/>
        </w:rPr>
      </w:pPr>
      <w:r>
        <w:rPr>
          <w:rtl/>
        </w:rPr>
        <w:t>والهدف من البروتوكول هو أن يكون دليلاً في حالة إدارة</w:t>
      </w:r>
    </w:p>
    <w:p w:rsidR="00000000" w:rsidRDefault="00000000">
      <w:pPr>
        <w:pStyle w:val="SingleTxt"/>
        <w:ind w:left="1264" w:right="1264"/>
        <w:rPr>
          <w:rtl/>
        </w:rPr>
      </w:pPr>
      <w:r>
        <w:rPr>
          <w:rtl/>
        </w:rPr>
        <w:t>1 -</w:t>
      </w:r>
      <w:r>
        <w:rPr>
          <w:rtl/>
        </w:rPr>
        <w:tab/>
        <w:t>رعاية الأمومة</w:t>
      </w:r>
    </w:p>
    <w:p w:rsidR="00000000" w:rsidRDefault="00000000">
      <w:pPr>
        <w:pStyle w:val="SingleTxt"/>
        <w:ind w:left="1264" w:right="1264"/>
        <w:rPr>
          <w:rtl/>
        </w:rPr>
      </w:pPr>
      <w:r>
        <w:rPr>
          <w:rtl/>
        </w:rPr>
        <w:t>2 -</w:t>
      </w:r>
      <w:r>
        <w:rPr>
          <w:rtl/>
        </w:rPr>
        <w:tab/>
        <w:t>إدارة طوارئ الولادة</w:t>
      </w:r>
    </w:p>
    <w:p w:rsidR="00000000" w:rsidRDefault="00000000">
      <w:pPr>
        <w:pStyle w:val="SingleTxt"/>
        <w:ind w:left="1264" w:right="1264"/>
        <w:rPr>
          <w:rtl/>
        </w:rPr>
      </w:pPr>
      <w:r>
        <w:rPr>
          <w:rtl/>
        </w:rPr>
        <w:t>3 -</w:t>
      </w:r>
      <w:r>
        <w:rPr>
          <w:rtl/>
        </w:rPr>
        <w:tab/>
        <w:t>تنظيم الأسرة وغير ذلك من مشكلات الصحة الإنجابية.</w:t>
      </w:r>
      <w:r>
        <w:rPr>
          <w:rStyle w:val="FootnoteReference"/>
          <w:rtl/>
        </w:rPr>
        <w:footnoteReference w:customMarkFollows="1" w:id="40"/>
        <w:t>(39)</w:t>
      </w:r>
    </w:p>
    <w:p w:rsidR="00000000" w:rsidRDefault="00000000">
      <w:pPr>
        <w:pStyle w:val="SingleTxt"/>
        <w:ind w:left="1264" w:right="1264"/>
        <w:rPr>
          <w:rtl/>
        </w:rPr>
      </w:pPr>
      <w:r>
        <w:rPr>
          <w:rtl/>
        </w:rPr>
        <w:tab/>
      </w:r>
      <w:r>
        <w:rPr>
          <w:rtl/>
        </w:rPr>
        <w:tab/>
        <w:t>وأهم عامل في برنامج الأمومة السالمة هو إشراك المجتمع المحلي من خلال العاملين الصحيين في المجتمع المحلي والقابلات التقليديات. وتقاسم المعلومات على نمو فعال والتربية الصحية الفعالة سوف ترسي الأساس اللازم لآليات الوقاية والاستخدام السليم وفي حينه للمحطات والمراكز الصحية من جانب المجتمع المحلي.</w:t>
      </w:r>
    </w:p>
    <w:p w:rsidR="00000000" w:rsidRDefault="00000000">
      <w:pPr>
        <w:pStyle w:val="SingleTxt"/>
        <w:ind w:left="1264" w:right="1264"/>
        <w:rPr>
          <w:rtl/>
        </w:rPr>
      </w:pPr>
      <w:r>
        <w:rPr>
          <w:rtl/>
        </w:rPr>
        <w:tab/>
      </w:r>
      <w:r>
        <w:rPr>
          <w:rtl/>
        </w:rPr>
        <w:tab/>
        <w:t>وتم أيضا ضمن الجهود لخفض الارتفاع العالي لمستوى معدل الوفيات، اتباع نهج أخرى من بينها إطلاق المشروع المتعلق بفيروس نقص المناعة البشرية/الإيدز، والملاريا، والأمراض التي تنتقل عن طريق الاتصال الجنسي، والدرن (الهامست)، وهو مشروع كبير تقوم بتنسيقه وزارة الصحة ويهدف إلى معالجة الأسباب الرئيسية لبعض الأمراض المعدية مثل الملاريا والسل وغير ذلك من الأمراض المتوطنة والوبائية مثل الأمراض التي تنتقل عن طريق الاتصال الجنسي وفيروس نقص المناعة البشرية/الإيدز، وذلك عن طريق دعم جهود عدة وزارات ومنظمات المرأة والشباب والمجتمع المحلي من حيث زيادة مبادرات التوعية والوقاية.</w:t>
      </w:r>
    </w:p>
    <w:p w:rsidR="00000000" w:rsidRDefault="00000000">
      <w:pPr>
        <w:pStyle w:val="SingleTxt"/>
        <w:ind w:left="1264" w:right="1264"/>
        <w:rPr>
          <w:rtl/>
        </w:rPr>
      </w:pPr>
      <w:r>
        <w:rPr>
          <w:rtl/>
        </w:rPr>
        <w:tab/>
      </w:r>
      <w:r>
        <w:rPr>
          <w:rtl/>
        </w:rPr>
        <w:tab/>
        <w:t>والمرأة والطفل هما المستفيدان الأول من هذا المشروع، ومع ذلك لا توجد بيانات مفصلة حسب نوع الجنس في هذه المرحلة، (بالإشارة إلى حملة أمراض (الهامست) التي يمكن تقاسمها، فإن وحدة نظام معلومات الإدارة الصحية تحت إشراف وزارة الصحة في طريقها لتجميع وإعداد البيانات المطلوبة.</w:t>
      </w:r>
    </w:p>
    <w:p w:rsidR="00000000" w:rsidRDefault="00000000">
      <w:pPr>
        <w:pStyle w:val="SingleTxt"/>
        <w:ind w:left="1264" w:right="1264"/>
        <w:rPr>
          <w:b/>
          <w:bCs/>
          <w:i/>
          <w:iCs/>
          <w:rtl/>
        </w:rPr>
      </w:pPr>
      <w:r>
        <w:rPr>
          <w:b/>
          <w:bCs/>
          <w:i/>
          <w:iCs/>
          <w:rtl/>
        </w:rPr>
        <w:t>حمل المراهقين وتنظيم الأسرة</w:t>
      </w:r>
    </w:p>
    <w:p w:rsidR="00000000" w:rsidRDefault="00000000">
      <w:pPr>
        <w:pStyle w:val="SingleTxt"/>
        <w:ind w:left="1264" w:right="1264"/>
        <w:rPr>
          <w:rtl/>
        </w:rPr>
      </w:pPr>
      <w:r>
        <w:rPr>
          <w:rtl/>
        </w:rPr>
        <w:tab/>
      </w:r>
      <w:r>
        <w:rPr>
          <w:rtl/>
        </w:rPr>
        <w:tab/>
        <w:t>نظرا لأن الزواج المبكر فيما بين الفتيات ما زال قائما في المناطق الريفية، من المرجح أن يسود الحمل المبكر والأمومة المبكرة. وهذا يمثل مشكلة اجتماعية كبيرة أن يسمح لفتاة بأن تصبح أما لطفل. ويمثل حمل المراهقين بسببب الزواج المبكر، وحمل المراهقين غير المرغوب فيه، والاغتصاب، الخ، 23 في المائة من جميع حالات الحمل في استقصاء عام 1995.</w:t>
      </w:r>
    </w:p>
    <w:p w:rsidR="00000000" w:rsidRDefault="00000000">
      <w:pPr>
        <w:pStyle w:val="SingleTxt"/>
        <w:ind w:left="1264" w:right="1264"/>
        <w:rPr>
          <w:rtl/>
        </w:rPr>
      </w:pPr>
      <w:r>
        <w:rPr>
          <w:rtl/>
        </w:rPr>
        <w:tab/>
      </w:r>
      <w:r>
        <w:rPr>
          <w:rtl/>
        </w:rPr>
        <w:tab/>
        <w:t>والحمل يكلف المرأة جسميا في أي سن ولكنه أكثر من ذلك يشكل خطرا صحيا خاصا بالنسبة للمراهقين. والأمهات المراهقات تعاني على الأرجح من تعقيدات أثناء الوضع. وبالمثل فإن الأطفال المولودين لأمهات صغيرة السن للغاية عرضة لأخطار متزايدة تتعلق بالمرض والوفاة. ونسبة المراهقين هم بالفعل في طريقهم إلى تكوين أسر ترتفع بسرعة مع السن، وتزداد من أقل من 3 في المائة في سن 15 سنة إلى 50 في المائة في سن 19 سنة.</w:t>
      </w:r>
      <w:r>
        <w:rPr>
          <w:rStyle w:val="FootnoteReference"/>
          <w:rtl/>
        </w:rPr>
        <w:footnoteReference w:customMarkFollows="1" w:id="41"/>
        <w:t>(40)</w:t>
      </w:r>
      <w:r>
        <w:rPr>
          <w:rtl/>
        </w:rPr>
        <w:t xml:space="preserve"> وتؤكد دراسة أجريت مؤخرا بمعرفة وزارة الصحة في منطقة انسيبا الاتجاه المتزايد لحمل المراهقات من خلال الزواج المبكر. ومن المطلوب القيام بتدخل متكامل من جانب وزارة الصحة، ووزارة التعليم، ووزارة الحكم المحلي، والاتحاد الوطني للمرأة الأريترية، والاتحاد الوطني للشباب والطلبة لأريتريا وغير ذلك من المنظمات غير الحكومية المعنية، لتقليل هذا الاتجاه المتزايد نحو الحمل المبكر فيما بين الفتيات الصغيرات.</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وتقوم برامج الصحة الإنجابية وتنظيم الأسرة التابعة لوزارة الصحة بدور حيوي في</w:t>
      </w:r>
    </w:p>
    <w:p w:rsidR="00000000" w:rsidRDefault="00000000">
      <w:pPr>
        <w:pStyle w:val="SingleTxt"/>
        <w:ind w:left="1264" w:right="1264"/>
        <w:rPr>
          <w:rtl/>
        </w:rPr>
      </w:pPr>
      <w:r>
        <w:rPr>
          <w:rtl/>
        </w:rPr>
        <w:tab/>
        <w:t>•</w:t>
      </w:r>
      <w:r>
        <w:rPr>
          <w:rtl/>
        </w:rPr>
        <w:tab/>
        <w:t xml:space="preserve">خفض عدد الولادات غير المرغوب فيها وغير المنظمة والعالية المخاطر، ومن ثم </w:t>
      </w:r>
      <w:r>
        <w:rPr>
          <w:rtl/>
        </w:rPr>
        <w:tab/>
      </w:r>
      <w:r>
        <w:rPr>
          <w:rtl/>
        </w:rPr>
        <w:tab/>
        <w:t>الإسهام في منع الإجهاض ووفيات المواليد والأمهات</w:t>
      </w:r>
    </w:p>
    <w:p w:rsidR="00000000" w:rsidRDefault="00000000">
      <w:pPr>
        <w:pStyle w:val="SingleTxt"/>
        <w:ind w:left="1264" w:right="1264"/>
        <w:rPr>
          <w:rtl/>
        </w:rPr>
      </w:pPr>
      <w:r>
        <w:rPr>
          <w:rtl/>
        </w:rPr>
        <w:tab/>
        <w:t>•</w:t>
      </w:r>
      <w:r>
        <w:rPr>
          <w:rtl/>
        </w:rPr>
        <w:tab/>
        <w:t xml:space="preserve">تشجيع المشاركة الفعالة من جانب الرجل في تنظيم الأسرة ومسؤوليته المشتركة في </w:t>
      </w:r>
      <w:r>
        <w:rPr>
          <w:rtl/>
        </w:rPr>
        <w:tab/>
      </w:r>
      <w:r>
        <w:rPr>
          <w:rtl/>
        </w:rPr>
        <w:tab/>
        <w:t>القرارات الجنسية والإنجابية.</w:t>
      </w:r>
    </w:p>
    <w:p w:rsidR="00000000" w:rsidRDefault="00000000">
      <w:pPr>
        <w:pStyle w:val="SingleTxt"/>
        <w:ind w:left="1264" w:right="1264"/>
        <w:rPr>
          <w:rtl/>
        </w:rPr>
      </w:pPr>
      <w:r>
        <w:rPr>
          <w:rtl/>
        </w:rPr>
        <w:tab/>
        <w:t>•</w:t>
      </w:r>
      <w:r>
        <w:rPr>
          <w:rtl/>
        </w:rPr>
        <w:tab/>
        <w:t xml:space="preserve">منع حالات الحمل غير المرغوب فيه والإجهاض والأمراض التي تنتقل عن طريق </w:t>
      </w:r>
      <w:r>
        <w:rPr>
          <w:rtl/>
        </w:rPr>
        <w:tab/>
      </w:r>
      <w:r>
        <w:rPr>
          <w:rtl/>
        </w:rPr>
        <w:tab/>
        <w:t>الاتصال الجنسي، بما في ذلك فيروس نقص المناعة البشرية /الإيدز.</w:t>
      </w:r>
    </w:p>
    <w:p w:rsidR="00000000" w:rsidRDefault="00000000">
      <w:pPr>
        <w:pStyle w:val="SingleTxt"/>
        <w:ind w:left="1264" w:right="1264"/>
        <w:rPr>
          <w:rtl/>
        </w:rPr>
      </w:pPr>
      <w:r>
        <w:rPr>
          <w:rtl/>
        </w:rPr>
        <w:tab/>
        <w:t>•</w:t>
      </w:r>
      <w:r>
        <w:rPr>
          <w:rtl/>
        </w:rPr>
        <w:tab/>
        <w:t xml:space="preserve">توفير معلومات وخدمة نوعية للفتيات المراهقات الحامل، معلومات عن الخدمات </w:t>
      </w:r>
      <w:r>
        <w:rPr>
          <w:rtl/>
        </w:rPr>
        <w:tab/>
      </w:r>
      <w:r>
        <w:rPr>
          <w:rtl/>
        </w:rPr>
        <w:tab/>
        <w:t>قبل الولادة وبعد الولادة والمتعلقة بالولادة، الخ.</w:t>
      </w:r>
    </w:p>
    <w:p w:rsidR="00000000" w:rsidRDefault="00000000">
      <w:pPr>
        <w:pStyle w:val="SingleTxt"/>
        <w:ind w:left="1264" w:right="1264"/>
        <w:rPr>
          <w:rtl/>
        </w:rPr>
      </w:pPr>
      <w:r>
        <w:rPr>
          <w:rtl/>
        </w:rPr>
        <w:tab/>
      </w:r>
      <w:r>
        <w:rPr>
          <w:rtl/>
        </w:rPr>
        <w:tab/>
        <w:t xml:space="preserve">ويمكن للأزواج استخدام وسائل تنظيم الأسرة سواء للمباعدة بين الولادات أو الحد من حجم الأسرة. ومعرفة وسائل تنظيم الأسرة غير مرتفعة، ونحو ثلثي النساء في سن 15 </w:t>
      </w:r>
      <w:r>
        <w:t>–</w:t>
      </w:r>
      <w:r>
        <w:rPr>
          <w:rtl/>
        </w:rPr>
        <w:t xml:space="preserve"> 49 سنة وأربع أخماس الرجال في سن 15 </w:t>
      </w:r>
      <w:r>
        <w:t>–</w:t>
      </w:r>
      <w:r>
        <w:rPr>
          <w:rtl/>
        </w:rPr>
        <w:t xml:space="preserve"> 59 سنة يعرفون على الأقل وسيلة واحدة من وسائل تنظيم الأسرة. والمصدر السائد لموانع الحمل في القطاع العام هو رابطة الصحة الإنجابية للأسرة في أريتريا وتقدم وسائل إلى 40 في المائة من المستخدمين الحاليين للوسائل الحديثة. وبين كل من النساء المتزوجات والرجال المتزوجين حاليا، فإن القرص هو أفضل وسيلة معروفة لتنظيم الأسرة، في حين أن الحقن والموانع الذكرية معروفة أيضا.</w:t>
      </w:r>
    </w:p>
    <w:p w:rsidR="00000000" w:rsidRDefault="00000000">
      <w:pPr>
        <w:pStyle w:val="SingleTxt"/>
        <w:ind w:left="1264" w:right="1264"/>
        <w:rPr>
          <w:b/>
          <w:bCs/>
          <w:i/>
          <w:iCs/>
          <w:rtl/>
        </w:rPr>
      </w:pPr>
      <w:r>
        <w:rPr>
          <w:b/>
          <w:bCs/>
          <w:i/>
          <w:iCs/>
          <w:rtl/>
        </w:rPr>
        <w:t>الإجهاض</w:t>
      </w:r>
    </w:p>
    <w:p w:rsidR="00000000" w:rsidRDefault="00000000">
      <w:pPr>
        <w:pStyle w:val="SingleTxt"/>
        <w:ind w:left="1264" w:right="1264"/>
        <w:rPr>
          <w:rtl/>
        </w:rPr>
      </w:pPr>
      <w:r>
        <w:rPr>
          <w:rtl/>
        </w:rPr>
        <w:tab/>
      </w:r>
      <w:r>
        <w:rPr>
          <w:rtl/>
        </w:rPr>
        <w:tab/>
        <w:t>هناك نوعان من الإجهاض، وهما الإجهاض الطبي والإجهاض التلقائي والإجهاض الأخير من المحتمل أن يرتبط بالإجهاض غير القانوني. وتدل إحصاءات نظام معلومات إدارة الصحة في عام 2001 أن الإجهاض التلقائي كان أعلى بكثير (5040 حالة) من الإجهاض الطبي (123 حالة). والسبب الرئيسي لذلك يمكن أن يكون تعقيدات الحمل ولكن لا يمكن استبعاد أسباب أخرى مثل حمل المراهقات غير المرغوب فيه، والحمل قبل الزواج (خمل بنات المدارس)، والحمل الاضطراري عن طريق الاغتصاب، الخ. وبالإضافة إلى ذلك، هناك الكثير من حالات الإجهاض غير القانوني غير المبلغ عنها والتي تكلف حياة الكثير جدا من النساء الشابات.</w:t>
      </w:r>
    </w:p>
    <w:p w:rsidR="00000000" w:rsidRDefault="00000000">
      <w:pPr>
        <w:pStyle w:val="SingleTxt"/>
        <w:ind w:left="1264" w:right="1264"/>
        <w:rPr>
          <w:rtl/>
        </w:rPr>
      </w:pPr>
      <w:r>
        <w:rPr>
          <w:rtl/>
        </w:rPr>
        <w:tab/>
      </w:r>
      <w:r>
        <w:rPr>
          <w:rtl/>
        </w:rPr>
        <w:tab/>
        <w:t>والإجهاض الاختياري لا يمارس في أريتريا لأنه ليس جزءا من التقاليد أو العرف ولم يكن أبداً كذلك. ومن المستبعد أن يكون الإجهاض على أساس تفضيل الأبناء أو تفضيل الإناث.</w:t>
      </w:r>
    </w:p>
    <w:p w:rsidR="00000000" w:rsidRDefault="00000000">
      <w:pPr>
        <w:pStyle w:val="SingleTxt"/>
        <w:ind w:left="1264" w:right="1264"/>
        <w:rPr>
          <w:rtl/>
        </w:rPr>
      </w:pPr>
      <w:r>
        <w:rPr>
          <w:rtl/>
        </w:rPr>
        <w:tab/>
      </w:r>
      <w:r>
        <w:rPr>
          <w:rtl/>
        </w:rPr>
        <w:tab/>
        <w:t>ولا يسمح قانونا بالإجهاض في أريتريا. ولكن في ظروف معينة (حيث يمكن للطبيب أن يشهد بأن المرأة سوف تعاني أضرارا بالغة ودائمة بسبب إجهاد جسمي أو عقلي؛ أو عندما يكون الحمل ناجما عن الاغتصاب أو غشيان المحارم فإن من الممكن إجراؤه. ولا يمكن القيام بعلمية الإجهاض كلها إلا وإلا فقط إذا تقرر ذلك بمعرفة شخص مفوض بذلك.</w:t>
      </w:r>
    </w:p>
    <w:p w:rsidR="00000000" w:rsidRDefault="00000000">
      <w:pPr>
        <w:pStyle w:val="SingleTxt"/>
        <w:ind w:left="1264" w:right="1264"/>
        <w:rPr>
          <w:rtl/>
        </w:rPr>
      </w:pPr>
      <w:r>
        <w:rPr>
          <w:rtl/>
        </w:rPr>
        <w:tab/>
      </w:r>
      <w:r>
        <w:rPr>
          <w:rtl/>
        </w:rPr>
        <w:tab/>
        <w:t>ووفقا للقانون الجنائي، فإن الإنهاء العمدي للحمل، في أي مرحلة، أو كيفية إجرائه، يعتبر جريمة. ويعاقب على الإجهاض الذي يرتكب بمعرفة المرأة أو شخص أخر بموجب القانون. غير أنه من المسموح به بموجب القانون إجراء الإجهاض على أسس طبية استنادا إلى الأسس التالية:</w:t>
      </w:r>
    </w:p>
    <w:p w:rsidR="00000000" w:rsidRDefault="00000000">
      <w:pPr>
        <w:pStyle w:val="SingleTxt"/>
        <w:ind w:left="1264" w:right="1264"/>
        <w:rPr>
          <w:rtl/>
        </w:rPr>
      </w:pPr>
      <w:r>
        <w:rPr>
          <w:rtl/>
        </w:rPr>
        <w:tab/>
        <w:t>•</w:t>
      </w:r>
      <w:r>
        <w:rPr>
          <w:rtl/>
        </w:rPr>
        <w:tab/>
        <w:t xml:space="preserve">حيثما يتم إجراؤه لإنقاذ المرأة من خطر جسيم أو دائم على حياتها أو صحتها يكون </w:t>
      </w:r>
      <w:r>
        <w:rPr>
          <w:rtl/>
        </w:rPr>
        <w:tab/>
      </w:r>
      <w:r>
        <w:rPr>
          <w:rtl/>
        </w:rPr>
        <w:tab/>
        <w:t>من المستحيل تفاديه بأي طريقة أخرى ويتبع إجراء قانوني وهو:</w:t>
      </w:r>
    </w:p>
    <w:p w:rsidR="00000000" w:rsidRDefault="00000000">
      <w:pPr>
        <w:pStyle w:val="SingleTxt"/>
        <w:ind w:left="1264" w:right="1264"/>
        <w:rPr>
          <w:rtl/>
        </w:rPr>
      </w:pPr>
      <w:r>
        <w:rPr>
          <w:rtl/>
        </w:rPr>
        <w:tab/>
        <w:t>•</w:t>
      </w:r>
      <w:r>
        <w:rPr>
          <w:rtl/>
        </w:rPr>
        <w:tab/>
        <w:t xml:space="preserve">إلا عندما يكون مستحيلا، فإن الخطر يتم تشخيصه وإثباته كتابة بمعرفة ممارس طبي </w:t>
      </w:r>
      <w:r>
        <w:rPr>
          <w:rtl/>
        </w:rPr>
        <w:tab/>
      </w:r>
      <w:r>
        <w:rPr>
          <w:rtl/>
        </w:rPr>
        <w:tab/>
        <w:t>قانوني.</w:t>
      </w:r>
    </w:p>
    <w:p w:rsidR="00000000" w:rsidRDefault="00000000">
      <w:pPr>
        <w:pStyle w:val="SingleTxt"/>
        <w:ind w:left="1264" w:right="1264"/>
        <w:rPr>
          <w:b/>
          <w:bCs/>
          <w:i/>
          <w:iCs/>
          <w:rtl/>
        </w:rPr>
      </w:pPr>
      <w:r>
        <w:rPr>
          <w:b/>
          <w:bCs/>
          <w:i/>
          <w:iCs/>
          <w:rtl/>
        </w:rPr>
        <w:t>بتر جزء من العضو التناسلي للأنثى</w:t>
      </w:r>
    </w:p>
    <w:p w:rsidR="00000000" w:rsidRDefault="00000000">
      <w:pPr>
        <w:pStyle w:val="SingleTxt"/>
        <w:ind w:left="1264" w:right="1264"/>
        <w:rPr>
          <w:rtl/>
        </w:rPr>
      </w:pPr>
      <w:r>
        <w:rPr>
          <w:rtl/>
        </w:rPr>
        <w:tab/>
      </w:r>
      <w:r>
        <w:rPr>
          <w:rtl/>
        </w:rPr>
        <w:tab/>
        <w:t>يمثل ختان الإناث أو بتر جزء من العضو التناسلي للأنثى ممارسة ثقافية على نطاق واسع في أريتريا. وقد أطلقت حملة بهدف التقليل إلى أدنى حد من حدوثه خلال الكفاح المسلح ولكن عبثاً لأنه ليس من السهل تغيير اتجاه الرجال والنساء نحو بتر جزء من العضو التناسلي للأنثى الذي يرتبط بقوة بالزواج والإرضاء الجنسي للرجال. والناس يعتقدون أن بتر جزء من العضو التناسلي للأنثى مفيد لأنه يبعث على نظافة الأعضاء التناسلية أو يحافظ على العذرية.</w:t>
      </w:r>
    </w:p>
    <w:p w:rsidR="00000000" w:rsidRDefault="00000000">
      <w:pPr>
        <w:pStyle w:val="SingleTxt"/>
        <w:ind w:left="1264" w:right="1264"/>
        <w:rPr>
          <w:rtl/>
        </w:rPr>
      </w:pPr>
      <w:r>
        <w:rPr>
          <w:rtl/>
        </w:rPr>
        <w:tab/>
      </w:r>
      <w:r>
        <w:rPr>
          <w:rtl/>
        </w:rPr>
        <w:tab/>
        <w:t>وهناك ثلاثة أنواع للختان الأنثوي تمارس بصفة عامة، وهي الختان التخييطي وختان البنات والاستئصال الذي يفرض على البنات منذ سنتهن السابعة من العمر. وعلى الرغم من عسره النفسي والجسمي وآلامه غير المتصورة وتعقيداته الطبية (مشكلات أثناء الجماع والوضع) فما زال سائدا في المجتمعات المحلية الأريترية.</w:t>
      </w:r>
    </w:p>
    <w:p w:rsidR="00000000" w:rsidRDefault="00000000">
      <w:pPr>
        <w:pStyle w:val="SingleTxt"/>
        <w:ind w:left="1264" w:right="1264"/>
        <w:rPr>
          <w:rtl/>
        </w:rPr>
      </w:pPr>
      <w:r>
        <w:rPr>
          <w:rtl/>
        </w:rPr>
        <w:tab/>
      </w:r>
      <w:r>
        <w:rPr>
          <w:rtl/>
        </w:rPr>
        <w:tab/>
        <w:t xml:space="preserve">ومعرفة ختان الإناث ظاهرة عامة في أريتريا، وأبلغ تسع نساء من كل عشر (89 في المائة) أنه تم ختانهن. وهذا يمثل انخفاضا طفيفا عن شيوعه بنسبة 95 في المائة في عام 1995. والاتجاه نحو ختان الإناث يختلف اختلافا واسعا حسب المناطق (26 في المائة) في منطقة غاش </w:t>
      </w:r>
      <w:r>
        <w:t>–</w:t>
      </w:r>
      <w:r>
        <w:rPr>
          <w:rtl/>
        </w:rPr>
        <w:t xml:space="preserve"> بركا و(69 في المائة) في منطقة ماكيل، وحسب السن، فالنساء الشابات (دون سن العشرين) من المرجح أنهن يدعمن وقف هذه الممارسة</w:t>
      </w:r>
      <w:r>
        <w:rPr>
          <w:rStyle w:val="FootnoteReference"/>
          <w:rtl/>
        </w:rPr>
        <w:footnoteReference w:customMarkFollows="1" w:id="42"/>
        <w:t>(42)</w:t>
      </w:r>
      <w:r>
        <w:rPr>
          <w:rtl/>
        </w:rPr>
        <w:t xml:space="preserve"> بمعدل الضعف.</w:t>
      </w:r>
    </w:p>
    <w:p w:rsidR="00000000" w:rsidRDefault="00000000">
      <w:pPr>
        <w:pStyle w:val="SingleTxt"/>
        <w:ind w:left="1264" w:right="1264"/>
        <w:rPr>
          <w:rtl/>
        </w:rPr>
      </w:pPr>
      <w:r>
        <w:rPr>
          <w:rtl/>
        </w:rPr>
        <w:tab/>
      </w:r>
      <w:r>
        <w:rPr>
          <w:rtl/>
        </w:rPr>
        <w:tab/>
        <w:t>وهذا يبين على أنه مع التنمية الاقتصادية والوصول إلى التعليم فيما بين النساء والرجال في المجتمع المحلي، فإن من المؤكد أن ممارسة الختان سوف تنخفض ولكن بمعدل بطيء لذلك، من أجل تسريع التغيير، فإن من الضرورة القصوى شن حملة جيدة التنسيق والتكامل القطاعي فيما بين جميع الفعاليات (القطاعات العامة والسلطات المحلية والمجتمعية والمجتمعات الدينية والمنظمات غير الحكومية المحلية، الخ)</w:t>
      </w:r>
    </w:p>
    <w:p w:rsidR="00000000" w:rsidRDefault="00000000">
      <w:pPr>
        <w:pStyle w:val="SingleTxt"/>
        <w:ind w:left="1264" w:right="1264"/>
        <w:rPr>
          <w:b/>
          <w:bCs/>
          <w:i/>
          <w:iCs/>
          <w:rtl/>
        </w:rPr>
      </w:pPr>
      <w:r>
        <w:rPr>
          <w:b/>
          <w:bCs/>
          <w:i/>
          <w:iCs/>
          <w:rtl/>
        </w:rPr>
        <w:t>معدل وفيات الرضع وتغذية الطفل</w:t>
      </w:r>
    </w:p>
    <w:p w:rsidR="00000000" w:rsidRDefault="00000000">
      <w:pPr>
        <w:pStyle w:val="SingleTxt"/>
        <w:ind w:left="1264" w:right="1264"/>
        <w:rPr>
          <w:rtl/>
        </w:rPr>
      </w:pPr>
      <w:r>
        <w:rPr>
          <w:rtl/>
        </w:rPr>
        <w:tab/>
      </w:r>
      <w:r>
        <w:rPr>
          <w:rtl/>
        </w:rPr>
        <w:tab/>
        <w:t>نحو 44 في المائة من الأطفال دون الثالثة من العمر هم أقل في الوزن مما يمثل إيقافا للنمو أو الهدر أو كليهما. وعلى الرغم من أن لبن الثدي هو من الناحية التقليدية المصدر الرئيس لتغذية الصغار في أريتريا، فإن الأمهات ما زالت تشجع على تغذية الأطفال من ثديها في مرحلة مبكرة وإعطائهم غذاء تكملي في مرحلة متأخرة من الأغذية المتوفرة محليا. غير أن التغذية بالسوائل أو الأغذية التكميلية، يتوقف على معدل دخل كل أسرة معيشية وحالة الفقر العام في البلد. لذلك من أجل تحسين الحالة التغذوية للأطفال (الطول مقابل السن والوزن مقابل الطول والوزن مقابل السن) ينبغي تكثيف برامج تخفيض الفقر في مقدمة تحسين الخدمات الصحية إلى الأطفال. وفضلا عن ذلك، من الأهمية القصوى، تكثيف الإرشادات التغذوية فيما بين الأسر وخاصة الأمهات.</w:t>
      </w:r>
    </w:p>
    <w:p w:rsidR="00000000" w:rsidRDefault="00000000">
      <w:pPr>
        <w:pStyle w:val="SingleTxt"/>
        <w:ind w:left="1264" w:right="1264"/>
        <w:rPr>
          <w:rtl/>
        </w:rPr>
      </w:pPr>
      <w:r>
        <w:rPr>
          <w:rtl/>
        </w:rPr>
        <w:tab/>
      </w:r>
      <w:r>
        <w:rPr>
          <w:rtl/>
        </w:rPr>
        <w:tab/>
        <w:t xml:space="preserve">ووفقاً لبرنامج الاستقصاءات الديمغرافية والصحية لعام 1995، فإن الوفيات دون سن الخامسة كانت 136 حالة، لكل 000 1 وبلغت وفيات الرضع 72 لكل ألف من المواليد الأحياء. وتم إنجاز الكثير من حيث تخفيض وفيات الطفولة المبكرة في السنوات الخمس أو الست الأخيرة، وحاليا تبلغ الوفيات دون سن الخامسة 93 حالة وفاة لكل ألف من المواليد الأحياء ويبلغ معدل وفيات الرضع 48 لكل ألف. وخلال الطفولة فإن خطر وفيات المواليد المبكرة ووفيات المواليد المتأخرة هو نفسه تقريبا ويبلغ 20 حالة وفاة لكل ألف من المواليد الأحياء. </w:t>
      </w:r>
      <w:r>
        <w:rPr>
          <w:rStyle w:val="FootnoteReference"/>
          <w:rtl/>
        </w:rPr>
        <w:footnoteReference w:customMarkFollows="1" w:id="43"/>
        <w:t>(43)</w:t>
      </w:r>
      <w:r>
        <w:rPr>
          <w:rtl/>
        </w:rPr>
        <w:t>.</w:t>
      </w:r>
    </w:p>
    <w:p w:rsidR="00000000" w:rsidRDefault="00000000">
      <w:pPr>
        <w:pStyle w:val="SingleTxt"/>
        <w:ind w:left="1264" w:right="1264"/>
        <w:rPr>
          <w:rtl/>
        </w:rPr>
      </w:pPr>
      <w:r>
        <w:rPr>
          <w:rtl/>
        </w:rPr>
        <w:tab/>
      </w:r>
      <w:r>
        <w:rPr>
          <w:rtl/>
        </w:rPr>
        <w:tab/>
        <w:t xml:space="preserve">ويمثل التحصين أحد الأنشطة الناجحة لتقديم خدمة وقائية وتعزيزية في ميدان الخدمة الصحية للأطفال، حيث يتم تحصين 76 في المائة من أطفال أريتريا في عمر 12 </w:t>
      </w:r>
      <w:r>
        <w:t>–</w:t>
      </w:r>
      <w:r>
        <w:rPr>
          <w:rtl/>
        </w:rPr>
        <w:t xml:space="preserve"> 23 شهرا بالكامل (وكانت النسبة 41 في المائة فقط في عام 1995)، وفي حين أن 5 في المائة لم يتلقون أي تطعيمات على الإطلاق فإن نسبة من تلقوا التطعيمات كانت 38 في المائة في عام 1995.</w:t>
      </w:r>
    </w:p>
    <w:p w:rsidR="00000000" w:rsidRDefault="00000000">
      <w:pPr>
        <w:pStyle w:val="SingleTxt"/>
        <w:ind w:left="1264" w:right="1264"/>
        <w:rPr>
          <w:rtl/>
        </w:rPr>
      </w:pPr>
      <w:r>
        <w:rPr>
          <w:rtl/>
        </w:rPr>
        <w:tab/>
      </w:r>
      <w:r>
        <w:rPr>
          <w:rtl/>
        </w:rPr>
        <w:tab/>
        <w:t>وما زال على وزارة الصحة أن تقدم خدمات وقائية وتعزيزية في المدارس ما قبل التعليم الابتدائي ومدارس التعليم الابتدائي بهدف الكشف المبكر عن حالات الشذوذ، وفحص أطفال المدارس للوقوف على المرض والقيام بالتحصين. وعلى سبيل المثال، فإن إصابات الجهاز التنفسي الحادة هي من بين الأسباب الرئيسية للمرض والوفاة فيما بين الأطفال مما يتطلب تشخيصا وعلاجا في مرحلة مبكرة، وينبغي للآباء أن يكونوا على وعي بذلك من خلال التربية الصحية والمساعدة بالاتصال بالمرافق الصحية في وقت مبكر.</w:t>
      </w:r>
    </w:p>
    <w:p w:rsidR="00000000" w:rsidRDefault="00000000">
      <w:pPr>
        <w:pStyle w:val="SingleTxt"/>
        <w:ind w:left="1264" w:right="1264"/>
        <w:rPr>
          <w:b/>
          <w:bCs/>
          <w:rtl/>
        </w:rPr>
      </w:pPr>
      <w:r>
        <w:rPr>
          <w:b/>
          <w:bCs/>
          <w:rtl/>
        </w:rPr>
        <w:t>المادة 13: الحياة الاقتصادية والاجتماعية</w:t>
      </w:r>
    </w:p>
    <w:p w:rsidR="00000000" w:rsidRDefault="00000000">
      <w:pPr>
        <w:pStyle w:val="SingleTxt"/>
        <w:ind w:left="1264" w:right="1264"/>
        <w:rPr>
          <w:rtl/>
        </w:rPr>
      </w:pPr>
      <w:r>
        <w:rPr>
          <w:b/>
          <w:bCs/>
          <w:rtl/>
        </w:rPr>
        <w:tab/>
      </w:r>
      <w:r>
        <w:rPr>
          <w:b/>
          <w:bCs/>
          <w:rtl/>
        </w:rPr>
        <w:tab/>
      </w:r>
      <w:r>
        <w:rPr>
          <w:rtl/>
        </w:rPr>
        <w:t>تتسم الحياة الاقتصادية والاجتماعية للمرأة بالتكوين الاجتماعي والاقتصادي للبلد ويمكن تحديدها على الوجه الصحيح في هذا الإطار. ويتسم المجتمع الأريتري بقيم تقليدية وتنمية اقتصادية متدنية حيث تفتقر المرأة إلى اعتبارات المساواة في الحياة الاجتماعية والثقافية. غير أنه تم إرساء أساس دستوري حيث يكون للمرأة الأريترية وصول متساو وفرص متساوية في جميع الأنشطة الاجتماعية والثقافية.</w:t>
      </w:r>
    </w:p>
    <w:p w:rsidR="00000000" w:rsidRDefault="00000000">
      <w:pPr>
        <w:pStyle w:val="SingleTxt"/>
        <w:ind w:left="1264" w:right="1264"/>
        <w:rPr>
          <w:rtl/>
        </w:rPr>
      </w:pPr>
      <w:r>
        <w:rPr>
          <w:rtl/>
        </w:rPr>
        <w:tab/>
      </w:r>
      <w:r>
        <w:rPr>
          <w:rtl/>
        </w:rPr>
        <w:tab/>
        <w:t>وتنص المادة 8 من الدستور الأريتري بشأن التنمية الاقتصادية والاجتماعية على ما يلي:</w:t>
      </w:r>
    </w:p>
    <w:p w:rsidR="00000000" w:rsidRDefault="00000000">
      <w:pPr>
        <w:pStyle w:val="SingleTxt"/>
        <w:ind w:left="1264" w:right="1264"/>
        <w:rPr>
          <w:rtl/>
        </w:rPr>
      </w:pPr>
      <w:r>
        <w:rPr>
          <w:rtl/>
        </w:rPr>
        <w:tab/>
        <w:t xml:space="preserve">1 </w:t>
      </w:r>
      <w:r>
        <w:t>–</w:t>
      </w:r>
      <w:r>
        <w:rPr>
          <w:rtl/>
        </w:rPr>
        <w:tab/>
        <w:t xml:space="preserve">ســوف تســعى الدولية إلى تهيئة الفرص لضمان تنفيذ حقوق المواطنين في العدل </w:t>
      </w:r>
      <w:r>
        <w:rPr>
          <w:rtl/>
        </w:rPr>
        <w:tab/>
      </w:r>
      <w:r>
        <w:rPr>
          <w:rtl/>
        </w:rPr>
        <w:tab/>
        <w:t>الاجتماعي والتنمية الاقتصادية وتلبية احتياجاتهم المادية والروحية،</w:t>
      </w:r>
    </w:p>
    <w:p w:rsidR="00000000" w:rsidRDefault="00000000">
      <w:pPr>
        <w:pStyle w:val="SingleTxt"/>
        <w:ind w:left="1264" w:right="1264"/>
        <w:rPr>
          <w:rtl/>
        </w:rPr>
      </w:pPr>
      <w:r>
        <w:rPr>
          <w:rtl/>
        </w:rPr>
        <w:tab/>
        <w:t xml:space="preserve">2 </w:t>
      </w:r>
      <w:r>
        <w:t>–</w:t>
      </w:r>
      <w:r>
        <w:rPr>
          <w:rtl/>
        </w:rPr>
        <w:tab/>
        <w:t xml:space="preserve">سوف تعمل الدولة على تحقيق تنمية متوازنة ومستدامة في أنحاء البلد، وسوف </w:t>
      </w:r>
      <w:r>
        <w:rPr>
          <w:rtl/>
        </w:rPr>
        <w:tab/>
      </w:r>
      <w:r>
        <w:rPr>
          <w:rtl/>
        </w:rPr>
        <w:tab/>
        <w:t xml:space="preserve">تستخدم جميع الوسائل المتاحة لتمكين المواطنين من تحسين معيشتهم بطريقة </w:t>
      </w:r>
      <w:r>
        <w:rPr>
          <w:rtl/>
        </w:rPr>
        <w:tab/>
      </w:r>
      <w:r>
        <w:rPr>
          <w:rtl/>
        </w:rPr>
        <w:tab/>
        <w:t>مستدامة من خلال مشاركتهم.</w:t>
      </w:r>
    </w:p>
    <w:p w:rsidR="00000000" w:rsidRDefault="00000000">
      <w:pPr>
        <w:pStyle w:val="SingleTxt"/>
        <w:ind w:left="1264" w:right="1264"/>
        <w:rPr>
          <w:b/>
          <w:bCs/>
          <w:i/>
          <w:iCs/>
          <w:rtl/>
        </w:rPr>
      </w:pPr>
      <w:r>
        <w:rPr>
          <w:b/>
          <w:bCs/>
          <w:i/>
          <w:iCs/>
          <w:rtl/>
        </w:rPr>
        <w:t>استحقاقات الأسرة</w:t>
      </w:r>
    </w:p>
    <w:p w:rsidR="00000000" w:rsidRDefault="00000000">
      <w:pPr>
        <w:pStyle w:val="SingleTxt"/>
        <w:ind w:left="1264" w:right="1264"/>
        <w:rPr>
          <w:rtl/>
        </w:rPr>
      </w:pPr>
      <w:r>
        <w:rPr>
          <w:rtl/>
        </w:rPr>
        <w:tab/>
      </w:r>
      <w:r>
        <w:rPr>
          <w:rtl/>
        </w:rPr>
        <w:tab/>
        <w:t>لا يوجد حاليا نظام لاستحقاقات الأسرة أو نظام للرفاهية الاجتماعية. وما زال قانون الضمان الاجتماعي الذي يشمل استحقاقات الأسرة والمعاشات التقاعدية في طريقه إلى الإنشاء. غير أنه من المتوقع أن يكون قانوناً أكثر حساسية بنوع الجنس ويمنح حقوقا متساوية وفرصا متكافئة لكلا الجنسين في القطاعين العام والخاص. وبالإضافة إلى ذلك، تطبق في الوقت الحالي استحقاقات الأمومة وإجازة الأمومة والإجازة المرضية على أساس قانون العمل والاتفاقات المتعلقة بالعمالة. وعندما يتعرض الموظف (امرأة أو رجل دون تمييز) لإصابة عمل، فإن صاحب العمل ملزم بتغطية المصروفات الطيبة مثل رعاية المستشفيات والأدوية، والرعاية الطبية والجراحية العامة والخاصة والأجهزة اللازمة لتشوهات العظام والجراحة الترقيعية.</w:t>
      </w:r>
      <w:r>
        <w:rPr>
          <w:rStyle w:val="FootnoteReference"/>
          <w:rtl/>
        </w:rPr>
        <w:footnoteReference w:customMarkFollows="1" w:id="44"/>
        <w:t>(44)</w:t>
      </w:r>
    </w:p>
    <w:p w:rsidR="00000000" w:rsidRDefault="00000000">
      <w:pPr>
        <w:pStyle w:val="SingleTxt"/>
        <w:ind w:left="1264" w:right="1264"/>
        <w:rPr>
          <w:rtl/>
        </w:rPr>
      </w:pPr>
      <w:r>
        <w:rPr>
          <w:rtl/>
        </w:rPr>
        <w:tab/>
      </w:r>
      <w:r>
        <w:rPr>
          <w:rtl/>
        </w:rPr>
        <w:tab/>
        <w:t>وفي حالة حدوث طارئ في الأسرة، فإن الموظفين يحق لهم إجازة لمدة ثلاثة أيام مدفوعة الأجر ولمدة خمسة أيام متتالية غير مدفوعة الأجر.</w:t>
      </w:r>
    </w:p>
    <w:p w:rsidR="00000000" w:rsidRDefault="00000000">
      <w:pPr>
        <w:pStyle w:val="SingleTxt"/>
        <w:ind w:left="1264" w:right="1264"/>
        <w:rPr>
          <w:b/>
          <w:bCs/>
          <w:rtl/>
        </w:rPr>
      </w:pPr>
      <w:r>
        <w:rPr>
          <w:b/>
          <w:bCs/>
          <w:i/>
          <w:iCs/>
          <w:rtl/>
        </w:rPr>
        <w:t>قروض المصارف وغير ذلك من الائتمانات المالية</w:t>
      </w:r>
    </w:p>
    <w:p w:rsidR="00000000" w:rsidRDefault="00000000">
      <w:pPr>
        <w:pStyle w:val="SingleTxt"/>
        <w:ind w:left="1264" w:right="1264"/>
        <w:rPr>
          <w:rtl/>
        </w:rPr>
      </w:pPr>
      <w:r>
        <w:rPr>
          <w:b/>
          <w:bCs/>
          <w:i/>
          <w:iCs/>
          <w:rtl/>
        </w:rPr>
        <w:tab/>
      </w:r>
      <w:r>
        <w:rPr>
          <w:b/>
          <w:bCs/>
          <w:i/>
          <w:iCs/>
          <w:rtl/>
        </w:rPr>
        <w:tab/>
      </w:r>
      <w:r>
        <w:rPr>
          <w:rtl/>
        </w:rPr>
        <w:t>لا تعمد أساسا المؤسسات المالية المكلفة بالقروض المصرفية والرهونات والأشكال الأخرى للائتمانات المالية الصغيرة إلى التمييز ضد المرأة. والمعايير اللازمة للقروض مالية بشكل سافر ولا تقوم على أساس الجنس.</w:t>
      </w:r>
    </w:p>
    <w:p w:rsidR="00000000" w:rsidRDefault="00000000">
      <w:pPr>
        <w:pStyle w:val="SingleTxt"/>
        <w:ind w:left="1264" w:right="1264"/>
        <w:rPr>
          <w:rtl/>
        </w:rPr>
      </w:pPr>
      <w:r>
        <w:rPr>
          <w:rtl/>
        </w:rPr>
        <w:tab/>
      </w:r>
      <w:r>
        <w:rPr>
          <w:rtl/>
        </w:rPr>
        <w:tab/>
        <w:t>وائتمانات مصرف الإسكان تتم على أساس خدمة من يصل أولا في حين أن المعلومات المتعلقة بالرهونات ومهلة الشراء سبق إرسالها لتصل إلى كل مواطن مهتم بالأمر. ويتمثل أحد شروط القرض من أجل العقارات (سواء إنشاء أو شراء) في ”</w:t>
      </w:r>
      <w:r>
        <w:rPr>
          <w:i/>
          <w:iCs/>
          <w:rtl/>
        </w:rPr>
        <w:t>أن يطلب من المرتهن أن يقدم شهادة بالحالة الزواجية من مؤسسة معتمدة“</w:t>
      </w:r>
      <w:r>
        <w:rPr>
          <w:rtl/>
        </w:rPr>
        <w:t xml:space="preserve"> </w:t>
      </w:r>
      <w:r>
        <w:rPr>
          <w:rStyle w:val="FootnoteReference"/>
          <w:rtl/>
        </w:rPr>
        <w:footnoteReference w:customMarkFollows="1" w:id="45"/>
        <w:t>(45)</w:t>
      </w:r>
      <w:r>
        <w:rPr>
          <w:rtl/>
        </w:rPr>
        <w:t xml:space="preserve"> وفي حالة الشخصين المتزوجين، يلزم لكلا الزوجين تقديم موافقة كتابية من الزوج أو الزوجة للتعاقد على الارتهان، لأنه بحسب القانون المدني، تعتبر الملكية المكتسبة بعد الزواج ملكية مشتركة. غير أن ذلك لا ينطبق على الزيجات بموجب الشريعة. إذ أن الزوج المتزوج بموجب الشريعة يسمح له بالتعاقد على الارتهان والحصول على ائتمانات المصرف بدون موافقة زوجته. وهذا يمثل قصورا كبيرا يحتاج إلى إصلاح. والأمهات الوحيدات (سواء أرملة أو مطلقة أو غير متزوجة، الخ) والمرأة غير المتزوجة يمكنها أن تتعاقد بشأن اتفاق الرهن بدون هذه الشروط المسبقة المتعلقة بالأسرة.</w:t>
      </w:r>
    </w:p>
    <w:p w:rsidR="00000000" w:rsidRDefault="00000000">
      <w:pPr>
        <w:pStyle w:val="SingleTxt"/>
        <w:ind w:left="1264" w:right="1264"/>
        <w:rPr>
          <w:rtl/>
        </w:rPr>
      </w:pPr>
      <w:r>
        <w:rPr>
          <w:rtl/>
        </w:rPr>
        <w:tab/>
      </w:r>
      <w:r>
        <w:rPr>
          <w:rtl/>
        </w:rPr>
        <w:tab/>
        <w:t>وبرامج الائتمانات الصغيرة التي تديرها الحكومة والمنظمات غير الحكومية المحلية تعمل على أساس الوصول المتساوي لكلا الجنسين ومجموعات الأقلية. والواقع أنه في بعض الحالات (في المناطق الريفية) يقدم قدر أكبر من التشجيع للمرأة بوصف ذلك تمييزا إيجابيا. وبرنامج الاتحاد الوطني للنساء الأريتريات للائتمان وجزء من برنامج وكالة التعاون لأبحاث التنمية موجه بصفة محددة للمرأة التي ترأس أسرة معيشية والمقاتلات السابقات اللاتي تم تسريحهن. وتمثل المرأة حاليا 37 في المائة من مجموع المستفيدين ببرنامج الادخار والائتمانات الصغيرة التي تديره وزارة الحكم المحلي.</w:t>
      </w:r>
    </w:p>
    <w:p w:rsidR="00000000" w:rsidRDefault="00000000">
      <w:pPr>
        <w:pStyle w:val="SingleTxt"/>
        <w:ind w:left="1264" w:right="1264"/>
        <w:rPr>
          <w:rtl/>
        </w:rPr>
      </w:pPr>
      <w:r>
        <w:rPr>
          <w:rtl/>
        </w:rPr>
        <w:tab/>
      </w:r>
      <w:r>
        <w:rPr>
          <w:rtl/>
        </w:rPr>
        <w:tab/>
        <w:t>والمرأة الأريترية ليست بحاجة إلى موافقة الزوج أو القريب الذكري للتعاقد على اتفاق القرض أو الائتمان. وتمسك مؤسسات الائتمان والقروض (غير حكومية/حكومية) بإحصاءات مفصلة حسب نوع الجنس لعملائها، ولكن المصارف التجارية ومصارف الإسكان لا تقوم بذلك. وربما يحتاج الأمر إلى الأخذ بذلك في المستقبل القريب. ومن بين النقاط التي يمكن إثارتها هي ندرة المصارف المتنقلة أو أي آلية بديلة لمساعدة المرأة الريفية على فتح حسابات مصرفية بفرض الادخار أو أي أغراض أخرى.</w:t>
      </w:r>
    </w:p>
    <w:p w:rsidR="00000000" w:rsidRDefault="00000000">
      <w:pPr>
        <w:pStyle w:val="SingleTxt"/>
        <w:ind w:left="1264" w:right="1264"/>
        <w:rPr>
          <w:rtl/>
        </w:rPr>
      </w:pPr>
      <w:r>
        <w:rPr>
          <w:rtl/>
        </w:rPr>
        <w:tab/>
      </w:r>
      <w:r>
        <w:rPr>
          <w:rtl/>
        </w:rPr>
        <w:tab/>
        <w:t xml:space="preserve">ويوجد حاليا أكثر من 400 امرأة تقوم بالأعمال التجارية وعضو في الفرقة الوطنية الأريترية للتجارة وتمثل 16 في المائة من مجموع العضوية و 13 في المائة من مجلس الإدارة. وقامت الغرفة الوطنية الأريترية للتجارة مؤخرا بإنشاء وحدة تنمية الأعمال التجارية للمرأة </w:t>
      </w:r>
      <w:r>
        <w:rPr>
          <w:rStyle w:val="FootnoteReference"/>
          <w:rtl/>
        </w:rPr>
        <w:footnoteReference w:customMarkFollows="1" w:id="46"/>
        <w:t>(46)</w:t>
      </w:r>
      <w:r>
        <w:rPr>
          <w:rtl/>
        </w:rPr>
        <w:t xml:space="preserve"> وهي مفوضة لتشجيع وتمكين المرأة في ميدان الأعمال التجارية عن طريق تقديم برامج ذات صلة بالتدريب على الأعمال التجارية وتعزيز المشاركة في المعلومات والربط الشبكي، وإنشاء مصرف بيانات للمرأة الأريترية في قطاع الأعمال.</w:t>
      </w:r>
    </w:p>
    <w:p w:rsidR="00000000" w:rsidRDefault="00000000">
      <w:pPr>
        <w:pStyle w:val="SingleTxt"/>
        <w:ind w:left="1264" w:right="1264"/>
        <w:rPr>
          <w:b/>
          <w:bCs/>
          <w:i/>
          <w:iCs/>
          <w:rtl/>
        </w:rPr>
      </w:pPr>
      <w:r>
        <w:rPr>
          <w:b/>
          <w:bCs/>
          <w:i/>
          <w:iCs/>
          <w:rtl/>
        </w:rPr>
        <w:t>الأنشطة الترويحية</w:t>
      </w:r>
    </w:p>
    <w:p w:rsidR="00000000" w:rsidRDefault="00000000">
      <w:pPr>
        <w:pStyle w:val="SingleTxt"/>
        <w:ind w:left="1264" w:right="1264"/>
        <w:rPr>
          <w:rtl/>
        </w:rPr>
      </w:pPr>
      <w:r>
        <w:rPr>
          <w:rtl/>
        </w:rPr>
        <w:tab/>
      </w:r>
      <w:r>
        <w:rPr>
          <w:rtl/>
        </w:rPr>
        <w:tab/>
        <w:t>والألعاب الرياضية بصفة عامة في مرحلتها الأولى في أريتريا. وبدأت الاتحادات الرياضية والنوادي في الانطلاق وتتركز جميع الأنشطة الرياضية بدرجة متفاوتة في المناطق الحضرية والمدن الصغيرة والكبيرة. وتقوم وزارة التعليم بتدخلات رئيسية على مستوى المدرسة حيث يجري تشجيع البنات على المشاركة. ولا يوجد مجلس وطني للرياضة ولكن توجد اتحادات مستقلة مثل اتحاد كرة القدم واتحاد الدراجات واتحاد الكرة الطائرة، الخ. وتوجد امرأة واحدة عضو في كل من الاتحادات الرياضية الوطنية.</w:t>
      </w:r>
    </w:p>
    <w:p w:rsidR="00000000" w:rsidRDefault="00000000">
      <w:pPr>
        <w:pStyle w:val="SingleTxt"/>
        <w:ind w:left="1264" w:right="1264"/>
        <w:rPr>
          <w:rtl/>
        </w:rPr>
      </w:pPr>
      <w:r>
        <w:rPr>
          <w:rtl/>
        </w:rPr>
        <w:tab/>
      </w:r>
      <w:r>
        <w:rPr>
          <w:rtl/>
        </w:rPr>
        <w:tab/>
        <w:t>والألعاب الرياضية الأكثر شعبية في المدرسة هي كرة القدم، والكرة الطائرة، وكرة السلة، والتمرينات الرياضية. وتتطور الدراجات والتنس الأرضي وتنس الطاولة والبولينج والألعاب الداخلية الأخرى على مستويات النوادي. وأصبح في هذه الأيام أسلوباً مقبولا بصفة مشتركة أن تقوم البنات بألعاب كرة القدم والدراجات التي من المعتاد أن تكون مجالا للذكور.</w:t>
      </w:r>
    </w:p>
    <w:p w:rsidR="00000000" w:rsidRDefault="00000000">
      <w:pPr>
        <w:pStyle w:val="SingleTxt"/>
        <w:ind w:left="1264" w:right="1264"/>
        <w:rPr>
          <w:rtl/>
        </w:rPr>
      </w:pPr>
      <w:r>
        <w:rPr>
          <w:rtl/>
        </w:rPr>
        <w:tab/>
      </w:r>
      <w:r>
        <w:rPr>
          <w:rtl/>
        </w:rPr>
        <w:tab/>
        <w:t>وتقوم وزارة التعليم بتنظيم ألعاب على المستويين الوطني والإقليمي حيث تبدي فرق البنات مشاركة طيبة. وعلى الرغم من أنه لا يزال يوجد قدر أكبر من التمكين للمرأة فإنها تشارك في جميع المسابقات الرياضية الدولية أيضا.</w:t>
      </w:r>
    </w:p>
    <w:p w:rsidR="00000000" w:rsidRDefault="00000000">
      <w:pPr>
        <w:pStyle w:val="SingleTxt"/>
        <w:ind w:left="1264" w:right="1264"/>
        <w:rPr>
          <w:rtl/>
        </w:rPr>
      </w:pPr>
      <w:r>
        <w:rPr>
          <w:rtl/>
        </w:rPr>
        <w:tab/>
      </w:r>
      <w:r>
        <w:rPr>
          <w:rtl/>
        </w:rPr>
        <w:tab/>
        <w:t>وينبغي بذل الجهود لتوسيع النشاط الرياضي في المناطق الريفية وبناء مرافق للألعاب الرياضية لتمكين الفتاة الريفية لأن تكون جزءا من هذا النشاط وتعزيز المشاركة العريضة للجميع.</w:t>
      </w:r>
    </w:p>
    <w:p w:rsidR="00000000" w:rsidRDefault="00000000">
      <w:pPr>
        <w:pStyle w:val="SingleTxt"/>
        <w:ind w:left="1264" w:right="1264"/>
        <w:rPr>
          <w:b/>
          <w:bCs/>
          <w:i/>
          <w:iCs/>
          <w:rtl/>
        </w:rPr>
      </w:pPr>
      <w:r>
        <w:rPr>
          <w:b/>
          <w:bCs/>
          <w:i/>
          <w:iCs/>
          <w:rtl/>
        </w:rPr>
        <w:t>المرأة والفنون الجميلة</w:t>
      </w:r>
    </w:p>
    <w:p w:rsidR="00000000" w:rsidRDefault="00000000">
      <w:pPr>
        <w:pStyle w:val="SingleTxt"/>
        <w:ind w:left="1264" w:right="1264"/>
        <w:rPr>
          <w:rtl/>
        </w:rPr>
      </w:pPr>
      <w:r>
        <w:rPr>
          <w:rtl/>
        </w:rPr>
        <w:tab/>
      </w:r>
      <w:r>
        <w:rPr>
          <w:rtl/>
        </w:rPr>
        <w:tab/>
        <w:t>ترتبط المرأة في المجتمع الأريتري كثيراً بأعمال الفنون التقليدية بمختلف أنواعها. وهي تملك الثقافة اللازمة لتجميل وتزويد الأسرة المعيشية باستخدام مختلف الأعمال الفنية من الطين، وحرف الأخشاب والقش، وأعمال الخرز، وأعمال الجلود، والمنسوجات، الخ. غير أنه ينبغي الحفاظ على هذه الثروة الفنية وتحسينها من خلال التدريب. ويلزم أيضا تطويرها لتصل إلى مستوى التسويق واستخدامها كمصدر للدخل والإسهام في الهدايا التذكارية إلى المراكز السياحية. وقام الاتحاد الوطني للنساء الأريتريات بتعديل وإعادة تعميم أسلوب أعمال القش التي ثبت أن عليها طلبا كبيرا في الأسواق. ويمكن للجماعات المهتمة الأخرى أن تقلد ذلك للوصول إلى أكبر قدر ممكن من النساء.</w:t>
      </w:r>
    </w:p>
    <w:p w:rsidR="00000000" w:rsidRDefault="00000000">
      <w:pPr>
        <w:pStyle w:val="SingleTxt"/>
        <w:ind w:left="1264" w:right="1264"/>
        <w:rPr>
          <w:rtl/>
        </w:rPr>
      </w:pPr>
      <w:r>
        <w:rPr>
          <w:rtl/>
        </w:rPr>
        <w:tab/>
      </w:r>
      <w:r>
        <w:rPr>
          <w:rtl/>
        </w:rPr>
        <w:tab/>
        <w:t>وهناك مشاركة مشجعة للمرأة الشابة في الرسم التصويري، والتصوير الفوتوغرافي، والشعر، والكتابة بمختلف اللغات المحلية، الخ، ولكن المشاركة الملحوظة تبدو في الحفلات المسرحية والموسيقية. وبصفة عامة، من المطلوب القيام باستثمار كبير من جانب القطاعات الحكومية المعنية والمؤسسات المهتمة بالأمر لتوسيع وتعزيز مشاركة المرأة/الفتاة في هذا الميدان وينبغي بذل الجهود من أجل تحسين وضع المدارس القائمة للفنون والموسيقى والارتقاء بها إلى مستوى كلية الفنون ذات الفروع والقدرات المختلفة. ويوجد حاليا ما مجموعه 77 طالبا في ميدان الموسيقى (29 من الإناث) و 51 طالبا في ميدان الفنون (17 أنثى) بحسب إحصاءات التعليم الأساسي في عام 2000/2001.</w:t>
      </w:r>
    </w:p>
    <w:p w:rsidR="00000000" w:rsidRDefault="00000000">
      <w:pPr>
        <w:pStyle w:val="SingleTxt"/>
        <w:ind w:left="1264" w:right="1264"/>
        <w:rPr>
          <w:rtl/>
        </w:rPr>
      </w:pPr>
      <w:r>
        <w:rPr>
          <w:rtl/>
        </w:rPr>
        <w:tab/>
      </w:r>
      <w:r>
        <w:rPr>
          <w:rtl/>
        </w:rPr>
        <w:tab/>
        <w:t>وفيما يتعلق بالتجمعات الاجتماعية والأنشطة الترويحية الأخرى، فإن مشاركة المرأة محدودة إلى حد ما. ولا تمنع المرأة من الذهاب إلى دور السينما والمسارح واستادات كرة القدم والمطاعم، الخ، بنفسها أو بصحبة الأصدقاء أو الأسرة. والمرأة عضو أيضا في مختلف الرابطات مثل نوادي الروتاري ورابطات المعلمين، ورابطات الكشافة الأريترية، الخ، حيث تقوم المرأة والفتاة بدور ملحوظ. ومع ذلك، ينبغي ذكر أن كل هذه الأنشطة تتركز في المدن ولا تعكس المرأة الريفية.</w:t>
      </w:r>
    </w:p>
    <w:p w:rsidR="00000000" w:rsidRDefault="00000000">
      <w:pPr>
        <w:pStyle w:val="SingleTxt"/>
        <w:ind w:left="1264" w:right="1264"/>
        <w:rPr>
          <w:b/>
          <w:bCs/>
          <w:rtl/>
        </w:rPr>
      </w:pPr>
      <w:r>
        <w:rPr>
          <w:b/>
          <w:bCs/>
          <w:rtl/>
        </w:rPr>
        <w:t>المادة 14: المرأة الريفية</w:t>
      </w:r>
    </w:p>
    <w:p w:rsidR="00000000" w:rsidRDefault="00000000">
      <w:pPr>
        <w:pStyle w:val="SingleTxt"/>
        <w:ind w:left="1264" w:right="1264"/>
        <w:rPr>
          <w:rtl/>
        </w:rPr>
      </w:pPr>
      <w:r>
        <w:rPr>
          <w:b/>
          <w:bCs/>
          <w:rtl/>
        </w:rPr>
        <w:tab/>
      </w:r>
      <w:r>
        <w:rPr>
          <w:b/>
          <w:bCs/>
          <w:rtl/>
        </w:rPr>
        <w:tab/>
      </w:r>
      <w:r>
        <w:rPr>
          <w:rtl/>
        </w:rPr>
        <w:t>عانى الشعب الأريتري من سنوات الحرب والاحتلال والحرمان الاقتصادي. وكانت الفرص الاقتصادية محدودة، وكان من نتيجة ذلك أن معظم السكان يعيشون الآن في حالة فقر.</w:t>
      </w:r>
    </w:p>
    <w:p w:rsidR="00000000" w:rsidRDefault="00000000">
      <w:pPr>
        <w:pStyle w:val="SingleTxt"/>
        <w:ind w:left="1264" w:right="1264"/>
        <w:rPr>
          <w:rtl/>
        </w:rPr>
      </w:pPr>
      <w:r>
        <w:rPr>
          <w:rtl/>
        </w:rPr>
        <w:tab/>
      </w:r>
      <w:r>
        <w:rPr>
          <w:rtl/>
        </w:rPr>
        <w:tab/>
        <w:t xml:space="preserve">ولذلك فإن الحد من الفقر عن طريق النمو الاجتماعي وتعزيز العدل الاجتماعي من خلال تمكين الشعب ومشاركته الفعالة يمثلان الأهداف الرئيسية لاستراتيجية التنمية لأريتريا. ويمثل تعزيز وضع المرأة وزيادة مشاركتها في التنمية إحدى الأوليات الخاصة لتنمية البلد. </w:t>
      </w:r>
      <w:r>
        <w:rPr>
          <w:rStyle w:val="FootnoteReference"/>
          <w:rtl/>
        </w:rPr>
        <w:footnoteReference w:customMarkFollows="1" w:id="47"/>
        <w:t>(47)</w:t>
      </w:r>
    </w:p>
    <w:p w:rsidR="00000000" w:rsidRDefault="00000000">
      <w:pPr>
        <w:pStyle w:val="SingleTxt"/>
        <w:ind w:left="1264" w:right="1264"/>
        <w:rPr>
          <w:rtl/>
        </w:rPr>
      </w:pPr>
      <w:r>
        <w:rPr>
          <w:rtl/>
        </w:rPr>
        <w:tab/>
        <w:t>وتشكل المرأة الريفية غالبية مجموع السكان الإناث في البلد. وهي غير محظوظة اقتصاديا واجتماعيا بالمقابل بالمرأة في المناطق الحضرية. ويمكن التحقق من ذلك من خلال نتائج برنامج الاستقصاءات الديمغرافية والصحية للفترة 1995/2002 حيث:</w:t>
      </w:r>
    </w:p>
    <w:p w:rsidR="00000000" w:rsidRDefault="00000000">
      <w:pPr>
        <w:pStyle w:val="SingleTxt"/>
        <w:ind w:left="1264" w:right="1264"/>
        <w:rPr>
          <w:rtl/>
        </w:rPr>
      </w:pPr>
      <w:r>
        <w:rPr>
          <w:rtl/>
        </w:rPr>
        <w:tab/>
        <w:t>•</w:t>
      </w:r>
      <w:r>
        <w:rPr>
          <w:rtl/>
        </w:rPr>
        <w:tab/>
        <w:t xml:space="preserve">خُمس النساء فقط في المناطق الريفية لديهن قدر من التعليم، بالمقارنة بثلثي النساء في </w:t>
      </w:r>
      <w:r>
        <w:rPr>
          <w:rtl/>
        </w:rPr>
        <w:tab/>
      </w:r>
      <w:r>
        <w:rPr>
          <w:rtl/>
        </w:rPr>
        <w:tab/>
        <w:t>أسمرة (العاصمة) وأكثر من نصف النساء في المدن الأخرى.</w:t>
      </w:r>
    </w:p>
    <w:p w:rsidR="00000000" w:rsidRDefault="00000000">
      <w:pPr>
        <w:pStyle w:val="SingleTxt"/>
        <w:ind w:left="1264" w:right="1264"/>
        <w:rPr>
          <w:rtl/>
        </w:rPr>
      </w:pPr>
      <w:r>
        <w:rPr>
          <w:rtl/>
        </w:rPr>
        <w:tab/>
        <w:t>•</w:t>
      </w:r>
      <w:r>
        <w:rPr>
          <w:rtl/>
        </w:rPr>
        <w:tab/>
        <w:t xml:space="preserve">النسبة الصافية لحضور الفتيات في المدارس الابتدائية في المناطق الريفية تبلغ 27 في </w:t>
      </w:r>
      <w:r>
        <w:rPr>
          <w:rtl/>
        </w:rPr>
        <w:tab/>
      </w:r>
      <w:r>
        <w:rPr>
          <w:rtl/>
        </w:rPr>
        <w:tab/>
        <w:t>المائة مقابل 41 في المائة في المناطق الحضرية.</w:t>
      </w:r>
    </w:p>
    <w:p w:rsidR="00000000" w:rsidRDefault="00000000">
      <w:pPr>
        <w:pStyle w:val="SingleTxt"/>
        <w:ind w:left="1264" w:right="1264"/>
        <w:rPr>
          <w:rtl/>
        </w:rPr>
      </w:pPr>
      <w:r>
        <w:rPr>
          <w:rtl/>
        </w:rPr>
        <w:tab/>
        <w:t>•</w:t>
      </w:r>
      <w:r>
        <w:rPr>
          <w:rtl/>
        </w:rPr>
        <w:tab/>
        <w:t xml:space="preserve">يعمل 87 في المائة من النساء الريفيات العاملات و 76 في المائة من النساء غير </w:t>
      </w:r>
      <w:r>
        <w:rPr>
          <w:rtl/>
        </w:rPr>
        <w:tab/>
      </w:r>
      <w:r>
        <w:rPr>
          <w:rtl/>
        </w:rPr>
        <w:tab/>
        <w:t>المتعلمات في الوظائف الزراعية.</w:t>
      </w:r>
    </w:p>
    <w:p w:rsidR="00000000" w:rsidRDefault="00000000">
      <w:pPr>
        <w:pStyle w:val="SingleTxt"/>
        <w:ind w:left="1264" w:right="1264"/>
        <w:rPr>
          <w:rtl/>
        </w:rPr>
      </w:pPr>
      <w:r>
        <w:rPr>
          <w:rtl/>
        </w:rPr>
        <w:tab/>
        <w:t>•</w:t>
      </w:r>
      <w:r>
        <w:rPr>
          <w:rtl/>
        </w:rPr>
        <w:tab/>
        <w:t xml:space="preserve">21 في المائة من الأسر المعيشية في المناطق الريفية يحصلن على المياه من الأنهار أو </w:t>
      </w:r>
      <w:r>
        <w:rPr>
          <w:rtl/>
        </w:rPr>
        <w:tab/>
      </w:r>
      <w:r>
        <w:rPr>
          <w:rtl/>
        </w:rPr>
        <w:tab/>
        <w:t xml:space="preserve">المجاري المائية أو الترع أو البحيرات، و8 في المائة فقط من الصنابير العامة. وليس </w:t>
      </w:r>
      <w:r>
        <w:rPr>
          <w:rtl/>
        </w:rPr>
        <w:tab/>
      </w:r>
      <w:r>
        <w:rPr>
          <w:rtl/>
        </w:rPr>
        <w:tab/>
        <w:t xml:space="preserve">لدى أي أسرة معيشية ريفية مياه يتم ضخها داخل الأنابيب في محل الإقامة (40 في </w:t>
      </w:r>
      <w:r>
        <w:rPr>
          <w:rtl/>
        </w:rPr>
        <w:tab/>
      </w:r>
      <w:r>
        <w:rPr>
          <w:rtl/>
        </w:rPr>
        <w:tab/>
        <w:t>المائة في الحضر).</w:t>
      </w:r>
    </w:p>
    <w:p w:rsidR="00000000" w:rsidRDefault="00000000">
      <w:pPr>
        <w:pStyle w:val="SingleTxt"/>
        <w:ind w:left="1264" w:right="1264"/>
        <w:rPr>
          <w:rtl/>
        </w:rPr>
      </w:pPr>
      <w:r>
        <w:rPr>
          <w:rtl/>
        </w:rPr>
        <w:tab/>
        <w:t>•</w:t>
      </w:r>
      <w:r>
        <w:rPr>
          <w:rtl/>
        </w:rPr>
        <w:tab/>
        <w:t xml:space="preserve">متوسط الوقت اللازم للذهاب إلى مصدر مياه الشرب والحصول على المياه ثم العودة </w:t>
      </w:r>
      <w:r>
        <w:rPr>
          <w:rtl/>
        </w:rPr>
        <w:tab/>
      </w:r>
      <w:r>
        <w:rPr>
          <w:rtl/>
        </w:rPr>
        <w:tab/>
        <w:t xml:space="preserve">هو ساعة كاملة في المناطق الريفية بالمقارنة بدقيقة واحدة إلى ست دقائق في المناطق </w:t>
      </w:r>
      <w:r>
        <w:rPr>
          <w:rtl/>
        </w:rPr>
        <w:tab/>
      </w:r>
      <w:r>
        <w:rPr>
          <w:rtl/>
        </w:rPr>
        <w:tab/>
        <w:t>الحضرية.</w:t>
      </w:r>
    </w:p>
    <w:p w:rsidR="00000000" w:rsidRDefault="00000000">
      <w:pPr>
        <w:pStyle w:val="SingleTxt"/>
        <w:ind w:left="1264" w:right="1264"/>
        <w:rPr>
          <w:rtl/>
        </w:rPr>
      </w:pPr>
      <w:r>
        <w:rPr>
          <w:rtl/>
        </w:rPr>
        <w:tab/>
        <w:t>•</w:t>
      </w:r>
      <w:r>
        <w:rPr>
          <w:rtl/>
        </w:rPr>
        <w:tab/>
        <w:t xml:space="preserve">20 في المائة فقط من الأسر المعيشية الريفية ليس لديها كهرباء مقابل توفرها بدرجة </w:t>
      </w:r>
      <w:r>
        <w:rPr>
          <w:rtl/>
        </w:rPr>
        <w:tab/>
      </w:r>
      <w:r>
        <w:rPr>
          <w:rtl/>
        </w:rPr>
        <w:tab/>
        <w:t>شبه مطلقة في المناطق الحضرية.</w:t>
      </w:r>
    </w:p>
    <w:p w:rsidR="00000000" w:rsidRDefault="00000000">
      <w:pPr>
        <w:pStyle w:val="SingleTxt"/>
        <w:ind w:left="1264" w:right="1264"/>
        <w:rPr>
          <w:rtl/>
        </w:rPr>
      </w:pPr>
      <w:r>
        <w:rPr>
          <w:rtl/>
        </w:rPr>
        <w:tab/>
        <w:t>•</w:t>
      </w:r>
      <w:r>
        <w:rPr>
          <w:rtl/>
        </w:rPr>
        <w:tab/>
        <w:t>بالنسبة للمرافق الصحية فإن جميع الأسر المعيشية الريفية تقريبا ليس لديها مرحاض.</w:t>
      </w:r>
    </w:p>
    <w:p w:rsidR="00000000" w:rsidRDefault="00000000">
      <w:pPr>
        <w:pStyle w:val="SingleTxt"/>
        <w:ind w:left="1264" w:right="1264"/>
        <w:rPr>
          <w:rtl/>
        </w:rPr>
      </w:pPr>
      <w:r>
        <w:rPr>
          <w:rtl/>
        </w:rPr>
        <w:tab/>
        <w:t>•</w:t>
      </w:r>
      <w:r>
        <w:rPr>
          <w:rtl/>
        </w:rPr>
        <w:tab/>
        <w:t xml:space="preserve">الخشب والكسب المصنوع من روث الحيوانات هما المصدر الرئيسي المستخدم في </w:t>
      </w:r>
      <w:r>
        <w:rPr>
          <w:rtl/>
        </w:rPr>
        <w:tab/>
      </w:r>
      <w:r>
        <w:rPr>
          <w:rtl/>
        </w:rPr>
        <w:tab/>
        <w:t>الطبخ.</w:t>
      </w:r>
    </w:p>
    <w:p w:rsidR="00000000" w:rsidRDefault="00000000">
      <w:pPr>
        <w:pStyle w:val="SingleTxt"/>
        <w:ind w:left="1264" w:right="1264"/>
        <w:rPr>
          <w:rtl/>
        </w:rPr>
      </w:pPr>
      <w:r>
        <w:rPr>
          <w:rtl/>
        </w:rPr>
        <w:tab/>
        <w:t>•</w:t>
      </w:r>
      <w:r>
        <w:rPr>
          <w:rtl/>
        </w:rPr>
        <w:tab/>
        <w:t>معدل وفيات الأطفال ومعدل وفيات الأمومة أعلى بكثير فيما بين سكان الريف.</w:t>
      </w:r>
    </w:p>
    <w:p w:rsidR="00000000" w:rsidRDefault="00000000">
      <w:pPr>
        <w:pStyle w:val="SingleTxt"/>
        <w:ind w:left="1264" w:right="1264"/>
        <w:rPr>
          <w:rtl/>
        </w:rPr>
      </w:pPr>
      <w:r>
        <w:rPr>
          <w:rtl/>
        </w:rPr>
        <w:tab/>
        <w:t>•</w:t>
      </w:r>
      <w:r>
        <w:rPr>
          <w:rtl/>
        </w:rPr>
        <w:tab/>
        <w:t xml:space="preserve">بتر جزء من العضو التناسلي للأنثى يمارس بدرجة أكبر في الريف عما يمارس في </w:t>
      </w:r>
      <w:r>
        <w:rPr>
          <w:rtl/>
        </w:rPr>
        <w:tab/>
      </w:r>
      <w:r>
        <w:rPr>
          <w:rtl/>
        </w:rPr>
        <w:tab/>
        <w:t>المدن.</w:t>
      </w:r>
    </w:p>
    <w:p w:rsidR="00000000" w:rsidRDefault="00000000">
      <w:pPr>
        <w:pStyle w:val="SingleTxt"/>
        <w:ind w:left="1264" w:right="1264"/>
        <w:rPr>
          <w:rtl/>
        </w:rPr>
      </w:pPr>
      <w:r>
        <w:rPr>
          <w:rtl/>
        </w:rPr>
        <w:tab/>
        <w:t>•</w:t>
      </w:r>
      <w:r>
        <w:rPr>
          <w:rtl/>
        </w:rPr>
        <w:tab/>
        <w:t xml:space="preserve">تبلغ النسبة المئوية للخدمات التي يقدمها المهنيون الصحيون في المناطق الحضرية </w:t>
      </w:r>
      <w:r>
        <w:rPr>
          <w:rtl/>
        </w:rPr>
        <w:tab/>
      </w:r>
      <w:r>
        <w:rPr>
          <w:rtl/>
        </w:rPr>
        <w:tab/>
        <w:t xml:space="preserve">64.7 في حين تبلغ 10.4 في المناطق الريفية. ومن هذا القبيل تبلغ النسبة المئوية </w:t>
      </w:r>
      <w:r>
        <w:rPr>
          <w:rtl/>
        </w:rPr>
        <w:tab/>
      </w:r>
      <w:r>
        <w:rPr>
          <w:rtl/>
        </w:rPr>
        <w:tab/>
        <w:t xml:space="preserve">للخدمات المقدمة في مرفق صحي في المنطقة الحضرية 61.7 في حين تبلغ 8.9 في </w:t>
      </w:r>
      <w:r>
        <w:rPr>
          <w:rtl/>
        </w:rPr>
        <w:tab/>
      </w:r>
      <w:r>
        <w:rPr>
          <w:rtl/>
        </w:rPr>
        <w:tab/>
        <w:t>المنطقة الريفية.</w:t>
      </w:r>
    </w:p>
    <w:p w:rsidR="00000000" w:rsidRDefault="00000000">
      <w:pPr>
        <w:pStyle w:val="SingleTxt"/>
        <w:ind w:left="1264" w:right="1264"/>
        <w:rPr>
          <w:rtl/>
        </w:rPr>
      </w:pPr>
      <w:r>
        <w:rPr>
          <w:rtl/>
        </w:rPr>
        <w:tab/>
      </w:r>
      <w:r>
        <w:rPr>
          <w:rtl/>
        </w:rPr>
        <w:tab/>
        <w:t>ومع الأخذ في الاعتبار ما سبق ذكره عن الوضع الاجتماعي والاقتصادي، تعيد حكومة أريتريا تكرار التزامها مرة أخرى بتحسين ظروف المعيشة في المجتمع الريفي عامة وظروف المعيشة للمرأة الريفية خاصة. وفي آذار/مارس 1998 أصدرت الحكومة وثيقة استراتيجيتها لتخفيض حدة الفقر، وهي إطار وبرنامج السياسة الاقتصادية الوطنية وحددت أولويات التنمية الخاصة على التأكيد بوجه خاص على:</w:t>
      </w:r>
    </w:p>
    <w:p w:rsidR="00000000" w:rsidRDefault="00000000">
      <w:pPr>
        <w:pStyle w:val="SingleTxt"/>
        <w:ind w:left="1264" w:right="1264"/>
        <w:rPr>
          <w:rtl/>
        </w:rPr>
      </w:pPr>
      <w:r>
        <w:rPr>
          <w:rtl/>
        </w:rPr>
        <w:tab/>
        <w:t>•</w:t>
      </w:r>
      <w:r>
        <w:rPr>
          <w:rtl/>
        </w:rPr>
        <w:tab/>
        <w:t>تخفيض حدة الفقر وتحقيق مستوى أعلى من العدل الاجتماعي،</w:t>
      </w:r>
    </w:p>
    <w:p w:rsidR="00000000" w:rsidRDefault="00000000">
      <w:pPr>
        <w:pStyle w:val="SingleTxt"/>
        <w:ind w:left="1264" w:right="1264"/>
        <w:rPr>
          <w:rtl/>
        </w:rPr>
      </w:pPr>
      <w:r>
        <w:rPr>
          <w:rtl/>
        </w:rPr>
        <w:tab/>
        <w:t>•</w:t>
      </w:r>
      <w:r>
        <w:rPr>
          <w:rtl/>
        </w:rPr>
        <w:tab/>
        <w:t xml:space="preserve">تعزيز دور المرأة في عملية التنمية الوطنية عن طريق تنفيذ إجراءات معينة لتهيئة </w:t>
      </w:r>
      <w:r>
        <w:rPr>
          <w:rtl/>
        </w:rPr>
        <w:tab/>
      </w:r>
      <w:r>
        <w:rPr>
          <w:rtl/>
        </w:rPr>
        <w:tab/>
        <w:t>تكافؤ الفرص،</w:t>
      </w:r>
    </w:p>
    <w:p w:rsidR="00000000" w:rsidRDefault="00000000">
      <w:pPr>
        <w:pStyle w:val="SingleTxt"/>
        <w:ind w:left="1264" w:right="1264"/>
        <w:rPr>
          <w:rtl/>
        </w:rPr>
      </w:pPr>
      <w:r>
        <w:rPr>
          <w:rtl/>
        </w:rPr>
        <w:tab/>
        <w:t>•</w:t>
      </w:r>
      <w:r>
        <w:rPr>
          <w:rtl/>
        </w:rPr>
        <w:tab/>
        <w:t>توفير تدريب العاملين الذي تتأكد أهميته باستمرار.</w:t>
      </w:r>
    </w:p>
    <w:p w:rsidR="00000000" w:rsidRDefault="00000000">
      <w:pPr>
        <w:pStyle w:val="SingleTxt"/>
        <w:ind w:left="1264" w:right="1264"/>
        <w:rPr>
          <w:rtl/>
        </w:rPr>
      </w:pPr>
      <w:r>
        <w:rPr>
          <w:rtl/>
        </w:rPr>
        <w:tab/>
      </w:r>
      <w:r>
        <w:rPr>
          <w:rtl/>
        </w:rPr>
        <w:tab/>
        <w:t>وأنشأت حكومة أريتريا صندوق التنمية المجتمعية لأريتريا بوصفه عملية ريادية من عام 1993 إلى عام 1995، بهدف إنعاش وتنمية المجتمع المحلي الريفي بعد حرب طويلة ومدمرة. ويركز المشروع بصفة رئيسية على إصلاح المدارس الابتدائية والمراكز الصحية والمحطات الصحية والري على نطاق ضيق وإمدادات المياه والطرق المغذية. واستفاد من المشاريع التي يمولها صندوق التنمية، المجتمعية لأريتريا أكثر من 000 700 منتفع (رجالا ونساء). وأهم جانب من جوانب المشروع هو خدماته التي تركز على القرى النائية، وتشجيع اشتراك المجتمع المحلي، ومساعدة المرأة الريفية على أن تكون جزءا من الأنشطة الشاملة في كل من اتخاذ القرار والتنفيذ.</w:t>
      </w:r>
    </w:p>
    <w:p w:rsidR="00000000" w:rsidRDefault="00000000">
      <w:pPr>
        <w:pStyle w:val="SingleTxt"/>
        <w:ind w:left="1264" w:right="1264"/>
        <w:rPr>
          <w:rtl/>
        </w:rPr>
      </w:pPr>
      <w:r>
        <w:rPr>
          <w:rtl/>
        </w:rPr>
        <w:tab/>
      </w:r>
      <w:r>
        <w:rPr>
          <w:rtl/>
        </w:rPr>
        <w:tab/>
        <w:t>وأعقب ذلك برنامج آخر يقوم على المجتمع المحلي وتم إطلاقه في إطار صندوق التنمية المجتمعية لأريتريا في عام 1996 بهدف (1) دعم إصلاح وتنمية المرافق الأساسية الاجتماعية والاقتصادية الحاسمة للتنمية (2) تحسين قدرة التوليد لدى السكان الفقراء والأسر المعيشية الفقيرة، وتنفيذ مشاريع الادخار والائتمان الصغيرة.</w:t>
      </w:r>
    </w:p>
    <w:p w:rsidR="00000000" w:rsidRDefault="00000000">
      <w:pPr>
        <w:pStyle w:val="SingleTxt"/>
        <w:ind w:left="1264" w:right="1264"/>
        <w:rPr>
          <w:rtl/>
        </w:rPr>
      </w:pPr>
      <w:r>
        <w:rPr>
          <w:rtl/>
        </w:rPr>
        <w:tab/>
      </w:r>
      <w:r>
        <w:rPr>
          <w:rtl/>
        </w:rPr>
        <w:tab/>
        <w:t>ويقوم صندوق التنمية المجتمعية لأريتريا بتمويل مشروعات فرعية تم تحديدها وطلبها بمعرفة المجتمعات المحلية ويقوم المجتمع المحلي بدور رئيسي في تصميمها وتنفيذها ورصدها وصياغتها واستدامتها.</w:t>
      </w:r>
    </w:p>
    <w:p w:rsidR="00000000" w:rsidRDefault="00000000">
      <w:pPr>
        <w:pStyle w:val="SingleTxt"/>
        <w:ind w:left="1264" w:right="1264"/>
        <w:rPr>
          <w:rtl/>
        </w:rPr>
      </w:pPr>
      <w:r>
        <w:rPr>
          <w:rtl/>
        </w:rPr>
        <w:tab/>
      </w:r>
      <w:r>
        <w:rPr>
          <w:rtl/>
        </w:rPr>
        <w:tab/>
        <w:t xml:space="preserve">وقد صمم برنامج صندوق التنمية المجتمعية لأريتريا ليكون أكثر برنامج وعيا بنوع الجنس تمشياً مع سياسة الحكومة بشأن نوع الجنس. ومن ثَم تم تطوير خطة عمل بشأن نوع الجنس </w:t>
      </w:r>
      <w:r>
        <w:rPr>
          <w:rStyle w:val="FootnoteReference"/>
          <w:rtl/>
        </w:rPr>
        <w:footnoteReference w:customMarkFollows="1" w:id="48"/>
        <w:t>(48)</w:t>
      </w:r>
      <w:r>
        <w:rPr>
          <w:rtl/>
        </w:rPr>
        <w:t xml:space="preserve"> لضمان أن تستفيد النساء بدرجة متساوية من الأنشطة الممولة من صندوق التنمية المجتمعية لأريتريا وتقوم بدور نشط في تحديد وتصميم وإدارة المشاريع الفرعية. وتم إيجاز خطة العمل بشأن نوع الجنس كما يلي:</w:t>
      </w:r>
    </w:p>
    <w:p w:rsidR="00000000" w:rsidRDefault="00000000">
      <w:pPr>
        <w:pStyle w:val="SingleTxt"/>
        <w:ind w:left="1264" w:right="1264"/>
        <w:rPr>
          <w:rtl/>
        </w:rPr>
      </w:pPr>
      <w:r>
        <w:rPr>
          <w:rtl/>
        </w:rPr>
        <w:tab/>
        <w:t>•</w:t>
      </w:r>
      <w:r>
        <w:rPr>
          <w:rtl/>
        </w:rPr>
        <w:tab/>
        <w:t>رصد أثر أنشطة الصندوق على المرأة والإشراف عليه،</w:t>
      </w:r>
    </w:p>
    <w:p w:rsidR="00000000" w:rsidRDefault="00000000">
      <w:pPr>
        <w:pStyle w:val="SingleTxt"/>
        <w:ind w:left="1264" w:right="1264"/>
        <w:rPr>
          <w:rtl/>
        </w:rPr>
      </w:pPr>
      <w:r>
        <w:rPr>
          <w:rtl/>
        </w:rPr>
        <w:tab/>
        <w:t>•</w:t>
      </w:r>
      <w:r>
        <w:rPr>
          <w:rtl/>
        </w:rPr>
        <w:tab/>
        <w:t>زيادة وتعزيز مشاركة المرأة في أنشطة الصندوق،</w:t>
      </w:r>
    </w:p>
    <w:p w:rsidR="00000000" w:rsidRDefault="00000000">
      <w:pPr>
        <w:pStyle w:val="SingleTxt"/>
        <w:ind w:left="1264" w:right="1264"/>
        <w:rPr>
          <w:rtl/>
        </w:rPr>
      </w:pPr>
      <w:r>
        <w:rPr>
          <w:rtl/>
        </w:rPr>
        <w:tab/>
        <w:t>•</w:t>
      </w:r>
      <w:r>
        <w:rPr>
          <w:rtl/>
        </w:rPr>
        <w:tab/>
        <w:t>التدريب من أجل مشاركة المرأة،</w:t>
      </w:r>
    </w:p>
    <w:p w:rsidR="00000000" w:rsidRDefault="00000000">
      <w:pPr>
        <w:pStyle w:val="SingleTxt"/>
        <w:ind w:left="1264" w:right="1264"/>
        <w:rPr>
          <w:rtl/>
        </w:rPr>
      </w:pPr>
      <w:r>
        <w:rPr>
          <w:rtl/>
        </w:rPr>
        <w:tab/>
        <w:t>•</w:t>
      </w:r>
      <w:r>
        <w:rPr>
          <w:rtl/>
        </w:rPr>
        <w:tab/>
        <w:t xml:space="preserve">تحسين وصول المرأة الفقيرة أو غير المحظوظة، إلى الأصول الاقتصادية والسيطرة </w:t>
      </w:r>
      <w:r>
        <w:rPr>
          <w:rtl/>
        </w:rPr>
        <w:tab/>
      </w:r>
      <w:r>
        <w:rPr>
          <w:rtl/>
        </w:rPr>
        <w:tab/>
        <w:t>عليها.</w:t>
      </w:r>
    </w:p>
    <w:p w:rsidR="00000000" w:rsidRDefault="00000000">
      <w:pPr>
        <w:pStyle w:val="SingleTxt"/>
        <w:ind w:left="1264" w:right="1264"/>
        <w:rPr>
          <w:rtl/>
        </w:rPr>
      </w:pPr>
      <w:r>
        <w:rPr>
          <w:rtl/>
        </w:rPr>
        <w:tab/>
      </w:r>
      <w:r>
        <w:rPr>
          <w:rtl/>
        </w:rPr>
        <w:tab/>
        <w:t>وبصفة عامة استفادت المرأة والمجتمع المحلي الكثير من جميع الأنشطة التي يمولها الصندوق. وهي أنشطة تشمل الائتمانات الصغيرة وإمدادات المياه الريفية وبناء الطرق المغذية من أجل توسيع شبكة الطرق فيما يتعلق بمعالجة قضايا النقل وتشييد المدارس والمراكز الصحية والمراكز المجتمعية المتعددة الأغراض. إلا أنه ينبغي قياس الأثر الواقع على نوع الجنس في إطار المؤشرات الموجزة في خطة العمل بشأن نوع الجنس لتقدير مدى استفادة المرأة الريفية من جميع المشروعات، ومن المتوقع أن يقوم الصندوق بإجراء تقييم شامل عن طريق إشراك جميع الفعاليات وخاصة الاتحاد الوطني للنساء الأريتريات.</w:t>
      </w:r>
    </w:p>
    <w:p w:rsidR="00000000" w:rsidRDefault="00000000">
      <w:pPr>
        <w:pStyle w:val="SingleTxt"/>
        <w:ind w:left="1264" w:right="1264"/>
        <w:rPr>
          <w:b/>
          <w:bCs/>
          <w:i/>
          <w:iCs/>
          <w:rtl/>
        </w:rPr>
      </w:pPr>
    </w:p>
    <w:p w:rsidR="00000000" w:rsidRDefault="00000000">
      <w:pPr>
        <w:pStyle w:val="SingleTxt"/>
        <w:ind w:left="1264" w:right="1264"/>
        <w:rPr>
          <w:b/>
          <w:bCs/>
          <w:i/>
          <w:iCs/>
          <w:rtl/>
        </w:rPr>
      </w:pPr>
    </w:p>
    <w:p w:rsidR="00000000" w:rsidRDefault="00000000">
      <w:pPr>
        <w:pStyle w:val="SingleTxt"/>
        <w:ind w:left="1264" w:right="1264"/>
        <w:rPr>
          <w:b/>
          <w:bCs/>
          <w:i/>
          <w:iCs/>
          <w:rtl/>
        </w:rPr>
      </w:pPr>
      <w:r>
        <w:rPr>
          <w:b/>
          <w:bCs/>
          <w:i/>
          <w:iCs/>
          <w:rtl/>
        </w:rPr>
        <w:t>سياسة الأرض</w:t>
      </w:r>
    </w:p>
    <w:p w:rsidR="00000000" w:rsidRDefault="00000000">
      <w:pPr>
        <w:pStyle w:val="SingleTxt"/>
        <w:ind w:left="1264" w:right="1264"/>
        <w:rPr>
          <w:rtl/>
        </w:rPr>
      </w:pPr>
      <w:r>
        <w:rPr>
          <w:b/>
          <w:bCs/>
          <w:i/>
          <w:iCs/>
          <w:rtl/>
        </w:rPr>
        <w:tab/>
      </w:r>
      <w:r>
        <w:rPr>
          <w:b/>
          <w:bCs/>
          <w:i/>
          <w:iCs/>
          <w:rtl/>
        </w:rPr>
        <w:tab/>
      </w:r>
      <w:r>
        <w:rPr>
          <w:rtl/>
        </w:rPr>
        <w:t>كان تغيير نظام حيازة الأرض لتمكين التنفيذ السلس لاستراتيجية التنمية حيويا بدرجة قاطعة. ويعمل الميثاق الوطني لعام 1994 على تعظيم أهمية إصلاح الأرض بروح من المبادرات الشاملة للتنمية في البلد، وينص على ما يلي:</w:t>
      </w:r>
    </w:p>
    <w:p w:rsidR="00000000" w:rsidRDefault="00000000">
      <w:pPr>
        <w:pStyle w:val="SingleTxt"/>
        <w:ind w:left="1264" w:right="1264"/>
        <w:rPr>
          <w:i/>
          <w:iCs/>
          <w:rtl/>
        </w:rPr>
      </w:pPr>
      <w:r>
        <w:rPr>
          <w:rtl/>
        </w:rPr>
        <w:tab/>
      </w:r>
      <w:r>
        <w:rPr>
          <w:rtl/>
        </w:rPr>
        <w:tab/>
      </w:r>
      <w:r>
        <w:rPr>
          <w:i/>
          <w:iCs/>
          <w:rtl/>
        </w:rPr>
        <w:t xml:space="preserve">”الأخذ بطريقة توزيع الأرض تقضي على نظام حيازة الأرض السائد والمتأصل في </w:t>
      </w:r>
      <w:r>
        <w:rPr>
          <w:i/>
          <w:iCs/>
          <w:rtl/>
        </w:rPr>
        <w:tab/>
      </w:r>
      <w:r>
        <w:rPr>
          <w:i/>
          <w:iCs/>
          <w:rtl/>
        </w:rPr>
        <w:tab/>
        <w:t xml:space="preserve">الأسرة والقرية والقبائل والتقسيمات الشديدة الضيق للأرض، على أن يحل محله نظام </w:t>
      </w:r>
      <w:r>
        <w:rPr>
          <w:i/>
          <w:iCs/>
          <w:rtl/>
        </w:rPr>
        <w:tab/>
      </w:r>
      <w:r>
        <w:rPr>
          <w:i/>
          <w:iCs/>
          <w:rtl/>
        </w:rPr>
        <w:tab/>
        <w:t xml:space="preserve">موحد يقوم على أساس الاستخدام الفردي ويكون موضع تحقق عن طريق السجل </w:t>
      </w:r>
      <w:r>
        <w:rPr>
          <w:i/>
          <w:iCs/>
          <w:rtl/>
        </w:rPr>
        <w:tab/>
      </w:r>
      <w:r>
        <w:rPr>
          <w:i/>
          <w:iCs/>
          <w:rtl/>
        </w:rPr>
        <w:tab/>
        <w:t>مع الاعتراف بأن القرى تشكل أساس هوية المواطنين.“</w:t>
      </w:r>
    </w:p>
    <w:p w:rsidR="00000000" w:rsidRDefault="00000000">
      <w:pPr>
        <w:pStyle w:val="SingleTxt"/>
        <w:ind w:left="1264" w:right="1264"/>
        <w:rPr>
          <w:rtl/>
        </w:rPr>
      </w:pPr>
      <w:r>
        <w:rPr>
          <w:i/>
          <w:iCs/>
          <w:rtl/>
        </w:rPr>
        <w:tab/>
      </w:r>
      <w:r>
        <w:rPr>
          <w:i/>
          <w:iCs/>
          <w:rtl/>
        </w:rPr>
        <w:tab/>
      </w:r>
      <w:r>
        <w:rPr>
          <w:rtl/>
        </w:rPr>
        <w:t xml:space="preserve">ولهذا الغرض تم إنشاء السياسة الجديدة للأرض التي تعلن أن ملكية الأرض في أريتريا من حق الحكومة وحدها وأن لكل مواطن أريتري الحق في الوصول إلى الأرض بغرض زراعتها أو الرعي أو الإسكان أو أغراض التنمية. وينظم القانون الشروط التي يسمح بها لذلك. </w:t>
      </w:r>
      <w:r>
        <w:rPr>
          <w:rStyle w:val="FootnoteReference"/>
          <w:rtl/>
        </w:rPr>
        <w:footnoteReference w:customMarkFollows="1" w:id="49"/>
        <w:t>(49)</w:t>
      </w:r>
      <w:r>
        <w:rPr>
          <w:rtl/>
        </w:rPr>
        <w:t xml:space="preserve"> وهدف سياسة الأرض الجديدة كما وردت في السياسة الكلية هو:</w:t>
      </w:r>
    </w:p>
    <w:p w:rsidR="00000000" w:rsidRDefault="00000000">
      <w:pPr>
        <w:pStyle w:val="SingleTxt"/>
        <w:ind w:left="1264" w:right="1264"/>
        <w:rPr>
          <w:rtl/>
        </w:rPr>
      </w:pPr>
      <w:r>
        <w:rPr>
          <w:rtl/>
        </w:rPr>
        <w:tab/>
        <w:t>•</w:t>
      </w:r>
      <w:r>
        <w:rPr>
          <w:rtl/>
        </w:rPr>
        <w:tab/>
        <w:t>تشجيع الاستثمارات الطويلة الأجل في الزراعة والإدارة الحكيمة لشؤون البيئة</w:t>
      </w:r>
    </w:p>
    <w:p w:rsidR="00000000" w:rsidRDefault="00000000">
      <w:pPr>
        <w:pStyle w:val="SingleTxt"/>
        <w:ind w:left="1264" w:right="1264"/>
        <w:rPr>
          <w:rtl/>
        </w:rPr>
      </w:pPr>
      <w:r>
        <w:rPr>
          <w:rtl/>
        </w:rPr>
        <w:tab/>
        <w:t>•</w:t>
      </w:r>
      <w:r>
        <w:rPr>
          <w:rtl/>
        </w:rPr>
        <w:tab/>
        <w:t>ضمان حق المرأة في الأرض على أساس متساو مع الرجل</w:t>
      </w:r>
    </w:p>
    <w:p w:rsidR="00000000" w:rsidRDefault="00000000">
      <w:pPr>
        <w:pStyle w:val="SingleTxt"/>
        <w:ind w:left="1264" w:right="1264"/>
        <w:rPr>
          <w:rtl/>
        </w:rPr>
      </w:pPr>
      <w:r>
        <w:rPr>
          <w:rtl/>
        </w:rPr>
        <w:tab/>
        <w:t>•</w:t>
      </w:r>
      <w:r>
        <w:rPr>
          <w:rtl/>
        </w:rPr>
        <w:tab/>
        <w:t>تشجيع الزراعة التجارية.</w:t>
      </w:r>
    </w:p>
    <w:p w:rsidR="00000000" w:rsidRDefault="00000000">
      <w:pPr>
        <w:pStyle w:val="SingleTxt"/>
        <w:ind w:left="1264" w:right="1264"/>
        <w:rPr>
          <w:rtl/>
        </w:rPr>
      </w:pPr>
      <w:r>
        <w:rPr>
          <w:rtl/>
        </w:rPr>
        <w:tab/>
      </w:r>
      <w:r>
        <w:rPr>
          <w:rtl/>
        </w:rPr>
        <w:tab/>
        <w:t>وعلاوة على ذلك، تم الأخذ بإعلان جديد للأرض رقم 58/1994، يعطي لكل مواطن الحق في استخدام الأرض دون تمييز على أساس الجنس والدين والأصل الإثني (المادة 4). ومن ثَم فقد اكتسبت المرأة من الناحية القانونية مساواة في الفرص والوصول إلى استخدام الأرض من أجل الزراعة والإسكان وأغراض الاستثمار في المناطق الريفية والحضرية. غير أنه من الناحية العملية توجد دائما عقبات من حيث الموافقة تحول دون تطبيق هذه الأحكام.</w:t>
      </w:r>
    </w:p>
    <w:p w:rsidR="00000000" w:rsidRDefault="00000000">
      <w:pPr>
        <w:pStyle w:val="SingleTxt"/>
        <w:ind w:left="1264" w:right="1264"/>
        <w:rPr>
          <w:rtl/>
        </w:rPr>
      </w:pPr>
      <w:r>
        <w:rPr>
          <w:rtl/>
        </w:rPr>
        <w:tab/>
      </w:r>
      <w:r>
        <w:rPr>
          <w:rtl/>
        </w:rPr>
        <w:tab/>
        <w:t>وعلى الرغم من أن لكل منطقة نظامها التطبيقي، يتم اختيار لجان توزيع الأرض في القرية و</w:t>
      </w:r>
      <w:r>
        <w:rPr>
          <w:i/>
          <w:iCs/>
          <w:rtl/>
        </w:rPr>
        <w:t xml:space="preserve">الكبابي </w:t>
      </w:r>
      <w:r>
        <w:rPr>
          <w:rStyle w:val="FootnoteReference"/>
          <w:i/>
          <w:iCs/>
          <w:rtl/>
        </w:rPr>
        <w:footnoteReference w:customMarkFollows="1" w:id="50"/>
        <w:t>(50)</w:t>
      </w:r>
      <w:r>
        <w:rPr>
          <w:i/>
          <w:iCs/>
          <w:rtl/>
        </w:rPr>
        <w:t xml:space="preserve"> </w:t>
      </w:r>
      <w:r>
        <w:rPr>
          <w:rtl/>
        </w:rPr>
        <w:t>حيث تدرج المرأة وحيث يتم تحديد أولوية التوزيع على أساس الإعلان. وعلى سبيل المثال فإن الأولوية فيما بين النساء في المنطقة الجنوبية تمنح أولا للمقيمين الدائمين والأرامل ذوات الأطفال والمطلقات والمحاربات السابقات، الخ. ويقدم طلب استخدام الأرض على أساس فردي إلى اللجنة. والمنطقة الجنوبية هي واحدة من أكثر المناطق كثافة بالسكان حيث يجري توزيع الأرض.</w:t>
      </w:r>
    </w:p>
    <w:p w:rsidR="00000000" w:rsidRDefault="00000000">
      <w:pPr>
        <w:pStyle w:val="SingleTxt"/>
        <w:ind w:left="1264" w:right="1264"/>
        <w:rPr>
          <w:b/>
          <w:bCs/>
          <w:rtl/>
        </w:rPr>
      </w:pPr>
      <w:r>
        <w:rPr>
          <w:rtl/>
        </w:rPr>
        <w:tab/>
      </w:r>
      <w:r>
        <w:rPr>
          <w:b/>
          <w:bCs/>
          <w:rtl/>
        </w:rPr>
        <w:t xml:space="preserve">جدول 18: توزيع الأرض من أجل الإسكان في المنطقة الجنوبية، 1998 </w:t>
      </w:r>
      <w:r>
        <w:rPr>
          <w:b/>
          <w:bCs/>
        </w:rPr>
        <w:t>–</w:t>
      </w:r>
      <w:r>
        <w:rPr>
          <w:b/>
          <w:bCs/>
          <w:rtl/>
        </w:rPr>
        <w:t xml:space="preserve"> 1999</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59"/>
        <w:gridCol w:w="1134"/>
        <w:gridCol w:w="1134"/>
        <w:gridCol w:w="1560"/>
      </w:tblGrid>
      <w:tr w:rsidR="00000000">
        <w:tblPrEx>
          <w:tblCellMar>
            <w:top w:w="0" w:type="dxa"/>
            <w:bottom w:w="0" w:type="dxa"/>
          </w:tblCellMar>
        </w:tblPrEx>
        <w:tc>
          <w:tcPr>
            <w:tcW w:w="2268" w:type="dxa"/>
          </w:tcPr>
          <w:p w:rsidR="00000000" w:rsidRDefault="00000000">
            <w:pPr>
              <w:pStyle w:val="SingleTxt"/>
              <w:ind w:left="0" w:right="0"/>
              <w:rPr>
                <w:b/>
                <w:bCs/>
                <w:szCs w:val="24"/>
                <w:rtl/>
              </w:rPr>
            </w:pPr>
            <w:r>
              <w:rPr>
                <w:b/>
                <w:bCs/>
                <w:szCs w:val="24"/>
                <w:rtl/>
              </w:rPr>
              <w:t>المنطقة الفرعية</w:t>
            </w:r>
          </w:p>
        </w:tc>
        <w:tc>
          <w:tcPr>
            <w:tcW w:w="1559" w:type="dxa"/>
          </w:tcPr>
          <w:p w:rsidR="00000000" w:rsidRDefault="00000000">
            <w:pPr>
              <w:pStyle w:val="SingleTxt"/>
              <w:ind w:left="0" w:right="0"/>
              <w:rPr>
                <w:b/>
                <w:bCs/>
                <w:szCs w:val="24"/>
                <w:rtl/>
              </w:rPr>
            </w:pPr>
            <w:r>
              <w:rPr>
                <w:b/>
                <w:bCs/>
                <w:szCs w:val="24"/>
                <w:rtl/>
              </w:rPr>
              <w:t>المجموع</w:t>
            </w:r>
          </w:p>
        </w:tc>
        <w:tc>
          <w:tcPr>
            <w:tcW w:w="1134" w:type="dxa"/>
          </w:tcPr>
          <w:p w:rsidR="00000000" w:rsidRDefault="00000000">
            <w:pPr>
              <w:pStyle w:val="SingleTxt"/>
              <w:ind w:left="0" w:right="0"/>
              <w:rPr>
                <w:b/>
                <w:bCs/>
                <w:szCs w:val="24"/>
                <w:rtl/>
              </w:rPr>
            </w:pPr>
            <w:r>
              <w:rPr>
                <w:b/>
                <w:bCs/>
                <w:szCs w:val="24"/>
                <w:rtl/>
              </w:rPr>
              <w:t>الرجل</w:t>
            </w:r>
          </w:p>
        </w:tc>
        <w:tc>
          <w:tcPr>
            <w:tcW w:w="1134" w:type="dxa"/>
          </w:tcPr>
          <w:p w:rsidR="00000000" w:rsidRDefault="00000000">
            <w:pPr>
              <w:pStyle w:val="SingleTxt"/>
              <w:ind w:left="0" w:right="0"/>
              <w:rPr>
                <w:b/>
                <w:bCs/>
                <w:szCs w:val="24"/>
                <w:rtl/>
              </w:rPr>
            </w:pPr>
            <w:r>
              <w:rPr>
                <w:b/>
                <w:bCs/>
                <w:szCs w:val="24"/>
                <w:rtl/>
              </w:rPr>
              <w:t>المرأة</w:t>
            </w:r>
          </w:p>
        </w:tc>
        <w:tc>
          <w:tcPr>
            <w:tcW w:w="1560" w:type="dxa"/>
          </w:tcPr>
          <w:p w:rsidR="00000000" w:rsidRDefault="00000000">
            <w:pPr>
              <w:pStyle w:val="SingleTxt"/>
              <w:ind w:left="0" w:right="0"/>
              <w:rPr>
                <w:b/>
                <w:bCs/>
                <w:szCs w:val="24"/>
                <w:rtl/>
              </w:rPr>
            </w:pPr>
            <w:r>
              <w:rPr>
                <w:b/>
                <w:bCs/>
                <w:szCs w:val="24"/>
                <w:rtl/>
              </w:rPr>
              <w:t>النسبة المئوية للمرأة</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ميندفيرا</w:t>
            </w:r>
          </w:p>
        </w:tc>
        <w:tc>
          <w:tcPr>
            <w:tcW w:w="1559" w:type="dxa"/>
          </w:tcPr>
          <w:p w:rsidR="00000000" w:rsidRDefault="00000000">
            <w:pPr>
              <w:pStyle w:val="SingleTxt"/>
              <w:ind w:left="0" w:right="0"/>
              <w:rPr>
                <w:szCs w:val="24"/>
                <w:rtl/>
              </w:rPr>
            </w:pPr>
            <w:r>
              <w:rPr>
                <w:szCs w:val="24"/>
                <w:rtl/>
              </w:rPr>
              <w:t>063 7</w:t>
            </w:r>
          </w:p>
        </w:tc>
        <w:tc>
          <w:tcPr>
            <w:tcW w:w="1134" w:type="dxa"/>
          </w:tcPr>
          <w:p w:rsidR="00000000" w:rsidRDefault="00000000">
            <w:pPr>
              <w:pStyle w:val="SingleTxt"/>
              <w:ind w:left="0" w:right="0"/>
              <w:rPr>
                <w:szCs w:val="24"/>
                <w:rtl/>
              </w:rPr>
            </w:pPr>
            <w:r>
              <w:rPr>
                <w:szCs w:val="24"/>
                <w:rtl/>
              </w:rPr>
              <w:t>314 4</w:t>
            </w:r>
          </w:p>
        </w:tc>
        <w:tc>
          <w:tcPr>
            <w:tcW w:w="1134" w:type="dxa"/>
          </w:tcPr>
          <w:p w:rsidR="00000000" w:rsidRDefault="00000000">
            <w:pPr>
              <w:pStyle w:val="SingleTxt"/>
              <w:ind w:left="0" w:right="0"/>
              <w:rPr>
                <w:szCs w:val="24"/>
                <w:rtl/>
              </w:rPr>
            </w:pPr>
            <w:r>
              <w:rPr>
                <w:szCs w:val="24"/>
                <w:rtl/>
              </w:rPr>
              <w:t>749 2</w:t>
            </w:r>
          </w:p>
        </w:tc>
        <w:tc>
          <w:tcPr>
            <w:tcW w:w="1560" w:type="dxa"/>
          </w:tcPr>
          <w:p w:rsidR="00000000" w:rsidRDefault="00000000">
            <w:pPr>
              <w:pStyle w:val="SingleTxt"/>
              <w:ind w:left="0" w:right="0"/>
              <w:rPr>
                <w:szCs w:val="24"/>
                <w:rtl/>
              </w:rPr>
            </w:pPr>
            <w:r>
              <w:rPr>
                <w:szCs w:val="24"/>
                <w:rtl/>
              </w:rPr>
              <w:t>38.9</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 xml:space="preserve">ماي </w:t>
            </w:r>
            <w:r>
              <w:rPr>
                <w:szCs w:val="24"/>
              </w:rPr>
              <w:t>–</w:t>
            </w:r>
            <w:r>
              <w:rPr>
                <w:szCs w:val="24"/>
                <w:rtl/>
              </w:rPr>
              <w:t xml:space="preserve"> ماين</w:t>
            </w:r>
          </w:p>
        </w:tc>
        <w:tc>
          <w:tcPr>
            <w:tcW w:w="1559" w:type="dxa"/>
          </w:tcPr>
          <w:p w:rsidR="00000000" w:rsidRDefault="00000000">
            <w:pPr>
              <w:pStyle w:val="SingleTxt"/>
              <w:ind w:left="0" w:right="0"/>
              <w:rPr>
                <w:szCs w:val="24"/>
                <w:rtl/>
              </w:rPr>
            </w:pPr>
            <w:r>
              <w:rPr>
                <w:szCs w:val="24"/>
                <w:rtl/>
              </w:rPr>
              <w:t>576 11</w:t>
            </w:r>
          </w:p>
        </w:tc>
        <w:tc>
          <w:tcPr>
            <w:tcW w:w="1134" w:type="dxa"/>
          </w:tcPr>
          <w:p w:rsidR="00000000" w:rsidRDefault="00000000">
            <w:pPr>
              <w:pStyle w:val="SingleTxt"/>
              <w:ind w:left="0" w:right="0"/>
              <w:rPr>
                <w:szCs w:val="24"/>
                <w:rtl/>
              </w:rPr>
            </w:pPr>
            <w:r>
              <w:rPr>
                <w:szCs w:val="24"/>
                <w:rtl/>
              </w:rPr>
              <w:t>833 8</w:t>
            </w:r>
          </w:p>
        </w:tc>
        <w:tc>
          <w:tcPr>
            <w:tcW w:w="1134" w:type="dxa"/>
          </w:tcPr>
          <w:p w:rsidR="00000000" w:rsidRDefault="00000000">
            <w:pPr>
              <w:pStyle w:val="SingleTxt"/>
              <w:ind w:left="0" w:right="0"/>
              <w:rPr>
                <w:szCs w:val="24"/>
                <w:rtl/>
              </w:rPr>
            </w:pPr>
            <w:r>
              <w:rPr>
                <w:szCs w:val="24"/>
                <w:rtl/>
              </w:rPr>
              <w:t>743 2</w:t>
            </w:r>
          </w:p>
        </w:tc>
        <w:tc>
          <w:tcPr>
            <w:tcW w:w="1560" w:type="dxa"/>
          </w:tcPr>
          <w:p w:rsidR="00000000" w:rsidRDefault="00000000">
            <w:pPr>
              <w:pStyle w:val="SingleTxt"/>
              <w:ind w:left="0" w:right="0"/>
              <w:rPr>
                <w:szCs w:val="24"/>
                <w:rtl/>
              </w:rPr>
            </w:pPr>
            <w:r>
              <w:rPr>
                <w:szCs w:val="24"/>
                <w:rtl/>
              </w:rPr>
              <w:t>23.6</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 xml:space="preserve">ماي </w:t>
            </w:r>
            <w:r>
              <w:rPr>
                <w:szCs w:val="24"/>
              </w:rPr>
              <w:t>–</w:t>
            </w:r>
            <w:r>
              <w:rPr>
                <w:szCs w:val="24"/>
                <w:rtl/>
              </w:rPr>
              <w:t xml:space="preserve"> ايني</w:t>
            </w:r>
          </w:p>
        </w:tc>
        <w:tc>
          <w:tcPr>
            <w:tcW w:w="1559" w:type="dxa"/>
          </w:tcPr>
          <w:p w:rsidR="00000000" w:rsidRDefault="00000000">
            <w:pPr>
              <w:pStyle w:val="SingleTxt"/>
              <w:ind w:left="0" w:right="0"/>
              <w:rPr>
                <w:szCs w:val="24"/>
                <w:rtl/>
              </w:rPr>
            </w:pPr>
            <w:r>
              <w:rPr>
                <w:szCs w:val="24"/>
                <w:rtl/>
              </w:rPr>
              <w:t>387 7</w:t>
            </w:r>
          </w:p>
        </w:tc>
        <w:tc>
          <w:tcPr>
            <w:tcW w:w="1134" w:type="dxa"/>
          </w:tcPr>
          <w:p w:rsidR="00000000" w:rsidRDefault="00000000">
            <w:pPr>
              <w:pStyle w:val="SingleTxt"/>
              <w:ind w:left="0" w:right="0"/>
              <w:rPr>
                <w:szCs w:val="24"/>
                <w:rtl/>
              </w:rPr>
            </w:pPr>
            <w:r>
              <w:rPr>
                <w:szCs w:val="24"/>
                <w:rtl/>
              </w:rPr>
              <w:t>190 5</w:t>
            </w:r>
          </w:p>
        </w:tc>
        <w:tc>
          <w:tcPr>
            <w:tcW w:w="1134" w:type="dxa"/>
          </w:tcPr>
          <w:p w:rsidR="00000000" w:rsidRDefault="00000000">
            <w:pPr>
              <w:pStyle w:val="SingleTxt"/>
              <w:ind w:left="0" w:right="0"/>
              <w:rPr>
                <w:szCs w:val="24"/>
                <w:rtl/>
              </w:rPr>
            </w:pPr>
            <w:r>
              <w:rPr>
                <w:szCs w:val="24"/>
                <w:rtl/>
              </w:rPr>
              <w:t>197 2</w:t>
            </w:r>
          </w:p>
        </w:tc>
        <w:tc>
          <w:tcPr>
            <w:tcW w:w="1560" w:type="dxa"/>
          </w:tcPr>
          <w:p w:rsidR="00000000" w:rsidRDefault="00000000">
            <w:pPr>
              <w:pStyle w:val="SingleTxt"/>
              <w:ind w:left="0" w:right="0"/>
              <w:rPr>
                <w:szCs w:val="24"/>
                <w:rtl/>
              </w:rPr>
            </w:pPr>
            <w:r>
              <w:rPr>
                <w:szCs w:val="24"/>
                <w:rtl/>
              </w:rPr>
              <w:t>29.7</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سينافي</w:t>
            </w:r>
          </w:p>
        </w:tc>
        <w:tc>
          <w:tcPr>
            <w:tcW w:w="1559" w:type="dxa"/>
          </w:tcPr>
          <w:p w:rsidR="00000000" w:rsidRDefault="00000000">
            <w:pPr>
              <w:pStyle w:val="SingleTxt"/>
              <w:ind w:left="0" w:right="0"/>
              <w:rPr>
                <w:szCs w:val="24"/>
                <w:rtl/>
              </w:rPr>
            </w:pPr>
            <w:r>
              <w:rPr>
                <w:szCs w:val="24"/>
                <w:rtl/>
              </w:rPr>
              <w:t>572 13</w:t>
            </w:r>
          </w:p>
        </w:tc>
        <w:tc>
          <w:tcPr>
            <w:tcW w:w="1134" w:type="dxa"/>
          </w:tcPr>
          <w:p w:rsidR="00000000" w:rsidRDefault="00000000">
            <w:pPr>
              <w:pStyle w:val="SingleTxt"/>
              <w:ind w:left="0" w:right="0"/>
              <w:rPr>
                <w:szCs w:val="24"/>
                <w:rtl/>
              </w:rPr>
            </w:pPr>
            <w:r>
              <w:rPr>
                <w:szCs w:val="24"/>
                <w:rtl/>
              </w:rPr>
              <w:t>340 8</w:t>
            </w:r>
          </w:p>
        </w:tc>
        <w:tc>
          <w:tcPr>
            <w:tcW w:w="1134" w:type="dxa"/>
          </w:tcPr>
          <w:p w:rsidR="00000000" w:rsidRDefault="00000000">
            <w:pPr>
              <w:pStyle w:val="SingleTxt"/>
              <w:ind w:left="0" w:right="0"/>
              <w:rPr>
                <w:szCs w:val="24"/>
                <w:rtl/>
              </w:rPr>
            </w:pPr>
            <w:r>
              <w:rPr>
                <w:szCs w:val="24"/>
                <w:rtl/>
              </w:rPr>
              <w:t>232 5</w:t>
            </w:r>
          </w:p>
        </w:tc>
        <w:tc>
          <w:tcPr>
            <w:tcW w:w="1560" w:type="dxa"/>
          </w:tcPr>
          <w:p w:rsidR="00000000" w:rsidRDefault="00000000">
            <w:pPr>
              <w:pStyle w:val="SingleTxt"/>
              <w:ind w:left="0" w:right="0"/>
              <w:rPr>
                <w:szCs w:val="24"/>
                <w:rtl/>
              </w:rPr>
            </w:pPr>
            <w:r>
              <w:rPr>
                <w:szCs w:val="24"/>
                <w:rtl/>
              </w:rPr>
              <w:t>38.5</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سيغينيتي</w:t>
            </w:r>
          </w:p>
        </w:tc>
        <w:tc>
          <w:tcPr>
            <w:tcW w:w="1559" w:type="dxa"/>
          </w:tcPr>
          <w:p w:rsidR="00000000" w:rsidRDefault="00000000">
            <w:pPr>
              <w:pStyle w:val="SingleTxt"/>
              <w:ind w:left="0" w:right="0"/>
              <w:rPr>
                <w:szCs w:val="24"/>
                <w:rtl/>
              </w:rPr>
            </w:pPr>
            <w:r>
              <w:rPr>
                <w:szCs w:val="24"/>
                <w:rtl/>
              </w:rPr>
              <w:t>720 8</w:t>
            </w:r>
          </w:p>
        </w:tc>
        <w:tc>
          <w:tcPr>
            <w:tcW w:w="1134" w:type="dxa"/>
          </w:tcPr>
          <w:p w:rsidR="00000000" w:rsidRDefault="00000000">
            <w:pPr>
              <w:pStyle w:val="SingleTxt"/>
              <w:ind w:left="0" w:right="0"/>
              <w:rPr>
                <w:szCs w:val="24"/>
                <w:rtl/>
              </w:rPr>
            </w:pPr>
            <w:r>
              <w:rPr>
                <w:szCs w:val="24"/>
                <w:rtl/>
              </w:rPr>
              <w:t>896 5</w:t>
            </w:r>
          </w:p>
        </w:tc>
        <w:tc>
          <w:tcPr>
            <w:tcW w:w="1134" w:type="dxa"/>
          </w:tcPr>
          <w:p w:rsidR="00000000" w:rsidRDefault="00000000">
            <w:pPr>
              <w:pStyle w:val="SingleTxt"/>
              <w:ind w:left="0" w:right="0"/>
              <w:rPr>
                <w:szCs w:val="24"/>
                <w:rtl/>
              </w:rPr>
            </w:pPr>
            <w:r>
              <w:rPr>
                <w:szCs w:val="24"/>
                <w:rtl/>
              </w:rPr>
              <w:t>824 2</w:t>
            </w:r>
          </w:p>
        </w:tc>
        <w:tc>
          <w:tcPr>
            <w:tcW w:w="1560" w:type="dxa"/>
          </w:tcPr>
          <w:p w:rsidR="00000000" w:rsidRDefault="00000000">
            <w:pPr>
              <w:pStyle w:val="SingleTxt"/>
              <w:ind w:left="0" w:right="0"/>
              <w:rPr>
                <w:szCs w:val="24"/>
                <w:rtl/>
              </w:rPr>
            </w:pPr>
            <w:r>
              <w:rPr>
                <w:szCs w:val="24"/>
                <w:rtl/>
              </w:rPr>
              <w:t>32.3</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 xml:space="preserve">امني </w:t>
            </w:r>
            <w:r>
              <w:rPr>
                <w:szCs w:val="24"/>
              </w:rPr>
              <w:t>–</w:t>
            </w:r>
            <w:r>
              <w:rPr>
                <w:szCs w:val="24"/>
                <w:rtl/>
              </w:rPr>
              <w:t xml:space="preserve"> هايلي</w:t>
            </w:r>
          </w:p>
        </w:tc>
        <w:tc>
          <w:tcPr>
            <w:tcW w:w="1559" w:type="dxa"/>
          </w:tcPr>
          <w:p w:rsidR="00000000" w:rsidRDefault="00000000">
            <w:pPr>
              <w:pStyle w:val="SingleTxt"/>
              <w:ind w:left="0" w:right="0"/>
              <w:rPr>
                <w:szCs w:val="24"/>
                <w:rtl/>
              </w:rPr>
            </w:pPr>
            <w:r>
              <w:rPr>
                <w:szCs w:val="24"/>
                <w:rtl/>
              </w:rPr>
              <w:t>005 12</w:t>
            </w:r>
          </w:p>
        </w:tc>
        <w:tc>
          <w:tcPr>
            <w:tcW w:w="1134" w:type="dxa"/>
          </w:tcPr>
          <w:p w:rsidR="00000000" w:rsidRDefault="00000000">
            <w:pPr>
              <w:pStyle w:val="SingleTxt"/>
              <w:ind w:left="0" w:right="0"/>
              <w:rPr>
                <w:szCs w:val="24"/>
                <w:rtl/>
              </w:rPr>
            </w:pPr>
            <w:r>
              <w:rPr>
                <w:szCs w:val="24"/>
                <w:rtl/>
              </w:rPr>
              <w:t>091 8</w:t>
            </w:r>
          </w:p>
        </w:tc>
        <w:tc>
          <w:tcPr>
            <w:tcW w:w="1134" w:type="dxa"/>
          </w:tcPr>
          <w:p w:rsidR="00000000" w:rsidRDefault="00000000">
            <w:pPr>
              <w:pStyle w:val="SingleTxt"/>
              <w:ind w:left="0" w:right="0"/>
              <w:rPr>
                <w:szCs w:val="24"/>
                <w:rtl/>
              </w:rPr>
            </w:pPr>
            <w:r>
              <w:rPr>
                <w:szCs w:val="24"/>
                <w:rtl/>
              </w:rPr>
              <w:t>914 3</w:t>
            </w:r>
          </w:p>
        </w:tc>
        <w:tc>
          <w:tcPr>
            <w:tcW w:w="1560" w:type="dxa"/>
          </w:tcPr>
          <w:p w:rsidR="00000000" w:rsidRDefault="00000000">
            <w:pPr>
              <w:pStyle w:val="SingleTxt"/>
              <w:ind w:left="0" w:right="0"/>
              <w:rPr>
                <w:szCs w:val="24"/>
                <w:rtl/>
              </w:rPr>
            </w:pPr>
            <w:r>
              <w:rPr>
                <w:szCs w:val="24"/>
                <w:rtl/>
              </w:rPr>
              <w:t>32.6</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اريزا</w:t>
            </w:r>
          </w:p>
        </w:tc>
        <w:tc>
          <w:tcPr>
            <w:tcW w:w="1559" w:type="dxa"/>
          </w:tcPr>
          <w:p w:rsidR="00000000" w:rsidRDefault="00000000">
            <w:pPr>
              <w:pStyle w:val="SingleTxt"/>
              <w:ind w:left="0" w:right="0"/>
              <w:rPr>
                <w:szCs w:val="24"/>
                <w:rtl/>
              </w:rPr>
            </w:pPr>
            <w:r>
              <w:rPr>
                <w:szCs w:val="24"/>
                <w:rtl/>
              </w:rPr>
              <w:t>786 13</w:t>
            </w:r>
          </w:p>
        </w:tc>
        <w:tc>
          <w:tcPr>
            <w:tcW w:w="1134" w:type="dxa"/>
          </w:tcPr>
          <w:p w:rsidR="00000000" w:rsidRDefault="00000000">
            <w:pPr>
              <w:pStyle w:val="SingleTxt"/>
              <w:ind w:left="0" w:right="0"/>
              <w:rPr>
                <w:szCs w:val="24"/>
                <w:rtl/>
              </w:rPr>
            </w:pPr>
            <w:r>
              <w:rPr>
                <w:szCs w:val="24"/>
                <w:rtl/>
              </w:rPr>
              <w:t>343 9</w:t>
            </w:r>
          </w:p>
        </w:tc>
        <w:tc>
          <w:tcPr>
            <w:tcW w:w="1134" w:type="dxa"/>
          </w:tcPr>
          <w:p w:rsidR="00000000" w:rsidRDefault="00000000">
            <w:pPr>
              <w:pStyle w:val="SingleTxt"/>
              <w:ind w:left="0" w:right="0"/>
              <w:rPr>
                <w:szCs w:val="24"/>
                <w:rtl/>
              </w:rPr>
            </w:pPr>
            <w:r>
              <w:rPr>
                <w:szCs w:val="24"/>
                <w:rtl/>
              </w:rPr>
              <w:t>443 4</w:t>
            </w:r>
          </w:p>
        </w:tc>
        <w:tc>
          <w:tcPr>
            <w:tcW w:w="1560" w:type="dxa"/>
          </w:tcPr>
          <w:p w:rsidR="00000000" w:rsidRDefault="00000000">
            <w:pPr>
              <w:pStyle w:val="SingleTxt"/>
              <w:ind w:left="0" w:right="0"/>
              <w:rPr>
                <w:szCs w:val="24"/>
                <w:rtl/>
              </w:rPr>
            </w:pPr>
            <w:r>
              <w:rPr>
                <w:szCs w:val="24"/>
                <w:rtl/>
              </w:rPr>
              <w:t>32.2</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 xml:space="preserve">آدي </w:t>
            </w:r>
            <w:r>
              <w:rPr>
                <w:szCs w:val="24"/>
              </w:rPr>
              <w:t>–</w:t>
            </w:r>
            <w:r>
              <w:rPr>
                <w:szCs w:val="24"/>
                <w:rtl/>
              </w:rPr>
              <w:t xml:space="preserve"> كيه</w:t>
            </w:r>
          </w:p>
        </w:tc>
        <w:tc>
          <w:tcPr>
            <w:tcW w:w="1559" w:type="dxa"/>
          </w:tcPr>
          <w:p w:rsidR="00000000" w:rsidRDefault="00000000">
            <w:pPr>
              <w:pStyle w:val="SingleTxt"/>
              <w:ind w:left="0" w:right="0"/>
              <w:rPr>
                <w:szCs w:val="24"/>
                <w:rtl/>
              </w:rPr>
            </w:pPr>
            <w:r>
              <w:rPr>
                <w:szCs w:val="24"/>
                <w:rtl/>
              </w:rPr>
              <w:t>087 3</w:t>
            </w:r>
          </w:p>
        </w:tc>
        <w:tc>
          <w:tcPr>
            <w:tcW w:w="1134" w:type="dxa"/>
          </w:tcPr>
          <w:p w:rsidR="00000000" w:rsidRDefault="00000000">
            <w:pPr>
              <w:pStyle w:val="SingleTxt"/>
              <w:ind w:left="0" w:right="0"/>
              <w:rPr>
                <w:szCs w:val="24"/>
                <w:rtl/>
              </w:rPr>
            </w:pPr>
            <w:r>
              <w:rPr>
                <w:szCs w:val="24"/>
                <w:rtl/>
              </w:rPr>
              <w:t>915 1</w:t>
            </w:r>
          </w:p>
        </w:tc>
        <w:tc>
          <w:tcPr>
            <w:tcW w:w="1134" w:type="dxa"/>
          </w:tcPr>
          <w:p w:rsidR="00000000" w:rsidRDefault="00000000">
            <w:pPr>
              <w:pStyle w:val="SingleTxt"/>
              <w:ind w:left="0" w:right="0"/>
              <w:rPr>
                <w:szCs w:val="24"/>
                <w:rtl/>
              </w:rPr>
            </w:pPr>
            <w:r>
              <w:rPr>
                <w:szCs w:val="24"/>
                <w:rtl/>
              </w:rPr>
              <w:t>172 1</w:t>
            </w:r>
          </w:p>
        </w:tc>
        <w:tc>
          <w:tcPr>
            <w:tcW w:w="1560" w:type="dxa"/>
          </w:tcPr>
          <w:p w:rsidR="00000000" w:rsidRDefault="00000000">
            <w:pPr>
              <w:pStyle w:val="SingleTxt"/>
              <w:ind w:left="0" w:right="0"/>
              <w:rPr>
                <w:szCs w:val="24"/>
                <w:rtl/>
              </w:rPr>
            </w:pPr>
            <w:r>
              <w:rPr>
                <w:szCs w:val="24"/>
                <w:rtl/>
              </w:rPr>
              <w:t>37.9</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 xml:space="preserve">آدي </w:t>
            </w:r>
            <w:r>
              <w:rPr>
                <w:szCs w:val="24"/>
              </w:rPr>
              <w:t>–</w:t>
            </w:r>
            <w:r>
              <w:rPr>
                <w:szCs w:val="24"/>
                <w:rtl/>
              </w:rPr>
              <w:t xml:space="preserve"> كوالا</w:t>
            </w:r>
          </w:p>
        </w:tc>
        <w:tc>
          <w:tcPr>
            <w:tcW w:w="1559" w:type="dxa"/>
          </w:tcPr>
          <w:p w:rsidR="00000000" w:rsidRDefault="00000000">
            <w:pPr>
              <w:pStyle w:val="SingleTxt"/>
              <w:ind w:left="0" w:right="0"/>
              <w:rPr>
                <w:szCs w:val="24"/>
                <w:rtl/>
              </w:rPr>
            </w:pPr>
            <w:r>
              <w:rPr>
                <w:szCs w:val="24"/>
                <w:rtl/>
              </w:rPr>
              <w:t>456 14</w:t>
            </w:r>
          </w:p>
        </w:tc>
        <w:tc>
          <w:tcPr>
            <w:tcW w:w="1134" w:type="dxa"/>
          </w:tcPr>
          <w:p w:rsidR="00000000" w:rsidRDefault="00000000">
            <w:pPr>
              <w:pStyle w:val="SingleTxt"/>
              <w:ind w:left="0" w:right="0"/>
              <w:rPr>
                <w:szCs w:val="24"/>
                <w:rtl/>
              </w:rPr>
            </w:pPr>
            <w:r>
              <w:rPr>
                <w:szCs w:val="24"/>
                <w:rtl/>
              </w:rPr>
              <w:t>264 10</w:t>
            </w:r>
          </w:p>
        </w:tc>
        <w:tc>
          <w:tcPr>
            <w:tcW w:w="1134" w:type="dxa"/>
          </w:tcPr>
          <w:p w:rsidR="00000000" w:rsidRDefault="00000000">
            <w:pPr>
              <w:pStyle w:val="SingleTxt"/>
              <w:ind w:left="0" w:right="0"/>
              <w:rPr>
                <w:szCs w:val="24"/>
                <w:rtl/>
              </w:rPr>
            </w:pPr>
            <w:r>
              <w:rPr>
                <w:szCs w:val="24"/>
                <w:rtl/>
              </w:rPr>
              <w:t>1925 4</w:t>
            </w:r>
          </w:p>
        </w:tc>
        <w:tc>
          <w:tcPr>
            <w:tcW w:w="1560" w:type="dxa"/>
          </w:tcPr>
          <w:p w:rsidR="00000000" w:rsidRDefault="00000000">
            <w:pPr>
              <w:pStyle w:val="SingleTxt"/>
              <w:ind w:left="0" w:right="0"/>
              <w:rPr>
                <w:szCs w:val="24"/>
                <w:rtl/>
              </w:rPr>
            </w:pPr>
            <w:r>
              <w:rPr>
                <w:szCs w:val="24"/>
                <w:rtl/>
              </w:rPr>
              <w:t>28.9</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ديكيمهاري</w:t>
            </w:r>
          </w:p>
        </w:tc>
        <w:tc>
          <w:tcPr>
            <w:tcW w:w="1559" w:type="dxa"/>
          </w:tcPr>
          <w:p w:rsidR="00000000" w:rsidRDefault="00000000">
            <w:pPr>
              <w:pStyle w:val="SingleTxt"/>
              <w:ind w:left="0" w:right="0"/>
              <w:rPr>
                <w:szCs w:val="24"/>
                <w:rtl/>
              </w:rPr>
            </w:pPr>
            <w:r>
              <w:rPr>
                <w:szCs w:val="24"/>
                <w:rtl/>
              </w:rPr>
              <w:t>956 5</w:t>
            </w:r>
          </w:p>
        </w:tc>
        <w:tc>
          <w:tcPr>
            <w:tcW w:w="1134" w:type="dxa"/>
          </w:tcPr>
          <w:p w:rsidR="00000000" w:rsidRDefault="00000000">
            <w:pPr>
              <w:pStyle w:val="SingleTxt"/>
              <w:ind w:left="0" w:right="0"/>
              <w:rPr>
                <w:szCs w:val="24"/>
                <w:rtl/>
              </w:rPr>
            </w:pPr>
            <w:r>
              <w:rPr>
                <w:szCs w:val="24"/>
                <w:rtl/>
              </w:rPr>
              <w:t>490 3</w:t>
            </w:r>
          </w:p>
        </w:tc>
        <w:tc>
          <w:tcPr>
            <w:tcW w:w="1134" w:type="dxa"/>
          </w:tcPr>
          <w:p w:rsidR="00000000" w:rsidRDefault="00000000">
            <w:pPr>
              <w:pStyle w:val="SingleTxt"/>
              <w:ind w:left="0" w:right="0"/>
              <w:rPr>
                <w:szCs w:val="24"/>
                <w:rtl/>
              </w:rPr>
            </w:pPr>
            <w:r>
              <w:rPr>
                <w:szCs w:val="24"/>
                <w:rtl/>
              </w:rPr>
              <w:t>466 2</w:t>
            </w:r>
          </w:p>
        </w:tc>
        <w:tc>
          <w:tcPr>
            <w:tcW w:w="1560" w:type="dxa"/>
          </w:tcPr>
          <w:p w:rsidR="00000000" w:rsidRDefault="00000000">
            <w:pPr>
              <w:pStyle w:val="SingleTxt"/>
              <w:ind w:left="0" w:right="0"/>
              <w:rPr>
                <w:szCs w:val="24"/>
                <w:rtl/>
              </w:rPr>
            </w:pPr>
            <w:r>
              <w:rPr>
                <w:szCs w:val="24"/>
                <w:rtl/>
              </w:rPr>
              <w:t>41.4</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ديباروا</w:t>
            </w:r>
          </w:p>
        </w:tc>
        <w:tc>
          <w:tcPr>
            <w:tcW w:w="1559" w:type="dxa"/>
          </w:tcPr>
          <w:p w:rsidR="00000000" w:rsidRDefault="00000000">
            <w:pPr>
              <w:pStyle w:val="SingleTxt"/>
              <w:ind w:left="0" w:right="0"/>
              <w:rPr>
                <w:szCs w:val="24"/>
                <w:rtl/>
              </w:rPr>
            </w:pPr>
            <w:r>
              <w:rPr>
                <w:szCs w:val="24"/>
                <w:rtl/>
              </w:rPr>
              <w:t>676 14</w:t>
            </w:r>
          </w:p>
        </w:tc>
        <w:tc>
          <w:tcPr>
            <w:tcW w:w="1134" w:type="dxa"/>
          </w:tcPr>
          <w:p w:rsidR="00000000" w:rsidRDefault="00000000">
            <w:pPr>
              <w:pStyle w:val="SingleTxt"/>
              <w:ind w:left="0" w:right="0"/>
              <w:rPr>
                <w:szCs w:val="24"/>
                <w:rtl/>
              </w:rPr>
            </w:pPr>
            <w:r>
              <w:rPr>
                <w:szCs w:val="24"/>
                <w:rtl/>
              </w:rPr>
              <w:t>036 10</w:t>
            </w:r>
          </w:p>
        </w:tc>
        <w:tc>
          <w:tcPr>
            <w:tcW w:w="1134" w:type="dxa"/>
          </w:tcPr>
          <w:p w:rsidR="00000000" w:rsidRDefault="00000000">
            <w:pPr>
              <w:pStyle w:val="SingleTxt"/>
              <w:ind w:left="0" w:right="0"/>
              <w:rPr>
                <w:szCs w:val="24"/>
                <w:rtl/>
              </w:rPr>
            </w:pPr>
            <w:r>
              <w:rPr>
                <w:szCs w:val="24"/>
                <w:rtl/>
              </w:rPr>
              <w:t>640 4</w:t>
            </w:r>
          </w:p>
        </w:tc>
        <w:tc>
          <w:tcPr>
            <w:tcW w:w="1560" w:type="dxa"/>
          </w:tcPr>
          <w:p w:rsidR="00000000" w:rsidRDefault="00000000">
            <w:pPr>
              <w:pStyle w:val="SingleTxt"/>
              <w:ind w:left="0" w:right="0"/>
              <w:rPr>
                <w:szCs w:val="24"/>
                <w:rtl/>
              </w:rPr>
            </w:pPr>
            <w:r>
              <w:rPr>
                <w:szCs w:val="24"/>
                <w:rtl/>
              </w:rPr>
              <w:t>31.6</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تسورونا</w:t>
            </w:r>
          </w:p>
        </w:tc>
        <w:tc>
          <w:tcPr>
            <w:tcW w:w="1559" w:type="dxa"/>
          </w:tcPr>
          <w:p w:rsidR="00000000" w:rsidRDefault="00000000">
            <w:pPr>
              <w:pStyle w:val="SingleTxt"/>
              <w:ind w:left="0" w:right="0"/>
              <w:rPr>
                <w:szCs w:val="24"/>
                <w:rtl/>
              </w:rPr>
            </w:pPr>
            <w:r>
              <w:rPr>
                <w:szCs w:val="24"/>
                <w:rtl/>
              </w:rPr>
              <w:t>398 3</w:t>
            </w:r>
          </w:p>
        </w:tc>
        <w:tc>
          <w:tcPr>
            <w:tcW w:w="1134" w:type="dxa"/>
          </w:tcPr>
          <w:p w:rsidR="00000000" w:rsidRDefault="00000000">
            <w:pPr>
              <w:pStyle w:val="SingleTxt"/>
              <w:ind w:left="0" w:right="0"/>
              <w:rPr>
                <w:szCs w:val="24"/>
                <w:rtl/>
              </w:rPr>
            </w:pPr>
            <w:r>
              <w:rPr>
                <w:szCs w:val="24"/>
                <w:rtl/>
              </w:rPr>
              <w:t>048 2</w:t>
            </w:r>
          </w:p>
        </w:tc>
        <w:tc>
          <w:tcPr>
            <w:tcW w:w="1134" w:type="dxa"/>
          </w:tcPr>
          <w:p w:rsidR="00000000" w:rsidRDefault="00000000">
            <w:pPr>
              <w:pStyle w:val="SingleTxt"/>
              <w:ind w:left="0" w:right="0"/>
              <w:rPr>
                <w:szCs w:val="24"/>
                <w:rtl/>
              </w:rPr>
            </w:pPr>
            <w:r>
              <w:rPr>
                <w:szCs w:val="24"/>
                <w:rtl/>
              </w:rPr>
              <w:t>350 1</w:t>
            </w:r>
          </w:p>
        </w:tc>
        <w:tc>
          <w:tcPr>
            <w:tcW w:w="1560" w:type="dxa"/>
          </w:tcPr>
          <w:p w:rsidR="00000000" w:rsidRDefault="00000000">
            <w:pPr>
              <w:pStyle w:val="SingleTxt"/>
              <w:ind w:left="0" w:right="0"/>
              <w:rPr>
                <w:szCs w:val="24"/>
                <w:rtl/>
              </w:rPr>
            </w:pPr>
            <w:r>
              <w:rPr>
                <w:szCs w:val="24"/>
                <w:rtl/>
              </w:rPr>
              <w:t>39.7</w:t>
            </w:r>
          </w:p>
        </w:tc>
      </w:tr>
      <w:tr w:rsidR="00000000">
        <w:tblPrEx>
          <w:tblCellMar>
            <w:top w:w="0" w:type="dxa"/>
            <w:bottom w:w="0" w:type="dxa"/>
          </w:tblCellMar>
        </w:tblPrEx>
        <w:tc>
          <w:tcPr>
            <w:tcW w:w="2268" w:type="dxa"/>
          </w:tcPr>
          <w:p w:rsidR="00000000" w:rsidRDefault="00000000">
            <w:pPr>
              <w:pStyle w:val="SingleTxt"/>
              <w:ind w:left="0" w:right="0"/>
              <w:rPr>
                <w:szCs w:val="24"/>
                <w:rtl/>
              </w:rPr>
            </w:pPr>
            <w:r>
              <w:rPr>
                <w:szCs w:val="24"/>
                <w:rtl/>
              </w:rPr>
              <w:t>المجموع حسب المنطقة</w:t>
            </w:r>
          </w:p>
        </w:tc>
        <w:tc>
          <w:tcPr>
            <w:tcW w:w="1559" w:type="dxa"/>
          </w:tcPr>
          <w:p w:rsidR="00000000" w:rsidRDefault="00000000">
            <w:pPr>
              <w:pStyle w:val="SingleTxt"/>
              <w:ind w:left="0" w:right="0"/>
              <w:rPr>
                <w:szCs w:val="24"/>
                <w:rtl/>
              </w:rPr>
            </w:pPr>
            <w:r>
              <w:rPr>
                <w:szCs w:val="24"/>
                <w:rtl/>
              </w:rPr>
              <w:t>682 115</w:t>
            </w:r>
          </w:p>
        </w:tc>
        <w:tc>
          <w:tcPr>
            <w:tcW w:w="1134" w:type="dxa"/>
          </w:tcPr>
          <w:p w:rsidR="00000000" w:rsidRDefault="00000000">
            <w:pPr>
              <w:pStyle w:val="SingleTxt"/>
              <w:ind w:left="0" w:right="0"/>
              <w:rPr>
                <w:szCs w:val="24"/>
                <w:rtl/>
              </w:rPr>
            </w:pPr>
            <w:r>
              <w:rPr>
                <w:szCs w:val="24"/>
                <w:rtl/>
              </w:rPr>
              <w:t>760 77</w:t>
            </w:r>
          </w:p>
        </w:tc>
        <w:tc>
          <w:tcPr>
            <w:tcW w:w="1134" w:type="dxa"/>
          </w:tcPr>
          <w:p w:rsidR="00000000" w:rsidRDefault="00000000">
            <w:pPr>
              <w:pStyle w:val="SingleTxt"/>
              <w:ind w:left="0" w:right="0"/>
              <w:rPr>
                <w:szCs w:val="24"/>
                <w:rtl/>
              </w:rPr>
            </w:pPr>
            <w:r>
              <w:rPr>
                <w:szCs w:val="24"/>
                <w:rtl/>
              </w:rPr>
              <w:t>922 37</w:t>
            </w:r>
          </w:p>
        </w:tc>
        <w:tc>
          <w:tcPr>
            <w:tcW w:w="1560" w:type="dxa"/>
          </w:tcPr>
          <w:p w:rsidR="00000000" w:rsidRDefault="00000000">
            <w:pPr>
              <w:pStyle w:val="SingleTxt"/>
              <w:ind w:left="0" w:right="0"/>
              <w:rPr>
                <w:szCs w:val="24"/>
                <w:rtl/>
              </w:rPr>
            </w:pPr>
            <w:r>
              <w:rPr>
                <w:szCs w:val="24"/>
                <w:rtl/>
              </w:rPr>
              <w:t>32.7</w:t>
            </w:r>
          </w:p>
        </w:tc>
      </w:tr>
    </w:tbl>
    <w:p w:rsidR="00000000" w:rsidRDefault="00000000">
      <w:pPr>
        <w:pStyle w:val="SingleTxt"/>
        <w:ind w:left="1264" w:right="1264"/>
        <w:rPr>
          <w:i/>
          <w:iCs/>
          <w:rtl/>
        </w:rPr>
      </w:pPr>
      <w:r>
        <w:rPr>
          <w:i/>
          <w:iCs/>
          <w:szCs w:val="26"/>
          <w:rtl/>
        </w:rPr>
        <w:t>المصدر: إدارة المنطقة الجنوبية</w:t>
      </w:r>
      <w:r>
        <w:rPr>
          <w:i/>
          <w:iCs/>
          <w:rtl/>
        </w:rPr>
        <w:t>.</w:t>
      </w:r>
    </w:p>
    <w:p w:rsidR="00000000" w:rsidRDefault="00000000">
      <w:pPr>
        <w:pStyle w:val="SingleTxt"/>
        <w:ind w:left="1264" w:right="1264"/>
        <w:rPr>
          <w:rtl/>
        </w:rPr>
      </w:pPr>
      <w:r>
        <w:rPr>
          <w:i/>
          <w:iCs/>
          <w:rtl/>
        </w:rPr>
        <w:tab/>
      </w:r>
      <w:r>
        <w:rPr>
          <w:i/>
          <w:iCs/>
          <w:rtl/>
        </w:rPr>
        <w:tab/>
      </w:r>
      <w:r>
        <w:rPr>
          <w:rtl/>
        </w:rPr>
        <w:t>ويختلف توزيع الأرض من أجل المرأة من منطقة فرعية إلى أخرى ويتراوح بين 23 في المائة و41 في المائة. ووفقاً لتقرير من إدارة المنطقة الجنوبية فإن الكثير من العقبات الكامنة في الاتجاهات التقليدية قد صودفت مما يؤخر العملية كلها. وتواجه المرأة الأرملة عقبات في اكتساب الأرض في قرية زوجها ويمكن ذكر ذلك كمثال.</w:t>
      </w: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i/>
          <w:iCs/>
          <w:rtl/>
        </w:rPr>
      </w:pPr>
      <w:r>
        <w:rPr>
          <w:b/>
          <w:bCs/>
          <w:i/>
          <w:iCs/>
          <w:rtl/>
        </w:rPr>
        <w:t>المرأة الريفية في الزراعة</w:t>
      </w:r>
    </w:p>
    <w:p w:rsidR="00000000" w:rsidRDefault="00000000">
      <w:pPr>
        <w:pStyle w:val="SingleTxt"/>
        <w:ind w:left="1264" w:right="1264"/>
        <w:rPr>
          <w:rtl/>
        </w:rPr>
      </w:pPr>
      <w:r>
        <w:rPr>
          <w:rtl/>
        </w:rPr>
        <w:tab/>
      </w:r>
      <w:r>
        <w:rPr>
          <w:rtl/>
        </w:rPr>
        <w:tab/>
        <w:t>ما زالت الزراعة نشاطاً موجهاً نحو الكفاف بدرجة رئيسية. وعلى الرغم من أنها المصدر الرئيسي للدخل بالنسبة لقرابة 80 في المائة من السكان فإنها ما زالت تعتمد على سقوط الأمطار، مما يحد من تنمية إنتاجها.</w:t>
      </w:r>
    </w:p>
    <w:p w:rsidR="00000000" w:rsidRDefault="00000000">
      <w:pPr>
        <w:pStyle w:val="SingleTxt"/>
        <w:ind w:left="1264" w:right="1264"/>
        <w:rPr>
          <w:rtl/>
        </w:rPr>
      </w:pPr>
      <w:r>
        <w:rPr>
          <w:rtl/>
        </w:rPr>
        <w:tab/>
      </w:r>
      <w:r>
        <w:rPr>
          <w:rtl/>
        </w:rPr>
        <w:tab/>
        <w:t xml:space="preserve">ويتفاوت تقسيم العمل حسب نوع الجنس اعتماداً على النظام الزراعي القائم إلى جانب عوامل اجتماعية وثقافية. وفي المناطق الرعوية وشبه الرعوية في الأراضي المنخفضة حيث تمثل تربية الحيوان الدعامة الرئيسية للمعيشة، يتركز دور المرأة على أسرتها المعيشية وتجهيز وإعداد الأغذية وحلب الماعز والأبقار (ولدى المرأة العفارية مهمة إضافية تتمثل في رعي الماعز). وفي المناطق التي تكون فيها الزراعة هي الدعامة الرئيسية (المناطق المرتفعة والمنخفضة) يعمل كل من الرجل والمرأة في الحقل ويتقاسمان العمل الزراعي. وبالإضافة إلى ذلك، تشترك المرأة في البستنة في الأفنية الخلفية وتربية الدواجن وتربية دودة القز والنسيج والحِرَف. وتعمل المرأة في المناطق الريفية من 14 </w:t>
      </w:r>
      <w:r>
        <w:t>–</w:t>
      </w:r>
      <w:r>
        <w:rPr>
          <w:rtl/>
        </w:rPr>
        <w:t xml:space="preserve"> 16 ساعة في اليوم.</w:t>
      </w:r>
    </w:p>
    <w:p w:rsidR="00000000" w:rsidRDefault="00000000">
      <w:pPr>
        <w:pStyle w:val="SingleTxt"/>
        <w:ind w:left="1264" w:right="1264"/>
        <w:rPr>
          <w:rtl/>
        </w:rPr>
      </w:pPr>
      <w:r>
        <w:rPr>
          <w:rtl/>
        </w:rPr>
        <w:tab/>
      </w:r>
      <w:r>
        <w:rPr>
          <w:rtl/>
        </w:rPr>
        <w:tab/>
        <w:t>وتدير وزارة الزراعة عدة برامج مختلفة لدعم المزارعين المحليين سواء رجل أو امرأة. وبموجب البرنامج الطارئ للتعمير على سبيل المثال، يتم توزيع التقاوي ويشترك أكثر من 40 ألف شخص في الحصول على النقد مقابل العمل في البرنامج التقليدي لتزويد سفوح التلال بالمصاطب والحراجة. غير أن البيانات ليست مصنَّفة حسب نوع الجنس ومن الصعب للغاية معرفة درجة المشاركة والاستفادة التي تكسبها المرأة.</w:t>
      </w:r>
    </w:p>
    <w:p w:rsidR="00000000" w:rsidRDefault="00000000">
      <w:pPr>
        <w:pStyle w:val="SingleTxt"/>
        <w:ind w:left="1264" w:right="1264"/>
        <w:rPr>
          <w:rtl/>
        </w:rPr>
      </w:pPr>
      <w:r>
        <w:rPr>
          <w:rtl/>
        </w:rPr>
        <w:tab/>
      </w:r>
      <w:r>
        <w:rPr>
          <w:rtl/>
        </w:rPr>
        <w:tab/>
        <w:t>وبموجب هذا المشروع في عام 2001، تم دعم 9900 امرأة مزارعة وتعطي 25 كتكوتاً وإمدادات للأغذية لمدة ستة أشهر ومواد للبناء لكل أسرة معيشية. وتعطي أيضاً مِنَح على شكل ماعز الحليب (4 ذكور وأنثى واحدة) من أجل التسمين والحليب في النهاية وبيع اللحوم. وتمنح أيضاً خليتان نحل لكل امرأة لتشجيع المرأة الريفية في أنشطة حفظ النحل. ويقال إن معظم المستفيدين أسر ترأسها المرأة. وبصفة عامة، تم من أجل تشجيع مشاركة المرأة في الزراعة ومساعدة المزارعات الفقيرات، توزيع 349 72 كتكوتاً و931 2 ماعز للحليب و65 و71 كيلو جرام من تقاوي الخضر و333 31 من مختلف الأدوات والمعدات المزرعية و12 مضخة تعمل بالمحركات على المزارعين ومن بينهم 800 3 امرأة مزارعة</w:t>
      </w:r>
      <w:r>
        <w:rPr>
          <w:rStyle w:val="FootnoteReference"/>
          <w:rtl/>
        </w:rPr>
        <w:footnoteReference w:customMarkFollows="1" w:id="51"/>
        <w:t>(51)</w:t>
      </w:r>
      <w:r>
        <w:rPr>
          <w:rtl/>
        </w:rPr>
        <w:t>.</w:t>
      </w:r>
    </w:p>
    <w:p w:rsidR="00000000" w:rsidRDefault="00000000">
      <w:pPr>
        <w:pStyle w:val="SingleTxt"/>
        <w:ind w:left="1264" w:right="1264"/>
        <w:rPr>
          <w:rtl/>
        </w:rPr>
      </w:pPr>
      <w:r>
        <w:rPr>
          <w:rtl/>
        </w:rPr>
        <w:tab/>
      </w:r>
      <w:r>
        <w:rPr>
          <w:rtl/>
        </w:rPr>
        <w:tab/>
        <w:t>ولدى المزارعين الذين يريدون توسيع أنشطتهم الصغيرة لتصبح زراعة تجارية إمكانية الوصول إلى قروض الائتمان الصغير داخل الوزارة وقد تلقى نحو 300 1 شخص قروضاً من أجل الأنشطة الزراعية، وتم توزيع 120 طن من تقاوي البطاطس، و400 طن من بذور الغلال. ومرة أخرى تكمن المشكلة الرئيسية في عدم وجود بيانات مفصَّلة حسب نوع الجنس بالنسبة لهذه الأنشطة لمعرفة عدد النساء المستفيدات.</w:t>
      </w:r>
    </w:p>
    <w:p w:rsidR="00000000" w:rsidRDefault="00000000">
      <w:pPr>
        <w:pStyle w:val="SingleTxt"/>
        <w:ind w:left="1264" w:right="1264"/>
        <w:rPr>
          <w:rtl/>
        </w:rPr>
      </w:pPr>
      <w:r>
        <w:rPr>
          <w:rtl/>
        </w:rPr>
        <w:tab/>
      </w:r>
      <w:r>
        <w:rPr>
          <w:rtl/>
        </w:rPr>
        <w:tab/>
        <w:t>وخدمة المشورة الزراعية هي نهج جديد للخدمات الإرشادية الذي أخذت به وزارة الزراعة لتمكين المزارعين المحليين من تنظيم أنفسهم وتحديد متطلبات معرفتهم ومهاراتهم وتحسين إنتاجهم الزراعي وفي النهاية تحسين معيشتهم</w:t>
      </w:r>
      <w:r>
        <w:rPr>
          <w:rStyle w:val="FootnoteReference"/>
          <w:rtl/>
        </w:rPr>
        <w:footnoteReference w:customMarkFollows="1" w:id="52"/>
        <w:t>(52)</w:t>
      </w:r>
      <w:r>
        <w:rPr>
          <w:rtl/>
        </w:rPr>
        <w:t>. وتنظم لجان خدمات المشورة الزراعية على مستوى القرية حيث تكون المزارعات أعضاء وعلى المستوى دون الإقليمي يشغل الاتحاد الوطني للنساء الأريتريات مقعداً إلى جانب الفعاليات الأخرى. وعلى الرغم من أن هذه الآلية اتخذت مؤخراً، فإنها تجلب النساء القرويات للاشتراك في الخطة وإدماجهن في التخطيط واتخاذ القرار بشأن جميع الأنشطة الزراعية في مجتمعات كل منهن. ومن أجل تعزيز خدمات المشورة الزراعية، ينبغي أن يشمل التنسيق على المستوى الوطني الاتحاد الوطني للنساء الأريتريات فضلاً عن الفعاليات الأخرى.</w:t>
      </w:r>
    </w:p>
    <w:p w:rsidR="00000000" w:rsidRDefault="00000000">
      <w:pPr>
        <w:pStyle w:val="SingleTxt"/>
        <w:ind w:left="1264" w:right="1264"/>
        <w:rPr>
          <w:rtl/>
        </w:rPr>
      </w:pPr>
      <w:r>
        <w:rPr>
          <w:rtl/>
        </w:rPr>
        <w:tab/>
      </w:r>
      <w:r>
        <w:rPr>
          <w:rtl/>
        </w:rPr>
        <w:tab/>
        <w:t>ويتم اختيار المزارعين بواسطة لجان خدمة المشورة الزراعية على مستوى القرية للاشتراك في دورات زراعية متكاملة ودورات بيطرية، إلخ. وفي الدورتين المتتاليتين للاتصال بالمزارعين فإن مشاركة المرأة لم تكن كبيرة بالمرة، وتبلغ امرأتين من كل 89 مزارعاً (2 في المائة). ويحتاج ذلك إلى تدخل جاد لتلبية احتياجات المزارعات. وعلى سبيل المثال، ينبغي بذل الجهود لتنظيم هذه الدورات في أقرب جوار حيث يمكن أن تجمع بين كل من التدريب والمسؤوليات المنـزلية للمرأة. وتدريب المرأة وإشراكها في الأنشطة المجتمعية الاقتصادية والأنشطة الأخرى ابتداءً من مرحلة التخطيط حتى مرحلة التنفيذ أمر ضروري لتعميم مبادرة التنمية الريفية.</w:t>
      </w:r>
    </w:p>
    <w:p w:rsidR="00000000" w:rsidRDefault="00000000">
      <w:pPr>
        <w:pStyle w:val="SingleTxt"/>
        <w:ind w:left="1264" w:right="1264"/>
        <w:rPr>
          <w:rtl/>
        </w:rPr>
      </w:pPr>
      <w:r>
        <w:rPr>
          <w:rtl/>
        </w:rPr>
        <w:tab/>
      </w:r>
      <w:r>
        <w:rPr>
          <w:rtl/>
        </w:rPr>
        <w:tab/>
        <w:t>ومن ناحية أخرى، يبدو أن مشاركة المرأة في الأنشطة الزراعية الحديثة منخفض للغاية (5.9 في المائة)، وأن القوة العاملة الأنثوية تتألف فقط من 4.8 في المائة. وأكبر تدخل للمرأة وأكثره شيوعاً هو تسمين الحيوان (18.7 في المائة)، وزراعة فاكهة الموالح (18.2 في المائة)، وتربية الماشية (16.1 في المائة)، وتربية الدواجن (42 في المائة) مع حصة للمشاركة في العمالة تبلغ 12.9 في المائة، و6.7 في المائة، و14.3 في المائة، و4.2 في المائة على التوالي.</w:t>
      </w:r>
    </w:p>
    <w:p w:rsidR="00000000" w:rsidRDefault="00000000">
      <w:pPr>
        <w:pStyle w:val="SingleTxt"/>
        <w:ind w:left="1264" w:right="1264"/>
        <w:rPr>
          <w:b/>
          <w:bCs/>
          <w:rtl/>
        </w:rPr>
      </w:pPr>
    </w:p>
    <w:p w:rsidR="00000000" w:rsidRDefault="00000000">
      <w:pPr>
        <w:pStyle w:val="SingleTxt"/>
        <w:ind w:left="1264" w:right="1264"/>
        <w:rPr>
          <w:i/>
          <w:iCs/>
          <w:rtl/>
        </w:rPr>
      </w:pPr>
      <w:r>
        <w:rPr>
          <w:b/>
          <w:bCs/>
          <w:i/>
          <w:iCs/>
          <w:rtl/>
        </w:rPr>
        <w:t>الائتمانات الصغيرة</w:t>
      </w:r>
    </w:p>
    <w:p w:rsidR="00000000" w:rsidRDefault="00000000">
      <w:pPr>
        <w:pStyle w:val="SingleTxt"/>
        <w:ind w:left="1264" w:right="1264"/>
        <w:rPr>
          <w:rtl/>
        </w:rPr>
      </w:pPr>
      <w:r>
        <w:rPr>
          <w:rtl/>
        </w:rPr>
        <w:tab/>
      </w:r>
      <w:r>
        <w:rPr>
          <w:rtl/>
        </w:rPr>
        <w:tab/>
        <w:t>يشكل برنامج الادخار والائتمان الزراعي واحداً من البرامج الممولة من صندوق التنمية المجتمعية الأريترية بشأن الأنشطة الجارية مما يفتح إمكانية الوصول إلى الائتمان والقروض في المناطق القروية. وأنشأت حكومة أريتريا، من خلال وزارة الحكم المحلي، مؤسسة لبرنامج للادخار والائتمانات الصغيرة في مرحلة مبكرة تعود إلى عام 1996، وهدفها هو دعم المجتمعات المحلية الريفية، والمشردين داخلياً، والعائدين عن طريق تقديم القروض والائتمانات. وعلى الرغم من أن هذا البرنامج لا يركز بالتحديد على المرأة، فإنه لا يزال يشجعها على أن تكون المستفيدة الرئيسية بهدف تمكين المرأة في المناطق القروية اقتصادياً ومساعدتها في تحسين أسلوب حياتها.</w:t>
      </w:r>
    </w:p>
    <w:p w:rsidR="00000000" w:rsidRDefault="00000000">
      <w:pPr>
        <w:pStyle w:val="SingleTxt"/>
        <w:ind w:left="1264" w:right="1264"/>
        <w:rPr>
          <w:rtl/>
        </w:rPr>
      </w:pPr>
      <w:r>
        <w:rPr>
          <w:rtl/>
        </w:rPr>
        <w:tab/>
      </w:r>
      <w:r>
        <w:rPr>
          <w:rtl/>
        </w:rPr>
        <w:tab/>
        <w:t>و37 في المائة من المستفيدين الحاليين عبر البلد هم من النساء ويشمل ذلك الأسر المعيشية التي ترأسها امرأة، والمقاتلات السابقات، والعائدات، والمشردات داخلياً. ولوحظت تغييرات متميزة في حياة المرأة حيث أنها استطاعت أن تعيل نفسها اقتصادياً وقامت بتغيير حياتها في أسر كل منها.</w:t>
      </w:r>
    </w:p>
    <w:p w:rsidR="00000000" w:rsidRDefault="00000000">
      <w:pPr>
        <w:pStyle w:val="SingleTxt"/>
        <w:ind w:left="1264" w:right="1264"/>
        <w:rPr>
          <w:rtl/>
        </w:rPr>
      </w:pPr>
      <w:r>
        <w:rPr>
          <w:rtl/>
        </w:rPr>
        <w:tab/>
      </w:r>
      <w:r>
        <w:rPr>
          <w:rtl/>
        </w:rPr>
        <w:tab/>
        <w:t>وقد أتاح هذا النشاط أيضاً تمكين المرأة من الانضمام إلى القطاع غير النظامي عن طريق إشراكها في مختلف الأنشطة الاقتصادية مثل تربية الدواجن، والإمداد بالحليب، وحِرَف صغيرة أخرى، إلخ.</w:t>
      </w:r>
    </w:p>
    <w:p w:rsidR="00000000" w:rsidRDefault="00000000">
      <w:pPr>
        <w:pStyle w:val="SingleTxt"/>
        <w:ind w:left="1264" w:right="1264"/>
        <w:rPr>
          <w:rtl/>
        </w:rPr>
      </w:pPr>
      <w:r>
        <w:rPr>
          <w:rtl/>
        </w:rPr>
        <w:tab/>
      </w:r>
      <w:r>
        <w:rPr>
          <w:rtl/>
        </w:rPr>
        <w:tab/>
        <w:t>غير أن الوصول إلى الائتمانات يطبَّق على أساس تكافؤ الفرص للجميع بغض النظر عن الجنس والعِرق والمميزات الأخرى، وتواجه المرأة في بعض القرى عقبات صغيرة تحول دون الوصول المباشر بسبب الاتجاهات التقليدية السائدة بصفة رئيسية. وعلى سبيل المثال، ينكر على المرأة المتزوجة لأسباب دينية الوصول المباشر إلى الائتمانات ولا يمكن تمثيلها سوى بمعرفة زوجها، وينكر عليها عضوية مصارف القرية، إلخ. ولكن لما كانت سياسة صندوق التنمية المجتمعية لأريتريا تعمل على تخفيض هذه التدابير، فإنه من السهل دعم المرأة.</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r>
        <w:rPr>
          <w:rtl/>
        </w:rPr>
        <w:br w:type="page"/>
      </w:r>
      <w:r>
        <w:rPr>
          <w:b/>
          <w:bCs/>
          <w:rtl/>
        </w:rPr>
        <w:t xml:space="preserve">الجدول 19 </w:t>
      </w:r>
      <w:r>
        <w:rPr>
          <w:b/>
          <w:bCs/>
        </w:rPr>
        <w:t>–</w:t>
      </w:r>
      <w:r>
        <w:rPr>
          <w:b/>
          <w:bCs/>
          <w:rtl/>
        </w:rPr>
        <w:t xml:space="preserve"> أداء برنامج الادخار والائتمان (1996 </w:t>
      </w:r>
      <w:r>
        <w:rPr>
          <w:b/>
          <w:bCs/>
        </w:rPr>
        <w:t>–</w:t>
      </w:r>
      <w:r>
        <w:rPr>
          <w:b/>
          <w:bCs/>
          <w:rtl/>
        </w:rPr>
        <w:t xml:space="preserve"> 2001)</w:t>
      </w:r>
      <w:r>
        <w:rPr>
          <w:rStyle w:val="FootnoteReference"/>
          <w:rtl/>
        </w:rPr>
        <w:footnoteReference w:customMarkFollows="1" w:id="53"/>
        <w:t>(53)</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850"/>
        <w:gridCol w:w="993"/>
        <w:gridCol w:w="992"/>
        <w:gridCol w:w="992"/>
        <w:gridCol w:w="992"/>
        <w:gridCol w:w="993"/>
      </w:tblGrid>
      <w:tr w:rsidR="00000000">
        <w:tblPrEx>
          <w:tblCellMar>
            <w:top w:w="0" w:type="dxa"/>
            <w:bottom w:w="0" w:type="dxa"/>
          </w:tblCellMar>
        </w:tblPrEx>
        <w:tc>
          <w:tcPr>
            <w:tcW w:w="2835" w:type="dxa"/>
          </w:tcPr>
          <w:p w:rsidR="00000000" w:rsidRDefault="00000000">
            <w:pPr>
              <w:pStyle w:val="SingleTxt"/>
              <w:ind w:left="-57" w:right="0"/>
              <w:rPr>
                <w:rtl/>
              </w:rPr>
            </w:pPr>
          </w:p>
        </w:tc>
        <w:tc>
          <w:tcPr>
            <w:tcW w:w="850" w:type="dxa"/>
          </w:tcPr>
          <w:p w:rsidR="00000000" w:rsidRDefault="00000000">
            <w:pPr>
              <w:pStyle w:val="SingleTxt"/>
              <w:ind w:left="-57" w:right="0"/>
              <w:rPr>
                <w:b/>
                <w:bCs/>
                <w:rtl/>
              </w:rPr>
            </w:pPr>
            <w:r>
              <w:rPr>
                <w:b/>
                <w:bCs/>
                <w:rtl/>
              </w:rPr>
              <w:t>1996</w:t>
            </w:r>
          </w:p>
        </w:tc>
        <w:tc>
          <w:tcPr>
            <w:tcW w:w="993" w:type="dxa"/>
          </w:tcPr>
          <w:p w:rsidR="00000000" w:rsidRDefault="00000000">
            <w:pPr>
              <w:pStyle w:val="SingleTxt"/>
              <w:ind w:left="-57" w:right="0"/>
              <w:rPr>
                <w:b/>
                <w:bCs/>
                <w:rtl/>
              </w:rPr>
            </w:pPr>
            <w:r>
              <w:rPr>
                <w:b/>
                <w:bCs/>
                <w:rtl/>
              </w:rPr>
              <w:t>1997</w:t>
            </w:r>
          </w:p>
        </w:tc>
        <w:tc>
          <w:tcPr>
            <w:tcW w:w="992" w:type="dxa"/>
          </w:tcPr>
          <w:p w:rsidR="00000000" w:rsidRDefault="00000000">
            <w:pPr>
              <w:pStyle w:val="SingleTxt"/>
              <w:ind w:left="-57" w:right="0"/>
              <w:rPr>
                <w:b/>
                <w:bCs/>
                <w:rtl/>
              </w:rPr>
            </w:pPr>
            <w:r>
              <w:rPr>
                <w:b/>
                <w:bCs/>
                <w:rtl/>
              </w:rPr>
              <w:t>1998</w:t>
            </w:r>
          </w:p>
        </w:tc>
        <w:tc>
          <w:tcPr>
            <w:tcW w:w="992" w:type="dxa"/>
          </w:tcPr>
          <w:p w:rsidR="00000000" w:rsidRDefault="00000000">
            <w:pPr>
              <w:pStyle w:val="SingleTxt"/>
              <w:ind w:left="-57" w:right="0"/>
              <w:rPr>
                <w:b/>
                <w:bCs/>
                <w:rtl/>
              </w:rPr>
            </w:pPr>
            <w:r>
              <w:rPr>
                <w:b/>
                <w:bCs/>
                <w:rtl/>
              </w:rPr>
              <w:t>1999</w:t>
            </w:r>
          </w:p>
        </w:tc>
        <w:tc>
          <w:tcPr>
            <w:tcW w:w="992" w:type="dxa"/>
          </w:tcPr>
          <w:p w:rsidR="00000000" w:rsidRDefault="00000000">
            <w:pPr>
              <w:pStyle w:val="SingleTxt"/>
              <w:ind w:left="-57" w:right="0"/>
              <w:rPr>
                <w:b/>
                <w:bCs/>
                <w:rtl/>
              </w:rPr>
            </w:pPr>
            <w:r>
              <w:rPr>
                <w:b/>
                <w:bCs/>
                <w:rtl/>
              </w:rPr>
              <w:t>2000</w:t>
            </w:r>
          </w:p>
        </w:tc>
        <w:tc>
          <w:tcPr>
            <w:tcW w:w="993" w:type="dxa"/>
          </w:tcPr>
          <w:p w:rsidR="00000000" w:rsidRDefault="00000000">
            <w:pPr>
              <w:pStyle w:val="SingleTxt"/>
              <w:ind w:left="-57" w:right="0"/>
              <w:rPr>
                <w:b/>
                <w:bCs/>
                <w:rtl/>
              </w:rPr>
            </w:pPr>
            <w:r>
              <w:rPr>
                <w:b/>
                <w:bCs/>
                <w:rtl/>
              </w:rPr>
              <w:t>2001</w:t>
            </w: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مصارف القرى الجديدة</w:t>
            </w:r>
          </w:p>
        </w:tc>
        <w:tc>
          <w:tcPr>
            <w:tcW w:w="850" w:type="dxa"/>
          </w:tcPr>
          <w:p w:rsidR="00000000" w:rsidRDefault="00000000">
            <w:pPr>
              <w:pStyle w:val="SingleTxt"/>
              <w:ind w:left="-57" w:right="0"/>
              <w:rPr>
                <w:rtl/>
              </w:rPr>
            </w:pPr>
            <w:r>
              <w:rPr>
                <w:rtl/>
              </w:rPr>
              <w:t>25</w:t>
            </w:r>
          </w:p>
        </w:tc>
        <w:tc>
          <w:tcPr>
            <w:tcW w:w="993" w:type="dxa"/>
          </w:tcPr>
          <w:p w:rsidR="00000000" w:rsidRDefault="00000000">
            <w:pPr>
              <w:pStyle w:val="SingleTxt"/>
              <w:ind w:left="-57" w:right="0"/>
              <w:rPr>
                <w:rtl/>
              </w:rPr>
            </w:pPr>
            <w:r>
              <w:rPr>
                <w:rtl/>
              </w:rPr>
              <w:t>14</w:t>
            </w:r>
          </w:p>
        </w:tc>
        <w:tc>
          <w:tcPr>
            <w:tcW w:w="992" w:type="dxa"/>
          </w:tcPr>
          <w:p w:rsidR="00000000" w:rsidRDefault="00000000">
            <w:pPr>
              <w:pStyle w:val="SingleTxt"/>
              <w:ind w:left="-57" w:right="0"/>
              <w:rPr>
                <w:rtl/>
              </w:rPr>
            </w:pPr>
            <w:r>
              <w:rPr>
                <w:rtl/>
              </w:rPr>
              <w:t>37</w:t>
            </w:r>
          </w:p>
        </w:tc>
        <w:tc>
          <w:tcPr>
            <w:tcW w:w="992" w:type="dxa"/>
          </w:tcPr>
          <w:p w:rsidR="00000000" w:rsidRDefault="00000000">
            <w:pPr>
              <w:pStyle w:val="SingleTxt"/>
              <w:ind w:left="-57" w:right="0"/>
              <w:rPr>
                <w:rtl/>
              </w:rPr>
            </w:pPr>
            <w:r>
              <w:rPr>
                <w:rtl/>
              </w:rPr>
              <w:t>صفر</w:t>
            </w:r>
          </w:p>
        </w:tc>
        <w:tc>
          <w:tcPr>
            <w:tcW w:w="992" w:type="dxa"/>
          </w:tcPr>
          <w:p w:rsidR="00000000" w:rsidRDefault="00000000">
            <w:pPr>
              <w:pStyle w:val="SingleTxt"/>
              <w:ind w:left="-57" w:right="0"/>
              <w:rPr>
                <w:rtl/>
              </w:rPr>
            </w:pPr>
            <w:r>
              <w:rPr>
                <w:rtl/>
              </w:rPr>
              <w:t>3</w:t>
            </w:r>
          </w:p>
        </w:tc>
        <w:tc>
          <w:tcPr>
            <w:tcW w:w="993" w:type="dxa"/>
          </w:tcPr>
          <w:p w:rsidR="00000000" w:rsidRDefault="00000000">
            <w:pPr>
              <w:pStyle w:val="SingleTxt"/>
              <w:ind w:left="-57" w:right="0"/>
              <w:rPr>
                <w:rtl/>
              </w:rPr>
            </w:pPr>
            <w:r>
              <w:rPr>
                <w:rtl/>
              </w:rPr>
              <w:t>58</w:t>
            </w: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المجموعات التراكمية للقرية</w:t>
            </w:r>
          </w:p>
        </w:tc>
        <w:tc>
          <w:tcPr>
            <w:tcW w:w="850" w:type="dxa"/>
          </w:tcPr>
          <w:p w:rsidR="00000000" w:rsidRDefault="00000000">
            <w:pPr>
              <w:pStyle w:val="SingleTxt"/>
              <w:ind w:left="-57" w:right="0"/>
              <w:rPr>
                <w:rtl/>
              </w:rPr>
            </w:pPr>
            <w:r>
              <w:rPr>
                <w:rtl/>
              </w:rPr>
              <w:t>81</w:t>
            </w:r>
          </w:p>
        </w:tc>
        <w:tc>
          <w:tcPr>
            <w:tcW w:w="993" w:type="dxa"/>
          </w:tcPr>
          <w:p w:rsidR="00000000" w:rsidRDefault="00000000">
            <w:pPr>
              <w:pStyle w:val="SingleTxt"/>
              <w:ind w:left="-57" w:right="0"/>
              <w:rPr>
                <w:rtl/>
              </w:rPr>
            </w:pPr>
            <w:r>
              <w:rPr>
                <w:rtl/>
              </w:rPr>
              <w:t>107</w:t>
            </w:r>
          </w:p>
        </w:tc>
        <w:tc>
          <w:tcPr>
            <w:tcW w:w="992" w:type="dxa"/>
          </w:tcPr>
          <w:p w:rsidR="00000000" w:rsidRDefault="00000000">
            <w:pPr>
              <w:pStyle w:val="SingleTxt"/>
              <w:ind w:left="-57" w:right="0"/>
              <w:rPr>
                <w:rtl/>
              </w:rPr>
            </w:pPr>
            <w:r>
              <w:rPr>
                <w:rtl/>
              </w:rPr>
              <w:t>246</w:t>
            </w:r>
          </w:p>
        </w:tc>
        <w:tc>
          <w:tcPr>
            <w:tcW w:w="992" w:type="dxa"/>
          </w:tcPr>
          <w:p w:rsidR="00000000" w:rsidRDefault="00000000">
            <w:pPr>
              <w:pStyle w:val="SingleTxt"/>
              <w:ind w:left="-57" w:right="0"/>
              <w:rPr>
                <w:rtl/>
              </w:rPr>
            </w:pPr>
            <w:r>
              <w:rPr>
                <w:rtl/>
              </w:rPr>
              <w:t>285</w:t>
            </w:r>
          </w:p>
        </w:tc>
        <w:tc>
          <w:tcPr>
            <w:tcW w:w="992" w:type="dxa"/>
          </w:tcPr>
          <w:p w:rsidR="00000000" w:rsidRDefault="00000000">
            <w:pPr>
              <w:pStyle w:val="SingleTxt"/>
              <w:ind w:left="-57" w:right="0"/>
              <w:rPr>
                <w:rtl/>
              </w:rPr>
            </w:pPr>
            <w:r>
              <w:rPr>
                <w:rtl/>
              </w:rPr>
              <w:t>290</w:t>
            </w:r>
          </w:p>
        </w:tc>
        <w:tc>
          <w:tcPr>
            <w:tcW w:w="993" w:type="dxa"/>
          </w:tcPr>
          <w:p w:rsidR="00000000" w:rsidRDefault="00000000">
            <w:pPr>
              <w:pStyle w:val="SingleTxt"/>
              <w:ind w:left="-57" w:right="0"/>
              <w:rPr>
                <w:rtl/>
              </w:rPr>
            </w:pPr>
            <w:r>
              <w:rPr>
                <w:rtl/>
              </w:rPr>
              <w:t>519</w:t>
            </w:r>
          </w:p>
        </w:tc>
      </w:tr>
      <w:tr w:rsidR="00000000">
        <w:tblPrEx>
          <w:tblCellMar>
            <w:top w:w="0" w:type="dxa"/>
            <w:bottom w:w="0" w:type="dxa"/>
          </w:tblCellMar>
        </w:tblPrEx>
        <w:tc>
          <w:tcPr>
            <w:tcW w:w="2835" w:type="dxa"/>
          </w:tcPr>
          <w:p w:rsidR="00000000" w:rsidRDefault="00000000">
            <w:pPr>
              <w:pStyle w:val="SingleTxt"/>
              <w:ind w:left="-57" w:right="0"/>
              <w:jc w:val="center"/>
              <w:rPr>
                <w:b/>
                <w:bCs/>
                <w:rtl/>
              </w:rPr>
            </w:pPr>
            <w:r>
              <w:rPr>
                <w:b/>
                <w:bCs/>
                <w:rtl/>
              </w:rPr>
              <w:t>الصف الأول</w:t>
            </w:r>
          </w:p>
        </w:tc>
        <w:tc>
          <w:tcPr>
            <w:tcW w:w="850" w:type="dxa"/>
          </w:tcPr>
          <w:p w:rsidR="00000000" w:rsidRDefault="00000000">
            <w:pPr>
              <w:pStyle w:val="SingleTxt"/>
              <w:ind w:left="-57" w:right="0"/>
              <w:rPr>
                <w:rtl/>
              </w:rPr>
            </w:pPr>
          </w:p>
        </w:tc>
        <w:tc>
          <w:tcPr>
            <w:tcW w:w="993"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3" w:type="dxa"/>
          </w:tcPr>
          <w:p w:rsidR="00000000" w:rsidRDefault="00000000">
            <w:pPr>
              <w:pStyle w:val="SingleTxt"/>
              <w:ind w:left="-57" w:right="0"/>
              <w:rPr>
                <w:rtl/>
              </w:rPr>
            </w:pP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المقترضين النشطين</w:t>
            </w:r>
          </w:p>
        </w:tc>
        <w:tc>
          <w:tcPr>
            <w:tcW w:w="850" w:type="dxa"/>
          </w:tcPr>
          <w:p w:rsidR="00000000" w:rsidRDefault="00000000">
            <w:pPr>
              <w:pStyle w:val="SingleTxt"/>
              <w:ind w:left="-57" w:right="0"/>
              <w:rPr>
                <w:rtl/>
              </w:rPr>
            </w:pPr>
            <w:r>
              <w:rPr>
                <w:rtl/>
              </w:rPr>
              <w:t>470 1</w:t>
            </w:r>
          </w:p>
        </w:tc>
        <w:tc>
          <w:tcPr>
            <w:tcW w:w="993" w:type="dxa"/>
          </w:tcPr>
          <w:p w:rsidR="00000000" w:rsidRDefault="00000000">
            <w:pPr>
              <w:pStyle w:val="SingleTxt"/>
              <w:ind w:left="-57" w:right="0"/>
              <w:rPr>
                <w:rtl/>
              </w:rPr>
            </w:pPr>
            <w:r>
              <w:rPr>
                <w:rtl/>
              </w:rPr>
              <w:t>373 2</w:t>
            </w:r>
          </w:p>
        </w:tc>
        <w:tc>
          <w:tcPr>
            <w:tcW w:w="992" w:type="dxa"/>
          </w:tcPr>
          <w:p w:rsidR="00000000" w:rsidRDefault="00000000">
            <w:pPr>
              <w:pStyle w:val="SingleTxt"/>
              <w:ind w:left="-57" w:right="0"/>
              <w:rPr>
                <w:rtl/>
              </w:rPr>
            </w:pPr>
            <w:r>
              <w:rPr>
                <w:rtl/>
              </w:rPr>
              <w:t>477 5</w:t>
            </w:r>
          </w:p>
        </w:tc>
        <w:tc>
          <w:tcPr>
            <w:tcW w:w="992" w:type="dxa"/>
          </w:tcPr>
          <w:p w:rsidR="00000000" w:rsidRDefault="00000000">
            <w:pPr>
              <w:pStyle w:val="SingleTxt"/>
              <w:ind w:left="-57" w:right="0"/>
              <w:rPr>
                <w:rtl/>
              </w:rPr>
            </w:pPr>
            <w:r>
              <w:rPr>
                <w:rtl/>
              </w:rPr>
              <w:t>779 5</w:t>
            </w:r>
          </w:p>
        </w:tc>
        <w:tc>
          <w:tcPr>
            <w:tcW w:w="992" w:type="dxa"/>
          </w:tcPr>
          <w:p w:rsidR="00000000" w:rsidRDefault="00000000">
            <w:pPr>
              <w:pStyle w:val="SingleTxt"/>
              <w:ind w:left="-57" w:right="0"/>
              <w:rPr>
                <w:rtl/>
              </w:rPr>
            </w:pPr>
            <w:r>
              <w:rPr>
                <w:rtl/>
              </w:rPr>
              <w:t>942 5</w:t>
            </w:r>
          </w:p>
        </w:tc>
        <w:tc>
          <w:tcPr>
            <w:tcW w:w="993" w:type="dxa"/>
          </w:tcPr>
          <w:p w:rsidR="00000000" w:rsidRDefault="00000000">
            <w:pPr>
              <w:pStyle w:val="SingleTxt"/>
              <w:ind w:left="-57" w:right="0"/>
              <w:rPr>
                <w:rtl/>
              </w:rPr>
            </w:pPr>
            <w:r>
              <w:rPr>
                <w:rtl/>
              </w:rPr>
              <w:t>304 10</w:t>
            </w: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القروض</w:t>
            </w:r>
          </w:p>
        </w:tc>
        <w:tc>
          <w:tcPr>
            <w:tcW w:w="850" w:type="dxa"/>
          </w:tcPr>
          <w:p w:rsidR="00000000" w:rsidRDefault="00000000">
            <w:pPr>
              <w:pStyle w:val="SingleTxt"/>
              <w:ind w:left="-57" w:right="0"/>
              <w:rPr>
                <w:rtl/>
              </w:rPr>
            </w:pPr>
            <w:r>
              <w:rPr>
                <w:rtl/>
              </w:rPr>
              <w:t>685 1</w:t>
            </w:r>
          </w:p>
        </w:tc>
        <w:tc>
          <w:tcPr>
            <w:tcW w:w="993" w:type="dxa"/>
          </w:tcPr>
          <w:p w:rsidR="00000000" w:rsidRDefault="00000000">
            <w:pPr>
              <w:pStyle w:val="SingleTxt"/>
              <w:ind w:left="-57" w:right="0"/>
              <w:rPr>
                <w:rtl/>
              </w:rPr>
            </w:pPr>
            <w:r>
              <w:rPr>
                <w:rtl/>
              </w:rPr>
              <w:t>808 3</w:t>
            </w:r>
          </w:p>
        </w:tc>
        <w:tc>
          <w:tcPr>
            <w:tcW w:w="992" w:type="dxa"/>
          </w:tcPr>
          <w:p w:rsidR="00000000" w:rsidRDefault="00000000">
            <w:pPr>
              <w:pStyle w:val="SingleTxt"/>
              <w:ind w:left="-57" w:right="0"/>
              <w:rPr>
                <w:rtl/>
              </w:rPr>
            </w:pPr>
            <w:r>
              <w:rPr>
                <w:rtl/>
              </w:rPr>
              <w:t>005 9</w:t>
            </w:r>
          </w:p>
        </w:tc>
        <w:tc>
          <w:tcPr>
            <w:tcW w:w="992" w:type="dxa"/>
          </w:tcPr>
          <w:p w:rsidR="00000000" w:rsidRDefault="00000000">
            <w:pPr>
              <w:pStyle w:val="SingleTxt"/>
              <w:ind w:left="-57" w:right="0"/>
              <w:rPr>
                <w:rtl/>
              </w:rPr>
            </w:pPr>
            <w:r>
              <w:rPr>
                <w:rtl/>
              </w:rPr>
              <w:t>391 4</w:t>
            </w:r>
          </w:p>
        </w:tc>
        <w:tc>
          <w:tcPr>
            <w:tcW w:w="992" w:type="dxa"/>
          </w:tcPr>
          <w:p w:rsidR="00000000" w:rsidRDefault="00000000">
            <w:pPr>
              <w:pStyle w:val="SingleTxt"/>
              <w:ind w:left="-57" w:right="0"/>
              <w:rPr>
                <w:rtl/>
              </w:rPr>
            </w:pPr>
            <w:r>
              <w:rPr>
                <w:rtl/>
              </w:rPr>
              <w:t>744 2</w:t>
            </w:r>
          </w:p>
        </w:tc>
        <w:tc>
          <w:tcPr>
            <w:tcW w:w="993" w:type="dxa"/>
          </w:tcPr>
          <w:p w:rsidR="00000000" w:rsidRDefault="00000000">
            <w:pPr>
              <w:pStyle w:val="SingleTxt"/>
              <w:ind w:left="-57" w:right="0"/>
              <w:rPr>
                <w:rtl/>
              </w:rPr>
            </w:pPr>
            <w:r>
              <w:rPr>
                <w:rtl/>
              </w:rPr>
              <w:t>206 9</w:t>
            </w:r>
          </w:p>
        </w:tc>
      </w:tr>
      <w:tr w:rsidR="00000000">
        <w:tblPrEx>
          <w:tblCellMar>
            <w:top w:w="0" w:type="dxa"/>
            <w:bottom w:w="0" w:type="dxa"/>
          </w:tblCellMar>
        </w:tblPrEx>
        <w:tc>
          <w:tcPr>
            <w:tcW w:w="2835" w:type="dxa"/>
          </w:tcPr>
          <w:p w:rsidR="00000000" w:rsidRDefault="00000000">
            <w:pPr>
              <w:pStyle w:val="SingleTxt"/>
              <w:ind w:left="-57" w:right="0"/>
              <w:jc w:val="center"/>
              <w:rPr>
                <w:b/>
                <w:bCs/>
                <w:rtl/>
              </w:rPr>
            </w:pPr>
            <w:r>
              <w:rPr>
                <w:b/>
                <w:bCs/>
                <w:rtl/>
              </w:rPr>
              <w:t>الصف الثاني</w:t>
            </w:r>
          </w:p>
        </w:tc>
        <w:tc>
          <w:tcPr>
            <w:tcW w:w="850" w:type="dxa"/>
          </w:tcPr>
          <w:p w:rsidR="00000000" w:rsidRDefault="00000000">
            <w:pPr>
              <w:pStyle w:val="SingleTxt"/>
              <w:ind w:left="-57" w:right="0"/>
              <w:rPr>
                <w:rtl/>
              </w:rPr>
            </w:pPr>
          </w:p>
        </w:tc>
        <w:tc>
          <w:tcPr>
            <w:tcW w:w="993"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2" w:type="dxa"/>
          </w:tcPr>
          <w:p w:rsidR="00000000" w:rsidRDefault="00000000">
            <w:pPr>
              <w:pStyle w:val="SingleTxt"/>
              <w:ind w:left="-57" w:right="0"/>
              <w:rPr>
                <w:rtl/>
              </w:rPr>
            </w:pPr>
          </w:p>
        </w:tc>
        <w:tc>
          <w:tcPr>
            <w:tcW w:w="993" w:type="dxa"/>
          </w:tcPr>
          <w:p w:rsidR="00000000" w:rsidRDefault="00000000">
            <w:pPr>
              <w:pStyle w:val="SingleTxt"/>
              <w:ind w:left="-57" w:right="0"/>
              <w:rPr>
                <w:rtl/>
              </w:rPr>
            </w:pP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المقترضين النشطين</w:t>
            </w:r>
          </w:p>
        </w:tc>
        <w:tc>
          <w:tcPr>
            <w:tcW w:w="850" w:type="dxa"/>
          </w:tcPr>
          <w:p w:rsidR="00000000" w:rsidRDefault="00000000">
            <w:pPr>
              <w:pStyle w:val="SingleTxt"/>
              <w:ind w:left="-57" w:right="0"/>
              <w:rPr>
                <w:rtl/>
              </w:rPr>
            </w:pPr>
            <w:r>
              <w:rPr>
                <w:rtl/>
              </w:rPr>
              <w:t>-</w:t>
            </w:r>
          </w:p>
        </w:tc>
        <w:tc>
          <w:tcPr>
            <w:tcW w:w="993" w:type="dxa"/>
          </w:tcPr>
          <w:p w:rsidR="00000000" w:rsidRDefault="00000000">
            <w:pPr>
              <w:pStyle w:val="SingleTxt"/>
              <w:ind w:left="-57" w:right="0"/>
              <w:rPr>
                <w:rtl/>
              </w:rPr>
            </w:pPr>
            <w:r>
              <w:rPr>
                <w:rtl/>
              </w:rPr>
              <w:t>7</w:t>
            </w:r>
          </w:p>
        </w:tc>
        <w:tc>
          <w:tcPr>
            <w:tcW w:w="992" w:type="dxa"/>
          </w:tcPr>
          <w:p w:rsidR="00000000" w:rsidRDefault="00000000">
            <w:pPr>
              <w:pStyle w:val="SingleTxt"/>
              <w:ind w:left="-57" w:right="0"/>
              <w:rPr>
                <w:rtl/>
              </w:rPr>
            </w:pPr>
            <w:r>
              <w:rPr>
                <w:rtl/>
              </w:rPr>
              <w:t>27</w:t>
            </w:r>
          </w:p>
        </w:tc>
        <w:tc>
          <w:tcPr>
            <w:tcW w:w="992" w:type="dxa"/>
          </w:tcPr>
          <w:p w:rsidR="00000000" w:rsidRDefault="00000000">
            <w:pPr>
              <w:pStyle w:val="SingleTxt"/>
              <w:ind w:left="-57" w:right="0"/>
              <w:rPr>
                <w:rtl/>
              </w:rPr>
            </w:pPr>
            <w:r>
              <w:rPr>
                <w:rtl/>
              </w:rPr>
              <w:t>36</w:t>
            </w:r>
          </w:p>
        </w:tc>
        <w:tc>
          <w:tcPr>
            <w:tcW w:w="992" w:type="dxa"/>
          </w:tcPr>
          <w:p w:rsidR="00000000" w:rsidRDefault="00000000">
            <w:pPr>
              <w:pStyle w:val="SingleTxt"/>
              <w:ind w:left="-57" w:right="0"/>
              <w:rPr>
                <w:rtl/>
              </w:rPr>
            </w:pPr>
            <w:r>
              <w:rPr>
                <w:rtl/>
              </w:rPr>
              <w:t>245</w:t>
            </w:r>
          </w:p>
        </w:tc>
        <w:tc>
          <w:tcPr>
            <w:tcW w:w="993" w:type="dxa"/>
          </w:tcPr>
          <w:p w:rsidR="00000000" w:rsidRDefault="00000000">
            <w:pPr>
              <w:pStyle w:val="SingleTxt"/>
              <w:ind w:left="-57" w:right="0"/>
              <w:rPr>
                <w:rtl/>
              </w:rPr>
            </w:pPr>
            <w:r>
              <w:rPr>
                <w:rtl/>
              </w:rPr>
              <w:t>925</w:t>
            </w:r>
          </w:p>
        </w:tc>
      </w:tr>
      <w:tr w:rsidR="00000000">
        <w:tblPrEx>
          <w:tblCellMar>
            <w:top w:w="0" w:type="dxa"/>
            <w:bottom w:w="0" w:type="dxa"/>
          </w:tblCellMar>
        </w:tblPrEx>
        <w:tc>
          <w:tcPr>
            <w:tcW w:w="2835" w:type="dxa"/>
          </w:tcPr>
          <w:p w:rsidR="00000000" w:rsidRDefault="00000000">
            <w:pPr>
              <w:pStyle w:val="SingleTxt"/>
              <w:ind w:left="-57" w:right="0"/>
              <w:rPr>
                <w:rtl/>
              </w:rPr>
            </w:pPr>
            <w:r>
              <w:rPr>
                <w:rtl/>
              </w:rPr>
              <w:t>عدد القروض</w:t>
            </w:r>
          </w:p>
        </w:tc>
        <w:tc>
          <w:tcPr>
            <w:tcW w:w="850" w:type="dxa"/>
          </w:tcPr>
          <w:p w:rsidR="00000000" w:rsidRDefault="00000000">
            <w:pPr>
              <w:pStyle w:val="SingleTxt"/>
              <w:ind w:left="-57" w:right="0"/>
              <w:rPr>
                <w:rtl/>
              </w:rPr>
            </w:pPr>
            <w:r>
              <w:rPr>
                <w:rtl/>
              </w:rPr>
              <w:t>-</w:t>
            </w:r>
          </w:p>
        </w:tc>
        <w:tc>
          <w:tcPr>
            <w:tcW w:w="993" w:type="dxa"/>
          </w:tcPr>
          <w:p w:rsidR="00000000" w:rsidRDefault="00000000">
            <w:pPr>
              <w:pStyle w:val="SingleTxt"/>
              <w:ind w:left="-57" w:right="0"/>
              <w:rPr>
                <w:rtl/>
              </w:rPr>
            </w:pPr>
            <w:r>
              <w:rPr>
                <w:rtl/>
              </w:rPr>
              <w:t>7</w:t>
            </w:r>
          </w:p>
        </w:tc>
        <w:tc>
          <w:tcPr>
            <w:tcW w:w="992" w:type="dxa"/>
          </w:tcPr>
          <w:p w:rsidR="00000000" w:rsidRDefault="00000000">
            <w:pPr>
              <w:pStyle w:val="SingleTxt"/>
              <w:ind w:left="-57" w:right="0"/>
              <w:rPr>
                <w:rtl/>
              </w:rPr>
            </w:pPr>
            <w:r>
              <w:rPr>
                <w:rtl/>
              </w:rPr>
              <w:t>33</w:t>
            </w:r>
          </w:p>
        </w:tc>
        <w:tc>
          <w:tcPr>
            <w:tcW w:w="992" w:type="dxa"/>
          </w:tcPr>
          <w:p w:rsidR="00000000" w:rsidRDefault="00000000">
            <w:pPr>
              <w:pStyle w:val="SingleTxt"/>
              <w:ind w:left="-57" w:right="0"/>
              <w:rPr>
                <w:rtl/>
              </w:rPr>
            </w:pPr>
            <w:r>
              <w:rPr>
                <w:rtl/>
              </w:rPr>
              <w:t>46</w:t>
            </w:r>
          </w:p>
        </w:tc>
        <w:tc>
          <w:tcPr>
            <w:tcW w:w="992" w:type="dxa"/>
          </w:tcPr>
          <w:p w:rsidR="00000000" w:rsidRDefault="00000000">
            <w:pPr>
              <w:pStyle w:val="SingleTxt"/>
              <w:ind w:left="-57" w:right="0"/>
              <w:rPr>
                <w:rtl/>
              </w:rPr>
            </w:pPr>
            <w:r>
              <w:rPr>
                <w:rtl/>
              </w:rPr>
              <w:t>259</w:t>
            </w:r>
          </w:p>
        </w:tc>
        <w:tc>
          <w:tcPr>
            <w:tcW w:w="993" w:type="dxa"/>
          </w:tcPr>
          <w:p w:rsidR="00000000" w:rsidRDefault="00000000">
            <w:pPr>
              <w:pStyle w:val="SingleTxt"/>
              <w:ind w:left="-57" w:right="0"/>
              <w:rPr>
                <w:rtl/>
              </w:rPr>
            </w:pPr>
            <w:r>
              <w:rPr>
                <w:rtl/>
              </w:rPr>
              <w:t>040 1</w:t>
            </w:r>
          </w:p>
        </w:tc>
      </w:tr>
      <w:tr w:rsidR="00000000">
        <w:tblPrEx>
          <w:tblCellMar>
            <w:top w:w="0" w:type="dxa"/>
            <w:bottom w:w="0" w:type="dxa"/>
          </w:tblCellMar>
        </w:tblPrEx>
        <w:tc>
          <w:tcPr>
            <w:tcW w:w="2835" w:type="dxa"/>
          </w:tcPr>
          <w:p w:rsidR="00000000" w:rsidRDefault="00000000">
            <w:pPr>
              <w:pStyle w:val="SingleTxt"/>
              <w:ind w:left="-57" w:right="0"/>
              <w:rPr>
                <w:b/>
                <w:bCs/>
                <w:rtl/>
              </w:rPr>
            </w:pPr>
            <w:r>
              <w:rPr>
                <w:b/>
                <w:bCs/>
                <w:rtl/>
              </w:rPr>
              <w:t>مجموع عدد المستفيدات بالنسبة المئوية (الصف الأول)</w:t>
            </w:r>
          </w:p>
        </w:tc>
        <w:tc>
          <w:tcPr>
            <w:tcW w:w="850" w:type="dxa"/>
          </w:tcPr>
          <w:p w:rsidR="00000000" w:rsidRDefault="00000000">
            <w:pPr>
              <w:pStyle w:val="SingleTxt"/>
              <w:ind w:left="-57" w:right="0"/>
              <w:rPr>
                <w:rFonts w:cs="Akhbar MT"/>
                <w:rtl/>
              </w:rPr>
            </w:pPr>
            <w:r>
              <w:rPr>
                <w:rtl/>
              </w:rPr>
              <w:t>30</w:t>
            </w:r>
            <w:r>
              <w:rPr>
                <w:rFonts w:cs="Akhbar MT"/>
                <w:rtl/>
              </w:rPr>
              <w:t>%</w:t>
            </w:r>
          </w:p>
        </w:tc>
        <w:tc>
          <w:tcPr>
            <w:tcW w:w="993" w:type="dxa"/>
          </w:tcPr>
          <w:p w:rsidR="00000000" w:rsidRDefault="00000000">
            <w:pPr>
              <w:pStyle w:val="SingleTxt"/>
              <w:ind w:left="-57" w:right="0"/>
              <w:rPr>
                <w:rtl/>
              </w:rPr>
            </w:pPr>
            <w:r>
              <w:rPr>
                <w:rtl/>
              </w:rPr>
              <w:t>30.26</w:t>
            </w:r>
            <w:r>
              <w:rPr>
                <w:rFonts w:cs="Akhbar MT"/>
                <w:rtl/>
              </w:rPr>
              <w:t>%</w:t>
            </w:r>
          </w:p>
        </w:tc>
        <w:tc>
          <w:tcPr>
            <w:tcW w:w="992" w:type="dxa"/>
          </w:tcPr>
          <w:p w:rsidR="00000000" w:rsidRDefault="00000000">
            <w:pPr>
              <w:pStyle w:val="SingleTxt"/>
              <w:ind w:left="-57" w:right="0"/>
              <w:rPr>
                <w:rtl/>
              </w:rPr>
            </w:pPr>
            <w:r>
              <w:rPr>
                <w:rtl/>
              </w:rPr>
              <w:t>27.62</w:t>
            </w:r>
            <w:r>
              <w:rPr>
                <w:rFonts w:cs="Akhbar MT"/>
                <w:rtl/>
              </w:rPr>
              <w:t>%</w:t>
            </w:r>
          </w:p>
        </w:tc>
        <w:tc>
          <w:tcPr>
            <w:tcW w:w="992" w:type="dxa"/>
          </w:tcPr>
          <w:p w:rsidR="00000000" w:rsidRDefault="00000000">
            <w:pPr>
              <w:pStyle w:val="SingleTxt"/>
              <w:ind w:left="-57" w:right="0"/>
              <w:rPr>
                <w:rtl/>
              </w:rPr>
            </w:pPr>
            <w:r>
              <w:rPr>
                <w:rtl/>
              </w:rPr>
              <w:t>29.6</w:t>
            </w:r>
            <w:r>
              <w:rPr>
                <w:rFonts w:cs="Akhbar MT"/>
                <w:rtl/>
              </w:rPr>
              <w:t>%</w:t>
            </w:r>
          </w:p>
        </w:tc>
        <w:tc>
          <w:tcPr>
            <w:tcW w:w="992" w:type="dxa"/>
          </w:tcPr>
          <w:p w:rsidR="00000000" w:rsidRDefault="00000000">
            <w:pPr>
              <w:pStyle w:val="SingleTxt"/>
              <w:ind w:left="-57" w:right="0"/>
              <w:rPr>
                <w:rtl/>
              </w:rPr>
            </w:pPr>
            <w:r>
              <w:rPr>
                <w:rtl/>
              </w:rPr>
              <w:t>30.18</w:t>
            </w:r>
            <w:r>
              <w:rPr>
                <w:rFonts w:cs="Akhbar MT"/>
                <w:rtl/>
              </w:rPr>
              <w:t>%</w:t>
            </w:r>
          </w:p>
        </w:tc>
        <w:tc>
          <w:tcPr>
            <w:tcW w:w="993" w:type="dxa"/>
          </w:tcPr>
          <w:p w:rsidR="00000000" w:rsidRDefault="00000000">
            <w:pPr>
              <w:pStyle w:val="SingleTxt"/>
              <w:ind w:left="-57" w:right="0"/>
              <w:rPr>
                <w:rtl/>
              </w:rPr>
            </w:pPr>
            <w:r>
              <w:rPr>
                <w:rtl/>
              </w:rPr>
              <w:t>37</w:t>
            </w:r>
            <w:r>
              <w:rPr>
                <w:rFonts w:cs="Akhbar MT"/>
                <w:rtl/>
              </w:rPr>
              <w:t>%</w:t>
            </w:r>
          </w:p>
        </w:tc>
      </w:tr>
      <w:tr w:rsidR="00000000">
        <w:tblPrEx>
          <w:tblCellMar>
            <w:top w:w="0" w:type="dxa"/>
            <w:bottom w:w="0" w:type="dxa"/>
          </w:tblCellMar>
        </w:tblPrEx>
        <w:tc>
          <w:tcPr>
            <w:tcW w:w="2835" w:type="dxa"/>
          </w:tcPr>
          <w:p w:rsidR="00000000" w:rsidRDefault="00000000">
            <w:pPr>
              <w:pStyle w:val="SingleTxt"/>
              <w:ind w:left="-57" w:right="0"/>
              <w:rPr>
                <w:b/>
                <w:bCs/>
                <w:rtl/>
              </w:rPr>
            </w:pPr>
            <w:r>
              <w:rPr>
                <w:b/>
                <w:bCs/>
                <w:rtl/>
              </w:rPr>
              <w:t>مجموع عدد المستفيدات بالنسبة المئوية (الصف الثاني)</w:t>
            </w:r>
          </w:p>
        </w:tc>
        <w:tc>
          <w:tcPr>
            <w:tcW w:w="850" w:type="dxa"/>
          </w:tcPr>
          <w:p w:rsidR="00000000" w:rsidRDefault="00000000">
            <w:pPr>
              <w:pStyle w:val="SingleTxt"/>
              <w:ind w:left="-57" w:right="0"/>
              <w:rPr>
                <w:rtl/>
              </w:rPr>
            </w:pPr>
            <w:r>
              <w:rPr>
                <w:rtl/>
              </w:rPr>
              <w:t>-</w:t>
            </w:r>
          </w:p>
        </w:tc>
        <w:tc>
          <w:tcPr>
            <w:tcW w:w="993" w:type="dxa"/>
          </w:tcPr>
          <w:p w:rsidR="00000000" w:rsidRDefault="00000000">
            <w:pPr>
              <w:pStyle w:val="SingleTxt"/>
              <w:ind w:left="-57" w:right="0"/>
              <w:rPr>
                <w:rtl/>
              </w:rPr>
            </w:pPr>
            <w:r>
              <w:rPr>
                <w:rtl/>
              </w:rPr>
              <w:t>14.29</w:t>
            </w:r>
            <w:r>
              <w:rPr>
                <w:rFonts w:cs="Akhbar MT"/>
                <w:rtl/>
              </w:rPr>
              <w:t>%</w:t>
            </w:r>
          </w:p>
        </w:tc>
        <w:tc>
          <w:tcPr>
            <w:tcW w:w="992" w:type="dxa"/>
          </w:tcPr>
          <w:p w:rsidR="00000000" w:rsidRDefault="00000000">
            <w:pPr>
              <w:pStyle w:val="SingleTxt"/>
              <w:ind w:left="-57" w:right="0"/>
              <w:rPr>
                <w:rtl/>
              </w:rPr>
            </w:pPr>
            <w:r>
              <w:rPr>
                <w:rtl/>
              </w:rPr>
              <w:t>6.45</w:t>
            </w:r>
            <w:r>
              <w:rPr>
                <w:rFonts w:cs="Akhbar MT"/>
                <w:rtl/>
              </w:rPr>
              <w:t>%</w:t>
            </w:r>
          </w:p>
        </w:tc>
        <w:tc>
          <w:tcPr>
            <w:tcW w:w="992" w:type="dxa"/>
          </w:tcPr>
          <w:p w:rsidR="00000000" w:rsidRDefault="00000000">
            <w:pPr>
              <w:pStyle w:val="SingleTxt"/>
              <w:ind w:left="-57" w:right="0"/>
              <w:rPr>
                <w:rtl/>
              </w:rPr>
            </w:pPr>
            <w:r>
              <w:rPr>
                <w:rtl/>
              </w:rPr>
              <w:t>14.29</w:t>
            </w:r>
            <w:r>
              <w:rPr>
                <w:rFonts w:cs="Akhbar MT"/>
                <w:rtl/>
              </w:rPr>
              <w:t>%</w:t>
            </w:r>
          </w:p>
        </w:tc>
        <w:tc>
          <w:tcPr>
            <w:tcW w:w="992" w:type="dxa"/>
          </w:tcPr>
          <w:p w:rsidR="00000000" w:rsidRDefault="00000000">
            <w:pPr>
              <w:pStyle w:val="SingleTxt"/>
              <w:ind w:left="-57" w:right="0"/>
              <w:rPr>
                <w:rtl/>
              </w:rPr>
            </w:pPr>
            <w:r>
              <w:rPr>
                <w:rtl/>
              </w:rPr>
              <w:t>29</w:t>
            </w:r>
            <w:r>
              <w:rPr>
                <w:rFonts w:cs="Akhbar MT"/>
                <w:rtl/>
              </w:rPr>
              <w:t>%</w:t>
            </w:r>
          </w:p>
        </w:tc>
        <w:tc>
          <w:tcPr>
            <w:tcW w:w="993" w:type="dxa"/>
          </w:tcPr>
          <w:p w:rsidR="00000000" w:rsidRDefault="00000000">
            <w:pPr>
              <w:pStyle w:val="SingleTxt"/>
              <w:ind w:left="-57" w:right="0"/>
              <w:rPr>
                <w:rtl/>
              </w:rPr>
            </w:pPr>
            <w:r>
              <w:rPr>
                <w:rtl/>
              </w:rPr>
              <w:t>36</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وأشار تحليل أثر (في عام 2000) هذا البرنامج أن 50 في المائة من المصارف التي شملها الاستقصاء كانت في المناطق الريفية حيث لا توجد خدمات مصرفية رسمية وأن 30 في المائة من المقترضين كانوا من النساء. وهذا إنجاز هام باعتبار الوصول السابق المحدود للنساء.</w:t>
      </w:r>
    </w:p>
    <w:p w:rsidR="00000000" w:rsidRDefault="00000000">
      <w:pPr>
        <w:pStyle w:val="SingleTxt"/>
        <w:ind w:left="1264" w:right="1264"/>
        <w:rPr>
          <w:rtl/>
        </w:rPr>
      </w:pPr>
      <w:r>
        <w:rPr>
          <w:rtl/>
        </w:rPr>
        <w:tab/>
      </w:r>
      <w:r>
        <w:rPr>
          <w:rtl/>
        </w:rPr>
        <w:tab/>
        <w:t>وثمة تدخل كبير في برنامج نظام الائتمان هو تدخل الاتحاد الوطني للنساء الأريتريات الموجه بصفة خاصة إلى المرأة الريفية. وقد بدأ إطلاق البرنامج في الأصل في عشر مجتمعات محلية في منطقة غاش </w:t>
      </w:r>
      <w:r>
        <w:t>–</w:t>
      </w:r>
      <w:r>
        <w:rPr>
          <w:rtl/>
        </w:rPr>
        <w:t xml:space="preserve"> بركا، وأنسيبا، وماكيل، والمنطقة الجنوبية. وكانت الفئات المستهدفة هي الأسر المعيشية التي ترأسها الإناث، والمقاتلات المسرحات، والعائدات. ويتراوح حجم القرض بين 500 </w:t>
      </w:r>
      <w:r>
        <w:t>–</w:t>
      </w:r>
      <w:r>
        <w:rPr>
          <w:rtl/>
        </w:rPr>
        <w:t xml:space="preserve"> 2000 ناكفا بفائدة قدرها 12 في المائة ولمدة 12 شهراً باستثناء القروض الزراعية التي تمتد إلى 18 شهراً. وقد استفاد من هذا المشروع أكثر من 700 1 أسرة.</w:t>
      </w:r>
    </w:p>
    <w:p w:rsidR="00000000" w:rsidRDefault="00000000">
      <w:pPr>
        <w:pStyle w:val="SingleTxt"/>
        <w:ind w:left="1264" w:right="1264"/>
        <w:rPr>
          <w:rtl/>
        </w:rPr>
      </w:pPr>
      <w:r>
        <w:rPr>
          <w:b/>
          <w:bCs/>
          <w:rtl/>
        </w:rPr>
        <w:t xml:space="preserve">الجدول 20 </w:t>
      </w:r>
      <w:r>
        <w:rPr>
          <w:b/>
          <w:bCs/>
        </w:rPr>
        <w:t>–</w:t>
      </w:r>
      <w:r>
        <w:rPr>
          <w:b/>
          <w:bCs/>
          <w:rtl/>
        </w:rPr>
        <w:t xml:space="preserve"> المفيدات من برامج الاتحاد الوطني للنساء الأريتريات ومبالغ القروض حسب المنطقة (6/95 </w:t>
      </w:r>
      <w:r>
        <w:rPr>
          <w:b/>
          <w:bCs/>
        </w:rPr>
        <w:t>–</w:t>
      </w:r>
      <w:r>
        <w:rPr>
          <w:b/>
          <w:bCs/>
          <w:rtl/>
        </w:rPr>
        <w:t xml:space="preserve"> 6/97)</w:t>
      </w:r>
      <w:r>
        <w:rPr>
          <w:rStyle w:val="FootnoteReference"/>
          <w:rtl/>
        </w:rPr>
        <w:footnoteReference w:customMarkFollows="1" w:id="54"/>
        <w:t>(54)</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1843"/>
        <w:gridCol w:w="1842"/>
        <w:gridCol w:w="1418"/>
        <w:gridCol w:w="1276"/>
        <w:gridCol w:w="1701"/>
      </w:tblGrid>
      <w:tr w:rsidR="00000000">
        <w:tblPrEx>
          <w:tblCellMar>
            <w:top w:w="0" w:type="dxa"/>
            <w:bottom w:w="0" w:type="dxa"/>
          </w:tblCellMar>
        </w:tblPrEx>
        <w:tc>
          <w:tcPr>
            <w:tcW w:w="1878" w:type="dxa"/>
          </w:tcPr>
          <w:p w:rsidR="00000000" w:rsidRDefault="00000000">
            <w:pPr>
              <w:pStyle w:val="SingleTxt"/>
              <w:spacing w:after="0"/>
              <w:ind w:left="0" w:right="0"/>
              <w:jc w:val="center"/>
              <w:rPr>
                <w:b/>
                <w:bCs/>
                <w:rtl/>
              </w:rPr>
            </w:pPr>
            <w:r>
              <w:rPr>
                <w:b/>
                <w:bCs/>
                <w:rtl/>
              </w:rPr>
              <w:t>المنطقة</w:t>
            </w:r>
          </w:p>
        </w:tc>
        <w:tc>
          <w:tcPr>
            <w:tcW w:w="1843" w:type="dxa"/>
          </w:tcPr>
          <w:p w:rsidR="00000000" w:rsidRDefault="00000000">
            <w:pPr>
              <w:pStyle w:val="SingleTxt"/>
              <w:spacing w:after="0"/>
              <w:ind w:left="0" w:right="0"/>
              <w:jc w:val="center"/>
              <w:rPr>
                <w:b/>
                <w:bCs/>
                <w:rtl/>
              </w:rPr>
            </w:pPr>
            <w:r>
              <w:rPr>
                <w:b/>
                <w:bCs/>
                <w:rtl/>
              </w:rPr>
              <w:t>مقدار القرض</w:t>
            </w:r>
          </w:p>
          <w:p w:rsidR="00000000" w:rsidRDefault="00000000">
            <w:pPr>
              <w:pStyle w:val="SingleTxt"/>
              <w:spacing w:after="0"/>
              <w:ind w:left="0" w:right="0"/>
              <w:jc w:val="center"/>
              <w:rPr>
                <w:b/>
                <w:bCs/>
                <w:rtl/>
              </w:rPr>
            </w:pPr>
            <w:r>
              <w:rPr>
                <w:b/>
                <w:bCs/>
                <w:rtl/>
              </w:rPr>
              <w:t>بالناكفا</w:t>
            </w:r>
          </w:p>
        </w:tc>
        <w:tc>
          <w:tcPr>
            <w:tcW w:w="1842" w:type="dxa"/>
          </w:tcPr>
          <w:p w:rsidR="00000000" w:rsidRDefault="00000000">
            <w:pPr>
              <w:pStyle w:val="SingleTxt"/>
              <w:spacing w:after="0"/>
              <w:ind w:left="0" w:right="0"/>
              <w:rPr>
                <w:b/>
                <w:bCs/>
                <w:rtl/>
              </w:rPr>
            </w:pPr>
            <w:r>
              <w:rPr>
                <w:b/>
                <w:bCs/>
                <w:rtl/>
              </w:rPr>
              <w:t>عدد المنتفعات (كلهم من النساء)</w:t>
            </w:r>
          </w:p>
        </w:tc>
        <w:tc>
          <w:tcPr>
            <w:tcW w:w="1418" w:type="dxa"/>
          </w:tcPr>
          <w:p w:rsidR="00000000" w:rsidRDefault="00000000">
            <w:pPr>
              <w:pStyle w:val="SingleTxt"/>
              <w:spacing w:after="0"/>
              <w:ind w:left="0" w:right="0"/>
              <w:rPr>
                <w:b/>
                <w:bCs/>
                <w:rtl/>
              </w:rPr>
            </w:pPr>
            <w:r>
              <w:rPr>
                <w:b/>
                <w:bCs/>
                <w:rtl/>
              </w:rPr>
              <w:t>النسبة المئوية لمقدار القرض</w:t>
            </w:r>
          </w:p>
        </w:tc>
        <w:tc>
          <w:tcPr>
            <w:tcW w:w="1276" w:type="dxa"/>
          </w:tcPr>
          <w:p w:rsidR="00000000" w:rsidRDefault="00000000">
            <w:pPr>
              <w:pStyle w:val="SingleTxt"/>
              <w:spacing w:after="0"/>
              <w:ind w:left="0" w:right="0"/>
              <w:rPr>
                <w:b/>
                <w:bCs/>
                <w:rtl/>
              </w:rPr>
            </w:pPr>
            <w:r>
              <w:rPr>
                <w:b/>
                <w:bCs/>
                <w:rtl/>
              </w:rPr>
              <w:t>النسبة المئوية</w:t>
            </w:r>
          </w:p>
          <w:p w:rsidR="00000000" w:rsidRDefault="00000000">
            <w:pPr>
              <w:pStyle w:val="SingleTxt"/>
              <w:spacing w:after="0"/>
              <w:ind w:left="0" w:right="0"/>
              <w:jc w:val="center"/>
              <w:rPr>
                <w:b/>
                <w:bCs/>
                <w:rtl/>
              </w:rPr>
            </w:pPr>
            <w:r>
              <w:rPr>
                <w:b/>
                <w:bCs/>
                <w:rtl/>
              </w:rPr>
              <w:t>للمنتفعات</w:t>
            </w:r>
          </w:p>
        </w:tc>
        <w:tc>
          <w:tcPr>
            <w:tcW w:w="1701" w:type="dxa"/>
          </w:tcPr>
          <w:p w:rsidR="00000000" w:rsidRDefault="00000000">
            <w:pPr>
              <w:pStyle w:val="SingleTxt"/>
              <w:spacing w:after="0"/>
              <w:ind w:left="0" w:right="0"/>
              <w:rPr>
                <w:b/>
                <w:bCs/>
                <w:rtl/>
              </w:rPr>
            </w:pPr>
            <w:r>
              <w:rPr>
                <w:b/>
                <w:bCs/>
                <w:rtl/>
              </w:rPr>
              <w:t>الانتفاع بالقرض</w:t>
            </w:r>
          </w:p>
          <w:p w:rsidR="00000000" w:rsidRDefault="00000000">
            <w:pPr>
              <w:pStyle w:val="SingleTxt"/>
              <w:spacing w:after="0"/>
              <w:ind w:left="0" w:right="0"/>
              <w:jc w:val="center"/>
              <w:rPr>
                <w:b/>
                <w:bCs/>
                <w:rtl/>
              </w:rPr>
            </w:pPr>
            <w:r>
              <w:rPr>
                <w:b/>
                <w:bCs/>
                <w:rtl/>
              </w:rPr>
              <w:t>في ناكفا</w:t>
            </w:r>
          </w:p>
        </w:tc>
      </w:tr>
      <w:tr w:rsidR="00000000">
        <w:tblPrEx>
          <w:tblCellMar>
            <w:top w:w="0" w:type="dxa"/>
            <w:bottom w:w="0" w:type="dxa"/>
          </w:tblCellMar>
        </w:tblPrEx>
        <w:tc>
          <w:tcPr>
            <w:tcW w:w="1878" w:type="dxa"/>
          </w:tcPr>
          <w:p w:rsidR="00000000" w:rsidRDefault="00000000">
            <w:pPr>
              <w:pStyle w:val="SingleTxt"/>
              <w:ind w:left="0" w:right="0"/>
              <w:rPr>
                <w:rtl/>
              </w:rPr>
            </w:pPr>
            <w:r>
              <w:rPr>
                <w:rtl/>
              </w:rPr>
              <w:t xml:space="preserve">غاش </w:t>
            </w:r>
            <w:r>
              <w:t>–</w:t>
            </w:r>
            <w:r>
              <w:rPr>
                <w:rtl/>
              </w:rPr>
              <w:t xml:space="preserve"> بركا</w:t>
            </w:r>
          </w:p>
        </w:tc>
        <w:tc>
          <w:tcPr>
            <w:tcW w:w="1843" w:type="dxa"/>
          </w:tcPr>
          <w:p w:rsidR="00000000" w:rsidRDefault="00000000">
            <w:pPr>
              <w:pStyle w:val="SingleTxt"/>
              <w:ind w:left="0" w:right="0"/>
              <w:rPr>
                <w:rtl/>
              </w:rPr>
            </w:pPr>
            <w:r>
              <w:rPr>
                <w:rtl/>
              </w:rPr>
              <w:t>100.00 011 1</w:t>
            </w:r>
          </w:p>
        </w:tc>
        <w:tc>
          <w:tcPr>
            <w:tcW w:w="1842" w:type="dxa"/>
          </w:tcPr>
          <w:p w:rsidR="00000000" w:rsidRDefault="00000000">
            <w:pPr>
              <w:pStyle w:val="SingleTxt"/>
              <w:ind w:left="0" w:right="0"/>
              <w:rPr>
                <w:rtl/>
              </w:rPr>
            </w:pPr>
            <w:r>
              <w:rPr>
                <w:rtl/>
              </w:rPr>
              <w:t>916</w:t>
            </w:r>
          </w:p>
        </w:tc>
        <w:tc>
          <w:tcPr>
            <w:tcW w:w="1418" w:type="dxa"/>
          </w:tcPr>
          <w:p w:rsidR="00000000" w:rsidRDefault="00000000">
            <w:pPr>
              <w:pStyle w:val="SingleTxt"/>
              <w:ind w:left="0" w:right="0"/>
              <w:rPr>
                <w:rtl/>
              </w:rPr>
            </w:pPr>
            <w:r>
              <w:rPr>
                <w:rtl/>
              </w:rPr>
              <w:t>43.4</w:t>
            </w:r>
          </w:p>
        </w:tc>
        <w:tc>
          <w:tcPr>
            <w:tcW w:w="1276" w:type="dxa"/>
          </w:tcPr>
          <w:p w:rsidR="00000000" w:rsidRDefault="00000000">
            <w:pPr>
              <w:pStyle w:val="SingleTxt"/>
              <w:ind w:left="0" w:right="0"/>
              <w:rPr>
                <w:rtl/>
              </w:rPr>
            </w:pPr>
            <w:r>
              <w:rPr>
                <w:rtl/>
              </w:rPr>
              <w:t>52.0</w:t>
            </w:r>
          </w:p>
        </w:tc>
        <w:tc>
          <w:tcPr>
            <w:tcW w:w="1701" w:type="dxa"/>
          </w:tcPr>
          <w:p w:rsidR="00000000" w:rsidRDefault="00000000">
            <w:pPr>
              <w:pStyle w:val="SingleTxt"/>
              <w:ind w:left="0" w:right="0"/>
              <w:rPr>
                <w:rtl/>
              </w:rPr>
            </w:pPr>
            <w:r>
              <w:rPr>
                <w:rtl/>
              </w:rPr>
              <w:t>103.80 1</w:t>
            </w:r>
          </w:p>
        </w:tc>
      </w:tr>
      <w:tr w:rsidR="00000000">
        <w:tblPrEx>
          <w:tblCellMar>
            <w:top w:w="0" w:type="dxa"/>
            <w:bottom w:w="0" w:type="dxa"/>
          </w:tblCellMar>
        </w:tblPrEx>
        <w:tc>
          <w:tcPr>
            <w:tcW w:w="1878" w:type="dxa"/>
          </w:tcPr>
          <w:p w:rsidR="00000000" w:rsidRDefault="00000000">
            <w:pPr>
              <w:pStyle w:val="SingleTxt"/>
              <w:ind w:left="0" w:right="0"/>
              <w:rPr>
                <w:rtl/>
              </w:rPr>
            </w:pPr>
            <w:r>
              <w:rPr>
                <w:rtl/>
              </w:rPr>
              <w:t>ديبوب</w:t>
            </w:r>
          </w:p>
        </w:tc>
        <w:tc>
          <w:tcPr>
            <w:tcW w:w="1843" w:type="dxa"/>
          </w:tcPr>
          <w:p w:rsidR="00000000" w:rsidRDefault="00000000">
            <w:pPr>
              <w:pStyle w:val="SingleTxt"/>
              <w:ind w:left="0" w:right="0"/>
              <w:rPr>
                <w:rtl/>
              </w:rPr>
            </w:pPr>
            <w:r>
              <w:rPr>
                <w:rtl/>
              </w:rPr>
              <w:t>175.00 599</w:t>
            </w:r>
          </w:p>
        </w:tc>
        <w:tc>
          <w:tcPr>
            <w:tcW w:w="1842" w:type="dxa"/>
          </w:tcPr>
          <w:p w:rsidR="00000000" w:rsidRDefault="00000000">
            <w:pPr>
              <w:pStyle w:val="SingleTxt"/>
              <w:ind w:left="0" w:right="0"/>
              <w:rPr>
                <w:rtl/>
              </w:rPr>
            </w:pPr>
            <w:r>
              <w:rPr>
                <w:rtl/>
              </w:rPr>
              <w:t>413</w:t>
            </w:r>
          </w:p>
        </w:tc>
        <w:tc>
          <w:tcPr>
            <w:tcW w:w="1418" w:type="dxa"/>
          </w:tcPr>
          <w:p w:rsidR="00000000" w:rsidRDefault="00000000">
            <w:pPr>
              <w:pStyle w:val="SingleTxt"/>
              <w:ind w:left="0" w:right="0"/>
              <w:rPr>
                <w:rtl/>
              </w:rPr>
            </w:pPr>
            <w:r>
              <w:rPr>
                <w:rtl/>
              </w:rPr>
              <w:t>25.6</w:t>
            </w:r>
          </w:p>
        </w:tc>
        <w:tc>
          <w:tcPr>
            <w:tcW w:w="1276" w:type="dxa"/>
          </w:tcPr>
          <w:p w:rsidR="00000000" w:rsidRDefault="00000000">
            <w:pPr>
              <w:pStyle w:val="SingleTxt"/>
              <w:ind w:left="0" w:right="0"/>
              <w:rPr>
                <w:rtl/>
              </w:rPr>
            </w:pPr>
            <w:r>
              <w:rPr>
                <w:rtl/>
              </w:rPr>
              <w:t>23.4</w:t>
            </w:r>
          </w:p>
        </w:tc>
        <w:tc>
          <w:tcPr>
            <w:tcW w:w="1701" w:type="dxa"/>
          </w:tcPr>
          <w:p w:rsidR="00000000" w:rsidRDefault="00000000">
            <w:pPr>
              <w:pStyle w:val="SingleTxt"/>
              <w:ind w:left="0" w:right="0"/>
              <w:rPr>
                <w:rtl/>
              </w:rPr>
            </w:pPr>
            <w:r>
              <w:rPr>
                <w:rtl/>
              </w:rPr>
              <w:t>450.70 1</w:t>
            </w:r>
          </w:p>
        </w:tc>
      </w:tr>
      <w:tr w:rsidR="00000000">
        <w:tblPrEx>
          <w:tblCellMar>
            <w:top w:w="0" w:type="dxa"/>
            <w:bottom w:w="0" w:type="dxa"/>
          </w:tblCellMar>
        </w:tblPrEx>
        <w:tc>
          <w:tcPr>
            <w:tcW w:w="1878" w:type="dxa"/>
          </w:tcPr>
          <w:p w:rsidR="00000000" w:rsidRDefault="00000000">
            <w:pPr>
              <w:pStyle w:val="SingleTxt"/>
              <w:ind w:left="0" w:right="0"/>
              <w:rPr>
                <w:rtl/>
              </w:rPr>
            </w:pPr>
            <w:r>
              <w:rPr>
                <w:rtl/>
              </w:rPr>
              <w:t>أنسيبا</w:t>
            </w:r>
          </w:p>
        </w:tc>
        <w:tc>
          <w:tcPr>
            <w:tcW w:w="1843" w:type="dxa"/>
          </w:tcPr>
          <w:p w:rsidR="00000000" w:rsidRDefault="00000000">
            <w:pPr>
              <w:pStyle w:val="SingleTxt"/>
              <w:ind w:left="0" w:right="0"/>
              <w:rPr>
                <w:rtl/>
              </w:rPr>
            </w:pPr>
            <w:r>
              <w:rPr>
                <w:rtl/>
              </w:rPr>
              <w:t>800.00 245</w:t>
            </w:r>
          </w:p>
        </w:tc>
        <w:tc>
          <w:tcPr>
            <w:tcW w:w="1842" w:type="dxa"/>
          </w:tcPr>
          <w:p w:rsidR="00000000" w:rsidRDefault="00000000">
            <w:pPr>
              <w:pStyle w:val="SingleTxt"/>
              <w:ind w:left="0" w:right="0"/>
              <w:rPr>
                <w:rtl/>
              </w:rPr>
            </w:pPr>
            <w:r>
              <w:rPr>
                <w:rtl/>
              </w:rPr>
              <w:t>204</w:t>
            </w:r>
          </w:p>
        </w:tc>
        <w:tc>
          <w:tcPr>
            <w:tcW w:w="1418" w:type="dxa"/>
          </w:tcPr>
          <w:p w:rsidR="00000000" w:rsidRDefault="00000000">
            <w:pPr>
              <w:pStyle w:val="SingleTxt"/>
              <w:ind w:left="0" w:right="0"/>
              <w:rPr>
                <w:rtl/>
              </w:rPr>
            </w:pPr>
            <w:r>
              <w:rPr>
                <w:rtl/>
              </w:rPr>
              <w:t>10.5</w:t>
            </w:r>
          </w:p>
        </w:tc>
        <w:tc>
          <w:tcPr>
            <w:tcW w:w="1276" w:type="dxa"/>
          </w:tcPr>
          <w:p w:rsidR="00000000" w:rsidRDefault="00000000">
            <w:pPr>
              <w:pStyle w:val="SingleTxt"/>
              <w:ind w:left="0" w:right="0"/>
              <w:rPr>
                <w:rtl/>
              </w:rPr>
            </w:pPr>
            <w:r>
              <w:rPr>
                <w:rtl/>
              </w:rPr>
              <w:t>12.0</w:t>
            </w:r>
          </w:p>
        </w:tc>
        <w:tc>
          <w:tcPr>
            <w:tcW w:w="1701" w:type="dxa"/>
          </w:tcPr>
          <w:p w:rsidR="00000000" w:rsidRDefault="00000000">
            <w:pPr>
              <w:pStyle w:val="SingleTxt"/>
              <w:ind w:left="0" w:right="0"/>
              <w:rPr>
                <w:rtl/>
              </w:rPr>
            </w:pPr>
            <w:r>
              <w:rPr>
                <w:rtl/>
              </w:rPr>
              <w:t>205.00 1</w:t>
            </w:r>
          </w:p>
        </w:tc>
      </w:tr>
      <w:tr w:rsidR="00000000">
        <w:tblPrEx>
          <w:tblCellMar>
            <w:top w:w="0" w:type="dxa"/>
            <w:bottom w:w="0" w:type="dxa"/>
          </w:tblCellMar>
        </w:tblPrEx>
        <w:tc>
          <w:tcPr>
            <w:tcW w:w="1878" w:type="dxa"/>
          </w:tcPr>
          <w:p w:rsidR="00000000" w:rsidRDefault="00000000">
            <w:pPr>
              <w:pStyle w:val="SingleTxt"/>
              <w:ind w:left="0" w:right="0"/>
              <w:rPr>
                <w:rtl/>
              </w:rPr>
            </w:pPr>
            <w:r>
              <w:rPr>
                <w:rtl/>
              </w:rPr>
              <w:t>ماكيل</w:t>
            </w:r>
          </w:p>
        </w:tc>
        <w:tc>
          <w:tcPr>
            <w:tcW w:w="1843" w:type="dxa"/>
          </w:tcPr>
          <w:p w:rsidR="00000000" w:rsidRDefault="00000000">
            <w:pPr>
              <w:pStyle w:val="SingleTxt"/>
              <w:ind w:left="0" w:right="0"/>
              <w:rPr>
                <w:rtl/>
              </w:rPr>
            </w:pPr>
            <w:r>
              <w:rPr>
                <w:rtl/>
              </w:rPr>
              <w:t>800.00 480</w:t>
            </w:r>
          </w:p>
        </w:tc>
        <w:tc>
          <w:tcPr>
            <w:tcW w:w="1842" w:type="dxa"/>
          </w:tcPr>
          <w:p w:rsidR="00000000" w:rsidRDefault="00000000">
            <w:pPr>
              <w:pStyle w:val="SingleTxt"/>
              <w:ind w:left="0" w:right="0"/>
              <w:rPr>
                <w:rtl/>
              </w:rPr>
            </w:pPr>
            <w:r>
              <w:rPr>
                <w:rtl/>
              </w:rPr>
              <w:t>223</w:t>
            </w:r>
          </w:p>
        </w:tc>
        <w:tc>
          <w:tcPr>
            <w:tcW w:w="1418" w:type="dxa"/>
          </w:tcPr>
          <w:p w:rsidR="00000000" w:rsidRDefault="00000000">
            <w:pPr>
              <w:pStyle w:val="SingleTxt"/>
              <w:ind w:left="0" w:right="0"/>
              <w:rPr>
                <w:rtl/>
              </w:rPr>
            </w:pPr>
            <w:r>
              <w:rPr>
                <w:rtl/>
              </w:rPr>
              <w:t>20.5</w:t>
            </w:r>
          </w:p>
        </w:tc>
        <w:tc>
          <w:tcPr>
            <w:tcW w:w="1276" w:type="dxa"/>
          </w:tcPr>
          <w:p w:rsidR="00000000" w:rsidRDefault="00000000">
            <w:pPr>
              <w:pStyle w:val="SingleTxt"/>
              <w:ind w:left="0" w:right="0"/>
              <w:rPr>
                <w:rtl/>
              </w:rPr>
            </w:pPr>
            <w:r>
              <w:rPr>
                <w:rtl/>
              </w:rPr>
              <w:t>18.6</w:t>
            </w:r>
          </w:p>
        </w:tc>
        <w:tc>
          <w:tcPr>
            <w:tcW w:w="1701" w:type="dxa"/>
          </w:tcPr>
          <w:p w:rsidR="00000000" w:rsidRDefault="00000000">
            <w:pPr>
              <w:pStyle w:val="SingleTxt"/>
              <w:ind w:left="0" w:right="0"/>
              <w:rPr>
                <w:rtl/>
              </w:rPr>
            </w:pPr>
            <w:r>
              <w:rPr>
                <w:rtl/>
              </w:rPr>
              <w:t>156.00 2</w:t>
            </w:r>
          </w:p>
        </w:tc>
      </w:tr>
      <w:tr w:rsidR="00000000">
        <w:tblPrEx>
          <w:tblCellMar>
            <w:top w:w="0" w:type="dxa"/>
            <w:bottom w:w="0" w:type="dxa"/>
          </w:tblCellMar>
        </w:tblPrEx>
        <w:tc>
          <w:tcPr>
            <w:tcW w:w="1878" w:type="dxa"/>
          </w:tcPr>
          <w:p w:rsidR="00000000" w:rsidRDefault="00000000">
            <w:pPr>
              <w:pStyle w:val="SingleTxt"/>
              <w:ind w:left="0" w:right="0"/>
              <w:rPr>
                <w:rtl/>
              </w:rPr>
            </w:pPr>
            <w:r>
              <w:rPr>
                <w:rtl/>
              </w:rPr>
              <w:t>المجموع</w:t>
            </w:r>
          </w:p>
        </w:tc>
        <w:tc>
          <w:tcPr>
            <w:tcW w:w="1843" w:type="dxa"/>
          </w:tcPr>
          <w:p w:rsidR="00000000" w:rsidRDefault="00000000">
            <w:pPr>
              <w:pStyle w:val="SingleTxt"/>
              <w:ind w:left="0" w:right="0"/>
              <w:rPr>
                <w:rtl/>
              </w:rPr>
            </w:pPr>
            <w:r>
              <w:rPr>
                <w:rtl/>
              </w:rPr>
              <w:t>875.00 336 2</w:t>
            </w:r>
          </w:p>
        </w:tc>
        <w:tc>
          <w:tcPr>
            <w:tcW w:w="1842" w:type="dxa"/>
          </w:tcPr>
          <w:p w:rsidR="00000000" w:rsidRDefault="00000000">
            <w:pPr>
              <w:pStyle w:val="SingleTxt"/>
              <w:ind w:left="0" w:right="0"/>
              <w:rPr>
                <w:rtl/>
              </w:rPr>
            </w:pPr>
            <w:r>
              <w:rPr>
                <w:rtl/>
              </w:rPr>
              <w:t>756 1</w:t>
            </w:r>
          </w:p>
        </w:tc>
        <w:tc>
          <w:tcPr>
            <w:tcW w:w="1418" w:type="dxa"/>
          </w:tcPr>
          <w:p w:rsidR="00000000" w:rsidRDefault="00000000">
            <w:pPr>
              <w:pStyle w:val="SingleTxt"/>
              <w:ind w:left="0" w:right="0"/>
              <w:rPr>
                <w:rtl/>
              </w:rPr>
            </w:pPr>
            <w:r>
              <w:rPr>
                <w:rtl/>
              </w:rPr>
              <w:t>100.00</w:t>
            </w:r>
          </w:p>
        </w:tc>
        <w:tc>
          <w:tcPr>
            <w:tcW w:w="1276" w:type="dxa"/>
          </w:tcPr>
          <w:p w:rsidR="00000000" w:rsidRDefault="00000000">
            <w:pPr>
              <w:pStyle w:val="SingleTxt"/>
              <w:ind w:left="0" w:right="0"/>
              <w:rPr>
                <w:rtl/>
              </w:rPr>
            </w:pPr>
            <w:r>
              <w:rPr>
                <w:rtl/>
              </w:rPr>
              <w:t>100.00</w:t>
            </w:r>
          </w:p>
        </w:tc>
        <w:tc>
          <w:tcPr>
            <w:tcW w:w="1701" w:type="dxa"/>
          </w:tcPr>
          <w:p w:rsidR="00000000" w:rsidRDefault="00000000">
            <w:pPr>
              <w:pStyle w:val="SingleTxt"/>
              <w:ind w:left="0" w:right="0"/>
              <w:rPr>
                <w:rtl/>
              </w:rPr>
            </w:pPr>
            <w:r>
              <w:rPr>
                <w:rtl/>
              </w:rPr>
              <w:t>330.80 1</w:t>
            </w:r>
          </w:p>
        </w:tc>
      </w:tr>
    </w:tbl>
    <w:p w:rsidR="00000000" w:rsidRDefault="00000000">
      <w:pPr>
        <w:pStyle w:val="SingleTxt"/>
        <w:ind w:left="1264" w:right="1264"/>
        <w:rPr>
          <w:rtl/>
        </w:rPr>
      </w:pPr>
    </w:p>
    <w:p w:rsidR="00000000" w:rsidRDefault="00000000">
      <w:pPr>
        <w:pStyle w:val="SingleTxt"/>
        <w:spacing w:line="360" w:lineRule="exact"/>
        <w:ind w:left="1264" w:right="1264"/>
        <w:rPr>
          <w:rtl/>
        </w:rPr>
      </w:pPr>
      <w:r>
        <w:rPr>
          <w:rtl/>
        </w:rPr>
        <w:tab/>
      </w:r>
      <w:r>
        <w:rPr>
          <w:rtl/>
        </w:rPr>
        <w:tab/>
        <w:t>ولدى المرأة أيضاً رابطاتها المحلية الخاصة بها وتعرف باسم (الأكوب) حيث يسهم الأعضاء شهرياً ويقوم عضو واحد في كل وقت باستخدام الأموال على أساس دوري. وهو نظام ائتمان أهلي بدون أي فائدة والضامن هو الرابطة (الأكوب) ذاتها. وهو شكل شائع من أشكال الرابطة الذاتية التي تساعد المرأة اقتصادياً.</w:t>
      </w:r>
    </w:p>
    <w:p w:rsidR="00000000" w:rsidRDefault="00000000">
      <w:pPr>
        <w:pStyle w:val="SingleTxt"/>
        <w:spacing w:line="360" w:lineRule="exact"/>
        <w:ind w:left="1264" w:right="1264"/>
        <w:rPr>
          <w:rtl/>
        </w:rPr>
      </w:pPr>
      <w:r>
        <w:rPr>
          <w:rtl/>
        </w:rPr>
        <w:tab/>
      </w:r>
      <w:r>
        <w:rPr>
          <w:rtl/>
        </w:rPr>
        <w:tab/>
        <w:t>وقد تشكلت تعاونيات للمرأة الريفية في مختلف الفروع مثل حدائق الخضر، والدواجن، ومطاحن الدقيق، والأعمال الحرفية، والفخار بدعم من الاتحاد الوطني للنساء الأريتريات والشركاء الآخرين. ولا تقوم التعاونيات بالإعالة حقاً، وتتمثل بعض نواحي القصور في الافتقار إلى المتابعة، ونقص التدريب في إدارة مشاريع الأعمال الصغيرة، ومن ثم تم بالطبع إجراء دراسة جدوى شاملة قبل إطلاق البرامج.</w:t>
      </w:r>
    </w:p>
    <w:p w:rsidR="00000000" w:rsidRDefault="00000000">
      <w:pPr>
        <w:pStyle w:val="SingleTxt"/>
        <w:spacing w:line="360" w:lineRule="exact"/>
        <w:ind w:left="1264" w:right="1264"/>
        <w:rPr>
          <w:i/>
          <w:iCs/>
          <w:rtl/>
        </w:rPr>
      </w:pPr>
      <w:r>
        <w:rPr>
          <w:b/>
          <w:bCs/>
          <w:i/>
          <w:iCs/>
          <w:rtl/>
        </w:rPr>
        <w:t>التكنولوجيا المناسبة للمرأة الريفية</w:t>
      </w:r>
    </w:p>
    <w:p w:rsidR="00000000" w:rsidRDefault="00000000">
      <w:pPr>
        <w:pStyle w:val="SingleTxt"/>
        <w:spacing w:line="360" w:lineRule="exact"/>
        <w:ind w:left="1264" w:right="1264"/>
        <w:rPr>
          <w:rtl/>
        </w:rPr>
      </w:pPr>
      <w:r>
        <w:rPr>
          <w:rtl/>
        </w:rPr>
        <w:tab/>
      </w:r>
      <w:r>
        <w:rPr>
          <w:rtl/>
        </w:rPr>
        <w:tab/>
        <w:t>ما زال النظام التقليدي للتعامل مع الحياة اليومية قائماً فيما بين النساء الريفيات في القرى. والدرس لفصل الحبوب عن القشرة والقش، وطحن الحبوب عن طريق الحجر، والطبخ بروث البقر والأخشاب (مما سبب مشكلات في البصر والجهاز التنفسي) هي أعمال من هذا القبيل. والسياسة الكلية لأريتريا التي تنص بشكل ملحوظ على تكنولوجيات الادخار المناسب المتعلق بالعمل سوف يؤخذ بها لتخفيف العمل الشاق للمرأة في الأسرة المعيشية وغير ذلك من أنشطة (مثل المياه والوقود والأخشاب ومراكز رعاية الطفل، إلخ). وتحقيقاً لذلك سوف يتم إنشاء بعض المشروعات مثل مطاحن الدقيق والمضخات اليدوية والميكانيكية والأفران الموفرة للطاقة والمرافق الشمسية.</w:t>
      </w:r>
    </w:p>
    <w:p w:rsidR="00000000" w:rsidRDefault="00000000">
      <w:pPr>
        <w:pStyle w:val="SingleTxt"/>
        <w:spacing w:line="360" w:lineRule="exact"/>
        <w:ind w:left="1264" w:right="1264"/>
        <w:rPr>
          <w:rtl/>
        </w:rPr>
      </w:pPr>
      <w:r>
        <w:rPr>
          <w:rtl/>
        </w:rPr>
        <w:tab/>
      </w:r>
      <w:r>
        <w:rPr>
          <w:rtl/>
        </w:rPr>
        <w:tab/>
        <w:t>وبالتعاون مع وزارة الطاقة، يجري تنفيذ مشروع رائد بشأن التدريب على مواقد حفظ الطاقة فيما بين النساء القرويات. وهو مشروع ميسور وفعَّال من حيث التكلفة ويسهل صنع المواقد من الفخار بواسطة المرأة بعد تدريبها. غير أنه مع سياسة حفظ الغابات أصبحت الأخشاب اللازمة للطاقة نادرة. ومن ثم ينبغي البحث في ذات الوقت عن بدائل أخرى. ولا تمثل كهربة المناطق الريفية حلاً مباشراً رغم أن وزارة الطاقة والمناجم في طريقها لإنشاء تعاونيات كهربائية طوعية للقرى في المناطق الريفية تتولى مسؤولية إدارة الإمداد بالكهرباء على مستوى القرية. ويسمح للمرأة الريفية بصفتها عضواً في المجتمع المحلي بأن تكون عضواً فعالاً في تعاونية كهربة القرى. وتدرس الوزارة أيضاً خيارات أخرى مثل توفير اسطوانات الغاز للأسر المعيشية القروية. وازداد حالياً الاستهلاك العام للغاز بشكل كبير من 900 طن إلى 000 4 طن.</w:t>
      </w:r>
    </w:p>
    <w:p w:rsidR="00000000" w:rsidRDefault="00000000">
      <w:pPr>
        <w:pStyle w:val="SingleTxt"/>
        <w:spacing w:line="360" w:lineRule="exact"/>
        <w:ind w:left="1264" w:right="1264"/>
        <w:rPr>
          <w:i/>
          <w:iCs/>
          <w:rtl/>
        </w:rPr>
      </w:pPr>
      <w:r>
        <w:rPr>
          <w:b/>
          <w:bCs/>
          <w:i/>
          <w:iCs/>
          <w:rtl/>
        </w:rPr>
        <w:t>برامج مياه الشرب والمرافق الصحية</w:t>
      </w:r>
    </w:p>
    <w:p w:rsidR="00000000" w:rsidRDefault="00000000">
      <w:pPr>
        <w:pStyle w:val="SingleTxt"/>
        <w:spacing w:line="360" w:lineRule="exact"/>
        <w:ind w:left="1264" w:right="1264"/>
        <w:rPr>
          <w:rtl/>
        </w:rPr>
      </w:pPr>
      <w:r>
        <w:rPr>
          <w:rtl/>
        </w:rPr>
        <w:tab/>
      </w:r>
      <w:r>
        <w:rPr>
          <w:rtl/>
        </w:rPr>
        <w:tab/>
        <w:t>تعاني أريتريا بصفة عامة من نقص موارد المياه التي يتم تطويرها. والإمداد الكافي والآمن والموثوق به بالمياه أمر حاسم في جميع نواحي أعمال التنمية في أريتريا. وحتى الآن تمت إدارة ابتكار نقاط المياه</w:t>
      </w:r>
      <w:r>
        <w:rPr>
          <w:rStyle w:val="FootnoteReference"/>
          <w:rtl/>
        </w:rPr>
        <w:footnoteReference w:customMarkFollows="1" w:id="55"/>
        <w:t>(55)</w:t>
      </w:r>
      <w:r>
        <w:rPr>
          <w:rtl/>
        </w:rPr>
        <w:t xml:space="preserve"> القائمة في جميع المناطق الست، بما في ذلك بيانات نوعية المياه والمرافق الصحية بمعرفة إدارة موارد المياه.</w:t>
      </w:r>
    </w:p>
    <w:p w:rsidR="00000000" w:rsidRDefault="00000000">
      <w:pPr>
        <w:pStyle w:val="SingleTxt"/>
        <w:spacing w:line="360" w:lineRule="exact"/>
        <w:ind w:left="1264" w:right="1264"/>
        <w:rPr>
          <w:rtl/>
        </w:rPr>
      </w:pPr>
      <w:r>
        <w:rPr>
          <w:rtl/>
        </w:rPr>
        <w:tab/>
      </w:r>
      <w:r>
        <w:rPr>
          <w:rtl/>
        </w:rPr>
        <w:tab/>
        <w:t>والبحث عن المياه من مسافات أكثر طولاً، وحملها على ظهر المرأة ورأسها، ما زال يمثل عبئاً رئيسياً للمرأة في المنطقة الريفية. ولتخفيف هذا العبء المحلي وتوفير مياه الشرب ضمن حدود القرية، أصبح مختلف القطاعات الحكومية والمنظمات غير الحكومية مشتركة في إنشاء نظم قروية للإمداد بالمياه داخل القرى.</w:t>
      </w:r>
    </w:p>
    <w:p w:rsidR="00000000" w:rsidRDefault="00000000">
      <w:pPr>
        <w:pStyle w:val="SingleTxt"/>
        <w:spacing w:line="360" w:lineRule="exact"/>
        <w:ind w:left="1264" w:right="1264"/>
        <w:rPr>
          <w:rtl/>
        </w:rPr>
      </w:pPr>
      <w:r>
        <w:rPr>
          <w:rtl/>
        </w:rPr>
        <w:tab/>
      </w:r>
      <w:r>
        <w:rPr>
          <w:rtl/>
        </w:rPr>
        <w:tab/>
        <w:t>وفي السنوات الأربع الماضية، تم إنشاء أكثر من 64 نظاماً للطاقة الشمسية وأكثر من 180 مضخة ميكانيكية وأكثر من 500 مضخة يدوية من خلال الجهود المشتركة للقطاعات الحكومية والمنظمات غير الحكومية المعنية.</w:t>
      </w:r>
    </w:p>
    <w:p w:rsidR="00000000" w:rsidRDefault="00000000">
      <w:pPr>
        <w:pStyle w:val="SingleTxt"/>
        <w:ind w:left="1264" w:right="1264"/>
        <w:rPr>
          <w:b/>
          <w:bCs/>
          <w:rtl/>
        </w:rPr>
      </w:pPr>
      <w:r>
        <w:rPr>
          <w:rtl/>
        </w:rPr>
        <w:br w:type="page"/>
      </w:r>
      <w:r>
        <w:rPr>
          <w:b/>
          <w:bCs/>
          <w:rtl/>
        </w:rPr>
        <w:t xml:space="preserve">الجدول 21 </w:t>
      </w:r>
      <w:r>
        <w:rPr>
          <w:b/>
          <w:bCs/>
        </w:rPr>
        <w:t>–</w:t>
      </w:r>
      <w:r>
        <w:rPr>
          <w:b/>
          <w:bCs/>
          <w:rtl/>
        </w:rPr>
        <w:t xml:space="preserve"> سكان الريف</w:t>
      </w:r>
      <w:r>
        <w:rPr>
          <w:rStyle w:val="FootnoteReference"/>
          <w:b/>
          <w:bCs/>
          <w:rtl/>
        </w:rPr>
        <w:footnoteReference w:customMarkFollows="1" w:id="56"/>
        <w:t>(56)</w:t>
      </w:r>
      <w:r>
        <w:rPr>
          <w:b/>
          <w:bCs/>
          <w:rtl/>
        </w:rPr>
        <w:t xml:space="preserve"> الذين لديهم إمكانية الوصول إلى مياه الشرب في عام 2001</w:t>
      </w:r>
    </w:p>
    <w:tbl>
      <w:tblPr>
        <w:bidiVisual/>
        <w:tblW w:w="0" w:type="auto"/>
        <w:tblInd w:w="1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126"/>
        <w:gridCol w:w="2268"/>
      </w:tblGrid>
      <w:tr w:rsidR="00000000">
        <w:tblPrEx>
          <w:tblCellMar>
            <w:top w:w="0" w:type="dxa"/>
            <w:bottom w:w="0" w:type="dxa"/>
          </w:tblCellMar>
        </w:tblPrEx>
        <w:tc>
          <w:tcPr>
            <w:tcW w:w="2268" w:type="dxa"/>
          </w:tcPr>
          <w:p w:rsidR="00000000" w:rsidRDefault="00000000">
            <w:pPr>
              <w:pStyle w:val="SingleTxt"/>
              <w:spacing w:after="0"/>
              <w:ind w:left="0" w:right="0"/>
              <w:rPr>
                <w:b/>
                <w:bCs/>
                <w:rtl/>
              </w:rPr>
            </w:pPr>
            <w:r>
              <w:rPr>
                <w:b/>
                <w:bCs/>
                <w:rtl/>
              </w:rPr>
              <w:t>المنطقة</w:t>
            </w:r>
          </w:p>
        </w:tc>
        <w:tc>
          <w:tcPr>
            <w:tcW w:w="2126" w:type="dxa"/>
          </w:tcPr>
          <w:p w:rsidR="00000000" w:rsidRDefault="00000000">
            <w:pPr>
              <w:pStyle w:val="SingleTxt"/>
              <w:spacing w:after="0"/>
              <w:ind w:left="0" w:right="0"/>
              <w:rPr>
                <w:b/>
                <w:bCs/>
                <w:rtl/>
              </w:rPr>
            </w:pPr>
            <w:r>
              <w:rPr>
                <w:b/>
                <w:bCs/>
                <w:rtl/>
              </w:rPr>
              <w:t>السكان المشمولون</w:t>
            </w:r>
          </w:p>
        </w:tc>
        <w:tc>
          <w:tcPr>
            <w:tcW w:w="2268" w:type="dxa"/>
          </w:tcPr>
          <w:p w:rsidR="00000000" w:rsidRDefault="00000000">
            <w:pPr>
              <w:pStyle w:val="SingleTxt"/>
              <w:spacing w:after="0"/>
              <w:ind w:left="0" w:right="0"/>
              <w:rPr>
                <w:b/>
                <w:bCs/>
                <w:rtl/>
              </w:rPr>
            </w:pPr>
            <w:r>
              <w:rPr>
                <w:b/>
                <w:bCs/>
                <w:rtl/>
              </w:rPr>
              <w:t>النسبة المئوية للتغطية</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أنسيبا</w:t>
            </w:r>
          </w:p>
        </w:tc>
        <w:tc>
          <w:tcPr>
            <w:tcW w:w="2126" w:type="dxa"/>
          </w:tcPr>
          <w:p w:rsidR="00000000" w:rsidRDefault="00000000">
            <w:pPr>
              <w:pStyle w:val="SingleTxt"/>
              <w:spacing w:after="0"/>
              <w:ind w:left="0" w:right="0"/>
              <w:rPr>
                <w:rtl/>
              </w:rPr>
            </w:pPr>
            <w:r>
              <w:rPr>
                <w:rtl/>
              </w:rPr>
              <w:t>067 56</w:t>
            </w:r>
          </w:p>
        </w:tc>
        <w:tc>
          <w:tcPr>
            <w:tcW w:w="2268" w:type="dxa"/>
          </w:tcPr>
          <w:p w:rsidR="00000000" w:rsidRDefault="00000000">
            <w:pPr>
              <w:pStyle w:val="SingleTxt"/>
              <w:spacing w:after="0"/>
              <w:ind w:left="0" w:right="0"/>
              <w:rPr>
                <w:rtl/>
              </w:rPr>
            </w:pPr>
            <w:r>
              <w:rPr>
                <w:rtl/>
              </w:rPr>
              <w:t>16.7</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ديبوب</w:t>
            </w:r>
          </w:p>
        </w:tc>
        <w:tc>
          <w:tcPr>
            <w:tcW w:w="2126" w:type="dxa"/>
          </w:tcPr>
          <w:p w:rsidR="00000000" w:rsidRDefault="00000000">
            <w:pPr>
              <w:pStyle w:val="SingleTxt"/>
              <w:spacing w:after="0"/>
              <w:ind w:left="0" w:right="0"/>
              <w:rPr>
                <w:rtl/>
              </w:rPr>
            </w:pPr>
            <w:r>
              <w:rPr>
                <w:rtl/>
              </w:rPr>
              <w:t>142 117</w:t>
            </w:r>
          </w:p>
        </w:tc>
        <w:tc>
          <w:tcPr>
            <w:tcW w:w="2268" w:type="dxa"/>
          </w:tcPr>
          <w:p w:rsidR="00000000" w:rsidRDefault="00000000">
            <w:pPr>
              <w:pStyle w:val="SingleTxt"/>
              <w:spacing w:after="0"/>
              <w:ind w:left="0" w:right="0"/>
              <w:rPr>
                <w:rtl/>
              </w:rPr>
            </w:pPr>
            <w:r>
              <w:rPr>
                <w:rtl/>
              </w:rPr>
              <w:t>26.2</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 xml:space="preserve">غاش </w:t>
            </w:r>
            <w:r>
              <w:t>–</w:t>
            </w:r>
            <w:r>
              <w:rPr>
                <w:rtl/>
              </w:rPr>
              <w:t xml:space="preserve"> بركا</w:t>
            </w:r>
          </w:p>
        </w:tc>
        <w:tc>
          <w:tcPr>
            <w:tcW w:w="2126" w:type="dxa"/>
          </w:tcPr>
          <w:p w:rsidR="00000000" w:rsidRDefault="00000000">
            <w:pPr>
              <w:pStyle w:val="SingleTxt"/>
              <w:spacing w:after="0"/>
              <w:ind w:left="0" w:right="0"/>
              <w:rPr>
                <w:rtl/>
              </w:rPr>
            </w:pPr>
            <w:r>
              <w:rPr>
                <w:rtl/>
              </w:rPr>
              <w:t>182 107</w:t>
            </w:r>
          </w:p>
        </w:tc>
        <w:tc>
          <w:tcPr>
            <w:tcW w:w="2268" w:type="dxa"/>
          </w:tcPr>
          <w:p w:rsidR="00000000" w:rsidRDefault="00000000">
            <w:pPr>
              <w:pStyle w:val="SingleTxt"/>
              <w:spacing w:after="0"/>
              <w:ind w:left="0" w:right="0"/>
              <w:rPr>
                <w:rtl/>
              </w:rPr>
            </w:pPr>
            <w:r>
              <w:rPr>
                <w:rtl/>
              </w:rPr>
              <w:t>21.9</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ماكيل</w:t>
            </w:r>
          </w:p>
        </w:tc>
        <w:tc>
          <w:tcPr>
            <w:tcW w:w="2126" w:type="dxa"/>
          </w:tcPr>
          <w:p w:rsidR="00000000" w:rsidRDefault="00000000">
            <w:pPr>
              <w:pStyle w:val="SingleTxt"/>
              <w:spacing w:after="0"/>
              <w:ind w:left="0" w:right="0"/>
              <w:rPr>
                <w:rtl/>
              </w:rPr>
            </w:pPr>
            <w:r>
              <w:rPr>
                <w:rtl/>
              </w:rPr>
              <w:t>100 18</w:t>
            </w:r>
          </w:p>
        </w:tc>
        <w:tc>
          <w:tcPr>
            <w:tcW w:w="2268" w:type="dxa"/>
          </w:tcPr>
          <w:p w:rsidR="00000000" w:rsidRDefault="00000000">
            <w:pPr>
              <w:pStyle w:val="SingleTxt"/>
              <w:spacing w:after="0"/>
              <w:ind w:left="0" w:right="0"/>
              <w:rPr>
                <w:rtl/>
              </w:rPr>
            </w:pPr>
            <w:r>
              <w:rPr>
                <w:rtl/>
              </w:rPr>
              <w:t>16.6</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شمالي البحر الأحمر</w:t>
            </w:r>
          </w:p>
        </w:tc>
        <w:tc>
          <w:tcPr>
            <w:tcW w:w="2126" w:type="dxa"/>
          </w:tcPr>
          <w:p w:rsidR="00000000" w:rsidRDefault="00000000">
            <w:pPr>
              <w:pStyle w:val="SingleTxt"/>
              <w:spacing w:after="0"/>
              <w:ind w:left="0" w:right="0"/>
              <w:rPr>
                <w:rtl/>
              </w:rPr>
            </w:pPr>
            <w:r>
              <w:rPr>
                <w:rtl/>
              </w:rPr>
              <w:t>348 30</w:t>
            </w:r>
          </w:p>
        </w:tc>
        <w:tc>
          <w:tcPr>
            <w:tcW w:w="2268" w:type="dxa"/>
          </w:tcPr>
          <w:p w:rsidR="00000000" w:rsidRDefault="00000000">
            <w:pPr>
              <w:pStyle w:val="SingleTxt"/>
              <w:spacing w:after="0"/>
              <w:ind w:left="0" w:right="0"/>
              <w:rPr>
                <w:rtl/>
              </w:rPr>
            </w:pPr>
            <w:r>
              <w:rPr>
                <w:rtl/>
              </w:rPr>
              <w:t>9.7</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جنوبي البحر الأحمر</w:t>
            </w:r>
          </w:p>
        </w:tc>
        <w:tc>
          <w:tcPr>
            <w:tcW w:w="2126" w:type="dxa"/>
          </w:tcPr>
          <w:p w:rsidR="00000000" w:rsidRDefault="00000000">
            <w:pPr>
              <w:pStyle w:val="SingleTxt"/>
              <w:spacing w:after="0"/>
              <w:ind w:left="0" w:right="0"/>
              <w:rPr>
                <w:rtl/>
              </w:rPr>
            </w:pPr>
            <w:r>
              <w:rPr>
                <w:rtl/>
              </w:rPr>
              <w:t>959 9</w:t>
            </w:r>
          </w:p>
        </w:tc>
        <w:tc>
          <w:tcPr>
            <w:tcW w:w="2268" w:type="dxa"/>
          </w:tcPr>
          <w:p w:rsidR="00000000" w:rsidRDefault="00000000">
            <w:pPr>
              <w:pStyle w:val="SingleTxt"/>
              <w:spacing w:after="0"/>
              <w:ind w:left="0" w:right="0"/>
              <w:rPr>
                <w:rtl/>
              </w:rPr>
            </w:pPr>
            <w:r>
              <w:rPr>
                <w:rtl/>
              </w:rPr>
              <w:t>21.5</w:t>
            </w:r>
          </w:p>
        </w:tc>
      </w:tr>
      <w:tr w:rsidR="00000000">
        <w:tblPrEx>
          <w:tblCellMar>
            <w:top w:w="0" w:type="dxa"/>
            <w:bottom w:w="0" w:type="dxa"/>
          </w:tblCellMar>
        </w:tblPrEx>
        <w:tc>
          <w:tcPr>
            <w:tcW w:w="2268" w:type="dxa"/>
          </w:tcPr>
          <w:p w:rsidR="00000000" w:rsidRDefault="00000000">
            <w:pPr>
              <w:pStyle w:val="SingleTxt"/>
              <w:spacing w:after="0"/>
              <w:ind w:left="0" w:right="0"/>
              <w:rPr>
                <w:rtl/>
              </w:rPr>
            </w:pPr>
            <w:r>
              <w:rPr>
                <w:rtl/>
              </w:rPr>
              <w:t>المجموع</w:t>
            </w:r>
          </w:p>
        </w:tc>
        <w:tc>
          <w:tcPr>
            <w:tcW w:w="2126" w:type="dxa"/>
          </w:tcPr>
          <w:p w:rsidR="00000000" w:rsidRDefault="00000000">
            <w:pPr>
              <w:pStyle w:val="SingleTxt"/>
              <w:spacing w:after="0"/>
              <w:ind w:left="0" w:right="0"/>
              <w:rPr>
                <w:rtl/>
              </w:rPr>
            </w:pPr>
            <w:r>
              <w:rPr>
                <w:rtl/>
              </w:rPr>
              <w:t>798 398</w:t>
            </w:r>
          </w:p>
        </w:tc>
        <w:tc>
          <w:tcPr>
            <w:tcW w:w="2268" w:type="dxa"/>
          </w:tcPr>
          <w:p w:rsidR="00000000" w:rsidRDefault="00000000">
            <w:pPr>
              <w:pStyle w:val="SingleTxt"/>
              <w:spacing w:after="0"/>
              <w:ind w:left="0" w:right="0"/>
              <w:rPr>
                <w:rtl/>
              </w:rPr>
            </w:pPr>
          </w:p>
        </w:tc>
      </w:tr>
      <w:tr w:rsidR="00000000">
        <w:tblPrEx>
          <w:tblCellMar>
            <w:top w:w="0" w:type="dxa"/>
            <w:bottom w:w="0" w:type="dxa"/>
          </w:tblCellMar>
        </w:tblPrEx>
        <w:trPr>
          <w:cantSplit/>
        </w:trPr>
        <w:tc>
          <w:tcPr>
            <w:tcW w:w="4394" w:type="dxa"/>
            <w:gridSpan w:val="2"/>
          </w:tcPr>
          <w:p w:rsidR="00000000" w:rsidRDefault="00000000">
            <w:pPr>
              <w:pStyle w:val="SingleTxt"/>
              <w:spacing w:after="0"/>
              <w:ind w:left="0" w:right="0"/>
              <w:rPr>
                <w:b/>
                <w:bCs/>
                <w:rtl/>
              </w:rPr>
            </w:pPr>
            <w:r>
              <w:rPr>
                <w:b/>
                <w:bCs/>
                <w:rtl/>
              </w:rPr>
              <w:t>التغطية الوطنية</w:t>
            </w:r>
          </w:p>
        </w:tc>
        <w:tc>
          <w:tcPr>
            <w:tcW w:w="2268" w:type="dxa"/>
          </w:tcPr>
          <w:p w:rsidR="00000000" w:rsidRDefault="00000000">
            <w:pPr>
              <w:pStyle w:val="SingleTxt"/>
              <w:spacing w:after="0"/>
              <w:ind w:left="0" w:right="0"/>
              <w:rPr>
                <w:rFonts w:cs="Akhbar MT"/>
                <w:b/>
                <w:bCs/>
                <w:rtl/>
              </w:rPr>
            </w:pPr>
            <w:r>
              <w:rPr>
                <w:b/>
                <w:bCs/>
                <w:rtl/>
              </w:rPr>
              <w:t>20.3</w:t>
            </w:r>
            <w:r>
              <w:rPr>
                <w:rFonts w:cs="Akhbar MT"/>
                <w:b/>
                <w:bCs/>
                <w:rtl/>
              </w:rPr>
              <w:t>%</w:t>
            </w:r>
          </w:p>
        </w:tc>
      </w:tr>
    </w:tbl>
    <w:p w:rsidR="00000000" w:rsidRDefault="00000000">
      <w:pPr>
        <w:pStyle w:val="SingleTxt"/>
        <w:ind w:left="1264" w:right="1264"/>
        <w:rPr>
          <w:szCs w:val="26"/>
          <w:rtl/>
        </w:rPr>
      </w:pPr>
      <w:r>
        <w:rPr>
          <w:szCs w:val="26"/>
          <w:rtl/>
        </w:rPr>
        <w:t>المصدر: البنك الدولي للإنشاء والتعمير، 2001.</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ووفقاً لتقرير الاستعراض القطاعي لبرنامج توفير المياه والمرافق الصحية البيئية لعام 2002</w:t>
      </w:r>
      <w:r>
        <w:rPr>
          <w:rStyle w:val="FootnoteReference"/>
          <w:rtl/>
        </w:rPr>
        <w:footnoteReference w:customMarkFollows="1" w:id="57"/>
        <w:t>(57)</w:t>
      </w:r>
      <w:r>
        <w:rPr>
          <w:rtl/>
        </w:rPr>
        <w:t>، تم إنجاز مشروع يهدف إلى الوصول المتزايد لمياه الشرب الآمنة لعدد إضافي من المنتفعين يبلغ 000 50 شخص في كل من المناطق الحضرية والريفية. وبالإضافة إلى مناطق الأشخاص المشردين داخلياً (الأشخاص المتأثرون بحرب الحدود)، فإن مناطق إعادة الاستيطان تم تزويدها بنظم طارئة للإمداد بالمياه. واليوم فإن أكثر من 000 400 من سكان الريف لديهم إمكانية للوصول إلى إمدادات المياه من هذه المشاريع.</w:t>
      </w:r>
    </w:p>
    <w:p w:rsidR="00000000" w:rsidRDefault="00000000">
      <w:pPr>
        <w:pStyle w:val="SingleTxt"/>
        <w:ind w:left="1264" w:right="1264"/>
        <w:rPr>
          <w:rtl/>
        </w:rPr>
      </w:pPr>
      <w:r>
        <w:rPr>
          <w:rtl/>
        </w:rPr>
        <w:tab/>
      </w:r>
      <w:r>
        <w:rPr>
          <w:rtl/>
        </w:rPr>
        <w:tab/>
        <w:t>ويطلب من المجتمع المحلي، قبل إنشاء نظام جديد للمياه، إنشاء لجنة للإمداد بالمياه تكون مسؤولة عن إدارة النظام وحفظه في المستقبل. غير أنه لسوء الحظ ونظراً لعدم وجود مبدأ توجيهي موحد، يترك أمر الاختيار إلى المجتمع المحلي ويتم تهميش المرأة في معظم الحالات. ويتم اختيار الرجل فقط بهذا المعنى بمعرفة المستشارين التقنيين للاشتراك في التدريب التقني والإداري لإدارة المضخات الجديدة للمياه، والإمداد بالمياه في المجتمع المحلي. ومسألة إدراج المرأة عن عمد في النظام التقني والإداري مسألة هامة للغاية ينبغي أن يتم تحقيقها. وفيما يلي إحصاءات صندوق التنمية المجتمعة لأريتريا بشأن لجان المياه.</w:t>
      </w:r>
    </w:p>
    <w:p w:rsidR="00000000" w:rsidRDefault="00000000">
      <w:pPr>
        <w:pStyle w:val="SingleTxt"/>
        <w:ind w:left="1264" w:right="1264"/>
        <w:rPr>
          <w:b/>
          <w:bCs/>
          <w:rtl/>
        </w:rPr>
      </w:pPr>
      <w:r>
        <w:rPr>
          <w:b/>
          <w:bCs/>
          <w:rtl/>
        </w:rPr>
        <w:t xml:space="preserve">الجدول 22 </w:t>
      </w:r>
      <w:r>
        <w:rPr>
          <w:b/>
          <w:bCs/>
        </w:rPr>
        <w:t>–</w:t>
      </w:r>
      <w:r>
        <w:rPr>
          <w:b/>
          <w:bCs/>
          <w:rtl/>
        </w:rPr>
        <w:t xml:space="preserve"> المرأة في لجان المياه</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2410"/>
        <w:gridCol w:w="1276"/>
        <w:gridCol w:w="1276"/>
        <w:gridCol w:w="1134"/>
      </w:tblGrid>
      <w:tr w:rsidR="00000000">
        <w:tblPrEx>
          <w:tblCellMar>
            <w:top w:w="0" w:type="dxa"/>
            <w:bottom w:w="0" w:type="dxa"/>
          </w:tblCellMar>
        </w:tblPrEx>
        <w:tc>
          <w:tcPr>
            <w:tcW w:w="1559" w:type="dxa"/>
          </w:tcPr>
          <w:p w:rsidR="00000000" w:rsidRDefault="00000000">
            <w:pPr>
              <w:pStyle w:val="SingleTxt"/>
              <w:spacing w:after="0"/>
              <w:ind w:left="0" w:right="0"/>
              <w:rPr>
                <w:b/>
                <w:bCs/>
                <w:rtl/>
              </w:rPr>
            </w:pPr>
            <w:r>
              <w:rPr>
                <w:b/>
                <w:bCs/>
                <w:rtl/>
              </w:rPr>
              <w:t>المناطق</w:t>
            </w:r>
          </w:p>
        </w:tc>
        <w:tc>
          <w:tcPr>
            <w:tcW w:w="2410" w:type="dxa"/>
          </w:tcPr>
          <w:p w:rsidR="00000000" w:rsidRDefault="00000000">
            <w:pPr>
              <w:pStyle w:val="SingleTxt"/>
              <w:spacing w:after="0"/>
              <w:ind w:left="0" w:right="0"/>
              <w:jc w:val="center"/>
              <w:rPr>
                <w:b/>
                <w:bCs/>
                <w:rtl/>
              </w:rPr>
            </w:pPr>
            <w:r>
              <w:rPr>
                <w:b/>
                <w:bCs/>
                <w:rtl/>
              </w:rPr>
              <w:t>عدد لجان المياه بالقرى</w:t>
            </w:r>
          </w:p>
        </w:tc>
        <w:tc>
          <w:tcPr>
            <w:tcW w:w="1276" w:type="dxa"/>
          </w:tcPr>
          <w:p w:rsidR="00000000" w:rsidRDefault="00000000">
            <w:pPr>
              <w:pStyle w:val="SingleTxt"/>
              <w:spacing w:after="0"/>
              <w:ind w:left="0" w:right="0"/>
              <w:jc w:val="center"/>
              <w:rPr>
                <w:b/>
                <w:bCs/>
                <w:rtl/>
              </w:rPr>
            </w:pPr>
            <w:r>
              <w:rPr>
                <w:b/>
                <w:bCs/>
                <w:rtl/>
              </w:rPr>
              <w:t>المجموع</w:t>
            </w:r>
          </w:p>
        </w:tc>
        <w:tc>
          <w:tcPr>
            <w:tcW w:w="1276" w:type="dxa"/>
          </w:tcPr>
          <w:p w:rsidR="00000000" w:rsidRDefault="00000000">
            <w:pPr>
              <w:pStyle w:val="SingleTxt"/>
              <w:spacing w:after="0"/>
              <w:ind w:left="0" w:right="0"/>
              <w:jc w:val="center"/>
              <w:rPr>
                <w:b/>
                <w:bCs/>
                <w:rtl/>
              </w:rPr>
            </w:pPr>
            <w:r>
              <w:rPr>
                <w:b/>
                <w:bCs/>
                <w:rtl/>
              </w:rPr>
              <w:t>إناث</w:t>
            </w:r>
          </w:p>
        </w:tc>
        <w:tc>
          <w:tcPr>
            <w:tcW w:w="1134" w:type="dxa"/>
          </w:tcPr>
          <w:p w:rsidR="00000000" w:rsidRDefault="00000000">
            <w:pPr>
              <w:pStyle w:val="SingleTxt"/>
              <w:spacing w:after="0"/>
              <w:ind w:left="0" w:right="0"/>
              <w:jc w:val="center"/>
              <w:rPr>
                <w:b/>
                <w:bCs/>
                <w:rtl/>
              </w:rPr>
            </w:pPr>
            <w:r>
              <w:rPr>
                <w:b/>
                <w:bCs/>
                <w:rtl/>
              </w:rPr>
              <w:t>ذكور</w:t>
            </w:r>
          </w:p>
        </w:tc>
      </w:tr>
      <w:tr w:rsidR="00000000">
        <w:tblPrEx>
          <w:tblCellMar>
            <w:top w:w="0" w:type="dxa"/>
            <w:bottom w:w="0" w:type="dxa"/>
          </w:tblCellMar>
        </w:tblPrEx>
        <w:tc>
          <w:tcPr>
            <w:tcW w:w="1559" w:type="dxa"/>
          </w:tcPr>
          <w:p w:rsidR="00000000" w:rsidRDefault="00000000">
            <w:pPr>
              <w:pStyle w:val="SingleTxt"/>
              <w:spacing w:after="0"/>
              <w:ind w:left="0" w:right="0"/>
              <w:rPr>
                <w:rtl/>
              </w:rPr>
            </w:pPr>
            <w:r>
              <w:rPr>
                <w:rtl/>
              </w:rPr>
              <w:t>ماكيل</w:t>
            </w:r>
          </w:p>
        </w:tc>
        <w:tc>
          <w:tcPr>
            <w:tcW w:w="2410" w:type="dxa"/>
          </w:tcPr>
          <w:p w:rsidR="00000000" w:rsidRDefault="00000000">
            <w:pPr>
              <w:pStyle w:val="SingleTxt"/>
              <w:spacing w:after="0"/>
              <w:ind w:left="0" w:right="0"/>
              <w:rPr>
                <w:rtl/>
              </w:rPr>
            </w:pPr>
            <w:r>
              <w:rPr>
                <w:rtl/>
              </w:rPr>
              <w:t>7 لجان قرى</w:t>
            </w:r>
          </w:p>
        </w:tc>
        <w:tc>
          <w:tcPr>
            <w:tcW w:w="1276" w:type="dxa"/>
          </w:tcPr>
          <w:p w:rsidR="00000000" w:rsidRDefault="00000000">
            <w:pPr>
              <w:pStyle w:val="SingleTxt"/>
              <w:spacing w:after="0"/>
              <w:ind w:left="0" w:right="0"/>
              <w:rPr>
                <w:rtl/>
              </w:rPr>
            </w:pPr>
            <w:r>
              <w:rPr>
                <w:rtl/>
              </w:rPr>
              <w:t>40</w:t>
            </w:r>
          </w:p>
        </w:tc>
        <w:tc>
          <w:tcPr>
            <w:tcW w:w="1276" w:type="dxa"/>
          </w:tcPr>
          <w:p w:rsidR="00000000" w:rsidRDefault="00000000">
            <w:pPr>
              <w:pStyle w:val="SingleTxt"/>
              <w:spacing w:after="0"/>
              <w:ind w:left="0" w:right="0"/>
              <w:rPr>
                <w:rtl/>
              </w:rPr>
            </w:pPr>
            <w:r>
              <w:rPr>
                <w:rtl/>
              </w:rPr>
              <w:t>11</w:t>
            </w:r>
          </w:p>
        </w:tc>
        <w:tc>
          <w:tcPr>
            <w:tcW w:w="1134" w:type="dxa"/>
          </w:tcPr>
          <w:p w:rsidR="00000000" w:rsidRDefault="00000000">
            <w:pPr>
              <w:pStyle w:val="SingleTxt"/>
              <w:spacing w:after="0"/>
              <w:ind w:left="0" w:right="0"/>
              <w:rPr>
                <w:rtl/>
              </w:rPr>
            </w:pPr>
            <w:r>
              <w:rPr>
                <w:rtl/>
              </w:rPr>
              <w:t>29</w:t>
            </w:r>
          </w:p>
        </w:tc>
      </w:tr>
      <w:tr w:rsidR="00000000">
        <w:tblPrEx>
          <w:tblCellMar>
            <w:top w:w="0" w:type="dxa"/>
            <w:bottom w:w="0" w:type="dxa"/>
          </w:tblCellMar>
        </w:tblPrEx>
        <w:tc>
          <w:tcPr>
            <w:tcW w:w="1559" w:type="dxa"/>
          </w:tcPr>
          <w:p w:rsidR="00000000" w:rsidRDefault="00000000">
            <w:pPr>
              <w:pStyle w:val="SingleTxt"/>
              <w:spacing w:after="0"/>
              <w:ind w:left="0" w:right="0"/>
              <w:rPr>
                <w:rtl/>
              </w:rPr>
            </w:pPr>
            <w:r>
              <w:rPr>
                <w:rtl/>
              </w:rPr>
              <w:t>أنسيبا</w:t>
            </w:r>
          </w:p>
        </w:tc>
        <w:tc>
          <w:tcPr>
            <w:tcW w:w="2410" w:type="dxa"/>
          </w:tcPr>
          <w:p w:rsidR="00000000" w:rsidRDefault="00000000">
            <w:pPr>
              <w:pStyle w:val="SingleTxt"/>
              <w:spacing w:after="0"/>
              <w:ind w:left="0" w:right="0"/>
              <w:rPr>
                <w:rtl/>
              </w:rPr>
            </w:pPr>
            <w:r>
              <w:rPr>
                <w:rtl/>
              </w:rPr>
              <w:t>4</w:t>
            </w:r>
          </w:p>
        </w:tc>
        <w:tc>
          <w:tcPr>
            <w:tcW w:w="1276" w:type="dxa"/>
          </w:tcPr>
          <w:p w:rsidR="00000000" w:rsidRDefault="00000000">
            <w:pPr>
              <w:pStyle w:val="SingleTxt"/>
              <w:spacing w:after="0"/>
              <w:ind w:left="0" w:right="0"/>
              <w:rPr>
                <w:rtl/>
              </w:rPr>
            </w:pPr>
            <w:r>
              <w:rPr>
                <w:rtl/>
              </w:rPr>
              <w:t>22</w:t>
            </w:r>
          </w:p>
        </w:tc>
        <w:tc>
          <w:tcPr>
            <w:tcW w:w="1276" w:type="dxa"/>
          </w:tcPr>
          <w:p w:rsidR="00000000" w:rsidRDefault="00000000">
            <w:pPr>
              <w:pStyle w:val="SingleTxt"/>
              <w:spacing w:after="0"/>
              <w:ind w:left="0" w:right="0"/>
              <w:rPr>
                <w:rtl/>
              </w:rPr>
            </w:pPr>
            <w:r>
              <w:rPr>
                <w:rtl/>
              </w:rPr>
              <w:t>4</w:t>
            </w:r>
          </w:p>
        </w:tc>
        <w:tc>
          <w:tcPr>
            <w:tcW w:w="1134" w:type="dxa"/>
          </w:tcPr>
          <w:p w:rsidR="00000000" w:rsidRDefault="00000000">
            <w:pPr>
              <w:pStyle w:val="SingleTxt"/>
              <w:spacing w:after="0"/>
              <w:ind w:left="0" w:right="0"/>
              <w:rPr>
                <w:rtl/>
              </w:rPr>
            </w:pPr>
            <w:r>
              <w:rPr>
                <w:rtl/>
              </w:rPr>
              <w:t>18</w:t>
            </w:r>
          </w:p>
        </w:tc>
      </w:tr>
      <w:tr w:rsidR="00000000">
        <w:tblPrEx>
          <w:tblCellMar>
            <w:top w:w="0" w:type="dxa"/>
            <w:bottom w:w="0" w:type="dxa"/>
          </w:tblCellMar>
        </w:tblPrEx>
        <w:tc>
          <w:tcPr>
            <w:tcW w:w="1559" w:type="dxa"/>
          </w:tcPr>
          <w:p w:rsidR="00000000" w:rsidRDefault="00000000">
            <w:pPr>
              <w:pStyle w:val="SingleTxt"/>
              <w:spacing w:after="0"/>
              <w:ind w:left="0" w:right="0"/>
              <w:rPr>
                <w:rtl/>
              </w:rPr>
            </w:pPr>
            <w:r>
              <w:rPr>
                <w:rtl/>
              </w:rPr>
              <w:t xml:space="preserve">غاش </w:t>
            </w:r>
            <w:r>
              <w:t>–</w:t>
            </w:r>
            <w:r>
              <w:rPr>
                <w:rtl/>
              </w:rPr>
              <w:t xml:space="preserve"> بركا</w:t>
            </w:r>
          </w:p>
        </w:tc>
        <w:tc>
          <w:tcPr>
            <w:tcW w:w="2410" w:type="dxa"/>
          </w:tcPr>
          <w:p w:rsidR="00000000" w:rsidRDefault="00000000">
            <w:pPr>
              <w:pStyle w:val="SingleTxt"/>
              <w:spacing w:after="0"/>
              <w:ind w:left="0" w:right="0"/>
              <w:rPr>
                <w:rtl/>
              </w:rPr>
            </w:pPr>
            <w:r>
              <w:rPr>
                <w:rtl/>
              </w:rPr>
              <w:t>15</w:t>
            </w:r>
          </w:p>
        </w:tc>
        <w:tc>
          <w:tcPr>
            <w:tcW w:w="1276" w:type="dxa"/>
          </w:tcPr>
          <w:p w:rsidR="00000000" w:rsidRDefault="00000000">
            <w:pPr>
              <w:pStyle w:val="SingleTxt"/>
              <w:spacing w:after="0"/>
              <w:ind w:left="0" w:right="0"/>
              <w:rPr>
                <w:rtl/>
              </w:rPr>
            </w:pPr>
            <w:r>
              <w:rPr>
                <w:rtl/>
              </w:rPr>
              <w:t>74</w:t>
            </w:r>
          </w:p>
        </w:tc>
        <w:tc>
          <w:tcPr>
            <w:tcW w:w="1276" w:type="dxa"/>
          </w:tcPr>
          <w:p w:rsidR="00000000" w:rsidRDefault="00000000">
            <w:pPr>
              <w:pStyle w:val="SingleTxt"/>
              <w:spacing w:after="0"/>
              <w:ind w:left="0" w:right="0"/>
              <w:rPr>
                <w:rtl/>
              </w:rPr>
            </w:pPr>
            <w:r>
              <w:rPr>
                <w:rtl/>
              </w:rPr>
              <w:t>12</w:t>
            </w:r>
          </w:p>
        </w:tc>
        <w:tc>
          <w:tcPr>
            <w:tcW w:w="1134" w:type="dxa"/>
          </w:tcPr>
          <w:p w:rsidR="00000000" w:rsidRDefault="00000000">
            <w:pPr>
              <w:pStyle w:val="SingleTxt"/>
              <w:spacing w:after="0"/>
              <w:ind w:left="0" w:right="0"/>
              <w:rPr>
                <w:rtl/>
              </w:rPr>
            </w:pPr>
            <w:r>
              <w:rPr>
                <w:rtl/>
              </w:rPr>
              <w:t>62</w:t>
            </w:r>
          </w:p>
        </w:tc>
      </w:tr>
      <w:tr w:rsidR="00000000">
        <w:tblPrEx>
          <w:tblCellMar>
            <w:top w:w="0" w:type="dxa"/>
            <w:bottom w:w="0" w:type="dxa"/>
          </w:tblCellMar>
        </w:tblPrEx>
        <w:tc>
          <w:tcPr>
            <w:tcW w:w="1559" w:type="dxa"/>
          </w:tcPr>
          <w:p w:rsidR="00000000" w:rsidRDefault="00000000">
            <w:pPr>
              <w:pStyle w:val="SingleTxt"/>
              <w:spacing w:after="0"/>
              <w:ind w:left="0" w:right="0"/>
              <w:rPr>
                <w:rtl/>
              </w:rPr>
            </w:pPr>
            <w:r>
              <w:rPr>
                <w:rtl/>
              </w:rPr>
              <w:t>س/ك/بحري</w:t>
            </w:r>
          </w:p>
        </w:tc>
        <w:tc>
          <w:tcPr>
            <w:tcW w:w="2410" w:type="dxa"/>
          </w:tcPr>
          <w:p w:rsidR="00000000" w:rsidRDefault="00000000">
            <w:pPr>
              <w:pStyle w:val="SingleTxt"/>
              <w:spacing w:after="0"/>
              <w:ind w:left="0" w:right="0"/>
              <w:rPr>
                <w:rtl/>
              </w:rPr>
            </w:pPr>
            <w:r>
              <w:rPr>
                <w:rtl/>
              </w:rPr>
              <w:t>2</w:t>
            </w:r>
          </w:p>
        </w:tc>
        <w:tc>
          <w:tcPr>
            <w:tcW w:w="1276" w:type="dxa"/>
          </w:tcPr>
          <w:p w:rsidR="00000000" w:rsidRDefault="00000000">
            <w:pPr>
              <w:pStyle w:val="SingleTxt"/>
              <w:spacing w:after="0"/>
              <w:ind w:left="0" w:right="0"/>
              <w:rPr>
                <w:rtl/>
              </w:rPr>
            </w:pPr>
            <w:r>
              <w:rPr>
                <w:rtl/>
              </w:rPr>
              <w:t>10</w:t>
            </w:r>
          </w:p>
        </w:tc>
        <w:tc>
          <w:tcPr>
            <w:tcW w:w="1276" w:type="dxa"/>
          </w:tcPr>
          <w:p w:rsidR="00000000" w:rsidRDefault="00000000">
            <w:pPr>
              <w:pStyle w:val="SingleTxt"/>
              <w:spacing w:after="0"/>
              <w:ind w:left="0" w:right="0"/>
              <w:rPr>
                <w:rtl/>
              </w:rPr>
            </w:pPr>
            <w:r>
              <w:rPr>
                <w:rtl/>
              </w:rPr>
              <w:t>0</w:t>
            </w:r>
          </w:p>
        </w:tc>
        <w:tc>
          <w:tcPr>
            <w:tcW w:w="1134" w:type="dxa"/>
          </w:tcPr>
          <w:p w:rsidR="00000000" w:rsidRDefault="00000000">
            <w:pPr>
              <w:pStyle w:val="SingleTxt"/>
              <w:spacing w:after="0"/>
              <w:ind w:left="0" w:right="0"/>
              <w:rPr>
                <w:rtl/>
              </w:rPr>
            </w:pPr>
            <w:r>
              <w:rPr>
                <w:rtl/>
              </w:rPr>
              <w:t>10</w:t>
            </w:r>
          </w:p>
        </w:tc>
      </w:tr>
      <w:tr w:rsidR="00000000">
        <w:tblPrEx>
          <w:tblCellMar>
            <w:top w:w="0" w:type="dxa"/>
            <w:bottom w:w="0" w:type="dxa"/>
          </w:tblCellMar>
        </w:tblPrEx>
        <w:tc>
          <w:tcPr>
            <w:tcW w:w="1559" w:type="dxa"/>
          </w:tcPr>
          <w:p w:rsidR="00000000" w:rsidRDefault="00000000">
            <w:pPr>
              <w:pStyle w:val="SingleTxt"/>
              <w:spacing w:after="0"/>
              <w:ind w:left="0" w:right="0"/>
              <w:rPr>
                <w:rtl/>
              </w:rPr>
            </w:pPr>
            <w:r>
              <w:rPr>
                <w:rtl/>
              </w:rPr>
              <w:t>ديبوب</w:t>
            </w:r>
          </w:p>
        </w:tc>
        <w:tc>
          <w:tcPr>
            <w:tcW w:w="2410" w:type="dxa"/>
          </w:tcPr>
          <w:p w:rsidR="00000000" w:rsidRDefault="00000000">
            <w:pPr>
              <w:pStyle w:val="SingleTxt"/>
              <w:spacing w:after="0"/>
              <w:ind w:left="0" w:right="0"/>
              <w:rPr>
                <w:rtl/>
              </w:rPr>
            </w:pPr>
            <w:r>
              <w:rPr>
                <w:rtl/>
              </w:rPr>
              <w:t>1</w:t>
            </w:r>
          </w:p>
        </w:tc>
        <w:tc>
          <w:tcPr>
            <w:tcW w:w="1276" w:type="dxa"/>
          </w:tcPr>
          <w:p w:rsidR="00000000" w:rsidRDefault="00000000">
            <w:pPr>
              <w:pStyle w:val="SingleTxt"/>
              <w:spacing w:after="0"/>
              <w:ind w:left="0" w:right="0"/>
              <w:rPr>
                <w:rtl/>
              </w:rPr>
            </w:pPr>
            <w:r>
              <w:rPr>
                <w:rtl/>
              </w:rPr>
              <w:t>7</w:t>
            </w:r>
          </w:p>
        </w:tc>
        <w:tc>
          <w:tcPr>
            <w:tcW w:w="1276" w:type="dxa"/>
          </w:tcPr>
          <w:p w:rsidR="00000000" w:rsidRDefault="00000000">
            <w:pPr>
              <w:pStyle w:val="SingleTxt"/>
              <w:spacing w:after="0"/>
              <w:ind w:left="0" w:right="0"/>
              <w:rPr>
                <w:rtl/>
              </w:rPr>
            </w:pPr>
            <w:r>
              <w:rPr>
                <w:rtl/>
              </w:rPr>
              <w:t>1</w:t>
            </w:r>
          </w:p>
        </w:tc>
        <w:tc>
          <w:tcPr>
            <w:tcW w:w="1134" w:type="dxa"/>
          </w:tcPr>
          <w:p w:rsidR="00000000" w:rsidRDefault="00000000">
            <w:pPr>
              <w:pStyle w:val="SingleTxt"/>
              <w:spacing w:after="0"/>
              <w:ind w:left="0" w:right="0"/>
              <w:rPr>
                <w:rtl/>
              </w:rPr>
            </w:pPr>
            <w:r>
              <w:rPr>
                <w:rtl/>
              </w:rPr>
              <w:t>6</w:t>
            </w:r>
          </w:p>
        </w:tc>
      </w:tr>
      <w:tr w:rsidR="00000000">
        <w:tblPrEx>
          <w:tblCellMar>
            <w:top w:w="0" w:type="dxa"/>
            <w:bottom w:w="0" w:type="dxa"/>
          </w:tblCellMar>
        </w:tblPrEx>
        <w:tc>
          <w:tcPr>
            <w:tcW w:w="1559" w:type="dxa"/>
          </w:tcPr>
          <w:p w:rsidR="00000000" w:rsidRDefault="00000000">
            <w:pPr>
              <w:pStyle w:val="SingleTxt"/>
              <w:spacing w:after="0"/>
              <w:ind w:left="0" w:right="0"/>
              <w:rPr>
                <w:b/>
                <w:bCs/>
                <w:rtl/>
              </w:rPr>
            </w:pPr>
            <w:r>
              <w:rPr>
                <w:b/>
                <w:bCs/>
                <w:rtl/>
              </w:rPr>
              <w:t>المجموع</w:t>
            </w:r>
          </w:p>
        </w:tc>
        <w:tc>
          <w:tcPr>
            <w:tcW w:w="2410" w:type="dxa"/>
          </w:tcPr>
          <w:p w:rsidR="00000000" w:rsidRDefault="00000000">
            <w:pPr>
              <w:pStyle w:val="SingleTxt"/>
              <w:spacing w:after="0"/>
              <w:ind w:left="0" w:right="0"/>
              <w:rPr>
                <w:b/>
                <w:bCs/>
                <w:rtl/>
              </w:rPr>
            </w:pPr>
            <w:r>
              <w:rPr>
                <w:b/>
                <w:bCs/>
                <w:rtl/>
              </w:rPr>
              <w:t>29 لجنة قروية</w:t>
            </w:r>
          </w:p>
        </w:tc>
        <w:tc>
          <w:tcPr>
            <w:tcW w:w="1276" w:type="dxa"/>
          </w:tcPr>
          <w:p w:rsidR="00000000" w:rsidRDefault="00000000">
            <w:pPr>
              <w:pStyle w:val="SingleTxt"/>
              <w:spacing w:after="0"/>
              <w:ind w:left="0" w:right="0"/>
              <w:rPr>
                <w:b/>
                <w:bCs/>
                <w:rtl/>
              </w:rPr>
            </w:pPr>
            <w:r>
              <w:rPr>
                <w:b/>
                <w:bCs/>
                <w:rtl/>
              </w:rPr>
              <w:t>153</w:t>
            </w:r>
          </w:p>
        </w:tc>
        <w:tc>
          <w:tcPr>
            <w:tcW w:w="1276" w:type="dxa"/>
          </w:tcPr>
          <w:p w:rsidR="00000000" w:rsidRDefault="00000000">
            <w:pPr>
              <w:pStyle w:val="SingleTxt"/>
              <w:spacing w:after="0"/>
              <w:ind w:left="0" w:right="0"/>
              <w:rPr>
                <w:b/>
                <w:bCs/>
                <w:rtl/>
              </w:rPr>
            </w:pPr>
            <w:r>
              <w:rPr>
                <w:b/>
                <w:bCs/>
                <w:rtl/>
              </w:rPr>
              <w:t>28</w:t>
            </w:r>
          </w:p>
        </w:tc>
        <w:tc>
          <w:tcPr>
            <w:tcW w:w="1134" w:type="dxa"/>
          </w:tcPr>
          <w:p w:rsidR="00000000" w:rsidRDefault="00000000">
            <w:pPr>
              <w:pStyle w:val="SingleTxt"/>
              <w:spacing w:after="0"/>
              <w:ind w:left="0" w:right="0"/>
              <w:rPr>
                <w:b/>
                <w:bCs/>
                <w:rtl/>
              </w:rPr>
            </w:pPr>
            <w:r>
              <w:rPr>
                <w:b/>
                <w:bCs/>
                <w:rtl/>
              </w:rPr>
              <w:t>125</w:t>
            </w:r>
          </w:p>
        </w:tc>
      </w:tr>
    </w:tbl>
    <w:p w:rsidR="00000000" w:rsidRDefault="00000000">
      <w:pPr>
        <w:pStyle w:val="SingleTxt"/>
        <w:ind w:left="1264" w:right="1264"/>
        <w:rPr>
          <w:rtl/>
        </w:rPr>
      </w:pPr>
      <w:r>
        <w:rPr>
          <w:szCs w:val="26"/>
          <w:rtl/>
        </w:rPr>
        <w:t>المصدر: تقرير صندوق التنمية المجتمعية لأريتريا لعام 2002</w:t>
      </w:r>
      <w:r>
        <w:rPr>
          <w:rtl/>
        </w:rPr>
        <w:t>.</w:t>
      </w:r>
    </w:p>
    <w:p w:rsidR="00000000" w:rsidRDefault="00000000">
      <w:pPr>
        <w:pStyle w:val="SingleTxt"/>
        <w:ind w:left="1264" w:right="1264"/>
        <w:rPr>
          <w:rtl/>
        </w:rPr>
      </w:pPr>
      <w:r>
        <w:rPr>
          <w:rtl/>
        </w:rPr>
        <w:tab/>
      </w:r>
      <w:r>
        <w:rPr>
          <w:rtl/>
        </w:rPr>
        <w:tab/>
        <w:t>والتدريب في مجال المرافق الصحية والاستخدام السليم للمياه هو العنصر الرئيسي في مشروع النظام القروي للإمداد بالمياه. ويجري التدريب على تجنب المجتمع المحلي الأمراض المنقولة بالمياه، وعلى الاحتفاظ بنقاط المياه نظيفة وجافة، واستخدام الصرف الصحي، ومنع الحيوانات من استخدام نقاط المياه، إلخ. وتعزيز الوعي لدى الجمهور بأهمية مياه الشرب والمرافق الصحية ينبغي، مع ذلك، أن يتبع نهجاً منسقاً بمعرفة القطاعات والمنظمات غير الحكومية المعنية لتحقيق شمول فعال ونتائج فعالة باستخدام وسائط الإعلام والمدارس والمحطات الصحية والاجتماعات العامة وغير ذلك من مرافق فعالة.</w:t>
      </w:r>
    </w:p>
    <w:p w:rsidR="00000000" w:rsidRDefault="00000000">
      <w:pPr>
        <w:pStyle w:val="SingleTxt"/>
        <w:ind w:left="1264" w:right="1264"/>
        <w:rPr>
          <w:rtl/>
        </w:rPr>
      </w:pPr>
      <w:r>
        <w:rPr>
          <w:rtl/>
        </w:rPr>
        <w:tab/>
      </w:r>
      <w:r>
        <w:rPr>
          <w:rtl/>
        </w:rPr>
        <w:tab/>
        <w:t>والحصاد عن طريق المياه السطحية هو مشروع آخر في مرحلة التطوير بمعرفة وزارة الزراعة ويهدف إلى جمع المياه وتشجيع استخدام كل قطرة من مياه الأمطار على نحو أفضل عن طريق بناء خزان بسيط بالقرب من كل مسكن في المناطق الريفية. ويساعد الحفظ الأولي للمياه المرأة الريفية على القيام بأنشطة مختلفة (مثل حدائق الأفنية الخلفية وتربية الدواجن وبيع المياه، إلخ.) داخل مجمعاتها السكنية وتعزيز المرافق الصحية الخاصة بالأسرة.</w:t>
      </w:r>
    </w:p>
    <w:p w:rsidR="00000000" w:rsidRDefault="00000000">
      <w:pPr>
        <w:pStyle w:val="SingleTxt"/>
        <w:ind w:left="1264" w:right="1264"/>
        <w:rPr>
          <w:rtl/>
        </w:rPr>
      </w:pPr>
      <w:r>
        <w:rPr>
          <w:rtl/>
        </w:rPr>
        <w:tab/>
      </w:r>
      <w:r>
        <w:rPr>
          <w:rtl/>
        </w:rPr>
        <w:tab/>
        <w:t xml:space="preserve">و”الحمير وقرب المياه“ هي نشاط آخر بادر به الاتحاد الوطني للنساء الأريتريات لحل مشكلة إحضار المياه من مسافات بعيدة. وتعطى الأولوية للقرى الواقعة على بُعد 2 </w:t>
      </w:r>
      <w:r>
        <w:t>–</w:t>
      </w:r>
      <w:r>
        <w:rPr>
          <w:rtl/>
        </w:rPr>
        <w:t xml:space="preserve"> 5 كيلومترات عن نقاط المياه، وللمرأة الأكثر احتياجاً في تلك القرى. وتحصل كل أسرة على حمار وقِربَة كمنحة. وقد استفادت المرأة والفتاة من هذا المشروع بأن حررتا أنفسهما من الضغوط الجسمية المتمثلة في إحضار المياه، والتقليل إلى أدنى حد من تبديد الوقت (بذل 4 </w:t>
      </w:r>
      <w:r>
        <w:t>–</w:t>
      </w:r>
      <w:r>
        <w:rPr>
          <w:rtl/>
        </w:rPr>
        <w:t xml:space="preserve"> 6 ساعات في اليوم وعن طريق أخذ كميات كافية من المياه لاستخدامها في المرافق الصحية وأغراض أخرى. وبالإضافة إلى ذلك، تستفيد بعض النساء أكثر من ذلك بأن يقمن ببيع المياه في أوقات فراغهن. وقد استفادت أكثر من 724 2 أسرة معيشية ترأسها امرأة.</w:t>
      </w:r>
    </w:p>
    <w:p w:rsidR="00000000" w:rsidRDefault="00000000">
      <w:pPr>
        <w:pStyle w:val="SingleTxt"/>
        <w:ind w:left="1264" w:right="1264"/>
        <w:rPr>
          <w:i/>
          <w:iCs/>
          <w:rtl/>
        </w:rPr>
      </w:pPr>
      <w:r>
        <w:rPr>
          <w:b/>
          <w:bCs/>
          <w:i/>
          <w:iCs/>
          <w:rtl/>
        </w:rPr>
        <w:t>قضايا اجتماعية أخرى</w:t>
      </w:r>
    </w:p>
    <w:p w:rsidR="00000000" w:rsidRDefault="00000000">
      <w:pPr>
        <w:pStyle w:val="SingleTxt"/>
        <w:ind w:left="1264" w:right="1264"/>
        <w:rPr>
          <w:rtl/>
        </w:rPr>
      </w:pPr>
      <w:r>
        <w:rPr>
          <w:rtl/>
        </w:rPr>
        <w:tab/>
      </w:r>
      <w:r>
        <w:rPr>
          <w:rtl/>
        </w:rPr>
        <w:tab/>
        <w:t>نوقش الوضع التعليمي والصحي باستفاضة في إطار المادة 10 والمادة 12 من الاتفاقية. وإنها لحقيقة أن المرأة/الفتاة في المناطق الريفية تتخلف عن المرأة الحضرية في مجال التعليم، وأظهر صافي نسبة الحضور في المدارس الابتدائية نسبة 41.5 في المائة في المناطق الحضرية في حين أظهر نسبة 27.2 في المائة في المناطق الريفية. ولا تبدأ البنات متأخرة فقط، في سن الثامنة أو ما فوق، ولكنهن يتسربن أيضاً في وقت أبكر لاعتبارات اجتماعية وثقافية متنوعة مثل مساعدة أمهاتهن في الأعمال المنـزلية وتربية الأطفال، والعمل في مزارعهن الخاصة أو مزارع الأقارب، وبعد المدرسة وارتفاع مخاطر الأمان، والزواج المبكر.</w:t>
      </w:r>
    </w:p>
    <w:p w:rsidR="00000000" w:rsidRDefault="00000000">
      <w:pPr>
        <w:pStyle w:val="SingleTxt"/>
        <w:ind w:left="1264" w:right="1264"/>
        <w:rPr>
          <w:rtl/>
        </w:rPr>
      </w:pPr>
      <w:r>
        <w:rPr>
          <w:rtl/>
        </w:rPr>
        <w:tab/>
      </w:r>
      <w:r>
        <w:rPr>
          <w:rtl/>
        </w:rPr>
        <w:tab/>
        <w:t xml:space="preserve">وكان إطلاق برنامج محو أمية الكبار واحداً من التدخلات الرئيسية في المناطق الريفية حيث أكمل أكثر من 000 51 من النساء بنجاح هذه البرامج (وزارة التعليم 2001) وأكثر من 000 30 اشتركن في البرنامج في إطار الاتحاد الوطني للنساء الأريتريات (1992 </w:t>
      </w:r>
      <w:r>
        <w:t>–</w:t>
      </w:r>
      <w:r>
        <w:rPr>
          <w:rtl/>
        </w:rPr>
        <w:t xml:space="preserve"> 1996). وتحسن مستوى محو الأمية بشكل كبير وبلغ 51 في المائة مقابل 65.9 في المائة في عام 1995. وكانت النتيجة المباشرة لهذا البرنامج هي إدراك أهمية التعليم من جانب الأمهات ومن ثم تشجيع بناتهن على الالتحاق بالتعليم الأساسي.</w:t>
      </w:r>
    </w:p>
    <w:p w:rsidR="00000000" w:rsidRDefault="00000000">
      <w:pPr>
        <w:pStyle w:val="SingleTxt"/>
        <w:ind w:left="1264" w:right="1264"/>
        <w:rPr>
          <w:rtl/>
        </w:rPr>
      </w:pPr>
      <w:r>
        <w:rPr>
          <w:rtl/>
        </w:rPr>
        <w:tab/>
      </w:r>
      <w:r>
        <w:rPr>
          <w:rtl/>
        </w:rPr>
        <w:tab/>
        <w:t>وكان التوسع في المدارس الابتدائية وزيادة إمكانيات الوصول إلى التعليم في المناطق الريفية عاملاً آخر أسفر عن تحسين فرص تعلم الفتيات. ومن أجل زيادة معدلات الالتحاق والإنجاز، تم الأخذ ببعض المشاريع التحفيزية، ومنها:</w:t>
      </w:r>
    </w:p>
    <w:p w:rsidR="00000000" w:rsidRDefault="00000000">
      <w:pPr>
        <w:pStyle w:val="SingleTxt"/>
        <w:ind w:left="1264" w:right="1264"/>
        <w:rPr>
          <w:rtl/>
        </w:rPr>
      </w:pPr>
      <w:r>
        <w:rPr>
          <w:rtl/>
        </w:rPr>
        <w:t>•</w:t>
      </w:r>
      <w:r>
        <w:rPr>
          <w:rtl/>
        </w:rPr>
        <w:tab/>
        <w:t>افتتاح مدارس تغذية لمعالجة مشكلة بُعد المسافة عن المدارس</w:t>
      </w:r>
    </w:p>
    <w:p w:rsidR="00000000" w:rsidRDefault="00000000">
      <w:pPr>
        <w:pStyle w:val="SingleTxt"/>
        <w:ind w:left="1264" w:right="1264"/>
        <w:rPr>
          <w:rtl/>
        </w:rPr>
      </w:pPr>
      <w:r>
        <w:rPr>
          <w:rtl/>
        </w:rPr>
        <w:t>•</w:t>
      </w:r>
      <w:r>
        <w:rPr>
          <w:rtl/>
        </w:rPr>
        <w:tab/>
        <w:t>افتتاح بيوت ومدارس داخلية للبنات (ما مجموعه سبعة في أنحاء البلد)</w:t>
      </w:r>
    </w:p>
    <w:p w:rsidR="00000000" w:rsidRDefault="00000000">
      <w:pPr>
        <w:pStyle w:val="SingleTxt"/>
        <w:ind w:left="1264" w:right="1264"/>
        <w:rPr>
          <w:rtl/>
        </w:rPr>
      </w:pPr>
      <w:r>
        <w:rPr>
          <w:rtl/>
        </w:rPr>
        <w:t>•</w:t>
      </w:r>
      <w:r>
        <w:rPr>
          <w:rtl/>
        </w:rPr>
        <w:tab/>
        <w:t xml:space="preserve">توفير حوافز نقدية أو عينية لفتيات المدارس الفقيرات، من أجل 500 فتاة كمشروع </w:t>
      </w:r>
      <w:r>
        <w:rPr>
          <w:rtl/>
        </w:rPr>
        <w:tab/>
      </w:r>
      <w:r>
        <w:rPr>
          <w:rtl/>
        </w:rPr>
        <w:tab/>
        <w:t>ريادي</w:t>
      </w:r>
    </w:p>
    <w:p w:rsidR="00000000" w:rsidRDefault="00000000">
      <w:pPr>
        <w:pStyle w:val="SingleTxt"/>
        <w:ind w:left="1264" w:right="1264"/>
        <w:rPr>
          <w:rtl/>
        </w:rPr>
      </w:pPr>
      <w:r>
        <w:rPr>
          <w:rtl/>
        </w:rPr>
        <w:t>•</w:t>
      </w:r>
      <w:r>
        <w:rPr>
          <w:rtl/>
        </w:rPr>
        <w:tab/>
        <w:t>جوائز خاصة للفتيات الأحسن أداء.</w:t>
      </w:r>
    </w:p>
    <w:p w:rsidR="00000000" w:rsidRDefault="00000000">
      <w:pPr>
        <w:pStyle w:val="SingleTxt"/>
        <w:ind w:left="1264" w:right="1264"/>
        <w:rPr>
          <w:rtl/>
        </w:rPr>
      </w:pPr>
      <w:r>
        <w:rPr>
          <w:rtl/>
        </w:rPr>
        <w:tab/>
      </w:r>
      <w:r>
        <w:rPr>
          <w:rtl/>
        </w:rPr>
        <w:tab/>
        <w:t>وكان إنشاء إضاءة بالطاقة الشمسية بمعرفة وزارة الطاقة والمناجم في أكثر من مدرسة في المناطق النائية خطوة مشجعة لمساعدة الأطفال والكبار في دراساتهم، بعد الانتهاء من أعمالهم المزرعية في المساء.</w:t>
      </w:r>
    </w:p>
    <w:p w:rsidR="00000000" w:rsidRDefault="00000000">
      <w:pPr>
        <w:pStyle w:val="SingleTxt"/>
        <w:ind w:left="1264" w:right="1264"/>
        <w:rPr>
          <w:rtl/>
        </w:rPr>
      </w:pPr>
      <w:r>
        <w:rPr>
          <w:rtl/>
        </w:rPr>
        <w:tab/>
      </w:r>
      <w:r>
        <w:rPr>
          <w:rtl/>
        </w:rPr>
        <w:tab/>
        <w:t>والقضية الاجتماعية الأخرى التي تمس المرأة الريفية هي الخدمات الصحية. والأسباب الرئيسية للاعتلال والوفاة في أريتريا الأمراض المعدية. ومن بين المشكلات الجذرية التي تؤثر على الوضع الصحي للسكان، والمرأة بصفة خاصة، إمكانية الوصول المحدودة إلى مياه الشرب والمياه النظيفة، وسوء التغذية، وعدم كفاية الرعاية الصحية للأم والطفل، وعدم كفاية التربية الصحية وتنظيم الأسرة. وتمارس وزارة التعليم تدخلات كبيرة لمعالجة هذه التحديات في مجال الخدمات الصحية ويعقبها تحسينات ملحوظة في الوضع الصحي للمجتمعات المحلية في السنوات الست أو السبع الأخيرة.</w:t>
      </w:r>
    </w:p>
    <w:p w:rsidR="00000000" w:rsidRDefault="00000000">
      <w:pPr>
        <w:pStyle w:val="SingleTxt"/>
        <w:ind w:left="1264" w:right="1264"/>
        <w:rPr>
          <w:rtl/>
        </w:rPr>
      </w:pPr>
      <w:r>
        <w:rPr>
          <w:rtl/>
        </w:rPr>
        <w:tab/>
      </w:r>
      <w:r>
        <w:rPr>
          <w:rtl/>
        </w:rPr>
        <w:tab/>
        <w:t>وعلى أية حال، فإن نجاح برنامج التنمية الشاملة للريف لا يمكن تصوره بدون إدراج النساء الريفيات ومشاركتهن. وتبذل الحكومة جهوداً غير محدودة لتشجيع المرأة على القيام بدور ديناميكي وليس هامشي في التخطيط واتخاذ القرار والتدريب وتنفيذ جميع مشروعات التنمية.</w:t>
      </w:r>
    </w:p>
    <w:p w:rsidR="00000000" w:rsidRDefault="00000000">
      <w:pPr>
        <w:pStyle w:val="SingleTxt"/>
        <w:ind w:left="1264" w:right="1264"/>
        <w:rPr>
          <w:rtl/>
        </w:rPr>
      </w:pPr>
      <w:r>
        <w:rPr>
          <w:b/>
          <w:bCs/>
          <w:rtl/>
        </w:rPr>
        <w:t xml:space="preserve">المادة 15 </w:t>
      </w:r>
      <w:r>
        <w:rPr>
          <w:b/>
          <w:bCs/>
        </w:rPr>
        <w:t>–</w:t>
      </w:r>
      <w:r>
        <w:rPr>
          <w:b/>
          <w:bCs/>
          <w:rtl/>
        </w:rPr>
        <w:t xml:space="preserve"> الأهلية القانونية في الشؤون المدنية</w:t>
      </w:r>
    </w:p>
    <w:p w:rsidR="00000000" w:rsidRDefault="00000000">
      <w:pPr>
        <w:pStyle w:val="SingleTxt"/>
        <w:ind w:left="1264" w:right="1264"/>
        <w:rPr>
          <w:rtl/>
        </w:rPr>
      </w:pPr>
      <w:r>
        <w:rPr>
          <w:rtl/>
        </w:rPr>
        <w:tab/>
      </w:r>
      <w:r>
        <w:rPr>
          <w:rtl/>
        </w:rPr>
        <w:tab/>
        <w:t>وفقاً للدستور الأريتري يتساوى جميع الأشخاص أمام القانون وأي تمييز على أساس الجنس محظور. وفي هذه الحالة، للمرأة الأريترية أهلية قانونية مماثلة لأهلية الرجل والفرص ذاتها لممارسة هذه الأهلية بموجب القانون. وتظهر المرأة في المحاكم بصفتها قاضية ومدعية عامة وشاهدة وتتمتع باحترام مساو للرجل.</w:t>
      </w:r>
    </w:p>
    <w:p w:rsidR="00000000" w:rsidRDefault="00000000">
      <w:pPr>
        <w:pStyle w:val="SingleTxt"/>
        <w:ind w:left="1264" w:right="1264"/>
        <w:rPr>
          <w:rtl/>
        </w:rPr>
      </w:pPr>
      <w:r>
        <w:rPr>
          <w:rtl/>
        </w:rPr>
        <w:tab/>
      </w:r>
      <w:r>
        <w:rPr>
          <w:rtl/>
        </w:rPr>
        <w:tab/>
        <w:t>غير أنه عندما يتعلق الأمر بالتطبيق القانوني فإن كثيراً من التحديات تتمثل في أن الاتجاهات القائمة على التقاليد لا تزال راسخة. وتتمسك مختلف الجماعات الإثنية بتقاليد كل منها وثقافتها ومحرماتها التي تتسم بالتمييز بالدرجة الأساسية ولا تسمح بالمساواة في الوضع مع الرجل.</w:t>
      </w:r>
    </w:p>
    <w:p w:rsidR="00000000" w:rsidRDefault="00000000">
      <w:pPr>
        <w:pStyle w:val="SingleTxt"/>
        <w:ind w:left="1264" w:right="1264"/>
        <w:rPr>
          <w:rtl/>
        </w:rPr>
      </w:pPr>
      <w:r>
        <w:rPr>
          <w:rtl/>
        </w:rPr>
        <w:tab/>
      </w:r>
      <w:r>
        <w:rPr>
          <w:rtl/>
        </w:rPr>
        <w:tab/>
        <w:t>وعلى الرغم من أن الإعلان الجديد المتعلق بالأرض يعترف ذاته بمساواة المرأة في فرص الوصول إلى ملكية الأرض، فإنه يواجه بعض العقبات في التنفيذ الفعال. ولا يمكن بالطبع للمرء أن ينكر أن القيم التمييزية التقليدية تضمحل بسبب التغييرات الاقتصادية، والالتزامات السياسية القوية من جانب الدولة بتعزيز حقوق المرأة، واشتراك المرأة في التعليم والعمالة، وتحسين مستوى الوعي لدى المجتمع الأثيوبي نحو مشاركة النساء.</w:t>
      </w:r>
    </w:p>
    <w:p w:rsidR="00000000" w:rsidRDefault="00000000">
      <w:pPr>
        <w:pStyle w:val="SingleTxt"/>
        <w:spacing w:line="360" w:lineRule="exact"/>
        <w:ind w:left="1264" w:right="1264"/>
        <w:rPr>
          <w:rtl/>
        </w:rPr>
      </w:pPr>
      <w:r>
        <w:rPr>
          <w:rtl/>
        </w:rPr>
        <w:tab/>
      </w:r>
      <w:r>
        <w:rPr>
          <w:rtl/>
        </w:rPr>
        <w:tab/>
        <w:t>ومن الناحية الأساسية يمكن للمرأة أن تشغل أي منصب في حياتها المهنية دون موافقة زوجها لأنها هي الشخص الذي يقرر. ومع ذلك فإن الرجل والمرأة باعتبارهما زوجين يقرران سوياً المصالح العليا لأسرتهما وأطفالهما. وعلى سبيل المثال، إذا تم ترفيع امرأة ذات مؤهلات معينة ونقلها إلى منطقة أخرى أو (مجال) آخر، فإنها من المحتمل أن ترفض الترفيع لأنها تريد البقاء مع أطفالها. غير أن الرجل لا يفقد هذه الفرصة بالمرة وفي معظم الحالات فإن معدل حراكهم عال جداً. وبموجب قانون الأسرة الجديد تحدد مهنة الزوجين من الناحية القانونية كما يلي:</w:t>
      </w:r>
    </w:p>
    <w:p w:rsidR="00000000" w:rsidRDefault="00000000">
      <w:pPr>
        <w:pStyle w:val="SingleTxt"/>
        <w:spacing w:line="360" w:lineRule="exact"/>
        <w:ind w:left="1264" w:right="1264"/>
        <w:rPr>
          <w:i/>
          <w:iCs/>
          <w:rtl/>
        </w:rPr>
      </w:pPr>
      <w:r>
        <w:rPr>
          <w:rtl/>
        </w:rPr>
        <w:tab/>
      </w:r>
      <w:r>
        <w:rPr>
          <w:rtl/>
        </w:rPr>
        <w:tab/>
      </w:r>
      <w:r>
        <w:rPr>
          <w:i/>
          <w:iCs/>
          <w:rtl/>
        </w:rPr>
        <w:t>(1)</w:t>
      </w:r>
      <w:r>
        <w:rPr>
          <w:i/>
          <w:iCs/>
          <w:rtl/>
        </w:rPr>
        <w:tab/>
        <w:t xml:space="preserve">يمكــن لأي مـــن الزوجين أن يواصل مهنته أو نشاطه/نشاطها الذي </w:t>
      </w:r>
      <w:r>
        <w:rPr>
          <w:i/>
          <w:iCs/>
          <w:rtl/>
        </w:rPr>
        <w:tab/>
      </w:r>
      <w:r>
        <w:rPr>
          <w:i/>
          <w:iCs/>
          <w:rtl/>
        </w:rPr>
        <w:tab/>
      </w:r>
      <w:r>
        <w:rPr>
          <w:i/>
          <w:iCs/>
          <w:rtl/>
        </w:rPr>
        <w:tab/>
        <w:t>اختاره/اختارته</w:t>
      </w:r>
    </w:p>
    <w:p w:rsidR="00000000" w:rsidRDefault="00000000">
      <w:pPr>
        <w:pStyle w:val="SingleTxt"/>
        <w:spacing w:line="360" w:lineRule="exact"/>
        <w:ind w:left="1264" w:right="1264"/>
        <w:rPr>
          <w:rtl/>
        </w:rPr>
      </w:pPr>
      <w:r>
        <w:rPr>
          <w:i/>
          <w:iCs/>
          <w:rtl/>
        </w:rPr>
        <w:tab/>
      </w:r>
      <w:r>
        <w:rPr>
          <w:i/>
          <w:iCs/>
          <w:rtl/>
        </w:rPr>
        <w:tab/>
        <w:t>(2)</w:t>
      </w:r>
      <w:r>
        <w:rPr>
          <w:i/>
          <w:iCs/>
          <w:rtl/>
        </w:rPr>
        <w:tab/>
        <w:t xml:space="preserve">يجوز للزوج الآخر، لصالح الأسرة المعيشية، أن يعارض الاستمرار في مهنة </w:t>
      </w:r>
      <w:r>
        <w:rPr>
          <w:i/>
          <w:iCs/>
          <w:rtl/>
        </w:rPr>
        <w:tab/>
      </w:r>
      <w:r>
        <w:rPr>
          <w:i/>
          <w:iCs/>
          <w:rtl/>
        </w:rPr>
        <w:tab/>
      </w:r>
      <w:r>
        <w:rPr>
          <w:i/>
          <w:iCs/>
          <w:rtl/>
        </w:rPr>
        <w:tab/>
        <w:t>معينة أو نشاط معين</w:t>
      </w:r>
      <w:r>
        <w:rPr>
          <w:rStyle w:val="FootnoteReference"/>
          <w:i/>
          <w:iCs/>
          <w:rtl/>
        </w:rPr>
        <w:footnoteReference w:customMarkFollows="1" w:id="58"/>
        <w:t>(58)</w:t>
      </w:r>
      <w:r>
        <w:rPr>
          <w:i/>
          <w:iCs/>
          <w:rtl/>
        </w:rPr>
        <w:t>.</w:t>
      </w:r>
    </w:p>
    <w:p w:rsidR="00000000" w:rsidRDefault="00000000">
      <w:pPr>
        <w:pStyle w:val="SingleTxt"/>
        <w:spacing w:line="360" w:lineRule="exact"/>
        <w:ind w:left="1264" w:right="1264"/>
        <w:rPr>
          <w:rtl/>
        </w:rPr>
      </w:pPr>
      <w:r>
        <w:rPr>
          <w:rtl/>
        </w:rPr>
        <w:tab/>
      </w:r>
      <w:r>
        <w:rPr>
          <w:rtl/>
        </w:rPr>
        <w:tab/>
        <w:t>وهذا معناه أن كلا من الزوجين يمكن أن يعيد النظر في أي فرصة للعمالة تعترض مصلحة الأسرة على أساس الموافقة المتبادلة.</w:t>
      </w:r>
    </w:p>
    <w:p w:rsidR="00000000" w:rsidRDefault="00000000">
      <w:pPr>
        <w:pStyle w:val="SingleTxt"/>
        <w:spacing w:line="360" w:lineRule="exact"/>
        <w:ind w:left="1264" w:right="1264"/>
        <w:rPr>
          <w:rtl/>
        </w:rPr>
      </w:pPr>
      <w:r>
        <w:rPr>
          <w:rtl/>
        </w:rPr>
        <w:tab/>
      </w:r>
      <w:r>
        <w:rPr>
          <w:rtl/>
        </w:rPr>
        <w:tab/>
        <w:t>ومن الناحية الدستورية، بموجب المادة 19، تكفل حرية الحركة لأي شخص، وتنص على ما يلي:</w:t>
      </w:r>
    </w:p>
    <w:p w:rsidR="00000000" w:rsidRDefault="00000000">
      <w:pPr>
        <w:pStyle w:val="SingleTxt"/>
        <w:spacing w:line="360" w:lineRule="exact"/>
        <w:ind w:left="1264" w:right="1264"/>
        <w:rPr>
          <w:i/>
          <w:iCs/>
          <w:rtl/>
        </w:rPr>
      </w:pPr>
      <w:r>
        <w:rPr>
          <w:rtl/>
        </w:rPr>
        <w:tab/>
      </w:r>
      <w:r>
        <w:rPr>
          <w:rtl/>
        </w:rPr>
        <w:tab/>
      </w:r>
      <w:r>
        <w:rPr>
          <w:i/>
          <w:iCs/>
          <w:rtl/>
        </w:rPr>
        <w:t xml:space="preserve">لكل مواطن الحق في أن ينتقل بحرية في أنحاء أريتريا أو أن يقيم أو يستوطن في أي </w:t>
      </w:r>
      <w:r>
        <w:rPr>
          <w:i/>
          <w:iCs/>
          <w:rtl/>
        </w:rPr>
        <w:tab/>
      </w:r>
      <w:r>
        <w:rPr>
          <w:i/>
          <w:iCs/>
          <w:rtl/>
        </w:rPr>
        <w:tab/>
        <w:t>جزء منها.</w:t>
      </w:r>
    </w:p>
    <w:p w:rsidR="00000000" w:rsidRDefault="00000000">
      <w:pPr>
        <w:pStyle w:val="SingleTxt"/>
        <w:spacing w:line="360" w:lineRule="exact"/>
        <w:ind w:left="1264" w:right="1264"/>
        <w:rPr>
          <w:rtl/>
        </w:rPr>
      </w:pPr>
      <w:r>
        <w:rPr>
          <w:rtl/>
        </w:rPr>
        <w:tab/>
      </w:r>
      <w:r>
        <w:rPr>
          <w:rtl/>
        </w:rPr>
        <w:tab/>
        <w:t>وقد كانت ممارسة تقليدية عميقة الجذور مع ما لها من سيطرة ملحوظة حتى اليوم، أن المرأة بعد الزواج تشغل مسكن زوجها آلياً لأن العريس ينتظر أن يقوم بإعداد منـزلهما. وفي حالة نشوب صراع داخل العائلة فإن الزوجة تعود إلى بيت أبويها/وصيها إلى أن يتم تسوية القضية على أي نحو. وقد تحسن ذلك على مر الأيام وتحول إلى اختيار متبادل لأفضل مكان للأسرة.</w:t>
      </w:r>
    </w:p>
    <w:p w:rsidR="00000000" w:rsidRDefault="00000000">
      <w:pPr>
        <w:pStyle w:val="SingleTxt"/>
        <w:spacing w:line="360" w:lineRule="exact"/>
        <w:ind w:left="1264" w:right="1264"/>
        <w:rPr>
          <w:rtl/>
        </w:rPr>
      </w:pPr>
      <w:r>
        <w:rPr>
          <w:rtl/>
        </w:rPr>
        <w:tab/>
      </w:r>
      <w:r>
        <w:rPr>
          <w:rtl/>
        </w:rPr>
        <w:tab/>
        <w:t>وينص مشروع القانون المدني على حق اختيار محل الإقامة لكلا الزوجين، ويقضي بما يلي:</w:t>
      </w:r>
    </w:p>
    <w:p w:rsidR="00000000" w:rsidRDefault="00000000">
      <w:pPr>
        <w:pStyle w:val="SingleTxt"/>
        <w:spacing w:line="360" w:lineRule="exact"/>
        <w:ind w:left="1264" w:right="1264"/>
        <w:rPr>
          <w:i/>
          <w:iCs/>
          <w:rtl/>
        </w:rPr>
      </w:pPr>
      <w:r>
        <w:rPr>
          <w:rtl/>
        </w:rPr>
        <w:tab/>
      </w:r>
      <w:r>
        <w:rPr>
          <w:rtl/>
        </w:rPr>
        <w:tab/>
      </w:r>
      <w:r>
        <w:rPr>
          <w:i/>
          <w:iCs/>
          <w:rtl/>
        </w:rPr>
        <w:t>(1)</w:t>
      </w:r>
      <w:r>
        <w:rPr>
          <w:i/>
          <w:iCs/>
          <w:rtl/>
        </w:rPr>
        <w:tab/>
        <w:t xml:space="preserve">يتم اختيار محل الإقامة المشترك بالموافقة المشتركة لكلا الزوجين. وإذا كان </w:t>
      </w:r>
      <w:r>
        <w:rPr>
          <w:i/>
          <w:iCs/>
          <w:rtl/>
        </w:rPr>
        <w:tab/>
      </w:r>
      <w:r>
        <w:rPr>
          <w:i/>
          <w:iCs/>
          <w:rtl/>
        </w:rPr>
        <w:tab/>
      </w:r>
      <w:r>
        <w:rPr>
          <w:i/>
          <w:iCs/>
          <w:rtl/>
        </w:rPr>
        <w:tab/>
        <w:t xml:space="preserve">أحد الزوجين محرم عليه قضائياً أو غير راغب أو ليس في ظرف للإعراب </w:t>
      </w:r>
      <w:r>
        <w:rPr>
          <w:i/>
          <w:iCs/>
          <w:rtl/>
        </w:rPr>
        <w:tab/>
      </w:r>
      <w:r>
        <w:rPr>
          <w:i/>
          <w:iCs/>
          <w:rtl/>
        </w:rPr>
        <w:tab/>
      </w:r>
      <w:r>
        <w:rPr>
          <w:i/>
          <w:iCs/>
          <w:rtl/>
        </w:rPr>
        <w:tab/>
        <w:t>عن رغبته، فإن محل الإقامة المشترك سوف يختاره الزوج الآخر.</w:t>
      </w:r>
    </w:p>
    <w:p w:rsidR="00000000" w:rsidRDefault="00000000">
      <w:pPr>
        <w:pStyle w:val="SingleTxt"/>
        <w:spacing w:line="360" w:lineRule="exact"/>
        <w:ind w:left="1264" w:right="1264"/>
        <w:rPr>
          <w:rtl/>
        </w:rPr>
      </w:pPr>
      <w:r>
        <w:rPr>
          <w:i/>
          <w:iCs/>
          <w:rtl/>
        </w:rPr>
        <w:tab/>
      </w:r>
      <w:r>
        <w:rPr>
          <w:i/>
          <w:iCs/>
          <w:rtl/>
        </w:rPr>
        <w:tab/>
        <w:t>(2)</w:t>
      </w:r>
      <w:r>
        <w:rPr>
          <w:i/>
          <w:iCs/>
          <w:rtl/>
        </w:rPr>
        <w:tab/>
        <w:t xml:space="preserve">لكل من الزوجين أن يتقدم بطلب إلى حكم الأسرة، إذا ما نشب نـزاع </w:t>
      </w:r>
      <w:r>
        <w:rPr>
          <w:i/>
          <w:iCs/>
          <w:rtl/>
        </w:rPr>
        <w:tab/>
      </w:r>
      <w:r>
        <w:rPr>
          <w:i/>
          <w:iCs/>
          <w:rtl/>
        </w:rPr>
        <w:tab/>
      </w:r>
      <w:r>
        <w:rPr>
          <w:i/>
          <w:iCs/>
          <w:rtl/>
        </w:rPr>
        <w:tab/>
        <w:t>بينهما بشأن اختيار محل الإقامة المشترك</w:t>
      </w:r>
      <w:r>
        <w:rPr>
          <w:rStyle w:val="FootnoteReference"/>
          <w:i/>
          <w:iCs/>
          <w:rtl/>
        </w:rPr>
        <w:footnoteReference w:customMarkFollows="1" w:id="59"/>
        <w:t>(59)</w:t>
      </w:r>
      <w:r>
        <w:rPr>
          <w:rtl/>
        </w:rPr>
        <w:t>.</w:t>
      </w:r>
    </w:p>
    <w:p w:rsidR="00000000" w:rsidRDefault="00000000">
      <w:pPr>
        <w:pStyle w:val="SingleTxt"/>
        <w:spacing w:line="360" w:lineRule="exact"/>
        <w:ind w:left="1264" w:right="1264"/>
        <w:rPr>
          <w:rtl/>
        </w:rPr>
      </w:pPr>
      <w:r>
        <w:rPr>
          <w:i/>
          <w:iCs/>
          <w:rtl/>
        </w:rPr>
        <w:tab/>
      </w:r>
      <w:r>
        <w:rPr>
          <w:i/>
          <w:iCs/>
          <w:rtl/>
        </w:rPr>
        <w:tab/>
      </w:r>
      <w:r>
        <w:rPr>
          <w:rtl/>
        </w:rPr>
        <w:t>والسلطة الزواجية مسألة معقدة من كثير من الأوجه. وتقوم السلطة الزواجية بالفصل على أساس السلطة الاقتصادية؛ بمعنى أن كل من يطعم الأسرة له سلطة تقرير شؤون الأسرة. ويمكن أن تتوقف أيضاً على تقاليد معينة لأي جماعة إثنية. وعلى سبيل المثال في إحدى الجماعات الإثنية في أريتريا، هي الكوناما، فإن سلطة الأم هي التي تحكم الأرض، وما زال ذلك يعمل. وتتفاوت السلطة الزواجية أيضاً حسب مستوى التعليم ونمو الأسرة. وأنها لحقيقة أن السلطة الزواجية آخذة في الزوال داخل الأسر المتعلمة (الزوجان المتعلمان) حيث يفضلان قيادة حياتهما بالموافقة المتبادلة في جميع القضايا التي تخص الأسرة.</w:t>
      </w:r>
    </w:p>
    <w:p w:rsidR="00000000" w:rsidRDefault="00000000">
      <w:pPr>
        <w:pStyle w:val="SingleTxt"/>
        <w:spacing w:line="360" w:lineRule="exact"/>
        <w:ind w:left="1264" w:right="1264"/>
        <w:rPr>
          <w:rtl/>
        </w:rPr>
      </w:pPr>
      <w:r>
        <w:rPr>
          <w:rtl/>
        </w:rPr>
        <w:tab/>
      </w:r>
      <w:r>
        <w:rPr>
          <w:rtl/>
        </w:rPr>
        <w:tab/>
        <w:t>وقد تضخمت السلطة الزواجية في القانون المدني الاستعماري في مادته 635 التي تنص صراحة على أن ”الزوج هو رب الأسرة ما لم يتقرر صراحة بخلاف ذلك بموجب هذا القانون، وأن على الزوجة طاعته في جميع الأمور القانونية التي يقررها“. ومع ذلك تم إلغاء المادة آلياً وحلت محلها المادة 45 من قانون الأسرة لقوات التحرير الشعبي لأريتريا (بموجب الإعلان رقم 1/1991) الذي يقوم على المساواة في الحقوق والوضع لكلا الجنسين، ويحفظ مصالح الأطفال والأم في الأسرة.</w:t>
      </w:r>
    </w:p>
    <w:p w:rsidR="00000000" w:rsidRDefault="00000000">
      <w:pPr>
        <w:pStyle w:val="SingleTxt"/>
        <w:spacing w:line="360" w:lineRule="exact"/>
        <w:ind w:left="1264" w:right="1264"/>
        <w:rPr>
          <w:rtl/>
        </w:rPr>
      </w:pPr>
      <w:r>
        <w:rPr>
          <w:rtl/>
        </w:rPr>
        <w:tab/>
      </w:r>
      <w:r>
        <w:rPr>
          <w:rtl/>
        </w:rPr>
        <w:tab/>
        <w:t>وللمرأة حق متساو في إبرام العقود وإدارة الملكية وإدارة الأعمال التجارية ويمكنها أن ترث الأعمال التجارية للأسرة بما في ذلك إدارتها وأن تصدر ترخيص الأعمال التجارية على أساس فردي. وبحسب إحصاءات مكتب تراخيص الأعمال، فقد صدرت أكثر من 25 ألف ترخيص بالأعمال في منطقة ماكيل منها 30 في المائة ملك للمرأة. وهي تشترك في مختلف الأعمال على نحو ما يبين الجدول التالي.</w:t>
      </w:r>
    </w:p>
    <w:p w:rsidR="00000000" w:rsidRDefault="00000000">
      <w:pPr>
        <w:pStyle w:val="SingleTxt"/>
        <w:ind w:left="1264" w:right="1264"/>
        <w:rPr>
          <w:b/>
          <w:bCs/>
          <w:rtl/>
        </w:rPr>
      </w:pPr>
      <w:r>
        <w:rPr>
          <w:b/>
          <w:bCs/>
          <w:rtl/>
        </w:rPr>
        <w:t xml:space="preserve">الجدول 23 </w:t>
      </w:r>
      <w:r>
        <w:rPr>
          <w:b/>
          <w:bCs/>
        </w:rPr>
        <w:t>–</w:t>
      </w:r>
      <w:r>
        <w:rPr>
          <w:b/>
          <w:bCs/>
          <w:rtl/>
        </w:rPr>
        <w:t xml:space="preserve"> المرأة في قطاع الأعمال في منطقة ماكيل</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3119"/>
        <w:gridCol w:w="2977"/>
      </w:tblGrid>
      <w:tr w:rsidR="00000000">
        <w:tblPrEx>
          <w:tblCellMar>
            <w:top w:w="0" w:type="dxa"/>
            <w:bottom w:w="0" w:type="dxa"/>
          </w:tblCellMar>
        </w:tblPrEx>
        <w:trPr>
          <w:tblHeader/>
        </w:trPr>
        <w:tc>
          <w:tcPr>
            <w:tcW w:w="1417" w:type="dxa"/>
          </w:tcPr>
          <w:p w:rsidR="00000000" w:rsidRDefault="00000000">
            <w:pPr>
              <w:pStyle w:val="SingleTxt"/>
              <w:spacing w:after="0"/>
              <w:ind w:left="0" w:right="0"/>
              <w:rPr>
                <w:b/>
                <w:bCs/>
                <w:rtl/>
              </w:rPr>
            </w:pPr>
            <w:r>
              <w:rPr>
                <w:b/>
                <w:bCs/>
                <w:rtl/>
              </w:rPr>
              <w:t>الرقم المسلسل</w:t>
            </w:r>
          </w:p>
        </w:tc>
        <w:tc>
          <w:tcPr>
            <w:tcW w:w="3119" w:type="dxa"/>
          </w:tcPr>
          <w:p w:rsidR="00000000" w:rsidRDefault="00000000">
            <w:pPr>
              <w:pStyle w:val="SingleTxt"/>
              <w:spacing w:after="0"/>
              <w:ind w:left="0" w:right="0"/>
              <w:jc w:val="center"/>
              <w:rPr>
                <w:b/>
                <w:bCs/>
                <w:rtl/>
              </w:rPr>
            </w:pPr>
            <w:r>
              <w:rPr>
                <w:b/>
                <w:bCs/>
                <w:rtl/>
              </w:rPr>
              <w:t>وصف فئة النشاط</w:t>
            </w:r>
          </w:p>
        </w:tc>
        <w:tc>
          <w:tcPr>
            <w:tcW w:w="2977" w:type="dxa"/>
          </w:tcPr>
          <w:p w:rsidR="00000000" w:rsidRDefault="00000000">
            <w:pPr>
              <w:pStyle w:val="SingleTxt"/>
              <w:spacing w:after="0"/>
              <w:ind w:left="0" w:right="0"/>
              <w:jc w:val="center"/>
              <w:rPr>
                <w:b/>
                <w:bCs/>
                <w:rtl/>
              </w:rPr>
            </w:pPr>
            <w:r>
              <w:rPr>
                <w:b/>
                <w:bCs/>
                <w:rtl/>
              </w:rPr>
              <w:t>عدد التراخيص الصادرة</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1</w:t>
            </w:r>
          </w:p>
        </w:tc>
        <w:tc>
          <w:tcPr>
            <w:tcW w:w="3119" w:type="dxa"/>
          </w:tcPr>
          <w:p w:rsidR="00000000" w:rsidRDefault="00000000">
            <w:pPr>
              <w:pStyle w:val="SingleTxt"/>
              <w:spacing w:after="0"/>
              <w:ind w:left="0" w:right="0"/>
              <w:rPr>
                <w:rtl/>
              </w:rPr>
            </w:pPr>
            <w:r>
              <w:rPr>
                <w:rtl/>
              </w:rPr>
              <w:t>الزراعة والقنص والحراجة</w:t>
            </w:r>
          </w:p>
        </w:tc>
        <w:tc>
          <w:tcPr>
            <w:tcW w:w="2977" w:type="dxa"/>
          </w:tcPr>
          <w:p w:rsidR="00000000" w:rsidRDefault="00000000">
            <w:pPr>
              <w:pStyle w:val="SingleTxt"/>
              <w:spacing w:after="0"/>
              <w:ind w:left="0" w:right="0"/>
              <w:rPr>
                <w:rtl/>
              </w:rPr>
            </w:pPr>
            <w:r>
              <w:rPr>
                <w:rtl/>
              </w:rPr>
              <w:t>20</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2</w:t>
            </w:r>
          </w:p>
        </w:tc>
        <w:tc>
          <w:tcPr>
            <w:tcW w:w="3119" w:type="dxa"/>
          </w:tcPr>
          <w:p w:rsidR="00000000" w:rsidRDefault="00000000">
            <w:pPr>
              <w:pStyle w:val="SingleTxt"/>
              <w:spacing w:after="0"/>
              <w:ind w:left="0" w:right="0"/>
              <w:rPr>
                <w:rtl/>
              </w:rPr>
            </w:pPr>
            <w:r>
              <w:rPr>
                <w:rtl/>
              </w:rPr>
              <w:t>صيد الأسماك</w:t>
            </w:r>
          </w:p>
        </w:tc>
        <w:tc>
          <w:tcPr>
            <w:tcW w:w="2977" w:type="dxa"/>
          </w:tcPr>
          <w:p w:rsidR="00000000" w:rsidRDefault="00000000">
            <w:pPr>
              <w:pStyle w:val="SingleTxt"/>
              <w:spacing w:after="0"/>
              <w:ind w:left="0" w:right="0"/>
              <w:rPr>
                <w:rtl/>
              </w:rPr>
            </w:pPr>
            <w:r>
              <w:rPr>
                <w:rtl/>
              </w:rPr>
              <w:t>3</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3</w:t>
            </w:r>
          </w:p>
        </w:tc>
        <w:tc>
          <w:tcPr>
            <w:tcW w:w="3119" w:type="dxa"/>
          </w:tcPr>
          <w:p w:rsidR="00000000" w:rsidRDefault="00000000">
            <w:pPr>
              <w:pStyle w:val="SingleTxt"/>
              <w:spacing w:after="0"/>
              <w:ind w:left="0" w:right="0"/>
              <w:rPr>
                <w:rtl/>
              </w:rPr>
            </w:pPr>
            <w:r>
              <w:rPr>
                <w:rtl/>
              </w:rPr>
              <w:t>الصناعة التحويلية</w:t>
            </w:r>
          </w:p>
        </w:tc>
        <w:tc>
          <w:tcPr>
            <w:tcW w:w="2977" w:type="dxa"/>
          </w:tcPr>
          <w:p w:rsidR="00000000" w:rsidRDefault="00000000">
            <w:pPr>
              <w:pStyle w:val="SingleTxt"/>
              <w:spacing w:after="0"/>
              <w:ind w:left="0" w:right="0"/>
              <w:rPr>
                <w:rtl/>
              </w:rPr>
            </w:pPr>
            <w:r>
              <w:rPr>
                <w:rtl/>
              </w:rPr>
              <w:t>326</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4</w:t>
            </w:r>
          </w:p>
        </w:tc>
        <w:tc>
          <w:tcPr>
            <w:tcW w:w="3119" w:type="dxa"/>
          </w:tcPr>
          <w:p w:rsidR="00000000" w:rsidRDefault="00000000">
            <w:pPr>
              <w:pStyle w:val="SingleTxt"/>
              <w:spacing w:after="0"/>
              <w:ind w:left="0" w:right="0"/>
              <w:rPr>
                <w:rtl/>
              </w:rPr>
            </w:pPr>
            <w:r>
              <w:rPr>
                <w:rtl/>
              </w:rPr>
              <w:t>المناجم والمحاجر</w:t>
            </w:r>
          </w:p>
        </w:tc>
        <w:tc>
          <w:tcPr>
            <w:tcW w:w="2977" w:type="dxa"/>
          </w:tcPr>
          <w:p w:rsidR="00000000" w:rsidRDefault="00000000">
            <w:pPr>
              <w:pStyle w:val="SingleTxt"/>
              <w:spacing w:after="0"/>
              <w:ind w:left="0" w:right="0"/>
              <w:rPr>
                <w:rtl/>
              </w:rPr>
            </w:pPr>
            <w:r>
              <w:rPr>
                <w:rtl/>
              </w:rPr>
              <w:t>48</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5</w:t>
            </w:r>
          </w:p>
        </w:tc>
        <w:tc>
          <w:tcPr>
            <w:tcW w:w="3119" w:type="dxa"/>
          </w:tcPr>
          <w:p w:rsidR="00000000" w:rsidRDefault="00000000">
            <w:pPr>
              <w:pStyle w:val="SingleTxt"/>
              <w:spacing w:after="0"/>
              <w:ind w:left="0" w:right="0"/>
              <w:rPr>
                <w:rtl/>
              </w:rPr>
            </w:pPr>
            <w:r>
              <w:rPr>
                <w:rtl/>
              </w:rPr>
              <w:t>الكهرباء والغاز وإمدادات المياه</w:t>
            </w:r>
          </w:p>
        </w:tc>
        <w:tc>
          <w:tcPr>
            <w:tcW w:w="2977" w:type="dxa"/>
          </w:tcPr>
          <w:p w:rsidR="00000000" w:rsidRDefault="00000000">
            <w:pPr>
              <w:pStyle w:val="SingleTxt"/>
              <w:spacing w:after="0"/>
              <w:ind w:left="0" w:right="0"/>
              <w:rPr>
                <w:rtl/>
              </w:rPr>
            </w:pPr>
            <w:r>
              <w:rPr>
                <w:rtl/>
              </w:rPr>
              <w:t>24</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6</w:t>
            </w:r>
          </w:p>
        </w:tc>
        <w:tc>
          <w:tcPr>
            <w:tcW w:w="3119" w:type="dxa"/>
          </w:tcPr>
          <w:p w:rsidR="00000000" w:rsidRDefault="00000000">
            <w:pPr>
              <w:pStyle w:val="SingleTxt"/>
              <w:spacing w:after="0"/>
              <w:ind w:left="0" w:right="0"/>
              <w:rPr>
                <w:rtl/>
              </w:rPr>
            </w:pPr>
            <w:r>
              <w:rPr>
                <w:rtl/>
              </w:rPr>
              <w:t>التشييد</w:t>
            </w:r>
          </w:p>
        </w:tc>
        <w:tc>
          <w:tcPr>
            <w:tcW w:w="2977" w:type="dxa"/>
          </w:tcPr>
          <w:p w:rsidR="00000000" w:rsidRDefault="00000000">
            <w:pPr>
              <w:pStyle w:val="SingleTxt"/>
              <w:spacing w:after="0"/>
              <w:ind w:left="0" w:right="0"/>
              <w:rPr>
                <w:rtl/>
              </w:rPr>
            </w:pPr>
            <w:r>
              <w:rPr>
                <w:rtl/>
              </w:rPr>
              <w:t>24</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7</w:t>
            </w:r>
          </w:p>
        </w:tc>
        <w:tc>
          <w:tcPr>
            <w:tcW w:w="3119" w:type="dxa"/>
          </w:tcPr>
          <w:p w:rsidR="00000000" w:rsidRDefault="00000000">
            <w:pPr>
              <w:pStyle w:val="SingleTxt"/>
              <w:spacing w:after="0"/>
              <w:ind w:left="0" w:right="0"/>
              <w:rPr>
                <w:rtl/>
              </w:rPr>
            </w:pPr>
            <w:r>
              <w:rPr>
                <w:rtl/>
              </w:rPr>
              <w:t>التجارة العامة وإصلاح المركبات</w:t>
            </w:r>
          </w:p>
        </w:tc>
        <w:tc>
          <w:tcPr>
            <w:tcW w:w="2977" w:type="dxa"/>
          </w:tcPr>
          <w:p w:rsidR="00000000" w:rsidRDefault="00000000">
            <w:pPr>
              <w:pStyle w:val="SingleTxt"/>
              <w:spacing w:after="0"/>
              <w:ind w:left="0" w:right="0"/>
              <w:rPr>
                <w:rtl/>
              </w:rPr>
            </w:pPr>
            <w:r>
              <w:rPr>
                <w:rtl/>
              </w:rPr>
              <w:t>5479</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8</w:t>
            </w:r>
          </w:p>
        </w:tc>
        <w:tc>
          <w:tcPr>
            <w:tcW w:w="3119" w:type="dxa"/>
          </w:tcPr>
          <w:p w:rsidR="00000000" w:rsidRDefault="00000000">
            <w:pPr>
              <w:pStyle w:val="SingleTxt"/>
              <w:spacing w:after="0"/>
              <w:ind w:left="0" w:right="0"/>
              <w:rPr>
                <w:rtl/>
              </w:rPr>
            </w:pPr>
            <w:r>
              <w:rPr>
                <w:rtl/>
              </w:rPr>
              <w:t>النقل والتخزين والاتصال</w:t>
            </w:r>
          </w:p>
        </w:tc>
        <w:tc>
          <w:tcPr>
            <w:tcW w:w="2977" w:type="dxa"/>
          </w:tcPr>
          <w:p w:rsidR="00000000" w:rsidRDefault="00000000">
            <w:pPr>
              <w:pStyle w:val="SingleTxt"/>
              <w:spacing w:after="0"/>
              <w:ind w:left="0" w:right="0"/>
              <w:rPr>
                <w:rtl/>
              </w:rPr>
            </w:pPr>
            <w:r>
              <w:rPr>
                <w:rtl/>
              </w:rPr>
              <w:t>197</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9</w:t>
            </w:r>
          </w:p>
        </w:tc>
        <w:tc>
          <w:tcPr>
            <w:tcW w:w="3119" w:type="dxa"/>
          </w:tcPr>
          <w:p w:rsidR="00000000" w:rsidRDefault="00000000">
            <w:pPr>
              <w:pStyle w:val="SingleTxt"/>
              <w:spacing w:after="0"/>
              <w:ind w:left="0" w:right="0"/>
              <w:rPr>
                <w:rtl/>
              </w:rPr>
            </w:pPr>
            <w:r>
              <w:rPr>
                <w:rtl/>
              </w:rPr>
              <w:t>الوساطة المالية والعقارات</w:t>
            </w:r>
          </w:p>
        </w:tc>
        <w:tc>
          <w:tcPr>
            <w:tcW w:w="2977" w:type="dxa"/>
          </w:tcPr>
          <w:p w:rsidR="00000000" w:rsidRDefault="00000000">
            <w:pPr>
              <w:pStyle w:val="SingleTxt"/>
              <w:spacing w:after="0"/>
              <w:ind w:left="0" w:right="0"/>
              <w:rPr>
                <w:rtl/>
              </w:rPr>
            </w:pPr>
            <w:r>
              <w:rPr>
                <w:rtl/>
              </w:rPr>
              <w:t>1</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10</w:t>
            </w:r>
          </w:p>
        </w:tc>
        <w:tc>
          <w:tcPr>
            <w:tcW w:w="3119" w:type="dxa"/>
          </w:tcPr>
          <w:p w:rsidR="00000000" w:rsidRDefault="00000000">
            <w:pPr>
              <w:pStyle w:val="SingleTxt"/>
              <w:spacing w:after="0"/>
              <w:ind w:left="0" w:right="0"/>
              <w:rPr>
                <w:rtl/>
              </w:rPr>
            </w:pPr>
            <w:r>
              <w:rPr>
                <w:rtl/>
              </w:rPr>
              <w:t>الخدمة العامة</w:t>
            </w:r>
          </w:p>
        </w:tc>
        <w:tc>
          <w:tcPr>
            <w:tcW w:w="2977" w:type="dxa"/>
          </w:tcPr>
          <w:p w:rsidR="00000000" w:rsidRDefault="00000000">
            <w:pPr>
              <w:pStyle w:val="SingleTxt"/>
              <w:spacing w:after="0"/>
              <w:ind w:left="0" w:right="0"/>
              <w:rPr>
                <w:rtl/>
              </w:rPr>
            </w:pPr>
            <w:r>
              <w:rPr>
                <w:rtl/>
              </w:rPr>
              <w:t>1411</w:t>
            </w:r>
          </w:p>
        </w:tc>
      </w:tr>
      <w:tr w:rsidR="00000000">
        <w:tblPrEx>
          <w:tblCellMar>
            <w:top w:w="0" w:type="dxa"/>
            <w:bottom w:w="0" w:type="dxa"/>
          </w:tblCellMar>
        </w:tblPrEx>
        <w:tc>
          <w:tcPr>
            <w:tcW w:w="1417" w:type="dxa"/>
          </w:tcPr>
          <w:p w:rsidR="00000000" w:rsidRDefault="00000000">
            <w:pPr>
              <w:pStyle w:val="SingleTxt"/>
              <w:spacing w:after="0"/>
              <w:ind w:left="0" w:right="0"/>
              <w:rPr>
                <w:rtl/>
              </w:rPr>
            </w:pPr>
            <w:r>
              <w:rPr>
                <w:rtl/>
              </w:rPr>
              <w:t>11</w:t>
            </w:r>
          </w:p>
        </w:tc>
        <w:tc>
          <w:tcPr>
            <w:tcW w:w="3119" w:type="dxa"/>
          </w:tcPr>
          <w:p w:rsidR="00000000" w:rsidRDefault="00000000">
            <w:pPr>
              <w:pStyle w:val="SingleTxt"/>
              <w:spacing w:after="0"/>
              <w:ind w:left="0" w:right="0"/>
              <w:rPr>
                <w:rtl/>
              </w:rPr>
            </w:pPr>
            <w:r>
              <w:rPr>
                <w:rtl/>
              </w:rPr>
              <w:t>الخدمة المهنية</w:t>
            </w:r>
          </w:p>
        </w:tc>
        <w:tc>
          <w:tcPr>
            <w:tcW w:w="2977" w:type="dxa"/>
          </w:tcPr>
          <w:p w:rsidR="00000000" w:rsidRDefault="00000000">
            <w:pPr>
              <w:pStyle w:val="SingleTxt"/>
              <w:spacing w:after="0"/>
              <w:ind w:left="0" w:right="0"/>
              <w:rPr>
                <w:rtl/>
              </w:rPr>
            </w:pPr>
            <w:r>
              <w:rPr>
                <w:rtl/>
              </w:rPr>
              <w:t>89</w:t>
            </w:r>
          </w:p>
        </w:tc>
      </w:tr>
    </w:tbl>
    <w:p w:rsidR="00000000" w:rsidRDefault="00000000">
      <w:pPr>
        <w:pStyle w:val="SingleTxt"/>
        <w:ind w:left="1264" w:right="1264"/>
        <w:rPr>
          <w:rtl/>
        </w:rPr>
      </w:pPr>
      <w:r>
        <w:rPr>
          <w:i/>
          <w:iCs/>
          <w:szCs w:val="26"/>
          <w:rtl/>
        </w:rPr>
        <w:t>المصدر: مكتب تراخيص الأعمال</w:t>
      </w:r>
      <w:r>
        <w:rPr>
          <w:rtl/>
        </w:rPr>
        <w:t>.</w:t>
      </w:r>
    </w:p>
    <w:p w:rsidR="00000000" w:rsidRDefault="00000000">
      <w:pPr>
        <w:pStyle w:val="SingleTxt"/>
        <w:ind w:left="1264" w:right="1264"/>
        <w:rPr>
          <w:rtl/>
        </w:rPr>
      </w:pPr>
      <w:r>
        <w:rPr>
          <w:rtl/>
        </w:rPr>
        <w:tab/>
      </w:r>
      <w:r>
        <w:rPr>
          <w:rtl/>
        </w:rPr>
        <w:tab/>
        <w:t>والمشكلة ليست في أن المرأة لا تعطى حقوق متساوية مع الرجل في الشؤون المدنية، وأن الأهلية القانونية وتكافؤ الفرص لممارسة هذه الأهلية غائبة بالفعل، بل أنها نقص المعرفة والوعي فيما بين غالبية النساء بشأن وجود هذه التدابير الحمائية.</w:t>
      </w:r>
    </w:p>
    <w:p w:rsidR="00000000" w:rsidRDefault="00000000">
      <w:pPr>
        <w:pStyle w:val="SingleTxt"/>
        <w:ind w:left="1264" w:right="1264"/>
        <w:rPr>
          <w:rtl/>
        </w:rPr>
      </w:pPr>
      <w:r>
        <w:rPr>
          <w:rtl/>
        </w:rPr>
        <w:tab/>
      </w:r>
      <w:r>
        <w:rPr>
          <w:rtl/>
        </w:rPr>
        <w:tab/>
        <w:t>ولعلاج هذه الفجوة، تركز وحدة المشورة القانونية في إطار الاتحاد الوطني للنساء الأريتريات على حملات زيادة الوعي في السنوات الثلاث الأخيرة بهدف تبسيط الأحكام القانونية في جميع الأمور التي تخص المرأة. وتم تحقيقاً لذلك استحداث كتيب تدريبي يبرز بصفة رئيسية قانون الأسرة والإعلان بشأن الأرض وقضايا خاصة في القانون الجنائي (الإجهاض والاغتصاب، إلخ)</w:t>
      </w:r>
      <w:r>
        <w:rPr>
          <w:rStyle w:val="FootnoteReference"/>
          <w:rtl/>
        </w:rPr>
        <w:footnoteReference w:customMarkFollows="1" w:id="60"/>
        <w:t>(60)</w:t>
      </w:r>
      <w:r>
        <w:rPr>
          <w:rtl/>
        </w:rPr>
        <w:t>. وتدل إحصاءات وحدة المشورة القانونية على أن أكثر من 700 5 امرأة تشارك في ورش العمل المتعلقة بالمعرفة القانونية التي قامت الوحدة بتنظيمها في عام 2002.</w:t>
      </w:r>
    </w:p>
    <w:p w:rsidR="00000000" w:rsidRDefault="00000000">
      <w:pPr>
        <w:pStyle w:val="SingleTxt"/>
        <w:ind w:left="1264" w:right="1264"/>
        <w:rPr>
          <w:rtl/>
        </w:rPr>
      </w:pPr>
      <w:r>
        <w:rPr>
          <w:b/>
          <w:bCs/>
          <w:rtl/>
        </w:rPr>
        <w:t xml:space="preserve">المادة 16 </w:t>
      </w:r>
      <w:r>
        <w:rPr>
          <w:b/>
          <w:bCs/>
        </w:rPr>
        <w:t>–</w:t>
      </w:r>
      <w:r>
        <w:rPr>
          <w:b/>
          <w:bCs/>
          <w:rtl/>
        </w:rPr>
        <w:t xml:space="preserve"> الزواج والعلاقات الأسرية</w:t>
      </w:r>
    </w:p>
    <w:p w:rsidR="00000000" w:rsidRDefault="00000000">
      <w:pPr>
        <w:pStyle w:val="SingleTxt"/>
        <w:ind w:left="1264" w:right="1264"/>
        <w:rPr>
          <w:rtl/>
        </w:rPr>
      </w:pPr>
      <w:r>
        <w:rPr>
          <w:rtl/>
        </w:rPr>
        <w:tab/>
      </w:r>
      <w:r>
        <w:rPr>
          <w:rtl/>
        </w:rPr>
        <w:tab/>
        <w:t>يعتبر الزواج رابطة قانونية بين الزوجين وهو نظام خاص بزوجة واحدة إلا فيما يتعلق بالدين الإسلامي. والوضع الزواجي الجاري</w:t>
      </w:r>
      <w:r>
        <w:rPr>
          <w:rStyle w:val="FootnoteReference"/>
          <w:rtl/>
        </w:rPr>
        <w:footnoteReference w:customMarkFollows="1" w:id="61"/>
        <w:t>(61)</w:t>
      </w:r>
      <w:r>
        <w:rPr>
          <w:rtl/>
        </w:rPr>
        <w:t xml:space="preserve"> يشير إلى أن 20.2 في المائة من النساء في سن الإنجاب في أريتريا لم يتزوجوا على الإطلاق، وأن 58.5 في المائة متزوجون حالياً، وأن 1.6 في المائة يعيشون مع أقرانهم (المعاشرة)، وأن 6.9 في المائة مطلقون/منفصلون، وأن 12.5 في المائة أرامل.</w:t>
      </w:r>
    </w:p>
    <w:p w:rsidR="00000000" w:rsidRDefault="00000000">
      <w:pPr>
        <w:pStyle w:val="SingleTxt"/>
        <w:ind w:left="1264" w:right="1264"/>
        <w:rPr>
          <w:rtl/>
        </w:rPr>
      </w:pPr>
      <w:r>
        <w:rPr>
          <w:rtl/>
        </w:rPr>
        <w:tab/>
      </w:r>
      <w:r>
        <w:rPr>
          <w:rtl/>
        </w:rPr>
        <w:tab/>
        <w:t>وينظم القانون المدني لأريتريا جميع الزيجات والعلاقات الأسرية بما في ذلك الحد الأدنى لسن الزواج والطابع الإلزامي لتسجيل العقود الزواجية.</w:t>
      </w:r>
    </w:p>
    <w:p w:rsidR="00000000" w:rsidRDefault="00000000">
      <w:pPr>
        <w:pStyle w:val="SingleTxt"/>
        <w:ind w:left="1264" w:right="1264"/>
        <w:rPr>
          <w:rtl/>
        </w:rPr>
      </w:pPr>
      <w:r>
        <w:rPr>
          <w:rtl/>
        </w:rPr>
        <w:tab/>
      </w:r>
      <w:r>
        <w:rPr>
          <w:rtl/>
        </w:rPr>
        <w:tab/>
        <w:t>غير أنه لما كانت أريتريا أمة غير متجانسة وتتألف من تسع جماعات إثنية وكل منها لديه لغته الأصلية وقيمه التقليدية وقوانينه العرفية، فإن قدراً من المرونة يستوعب الجميع ما زال قائماً. وفي أريتريا التقليدية يرتبط الزواج والعلاقات الأسرية ارتباطاً تاماً بالقوانين العرفية التي يمليها كبار السن في المجتمع المحلي ورؤساء/زعماء القبائل. وباعتبار تعددية وتنوع الثقافة والدين في البلد، فإن النظام الجاري يعترف من الناحية القانونية بمختلف القوانين والممارسات الزواجية. ووفقاً لمشروع القانون المدني الانتقالي لأريتريا فإن الزواج المدني والزواج الديني والزواج العرفي هي أشكال للزواج معترف بها.</w:t>
      </w:r>
    </w:p>
    <w:p w:rsidR="00000000" w:rsidRDefault="00000000">
      <w:pPr>
        <w:pStyle w:val="SingleTxt"/>
        <w:ind w:left="1264" w:right="1264"/>
        <w:rPr>
          <w:rtl/>
        </w:rPr>
      </w:pPr>
      <w:r>
        <w:rPr>
          <w:rtl/>
        </w:rPr>
        <w:tab/>
      </w:r>
      <w:r>
        <w:rPr>
          <w:rtl/>
        </w:rPr>
        <w:tab/>
      </w:r>
      <w:r>
        <w:rPr>
          <w:i/>
          <w:iCs/>
          <w:rtl/>
        </w:rPr>
        <w:t>والزواج المدني</w:t>
      </w:r>
      <w:r>
        <w:rPr>
          <w:rtl/>
        </w:rPr>
        <w:t xml:space="preserve"> يتم عندما يظهر رجل وامرأة أمام ضابط الحالة المدنية بغرض عقد الزواج وأن يبديا موافقتهما على الزواج أمام ضابط الحالة المدنية (المادة 518).</w:t>
      </w:r>
    </w:p>
    <w:p w:rsidR="00000000" w:rsidRDefault="00000000">
      <w:pPr>
        <w:pStyle w:val="SingleTxt"/>
        <w:ind w:left="1264" w:right="1264"/>
        <w:rPr>
          <w:rtl/>
        </w:rPr>
      </w:pPr>
      <w:r>
        <w:rPr>
          <w:rtl/>
        </w:rPr>
        <w:tab/>
      </w:r>
      <w:r>
        <w:rPr>
          <w:rtl/>
        </w:rPr>
        <w:tab/>
      </w:r>
      <w:r>
        <w:rPr>
          <w:i/>
          <w:iCs/>
          <w:rtl/>
        </w:rPr>
        <w:t>والزواج الديني</w:t>
      </w:r>
      <w:r>
        <w:rPr>
          <w:rtl/>
        </w:rPr>
        <w:t xml:space="preserve"> يقع عندما يقوم رجل وامرأة بتأدية أفعال أو طقوس حسب ما يعتقد لتشكيل زواج صحيح وفقاً لدينهما أو دين أحدهما (المادة 519).</w:t>
      </w:r>
    </w:p>
    <w:p w:rsidR="00000000" w:rsidRDefault="00000000">
      <w:pPr>
        <w:pStyle w:val="SingleTxt"/>
        <w:ind w:left="1264" w:right="1264"/>
        <w:rPr>
          <w:rtl/>
        </w:rPr>
      </w:pPr>
      <w:r>
        <w:rPr>
          <w:rtl/>
        </w:rPr>
        <w:tab/>
      </w:r>
      <w:r>
        <w:rPr>
          <w:rtl/>
        </w:rPr>
        <w:tab/>
      </w:r>
      <w:r>
        <w:rPr>
          <w:i/>
          <w:iCs/>
          <w:rtl/>
        </w:rPr>
        <w:t>والزواج حسب العرف</w:t>
      </w:r>
      <w:r>
        <w:rPr>
          <w:rtl/>
        </w:rPr>
        <w:t xml:space="preserve"> يحدث عندما يؤدي رجل وامرأة طقوساً لتشكيل اتحاد دائم بينهما بموجـــب قواعــــد المجتمـــع المحلي الذي ينتمـــيان إليــــه أو الـــذي ينتمي إليه أحدهما (المادة 520).</w:t>
      </w:r>
    </w:p>
    <w:p w:rsidR="00000000" w:rsidRDefault="00000000">
      <w:pPr>
        <w:pStyle w:val="SingleTxt"/>
        <w:ind w:left="1264" w:right="1264"/>
        <w:rPr>
          <w:rtl/>
        </w:rPr>
      </w:pPr>
      <w:r>
        <w:rPr>
          <w:rtl/>
        </w:rPr>
        <w:tab/>
      </w:r>
      <w:r>
        <w:rPr>
          <w:rtl/>
        </w:rPr>
        <w:tab/>
        <w:t>وهناك الكثير من القوانين العرفية في الجزء المتعلق بالمرتفعات (ومعظم سكانها من المسيحيين) والسهول (ومعظم سكانها من المسلمين) من البلاد وهو يشمل كل الجماعات الإثنية تقريباً</w:t>
      </w:r>
      <w:r>
        <w:rPr>
          <w:rStyle w:val="FootnoteReference"/>
          <w:rtl/>
        </w:rPr>
        <w:footnoteReference w:customMarkFollows="1" w:id="62"/>
        <w:t>(62)</w:t>
      </w:r>
      <w:r>
        <w:rPr>
          <w:rtl/>
        </w:rPr>
        <w:t>، ومن بينها ما يلي:</w:t>
      </w:r>
    </w:p>
    <w:p w:rsidR="00000000" w:rsidRDefault="00000000">
      <w:pPr>
        <w:pStyle w:val="SingleTxt"/>
        <w:ind w:left="1264" w:right="1264"/>
        <w:rPr>
          <w:rtl/>
        </w:rPr>
      </w:pPr>
      <w:r>
        <w:rPr>
          <w:rtl/>
        </w:rPr>
        <w:t>•</w:t>
      </w:r>
      <w:r>
        <w:rPr>
          <w:rtl/>
        </w:rPr>
        <w:tab/>
        <w:t xml:space="preserve">القانون العرضي لمجموعة ”أدكيمي ميلغاي“ التي تم تقنينها في عام 1936 في منطقة </w:t>
      </w:r>
      <w:r>
        <w:rPr>
          <w:rtl/>
        </w:rPr>
        <w:tab/>
      </w:r>
      <w:r>
        <w:rPr>
          <w:rtl/>
        </w:rPr>
        <w:tab/>
        <w:t>تيغرينغا</w:t>
      </w:r>
    </w:p>
    <w:p w:rsidR="00000000" w:rsidRDefault="00000000">
      <w:pPr>
        <w:pStyle w:val="SingleTxt"/>
        <w:ind w:left="1264" w:right="1264"/>
        <w:rPr>
          <w:rtl/>
        </w:rPr>
      </w:pPr>
      <w:r>
        <w:rPr>
          <w:rtl/>
        </w:rPr>
        <w:t>•</w:t>
      </w:r>
      <w:r>
        <w:rPr>
          <w:rtl/>
        </w:rPr>
        <w:tab/>
        <w:t>جماعة ”أدغنا تيغيلبا“ التي تم تقنينها في عام 1937 تيغرينغا</w:t>
      </w:r>
    </w:p>
    <w:p w:rsidR="00000000" w:rsidRDefault="00000000">
      <w:pPr>
        <w:pStyle w:val="SingleTxt"/>
        <w:ind w:left="1264" w:right="1264"/>
        <w:rPr>
          <w:rtl/>
        </w:rPr>
      </w:pPr>
      <w:r>
        <w:rPr>
          <w:rtl/>
        </w:rPr>
        <w:t>•</w:t>
      </w:r>
      <w:r>
        <w:rPr>
          <w:rtl/>
        </w:rPr>
        <w:tab/>
        <w:t>جماعة لوغو </w:t>
      </w:r>
      <w:r>
        <w:t>–</w:t>
      </w:r>
      <w:r>
        <w:rPr>
          <w:rtl/>
        </w:rPr>
        <w:t xml:space="preserve"> شيوا التي تم تقنينها في عام 1413 مبدئياً ثم تم تعديلها في وقت </w:t>
      </w:r>
      <w:r>
        <w:rPr>
          <w:rtl/>
        </w:rPr>
        <w:tab/>
      </w:r>
      <w:r>
        <w:rPr>
          <w:rtl/>
        </w:rPr>
        <w:tab/>
        <w:t>لاحق وتقنينها في عام 1910 في تيغرينغا</w:t>
      </w:r>
    </w:p>
    <w:p w:rsidR="00000000" w:rsidRDefault="00000000">
      <w:pPr>
        <w:pStyle w:val="SingleTxt"/>
        <w:ind w:left="1264" w:right="1264"/>
        <w:rPr>
          <w:rtl/>
        </w:rPr>
      </w:pPr>
      <w:r>
        <w:rPr>
          <w:rtl/>
        </w:rPr>
        <w:t>•</w:t>
      </w:r>
      <w:r>
        <w:rPr>
          <w:rtl/>
        </w:rPr>
        <w:tab/>
        <w:t>جماعة كارنيشم التي تم تقنينها في عام 1910 في تغرينغا</w:t>
      </w:r>
    </w:p>
    <w:p w:rsidR="00000000" w:rsidRDefault="00000000">
      <w:pPr>
        <w:pStyle w:val="SingleTxt"/>
        <w:ind w:left="1264" w:right="1264"/>
        <w:rPr>
          <w:rtl/>
        </w:rPr>
      </w:pPr>
      <w:r>
        <w:rPr>
          <w:rtl/>
        </w:rPr>
        <w:t>•</w:t>
      </w:r>
      <w:r>
        <w:rPr>
          <w:rtl/>
        </w:rPr>
        <w:tab/>
        <w:t>جماعة لافرا شارتي التي تم تقنينها في عام 1936 في تيغرينغا</w:t>
      </w:r>
    </w:p>
    <w:p w:rsidR="00000000" w:rsidRDefault="00000000">
      <w:pPr>
        <w:pStyle w:val="SingleTxt"/>
        <w:ind w:left="1264" w:right="1264"/>
        <w:rPr>
          <w:rtl/>
        </w:rPr>
      </w:pPr>
      <w:r>
        <w:rPr>
          <w:rtl/>
        </w:rPr>
        <w:t>•</w:t>
      </w:r>
      <w:r>
        <w:rPr>
          <w:rtl/>
        </w:rPr>
        <w:tab/>
        <w:t>جماعة شيواتي أنسيبا التي تم تقنينها في عام 1910 في تيغرينغا</w:t>
      </w:r>
    </w:p>
    <w:p w:rsidR="00000000" w:rsidRDefault="00000000">
      <w:pPr>
        <w:pStyle w:val="SingleTxt"/>
        <w:ind w:left="1264" w:right="1264"/>
        <w:rPr>
          <w:rtl/>
        </w:rPr>
      </w:pPr>
      <w:r>
        <w:rPr>
          <w:rtl/>
        </w:rPr>
        <w:t>•</w:t>
      </w:r>
      <w:r>
        <w:rPr>
          <w:rtl/>
        </w:rPr>
        <w:tab/>
        <w:t>والقانون العرضي في كوناما لم يتم تقنينه ولكنه يتم تذكره شفوياً وإدارته باستمرار</w:t>
      </w:r>
    </w:p>
    <w:p w:rsidR="00000000" w:rsidRDefault="00000000">
      <w:pPr>
        <w:pStyle w:val="SingleTxt"/>
        <w:ind w:left="1264" w:right="1264"/>
        <w:rPr>
          <w:rtl/>
        </w:rPr>
      </w:pPr>
      <w:r>
        <w:rPr>
          <w:rtl/>
        </w:rPr>
        <w:t>•</w:t>
      </w:r>
      <w:r>
        <w:rPr>
          <w:rtl/>
        </w:rPr>
        <w:tab/>
        <w:t>جماعة فيتحي ميهاري التابعة لمينساي والتي تم تقنينها في عام 1913 في تيغري</w:t>
      </w:r>
    </w:p>
    <w:p w:rsidR="00000000" w:rsidRDefault="00000000">
      <w:pPr>
        <w:pStyle w:val="SingleTxt"/>
        <w:ind w:left="1264" w:right="1264"/>
        <w:rPr>
          <w:rtl/>
        </w:rPr>
      </w:pPr>
      <w:r>
        <w:rPr>
          <w:rtl/>
        </w:rPr>
        <w:t>•</w:t>
      </w:r>
      <w:r>
        <w:rPr>
          <w:rtl/>
        </w:rPr>
        <w:tab/>
        <w:t>جماعة بن عامر التي تم تقنينها في عام 1967 بالإنكليزية.</w:t>
      </w:r>
    </w:p>
    <w:p w:rsidR="00000000" w:rsidRDefault="00000000">
      <w:pPr>
        <w:pStyle w:val="SingleTxt"/>
        <w:ind w:left="1264" w:right="1264"/>
        <w:rPr>
          <w:rtl/>
        </w:rPr>
      </w:pPr>
      <w:r>
        <w:rPr>
          <w:rtl/>
        </w:rPr>
        <w:tab/>
      </w:r>
      <w:r>
        <w:rPr>
          <w:rtl/>
        </w:rPr>
        <w:tab/>
        <w:t xml:space="preserve">وفي جميع القوانين العرفية تمنح سلطة ترتيب حالات الخطوبة للآباء الذكور أو الأقارب الذكور للعريس (ما عدا بالنسبة لجماعة كوناما التي تتبع نمطاً يتعلق بسلطة الأم). وسن الزواج العرفي للبنات هو 8 </w:t>
      </w:r>
      <w:r>
        <w:t>–</w:t>
      </w:r>
      <w:r>
        <w:rPr>
          <w:rtl/>
        </w:rPr>
        <w:t xml:space="preserve"> 15 سنة وللبنين هو 12 </w:t>
      </w:r>
      <w:r>
        <w:t>–</w:t>
      </w:r>
      <w:r>
        <w:rPr>
          <w:rtl/>
        </w:rPr>
        <w:t xml:space="preserve"> 15 سنة. ولا يحق للمرأة أن تقدم التماساً بالطلاق تحت أي ظرف غير أنه في بعض القبائل يتم الطلب إلى زوجها بدعوة أبويها للتدخل نيابة عنها.</w:t>
      </w:r>
    </w:p>
    <w:p w:rsidR="00000000" w:rsidRDefault="00000000">
      <w:pPr>
        <w:pStyle w:val="SingleTxt"/>
        <w:ind w:left="1264" w:right="1264"/>
        <w:rPr>
          <w:i/>
          <w:iCs/>
          <w:rtl/>
        </w:rPr>
      </w:pPr>
      <w:r>
        <w:rPr>
          <w:b/>
          <w:bCs/>
          <w:i/>
          <w:iCs/>
          <w:rtl/>
        </w:rPr>
        <w:t>إصلاح القانون في الزواج</w:t>
      </w:r>
    </w:p>
    <w:p w:rsidR="00000000" w:rsidRDefault="00000000">
      <w:pPr>
        <w:pStyle w:val="SingleTxt"/>
        <w:ind w:left="1264" w:right="1264"/>
        <w:rPr>
          <w:rtl/>
        </w:rPr>
      </w:pPr>
      <w:r>
        <w:rPr>
          <w:rtl/>
        </w:rPr>
        <w:tab/>
      </w:r>
      <w:r>
        <w:rPr>
          <w:rtl/>
        </w:rPr>
        <w:tab/>
        <w:t>ترسي السياسة الحالية لدولة أريتريا الأساس للإصلاحات القانونية المتعلقة بحقوق المرأة. وهي مكرسة بوضوح في السياسة المتعلقة بنوع الجنس كما يلي:</w:t>
      </w:r>
    </w:p>
    <w:p w:rsidR="00000000" w:rsidRDefault="00000000">
      <w:pPr>
        <w:pStyle w:val="SingleTxt"/>
        <w:ind w:left="1264" w:right="1264"/>
        <w:rPr>
          <w:rtl/>
        </w:rPr>
      </w:pPr>
      <w:r>
        <w:rPr>
          <w:rtl/>
        </w:rPr>
        <w:tab/>
      </w:r>
      <w:r>
        <w:rPr>
          <w:rtl/>
        </w:rPr>
        <w:tab/>
        <w:t>”ب -</w:t>
      </w:r>
      <w:r>
        <w:rPr>
          <w:rtl/>
        </w:rPr>
        <w:tab/>
      </w:r>
      <w:r>
        <w:rPr>
          <w:i/>
          <w:iCs/>
          <w:rtl/>
        </w:rPr>
        <w:t xml:space="preserve">الحق المتساوي للمرأة سيتم إعلاؤه وتغيير جميع القوانين التي تنتقص من هذا </w:t>
      </w:r>
      <w:r>
        <w:rPr>
          <w:i/>
          <w:iCs/>
          <w:rtl/>
        </w:rPr>
        <w:tab/>
      </w:r>
      <w:r>
        <w:rPr>
          <w:i/>
          <w:iCs/>
          <w:rtl/>
        </w:rPr>
        <w:tab/>
      </w:r>
      <w:r>
        <w:rPr>
          <w:i/>
          <w:iCs/>
          <w:rtl/>
        </w:rPr>
        <w:tab/>
        <w:t>الحق.</w:t>
      </w:r>
      <w:r>
        <w:rPr>
          <w:rtl/>
        </w:rPr>
        <w:t>“</w:t>
      </w:r>
    </w:p>
    <w:p w:rsidR="00000000" w:rsidRDefault="00000000">
      <w:pPr>
        <w:pStyle w:val="SingleTxt"/>
        <w:ind w:left="1264" w:right="1264"/>
        <w:rPr>
          <w:rtl/>
        </w:rPr>
      </w:pPr>
      <w:r>
        <w:rPr>
          <w:rtl/>
        </w:rPr>
        <w:tab/>
      </w:r>
      <w:r>
        <w:rPr>
          <w:rtl/>
        </w:rPr>
        <w:tab/>
        <w:t>ومن ثم تم تشكيل لجنة إصلاح القوانين في عام 1997 تحت إشراف وزارة العدل وأعدت اللجنة مشروع قانون مدني ومشروع قانون عقوبات يأخذان في اعتبارهما حقوق الإنسان الأساسية والمساواة بين الجنسين وجميع الحقوق الدستورية المتعلقة بالمرأة. وعلى الرغم من أنه بعد الاستقلال الوطني تم إقرار القانون المدني والجنائي الاستعماري، فإنه كان مع ذلك يدعمه إعلان إصلاح القوانين رقم 1/1991 الذي أبطل وأصلح القوانين لملاءمة الأفضلية القانونية الأريترية وأشير إليه على أنه قانون أريتريا الانتقالي. وكان تسجيل الزيجات، والحد الأدنى لسن الزواج، وفترة الترمل، والآثار المالية للزواج والطلاق، والوراثة، إلخ، هي بعض القضايا التي تم إصلاحها. وتستخدم المحاكم حالياً قانون أريتريا الانتقالي إلى أن يتم إقرار مشروع القانون من جانب البرلمان.</w:t>
      </w:r>
    </w:p>
    <w:p w:rsidR="00000000" w:rsidRDefault="00000000">
      <w:pPr>
        <w:pStyle w:val="SingleTxt"/>
        <w:ind w:left="1264" w:right="1264"/>
        <w:rPr>
          <w:rtl/>
        </w:rPr>
      </w:pPr>
      <w:r>
        <w:rPr>
          <w:rtl/>
        </w:rPr>
        <w:tab/>
      </w:r>
      <w:r>
        <w:rPr>
          <w:rtl/>
        </w:rPr>
        <w:tab/>
        <w:t>وتشمل جميع أشكال الزواج (ما عدا الزواج حسب الشريعة) الزيجات العرفية والدينية في مشروع القانون المدني الجديد. ولقانون أريتريا الانتقالي شروط ملزمة مشتركة تعزز حق المرأة في عقود الزواج. ومنها ما يلي:</w:t>
      </w:r>
    </w:p>
    <w:p w:rsidR="00000000" w:rsidRDefault="00000000">
      <w:pPr>
        <w:pStyle w:val="SingleTxt"/>
        <w:ind w:left="1264" w:right="1264"/>
        <w:rPr>
          <w:i/>
          <w:iCs/>
          <w:rtl/>
        </w:rPr>
      </w:pPr>
      <w:r>
        <w:rPr>
          <w:rtl/>
        </w:rPr>
        <w:tab/>
      </w:r>
      <w:r>
        <w:rPr>
          <w:rtl/>
        </w:rPr>
        <w:tab/>
        <w:t>”</w:t>
      </w:r>
      <w:r>
        <w:rPr>
          <w:i/>
          <w:iCs/>
          <w:rtl/>
        </w:rPr>
        <w:t xml:space="preserve">لا يجوز للرجل والمرأة اللذين لم يبلغا كليهما السن الكاملة لـ 18 سنة أن يعقدا </w:t>
      </w:r>
      <w:r>
        <w:rPr>
          <w:i/>
          <w:iCs/>
          <w:rtl/>
        </w:rPr>
        <w:tab/>
      </w:r>
      <w:r>
        <w:rPr>
          <w:i/>
          <w:iCs/>
          <w:rtl/>
        </w:rPr>
        <w:tab/>
        <w:t xml:space="preserve">الزواج (المادة 521). وفي حالة أن تكون المرأة حاملاً أو وضعت طفلاً بالفعل في </w:t>
      </w:r>
      <w:r>
        <w:rPr>
          <w:i/>
          <w:iCs/>
          <w:rtl/>
        </w:rPr>
        <w:tab/>
      </w:r>
      <w:r>
        <w:rPr>
          <w:i/>
          <w:iCs/>
          <w:rtl/>
        </w:rPr>
        <w:tab/>
        <w:t>سن السادسة عشرة يجوز منح الإعفاء من القاعدة المتعلقة بالسن</w:t>
      </w:r>
      <w:r>
        <w:rPr>
          <w:rtl/>
        </w:rPr>
        <w:t>“</w:t>
      </w:r>
      <w:r>
        <w:rPr>
          <w:i/>
          <w:iCs/>
          <w:rtl/>
        </w:rPr>
        <w:t>.</w:t>
      </w:r>
    </w:p>
    <w:p w:rsidR="00000000" w:rsidRDefault="00000000">
      <w:pPr>
        <w:pStyle w:val="SingleTxt"/>
        <w:ind w:left="1264" w:right="1264"/>
        <w:rPr>
          <w:rtl/>
        </w:rPr>
      </w:pPr>
      <w:r>
        <w:rPr>
          <w:i/>
          <w:iCs/>
          <w:rtl/>
        </w:rPr>
        <w:tab/>
      </w:r>
      <w:r>
        <w:rPr>
          <w:i/>
          <w:iCs/>
          <w:rtl/>
        </w:rPr>
        <w:tab/>
      </w:r>
      <w:r>
        <w:rPr>
          <w:rtl/>
        </w:rPr>
        <w:t>”</w:t>
      </w:r>
      <w:r>
        <w:rPr>
          <w:i/>
          <w:iCs/>
          <w:rtl/>
        </w:rPr>
        <w:t>تحظر الزيجات بين شخصين يرتبطان بقرابة أو عصب (المادة 522/523)</w:t>
      </w:r>
      <w:r>
        <w:rPr>
          <w:rtl/>
        </w:rPr>
        <w:t>“</w:t>
      </w:r>
    </w:p>
    <w:p w:rsidR="00000000" w:rsidRDefault="00000000">
      <w:pPr>
        <w:pStyle w:val="SingleTxt"/>
        <w:ind w:left="1264" w:right="1264"/>
        <w:rPr>
          <w:rtl/>
        </w:rPr>
      </w:pPr>
      <w:r>
        <w:rPr>
          <w:rtl/>
        </w:rPr>
        <w:tab/>
      </w:r>
      <w:r>
        <w:rPr>
          <w:rtl/>
        </w:rPr>
        <w:tab/>
        <w:t>”</w:t>
      </w:r>
      <w:r>
        <w:rPr>
          <w:i/>
          <w:iCs/>
          <w:rtl/>
        </w:rPr>
        <w:t xml:space="preserve">كل مــن الزوجين ســوف يوافـق شخصياً على الزواج عندما يعقد الزواج </w:t>
      </w:r>
      <w:r>
        <w:rPr>
          <w:i/>
          <w:iCs/>
          <w:rtl/>
        </w:rPr>
        <w:tab/>
      </w:r>
      <w:r>
        <w:rPr>
          <w:i/>
          <w:iCs/>
          <w:rtl/>
        </w:rPr>
        <w:tab/>
        <w:t xml:space="preserve">(525)... ولن يسمح بالتمثيل إلا عند إعطاء إعفاء لأسباب وجيهة من جانب </w:t>
      </w:r>
      <w:r>
        <w:rPr>
          <w:i/>
          <w:iCs/>
          <w:rtl/>
        </w:rPr>
        <w:tab/>
      </w:r>
      <w:r>
        <w:rPr>
          <w:i/>
          <w:iCs/>
          <w:rtl/>
        </w:rPr>
        <w:tab/>
        <w:t>المدعي العام</w:t>
      </w:r>
      <w:r>
        <w:rPr>
          <w:rtl/>
        </w:rPr>
        <w:t>“</w:t>
      </w:r>
    </w:p>
    <w:p w:rsidR="00000000" w:rsidRDefault="00000000">
      <w:pPr>
        <w:pStyle w:val="SingleTxt"/>
        <w:ind w:left="1264" w:right="1264"/>
        <w:rPr>
          <w:rtl/>
        </w:rPr>
      </w:pPr>
      <w:r>
        <w:rPr>
          <w:rtl/>
        </w:rPr>
        <w:tab/>
      </w:r>
      <w:r>
        <w:rPr>
          <w:rtl/>
        </w:rPr>
        <w:tab/>
        <w:t>”</w:t>
      </w:r>
      <w:r>
        <w:rPr>
          <w:i/>
          <w:iCs/>
          <w:rtl/>
        </w:rPr>
        <w:t>لن تكون أي موافقة صحيحة إذا تم انتزاعها بالتهديد (المادة 528) إلخ</w:t>
      </w:r>
      <w:r>
        <w:rPr>
          <w:rtl/>
        </w:rPr>
        <w:t>“</w:t>
      </w:r>
    </w:p>
    <w:p w:rsidR="00000000" w:rsidRDefault="00000000">
      <w:pPr>
        <w:pStyle w:val="SingleTxt"/>
        <w:ind w:left="1264" w:right="1264"/>
        <w:rPr>
          <w:rtl/>
        </w:rPr>
      </w:pPr>
      <w:r>
        <w:rPr>
          <w:rtl/>
        </w:rPr>
        <w:tab/>
      </w:r>
      <w:r>
        <w:rPr>
          <w:rtl/>
        </w:rPr>
        <w:tab/>
        <w:t>وتكفل حالياً الحمايتين القانونية والإدارية عن طريق إصلاح قانون الأسرة وتنفيذه وتطبيقه على الوجه الصحيح. وينص القانون على أن تعقد جميع الزيجات بالدعم المتبادل والتفاهم المتبادل ويكون كل من الزوج والزوجة مسؤول عن رعاية الأسرة. ويقضي مشروع القانون بما يلي:</w:t>
      </w:r>
    </w:p>
    <w:p w:rsidR="00000000" w:rsidRDefault="00000000">
      <w:pPr>
        <w:pStyle w:val="SingleTxt"/>
        <w:ind w:left="1264" w:right="1264"/>
        <w:rPr>
          <w:i/>
          <w:iCs/>
          <w:rtl/>
        </w:rPr>
      </w:pPr>
      <w:r>
        <w:rPr>
          <w:rtl/>
        </w:rPr>
        <w:tab/>
      </w:r>
      <w:r>
        <w:rPr>
          <w:rtl/>
        </w:rPr>
        <w:tab/>
        <w:t>”</w:t>
      </w:r>
      <w:r>
        <w:rPr>
          <w:i/>
          <w:iCs/>
          <w:rtl/>
        </w:rPr>
        <w:t xml:space="preserve">يدين كل من الزوجين باحترام أحدهما الآخر وإخلاصه وحمايته ودعمه ومساعدته </w:t>
      </w:r>
      <w:r>
        <w:rPr>
          <w:i/>
          <w:iCs/>
          <w:rtl/>
        </w:rPr>
        <w:tab/>
      </w:r>
      <w:r>
        <w:rPr>
          <w:i/>
          <w:iCs/>
          <w:rtl/>
        </w:rPr>
        <w:tab/>
        <w:t>(المادة 564)</w:t>
      </w:r>
    </w:p>
    <w:p w:rsidR="00000000" w:rsidRDefault="00000000">
      <w:pPr>
        <w:pStyle w:val="SingleTxt"/>
        <w:ind w:left="1264" w:right="1264"/>
        <w:rPr>
          <w:i/>
          <w:iCs/>
          <w:rtl/>
        </w:rPr>
      </w:pPr>
      <w:r>
        <w:rPr>
          <w:i/>
          <w:iCs/>
          <w:rtl/>
        </w:rPr>
        <w:tab/>
      </w:r>
      <w:r>
        <w:rPr>
          <w:i/>
          <w:iCs/>
          <w:rtl/>
        </w:rPr>
        <w:tab/>
        <w:t xml:space="preserve">سوف تتعاون الزوجة لصالح الأسرة، وعلى أساس المساواة في حقوق ومسؤوليات </w:t>
      </w:r>
      <w:r>
        <w:rPr>
          <w:i/>
          <w:iCs/>
          <w:rtl/>
        </w:rPr>
        <w:tab/>
      </w:r>
      <w:r>
        <w:rPr>
          <w:i/>
          <w:iCs/>
          <w:rtl/>
        </w:rPr>
        <w:tab/>
        <w:t xml:space="preserve">كل من الجنسين، لكفالة الاتجاه الأدبي والمادي للأسرة، وتنشئة الأطفال ليتبوءوا </w:t>
      </w:r>
      <w:r>
        <w:rPr>
          <w:i/>
          <w:iCs/>
          <w:rtl/>
        </w:rPr>
        <w:tab/>
      </w:r>
      <w:r>
        <w:rPr>
          <w:i/>
          <w:iCs/>
          <w:rtl/>
        </w:rPr>
        <w:tab/>
        <w:t>مكانهم في المجتمع (المادة 565)</w:t>
      </w:r>
    </w:p>
    <w:p w:rsidR="00000000" w:rsidRDefault="00000000">
      <w:pPr>
        <w:pStyle w:val="SingleTxt"/>
        <w:ind w:left="1264" w:right="1264"/>
        <w:rPr>
          <w:rtl/>
        </w:rPr>
      </w:pPr>
      <w:r>
        <w:rPr>
          <w:i/>
          <w:iCs/>
          <w:rtl/>
        </w:rPr>
        <w:tab/>
      </w:r>
      <w:r>
        <w:rPr>
          <w:i/>
          <w:iCs/>
          <w:rtl/>
        </w:rPr>
        <w:tab/>
        <w:t>يتم إعداد سجل للزواج في الزيجات العرفية والدينية (المادة 543/544)</w:t>
      </w:r>
      <w:r>
        <w:rPr>
          <w:rtl/>
        </w:rPr>
        <w:t>“.</w:t>
      </w:r>
    </w:p>
    <w:p w:rsidR="00000000" w:rsidRDefault="00000000">
      <w:pPr>
        <w:pStyle w:val="SingleTxt"/>
        <w:ind w:left="1264" w:right="1264"/>
        <w:rPr>
          <w:rtl/>
        </w:rPr>
      </w:pPr>
      <w:r>
        <w:rPr>
          <w:rtl/>
        </w:rPr>
        <w:tab/>
      </w:r>
      <w:r>
        <w:rPr>
          <w:rtl/>
        </w:rPr>
        <w:tab/>
        <w:t>وجانب التحدي في عملية إصلاح القانون هذه هو تحقيق المواءمة بين حكم قانون الشريعة مع أحكام قانون الأسرة في إطار القانون المدني. ويمارس قانون الشريعة أحكامه الخاصة بالطلاق والإرث وإدارة الملكية، وهي مستقلة عن القانون المدني. وعندما تتزوج المرأة حسب قانون الشريعة، فإنها ملزمة بأحكام الشريعة في حالة الطلاق ورعاية الطفل والنفقة والإرث التي تختلف عن أحكام القانون المدني.</w:t>
      </w:r>
    </w:p>
    <w:p w:rsidR="00000000" w:rsidRDefault="00000000">
      <w:pPr>
        <w:pStyle w:val="SingleTxt"/>
        <w:ind w:left="1264" w:right="1264"/>
        <w:rPr>
          <w:rtl/>
        </w:rPr>
      </w:pPr>
      <w:r>
        <w:rPr>
          <w:rtl/>
        </w:rPr>
        <w:tab/>
      </w:r>
      <w:r>
        <w:rPr>
          <w:rtl/>
        </w:rPr>
        <w:tab/>
        <w:t>ويحظر القانون الزيجات القائمة على القرابة والنسب أو التزوج من إثنتين.</w:t>
      </w:r>
    </w:p>
    <w:p w:rsidR="00000000" w:rsidRDefault="00000000">
      <w:pPr>
        <w:pStyle w:val="SingleTxt"/>
        <w:ind w:left="1264" w:right="1264"/>
        <w:rPr>
          <w:i/>
          <w:iCs/>
          <w:rtl/>
        </w:rPr>
      </w:pPr>
      <w:r>
        <w:rPr>
          <w:b/>
          <w:bCs/>
          <w:i/>
          <w:iCs/>
          <w:rtl/>
        </w:rPr>
        <w:t>الخطبة والزواج دون السن</w:t>
      </w:r>
    </w:p>
    <w:p w:rsidR="00000000" w:rsidRDefault="00000000">
      <w:pPr>
        <w:pStyle w:val="SingleTxt"/>
        <w:ind w:left="1264" w:right="1264"/>
        <w:rPr>
          <w:rtl/>
        </w:rPr>
      </w:pPr>
      <w:r>
        <w:rPr>
          <w:rtl/>
        </w:rPr>
        <w:tab/>
      </w:r>
      <w:r>
        <w:rPr>
          <w:rtl/>
        </w:rPr>
        <w:tab/>
        <w:t>كان الزواج دون السن من الفتيات ممارسة شائعة فيما بين المجتمعات المحلية الأريترية. وكان يتم زواج الفتيات باتفاقات جرى ترتيبها بين العائلات دون موافقة الفتيات في سن الثالثة عشرة، دون حتى الاستفسار عن الصحة والسن والحالات الأخرى للرجل. وكان الزواج عن طريق الاختطاف أو التهديد ظاهرة مقبولة وكذلك الزواج لتسوية صراعات الأسرة وتبرئة الساحة. وتمتد فترة الترمل إلى مدى الحياة بالنسبة للمرأة في حين يسمح للرجل بالزواج في اليوم التالي.</w:t>
      </w:r>
    </w:p>
    <w:p w:rsidR="00000000" w:rsidRDefault="00000000">
      <w:pPr>
        <w:pStyle w:val="SingleTxt"/>
        <w:ind w:left="1264" w:right="1264"/>
        <w:rPr>
          <w:rtl/>
        </w:rPr>
      </w:pPr>
      <w:r>
        <w:rPr>
          <w:rtl/>
        </w:rPr>
        <w:tab/>
      </w:r>
      <w:r>
        <w:rPr>
          <w:rtl/>
        </w:rPr>
        <w:tab/>
        <w:t>وبدأ الزواج التقليدي والعرفي ينخفض خلال كفاح التحرير عندما أعلنت قوات التحرير الشعبي لأريتريا قانوناً جديداً للأسرة يحظر بعض الأفعال مثل ثمن العروس والاختطاف والزواج دون السن، إلخ، وهو ما يمثل تمييزاً ضد المرأة واضطهاداً لحقوقها. ومن الطبيعي أن القوانين والنظم لا تعمل وحدها وأنها تتعزز من خلال حملات لإذكاء الوعي لتغيير الاتجاهات التقليدية في الفكر وكفالة الاستجابة العقلية للمجتمع المحلي للأخذ بحالة التغيير نحو تحرير المرأة. وقد تم اكتساب تغييرات لا تنكر على مر الوقت مما كان له تأثير على انخفاض الزيجات المبكرة. واليوم تحدد السن القانونية للزواج بالنسبة للفتيات بـ 18 سنة بموجب القانون.</w:t>
      </w:r>
    </w:p>
    <w:p w:rsidR="00000000" w:rsidRDefault="00000000">
      <w:pPr>
        <w:pStyle w:val="SingleTxt"/>
        <w:ind w:left="1264" w:right="1264"/>
        <w:rPr>
          <w:rtl/>
        </w:rPr>
      </w:pPr>
      <w:r>
        <w:rPr>
          <w:rtl/>
        </w:rPr>
        <w:tab/>
      </w:r>
      <w:r>
        <w:rPr>
          <w:rtl/>
        </w:rPr>
        <w:tab/>
        <w:t xml:space="preserve">ووفقاً للاستقصاء الديمغرافي والصحي لعام 1995، فإن السن المتوسط للزواج الأول للمرأة في أريتريا قد ارتفع باطراد من 16 سنة فيما بين النساء البالغات 40 </w:t>
      </w:r>
      <w:r>
        <w:t>–</w:t>
      </w:r>
      <w:r>
        <w:rPr>
          <w:rtl/>
        </w:rPr>
        <w:t xml:space="preserve"> 49 سنة. من العمر إلى 18 سنة فيما بين النساء البالغات 20 </w:t>
      </w:r>
      <w:r>
        <w:t>–</w:t>
      </w:r>
      <w:r>
        <w:rPr>
          <w:rtl/>
        </w:rPr>
        <w:t xml:space="preserve"> 24 سنة. وانخفضت نسبة النساء المتزوجات في سن 15 من 31 في المائة فيما بين النساء البالغات 45 </w:t>
      </w:r>
      <w:r>
        <w:t>–</w:t>
      </w:r>
      <w:r>
        <w:rPr>
          <w:rtl/>
        </w:rPr>
        <w:t xml:space="preserve"> 49 سنة إلى 20 في المائة فيما بين النساء البالغات 15 </w:t>
      </w:r>
      <w:r>
        <w:t>–</w:t>
      </w:r>
      <w:r>
        <w:rPr>
          <w:rtl/>
        </w:rPr>
        <w:t xml:space="preserve"> 19 سنة. وعلى العموم، فإن 73 في المائة من النساء المتزوجات حالياً والبالغات 25 </w:t>
      </w:r>
      <w:r>
        <w:t>–</w:t>
      </w:r>
      <w:r>
        <w:rPr>
          <w:rtl/>
        </w:rPr>
        <w:t xml:space="preserve"> 29 سنة قد تزوجن في سن العشرين. ويعقد الرجل أول زواج في سن أعلى بكثير من سن المرأة: ويبلغ متوسط السن عند الزواج الأول فيما بين الرجال البالغين من العمر 25 </w:t>
      </w:r>
      <w:r>
        <w:t>–</w:t>
      </w:r>
      <w:r>
        <w:rPr>
          <w:rtl/>
        </w:rPr>
        <w:t xml:space="preserve"> 59 سنة، 25 سنة.</w:t>
      </w:r>
    </w:p>
    <w:p w:rsidR="00000000" w:rsidRDefault="00000000">
      <w:pPr>
        <w:pStyle w:val="SingleTxt"/>
        <w:ind w:left="1264" w:right="1264"/>
        <w:rPr>
          <w:rtl/>
        </w:rPr>
      </w:pPr>
      <w:r>
        <w:rPr>
          <w:rtl/>
        </w:rPr>
        <w:tab/>
      </w:r>
      <w:r>
        <w:rPr>
          <w:rtl/>
        </w:rPr>
        <w:tab/>
        <w:t>وما زالت الخطة سارية فيما بين المجتمعات المحلية الأريترية. وتستخدم كنقطة انطلاق نحو الزواج. ووفقاً للقانون المدني (الأسرة) الراهن، يمكن إجراء الخطبة</w:t>
      </w:r>
      <w:r>
        <w:rPr>
          <w:rStyle w:val="FootnoteReference"/>
          <w:rtl/>
        </w:rPr>
        <w:footnoteReference w:customMarkFollows="1" w:id="63"/>
        <w:t>(63)</w:t>
      </w:r>
      <w:r>
        <w:rPr>
          <w:rtl/>
        </w:rPr>
        <w:t xml:space="preserve"> أمام اثنين من الشهود. غير أنها لا يمكن أن تدخل في سجلات الحالة المدنية. ولا يمكن أيضاً أن يكون لها أثر إلى حين أن يبلغ الزوجان في المستقبل سن الزواج كما يتطلب القانون. وفي الأيام الأولى يقيم الآباء الخطبة نيابة عن فتياتهم الصغيرات (5 </w:t>
      </w:r>
      <w:r>
        <w:t>–</w:t>
      </w:r>
      <w:r>
        <w:rPr>
          <w:rtl/>
        </w:rPr>
        <w:t xml:space="preserve"> 10 سنوات من العمر) اللاتي يمكثن مرتبطات إلى أن يبلغن سن البلوغ. ويوجد حالياً سن محددة لفترة الخطبة بموجب مشروع القانون الجديد. وإذا لم يتم الاتفاق على فترة محددة وقت الخطبة، فإن الزواج يعقد خلال ستة أشهر اعتباراً من التاريخ الذي أعرب فيه كلاً من زوجي المستقبل عن رغبتهما في الاحتفال بالزواج.</w:t>
      </w:r>
    </w:p>
    <w:p w:rsidR="00000000" w:rsidRDefault="00000000">
      <w:pPr>
        <w:pStyle w:val="SingleTxt"/>
        <w:ind w:left="1264" w:right="1264"/>
        <w:rPr>
          <w:i/>
          <w:iCs/>
          <w:rtl/>
        </w:rPr>
      </w:pPr>
      <w:r>
        <w:rPr>
          <w:b/>
          <w:bCs/>
          <w:i/>
          <w:iCs/>
          <w:rtl/>
        </w:rPr>
        <w:t>الطلاق</w:t>
      </w:r>
    </w:p>
    <w:p w:rsidR="00000000" w:rsidRDefault="00000000">
      <w:pPr>
        <w:pStyle w:val="SingleTxt"/>
        <w:ind w:left="1264" w:right="1264"/>
        <w:rPr>
          <w:rtl/>
        </w:rPr>
      </w:pPr>
      <w:r>
        <w:rPr>
          <w:rtl/>
        </w:rPr>
        <w:tab/>
      </w:r>
      <w:r>
        <w:rPr>
          <w:rtl/>
        </w:rPr>
        <w:tab/>
        <w:t>توجد شروط مقبولة من الناحية القانونية لإنهاء الزواج، وهي يمكن أن تكون وفاة أحد الزوجين؛ والطلاق لأسباب جادة (عندما يرتكب أحد الزوجين جريمة الزنا، وعندما يقوم أحد الزوجين بالهجران)، وبموجب قرار من المحكمة، (المادة 663). وتبذل الجهود للتوفيق بين الزوجين عن طريق تحكيم الأسرة قبل أن تأمر المحكمة بالطلاق.</w:t>
      </w:r>
    </w:p>
    <w:p w:rsidR="00000000" w:rsidRDefault="00000000">
      <w:pPr>
        <w:pStyle w:val="SingleTxt"/>
        <w:ind w:left="1264" w:right="1264"/>
        <w:rPr>
          <w:rtl/>
        </w:rPr>
      </w:pPr>
      <w:r>
        <w:rPr>
          <w:rtl/>
        </w:rPr>
        <w:tab/>
      </w:r>
      <w:r>
        <w:rPr>
          <w:rtl/>
        </w:rPr>
        <w:tab/>
        <w:t>ووفقاً للقانون المدني لأريتريا، لا يمكن ثمة أثر لأي عمل انفرادي من أعمال التنصل من جانب الزوج إزاء الزوجة أو الزوجة إزاء الزوج. وفي حالة الطلاق، يمكن تقديم التماس ضد الطلاق إلى محكمي الأسرة سواء من جانب الزوجين أو أحدهما.</w:t>
      </w:r>
    </w:p>
    <w:p w:rsidR="00000000" w:rsidRDefault="00000000">
      <w:pPr>
        <w:pStyle w:val="SingleTxt"/>
        <w:ind w:left="1264" w:right="1264"/>
        <w:rPr>
          <w:rtl/>
        </w:rPr>
      </w:pPr>
      <w:r>
        <w:rPr>
          <w:rtl/>
        </w:rPr>
        <w:tab/>
      </w:r>
      <w:r>
        <w:rPr>
          <w:rtl/>
        </w:rPr>
        <w:tab/>
        <w:t>غير أنه إذا فشل التحكيم ووقع الطلاق بموجب القانون المدني فلا بُد من تطبيق الأحكام التالية</w:t>
      </w:r>
      <w:r>
        <w:rPr>
          <w:rStyle w:val="FootnoteReference"/>
          <w:rtl/>
        </w:rPr>
        <w:footnoteReference w:customMarkFollows="1" w:id="64"/>
        <w:t>(64)</w:t>
      </w:r>
      <w:r>
        <w:rPr>
          <w:rtl/>
        </w:rPr>
        <w:t>:</w:t>
      </w:r>
    </w:p>
    <w:p w:rsidR="00000000" w:rsidRDefault="00000000">
      <w:pPr>
        <w:pStyle w:val="SingleTxt"/>
        <w:ind w:left="1264" w:right="1264"/>
        <w:rPr>
          <w:rtl/>
        </w:rPr>
      </w:pPr>
      <w:r>
        <w:rPr>
          <w:rtl/>
        </w:rPr>
        <w:t>•</w:t>
      </w:r>
      <w:r>
        <w:rPr>
          <w:rtl/>
        </w:rPr>
        <w:tab/>
        <w:t>تصفية العلاقات المالية.</w:t>
      </w:r>
    </w:p>
    <w:p w:rsidR="00000000" w:rsidRDefault="00000000">
      <w:pPr>
        <w:pStyle w:val="SingleTxt"/>
        <w:ind w:left="1264" w:right="1264"/>
        <w:rPr>
          <w:rtl/>
        </w:rPr>
      </w:pPr>
      <w:r>
        <w:rPr>
          <w:rtl/>
        </w:rPr>
        <w:t>•</w:t>
      </w:r>
      <w:r>
        <w:rPr>
          <w:rtl/>
        </w:rPr>
        <w:tab/>
        <w:t xml:space="preserve">تنظيم الوصاية على الأطفال المولودين من الزواج أو إعالتهم باعتبار مصلحة </w:t>
      </w:r>
      <w:r>
        <w:rPr>
          <w:rtl/>
        </w:rPr>
        <w:tab/>
      </w:r>
      <w:r>
        <w:rPr>
          <w:rtl/>
        </w:rPr>
        <w:tab/>
        <w:t>الأطفال فقط. ويعهد بالأطفال إلى أمهم حتى سن الخامسة.</w:t>
      </w:r>
    </w:p>
    <w:p w:rsidR="00000000" w:rsidRDefault="00000000">
      <w:pPr>
        <w:pStyle w:val="SingleTxt"/>
        <w:ind w:left="1264" w:right="1264"/>
        <w:rPr>
          <w:rtl/>
        </w:rPr>
      </w:pPr>
      <w:r>
        <w:rPr>
          <w:rtl/>
        </w:rPr>
        <w:t>•</w:t>
      </w:r>
      <w:r>
        <w:rPr>
          <w:rtl/>
        </w:rPr>
        <w:tab/>
        <w:t>يكفل الزوج نفقة للطفل تقررها لجنة التحكيم.</w:t>
      </w:r>
    </w:p>
    <w:p w:rsidR="00000000" w:rsidRDefault="00000000">
      <w:pPr>
        <w:pStyle w:val="SingleTxt"/>
        <w:ind w:left="1264" w:right="1264"/>
        <w:rPr>
          <w:rtl/>
        </w:rPr>
      </w:pPr>
      <w:r>
        <w:rPr>
          <w:rtl/>
        </w:rPr>
        <w:t>•</w:t>
      </w:r>
      <w:r>
        <w:rPr>
          <w:rtl/>
        </w:rPr>
        <w:tab/>
        <w:t xml:space="preserve">تقسم الملكية المشتركة على أسس متساوية بين الزوجين وتتم تسوية الديون </w:t>
      </w:r>
      <w:r>
        <w:rPr>
          <w:rtl/>
        </w:rPr>
        <w:tab/>
      </w:r>
      <w:r>
        <w:rPr>
          <w:rtl/>
        </w:rPr>
        <w:tab/>
        <w:t>المشتركة. وهذا ينطبق أيضاً في حالة المعاشرة.</w:t>
      </w:r>
    </w:p>
    <w:p w:rsidR="00000000" w:rsidRDefault="00000000">
      <w:pPr>
        <w:pStyle w:val="SingleTxt"/>
        <w:ind w:left="1264" w:right="1264"/>
        <w:rPr>
          <w:rtl/>
        </w:rPr>
      </w:pPr>
      <w:r>
        <w:rPr>
          <w:rtl/>
        </w:rPr>
        <w:t>•</w:t>
      </w:r>
      <w:r>
        <w:rPr>
          <w:rtl/>
        </w:rPr>
        <w:tab/>
        <w:t>الحق في أخذ أمتعها الشخصية.</w:t>
      </w:r>
    </w:p>
    <w:p w:rsidR="00000000" w:rsidRDefault="00000000">
      <w:pPr>
        <w:pStyle w:val="SingleTxt"/>
        <w:ind w:left="1264" w:right="1264"/>
        <w:rPr>
          <w:rtl/>
        </w:rPr>
      </w:pPr>
      <w:r>
        <w:rPr>
          <w:rtl/>
        </w:rPr>
        <w:tab/>
        <w:t>ويستثنى من ذلك اتباع الشريعة الإسلامية</w:t>
      </w:r>
    </w:p>
    <w:p w:rsidR="00000000" w:rsidRDefault="00000000">
      <w:pPr>
        <w:pStyle w:val="SingleTxt"/>
        <w:ind w:left="1264" w:right="1264"/>
        <w:rPr>
          <w:rtl/>
        </w:rPr>
      </w:pPr>
      <w:r>
        <w:rPr>
          <w:rtl/>
        </w:rPr>
        <w:tab/>
      </w:r>
      <w:r>
        <w:rPr>
          <w:rtl/>
        </w:rPr>
        <w:tab/>
        <w:t>ويقوم محكمو الأسرة الذين يعينهم أحد الزوجين أو المحكمة بمعالجة حالات الطلاق. ولكن المحكمة وحدها هي المختصة بتقرير ما إذا كان الطلاق قد وقع من الناحية القانونية بمعرفة محكمي الأسرة أو لم يقع.</w:t>
      </w:r>
    </w:p>
    <w:p w:rsidR="00000000" w:rsidRDefault="00000000">
      <w:pPr>
        <w:pStyle w:val="SingleTxt"/>
        <w:ind w:left="1264" w:right="1264"/>
        <w:rPr>
          <w:rtl/>
        </w:rPr>
      </w:pPr>
      <w:r>
        <w:rPr>
          <w:rtl/>
        </w:rPr>
        <w:tab/>
      </w:r>
      <w:r>
        <w:rPr>
          <w:rtl/>
        </w:rPr>
        <w:tab/>
        <w:t>وللأسف، لا يتم تعيين النساء كأعضاء في لجنة التحكيم في معظم الحالات. وتم تقديم الكثير من الشكاوى ضد محكمي الأسرة إلى وحدة المشورة القانونية التابعة للاتحاد الوطني للنساء الأريتريات لعدم الحيدة في معاملة هذه الحالات ولعدم الرضا في هذه الحالة من جانب المرأة. ويبذل الاتحاد الوطني للنساء الأريتريات الكثير من الجهود لإدراج المرأة في اختصاص لجنة محكمي الأسرة والذهاب إلى أبعد من ذلك للأخذ بمحاكم ريفية ينتخبها المجتمع المحلي ويمكن أن تحل محل لجان التحكيم.</w:t>
      </w:r>
    </w:p>
    <w:p w:rsidR="00000000" w:rsidRDefault="00000000">
      <w:pPr>
        <w:pStyle w:val="SingleTxt"/>
        <w:ind w:left="1264" w:right="1264"/>
        <w:rPr>
          <w:rtl/>
        </w:rPr>
      </w:pPr>
      <w:r>
        <w:rPr>
          <w:rtl/>
        </w:rPr>
        <w:tab/>
      </w:r>
      <w:r>
        <w:rPr>
          <w:rtl/>
        </w:rPr>
        <w:tab/>
        <w:t>وحالياً يظهر اتجاه متزايد بالنسبة لحالات الطلاق والانفصال وقضايا نفقة الطفل.</w:t>
      </w: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i/>
          <w:iCs/>
          <w:rtl/>
        </w:rPr>
      </w:pPr>
      <w:r>
        <w:rPr>
          <w:b/>
          <w:bCs/>
          <w:i/>
          <w:iCs/>
          <w:rtl/>
        </w:rPr>
        <w:t>الحقوق الشخصية والملكية</w:t>
      </w:r>
    </w:p>
    <w:p w:rsidR="00000000" w:rsidRDefault="00000000">
      <w:pPr>
        <w:pStyle w:val="SingleTxt"/>
        <w:ind w:left="1264" w:right="1264"/>
        <w:rPr>
          <w:rtl/>
        </w:rPr>
      </w:pPr>
      <w:r>
        <w:rPr>
          <w:rtl/>
        </w:rPr>
        <w:tab/>
      </w:r>
      <w:r>
        <w:rPr>
          <w:rtl/>
        </w:rPr>
        <w:tab/>
        <w:t>لا يوجد قانون أو تقاليد تنص على أن المرأة المتزوجة ينبغي أن تحمل اسم زوجها، وهي تحتفظ باسم والدها حتى بعد الزواج، وأطفالها يحملون اسم الوالد.</w:t>
      </w:r>
    </w:p>
    <w:p w:rsidR="00000000" w:rsidRDefault="00000000">
      <w:pPr>
        <w:pStyle w:val="SingleTxt"/>
        <w:ind w:left="1264" w:right="1264"/>
        <w:rPr>
          <w:rtl/>
        </w:rPr>
      </w:pPr>
      <w:r>
        <w:rPr>
          <w:rtl/>
        </w:rPr>
        <w:tab/>
      </w:r>
      <w:r>
        <w:rPr>
          <w:rtl/>
        </w:rPr>
        <w:tab/>
        <w:t>ومن حق الزوج والزوجة إدارة ممتلكاتهما الشخصية، ويتلقى كل منهما الدخل ويجوز له أن يتصرف في ممتلكاته. ويمكنه أن يتلقى مكتسباته ومرتباته وأن يكون له حساب مصرفي لإيداع ممتلكاته الشخصية. والممتلكات المشتركة مثل التي تمنح لكل منهما، وجميع الممتلكات التي يكتسبها الزوجان خلال الزواج مثل المرتبات وغيرها يمكن أن تدار بطريقة مشتركة أو منفصلة بواسطة كلا الزوجين</w:t>
      </w:r>
      <w:r>
        <w:rPr>
          <w:rStyle w:val="FootnoteReference"/>
          <w:rtl/>
        </w:rPr>
        <w:footnoteReference w:customMarkFollows="1" w:id="65"/>
        <w:t>(65)</w:t>
      </w:r>
      <w:r>
        <w:rPr>
          <w:rtl/>
        </w:rPr>
        <w:t>.</w:t>
      </w:r>
    </w:p>
    <w:p w:rsidR="00000000" w:rsidRDefault="00000000">
      <w:pPr>
        <w:pStyle w:val="SingleTxt"/>
        <w:ind w:left="1264" w:right="1264"/>
        <w:rPr>
          <w:rtl/>
        </w:rPr>
      </w:pPr>
      <w:r>
        <w:rPr>
          <w:b/>
          <w:bCs/>
          <w:rtl/>
        </w:rPr>
        <w:t>المعاشرة</w:t>
      </w:r>
    </w:p>
    <w:p w:rsidR="00000000" w:rsidRDefault="00000000">
      <w:pPr>
        <w:pStyle w:val="SingleTxt"/>
        <w:ind w:left="1264" w:right="1264"/>
        <w:rPr>
          <w:rtl/>
        </w:rPr>
      </w:pPr>
      <w:r>
        <w:rPr>
          <w:rtl/>
        </w:rPr>
        <w:tab/>
      </w:r>
      <w:r>
        <w:rPr>
          <w:rtl/>
        </w:rPr>
        <w:tab/>
        <w:t>أصبح الكثير من النساء ضحايا الاقترانات غير المسجلة في الماضي. وفيما سبق، وحسب القانون المدني الاستعماري، فإن القانون يسمح بالمعاشرة ولكنها تعتبر اقتراناً غير منتظم ينكر حق الإرث والنفقة والملكية المشاعة ورابطة الصلة بالنسبة للمرأة. غير أنهما إذا عاشا سوياً لمدى تربو على عشر سنوات فإنه من الممكن تقديم تعويض عن الطلاق. وفي كثير من الحالات يتم الطلاق في حالة المعاشرة قبل المدة المحددة مباشرة مما يترك الزوجة عاجزة بالمرة.</w:t>
      </w:r>
    </w:p>
    <w:p w:rsidR="00000000" w:rsidRDefault="00000000">
      <w:pPr>
        <w:pStyle w:val="SingleTxt"/>
        <w:ind w:left="1264" w:right="1264"/>
        <w:rPr>
          <w:rtl/>
        </w:rPr>
      </w:pPr>
      <w:r>
        <w:rPr>
          <w:rtl/>
        </w:rPr>
        <w:tab/>
      </w:r>
      <w:r>
        <w:rPr>
          <w:rtl/>
        </w:rPr>
        <w:tab/>
        <w:t>والاتحاد غير المنتظم تم إلغاؤه كلية وتعتبر الآن المعاشرة دون زواج اتحاداً منتظماً وينبغي تسجيله. وتقدم الحماية القانونية في جميع اعتبارات العلاقات الأسرية إلى الذين يعيشون معاً لفترة طويلة كما لو أنهما متزوجان. وثمة ملاحظة هامة فيما يتعلق بهذه المادة، وهي الحاجة إلى تحديد الحد الزمني وأهميته بواسطة القانون.</w:t>
      </w:r>
    </w:p>
    <w:p w:rsidR="00000000" w:rsidRDefault="00000000">
      <w:pPr>
        <w:pStyle w:val="SingleTxt"/>
        <w:ind w:left="1264" w:right="1264"/>
        <w:rPr>
          <w:i/>
          <w:iCs/>
          <w:rtl/>
        </w:rPr>
      </w:pPr>
      <w:r>
        <w:rPr>
          <w:b/>
          <w:bCs/>
          <w:i/>
          <w:iCs/>
          <w:rtl/>
        </w:rPr>
        <w:t>الاغتصاب</w:t>
      </w:r>
    </w:p>
    <w:p w:rsidR="00000000" w:rsidRDefault="00000000">
      <w:pPr>
        <w:pStyle w:val="SingleTxt"/>
        <w:ind w:left="1264" w:right="1264"/>
        <w:rPr>
          <w:rtl/>
        </w:rPr>
      </w:pPr>
      <w:r>
        <w:rPr>
          <w:rtl/>
        </w:rPr>
        <w:tab/>
      </w:r>
      <w:r>
        <w:rPr>
          <w:rtl/>
        </w:rPr>
        <w:tab/>
        <w:t>على الرغم من أن الاغتصاب يعتبر جريمة جنائية فإن بعض آباء النساء المغتصبات يفضلون زواج بناتهم إلى الجاني من أجل تغطية الجريمة المرتكبة ضد الأسرة والضرر الجنسي العائد على بناتهم. وهذا النوع من التحكيم والاتفاق يتم بين الأسر الضالعة بتجاهل القانون. وفي معظم الحالات تنتهي هذه الزيجات بالطلاق لأن الدافع لدى العريس وراء هذا القران هو أن يحمي نفسه من أي اتهامات جنائية بارتكاب الاغتصاب. وليس من حق الضحية أن يطرح قضية الاغتصاب بعد الطلاق.</w:t>
      </w:r>
    </w:p>
    <w:p w:rsidR="00000000" w:rsidRDefault="00000000">
      <w:pPr>
        <w:pStyle w:val="SingleTxt"/>
        <w:ind w:left="1264" w:right="1264"/>
        <w:rPr>
          <w:rtl/>
        </w:rPr>
      </w:pPr>
      <w:r>
        <w:rPr>
          <w:rtl/>
        </w:rPr>
        <w:tab/>
        <w:t>ووفقاً للقانون الجنائي فإن</w:t>
      </w:r>
    </w:p>
    <w:p w:rsidR="00000000" w:rsidRDefault="00000000">
      <w:pPr>
        <w:pStyle w:val="SingleTxt"/>
        <w:ind w:left="1264" w:right="1264"/>
        <w:rPr>
          <w:rtl/>
        </w:rPr>
      </w:pPr>
      <w:r>
        <w:rPr>
          <w:rtl/>
        </w:rPr>
        <w:tab/>
      </w:r>
      <w:r>
        <w:rPr>
          <w:rtl/>
        </w:rPr>
        <w:tab/>
        <w:t>”</w:t>
      </w:r>
      <w:r>
        <w:rPr>
          <w:i/>
          <w:iCs/>
          <w:rtl/>
        </w:rPr>
        <w:t xml:space="preserve">كل من يرغم امرأة على الخضوع للاتصال الجنسي خارج عش الزوجية، سواء </w:t>
      </w:r>
      <w:r>
        <w:rPr>
          <w:i/>
          <w:iCs/>
          <w:rtl/>
        </w:rPr>
        <w:tab/>
      </w:r>
      <w:r>
        <w:rPr>
          <w:i/>
          <w:iCs/>
          <w:rtl/>
        </w:rPr>
        <w:tab/>
        <w:t xml:space="preserve">عن طريق استخدام العنف أو التخويف البالغ أو بعد أن تفقد المرأة وعيها أو تصبح </w:t>
      </w:r>
      <w:r>
        <w:rPr>
          <w:i/>
          <w:iCs/>
          <w:rtl/>
        </w:rPr>
        <w:tab/>
      </w:r>
      <w:r>
        <w:rPr>
          <w:i/>
          <w:iCs/>
          <w:rtl/>
        </w:rPr>
        <w:tab/>
        <w:t>عاجزة عن المقاومة عرضة للعقاب بموجب القانون.</w:t>
      </w:r>
      <w:r>
        <w:rPr>
          <w:rtl/>
        </w:rPr>
        <w:t>“</w:t>
      </w:r>
    </w:p>
    <w:p w:rsidR="00000000" w:rsidRDefault="00000000">
      <w:pPr>
        <w:pStyle w:val="SingleTxt"/>
        <w:ind w:left="1264" w:right="1264"/>
        <w:rPr>
          <w:rtl/>
        </w:rPr>
      </w:pPr>
      <w:r>
        <w:rPr>
          <w:rtl/>
        </w:rPr>
        <w:tab/>
      </w:r>
      <w:r>
        <w:rPr>
          <w:rtl/>
        </w:rPr>
        <w:tab/>
        <w:t>ولما كانت هذه هي الحالة فإن درجة الجرم ومستوى العقوبة على الاغتصاب يختلفان عند الارتكاب ضد:</w:t>
      </w:r>
    </w:p>
    <w:p w:rsidR="00000000" w:rsidRDefault="00000000">
      <w:pPr>
        <w:pStyle w:val="SingleTxt"/>
        <w:ind w:left="1264" w:right="1264"/>
        <w:rPr>
          <w:rtl/>
        </w:rPr>
      </w:pPr>
      <w:r>
        <w:rPr>
          <w:rtl/>
        </w:rPr>
        <w:t>(أ)</w:t>
      </w:r>
      <w:r>
        <w:rPr>
          <w:rtl/>
        </w:rPr>
        <w:tab/>
        <w:t>طفل دون سن الخامسة عشرة</w:t>
      </w:r>
    </w:p>
    <w:p w:rsidR="00000000" w:rsidRDefault="00000000">
      <w:pPr>
        <w:pStyle w:val="SingleTxt"/>
        <w:ind w:left="1264" w:right="1264"/>
        <w:rPr>
          <w:rtl/>
        </w:rPr>
      </w:pPr>
      <w:r>
        <w:rPr>
          <w:rtl/>
        </w:rPr>
        <w:t>(ب)</w:t>
      </w:r>
      <w:r>
        <w:rPr>
          <w:rtl/>
        </w:rPr>
        <w:tab/>
        <w:t xml:space="preserve">أحد نـزلاء المستشفى أو دار للصدقات أو ملجأ أو أي مؤسسة تعليمية أو دار </w:t>
      </w:r>
      <w:r>
        <w:rPr>
          <w:rtl/>
        </w:rPr>
        <w:tab/>
      </w:r>
      <w:r>
        <w:rPr>
          <w:rtl/>
        </w:rPr>
        <w:tab/>
        <w:t>للإصلاح أو دار للاحتجاز يعتمد عليها، أو تحت إشراف أو رقابة الشخص المتهم</w:t>
      </w:r>
    </w:p>
    <w:p w:rsidR="00000000" w:rsidRDefault="00000000">
      <w:pPr>
        <w:pStyle w:val="SingleTxt"/>
        <w:ind w:left="1264" w:right="1264"/>
        <w:rPr>
          <w:rtl/>
        </w:rPr>
      </w:pPr>
      <w:r>
        <w:rPr>
          <w:rtl/>
        </w:rPr>
        <w:t>(ج)</w:t>
      </w:r>
      <w:r>
        <w:rPr>
          <w:rtl/>
        </w:rPr>
        <w:tab/>
        <w:t>بمعرفة عدد من الأشخاص يعملون بالاتفاق</w:t>
      </w:r>
    </w:p>
    <w:p w:rsidR="00000000" w:rsidRDefault="00000000">
      <w:pPr>
        <w:pStyle w:val="SingleTxt"/>
        <w:ind w:left="1264" w:right="1264"/>
        <w:rPr>
          <w:rtl/>
        </w:rPr>
      </w:pPr>
      <w:r>
        <w:rPr>
          <w:rtl/>
        </w:rPr>
        <w:tab/>
      </w:r>
      <w:r>
        <w:rPr>
          <w:rtl/>
        </w:rPr>
        <w:tab/>
        <w:t>وعادة ما تبلغ حالات الاغتصاب إلى الشرطة وتقدم إلى مكتب المدعي العام. ولكن لا يتم إدراج جميع حوادث الاغتصاب. ويميل الأشخاص إلى إخفاء الحالة خشية القطيعة الاجتماعية التي يمكن أن تواجهها بناتهم. وأحياناً ما تقوم الضحية ذاتها بإخفاء ما حدث. ويبين الجدول التالي حالات الاغتصاب التي تم إبلاغها إلى الشرطة.</w:t>
      </w:r>
    </w:p>
    <w:p w:rsidR="00000000" w:rsidRDefault="00000000">
      <w:pPr>
        <w:pStyle w:val="SingleTxt"/>
        <w:ind w:left="1264" w:right="1264"/>
        <w:rPr>
          <w:b/>
          <w:bCs/>
          <w:rtl/>
        </w:rPr>
      </w:pPr>
      <w:r>
        <w:rPr>
          <w:b/>
          <w:bCs/>
          <w:rtl/>
        </w:rPr>
        <w:t xml:space="preserve">الجدول </w:t>
      </w:r>
      <w:r>
        <w:rPr>
          <w:b/>
          <w:bCs/>
        </w:rPr>
        <w:t>–</w:t>
      </w:r>
      <w:r>
        <w:rPr>
          <w:b/>
          <w:bCs/>
          <w:rtl/>
        </w:rPr>
        <w:t xml:space="preserve"> 24 حالات الاغتصاب</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851"/>
        <w:gridCol w:w="850"/>
        <w:gridCol w:w="851"/>
        <w:gridCol w:w="850"/>
        <w:gridCol w:w="851"/>
      </w:tblGrid>
      <w:tr w:rsidR="00000000">
        <w:tblPrEx>
          <w:tblCellMar>
            <w:top w:w="0" w:type="dxa"/>
            <w:bottom w:w="0" w:type="dxa"/>
          </w:tblCellMar>
        </w:tblPrEx>
        <w:tc>
          <w:tcPr>
            <w:tcW w:w="3402" w:type="dxa"/>
          </w:tcPr>
          <w:p w:rsidR="00000000" w:rsidRDefault="00000000">
            <w:pPr>
              <w:pStyle w:val="SingleTxt"/>
              <w:ind w:left="0" w:right="0"/>
              <w:rPr>
                <w:b/>
                <w:bCs/>
                <w:szCs w:val="26"/>
                <w:rtl/>
              </w:rPr>
            </w:pPr>
            <w:r>
              <w:rPr>
                <w:b/>
                <w:bCs/>
                <w:szCs w:val="26"/>
                <w:rtl/>
              </w:rPr>
              <w:t>السنة</w:t>
            </w:r>
          </w:p>
        </w:tc>
        <w:tc>
          <w:tcPr>
            <w:tcW w:w="851" w:type="dxa"/>
          </w:tcPr>
          <w:p w:rsidR="00000000" w:rsidRDefault="00000000">
            <w:pPr>
              <w:pStyle w:val="SingleTxt"/>
              <w:ind w:left="0" w:right="0"/>
              <w:rPr>
                <w:b/>
                <w:bCs/>
                <w:szCs w:val="26"/>
                <w:rtl/>
              </w:rPr>
            </w:pPr>
            <w:r>
              <w:rPr>
                <w:b/>
                <w:bCs/>
                <w:szCs w:val="26"/>
                <w:rtl/>
              </w:rPr>
              <w:t>1998</w:t>
            </w:r>
          </w:p>
        </w:tc>
        <w:tc>
          <w:tcPr>
            <w:tcW w:w="850" w:type="dxa"/>
          </w:tcPr>
          <w:p w:rsidR="00000000" w:rsidRDefault="00000000">
            <w:pPr>
              <w:pStyle w:val="SingleTxt"/>
              <w:ind w:left="0" w:right="0"/>
              <w:rPr>
                <w:b/>
                <w:bCs/>
                <w:szCs w:val="26"/>
                <w:rtl/>
              </w:rPr>
            </w:pPr>
            <w:r>
              <w:rPr>
                <w:b/>
                <w:bCs/>
                <w:szCs w:val="26"/>
                <w:rtl/>
              </w:rPr>
              <w:t>1999</w:t>
            </w:r>
          </w:p>
        </w:tc>
        <w:tc>
          <w:tcPr>
            <w:tcW w:w="851" w:type="dxa"/>
          </w:tcPr>
          <w:p w:rsidR="00000000" w:rsidRDefault="00000000">
            <w:pPr>
              <w:pStyle w:val="SingleTxt"/>
              <w:ind w:left="0" w:right="0"/>
              <w:rPr>
                <w:b/>
                <w:bCs/>
                <w:szCs w:val="26"/>
                <w:rtl/>
              </w:rPr>
            </w:pPr>
            <w:r>
              <w:rPr>
                <w:b/>
                <w:bCs/>
                <w:szCs w:val="26"/>
                <w:rtl/>
              </w:rPr>
              <w:t>2000</w:t>
            </w:r>
          </w:p>
        </w:tc>
        <w:tc>
          <w:tcPr>
            <w:tcW w:w="850" w:type="dxa"/>
          </w:tcPr>
          <w:p w:rsidR="00000000" w:rsidRDefault="00000000">
            <w:pPr>
              <w:pStyle w:val="SingleTxt"/>
              <w:ind w:left="0" w:right="0"/>
              <w:rPr>
                <w:b/>
                <w:bCs/>
                <w:szCs w:val="26"/>
                <w:rtl/>
              </w:rPr>
            </w:pPr>
            <w:r>
              <w:rPr>
                <w:b/>
                <w:bCs/>
                <w:szCs w:val="26"/>
                <w:rtl/>
              </w:rPr>
              <w:t>2001</w:t>
            </w:r>
          </w:p>
        </w:tc>
        <w:tc>
          <w:tcPr>
            <w:tcW w:w="851" w:type="dxa"/>
          </w:tcPr>
          <w:p w:rsidR="00000000" w:rsidRDefault="00000000">
            <w:pPr>
              <w:pStyle w:val="SingleTxt"/>
              <w:ind w:left="0" w:right="0"/>
              <w:rPr>
                <w:b/>
                <w:bCs/>
                <w:szCs w:val="26"/>
                <w:rtl/>
              </w:rPr>
            </w:pPr>
            <w:r>
              <w:rPr>
                <w:b/>
                <w:bCs/>
                <w:szCs w:val="26"/>
                <w:rtl/>
              </w:rPr>
              <w:t>2002</w:t>
            </w:r>
          </w:p>
        </w:tc>
      </w:tr>
      <w:tr w:rsidR="00000000">
        <w:tblPrEx>
          <w:tblCellMar>
            <w:top w:w="0" w:type="dxa"/>
            <w:bottom w:w="0" w:type="dxa"/>
          </w:tblCellMar>
        </w:tblPrEx>
        <w:tc>
          <w:tcPr>
            <w:tcW w:w="3402" w:type="dxa"/>
          </w:tcPr>
          <w:p w:rsidR="00000000" w:rsidRDefault="00000000">
            <w:pPr>
              <w:pStyle w:val="SingleTxt"/>
              <w:ind w:left="0" w:right="0"/>
              <w:rPr>
                <w:rtl/>
              </w:rPr>
            </w:pPr>
            <w:r>
              <w:rPr>
                <w:rtl/>
              </w:rPr>
              <w:t>حالات الاغتصاب التي تم الإبلاغ عنها</w:t>
            </w:r>
          </w:p>
        </w:tc>
        <w:tc>
          <w:tcPr>
            <w:tcW w:w="851" w:type="dxa"/>
          </w:tcPr>
          <w:p w:rsidR="00000000" w:rsidRDefault="00000000">
            <w:pPr>
              <w:pStyle w:val="SingleTxt"/>
              <w:ind w:left="0" w:right="0"/>
              <w:rPr>
                <w:rtl/>
              </w:rPr>
            </w:pPr>
            <w:r>
              <w:rPr>
                <w:rtl/>
              </w:rPr>
              <w:t>21</w:t>
            </w:r>
          </w:p>
        </w:tc>
        <w:tc>
          <w:tcPr>
            <w:tcW w:w="850" w:type="dxa"/>
          </w:tcPr>
          <w:p w:rsidR="00000000" w:rsidRDefault="00000000">
            <w:pPr>
              <w:pStyle w:val="SingleTxt"/>
              <w:ind w:left="0" w:right="0"/>
              <w:rPr>
                <w:rtl/>
              </w:rPr>
            </w:pPr>
            <w:r>
              <w:rPr>
                <w:rtl/>
              </w:rPr>
              <w:t>49</w:t>
            </w:r>
          </w:p>
        </w:tc>
        <w:tc>
          <w:tcPr>
            <w:tcW w:w="851" w:type="dxa"/>
          </w:tcPr>
          <w:p w:rsidR="00000000" w:rsidRDefault="00000000">
            <w:pPr>
              <w:pStyle w:val="SingleTxt"/>
              <w:ind w:left="0" w:right="0"/>
              <w:rPr>
                <w:rtl/>
              </w:rPr>
            </w:pPr>
            <w:r>
              <w:rPr>
                <w:rtl/>
              </w:rPr>
              <w:t>49</w:t>
            </w:r>
          </w:p>
        </w:tc>
        <w:tc>
          <w:tcPr>
            <w:tcW w:w="850" w:type="dxa"/>
          </w:tcPr>
          <w:p w:rsidR="00000000" w:rsidRDefault="00000000">
            <w:pPr>
              <w:pStyle w:val="SingleTxt"/>
              <w:ind w:left="0" w:right="0"/>
              <w:rPr>
                <w:rtl/>
              </w:rPr>
            </w:pPr>
            <w:r>
              <w:rPr>
                <w:rtl/>
              </w:rPr>
              <w:t>63</w:t>
            </w:r>
          </w:p>
        </w:tc>
        <w:tc>
          <w:tcPr>
            <w:tcW w:w="851" w:type="dxa"/>
          </w:tcPr>
          <w:p w:rsidR="00000000" w:rsidRDefault="00000000">
            <w:pPr>
              <w:pStyle w:val="SingleTxt"/>
              <w:ind w:left="0" w:right="0"/>
              <w:rPr>
                <w:rtl/>
              </w:rPr>
            </w:pPr>
            <w:r>
              <w:rPr>
                <w:rtl/>
              </w:rPr>
              <w:t>72</w:t>
            </w:r>
            <w:r>
              <w:t>**</w:t>
            </w:r>
          </w:p>
        </w:tc>
      </w:tr>
    </w:tbl>
    <w:p w:rsidR="00000000" w:rsidRDefault="00000000">
      <w:pPr>
        <w:pStyle w:val="SingleTxt"/>
        <w:ind w:left="1264" w:right="1264"/>
        <w:rPr>
          <w:rtl/>
        </w:rPr>
      </w:pPr>
      <w:r>
        <w:rPr>
          <w:szCs w:val="26"/>
          <w:rtl/>
        </w:rPr>
        <w:t>المصدر: مكتب المدعي العام</w:t>
      </w:r>
      <w:r>
        <w:rPr>
          <w:rtl/>
        </w:rPr>
        <w:t>.</w:t>
      </w:r>
    </w:p>
    <w:p w:rsidR="00000000" w:rsidRDefault="00000000">
      <w:pPr>
        <w:pStyle w:val="SingleTxt"/>
        <w:ind w:left="1264" w:right="1264"/>
        <w:rPr>
          <w:rtl/>
        </w:rPr>
      </w:pPr>
      <w:r>
        <w:rPr>
          <w:szCs w:val="26"/>
        </w:rPr>
        <w:t>**</w:t>
      </w:r>
      <w:r>
        <w:rPr>
          <w:szCs w:val="26"/>
          <w:rtl/>
        </w:rPr>
        <w:tab/>
        <w:t>لا يشمل التقرير الربع الرابع من السنة، ويتجه الرقم إلى الازدياد</w:t>
      </w:r>
      <w:r>
        <w:rPr>
          <w:rtl/>
        </w:rPr>
        <w:t>.</w:t>
      </w:r>
    </w:p>
    <w:p w:rsidR="00000000" w:rsidRDefault="00000000">
      <w:pPr>
        <w:pStyle w:val="SingleTxt"/>
        <w:ind w:left="1264" w:right="1264"/>
        <w:rPr>
          <w:rtl/>
        </w:rPr>
      </w:pPr>
      <w:r>
        <w:rPr>
          <w:rtl/>
        </w:rPr>
        <w:tab/>
      </w:r>
      <w:r>
        <w:rPr>
          <w:rtl/>
        </w:rPr>
        <w:tab/>
        <w:t xml:space="preserve">وتُظهِر الإحصاءات أن حالات الاغتصاب في ازدياد. وبالمقارنة بعام 2000 فإنها ازدادت بنسبة 46 في المائة في عام 2002. ووفقاً للتقرير فإن الضحايا في معظمهن بين سن 13 </w:t>
      </w:r>
      <w:r>
        <w:t>–</w:t>
      </w:r>
      <w:r>
        <w:rPr>
          <w:rtl/>
        </w:rPr>
        <w:t xml:space="preserve"> 17، أي فتيات دون السن.</w:t>
      </w:r>
    </w:p>
    <w:p w:rsidR="00000000" w:rsidRDefault="00000000">
      <w:pPr>
        <w:pStyle w:val="SingleTxt"/>
        <w:ind w:left="1264" w:right="1264"/>
        <w:rPr>
          <w:rtl/>
        </w:rPr>
      </w:pPr>
      <w:r>
        <w:rPr>
          <w:rtl/>
        </w:rPr>
        <w:tab/>
      </w:r>
      <w:r>
        <w:rPr>
          <w:rtl/>
        </w:rPr>
        <w:tab/>
        <w:t>ومرة أخرى من المطلوب بشدة القيام بأنشطة مكثفة وشاملة من أجل تحقيق المعرفة القانونية فيما بين الفتيات والمجتمعات ككل؛ وينبغي إجراؤها من خلال الجهود المشتركة للاتحاد الوطني للنساء الأريتريات ومكتب شؤون المرأة بوزارة العدل وغير ذلك من منظمات المجتمع المدني أو المنظمات الأخرى.</w:t>
      </w:r>
    </w:p>
    <w:p w:rsidR="00000000" w:rsidRDefault="00000000">
      <w:pPr>
        <w:pStyle w:val="SingleTxt"/>
        <w:ind w:left="1264" w:right="1264"/>
        <w:rPr>
          <w:i/>
          <w:iCs/>
          <w:rtl/>
        </w:rPr>
      </w:pPr>
      <w:r>
        <w:rPr>
          <w:b/>
          <w:bCs/>
          <w:i/>
          <w:iCs/>
          <w:rtl/>
        </w:rPr>
        <w:t>الوراثة والخلافة</w:t>
      </w:r>
    </w:p>
    <w:p w:rsidR="00000000" w:rsidRDefault="00000000">
      <w:pPr>
        <w:pStyle w:val="SingleTxt"/>
        <w:ind w:left="1264" w:right="1264"/>
        <w:rPr>
          <w:rtl/>
        </w:rPr>
      </w:pPr>
      <w:r>
        <w:rPr>
          <w:rtl/>
        </w:rPr>
        <w:tab/>
      </w:r>
      <w:r>
        <w:rPr>
          <w:rtl/>
        </w:rPr>
        <w:tab/>
        <w:t>وفقاً للقانون المدني، لا يوجد أي تمييز في الوراثة. وهو ينص صراحة على أن ”جنس الوارث أو عمره أو جنسيته لا تؤثر بأي حال على تأكيد حقه في الخلافة“ (المادة 837). غير أن النص يختلف في حالة الشريعة الإسلامية.</w:t>
      </w:r>
    </w:p>
    <w:p w:rsidR="00000000" w:rsidRDefault="00000000">
      <w:pPr>
        <w:pStyle w:val="SingleTxt"/>
        <w:ind w:left="1264" w:right="1264"/>
        <w:rPr>
          <w:rtl/>
        </w:rPr>
      </w:pPr>
      <w:r>
        <w:rPr>
          <w:rtl/>
        </w:rPr>
        <w:tab/>
      </w:r>
      <w:r>
        <w:rPr>
          <w:rtl/>
        </w:rPr>
        <w:tab/>
        <w:t>وفي حالة وفاة زوجها فإن الأم هي وأطفالها يرثون جميع الممتلكات بما في ذلك الأرض الزراعية. ومع ذلك عندما يكون المتوفى بدون أطفال على قيد الحياة فإن أبويه يدعيان لخلافته. وإذا لم يتم التوفيق بين الزوجة وأفراد عائلة الزوج بشأن هذه الحالة (وهذا دائماً ما يحدث) فإن الزوجة ستكون مضطرة لبيع الممتلكات المشتركة وتأخذ نصيبها. وهذا لا ينطبق على الممتلكات الشخصية.</w:t>
      </w:r>
    </w:p>
    <w:p w:rsidR="00000000" w:rsidRDefault="00000000">
      <w:pPr>
        <w:pStyle w:val="SingleTxt"/>
        <w:ind w:left="1264" w:right="1264"/>
        <w:rPr>
          <w:rtl/>
        </w:rPr>
      </w:pPr>
      <w:r>
        <w:rPr>
          <w:rtl/>
        </w:rPr>
        <w:tab/>
      </w:r>
      <w:r>
        <w:rPr>
          <w:rtl/>
        </w:rPr>
        <w:tab/>
        <w:t>وفي حالة الطلاق، يمكن لمحكمي الأسرة علاج الحالة، وربما يمنحون واحدة من الزوجات ثلاثة أرباع الممتلكات المشتركة وفقاً لحسن نية أو سوء نية الزوجات والإضافات غير الشرعية لثروته، إلخ.</w:t>
      </w:r>
    </w:p>
    <w:p w:rsidR="00000000" w:rsidRDefault="00000000">
      <w:pPr>
        <w:pStyle w:val="SingleTxt"/>
        <w:ind w:left="1264" w:right="1264"/>
        <w:rPr>
          <w:rtl/>
        </w:rPr>
      </w:pPr>
      <w:r>
        <w:rPr>
          <w:b/>
          <w:bCs/>
          <w:rtl/>
        </w:rPr>
        <w:br w:type="page"/>
        <w:t>خاتمة</w:t>
      </w:r>
    </w:p>
    <w:p w:rsidR="00000000" w:rsidRDefault="00000000">
      <w:pPr>
        <w:pStyle w:val="SingleTxt"/>
        <w:ind w:left="1264" w:right="1264"/>
        <w:rPr>
          <w:rtl/>
        </w:rPr>
      </w:pPr>
      <w:r>
        <w:rPr>
          <w:rtl/>
        </w:rPr>
        <w:tab/>
      </w:r>
      <w:r>
        <w:rPr>
          <w:rtl/>
        </w:rPr>
        <w:tab/>
        <w:t>قام التقرير السابق ببحث كل من المواد الستة عشر في اتفاقية القضاء على جميع أشكال التمييز ضد المرأة في إطار الواقع الأريتري. وقد حاول التقرير توضيح الأهمية القانونية والأحكام الإدارية التي تم إقرارها للتعامل مع قضايا التمييز وتكافؤ الفرص فضلاً عن التحديات والحواجز التقليدية.</w:t>
      </w:r>
    </w:p>
    <w:p w:rsidR="00000000" w:rsidRDefault="00000000">
      <w:pPr>
        <w:pStyle w:val="SingleTxt"/>
        <w:ind w:left="1264" w:right="1264"/>
        <w:rPr>
          <w:rtl/>
        </w:rPr>
      </w:pPr>
      <w:r>
        <w:rPr>
          <w:rtl/>
        </w:rPr>
        <w:tab/>
      </w:r>
      <w:r>
        <w:rPr>
          <w:rtl/>
        </w:rPr>
        <w:tab/>
        <w:t>غير أنه حتى إذا كان التشريع ينص على المساواة في الحقوق وتكافؤ الفرص، فإن الاتجاهات والممارسات الثقافية لا تزال تشكل عقبات رئيسية تؤثر على إمكانيات التغيير وتجعلها بطيئة وتدريجية.</w:t>
      </w:r>
    </w:p>
    <w:p w:rsidR="00000000" w:rsidRDefault="00000000">
      <w:pPr>
        <w:pStyle w:val="SingleTxt"/>
        <w:ind w:left="1264" w:right="1264"/>
        <w:rPr>
          <w:rtl/>
        </w:rPr>
      </w:pPr>
      <w:r>
        <w:rPr>
          <w:rtl/>
        </w:rPr>
        <w:tab/>
      </w:r>
      <w:r>
        <w:rPr>
          <w:rtl/>
        </w:rPr>
        <w:tab/>
        <w:t>غير أن حكومة أريتريا تعلن عن التزامها القوي وإرادتها السياسية لتحقيق التدابير العملية للمساواة والقضاء على التمييز القائم وهي تبحث مشاركة المرأة وإدماجها بالكامل في التنمية الوطنية والمجتمع بوصفها عنصراً أساسياً في تطوير وإنشاء الديمقراطية الحقة.</w:t>
      </w:r>
    </w:p>
    <w:p w:rsidR="00000000" w:rsidRDefault="00000000">
      <w:pPr>
        <w:pStyle w:val="SingleTxt"/>
        <w:ind w:left="1264" w:right="1264"/>
        <w:rPr>
          <w:rtl/>
        </w:rPr>
      </w:pPr>
      <w:r>
        <w:rPr>
          <w:rtl/>
        </w:rPr>
        <w:tab/>
      </w:r>
      <w:r>
        <w:rPr>
          <w:rtl/>
        </w:rPr>
        <w:tab/>
        <w:t>وإنها لعقيدة رئيسية للحكومة أنه لا يمكن تأكيد حقوق المرأة ومشاركتها إذا لم يشمل التغيير الأساسي الغالبية الكبيرة للنساء، وإذا كانت إمكانيات الوصول والفرص ليست مفتوحة على نطاق واسع أمام الجميع. وفي هذه الحالة، فإن مسألة التمكين كلها لا تزال تجميلية. ومبدأ الحكومة وعقيدتها الرئيسية في هذا الشأن قد تم إيضاحهما بدرجة أكبر في الذكرى العشرين للاتحاد الوطني للنساء الأريتريات في الكلمة الرئيسية التي ألقاها رئيس الدولة.</w:t>
      </w:r>
    </w:p>
    <w:p w:rsidR="00000000" w:rsidRDefault="00000000">
      <w:pPr>
        <w:pStyle w:val="SingleTxt"/>
        <w:ind w:left="1264" w:right="1264"/>
        <w:rPr>
          <w:rtl/>
        </w:rPr>
      </w:pPr>
      <w:r>
        <w:rPr>
          <w:rtl/>
        </w:rPr>
        <w:tab/>
      </w:r>
      <w:r>
        <w:rPr>
          <w:rtl/>
        </w:rPr>
        <w:tab/>
      </w:r>
      <w:r>
        <w:rPr>
          <w:rtl/>
        </w:rPr>
        <w:tab/>
        <w:t xml:space="preserve">”إن الاختيار بين البعد الرمزي أو الجوهري وبين المشاركة على أساس </w:t>
      </w:r>
      <w:r>
        <w:rPr>
          <w:rtl/>
        </w:rPr>
        <w:tab/>
      </w:r>
      <w:r>
        <w:rPr>
          <w:rtl/>
        </w:rPr>
        <w:tab/>
        <w:t xml:space="preserve">القاعدة العريضة هو بعد حاسم. وهناك دائماً ميل إلى التركيز على مشاركة قلة من </w:t>
      </w:r>
      <w:r>
        <w:rPr>
          <w:rtl/>
        </w:rPr>
        <w:tab/>
      </w:r>
      <w:r>
        <w:rPr>
          <w:rtl/>
        </w:rPr>
        <w:tab/>
        <w:t xml:space="preserve">النساء في القمة أو اللاتي في أعلى السلم فقط. وهذا النهج مشوه ومن شأنه أن </w:t>
      </w:r>
      <w:r>
        <w:rPr>
          <w:rtl/>
        </w:rPr>
        <w:tab/>
      </w:r>
      <w:r>
        <w:rPr>
          <w:rtl/>
        </w:rPr>
        <w:tab/>
        <w:t xml:space="preserve">يؤدي لا محالة إلى قصر مشاركة المرأة على درجة اسمية. وينبغي أن يكون معنى </w:t>
      </w:r>
      <w:r>
        <w:rPr>
          <w:rtl/>
        </w:rPr>
        <w:tab/>
      </w:r>
      <w:r>
        <w:rPr>
          <w:rtl/>
        </w:rPr>
        <w:tab/>
        <w:t xml:space="preserve">المشاركة الحقة للمرأة هو تمكين جميع النساء أو غالبيتهن من القيام بدور هام في </w:t>
      </w:r>
      <w:r>
        <w:rPr>
          <w:rtl/>
        </w:rPr>
        <w:tab/>
      </w:r>
      <w:r>
        <w:rPr>
          <w:rtl/>
        </w:rPr>
        <w:tab/>
        <w:t xml:space="preserve">جميع جوانب الأنشطة الاجتماعية. ولذلك ينبغي أن يكون التأكيد في الجهود التي </w:t>
      </w:r>
      <w:r>
        <w:rPr>
          <w:rtl/>
        </w:rPr>
        <w:tab/>
      </w:r>
      <w:r>
        <w:rPr>
          <w:rtl/>
        </w:rPr>
        <w:tab/>
        <w:t xml:space="preserve">يتعين ممارستها موجهاً على تمكين الجميع أو غالبيتهن، ومن ثم كفالة أن تكون </w:t>
      </w:r>
      <w:r>
        <w:rPr>
          <w:rtl/>
        </w:rPr>
        <w:tab/>
      </w:r>
      <w:r>
        <w:rPr>
          <w:rtl/>
        </w:rPr>
        <w:tab/>
        <w:t>المشاركة جوهرية أكثر منها رمزية“</w:t>
      </w:r>
      <w:r>
        <w:rPr>
          <w:rStyle w:val="FootnoteReference"/>
          <w:rtl/>
        </w:rPr>
        <w:footnoteReference w:customMarkFollows="1" w:id="66"/>
        <w:t>(66)</w:t>
      </w:r>
      <w:r>
        <w:rPr>
          <w:rtl/>
        </w:rPr>
        <w:t>.</w:t>
      </w:r>
    </w:p>
    <w:p w:rsidR="00000000" w:rsidRDefault="00000000">
      <w:pPr>
        <w:pStyle w:val="SingleTxt"/>
        <w:spacing w:line="380" w:lineRule="exact"/>
        <w:ind w:left="1264" w:right="1264"/>
        <w:rPr>
          <w:rtl/>
        </w:rPr>
      </w:pPr>
      <w:r>
        <w:rPr>
          <w:rtl/>
        </w:rPr>
        <w:tab/>
      </w:r>
      <w:r>
        <w:rPr>
          <w:rtl/>
        </w:rPr>
        <w:tab/>
        <w:t>وتعتقد المرأة الأريترية أن المساواة بين الجنسين ليس منحة ولكنه ينبغي أن يتحقق من خلال مشاركتها الواعية في جميع مشارب الحياة. وقد بدأت رحلة المساواة في الحقوق منذ أجل طويل، خلال كفاح التحرير تحت شعار ”المساواة من خلال المشاركة المتساوية في العمل“، وهو الشعار الذي ستستمر المرأة الأريترية في الإبقاء عليه واتباعه.</w:t>
      </w:r>
    </w:p>
    <w:p w:rsidR="00000000" w:rsidRDefault="00000000">
      <w:pPr>
        <w:pStyle w:val="SingleTxt"/>
        <w:spacing w:line="380" w:lineRule="exact"/>
        <w:ind w:left="1264" w:right="1264"/>
        <w:rPr>
          <w:rtl/>
        </w:rPr>
      </w:pPr>
      <w:r>
        <w:rPr>
          <w:rtl/>
        </w:rPr>
        <w:tab/>
      </w:r>
      <w:r>
        <w:rPr>
          <w:rtl/>
        </w:rPr>
        <w:tab/>
        <w:t>وتمشياً مع نظام الأمم المتحدة للأهداف الإنمائية للألفية، قامت الحكومة والفريق القطري التابع للأمم المتحدة في إطار عمل الأمم المتحدة للمساعدة الإنمائية بتناول الأولويات الوطنية في برنامج التنمية والإعمار التي تؤكد على استراتيجيات إدماج المرأة في التنمية بوصفها قضايا تشمل عدة قطاعات. وقد تم ذكر ذلك صراحة على النحو التالي</w:t>
      </w:r>
      <w:r>
        <w:rPr>
          <w:rStyle w:val="FootnoteReference"/>
          <w:rtl/>
        </w:rPr>
        <w:footnoteReference w:customMarkFollows="1" w:id="67"/>
        <w:t>(67)</w:t>
      </w:r>
      <w:r>
        <w:rPr>
          <w:rtl/>
        </w:rPr>
        <w:t>:</w:t>
      </w:r>
    </w:p>
    <w:p w:rsidR="00000000" w:rsidRDefault="00000000">
      <w:pPr>
        <w:pStyle w:val="SingleTxt"/>
        <w:spacing w:line="380" w:lineRule="exact"/>
        <w:ind w:left="1264" w:right="1264"/>
        <w:rPr>
          <w:rtl/>
        </w:rPr>
      </w:pPr>
      <w:r>
        <w:rPr>
          <w:rtl/>
        </w:rPr>
        <w:tab/>
      </w:r>
      <w:r>
        <w:rPr>
          <w:rtl/>
        </w:rPr>
        <w:tab/>
        <w:t>’1‘</w:t>
      </w:r>
      <w:r>
        <w:rPr>
          <w:rtl/>
        </w:rPr>
        <w:tab/>
        <w:t>دعم تنفيذ خطة العمل الوطنية للنهوض بالمرأة؛</w:t>
      </w:r>
    </w:p>
    <w:p w:rsidR="00000000" w:rsidRDefault="00000000">
      <w:pPr>
        <w:pStyle w:val="SingleTxt"/>
        <w:spacing w:line="380" w:lineRule="exact"/>
        <w:ind w:left="1264" w:right="1264"/>
        <w:rPr>
          <w:rtl/>
        </w:rPr>
      </w:pPr>
      <w:r>
        <w:rPr>
          <w:rtl/>
        </w:rPr>
        <w:tab/>
      </w:r>
      <w:r>
        <w:rPr>
          <w:rtl/>
        </w:rPr>
        <w:tab/>
        <w:t>’2‘</w:t>
      </w:r>
      <w:r>
        <w:rPr>
          <w:rtl/>
        </w:rPr>
        <w:tab/>
        <w:t xml:space="preserve">المساعدة في تعزيز الآلية المؤسسية على الأصعدة الوطنية والإقليمية والمحلية </w:t>
      </w:r>
      <w:r>
        <w:rPr>
          <w:rtl/>
        </w:rPr>
        <w:tab/>
      </w:r>
      <w:r>
        <w:rPr>
          <w:rtl/>
        </w:rPr>
        <w:tab/>
      </w:r>
      <w:r>
        <w:rPr>
          <w:rtl/>
        </w:rPr>
        <w:tab/>
        <w:t xml:space="preserve">لتناول قضايا الجنس في السياسة العامة، وتخصيص الموارد، ورصد المبادرات </w:t>
      </w:r>
      <w:r>
        <w:rPr>
          <w:rtl/>
        </w:rPr>
        <w:tab/>
      </w:r>
      <w:r>
        <w:rPr>
          <w:rtl/>
        </w:rPr>
        <w:tab/>
      </w:r>
      <w:r>
        <w:rPr>
          <w:rtl/>
        </w:rPr>
        <w:tab/>
        <w:t>المتعلقة بنوع الجنس في السياسة العامة والبرامج والتشريعات؛</w:t>
      </w:r>
    </w:p>
    <w:p w:rsidR="00000000" w:rsidRDefault="00000000">
      <w:pPr>
        <w:pStyle w:val="SingleTxt"/>
        <w:spacing w:line="380" w:lineRule="exact"/>
        <w:ind w:left="1264" w:right="1264"/>
        <w:rPr>
          <w:rtl/>
        </w:rPr>
      </w:pPr>
      <w:r>
        <w:rPr>
          <w:rtl/>
        </w:rPr>
        <w:tab/>
      </w:r>
      <w:r>
        <w:rPr>
          <w:rtl/>
        </w:rPr>
        <w:tab/>
        <w:t>’3‘</w:t>
      </w:r>
      <w:r>
        <w:rPr>
          <w:rtl/>
        </w:rPr>
        <w:tab/>
        <w:t xml:space="preserve">المساعدة في تعزيز طاقة المنظمات التي تمثل مصالح المرأة وتعزيز الدعوة </w:t>
      </w:r>
      <w:r>
        <w:rPr>
          <w:rtl/>
        </w:rPr>
        <w:tab/>
      </w:r>
      <w:r>
        <w:rPr>
          <w:rtl/>
        </w:rPr>
        <w:tab/>
      </w:r>
      <w:r>
        <w:rPr>
          <w:rtl/>
        </w:rPr>
        <w:tab/>
        <w:t>والربط الشبكي والمشاركة من أجل النهوض بالمرأة؛</w:t>
      </w:r>
    </w:p>
    <w:p w:rsidR="00000000" w:rsidRDefault="00000000">
      <w:pPr>
        <w:pStyle w:val="SingleTxt"/>
        <w:spacing w:line="380" w:lineRule="exact"/>
        <w:ind w:left="1264" w:right="1264"/>
        <w:rPr>
          <w:rtl/>
        </w:rPr>
      </w:pPr>
      <w:r>
        <w:rPr>
          <w:rtl/>
        </w:rPr>
        <w:tab/>
      </w:r>
      <w:r>
        <w:rPr>
          <w:rtl/>
        </w:rPr>
        <w:tab/>
        <w:t>’4‘</w:t>
      </w:r>
      <w:r>
        <w:rPr>
          <w:rtl/>
        </w:rPr>
        <w:tab/>
        <w:t>المساعدة في تعزيز مهارات المرأة لتنظيم الأعمال ومعرفتها وقدراتها؛</w:t>
      </w:r>
    </w:p>
    <w:p w:rsidR="00000000" w:rsidRDefault="00000000">
      <w:pPr>
        <w:pStyle w:val="SingleTxt"/>
        <w:spacing w:line="380" w:lineRule="exact"/>
        <w:ind w:left="1264" w:right="1264"/>
        <w:rPr>
          <w:rtl/>
        </w:rPr>
      </w:pPr>
      <w:r>
        <w:rPr>
          <w:rtl/>
        </w:rPr>
        <w:tab/>
      </w:r>
      <w:r>
        <w:rPr>
          <w:rtl/>
        </w:rPr>
        <w:tab/>
        <w:t>’5‘</w:t>
      </w:r>
      <w:r>
        <w:rPr>
          <w:rtl/>
        </w:rPr>
        <w:tab/>
        <w:t xml:space="preserve">دعم المؤسسات الرامية إلى جمع وتحليل ونشر البيانات المفصلة حسب نوع </w:t>
      </w:r>
      <w:r>
        <w:rPr>
          <w:rtl/>
        </w:rPr>
        <w:tab/>
      </w:r>
      <w:r>
        <w:rPr>
          <w:rtl/>
        </w:rPr>
        <w:tab/>
      </w:r>
      <w:r>
        <w:rPr>
          <w:rtl/>
        </w:rPr>
        <w:tab/>
        <w:t>الجنس. في قطاعات ومجالات كل منها.</w:t>
      </w:r>
    </w:p>
    <w:p w:rsidR="00000000" w:rsidRDefault="00000000">
      <w:pPr>
        <w:pStyle w:val="SingleTxt"/>
        <w:spacing w:line="380" w:lineRule="exact"/>
        <w:ind w:left="1264" w:right="1264"/>
        <w:rPr>
          <w:rtl/>
        </w:rPr>
      </w:pPr>
      <w:r>
        <w:rPr>
          <w:rtl/>
        </w:rPr>
        <w:tab/>
      </w:r>
      <w:r>
        <w:rPr>
          <w:rtl/>
        </w:rPr>
        <w:tab/>
        <w:t>وينبغي أن تكون المسألة محل توافق متبادل وتفاهم على أن تحقيق حقوق المرأة ليس مهمة تقتصر على المرأة أو منظماتها دون غيرها، بل إنها مسؤولية جميع أنصار الحقوق الأساسية للكائنات البشرية.</w:t>
      </w:r>
    </w:p>
    <w:p w:rsidR="00000000" w:rsidRDefault="00000000">
      <w:pPr>
        <w:pStyle w:val="SingleTxt"/>
        <w:spacing w:line="380" w:lineRule="exact"/>
        <w:ind w:left="1264" w:right="1264"/>
        <w:rPr>
          <w:rtl/>
        </w:rPr>
      </w:pPr>
      <w:r>
        <w:rPr>
          <w:rtl/>
        </w:rPr>
        <w:tab/>
      </w:r>
      <w:r>
        <w:rPr>
          <w:rtl/>
        </w:rPr>
        <w:tab/>
        <w:t>ويلزم إجراء بحوث مستمرة بشأن مختلف القضايا التي تنطوي على تأثير مباشر أو غير مباشر على وضع المرأة من أجل تقييمها وبحثها بغية توفير أساس لصياغة سياسة تتعلق بنوع الجنس وإطار عمل استراتيجي للمستقبل من أجل تحقيق تغيير أساس حياة المرأة الأريترية ووضعها.</w:t>
      </w:r>
    </w:p>
    <w:p w:rsidR="00000000" w:rsidRDefault="00000000">
      <w:pPr>
        <w:pStyle w:val="SingleTxt"/>
        <w:ind w:left="1264" w:right="1264"/>
        <w:rPr>
          <w:rtl/>
        </w:rPr>
      </w:pPr>
      <w:r>
        <w:rPr>
          <w:rtl/>
        </w:rPr>
        <w:t>حكومة دولة أريتريا</w:t>
      </w:r>
    </w:p>
    <w:p w:rsidR="00000000" w:rsidRDefault="00000000">
      <w:pPr>
        <w:pStyle w:val="SingleTxt"/>
        <w:ind w:left="1264" w:right="1264"/>
        <w:rPr>
          <w:rtl/>
        </w:rPr>
      </w:pPr>
      <w:r>
        <w:rPr>
          <w:rtl/>
        </w:rPr>
        <w:t>كانون الأول/ديسمبر 2002</w:t>
      </w:r>
    </w:p>
    <w:p w:rsidR="00000000" w:rsidRDefault="00000000">
      <w:pPr>
        <w:pStyle w:val="SingleTxt"/>
        <w:ind w:left="1264" w:right="1264"/>
        <w:jc w:val="center"/>
        <w:rPr>
          <w:b/>
          <w:bCs/>
          <w:rtl/>
        </w:rPr>
      </w:pPr>
      <w:r>
        <w:rPr>
          <w:rtl/>
        </w:rPr>
        <w:br w:type="page"/>
      </w:r>
      <w:r>
        <w:rPr>
          <w:b/>
          <w:bCs/>
          <w:rtl/>
        </w:rPr>
        <w:t>المرفق 1</w:t>
      </w:r>
    </w:p>
    <w:p w:rsidR="00000000" w:rsidRDefault="00000000">
      <w:pPr>
        <w:pStyle w:val="SingleTxt"/>
        <w:ind w:left="1264" w:right="1264"/>
        <w:rPr>
          <w:b/>
          <w:bCs/>
          <w:rtl/>
        </w:rPr>
      </w:pPr>
      <w:r>
        <w:rPr>
          <w:b/>
          <w:bCs/>
          <w:rtl/>
        </w:rPr>
        <w:t>المراجع</w:t>
      </w:r>
    </w:p>
    <w:p w:rsidR="00000000" w:rsidRDefault="00000000">
      <w:pPr>
        <w:bidi w:val="0"/>
        <w:spacing w:after="120" w:line="360" w:lineRule="exact"/>
        <w:ind w:left="1264" w:right="1264"/>
        <w:jc w:val="left"/>
      </w:pPr>
      <w:r>
        <w:t>A National  Charter for  Eritrea, approved by the Third  Congress of EPLF Nacfa, Febr</w:t>
      </w:r>
      <w:r>
        <w:t>u</w:t>
      </w:r>
      <w:r>
        <w:t>ary 1994</w:t>
      </w:r>
    </w:p>
    <w:p w:rsidR="00000000" w:rsidRDefault="00000000">
      <w:pPr>
        <w:bidi w:val="0"/>
        <w:spacing w:after="120" w:line="360" w:lineRule="exact"/>
        <w:ind w:left="1264" w:right="1264"/>
        <w:jc w:val="left"/>
      </w:pPr>
      <w:r>
        <w:t>An Assessment of Legal issues affecting women’s lives in Eritrea, NUEW, March 2001</w:t>
      </w:r>
    </w:p>
    <w:p w:rsidR="00000000" w:rsidRDefault="00000000">
      <w:pPr>
        <w:bidi w:val="0"/>
        <w:spacing w:after="120" w:line="360" w:lineRule="exact"/>
        <w:ind w:left="1264" w:right="1264"/>
        <w:jc w:val="left"/>
      </w:pPr>
      <w:r>
        <w:t>A study of the private sector with focus on the Micro, Small, and Medium Enterprise (MSME), prepared by macro Policy and International Economic Cooperation, 1996</w:t>
      </w:r>
    </w:p>
    <w:p w:rsidR="00000000" w:rsidRDefault="00000000">
      <w:pPr>
        <w:pStyle w:val="BodyText"/>
        <w:spacing w:after="120" w:line="360" w:lineRule="exact"/>
        <w:ind w:left="1264" w:right="1264"/>
      </w:pPr>
      <w:r>
        <w:t>Brief report of the Literacy Activities from 1998 – 2001 and semi – annual report of the 2002 literacy program, Mini</w:t>
      </w:r>
      <w:r>
        <w:t>s</w:t>
      </w:r>
      <w:r>
        <w:t>try of Education, August 2002.</w:t>
      </w:r>
    </w:p>
    <w:p w:rsidR="00000000" w:rsidRDefault="00000000">
      <w:pPr>
        <w:pStyle w:val="Heading1"/>
        <w:bidi w:val="0"/>
        <w:spacing w:after="120" w:line="360" w:lineRule="exact"/>
        <w:ind w:left="1264" w:right="1264"/>
        <w:rPr>
          <w:sz w:val="20"/>
        </w:rPr>
      </w:pPr>
      <w:r>
        <w:rPr>
          <w:sz w:val="20"/>
        </w:rPr>
        <w:t>Draft Civil Code of Eritrea</w:t>
      </w:r>
    </w:p>
    <w:p w:rsidR="00000000" w:rsidRDefault="00000000">
      <w:pPr>
        <w:bidi w:val="0"/>
        <w:spacing w:after="120" w:line="360" w:lineRule="exact"/>
        <w:ind w:left="1264" w:right="1264"/>
        <w:jc w:val="right"/>
      </w:pPr>
      <w:r>
        <w:t>Eritrea: Basic education statistics 2000/01, MoE Nov. 2001</w:t>
      </w:r>
    </w:p>
    <w:p w:rsidR="00000000" w:rsidRDefault="00000000">
      <w:pPr>
        <w:bidi w:val="0"/>
        <w:spacing w:after="120" w:line="360" w:lineRule="exact"/>
        <w:ind w:left="1264" w:right="1264"/>
        <w:jc w:val="right"/>
      </w:pPr>
      <w:r>
        <w:t>Eritrea Demographic Health Survey 1995</w:t>
      </w:r>
    </w:p>
    <w:p w:rsidR="00000000" w:rsidRDefault="00000000">
      <w:pPr>
        <w:bidi w:val="0"/>
        <w:spacing w:after="120" w:line="360" w:lineRule="exact"/>
        <w:ind w:left="1264" w:right="1264"/>
        <w:jc w:val="right"/>
      </w:pPr>
      <w:r>
        <w:t>Eritrea Demographic Health Survey 2002, Preliminary Report</w:t>
      </w:r>
    </w:p>
    <w:p w:rsidR="00000000" w:rsidRDefault="00000000">
      <w:pPr>
        <w:bidi w:val="0"/>
        <w:spacing w:after="120" w:line="360" w:lineRule="exact"/>
        <w:ind w:left="1264" w:right="1264"/>
        <w:jc w:val="right"/>
      </w:pPr>
      <w:r>
        <w:t>Eritrea Education and training sector note, July 8, 2002 ; Human Development I Africa Region, Document of the World Bank</w:t>
      </w:r>
    </w:p>
    <w:p w:rsidR="00000000" w:rsidRDefault="00000000">
      <w:pPr>
        <w:bidi w:val="0"/>
        <w:spacing w:after="120" w:line="360" w:lineRule="exact"/>
        <w:ind w:left="1264" w:right="1264"/>
        <w:jc w:val="right"/>
        <w:rPr>
          <w:rtl/>
        </w:rPr>
      </w:pPr>
      <w:r>
        <w:t>Eritrea Education and Training Sector Note, July 8, 2002</w:t>
      </w:r>
    </w:p>
    <w:p w:rsidR="00000000" w:rsidRDefault="00000000">
      <w:pPr>
        <w:bidi w:val="0"/>
        <w:spacing w:after="120" w:line="360" w:lineRule="exact"/>
        <w:ind w:left="1264" w:right="1264"/>
        <w:jc w:val="right"/>
      </w:pPr>
      <w:r>
        <w:t>Eritrea: Health Profile 2000, Ministry of Health May 2001.</w:t>
      </w:r>
    </w:p>
    <w:p w:rsidR="00000000" w:rsidRDefault="00000000">
      <w:pPr>
        <w:bidi w:val="0"/>
        <w:spacing w:after="120" w:line="360" w:lineRule="exact"/>
        <w:ind w:left="1264" w:right="1264"/>
        <w:jc w:val="right"/>
      </w:pPr>
      <w:r>
        <w:t>Eritrea National Clinical protocol on safe motherhood, second edition 2002</w:t>
      </w:r>
    </w:p>
    <w:p w:rsidR="00000000" w:rsidRDefault="00000000">
      <w:pPr>
        <w:bidi w:val="0"/>
        <w:spacing w:after="120" w:line="360" w:lineRule="exact"/>
        <w:ind w:left="1264" w:right="1264"/>
        <w:jc w:val="right"/>
      </w:pPr>
      <w:r>
        <w:t>HCBE, Loan requirements for real estate loans</w:t>
      </w:r>
    </w:p>
    <w:p w:rsidR="00000000" w:rsidRDefault="00000000">
      <w:pPr>
        <w:bidi w:val="0"/>
        <w:spacing w:after="120" w:line="360" w:lineRule="exact"/>
        <w:ind w:left="1264" w:right="1264"/>
        <w:jc w:val="right"/>
      </w:pPr>
      <w:r>
        <w:t>Human Resource for Sustainable Industrial Development, Part I, II, Sep 2002</w:t>
      </w:r>
    </w:p>
    <w:p w:rsidR="00000000" w:rsidRDefault="00000000">
      <w:pPr>
        <w:bidi w:val="0"/>
        <w:spacing w:after="120" w:line="360" w:lineRule="exact"/>
        <w:ind w:left="1264" w:right="1264"/>
        <w:jc w:val="right"/>
      </w:pPr>
      <w:r>
        <w:t>Macro Policy Eritrea, 1994</w:t>
      </w:r>
    </w:p>
    <w:p w:rsidR="00000000" w:rsidRDefault="00000000">
      <w:pPr>
        <w:bidi w:val="0"/>
        <w:spacing w:after="120" w:line="360" w:lineRule="exact"/>
        <w:ind w:left="1264" w:right="1264"/>
        <w:jc w:val="right"/>
      </w:pPr>
      <w:r>
        <w:t>MLA Project 2001, Summary report, MoE, department of General education</w:t>
      </w:r>
    </w:p>
    <w:p w:rsidR="00000000" w:rsidRDefault="00000000">
      <w:pPr>
        <w:bidi w:val="0"/>
        <w:spacing w:after="120" w:line="360" w:lineRule="exact"/>
        <w:ind w:left="1264" w:right="1264"/>
        <w:jc w:val="right"/>
      </w:pPr>
      <w:r>
        <w:t>Ministry of Agriculture, Annual report 2001, Planing &amp; Statistics office</w:t>
      </w:r>
    </w:p>
    <w:p w:rsidR="00000000" w:rsidRDefault="00000000">
      <w:pPr>
        <w:bidi w:val="0"/>
        <w:spacing w:after="120" w:line="360" w:lineRule="exact"/>
        <w:ind w:left="1264" w:right="1264"/>
        <w:jc w:val="right"/>
      </w:pPr>
      <w:r>
        <w:t>Ministry of Education Basic Statistics 1999/2000 – 2001/2002</w:t>
      </w:r>
    </w:p>
    <w:p w:rsidR="00000000" w:rsidRDefault="00000000">
      <w:pPr>
        <w:bidi w:val="0"/>
        <w:spacing w:after="120" w:line="360" w:lineRule="exact"/>
        <w:ind w:left="1264" w:right="1264"/>
        <w:jc w:val="right"/>
      </w:pPr>
      <w:r>
        <w:t>National Economic Policy Framework and Program (NEPFP) for 1998 – 2000</w:t>
      </w:r>
    </w:p>
    <w:p w:rsidR="00000000" w:rsidRDefault="00000000">
      <w:pPr>
        <w:bidi w:val="0"/>
        <w:spacing w:after="120" w:line="360" w:lineRule="exact"/>
        <w:ind w:left="1264" w:right="1264"/>
        <w:jc w:val="right"/>
      </w:pPr>
      <w:r>
        <w:t>National report of the implementation of the African and global platform for action for the advancement of Eritrean women, NUEW Publication Nov 1999 Asmara.</w:t>
      </w:r>
    </w:p>
    <w:p w:rsidR="00000000" w:rsidRDefault="00000000">
      <w:pPr>
        <w:bidi w:val="0"/>
        <w:spacing w:after="120" w:line="360" w:lineRule="exact"/>
        <w:ind w:left="1264" w:right="1264"/>
        <w:jc w:val="right"/>
      </w:pPr>
      <w:r>
        <w:t>On procedures of computation of cost of electric line connection and billing in rural a</w:t>
      </w:r>
      <w:r>
        <w:t>r</w:t>
      </w:r>
      <w:r>
        <w:t>eas and suburbia, Directive No.EI.001/2001, MoEM</w:t>
      </w:r>
    </w:p>
    <w:p w:rsidR="00000000" w:rsidRDefault="00000000">
      <w:pPr>
        <w:bidi w:val="0"/>
        <w:spacing w:after="120" w:line="360" w:lineRule="exact"/>
        <w:ind w:left="1264" w:right="1264"/>
        <w:jc w:val="right"/>
      </w:pPr>
      <w:r>
        <w:t>Planing and Statistics Ministry of Agriculture annual report 2001 – 2002</w:t>
      </w:r>
    </w:p>
    <w:p w:rsidR="00000000" w:rsidRDefault="00000000">
      <w:pPr>
        <w:bidi w:val="0"/>
        <w:spacing w:after="120" w:line="360" w:lineRule="exact"/>
        <w:ind w:left="1264" w:right="1264"/>
        <w:jc w:val="right"/>
      </w:pPr>
      <w:r>
        <w:t>Proposal for a Center for Gender Research Studies and Resource, University of Asmara, July 2002</w:t>
      </w:r>
    </w:p>
    <w:p w:rsidR="00000000" w:rsidRDefault="00000000">
      <w:pPr>
        <w:bidi w:val="0"/>
        <w:spacing w:after="120" w:line="360" w:lineRule="exact"/>
        <w:ind w:left="1264" w:right="1264"/>
        <w:jc w:val="right"/>
      </w:pPr>
      <w:r>
        <w:t>Rural Water Supply and Sanitation PROGRAM, for Eritrea, WRD, March 2002</w:t>
      </w:r>
    </w:p>
    <w:p w:rsidR="00000000" w:rsidRDefault="00000000">
      <w:pPr>
        <w:bidi w:val="0"/>
        <w:spacing w:after="120" w:line="360" w:lineRule="exact"/>
        <w:ind w:left="1264" w:right="1264"/>
        <w:jc w:val="right"/>
      </w:pPr>
      <w:r>
        <w:t>Saving and Micro Credit Program (SMCP) performance report July 1996 – Dec. 2001</w:t>
      </w:r>
    </w:p>
    <w:p w:rsidR="00000000" w:rsidRDefault="00000000">
      <w:pPr>
        <w:bidi w:val="0"/>
        <w:spacing w:after="120" w:line="360" w:lineRule="exact"/>
        <w:ind w:left="1264" w:right="1264"/>
        <w:jc w:val="right"/>
      </w:pPr>
      <w:r>
        <w:t>Statistical data 1996 – 2001, Department of labor Employment Division</w:t>
      </w:r>
    </w:p>
    <w:p w:rsidR="00000000" w:rsidRDefault="00000000">
      <w:pPr>
        <w:bidi w:val="0"/>
        <w:spacing w:after="120" w:line="360" w:lineRule="exact"/>
        <w:ind w:left="1264" w:right="1264"/>
        <w:jc w:val="right"/>
      </w:pPr>
      <w:r>
        <w:t>Study on Knowledge, Attitude and practices of TTBA, Dr. Abrehet Gebrekidan, July 2002</w:t>
      </w:r>
    </w:p>
    <w:p w:rsidR="00000000" w:rsidRDefault="00000000">
      <w:pPr>
        <w:bidi w:val="0"/>
        <w:spacing w:after="120" w:line="360" w:lineRule="exact"/>
        <w:ind w:left="1264" w:right="1264"/>
        <w:jc w:val="right"/>
      </w:pPr>
      <w:r>
        <w:t>The Constitution of Eritrea</w:t>
      </w:r>
    </w:p>
    <w:p w:rsidR="00000000" w:rsidRDefault="00000000">
      <w:pPr>
        <w:bidi w:val="0"/>
        <w:spacing w:after="120" w:line="360" w:lineRule="exact"/>
        <w:ind w:left="1264" w:right="1264"/>
        <w:jc w:val="right"/>
      </w:pPr>
      <w:r>
        <w:t>the Labor proclamation of Eritrea No. 118/2001</w:t>
      </w:r>
    </w:p>
    <w:p w:rsidR="00000000" w:rsidRDefault="00000000">
      <w:pPr>
        <w:bidi w:val="0"/>
        <w:spacing w:after="120" w:line="360" w:lineRule="exact"/>
        <w:ind w:left="1264" w:right="1264"/>
        <w:jc w:val="right"/>
      </w:pPr>
      <w:r>
        <w:t>The Eritrean national report to the fourth world conference on women, Ministry of Fo</w:t>
      </w:r>
      <w:r>
        <w:t>r</w:t>
      </w:r>
      <w:r>
        <w:t>eign Affairs February 1995.</w:t>
      </w:r>
    </w:p>
    <w:p w:rsidR="00000000" w:rsidRDefault="00000000">
      <w:pPr>
        <w:bidi w:val="0"/>
        <w:spacing w:after="120" w:line="360" w:lineRule="exact"/>
        <w:ind w:left="1264" w:right="1264"/>
        <w:jc w:val="right"/>
      </w:pPr>
      <w:r>
        <w:t>The Gender Fair Teacher: Moving Towards Equity in the Eritrean Elementary Clas</w:t>
      </w:r>
      <w:r>
        <w:t>s</w:t>
      </w:r>
      <w:r>
        <w:t>room, MoE and UNICEF,October 2002</w:t>
      </w:r>
    </w:p>
    <w:p w:rsidR="00000000" w:rsidRDefault="00000000">
      <w:pPr>
        <w:bidi w:val="0"/>
        <w:spacing w:after="120" w:line="360" w:lineRule="exact"/>
        <w:ind w:left="1264" w:right="1264"/>
        <w:jc w:val="right"/>
      </w:pPr>
      <w:r>
        <w:t>The state of Eritrea, MoE, Education Brief March 1998</w:t>
      </w:r>
    </w:p>
    <w:p w:rsidR="00000000" w:rsidRDefault="00000000">
      <w:pPr>
        <w:bidi w:val="0"/>
        <w:spacing w:after="120" w:line="360" w:lineRule="exact"/>
        <w:ind w:left="1264" w:right="1264"/>
        <w:jc w:val="right"/>
        <w:rPr>
          <w:rtl/>
        </w:rPr>
      </w:pPr>
      <w:r>
        <w:t>The Proceedings of the 20</w:t>
      </w:r>
      <w:r>
        <w:rPr>
          <w:vertAlign w:val="superscript"/>
        </w:rPr>
        <w:t>th</w:t>
      </w:r>
      <w:r>
        <w:t xml:space="preserve"> Anniversary Conference of the National Union of Eritrean Women, Nov. 27 – 29, 1999</w:t>
      </w:r>
    </w:p>
    <w:p w:rsidR="00000000" w:rsidRDefault="00000000">
      <w:pPr>
        <w:spacing w:after="120" w:line="360" w:lineRule="exact"/>
        <w:ind w:left="1264" w:right="1264"/>
      </w:pPr>
      <w:r>
        <w:rPr>
          <w:rtl/>
        </w:rPr>
        <w:t>إطار عمل الأمم المتحدة للمساعدة الإنمائية (2002-2006)، أريتريا، أيار/مايو 2002</w:t>
      </w:r>
    </w:p>
    <w:p w:rsidR="00000000" w:rsidRDefault="00000000">
      <w:pPr>
        <w:pStyle w:val="BlockText"/>
        <w:spacing w:after="120" w:line="360" w:lineRule="exact"/>
      </w:pPr>
      <w:r>
        <w:t>Water point inventory and assessment of Debub, Anseba, SRS, Ministry of LWE/WRD Dec 2001</w:t>
      </w:r>
    </w:p>
    <w:p w:rsidR="00000000" w:rsidRDefault="00000000">
      <w:pPr>
        <w:pStyle w:val="BlockText"/>
        <w:bidi/>
        <w:spacing w:line="240" w:lineRule="auto"/>
        <w:rPr>
          <w:rtl/>
        </w:rPr>
      </w:pPr>
    </w:p>
    <w:p w:rsidR="00000000" w:rsidRDefault="00000000">
      <w:pPr>
        <w:pStyle w:val="BlockText"/>
        <w:bidi/>
        <w:spacing w:after="120"/>
        <w:jc w:val="center"/>
        <w:rPr>
          <w:b/>
          <w:bCs/>
          <w:rtl/>
        </w:rPr>
      </w:pPr>
      <w:r>
        <w:rPr>
          <w:rtl/>
        </w:rPr>
        <w:br w:type="page"/>
      </w:r>
      <w:r>
        <w:rPr>
          <w:b/>
          <w:bCs/>
          <w:rtl/>
        </w:rPr>
        <w:t>المرفق 2</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5528"/>
        <w:gridCol w:w="992"/>
      </w:tblGrid>
      <w:tr w:rsidR="00000000">
        <w:tblPrEx>
          <w:tblCellMar>
            <w:top w:w="0" w:type="dxa"/>
            <w:bottom w:w="0" w:type="dxa"/>
          </w:tblCellMar>
        </w:tblPrEx>
        <w:trPr>
          <w:cantSplit/>
        </w:trPr>
        <w:tc>
          <w:tcPr>
            <w:tcW w:w="6804" w:type="dxa"/>
            <w:gridSpan w:val="2"/>
            <w:tcBorders>
              <w:top w:val="nil"/>
              <w:left w:val="nil"/>
              <w:bottom w:val="nil"/>
              <w:right w:val="nil"/>
            </w:tcBorders>
          </w:tcPr>
          <w:p w:rsidR="00000000" w:rsidRDefault="00000000">
            <w:pPr>
              <w:pStyle w:val="BlockText"/>
              <w:tabs>
                <w:tab w:val="right" w:leader="dot" w:pos="10206"/>
              </w:tabs>
              <w:bidi/>
              <w:spacing w:after="120"/>
              <w:ind w:left="0" w:right="0"/>
              <w:rPr>
                <w:b/>
                <w:bCs/>
                <w:rtl/>
              </w:rPr>
            </w:pPr>
            <w:r>
              <w:rPr>
                <w:b/>
                <w:bCs/>
                <w:rtl/>
              </w:rPr>
              <w:t>قائمة الجداول</w:t>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rPr>
                <w:b/>
                <w:bCs/>
                <w:rtl/>
              </w:rPr>
            </w:pPr>
            <w:r>
              <w:rPr>
                <w:b/>
                <w:bCs/>
                <w:rtl/>
              </w:rPr>
              <w:t>الصفحة</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 xml:space="preserve">التقسيم حسب نوع الجنس في </w:t>
            </w:r>
            <w:bookmarkStart w:id="1" w:name="TmpSave"/>
            <w:bookmarkEnd w:id="1"/>
            <w:r>
              <w:rPr>
                <w:rtl/>
              </w:rPr>
              <w:t>المناصب الحكومية العليا</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23</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 xml:space="preserve">المرأة في الشؤون الدولية </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25</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3:</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معدل التحاق الفتيات</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28</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4:</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نسبة حضور الإناث في المدارس حسب الخلفية</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29</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5:</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الفتيات في التدريب التعليمي التقني والمهني</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29</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6:</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المعيدون حسب المرحلة ونوع الجنس</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31</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7:</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الانسحاب حسب المرحلة ونوع الجنس</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31</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8:</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مدرسات المدارس</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32</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9:</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ناظرات المدارس في المرحلة الابتدائية</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33</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10:</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التحاق الإناث بالجامعة، 1998-2001</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33</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11:</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خريجات الجامعة، 1991-2001</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34</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12:</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 xml:space="preserve">رصد إنجاز التعليم في الصف الخامس </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37</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13:</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اشتراك المرأة في برامج محو الأمية</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39</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14:</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النسبة المئوية الإجمالية للنساء في مجموع القوى العاملة في بعض فئات الشركات الصغرى والصغيرة والمتوسطة أريتريا</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42</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15:</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 xml:space="preserve">تنسيب الباحثين عن وظيفة، حسب المهنة والجنس والسنة </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45</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16:</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عدد المشتركين حسب البرامج المقدمة من خلال وزارة التعليم ووزارة الصحة ووزارة الزراعة، 1993-1999</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50</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17:</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عدد القابلات التقليدية المدربات في السنوات العشر الأخيرة حسب المنطقة</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55</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18:</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توزيع الأرض من أجل الإسكان في المنطقة الجنوبية، 1998-1999</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70</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19:</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أداء برنامج الادخار والائتمان (1996-2001)</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74</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20:</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المستفيدات من برنامج الاتحاد الوطني لنساء الأريتريات ومبالغ القروض حسب المنطقة (6/95-6/97)</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75</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21:</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سكان الريف الذين لديهم إمكانية الوصول إلى مياه الشرب في عام 2001</w:t>
            </w:r>
            <w:r>
              <w:rPr>
                <w:rtl/>
              </w:rPr>
              <w:tab/>
            </w:r>
          </w:p>
        </w:tc>
        <w:tc>
          <w:tcPr>
            <w:tcW w:w="992" w:type="dxa"/>
            <w:tcBorders>
              <w:top w:val="nil"/>
              <w:left w:val="nil"/>
              <w:bottom w:val="nil"/>
              <w:right w:val="nil"/>
            </w:tcBorders>
          </w:tcPr>
          <w:p w:rsidR="00000000" w:rsidRDefault="00000000">
            <w:pPr>
              <w:pStyle w:val="BlockText"/>
              <w:tabs>
                <w:tab w:val="right" w:leader="dot" w:pos="10206"/>
              </w:tabs>
              <w:bidi/>
              <w:ind w:left="0" w:right="0"/>
              <w:jc w:val="center"/>
              <w:rPr>
                <w:rtl/>
              </w:rPr>
            </w:pPr>
          </w:p>
          <w:p w:rsidR="00000000" w:rsidRDefault="00000000">
            <w:pPr>
              <w:pStyle w:val="BlockText"/>
              <w:tabs>
                <w:tab w:val="right" w:leader="dot" w:pos="10206"/>
              </w:tabs>
              <w:bidi/>
              <w:spacing w:after="120"/>
              <w:ind w:left="0" w:right="0"/>
              <w:jc w:val="center"/>
              <w:rPr>
                <w:rtl/>
              </w:rPr>
            </w:pPr>
            <w:r>
              <w:rPr>
                <w:rtl/>
              </w:rPr>
              <w:t>77</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22:</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 xml:space="preserve">المرأة في لجان المياه </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78</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23:</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المرأة في قطاع الأعمال في منطقة ماكيل</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82</w:t>
            </w:r>
          </w:p>
        </w:tc>
      </w:tr>
      <w:tr w:rsidR="00000000">
        <w:tblPrEx>
          <w:tblCellMar>
            <w:top w:w="0" w:type="dxa"/>
            <w:bottom w:w="0" w:type="dxa"/>
          </w:tblCellMar>
        </w:tblPrEx>
        <w:tc>
          <w:tcPr>
            <w:tcW w:w="1276"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الجدول 24:</w:t>
            </w:r>
          </w:p>
        </w:tc>
        <w:tc>
          <w:tcPr>
            <w:tcW w:w="5528" w:type="dxa"/>
            <w:tcBorders>
              <w:top w:val="nil"/>
              <w:left w:val="nil"/>
              <w:bottom w:val="nil"/>
              <w:right w:val="nil"/>
            </w:tcBorders>
          </w:tcPr>
          <w:p w:rsidR="00000000" w:rsidRDefault="00000000">
            <w:pPr>
              <w:pStyle w:val="BlockText"/>
              <w:tabs>
                <w:tab w:val="right" w:leader="dot" w:pos="10206"/>
              </w:tabs>
              <w:bidi/>
              <w:spacing w:after="120"/>
              <w:ind w:left="0" w:right="0"/>
              <w:rPr>
                <w:rtl/>
              </w:rPr>
            </w:pPr>
            <w:r>
              <w:rPr>
                <w:rtl/>
              </w:rPr>
              <w:t>حالات الاغتصاب</w:t>
            </w:r>
            <w:r>
              <w:rPr>
                <w:rtl/>
              </w:rPr>
              <w:tab/>
            </w:r>
          </w:p>
        </w:tc>
        <w:tc>
          <w:tcPr>
            <w:tcW w:w="992" w:type="dxa"/>
            <w:tcBorders>
              <w:top w:val="nil"/>
              <w:left w:val="nil"/>
              <w:bottom w:val="nil"/>
              <w:right w:val="nil"/>
            </w:tcBorders>
          </w:tcPr>
          <w:p w:rsidR="00000000" w:rsidRDefault="00000000">
            <w:pPr>
              <w:pStyle w:val="BlockText"/>
              <w:tabs>
                <w:tab w:val="right" w:leader="dot" w:pos="10206"/>
              </w:tabs>
              <w:bidi/>
              <w:spacing w:after="120"/>
              <w:ind w:left="0" w:right="0"/>
              <w:jc w:val="center"/>
              <w:rPr>
                <w:rtl/>
              </w:rPr>
            </w:pPr>
            <w:r>
              <w:rPr>
                <w:rtl/>
              </w:rPr>
              <w:t>90</w:t>
            </w:r>
          </w:p>
        </w:tc>
      </w:tr>
    </w:tbl>
    <w:p w:rsidR="00000000" w:rsidRDefault="00000000">
      <w:pPr>
        <w:pStyle w:val="BlockText"/>
        <w:bidi/>
        <w:spacing w:after="120"/>
        <w:rPr>
          <w:rtl/>
        </w:rPr>
      </w:pPr>
    </w:p>
    <w:p w:rsidR="00000000" w:rsidRDefault="00000000">
      <w:pPr>
        <w:pStyle w:val="BlockText"/>
        <w:bidi/>
        <w:spacing w:line="240" w:lineRule="auto"/>
      </w:pPr>
      <w:r>
        <w:rPr>
          <w:w w:val="100"/>
          <w:rtl/>
        </w:rPr>
        <w:pict>
          <v:line id="_x0000_s2052" style="position:absolute;left:0;text-align:left;z-index:1;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NO&gt;&gt;N0423184A&lt;&lt;ODS JOB NO&gt;&gt;</w:t>
      </w:r>
    </w:p>
    <w:p w:rsidR="00000000" w:rsidRDefault="00000000">
      <w:pPr>
        <w:pStyle w:val="CommentText"/>
        <w:rPr>
          <w:rtl/>
        </w:rPr>
      </w:pPr>
      <w:r>
        <w:rPr>
          <w:rtl/>
        </w:rPr>
        <w:t>&lt;&lt;</w:t>
      </w:r>
      <w:r>
        <w:t>ODS DOC SYMBOL1&gt;&gt;CEDAW/C/ERI/1-2&lt;&lt;ODS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94</w:t>
          </w:r>
          <w:r>
            <w:fldChar w:fldCharType="end"/>
          </w:r>
        </w:p>
      </w:tc>
      <w:tc>
        <w:tcPr>
          <w:tcW w:w="5033" w:type="dxa"/>
        </w:tcPr>
        <w:p w:rsidR="00000000" w:rsidRDefault="00000000">
          <w:pPr>
            <w:pStyle w:val="Footer"/>
            <w:rPr>
              <w:b w:val="0"/>
            </w:rPr>
          </w:pPr>
          <w:r>
            <w:rPr>
              <w:b w:val="0"/>
            </w:rPr>
            <w:t>04-23184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04-23184</w:t>
          </w:r>
        </w:p>
      </w:tc>
      <w:tc>
        <w:tcPr>
          <w:tcW w:w="5033" w:type="dxa"/>
        </w:tcPr>
        <w:p w:rsidR="00000000" w:rsidRDefault="00000000">
          <w:pPr>
            <w:pStyle w:val="Footer"/>
          </w:pPr>
          <w:r>
            <w:fldChar w:fldCharType="begin"/>
          </w:r>
          <w:r>
            <w:instrText xml:space="preserve"> PAGE  \* MERGEFORMAT </w:instrText>
          </w:r>
          <w:r>
            <w:fldChar w:fldCharType="separate"/>
          </w:r>
          <w:r>
            <w:t>93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04-23184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*0423184*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SingleTxt"/>
        <w:ind w:left="720" w:right="1264"/>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1264" w:right="1264" w:firstLine="0"/>
        <w:rPr>
          <w:rtl/>
        </w:rPr>
      </w:pPr>
      <w:r>
        <w:rPr>
          <w:rtl/>
        </w:rPr>
        <w:tab/>
      </w:r>
      <w:r>
        <w:rPr>
          <w:rStyle w:val="FootnoteReference"/>
          <w:rtl/>
        </w:rPr>
        <w:t>*</w:t>
      </w:r>
      <w:r>
        <w:rPr>
          <w:rtl/>
        </w:rPr>
        <w:tab/>
        <w:t>هذا التقرير يصدر دون تحرير رسمي.</w:t>
      </w:r>
    </w:p>
  </w:footnote>
  <w:footnote w:id="2">
    <w:p w:rsidR="00000000" w:rsidRDefault="00000000">
      <w:pPr>
        <w:pStyle w:val="FootnoteText"/>
        <w:ind w:left="1264" w:right="1264" w:firstLine="0"/>
        <w:rPr>
          <w:rtl/>
        </w:rPr>
      </w:pPr>
      <w:r>
        <w:rPr>
          <w:rtl/>
        </w:rPr>
        <w:tab/>
      </w:r>
      <w:r>
        <w:rPr>
          <w:rStyle w:val="FootnoteReference"/>
          <w:rtl/>
        </w:rPr>
        <w:t>(1)</w:t>
      </w:r>
      <w:r>
        <w:rPr>
          <w:rtl/>
        </w:rPr>
        <w:tab/>
        <w:t>الاستقصاء الديمغرافي والصحي لأريتريا، 1996.</w:t>
      </w:r>
    </w:p>
  </w:footnote>
  <w:footnote w:id="3">
    <w:p w:rsidR="00000000" w:rsidRDefault="00000000">
      <w:pPr>
        <w:pStyle w:val="FootnoteText"/>
        <w:ind w:left="1264" w:right="1264" w:firstLine="0"/>
        <w:rPr>
          <w:rtl/>
        </w:rPr>
      </w:pPr>
      <w:r>
        <w:rPr>
          <w:rtl/>
        </w:rPr>
        <w:tab/>
      </w:r>
      <w:r>
        <w:rPr>
          <w:rStyle w:val="FootnoteReference"/>
          <w:rtl/>
        </w:rPr>
        <w:t>(2)</w:t>
      </w:r>
      <w:r>
        <w:rPr>
          <w:rtl/>
        </w:rPr>
        <w:tab/>
        <w:t>إعلان إنشاء اللجنة الدستورية الإريترية.</w:t>
      </w:r>
    </w:p>
  </w:footnote>
  <w:footnote w:id="4">
    <w:p w:rsidR="00000000" w:rsidRDefault="00000000">
      <w:pPr>
        <w:pStyle w:val="FootnoteText"/>
        <w:ind w:left="1264" w:right="1264" w:firstLine="0"/>
        <w:rPr>
          <w:rtl/>
        </w:rPr>
      </w:pPr>
      <w:r>
        <w:rPr>
          <w:rtl/>
        </w:rPr>
        <w:tab/>
      </w:r>
      <w:r>
        <w:rPr>
          <w:rStyle w:val="FootnoteReference"/>
          <w:rtl/>
        </w:rPr>
        <w:t>(3)</w:t>
      </w:r>
      <w:r>
        <w:rPr>
          <w:rtl/>
        </w:rPr>
        <w:tab/>
        <w:t>السياسة الكلية لحكومة أريتريا، 1994.</w:t>
      </w:r>
    </w:p>
  </w:footnote>
  <w:footnote w:id="5">
    <w:p w:rsidR="00000000" w:rsidRDefault="00000000">
      <w:pPr>
        <w:pStyle w:val="FootnoteText"/>
        <w:ind w:left="1264" w:right="1264" w:firstLine="0"/>
        <w:rPr>
          <w:rtl/>
        </w:rPr>
      </w:pPr>
      <w:r>
        <w:rPr>
          <w:rtl/>
        </w:rPr>
        <w:tab/>
      </w:r>
      <w:r>
        <w:rPr>
          <w:rStyle w:val="FootnoteReference"/>
          <w:rtl/>
        </w:rPr>
        <w:t>(4)</w:t>
      </w:r>
      <w:r>
        <w:rPr>
          <w:rtl/>
        </w:rPr>
        <w:tab/>
        <w:t>الاستقصاء الديمغرافي والصحي لأريتريا لعام 2002.</w:t>
      </w:r>
    </w:p>
  </w:footnote>
  <w:footnote w:id="6">
    <w:p w:rsidR="00000000" w:rsidRDefault="00000000">
      <w:pPr>
        <w:pStyle w:val="FootnoteText"/>
        <w:ind w:left="1264" w:right="1264" w:firstLine="0"/>
        <w:rPr>
          <w:rtl/>
        </w:rPr>
      </w:pPr>
      <w:r>
        <w:rPr>
          <w:rtl/>
        </w:rPr>
        <w:tab/>
      </w:r>
      <w:r>
        <w:rPr>
          <w:rStyle w:val="FootnoteReference"/>
          <w:rtl/>
        </w:rPr>
        <w:t>(5)</w:t>
      </w:r>
      <w:r>
        <w:rPr>
          <w:rtl/>
        </w:rPr>
        <w:tab/>
        <w:t>الاستقصاء الديمغرافي والصحي لأريتريا لعام 1995.</w:t>
      </w:r>
    </w:p>
  </w:footnote>
  <w:footnote w:id="7">
    <w:p w:rsidR="00000000" w:rsidRDefault="00000000">
      <w:pPr>
        <w:pStyle w:val="FootnoteText"/>
        <w:ind w:left="1264" w:right="1264" w:firstLine="0"/>
        <w:rPr>
          <w:rtl/>
        </w:rPr>
      </w:pPr>
      <w:r>
        <w:rPr>
          <w:rtl/>
        </w:rPr>
        <w:tab/>
      </w:r>
      <w:r>
        <w:rPr>
          <w:rStyle w:val="FootnoteReference"/>
          <w:rtl/>
        </w:rPr>
        <w:t>(6)</w:t>
      </w:r>
      <w:r>
        <w:rPr>
          <w:rtl/>
        </w:rPr>
        <w:tab/>
        <w:t xml:space="preserve">خطة العمل المقترحة من جانب الاتحاد الوطني للنساء الأريتريات بشأن التنمية الاجتماعية والاقتصادية للفترة 2001 </w:t>
      </w:r>
      <w:r>
        <w:t>–</w:t>
      </w:r>
      <w:r>
        <w:rPr>
          <w:rtl/>
        </w:rPr>
        <w:t xml:space="preserve"> 2005.</w:t>
      </w:r>
    </w:p>
  </w:footnote>
  <w:footnote w:id="8">
    <w:p w:rsidR="00000000" w:rsidRDefault="00000000">
      <w:pPr>
        <w:pStyle w:val="FootnoteText"/>
        <w:ind w:left="1264" w:right="1264" w:firstLine="0"/>
        <w:rPr>
          <w:rtl/>
        </w:rPr>
      </w:pPr>
      <w:r>
        <w:rPr>
          <w:rtl/>
        </w:rPr>
        <w:tab/>
      </w:r>
      <w:r>
        <w:rPr>
          <w:rStyle w:val="FootnoteReference"/>
          <w:rtl/>
        </w:rPr>
        <w:t>(7)</w:t>
      </w:r>
      <w:r>
        <w:rPr>
          <w:rtl/>
        </w:rPr>
        <w:tab/>
        <w:t>دستور أريتريا.</w:t>
      </w:r>
    </w:p>
  </w:footnote>
  <w:footnote w:id="9">
    <w:p w:rsidR="00000000" w:rsidRDefault="00000000">
      <w:pPr>
        <w:pStyle w:val="FootnoteText"/>
        <w:ind w:left="1264" w:right="1264" w:firstLine="0"/>
        <w:rPr>
          <w:rtl/>
        </w:rPr>
      </w:pPr>
      <w:r>
        <w:rPr>
          <w:rtl/>
        </w:rPr>
        <w:tab/>
      </w:r>
      <w:r>
        <w:rPr>
          <w:rStyle w:val="FootnoteReference"/>
          <w:rtl/>
        </w:rPr>
        <w:t>(8)</w:t>
      </w:r>
      <w:r>
        <w:rPr>
          <w:rtl/>
        </w:rPr>
        <w:tab/>
        <w:t>الميثاق الوطني لأريتريا، الذي وافق عليه المؤتمر الثالث للجبهة الشعبية لتحرير أريتريا.</w:t>
      </w:r>
    </w:p>
  </w:footnote>
  <w:footnote w:id="10">
    <w:p w:rsidR="00000000" w:rsidRDefault="00000000">
      <w:pPr>
        <w:pStyle w:val="FootnoteText"/>
        <w:ind w:left="1264" w:right="1264" w:firstLine="0"/>
        <w:rPr>
          <w:rtl/>
        </w:rPr>
      </w:pPr>
      <w:r>
        <w:rPr>
          <w:rtl/>
        </w:rPr>
        <w:tab/>
      </w:r>
      <w:r>
        <w:rPr>
          <w:rStyle w:val="FootnoteReference"/>
          <w:rtl/>
        </w:rPr>
        <w:t>(9)</w:t>
      </w:r>
      <w:r>
        <w:rPr>
          <w:rtl/>
        </w:rPr>
        <w:tab/>
        <w:t>برنامج إعادة تأهيل العاملين في الجنس التجاري التابع لوزارة العمل والرفاهية الاجتماعية.</w:t>
      </w:r>
    </w:p>
  </w:footnote>
  <w:footnote w:id="11">
    <w:p w:rsidR="00000000" w:rsidRDefault="00000000">
      <w:pPr>
        <w:pStyle w:val="FootnoteText"/>
        <w:ind w:left="1264" w:right="1264" w:firstLine="0"/>
        <w:rPr>
          <w:rtl/>
        </w:rPr>
      </w:pPr>
      <w:r>
        <w:rPr>
          <w:rtl/>
        </w:rPr>
        <w:tab/>
      </w:r>
      <w:r>
        <w:rPr>
          <w:rStyle w:val="FootnoteReference"/>
          <w:rtl/>
        </w:rPr>
        <w:t>(10)</w:t>
      </w:r>
      <w:r>
        <w:rPr>
          <w:rtl/>
        </w:rPr>
        <w:tab/>
        <w:t>الكنيسة اللوثرية.</w:t>
      </w:r>
    </w:p>
  </w:footnote>
  <w:footnote w:id="12">
    <w:p w:rsidR="00000000" w:rsidRDefault="00000000">
      <w:pPr>
        <w:pStyle w:val="FootnoteText"/>
        <w:ind w:left="1264" w:right="1264" w:firstLine="0"/>
        <w:rPr>
          <w:rtl/>
        </w:rPr>
      </w:pPr>
      <w:r>
        <w:rPr>
          <w:rtl/>
        </w:rPr>
        <w:tab/>
      </w:r>
      <w:r>
        <w:rPr>
          <w:rStyle w:val="FootnoteReference"/>
          <w:rtl/>
        </w:rPr>
        <w:t>(11)</w:t>
      </w:r>
      <w:r>
        <w:rPr>
          <w:rtl/>
        </w:rPr>
        <w:tab/>
        <w:t>زوبا تعني منطقة.</w:t>
      </w:r>
    </w:p>
  </w:footnote>
  <w:footnote w:id="13">
    <w:p w:rsidR="00000000" w:rsidRDefault="00000000">
      <w:pPr>
        <w:pStyle w:val="FootnoteText"/>
        <w:ind w:left="1264" w:right="1264" w:firstLine="0"/>
        <w:rPr>
          <w:rtl/>
        </w:rPr>
      </w:pPr>
      <w:r>
        <w:rPr>
          <w:rtl/>
        </w:rPr>
        <w:tab/>
      </w:r>
      <w:r>
        <w:rPr>
          <w:rStyle w:val="FootnoteReference"/>
          <w:rtl/>
        </w:rPr>
        <w:t>(12)</w:t>
      </w:r>
      <w:r>
        <w:rPr>
          <w:rtl/>
        </w:rPr>
        <w:tab/>
        <w:t>وزارة التعليم، موجز تعليمي في آذار/مارس 1998.</w:t>
      </w:r>
    </w:p>
  </w:footnote>
  <w:footnote w:id="14">
    <w:p w:rsidR="00000000" w:rsidRDefault="00000000">
      <w:pPr>
        <w:pStyle w:val="FootnoteText"/>
        <w:ind w:left="1264" w:right="1264" w:firstLine="0"/>
        <w:rPr>
          <w:rtl/>
        </w:rPr>
      </w:pPr>
      <w:r>
        <w:rPr>
          <w:rtl/>
        </w:rPr>
        <w:tab/>
      </w:r>
      <w:r>
        <w:rPr>
          <w:rStyle w:val="FootnoteReference"/>
          <w:rtl/>
        </w:rPr>
        <w:t>(13)</w:t>
      </w:r>
      <w:r>
        <w:rPr>
          <w:rtl/>
        </w:rPr>
        <w:tab/>
        <w:t>إحصاءات أريتريا للتعليم الأساسي، 2000/2001.</w:t>
      </w:r>
    </w:p>
  </w:footnote>
  <w:footnote w:id="15">
    <w:p w:rsidR="00000000" w:rsidRDefault="00000000">
      <w:pPr>
        <w:pStyle w:val="FootnoteText"/>
        <w:ind w:left="1264" w:right="1264" w:firstLine="0"/>
        <w:rPr>
          <w:rtl/>
        </w:rPr>
      </w:pPr>
      <w:r>
        <w:rPr>
          <w:rtl/>
        </w:rPr>
        <w:tab/>
      </w:r>
      <w:r>
        <w:rPr>
          <w:rStyle w:val="FootnoteReference"/>
          <w:rtl/>
        </w:rPr>
        <w:t>(14)</w:t>
      </w:r>
      <w:r>
        <w:rPr>
          <w:rtl/>
        </w:rPr>
        <w:tab/>
        <w:t>صافي نسبة الحضور في سن المدرسة الابتدائية (7 - 11) بالنسبة للسكان الذين يحضرون المدرسة. والشيء نفسه ينطبق على المرحلتين الإعدادية والثانوية.</w:t>
      </w:r>
    </w:p>
  </w:footnote>
  <w:footnote w:id="16">
    <w:p w:rsidR="00000000" w:rsidRDefault="00000000">
      <w:pPr>
        <w:pStyle w:val="FootnoteText"/>
        <w:ind w:left="1264" w:right="1264" w:firstLine="0"/>
        <w:rPr>
          <w:rtl/>
        </w:rPr>
      </w:pPr>
      <w:r>
        <w:rPr>
          <w:rtl/>
        </w:rPr>
        <w:tab/>
      </w:r>
      <w:r>
        <w:rPr>
          <w:rStyle w:val="FootnoteReference"/>
          <w:rtl/>
        </w:rPr>
        <w:t>(15)</w:t>
      </w:r>
      <w:r>
        <w:rPr>
          <w:rtl/>
        </w:rPr>
        <w:tab/>
        <w:t>الاستقصاء الديمغرافي والصحي لأريتريا لعام 2002.</w:t>
      </w:r>
    </w:p>
  </w:footnote>
  <w:footnote w:id="17">
    <w:p w:rsidR="00000000" w:rsidRDefault="00000000">
      <w:pPr>
        <w:pStyle w:val="FootnoteText"/>
        <w:ind w:left="1264" w:right="1264" w:firstLine="0"/>
        <w:rPr>
          <w:rtl/>
        </w:rPr>
      </w:pPr>
      <w:r>
        <w:rPr>
          <w:rtl/>
        </w:rPr>
        <w:tab/>
      </w:r>
      <w:r>
        <w:rPr>
          <w:rStyle w:val="FootnoteReference"/>
          <w:rtl/>
        </w:rPr>
        <w:t>(16)</w:t>
      </w:r>
      <w:r>
        <w:rPr>
          <w:rtl/>
        </w:rPr>
        <w:tab/>
        <w:t>مذكرة قطاع التعليم والتدريب في أريتريا، 8 تموز/يوليه 2002.</w:t>
      </w:r>
    </w:p>
  </w:footnote>
  <w:footnote w:id="18">
    <w:p w:rsidR="00000000" w:rsidRDefault="00000000">
      <w:pPr>
        <w:pStyle w:val="FootnoteText"/>
        <w:ind w:left="1264" w:right="1264" w:firstLine="0"/>
        <w:rPr>
          <w:rtl/>
        </w:rPr>
      </w:pPr>
      <w:r>
        <w:rPr>
          <w:rtl/>
        </w:rPr>
        <w:tab/>
      </w:r>
      <w:r>
        <w:rPr>
          <w:rStyle w:val="FootnoteReference"/>
          <w:rtl/>
        </w:rPr>
        <w:t>(17)</w:t>
      </w:r>
      <w:r>
        <w:rPr>
          <w:rtl/>
        </w:rPr>
        <w:tab/>
        <w:t>اقتراح بإنشاء مركز أبحاث نوع الجنس والدراسات والموارد في جامعة أسمره تموز/يوليه 2002.</w:t>
      </w:r>
    </w:p>
  </w:footnote>
  <w:footnote w:id="19">
    <w:p w:rsidR="00000000" w:rsidRDefault="00000000">
      <w:pPr>
        <w:pStyle w:val="FootnoteText"/>
        <w:ind w:left="1264" w:right="1264" w:firstLine="0"/>
        <w:rPr>
          <w:rtl/>
        </w:rPr>
      </w:pPr>
      <w:r>
        <w:rPr>
          <w:rtl/>
        </w:rPr>
        <w:tab/>
      </w:r>
      <w:r>
        <w:rPr>
          <w:rStyle w:val="FootnoteReference"/>
          <w:rtl/>
        </w:rPr>
        <w:t>(18)</w:t>
      </w:r>
      <w:r>
        <w:rPr>
          <w:rtl/>
        </w:rPr>
        <w:tab/>
        <w:t>المدرس النـزيه حسب نوع الجنس، كتيب معهد أسمره للمعلمين 2002.</w:t>
      </w:r>
    </w:p>
  </w:footnote>
  <w:footnote w:id="20">
    <w:p w:rsidR="00000000" w:rsidRDefault="00000000">
      <w:pPr>
        <w:pStyle w:val="FootnoteText"/>
        <w:ind w:left="1264" w:right="1264" w:firstLine="0"/>
        <w:rPr>
          <w:rtl/>
        </w:rPr>
      </w:pPr>
      <w:r>
        <w:rPr>
          <w:rtl/>
        </w:rPr>
        <w:tab/>
      </w:r>
      <w:r>
        <w:rPr>
          <w:rStyle w:val="FootnoteReference"/>
          <w:rtl/>
        </w:rPr>
        <w:t>(19)</w:t>
      </w:r>
      <w:r>
        <w:rPr>
          <w:rtl/>
        </w:rPr>
        <w:tab/>
        <w:t>إحصاءات التعليم الأساسي لعام 1999/2000.</w:t>
      </w:r>
    </w:p>
  </w:footnote>
  <w:footnote w:id="21">
    <w:p w:rsidR="00000000" w:rsidRDefault="00000000">
      <w:pPr>
        <w:pStyle w:val="FootnoteText"/>
        <w:ind w:left="1264" w:right="1264" w:firstLine="0"/>
        <w:rPr>
          <w:rtl/>
        </w:rPr>
      </w:pPr>
      <w:r>
        <w:rPr>
          <w:rtl/>
        </w:rPr>
        <w:tab/>
      </w:r>
      <w:r>
        <w:rPr>
          <w:rStyle w:val="FootnoteReference"/>
          <w:rtl/>
        </w:rPr>
        <w:t>(20)</w:t>
      </w:r>
      <w:r>
        <w:rPr>
          <w:rtl/>
        </w:rPr>
        <w:tab/>
        <w:t>تقرير موجز عن محو الأمية 2 آب/أغسطس 2002.</w:t>
      </w:r>
    </w:p>
  </w:footnote>
  <w:footnote w:id="22">
    <w:p w:rsidR="00000000" w:rsidRDefault="00000000">
      <w:pPr>
        <w:pStyle w:val="FootnoteText"/>
        <w:ind w:left="1264" w:right="1264" w:firstLine="0"/>
        <w:rPr>
          <w:rtl/>
        </w:rPr>
      </w:pPr>
      <w:r>
        <w:rPr>
          <w:rtl/>
        </w:rPr>
        <w:tab/>
      </w:r>
      <w:r>
        <w:rPr>
          <w:rStyle w:val="FootnoteReference"/>
          <w:rtl/>
        </w:rPr>
        <w:t>(21)</w:t>
      </w:r>
      <w:r>
        <w:rPr>
          <w:rtl/>
        </w:rPr>
        <w:tab/>
        <w:t xml:space="preserve">تقرير الاتحاد الوطني للنساء الأريتريات بشأن محو الأمية، 1994 </w:t>
      </w:r>
      <w:r>
        <w:t>–</w:t>
      </w:r>
      <w:r>
        <w:rPr>
          <w:rtl/>
        </w:rPr>
        <w:t xml:space="preserve"> 1996.</w:t>
      </w:r>
    </w:p>
  </w:footnote>
  <w:footnote w:id="23">
    <w:p w:rsidR="00000000" w:rsidRDefault="00000000">
      <w:pPr>
        <w:pStyle w:val="FootnoteText"/>
        <w:ind w:left="1264" w:right="1264" w:firstLine="0"/>
        <w:rPr>
          <w:rtl/>
        </w:rPr>
      </w:pPr>
      <w:r>
        <w:rPr>
          <w:rtl/>
        </w:rPr>
        <w:tab/>
      </w:r>
      <w:r>
        <w:rPr>
          <w:rStyle w:val="FootnoteReference"/>
          <w:rtl/>
        </w:rPr>
        <w:t>(22)</w:t>
      </w:r>
      <w:r>
        <w:rPr>
          <w:rtl/>
        </w:rPr>
        <w:tab/>
        <w:t>تعرف العمالة بأنها تلقى مدفوعات نقداً أو عيناً مقابل العمل.</w:t>
      </w:r>
    </w:p>
  </w:footnote>
  <w:footnote w:id="24">
    <w:p w:rsidR="00000000" w:rsidRDefault="00000000">
      <w:pPr>
        <w:pStyle w:val="FootnoteText"/>
        <w:ind w:left="1264" w:right="1264" w:firstLine="0"/>
        <w:rPr>
          <w:rtl/>
        </w:rPr>
      </w:pPr>
      <w:r>
        <w:rPr>
          <w:rtl/>
        </w:rPr>
        <w:tab/>
      </w:r>
      <w:r>
        <w:rPr>
          <w:rStyle w:val="FootnoteReference"/>
          <w:rtl/>
        </w:rPr>
        <w:t>(23)</w:t>
      </w:r>
      <w:r>
        <w:rPr>
          <w:rtl/>
        </w:rPr>
        <w:tab/>
        <w:t>المسح الديمغرافي الصحي لأريتريا، 1995.</w:t>
      </w:r>
    </w:p>
  </w:footnote>
  <w:footnote w:id="25">
    <w:p w:rsidR="00000000" w:rsidRDefault="00000000">
      <w:pPr>
        <w:pStyle w:val="FootnoteText"/>
        <w:ind w:left="1264" w:right="1264" w:firstLine="0"/>
        <w:rPr>
          <w:rtl/>
        </w:rPr>
      </w:pPr>
      <w:r>
        <w:rPr>
          <w:rtl/>
        </w:rPr>
        <w:tab/>
      </w:r>
      <w:r>
        <w:rPr>
          <w:rStyle w:val="FootnoteReference"/>
          <w:rtl/>
        </w:rPr>
        <w:t>(24)</w:t>
      </w:r>
      <w:r>
        <w:rPr>
          <w:rtl/>
        </w:rPr>
        <w:tab/>
        <w:t xml:space="preserve">المرجع نفسه، الإحصاءات التي تشمل النساء في الفئة العمرية 15 </w:t>
      </w:r>
      <w:r>
        <w:t>–</w:t>
      </w:r>
      <w:r>
        <w:rPr>
          <w:rtl/>
        </w:rPr>
        <w:t xml:space="preserve"> 64.</w:t>
      </w:r>
    </w:p>
  </w:footnote>
  <w:footnote w:id="26">
    <w:p w:rsidR="00000000" w:rsidRDefault="00000000">
      <w:pPr>
        <w:pStyle w:val="FootnoteText"/>
        <w:ind w:left="1264" w:right="1264" w:firstLine="0"/>
        <w:rPr>
          <w:rtl/>
        </w:rPr>
      </w:pPr>
      <w:r>
        <w:rPr>
          <w:rtl/>
        </w:rPr>
        <w:tab/>
      </w:r>
      <w:r>
        <w:rPr>
          <w:rStyle w:val="FootnoteReference"/>
          <w:rtl/>
        </w:rPr>
        <w:t>(25)</w:t>
      </w:r>
      <w:r>
        <w:rPr>
          <w:rtl/>
        </w:rPr>
        <w:tab/>
        <w:t>الموارد البشرية للتنمية المستدامة لأريتريا.</w:t>
      </w:r>
    </w:p>
  </w:footnote>
  <w:footnote w:id="27">
    <w:p w:rsidR="00000000" w:rsidRDefault="00000000">
      <w:pPr>
        <w:pStyle w:val="FootnoteText"/>
        <w:ind w:left="1264" w:right="1264" w:firstLine="0"/>
        <w:rPr>
          <w:rtl/>
        </w:rPr>
      </w:pPr>
      <w:r>
        <w:rPr>
          <w:rtl/>
        </w:rPr>
        <w:tab/>
      </w:r>
      <w:r>
        <w:rPr>
          <w:rStyle w:val="FootnoteReference"/>
          <w:rtl/>
        </w:rPr>
        <w:t>(26)</w:t>
      </w:r>
      <w:r>
        <w:rPr>
          <w:rtl/>
        </w:rPr>
        <w:tab/>
        <w:t>دراسة عن القطاع الخاص في أريتريا، تموز/يوليه 1996.</w:t>
      </w:r>
    </w:p>
  </w:footnote>
  <w:footnote w:id="28">
    <w:p w:rsidR="00000000" w:rsidRDefault="00000000">
      <w:pPr>
        <w:pStyle w:val="FootnoteText"/>
        <w:ind w:left="1264" w:right="1264" w:firstLine="0"/>
        <w:rPr>
          <w:rtl/>
        </w:rPr>
      </w:pPr>
      <w:r>
        <w:rPr>
          <w:rtl/>
        </w:rPr>
        <w:tab/>
      </w:r>
      <w:r>
        <w:rPr>
          <w:rStyle w:val="FootnoteReference"/>
          <w:rtl/>
        </w:rPr>
        <w:t>(27)</w:t>
      </w:r>
      <w:r>
        <w:rPr>
          <w:rtl/>
        </w:rPr>
        <w:tab/>
        <w:t>دراسة من أجل القطاع الخاص الأريتري، تموز/يوليه 1996.</w:t>
      </w:r>
    </w:p>
  </w:footnote>
  <w:footnote w:id="29">
    <w:p w:rsidR="00000000" w:rsidRDefault="00000000">
      <w:pPr>
        <w:pStyle w:val="FootnoteText"/>
        <w:ind w:left="1264" w:right="1264" w:firstLine="0"/>
        <w:rPr>
          <w:rtl/>
        </w:rPr>
      </w:pPr>
      <w:r>
        <w:rPr>
          <w:rtl/>
        </w:rPr>
        <w:tab/>
      </w:r>
      <w:r>
        <w:rPr>
          <w:rStyle w:val="FootnoteReference"/>
          <w:rtl/>
        </w:rPr>
        <w:t>(28)</w:t>
      </w:r>
      <w:r>
        <w:rPr>
          <w:rtl/>
        </w:rPr>
        <w:tab/>
        <w:t>موارد أريتريا البشرية من أجل التنمية الصناعية المستدامة، أيلول/سبتمبر 2002.</w:t>
      </w:r>
    </w:p>
  </w:footnote>
  <w:footnote w:id="30">
    <w:p w:rsidR="00000000" w:rsidRDefault="00000000">
      <w:pPr>
        <w:pStyle w:val="FootnoteText"/>
        <w:ind w:left="1264" w:right="1264" w:firstLine="0"/>
        <w:rPr>
          <w:rtl/>
        </w:rPr>
      </w:pPr>
      <w:r>
        <w:rPr>
          <w:rtl/>
        </w:rPr>
        <w:tab/>
      </w:r>
      <w:r>
        <w:rPr>
          <w:rStyle w:val="FootnoteReference"/>
          <w:rtl/>
        </w:rPr>
        <w:t>(29)</w:t>
      </w:r>
      <w:r>
        <w:rPr>
          <w:rtl/>
        </w:rPr>
        <w:tab/>
        <w:t>مذكرة قطاع التعليم والتدريب في أريتريا، تموز/يوليه 2002.</w:t>
      </w:r>
    </w:p>
  </w:footnote>
  <w:footnote w:id="31">
    <w:p w:rsidR="00000000" w:rsidRDefault="00000000">
      <w:pPr>
        <w:pStyle w:val="FootnoteText"/>
        <w:ind w:left="1264" w:right="1264" w:firstLine="0"/>
        <w:rPr>
          <w:rtl/>
        </w:rPr>
      </w:pPr>
      <w:r>
        <w:rPr>
          <w:rtl/>
        </w:rPr>
        <w:tab/>
      </w:r>
      <w:r>
        <w:rPr>
          <w:rStyle w:val="FootnoteReference"/>
          <w:rtl/>
        </w:rPr>
        <w:t>(30)</w:t>
      </w:r>
      <w:r>
        <w:rPr>
          <w:rtl/>
        </w:rPr>
        <w:tab/>
        <w:t>وزارة الصحة، 1993.</w:t>
      </w:r>
    </w:p>
  </w:footnote>
  <w:footnote w:id="32">
    <w:p w:rsidR="00000000" w:rsidRDefault="00000000">
      <w:pPr>
        <w:pStyle w:val="FootnoteText"/>
        <w:ind w:left="1264" w:right="1264" w:firstLine="0"/>
        <w:rPr>
          <w:rtl/>
        </w:rPr>
      </w:pPr>
      <w:r>
        <w:rPr>
          <w:rtl/>
        </w:rPr>
        <w:tab/>
      </w:r>
      <w:r>
        <w:rPr>
          <w:rStyle w:val="FootnoteReference"/>
          <w:rtl/>
        </w:rPr>
        <w:t>(31)</w:t>
      </w:r>
      <w:r>
        <w:rPr>
          <w:rtl/>
        </w:rPr>
        <w:tab/>
        <w:t>شعبة الإدارة بوزارة الصحة، عام 2000.</w:t>
      </w:r>
    </w:p>
  </w:footnote>
  <w:footnote w:id="33">
    <w:p w:rsidR="00000000" w:rsidRDefault="00000000">
      <w:pPr>
        <w:pStyle w:val="FootnoteText"/>
        <w:ind w:left="1264" w:right="1264" w:firstLine="0"/>
        <w:rPr>
          <w:rtl/>
        </w:rPr>
      </w:pPr>
      <w:r>
        <w:rPr>
          <w:rtl/>
        </w:rPr>
        <w:tab/>
      </w:r>
      <w:r>
        <w:rPr>
          <w:rStyle w:val="FootnoteReference"/>
          <w:rtl/>
        </w:rPr>
        <w:t>(32)</w:t>
      </w:r>
      <w:r>
        <w:rPr>
          <w:rtl/>
        </w:rPr>
        <w:tab/>
        <w:t>الملف الصحي لأريتريا لعام 2000، وزارة الصحة، أيار/مايو 2001.</w:t>
      </w:r>
    </w:p>
  </w:footnote>
  <w:footnote w:id="34">
    <w:p w:rsidR="00000000" w:rsidRDefault="00000000">
      <w:pPr>
        <w:pStyle w:val="FootnoteText"/>
        <w:ind w:left="1264" w:right="1264" w:firstLine="0"/>
        <w:rPr>
          <w:rtl/>
        </w:rPr>
      </w:pPr>
      <w:r>
        <w:rPr>
          <w:rtl/>
        </w:rPr>
        <w:tab/>
      </w:r>
      <w:r>
        <w:rPr>
          <w:rStyle w:val="FootnoteReference"/>
          <w:rtl/>
        </w:rPr>
        <w:t>(33)</w:t>
      </w:r>
      <w:r>
        <w:rPr>
          <w:rtl/>
        </w:rPr>
        <w:tab/>
        <w:t>وزارة الصحة، نظام معلومات الإدارة الصحية لعام 2002.</w:t>
      </w:r>
    </w:p>
  </w:footnote>
  <w:footnote w:id="35">
    <w:p w:rsidR="00000000" w:rsidRDefault="00000000">
      <w:pPr>
        <w:pStyle w:val="FootnoteText"/>
        <w:ind w:left="1264" w:right="1264" w:firstLine="0"/>
        <w:rPr>
          <w:rtl/>
        </w:rPr>
      </w:pPr>
      <w:r>
        <w:rPr>
          <w:rtl/>
        </w:rPr>
        <w:tab/>
      </w:r>
      <w:r>
        <w:rPr>
          <w:rStyle w:val="FootnoteReference"/>
          <w:rtl/>
        </w:rPr>
        <w:t>(34)</w:t>
      </w:r>
      <w:r>
        <w:rPr>
          <w:rtl/>
        </w:rPr>
        <w:tab/>
        <w:t>ملف أريتريا الصحة، أيار/مايو 2001.</w:t>
      </w:r>
    </w:p>
  </w:footnote>
  <w:footnote w:id="36">
    <w:p w:rsidR="00000000" w:rsidRDefault="00000000">
      <w:pPr>
        <w:pStyle w:val="FootnoteText"/>
        <w:ind w:left="1264" w:right="1264" w:firstLine="0"/>
        <w:rPr>
          <w:rtl/>
        </w:rPr>
      </w:pPr>
      <w:r>
        <w:rPr>
          <w:rtl/>
        </w:rPr>
        <w:tab/>
      </w:r>
      <w:r>
        <w:rPr>
          <w:rStyle w:val="FootnoteReference"/>
          <w:rtl/>
        </w:rPr>
        <w:t>(35)</w:t>
      </w:r>
      <w:r>
        <w:rPr>
          <w:rtl/>
        </w:rPr>
        <w:tab/>
        <w:t>الاستقصاء الديمغرافي والصحي لأريتريا لعام 1995.</w:t>
      </w:r>
    </w:p>
  </w:footnote>
  <w:footnote w:id="37">
    <w:p w:rsidR="00000000" w:rsidRDefault="00000000">
      <w:pPr>
        <w:pStyle w:val="FootnoteText"/>
        <w:ind w:left="1264" w:right="1264" w:firstLine="0"/>
        <w:rPr>
          <w:rtl/>
        </w:rPr>
      </w:pPr>
      <w:r>
        <w:rPr>
          <w:rtl/>
        </w:rPr>
        <w:tab/>
      </w:r>
      <w:r>
        <w:rPr>
          <w:rStyle w:val="FootnoteReference"/>
          <w:rtl/>
        </w:rPr>
        <w:t>(36)</w:t>
      </w:r>
      <w:r>
        <w:rPr>
          <w:rtl/>
        </w:rPr>
        <w:tab/>
        <w:t>الاستقصاء الديمغرافي والصحي لأريتريا لعام 1995.</w:t>
      </w:r>
    </w:p>
  </w:footnote>
  <w:footnote w:id="38">
    <w:p w:rsidR="00000000" w:rsidRDefault="00000000">
      <w:pPr>
        <w:pStyle w:val="FootnoteText"/>
        <w:ind w:left="1264" w:right="1264" w:firstLine="0"/>
        <w:rPr>
          <w:rtl/>
        </w:rPr>
      </w:pPr>
      <w:r>
        <w:rPr>
          <w:rtl/>
        </w:rPr>
        <w:tab/>
      </w:r>
      <w:r>
        <w:rPr>
          <w:rStyle w:val="FootnoteReference"/>
          <w:rtl/>
        </w:rPr>
        <w:t>(37)</w:t>
      </w:r>
      <w:r>
        <w:rPr>
          <w:rtl/>
        </w:rPr>
        <w:tab/>
        <w:t>المرجع نفسه، ص 40.</w:t>
      </w:r>
    </w:p>
  </w:footnote>
  <w:footnote w:id="39">
    <w:p w:rsidR="00000000" w:rsidRDefault="00000000">
      <w:pPr>
        <w:pStyle w:val="FootnoteText"/>
        <w:ind w:left="1264" w:right="1264" w:firstLine="0"/>
        <w:rPr>
          <w:rtl/>
        </w:rPr>
      </w:pPr>
      <w:r>
        <w:rPr>
          <w:rtl/>
        </w:rPr>
        <w:tab/>
      </w:r>
      <w:r>
        <w:rPr>
          <w:rStyle w:val="FootnoteReference"/>
          <w:rtl/>
        </w:rPr>
        <w:t>(38)</w:t>
      </w:r>
      <w:r>
        <w:rPr>
          <w:rtl/>
        </w:rPr>
        <w:tab/>
        <w:t>الاستقصاء الديمغرافي والصحي لأريتريا لعام 2002، التقرير المبدئي.</w:t>
      </w:r>
    </w:p>
  </w:footnote>
  <w:footnote w:id="40">
    <w:p w:rsidR="00000000" w:rsidRDefault="00000000">
      <w:pPr>
        <w:pStyle w:val="FootnoteText"/>
        <w:ind w:left="1264" w:right="1264" w:firstLine="0"/>
        <w:rPr>
          <w:rtl/>
        </w:rPr>
      </w:pPr>
      <w:r>
        <w:rPr>
          <w:rtl/>
        </w:rPr>
        <w:tab/>
      </w:r>
      <w:r>
        <w:rPr>
          <w:rStyle w:val="FootnoteReference"/>
          <w:rtl/>
        </w:rPr>
        <w:t>(39)</w:t>
      </w:r>
      <w:r>
        <w:rPr>
          <w:rtl/>
        </w:rPr>
        <w:tab/>
        <w:t>البروتوكول الاكلينيكي الوطني لأريتريا بشأن الأمومة السالمة، الطبعة الثانية، عام 2002.</w:t>
      </w:r>
    </w:p>
  </w:footnote>
  <w:footnote w:id="41">
    <w:p w:rsidR="00000000" w:rsidRDefault="00000000">
      <w:pPr>
        <w:pStyle w:val="FootnoteText"/>
        <w:ind w:left="1264" w:right="1264" w:firstLine="0"/>
        <w:rPr>
          <w:rtl/>
        </w:rPr>
      </w:pPr>
      <w:r>
        <w:rPr>
          <w:rtl/>
        </w:rPr>
        <w:tab/>
      </w:r>
      <w:r>
        <w:rPr>
          <w:rStyle w:val="FootnoteReference"/>
          <w:rtl/>
        </w:rPr>
        <w:t>(40)</w:t>
      </w:r>
      <w:r>
        <w:rPr>
          <w:rtl/>
        </w:rPr>
        <w:tab/>
        <w:t>الاستقصاء الديموغرافي والصحي لأريتريا لعام 1995.</w:t>
      </w:r>
    </w:p>
  </w:footnote>
  <w:footnote w:id="42">
    <w:p w:rsidR="00000000" w:rsidRDefault="00000000">
      <w:pPr>
        <w:pStyle w:val="FootnoteText"/>
        <w:ind w:left="1264" w:right="1264" w:firstLine="0"/>
        <w:rPr>
          <w:rtl/>
        </w:rPr>
      </w:pPr>
      <w:r>
        <w:rPr>
          <w:rtl/>
        </w:rPr>
        <w:tab/>
      </w:r>
      <w:r>
        <w:rPr>
          <w:rStyle w:val="FootnoteReference"/>
          <w:rtl/>
        </w:rPr>
        <w:t>(42)</w:t>
      </w:r>
      <w:r>
        <w:rPr>
          <w:rtl/>
        </w:rPr>
        <w:tab/>
        <w:t>الاستقصاء الديمغرافي والصحي لعام 2002.</w:t>
      </w:r>
    </w:p>
  </w:footnote>
  <w:footnote w:id="43">
    <w:p w:rsidR="00000000" w:rsidRDefault="00000000">
      <w:pPr>
        <w:pStyle w:val="FootnoteText"/>
        <w:ind w:left="1264" w:right="1264" w:firstLine="0"/>
        <w:rPr>
          <w:rtl/>
        </w:rPr>
      </w:pPr>
      <w:r>
        <w:rPr>
          <w:rtl/>
        </w:rPr>
        <w:tab/>
      </w:r>
      <w:r>
        <w:rPr>
          <w:rStyle w:val="FootnoteReference"/>
          <w:rtl/>
        </w:rPr>
        <w:t>(43)</w:t>
      </w:r>
      <w:r>
        <w:rPr>
          <w:rtl/>
        </w:rPr>
        <w:tab/>
        <w:t>المرجع نفسه، ص 27.</w:t>
      </w:r>
    </w:p>
  </w:footnote>
  <w:footnote w:id="44">
    <w:p w:rsidR="00000000" w:rsidRDefault="00000000">
      <w:pPr>
        <w:pStyle w:val="FootnoteText"/>
        <w:ind w:left="1264" w:right="1264" w:firstLine="0"/>
        <w:rPr>
          <w:rtl/>
        </w:rPr>
      </w:pPr>
      <w:r>
        <w:rPr>
          <w:rtl/>
        </w:rPr>
        <w:tab/>
      </w:r>
      <w:r>
        <w:rPr>
          <w:rStyle w:val="FootnoteReference"/>
          <w:rtl/>
        </w:rPr>
        <w:t>(44)</w:t>
      </w:r>
      <w:r>
        <w:rPr>
          <w:rtl/>
        </w:rPr>
        <w:tab/>
        <w:t>إعلان العمل لأريتريا، 118/2001.</w:t>
      </w:r>
    </w:p>
  </w:footnote>
  <w:footnote w:id="45">
    <w:p w:rsidR="00000000" w:rsidRDefault="00000000">
      <w:pPr>
        <w:pStyle w:val="FootnoteText"/>
        <w:ind w:left="1264" w:right="1264" w:firstLine="0"/>
        <w:rPr>
          <w:rtl/>
        </w:rPr>
      </w:pPr>
      <w:r>
        <w:rPr>
          <w:rtl/>
        </w:rPr>
        <w:tab/>
      </w:r>
      <w:r>
        <w:rPr>
          <w:rStyle w:val="FootnoteReference"/>
          <w:rtl/>
        </w:rPr>
        <w:t>(45)</w:t>
      </w:r>
      <w:r>
        <w:rPr>
          <w:rtl/>
        </w:rPr>
        <w:tab/>
        <w:t>اشتراطات القروض الخاصة بالمصارف الإسكانية والتجارية.</w:t>
      </w:r>
    </w:p>
  </w:footnote>
  <w:footnote w:id="46">
    <w:p w:rsidR="00000000" w:rsidRDefault="00000000">
      <w:pPr>
        <w:pStyle w:val="FootnoteText"/>
        <w:ind w:left="1264" w:right="1264" w:firstLine="0"/>
        <w:rPr>
          <w:rtl/>
        </w:rPr>
      </w:pPr>
      <w:r>
        <w:rPr>
          <w:rtl/>
        </w:rPr>
        <w:tab/>
      </w:r>
      <w:r>
        <w:rPr>
          <w:rStyle w:val="FootnoteReference"/>
          <w:rtl/>
        </w:rPr>
        <w:t>(46)</w:t>
      </w:r>
      <w:r>
        <w:rPr>
          <w:rtl/>
        </w:rPr>
        <w:tab/>
        <w:t>تقرير الغرفة الوطنية الأريترية للتجارة، وحدة تنمية الأعمال التجارية للمرأة، 2002.</w:t>
      </w:r>
    </w:p>
  </w:footnote>
  <w:footnote w:id="47">
    <w:p w:rsidR="00000000" w:rsidRDefault="00000000">
      <w:pPr>
        <w:pStyle w:val="FootnoteText"/>
        <w:ind w:left="1264" w:right="1264" w:firstLine="0"/>
        <w:rPr>
          <w:rtl/>
        </w:rPr>
      </w:pPr>
      <w:r>
        <w:rPr>
          <w:rtl/>
        </w:rPr>
        <w:tab/>
      </w:r>
      <w:r>
        <w:rPr>
          <w:rStyle w:val="FootnoteReference"/>
          <w:rtl/>
        </w:rPr>
        <w:t>(47)</w:t>
      </w:r>
      <w:r>
        <w:rPr>
          <w:rtl/>
        </w:rPr>
        <w:tab/>
        <w:t xml:space="preserve">إطار وبرنامج السياسة الاقتصادية الوطنية للفترة 1998 </w:t>
      </w:r>
      <w:r>
        <w:t>–</w:t>
      </w:r>
      <w:r>
        <w:rPr>
          <w:rtl/>
        </w:rPr>
        <w:t xml:space="preserve"> 2000.</w:t>
      </w:r>
    </w:p>
  </w:footnote>
  <w:footnote w:id="48">
    <w:p w:rsidR="00000000" w:rsidRDefault="00000000">
      <w:pPr>
        <w:pStyle w:val="FootnoteText"/>
        <w:ind w:left="1264" w:right="1264" w:firstLine="0"/>
        <w:rPr>
          <w:rtl/>
        </w:rPr>
      </w:pPr>
      <w:r>
        <w:rPr>
          <w:rtl/>
        </w:rPr>
        <w:tab/>
      </w:r>
      <w:r>
        <w:rPr>
          <w:rStyle w:val="FootnoteReference"/>
          <w:rtl/>
        </w:rPr>
        <w:t>(48)</w:t>
      </w:r>
      <w:r>
        <w:rPr>
          <w:rtl/>
        </w:rPr>
        <w:tab/>
        <w:t>صندوق التنمية المجتمعية لأريتريا، خطة العمل بشأن نوع الجنس، 1998.</w:t>
      </w:r>
    </w:p>
  </w:footnote>
  <w:footnote w:id="49">
    <w:p w:rsidR="00000000" w:rsidRDefault="00000000">
      <w:pPr>
        <w:pStyle w:val="FootnoteText"/>
        <w:ind w:left="1264" w:right="1264" w:firstLine="0"/>
        <w:rPr>
          <w:rtl/>
        </w:rPr>
      </w:pPr>
      <w:r>
        <w:rPr>
          <w:rtl/>
        </w:rPr>
        <w:tab/>
      </w:r>
      <w:r>
        <w:rPr>
          <w:rStyle w:val="FootnoteReference"/>
          <w:rtl/>
        </w:rPr>
        <w:t>(49)</w:t>
      </w:r>
      <w:r>
        <w:rPr>
          <w:rtl/>
        </w:rPr>
        <w:tab/>
        <w:t>السياسة الكلية لأريتريا 1994.</w:t>
      </w:r>
    </w:p>
  </w:footnote>
  <w:footnote w:id="50">
    <w:p w:rsidR="00000000" w:rsidRDefault="00000000">
      <w:pPr>
        <w:pStyle w:val="FootnoteText"/>
        <w:ind w:left="1264" w:right="1264" w:firstLine="0"/>
        <w:rPr>
          <w:rtl/>
        </w:rPr>
      </w:pPr>
      <w:r>
        <w:rPr>
          <w:rtl/>
        </w:rPr>
        <w:tab/>
      </w:r>
      <w:r>
        <w:rPr>
          <w:rStyle w:val="FootnoteReference"/>
          <w:rtl/>
        </w:rPr>
        <w:t>(50)</w:t>
      </w:r>
      <w:r>
        <w:rPr>
          <w:rtl/>
        </w:rPr>
        <w:tab/>
        <w:t>الكبابي هو مستوى إداري يتولى تنسيق عدد من القرى.</w:t>
      </w:r>
    </w:p>
  </w:footnote>
  <w:footnote w:id="51">
    <w:p w:rsidR="00000000" w:rsidRDefault="00000000">
      <w:pPr>
        <w:pStyle w:val="FootnoteText"/>
        <w:ind w:left="1264" w:right="1264" w:firstLine="0"/>
        <w:rPr>
          <w:rtl/>
        </w:rPr>
      </w:pPr>
      <w:r>
        <w:rPr>
          <w:rtl/>
        </w:rPr>
        <w:tab/>
      </w:r>
      <w:r>
        <w:rPr>
          <w:rStyle w:val="FootnoteReference"/>
          <w:rtl/>
        </w:rPr>
        <w:t>(51)</w:t>
      </w:r>
      <w:r>
        <w:rPr>
          <w:rtl/>
        </w:rPr>
        <w:tab/>
        <w:t xml:space="preserve">التقرير السنوي لوزارة الزراعة لعام 2001، مكتب التخطيط والإحصاءات. </w:t>
      </w:r>
    </w:p>
  </w:footnote>
  <w:footnote w:id="52">
    <w:p w:rsidR="00000000" w:rsidRDefault="00000000">
      <w:pPr>
        <w:pStyle w:val="FootnoteText"/>
        <w:ind w:left="1264" w:right="1264" w:firstLine="0"/>
        <w:rPr>
          <w:rtl/>
        </w:rPr>
      </w:pPr>
      <w:r>
        <w:rPr>
          <w:rtl/>
        </w:rPr>
        <w:tab/>
      </w:r>
      <w:r>
        <w:rPr>
          <w:rStyle w:val="FootnoteReference"/>
          <w:rtl/>
        </w:rPr>
        <w:t>(52)</w:t>
      </w:r>
      <w:r>
        <w:rPr>
          <w:rtl/>
        </w:rPr>
        <w:tab/>
        <w:t>وزارة الزراعة، خدمات المشورة الزراعية، التقرير المرحلي السنوي، عام 2001.</w:t>
      </w:r>
    </w:p>
  </w:footnote>
  <w:footnote w:id="53">
    <w:p w:rsidR="00000000" w:rsidRDefault="00000000">
      <w:pPr>
        <w:pStyle w:val="FootnoteText"/>
        <w:ind w:left="1264" w:right="1264" w:firstLine="0"/>
        <w:rPr>
          <w:rtl/>
        </w:rPr>
      </w:pPr>
      <w:r>
        <w:rPr>
          <w:rtl/>
        </w:rPr>
        <w:tab/>
      </w:r>
      <w:r>
        <w:rPr>
          <w:rStyle w:val="FootnoteReference"/>
          <w:rtl/>
        </w:rPr>
        <w:t>(53)</w:t>
      </w:r>
      <w:r>
        <w:rPr>
          <w:rtl/>
        </w:rPr>
        <w:tab/>
        <w:t>تقرير برنامج الادخار والائتمانات الصغيرة، صندوق التنمية المجتمعية لأريتريا، حكومة مولوكال.</w:t>
      </w:r>
    </w:p>
  </w:footnote>
  <w:footnote w:id="54">
    <w:p w:rsidR="00000000" w:rsidRDefault="00000000">
      <w:pPr>
        <w:pStyle w:val="FootnoteText"/>
        <w:ind w:left="1264" w:right="1264" w:firstLine="0"/>
        <w:rPr>
          <w:rtl/>
        </w:rPr>
      </w:pPr>
      <w:r>
        <w:rPr>
          <w:rtl/>
        </w:rPr>
        <w:tab/>
      </w:r>
      <w:r>
        <w:rPr>
          <w:rStyle w:val="FootnoteReference"/>
          <w:rtl/>
        </w:rPr>
        <w:t>(54)</w:t>
      </w:r>
      <w:r>
        <w:rPr>
          <w:rtl/>
        </w:rPr>
        <w:tab/>
        <w:t>تقرير الاتحاد الوطني للنساء الأريتريات لعام 1998 بشأن مشروع الائتمان.</w:t>
      </w:r>
    </w:p>
  </w:footnote>
  <w:footnote w:id="55">
    <w:p w:rsidR="00000000" w:rsidRDefault="00000000">
      <w:pPr>
        <w:pStyle w:val="FootnoteText"/>
        <w:ind w:left="1264" w:right="1264" w:firstLine="0"/>
        <w:rPr>
          <w:rtl/>
        </w:rPr>
      </w:pPr>
      <w:r>
        <w:rPr>
          <w:rtl/>
        </w:rPr>
        <w:tab/>
      </w:r>
      <w:r>
        <w:rPr>
          <w:rStyle w:val="FootnoteReference"/>
          <w:rtl/>
        </w:rPr>
        <w:t>(55)</w:t>
      </w:r>
      <w:r>
        <w:rPr>
          <w:rtl/>
        </w:rPr>
        <w:tab/>
        <w:t>ابتكار نقاط المياه وتقييمها، 2001، البنك الدولي للإنشاء والتعمير.</w:t>
      </w:r>
    </w:p>
  </w:footnote>
  <w:footnote w:id="56">
    <w:p w:rsidR="00000000" w:rsidRDefault="00000000">
      <w:pPr>
        <w:pStyle w:val="FootnoteText"/>
        <w:ind w:left="1264" w:right="1264" w:firstLine="0"/>
        <w:rPr>
          <w:rtl/>
        </w:rPr>
      </w:pPr>
      <w:r>
        <w:rPr>
          <w:rtl/>
        </w:rPr>
        <w:tab/>
      </w:r>
      <w:r>
        <w:rPr>
          <w:rStyle w:val="FootnoteReference"/>
          <w:rtl/>
        </w:rPr>
        <w:t>(56)</w:t>
      </w:r>
      <w:r>
        <w:rPr>
          <w:rtl/>
        </w:rPr>
        <w:tab/>
        <w:t>لم يتم إجراء أي تعداد سكاني. وتستمد الأرقام المذكورة عن طريق العد غير النظامي الذي تقوم به كل قرية والإدارة المحلية في كل المناطق والمناطق الفرعية.</w:t>
      </w:r>
    </w:p>
  </w:footnote>
  <w:footnote w:id="57">
    <w:p w:rsidR="00000000" w:rsidRDefault="00000000">
      <w:pPr>
        <w:pStyle w:val="FootnoteText"/>
        <w:ind w:left="1264" w:right="1264" w:firstLine="0"/>
        <w:rPr>
          <w:rtl/>
        </w:rPr>
      </w:pPr>
      <w:r>
        <w:rPr>
          <w:rtl/>
        </w:rPr>
        <w:tab/>
      </w:r>
      <w:r>
        <w:rPr>
          <w:rStyle w:val="FootnoteReference"/>
          <w:rtl/>
        </w:rPr>
        <w:t>(57)</w:t>
      </w:r>
      <w:r>
        <w:rPr>
          <w:rtl/>
        </w:rPr>
        <w:tab/>
        <w:t xml:space="preserve">الاستعراض القطاعي للمياه والمرافق الصحية البيئية والصحة، كانون الثاني/يناير </w:t>
      </w:r>
      <w:r>
        <w:t>–</w:t>
      </w:r>
      <w:r>
        <w:rPr>
          <w:rtl/>
        </w:rPr>
        <w:t xml:space="preserve"> كانون الأول/ديسمبر 2002.</w:t>
      </w:r>
    </w:p>
  </w:footnote>
  <w:footnote w:id="58">
    <w:p w:rsidR="00000000" w:rsidRDefault="00000000">
      <w:pPr>
        <w:pStyle w:val="FootnoteText"/>
        <w:ind w:left="1264" w:right="1264" w:firstLine="0"/>
        <w:rPr>
          <w:rtl/>
        </w:rPr>
      </w:pPr>
      <w:r>
        <w:rPr>
          <w:rtl/>
        </w:rPr>
        <w:tab/>
      </w:r>
      <w:r>
        <w:rPr>
          <w:rStyle w:val="FootnoteReference"/>
          <w:rtl/>
        </w:rPr>
        <w:t>(58)</w:t>
      </w:r>
      <w:r>
        <w:rPr>
          <w:rtl/>
        </w:rPr>
        <w:tab/>
        <w:t>مشروع القانون المدني، المادة 645.</w:t>
      </w:r>
    </w:p>
  </w:footnote>
  <w:footnote w:id="59">
    <w:p w:rsidR="00000000" w:rsidRDefault="00000000">
      <w:pPr>
        <w:pStyle w:val="FootnoteText"/>
        <w:ind w:left="1264" w:right="1264" w:firstLine="0"/>
        <w:rPr>
          <w:rtl/>
        </w:rPr>
      </w:pPr>
      <w:r>
        <w:rPr>
          <w:rtl/>
        </w:rPr>
        <w:tab/>
      </w:r>
      <w:r>
        <w:rPr>
          <w:rStyle w:val="FootnoteReference"/>
          <w:rtl/>
        </w:rPr>
        <w:t>(59)</w:t>
      </w:r>
      <w:r>
        <w:rPr>
          <w:rtl/>
        </w:rPr>
        <w:tab/>
        <w:t>مشروع القانون المدني، المادة 641.</w:t>
      </w:r>
    </w:p>
  </w:footnote>
  <w:footnote w:id="60">
    <w:p w:rsidR="00000000" w:rsidRDefault="00000000">
      <w:pPr>
        <w:pStyle w:val="FootnoteText"/>
        <w:ind w:left="1264" w:right="1264" w:firstLine="0"/>
        <w:rPr>
          <w:rtl/>
        </w:rPr>
      </w:pPr>
      <w:r>
        <w:rPr>
          <w:rtl/>
        </w:rPr>
        <w:tab/>
      </w:r>
      <w:r>
        <w:rPr>
          <w:rStyle w:val="FootnoteReference"/>
          <w:rtl/>
        </w:rPr>
        <w:t>(60)</w:t>
      </w:r>
      <w:r>
        <w:rPr>
          <w:rtl/>
        </w:rPr>
        <w:tab/>
        <w:t>حقوق المرأة فيما يتعلق بقانون الأسرة، الاتحاد الوطني للنساء الأريتريات لعام 2000.</w:t>
      </w:r>
    </w:p>
  </w:footnote>
  <w:footnote w:id="61">
    <w:p w:rsidR="00000000" w:rsidRDefault="00000000">
      <w:pPr>
        <w:pStyle w:val="FootnoteText"/>
        <w:ind w:left="1264" w:right="1264" w:firstLine="0"/>
        <w:rPr>
          <w:rtl/>
        </w:rPr>
      </w:pPr>
      <w:r>
        <w:rPr>
          <w:rtl/>
        </w:rPr>
        <w:tab/>
      </w:r>
      <w:r>
        <w:rPr>
          <w:rStyle w:val="FootnoteReference"/>
          <w:rtl/>
        </w:rPr>
        <w:t>(61)</w:t>
      </w:r>
      <w:r>
        <w:rPr>
          <w:rtl/>
        </w:rPr>
        <w:tab/>
        <w:t>الاستقصاء الديمغرافي والصحي لأريتريا لعام 2002.</w:t>
      </w:r>
    </w:p>
  </w:footnote>
  <w:footnote w:id="62">
    <w:p w:rsidR="00000000" w:rsidRDefault="00000000">
      <w:pPr>
        <w:pStyle w:val="FootnoteText"/>
        <w:ind w:left="1264" w:right="1264" w:firstLine="0"/>
        <w:rPr>
          <w:rtl/>
        </w:rPr>
      </w:pPr>
      <w:r>
        <w:rPr>
          <w:rtl/>
        </w:rPr>
        <w:tab/>
      </w:r>
      <w:r>
        <w:rPr>
          <w:rStyle w:val="FootnoteReference"/>
          <w:rtl/>
        </w:rPr>
        <w:t>(62)</w:t>
      </w:r>
      <w:r>
        <w:rPr>
          <w:rtl/>
        </w:rPr>
        <w:tab/>
        <w:t>تقييم المسائل القضائية التي تمس المرأة التي تعيش في أريتريا، الاتحاد الوطني للنساء الأرتريات، آذاز/مارس 2001.</w:t>
      </w:r>
    </w:p>
  </w:footnote>
  <w:footnote w:id="63">
    <w:p w:rsidR="00000000" w:rsidRDefault="00000000">
      <w:pPr>
        <w:pStyle w:val="FootnoteText"/>
        <w:ind w:left="1264" w:right="1264" w:firstLine="0"/>
        <w:rPr>
          <w:rtl/>
        </w:rPr>
      </w:pPr>
      <w:r>
        <w:rPr>
          <w:rtl/>
        </w:rPr>
        <w:tab/>
      </w:r>
      <w:r>
        <w:rPr>
          <w:rStyle w:val="FootnoteReference"/>
          <w:rtl/>
        </w:rPr>
        <w:t>(63)</w:t>
      </w:r>
      <w:r>
        <w:rPr>
          <w:rtl/>
        </w:rPr>
        <w:tab/>
        <w:t>تحدد على أنها عقد يوافق فيه الخاطب والخاطبة على أن يتم الزواج بينهما.</w:t>
      </w:r>
    </w:p>
  </w:footnote>
  <w:footnote w:id="64">
    <w:p w:rsidR="00000000" w:rsidRDefault="00000000">
      <w:pPr>
        <w:pStyle w:val="FootnoteText"/>
        <w:ind w:left="1264" w:right="1264" w:firstLine="0"/>
        <w:rPr>
          <w:rtl/>
        </w:rPr>
      </w:pPr>
      <w:r>
        <w:rPr>
          <w:rtl/>
        </w:rPr>
        <w:tab/>
      </w:r>
      <w:r>
        <w:rPr>
          <w:rStyle w:val="FootnoteReference"/>
          <w:rtl/>
        </w:rPr>
        <w:t>(64)</w:t>
      </w:r>
      <w:r>
        <w:rPr>
          <w:rtl/>
        </w:rPr>
        <w:tab/>
        <w:t>قانون الأسرة بشأن إنهاء الزواج.</w:t>
      </w:r>
    </w:p>
  </w:footnote>
  <w:footnote w:id="65">
    <w:p w:rsidR="00000000" w:rsidRDefault="00000000">
      <w:pPr>
        <w:pStyle w:val="FootnoteText"/>
        <w:ind w:left="1264" w:right="1264" w:firstLine="0"/>
        <w:rPr>
          <w:rtl/>
        </w:rPr>
      </w:pPr>
      <w:r>
        <w:rPr>
          <w:rtl/>
        </w:rPr>
        <w:tab/>
      </w:r>
      <w:r>
        <w:rPr>
          <w:rStyle w:val="FootnoteReference"/>
          <w:rtl/>
        </w:rPr>
        <w:t>(65)</w:t>
      </w:r>
      <w:r>
        <w:rPr>
          <w:rtl/>
        </w:rPr>
        <w:tab/>
        <w:t>المرجع نفسه بشأن الممتلكات الشخصية للزواج.</w:t>
      </w:r>
    </w:p>
  </w:footnote>
  <w:footnote w:id="66">
    <w:p w:rsidR="00000000" w:rsidRDefault="00000000">
      <w:pPr>
        <w:pStyle w:val="FootnoteText"/>
        <w:ind w:left="1264" w:right="1264" w:firstLine="0"/>
        <w:rPr>
          <w:rtl/>
        </w:rPr>
      </w:pPr>
      <w:r>
        <w:rPr>
          <w:rtl/>
        </w:rPr>
        <w:tab/>
      </w:r>
      <w:r>
        <w:rPr>
          <w:rStyle w:val="FootnoteReference"/>
          <w:rtl/>
        </w:rPr>
        <w:t>(66)</w:t>
      </w:r>
      <w:r>
        <w:rPr>
          <w:rtl/>
        </w:rPr>
        <w:tab/>
        <w:t xml:space="preserve">من خطاب رئيس أريتريا، أسياسي أفورقي 27 </w:t>
      </w:r>
      <w:r>
        <w:t>–</w:t>
      </w:r>
      <w:r>
        <w:rPr>
          <w:rtl/>
        </w:rPr>
        <w:t xml:space="preserve"> 29 تشرين الثاني/نوفمبر 1999.</w:t>
      </w:r>
    </w:p>
  </w:footnote>
  <w:footnote w:id="67">
    <w:p w:rsidR="00000000" w:rsidRDefault="00000000">
      <w:pPr>
        <w:pStyle w:val="FootnoteText"/>
        <w:ind w:left="1264" w:right="1264" w:firstLine="0"/>
        <w:rPr>
          <w:rtl/>
        </w:rPr>
      </w:pPr>
      <w:r>
        <w:rPr>
          <w:rtl/>
        </w:rPr>
        <w:tab/>
      </w:r>
      <w:r>
        <w:rPr>
          <w:rStyle w:val="FootnoteReference"/>
          <w:rtl/>
        </w:rPr>
        <w:t>(67)</w:t>
      </w:r>
      <w:r>
        <w:rPr>
          <w:rtl/>
        </w:rPr>
        <w:tab/>
        <w:t xml:space="preserve">إطار عمل الأمم المتحدة للمساعدة الإنمائية، 2002 </w:t>
      </w:r>
      <w:r>
        <w:t>–</w:t>
      </w:r>
      <w:r>
        <w:rPr>
          <w:rtl/>
        </w:rPr>
        <w:t xml:space="preserve"> 2006، أريتريا.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CEDAW/C/ERI/1-2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CEDAW/C/ERI/1-2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/C/ERI/1-2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February 2004</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4 05:301 م"/>
    <w:docVar w:name="DocCategory" w:val="Misc"/>
    <w:docVar w:name="DocType" w:val="Final"/>
    <w:docVar w:name="JobNo" w:val="0423184A"/>
    <w:docVar w:name="OandT" w:val=" "/>
    <w:docVar w:name="Symbol1" w:val="CEDAW/C/ERI/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right"/>
      <w:outlineLvl w:val="0"/>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Title">
    <w:name w:val="Title"/>
    <w:basedOn w:val="Normal"/>
    <w:qFormat/>
    <w:pPr>
      <w:jc w:val="center"/>
    </w:pPr>
    <w:rPr>
      <w:b/>
      <w:bCs/>
      <w:lang w:eastAsia="en-US"/>
    </w:rPr>
  </w:style>
  <w:style w:type="paragraph" w:styleId="Subtitle">
    <w:name w:val="Subtitle"/>
    <w:basedOn w:val="Normal"/>
    <w:qFormat/>
    <w:pPr>
      <w:jc w:val="right"/>
    </w:pPr>
    <w:rPr>
      <w:b/>
      <w:bCs/>
      <w:lang w:eastAsia="en-US"/>
    </w:rPr>
  </w:style>
  <w:style w:type="paragraph" w:styleId="BodyText">
    <w:name w:val="Body Text"/>
    <w:basedOn w:val="Normal"/>
    <w:semiHidden/>
    <w:pPr>
      <w:bidi w:val="0"/>
      <w:jc w:val="left"/>
    </w:pPr>
  </w:style>
  <w:style w:type="paragraph" w:styleId="BlockText">
    <w:name w:val="Block Text"/>
    <w:basedOn w:val="Normal"/>
    <w:semiHidden/>
    <w:pPr>
      <w:bidi w:val="0"/>
      <w:ind w:left="1264" w:right="1264"/>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23131</Words>
  <Characters>131848</Characters>
  <Application>Microsoft Office Word</Application>
  <DocSecurity>4</DocSecurity>
  <Lines>1098</Lines>
  <Paragraphs>263</Paragraphs>
  <ScaleCrop>false</ScaleCrop>
  <HeadingPairs>
    <vt:vector size="2" baseType="variant">
      <vt:variant>
        <vt:lpstr>Title</vt:lpstr>
      </vt:variant>
      <vt:variant>
        <vt:i4>1</vt:i4>
      </vt:variant>
    </vt:vector>
  </HeadingPairs>
  <TitlesOfParts>
    <vt:vector size="1" baseType="lpstr">
      <vt:lpstr>  </vt:lpstr>
    </vt:vector>
  </TitlesOfParts>
  <Company>Gamil Co.</Company>
  <LinksUpToDate>false</LinksUpToDate>
  <CharactersWithSpaces>161918</CharactersWithSpaces>
  <SharedDoc>false</SharedDoc>
  <HLinks>
    <vt:vector size="6" baseType="variant">
      <vt:variant>
        <vt:i4>4522087</vt:i4>
      </vt:variant>
      <vt:variant>
        <vt:i4>326952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Gamil O. mahmoud</dc:creator>
  <cp:keywords/>
  <cp:lastModifiedBy>Edrits</cp:lastModifiedBy>
  <cp:revision>2</cp:revision>
  <cp:lastPrinted>2004-03-19T10:22:00Z</cp:lastPrinted>
  <dcterms:created xsi:type="dcterms:W3CDTF">2004-03-19T14:38:00Z</dcterms:created>
  <dcterms:modified xsi:type="dcterms:W3CDTF">2004-03-19T14:38:00Z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0423184</vt:lpwstr>
  </property>
  <property fmtid="{D5CDD505-2E9C-101B-9397-08002B2CF9AE}" pid="3" name="Symbol1">
    <vt:lpwstr>CEDAW/C/ERI/1-2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