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240"/>
        <w:rPr>
          <w:rFonts w:hint="eastAsia"/>
        </w:rPr>
      </w:pPr>
      <w:r>
        <w:rPr>
          <w:rFonts w:hint="eastAsia"/>
        </w:rPr>
        <w:t>2003</w:t>
      </w:r>
      <w:r>
        <w:rPr>
          <w:rFonts w:hint="eastAsia"/>
        </w:rPr>
        <w:t>年实质性会议</w:t>
      </w:r>
    </w:p>
    <w:p w:rsidR="00000000" w:rsidRDefault="00000000">
      <w:pPr>
        <w:rPr>
          <w:rFonts w:hint="eastAsia"/>
        </w:rPr>
      </w:pP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缔约国按照《公约》第十六条和第十七条</w:t>
      </w:r>
      <w:r>
        <w:br/>
      </w:r>
      <w:r>
        <w:rPr>
          <w:rFonts w:hint="eastAsia"/>
        </w:rPr>
        <w:t>提交的第二次定期报告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2"/>
        <w:rPr>
          <w:rFonts w:hint="eastAsia"/>
          <w:bCs/>
        </w:rPr>
      </w:pPr>
      <w:r>
        <w:t xml:space="preserve">  </w:t>
      </w:r>
      <w:r>
        <w:rPr>
          <w:rFonts w:hint="eastAsia"/>
        </w:rPr>
        <w:t>厄</w:t>
      </w:r>
      <w:r>
        <w:t xml:space="preserve"> </w:t>
      </w:r>
      <w:r>
        <w:rPr>
          <w:rFonts w:hint="eastAsia"/>
        </w:rPr>
        <w:t>瓜</w:t>
      </w:r>
      <w:r>
        <w:t xml:space="preserve"> </w:t>
      </w:r>
      <w:r>
        <w:rPr>
          <w:rFonts w:hint="eastAsia"/>
        </w:rPr>
        <w:t>多</w:t>
      </w:r>
      <w:r>
        <w:t xml:space="preserve"> </w:t>
      </w:r>
      <w:r>
        <w:rPr>
          <w:rFonts w:hint="eastAsia"/>
        </w:rPr>
        <w:t>尔</w:t>
      </w:r>
      <w:r>
        <w:rPr>
          <w:rStyle w:val="FootnoteReference"/>
          <w:spacing w:val="10"/>
          <w:vertAlign w:val="baseline"/>
        </w:rPr>
        <w:footnoteReference w:customMarkFollows="1" w:id="1"/>
        <w:t>*</w:t>
      </w:r>
      <w:r>
        <w:t xml:space="preserve"> </w:t>
      </w:r>
      <w:r>
        <w:rPr>
          <w:rStyle w:val="FootnoteReference"/>
          <w:b w:val="0"/>
          <w:bCs/>
          <w:spacing w:val="10"/>
          <w:vertAlign w:val="baseline"/>
        </w:rPr>
        <w:footnoteReference w:customMarkFollows="1" w:id="2"/>
        <w:t>**</w:t>
      </w:r>
    </w:p>
    <w:p w:rsidR="00000000" w:rsidRDefault="00000000">
      <w:pPr>
        <w:pStyle w:val="a7"/>
        <w:keepNext/>
        <w:tabs>
          <w:tab w:val="clear" w:pos="7201"/>
          <w:tab w:val="clear" w:pos="8618"/>
          <w:tab w:val="left" w:pos="7088"/>
          <w:tab w:val="left" w:pos="8080"/>
          <w:tab w:val="left" w:pos="8640"/>
        </w:tabs>
        <w:spacing w:after="120" w:line="336" w:lineRule="auto"/>
        <w:ind w:left="6120"/>
        <w:jc w:val="center"/>
        <w:rPr>
          <w:rFonts w:eastAsia="SimSun"/>
          <w:snapToGrid/>
        </w:rPr>
      </w:pPr>
      <w:r>
        <w:rPr>
          <w:rFonts w:eastAsia="SimSun"/>
          <w:snapToGrid/>
        </w:rPr>
        <w:t>[2002</w:t>
      </w:r>
      <w:r>
        <w:rPr>
          <w:rFonts w:eastAsia="SimSun" w:hint="eastAsia"/>
          <w:snapToGrid/>
        </w:rPr>
        <w:t>年</w:t>
      </w:r>
      <w:r>
        <w:rPr>
          <w:rFonts w:eastAsia="SimSun" w:hint="eastAsia"/>
          <w:snapToGrid/>
        </w:rPr>
        <w:t>10</w:t>
      </w:r>
      <w:r>
        <w:rPr>
          <w:rFonts w:eastAsia="SimSun" w:hint="eastAsia"/>
          <w:snapToGrid/>
        </w:rPr>
        <w:t>月</w:t>
      </w:r>
      <w:r>
        <w:rPr>
          <w:rFonts w:eastAsia="SimSun" w:hint="eastAsia"/>
          <w:snapToGrid/>
        </w:rPr>
        <w:t>25</w:t>
      </w:r>
      <w:r>
        <w:rPr>
          <w:rFonts w:eastAsia="SimSun" w:hint="eastAsia"/>
          <w:snapToGrid/>
        </w:rPr>
        <w:t>日</w:t>
      </w:r>
      <w:r>
        <w:rPr>
          <w:rFonts w:eastAsia="SimSun"/>
          <w:snapToGrid/>
        </w:rPr>
        <w:t>]</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hint="eastAsia"/>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kern w:val="24"/>
        </w:rPr>
      </w:pPr>
      <w:r>
        <w:rPr>
          <w:rFonts w:hint="eastAsia"/>
          <w:kern w:val="24"/>
        </w:rPr>
        <w:t>导</w:t>
      </w:r>
      <w:r>
        <w:rPr>
          <w:rFonts w:hint="eastAsia"/>
          <w:kern w:val="24"/>
        </w:rPr>
        <w:t xml:space="preserve">  </w:t>
      </w:r>
      <w:r>
        <w:rPr>
          <w:rFonts w:hint="eastAsia"/>
          <w:kern w:val="24"/>
        </w:rPr>
        <w:t>言</w:t>
      </w:r>
      <w:r>
        <w:rPr>
          <w:kern w:val="24"/>
        </w:rPr>
        <w:t>……………</w:t>
      </w:r>
      <w:r>
        <w:rPr>
          <w:kern w:val="24"/>
        </w:rPr>
        <w:tab/>
      </w:r>
      <w:r>
        <w:rPr>
          <w:kern w:val="24"/>
        </w:rPr>
        <w:tab/>
        <w:t>1</w:t>
      </w:r>
      <w:r>
        <w:rPr>
          <w:rFonts w:hint="eastAsia"/>
          <w:kern w:val="24"/>
        </w:rPr>
        <w:tab/>
      </w:r>
      <w:r>
        <w:rPr>
          <w:kern w:val="24"/>
        </w:rPr>
        <w:t>-</w:t>
      </w:r>
      <w:r>
        <w:rPr>
          <w:rFonts w:hint="eastAsia"/>
          <w:kern w:val="24"/>
        </w:rPr>
        <w:tab/>
      </w:r>
      <w:r>
        <w:rPr>
          <w:kern w:val="24"/>
        </w:rPr>
        <w:t>5</w:t>
      </w:r>
      <w:r>
        <w:rPr>
          <w:kern w:val="24"/>
        </w:rPr>
        <w:tab/>
      </w:r>
      <w:r>
        <w:rPr>
          <w:rFonts w:hint="eastAsia"/>
          <w:kern w:val="24"/>
        </w:rPr>
        <w:t>3</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一</w:t>
      </w:r>
      <w:r>
        <w:rPr>
          <w:kern w:val="24"/>
        </w:rPr>
        <w:t xml:space="preserve"> </w:t>
      </w:r>
      <w:r>
        <w:rPr>
          <w:rFonts w:hint="eastAsia"/>
          <w:kern w:val="24"/>
        </w:rPr>
        <w:t>条</w:t>
      </w:r>
      <w:r>
        <w:rPr>
          <w:kern w:val="24"/>
        </w:rPr>
        <w:t>……..………</w:t>
      </w:r>
      <w:r>
        <w:rPr>
          <w:kern w:val="24"/>
        </w:rPr>
        <w:tab/>
      </w:r>
      <w:r>
        <w:rPr>
          <w:kern w:val="24"/>
        </w:rPr>
        <w:tab/>
      </w:r>
      <w:r>
        <w:rPr>
          <w:rFonts w:hint="eastAsia"/>
          <w:kern w:val="24"/>
        </w:rPr>
        <w:tab/>
        <w:t>6</w:t>
      </w:r>
      <w:r>
        <w:rPr>
          <w:rFonts w:hint="eastAsia"/>
          <w:kern w:val="24"/>
        </w:rPr>
        <w:tab/>
      </w:r>
      <w:r>
        <w:rPr>
          <w:rFonts w:hint="eastAsia"/>
          <w:kern w:val="24"/>
        </w:rPr>
        <w:tab/>
        <w:t>3</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二</w:t>
      </w:r>
      <w:r>
        <w:rPr>
          <w:kern w:val="24"/>
        </w:rPr>
        <w:t xml:space="preserve"> </w:t>
      </w:r>
      <w:r>
        <w:rPr>
          <w:rFonts w:hint="eastAsia"/>
          <w:kern w:val="24"/>
        </w:rPr>
        <w:t>条</w:t>
      </w:r>
      <w:r>
        <w:rPr>
          <w:kern w:val="24"/>
        </w:rPr>
        <w:t>………....</w:t>
      </w:r>
      <w:r>
        <w:rPr>
          <w:kern w:val="24"/>
        </w:rPr>
        <w:tab/>
      </w:r>
      <w:r>
        <w:rPr>
          <w:kern w:val="24"/>
        </w:rPr>
        <w:tab/>
        <w:t>7</w:t>
      </w:r>
      <w:r>
        <w:rPr>
          <w:rFonts w:hint="eastAsia"/>
          <w:kern w:val="24"/>
        </w:rPr>
        <w:tab/>
      </w:r>
      <w:r>
        <w:rPr>
          <w:kern w:val="24"/>
        </w:rPr>
        <w:t>-</w:t>
      </w:r>
      <w:r>
        <w:rPr>
          <w:rFonts w:hint="eastAsia"/>
          <w:kern w:val="24"/>
        </w:rPr>
        <w:tab/>
      </w:r>
      <w:r>
        <w:rPr>
          <w:kern w:val="24"/>
        </w:rPr>
        <w:t>11</w:t>
      </w:r>
      <w:r>
        <w:rPr>
          <w:kern w:val="24"/>
        </w:rPr>
        <w:tab/>
      </w:r>
      <w:r>
        <w:rPr>
          <w:rFonts w:hint="eastAsia"/>
          <w:kern w:val="24"/>
        </w:rPr>
        <w:t>4</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三</w:t>
      </w:r>
      <w:r>
        <w:rPr>
          <w:kern w:val="24"/>
        </w:rPr>
        <w:t xml:space="preserve"> </w:t>
      </w:r>
      <w:r>
        <w:rPr>
          <w:rFonts w:hint="eastAsia"/>
          <w:kern w:val="24"/>
        </w:rPr>
        <w:t>条</w:t>
      </w:r>
      <w:r>
        <w:rPr>
          <w:kern w:val="24"/>
        </w:rPr>
        <w:t>………....</w:t>
      </w:r>
      <w:r>
        <w:rPr>
          <w:kern w:val="24"/>
        </w:rPr>
        <w:tab/>
      </w:r>
      <w:r>
        <w:rPr>
          <w:kern w:val="24"/>
        </w:rPr>
        <w:tab/>
        <w:t>12</w:t>
      </w:r>
      <w:r>
        <w:rPr>
          <w:rFonts w:hint="eastAsia"/>
          <w:kern w:val="24"/>
        </w:rPr>
        <w:tab/>
      </w:r>
      <w:r>
        <w:rPr>
          <w:kern w:val="24"/>
        </w:rPr>
        <w:t>-</w:t>
      </w:r>
      <w:r>
        <w:rPr>
          <w:rFonts w:hint="eastAsia"/>
          <w:kern w:val="24"/>
        </w:rPr>
        <w:tab/>
        <w:t>3</w:t>
      </w:r>
      <w:r>
        <w:rPr>
          <w:kern w:val="24"/>
        </w:rPr>
        <w:t>5</w:t>
      </w:r>
      <w:r>
        <w:rPr>
          <w:kern w:val="24"/>
        </w:rPr>
        <w:tab/>
      </w:r>
      <w:r>
        <w:rPr>
          <w:rFonts w:hint="eastAsia"/>
          <w:kern w:val="24"/>
        </w:rPr>
        <w:t>4</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四</w:t>
      </w:r>
      <w:r>
        <w:rPr>
          <w:kern w:val="24"/>
        </w:rPr>
        <w:t xml:space="preserve"> </w:t>
      </w:r>
      <w:r>
        <w:rPr>
          <w:rFonts w:hint="eastAsia"/>
          <w:kern w:val="24"/>
        </w:rPr>
        <w:t>条</w:t>
      </w:r>
      <w:r>
        <w:rPr>
          <w:kern w:val="24"/>
        </w:rPr>
        <w:t>……………</w:t>
      </w:r>
      <w:r>
        <w:rPr>
          <w:kern w:val="24"/>
        </w:rPr>
        <w:tab/>
      </w:r>
      <w:r>
        <w:rPr>
          <w:kern w:val="24"/>
        </w:rPr>
        <w:tab/>
      </w:r>
      <w:r>
        <w:rPr>
          <w:rFonts w:hint="eastAsia"/>
          <w:kern w:val="24"/>
        </w:rPr>
        <w:tab/>
        <w:t>36</w:t>
      </w:r>
      <w:r>
        <w:rPr>
          <w:kern w:val="24"/>
        </w:rPr>
        <w:tab/>
      </w:r>
      <w:r>
        <w:rPr>
          <w:kern w:val="24"/>
        </w:rPr>
        <w:tab/>
      </w:r>
      <w:r>
        <w:rPr>
          <w:rFonts w:hint="eastAsia"/>
          <w:kern w:val="24"/>
        </w:rPr>
        <w:t>9</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五</w:t>
      </w:r>
      <w:r>
        <w:rPr>
          <w:kern w:val="24"/>
        </w:rPr>
        <w:t xml:space="preserve"> </w:t>
      </w:r>
      <w:r>
        <w:rPr>
          <w:rFonts w:hint="eastAsia"/>
          <w:kern w:val="24"/>
        </w:rPr>
        <w:t>条</w:t>
      </w:r>
      <w:r>
        <w:rPr>
          <w:kern w:val="24"/>
        </w:rPr>
        <w:t>…....……</w:t>
      </w:r>
      <w:r>
        <w:rPr>
          <w:kern w:val="24"/>
        </w:rPr>
        <w:tab/>
      </w:r>
      <w:r>
        <w:rPr>
          <w:rFonts w:hint="eastAsia"/>
          <w:kern w:val="24"/>
        </w:rPr>
        <w:tab/>
      </w:r>
      <w:r>
        <w:rPr>
          <w:kern w:val="24"/>
        </w:rPr>
        <w:t>37</w:t>
      </w:r>
      <w:r>
        <w:rPr>
          <w:rFonts w:hint="eastAsia"/>
          <w:kern w:val="24"/>
        </w:rPr>
        <w:tab/>
      </w:r>
      <w:r>
        <w:rPr>
          <w:kern w:val="24"/>
        </w:rPr>
        <w:t>-</w:t>
      </w:r>
      <w:r>
        <w:rPr>
          <w:rFonts w:hint="eastAsia"/>
          <w:kern w:val="24"/>
        </w:rPr>
        <w:tab/>
        <w:t>41</w:t>
      </w:r>
      <w:r>
        <w:rPr>
          <w:kern w:val="24"/>
        </w:rPr>
        <w:tab/>
      </w:r>
      <w:r>
        <w:rPr>
          <w:rFonts w:hint="eastAsia"/>
          <w:kern w:val="24"/>
        </w:rPr>
        <w:t>9</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六</w:t>
      </w:r>
      <w:r>
        <w:rPr>
          <w:kern w:val="24"/>
        </w:rPr>
        <w:t xml:space="preserve"> </w:t>
      </w:r>
      <w:r>
        <w:rPr>
          <w:rFonts w:hint="eastAsia"/>
          <w:kern w:val="24"/>
        </w:rPr>
        <w:t>条</w:t>
      </w:r>
      <w:r>
        <w:rPr>
          <w:kern w:val="24"/>
        </w:rPr>
        <w:t>……....…</w:t>
      </w:r>
      <w:r>
        <w:rPr>
          <w:kern w:val="24"/>
        </w:rPr>
        <w:tab/>
      </w:r>
      <w:r>
        <w:rPr>
          <w:kern w:val="24"/>
        </w:rPr>
        <w:tab/>
        <w:t>42</w:t>
      </w:r>
      <w:r>
        <w:rPr>
          <w:rFonts w:hint="eastAsia"/>
          <w:kern w:val="24"/>
        </w:rPr>
        <w:tab/>
      </w:r>
      <w:r>
        <w:rPr>
          <w:kern w:val="24"/>
        </w:rPr>
        <w:t>-</w:t>
      </w:r>
      <w:r>
        <w:rPr>
          <w:rFonts w:hint="eastAsia"/>
          <w:kern w:val="24"/>
        </w:rPr>
        <w:tab/>
        <w:t>83</w:t>
      </w:r>
      <w:r>
        <w:rPr>
          <w:kern w:val="24"/>
        </w:rPr>
        <w:tab/>
      </w:r>
      <w:r>
        <w:rPr>
          <w:rFonts w:hint="eastAsia"/>
          <w:kern w:val="24"/>
        </w:rPr>
        <w:t>10</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七</w:t>
      </w:r>
      <w:r>
        <w:rPr>
          <w:kern w:val="24"/>
        </w:rPr>
        <w:t xml:space="preserve"> </w:t>
      </w:r>
      <w:r>
        <w:rPr>
          <w:rFonts w:hint="eastAsia"/>
          <w:kern w:val="24"/>
        </w:rPr>
        <w:t>条</w:t>
      </w:r>
      <w:r>
        <w:rPr>
          <w:kern w:val="24"/>
        </w:rPr>
        <w:t>…....……</w:t>
      </w:r>
      <w:r>
        <w:rPr>
          <w:kern w:val="24"/>
        </w:rPr>
        <w:tab/>
      </w:r>
      <w:r>
        <w:rPr>
          <w:kern w:val="24"/>
        </w:rPr>
        <w:tab/>
        <w:t>84</w:t>
      </w:r>
      <w:r>
        <w:rPr>
          <w:rFonts w:hint="eastAsia"/>
          <w:kern w:val="24"/>
        </w:rPr>
        <w:tab/>
      </w:r>
      <w:r>
        <w:rPr>
          <w:kern w:val="24"/>
        </w:rPr>
        <w:t>-</w:t>
      </w:r>
      <w:r>
        <w:rPr>
          <w:rFonts w:hint="eastAsia"/>
          <w:kern w:val="24"/>
        </w:rPr>
        <w:tab/>
        <w:t>138</w:t>
      </w:r>
      <w:r>
        <w:rPr>
          <w:kern w:val="24"/>
        </w:rPr>
        <w:tab/>
      </w:r>
      <w:r>
        <w:rPr>
          <w:rFonts w:hint="eastAsia"/>
          <w:kern w:val="24"/>
        </w:rPr>
        <w:t>22</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八</w:t>
      </w:r>
      <w:r>
        <w:rPr>
          <w:kern w:val="24"/>
        </w:rPr>
        <w:t xml:space="preserve"> </w:t>
      </w:r>
      <w:r>
        <w:rPr>
          <w:rFonts w:hint="eastAsia"/>
          <w:kern w:val="24"/>
        </w:rPr>
        <w:t>条</w:t>
      </w:r>
      <w:r>
        <w:rPr>
          <w:kern w:val="24"/>
        </w:rPr>
        <w:t>……....…</w:t>
      </w:r>
      <w:r>
        <w:rPr>
          <w:kern w:val="24"/>
        </w:rPr>
        <w:tab/>
      </w:r>
      <w:r>
        <w:rPr>
          <w:kern w:val="24"/>
        </w:rPr>
        <w:tab/>
        <w:t>1</w:t>
      </w:r>
      <w:r>
        <w:rPr>
          <w:rFonts w:hint="eastAsia"/>
          <w:kern w:val="24"/>
        </w:rPr>
        <w:t>39</w:t>
      </w:r>
      <w:r>
        <w:rPr>
          <w:rFonts w:hint="eastAsia"/>
          <w:kern w:val="24"/>
        </w:rPr>
        <w:tab/>
      </w:r>
      <w:r>
        <w:rPr>
          <w:kern w:val="24"/>
        </w:rPr>
        <w:t>-</w:t>
      </w:r>
      <w:r>
        <w:rPr>
          <w:rFonts w:hint="eastAsia"/>
          <w:kern w:val="24"/>
        </w:rPr>
        <w:tab/>
        <w:t>1</w:t>
      </w:r>
      <w:r>
        <w:rPr>
          <w:kern w:val="24"/>
        </w:rPr>
        <w:t>5</w:t>
      </w:r>
      <w:r>
        <w:rPr>
          <w:rFonts w:hint="eastAsia"/>
          <w:kern w:val="24"/>
        </w:rPr>
        <w:t>8</w:t>
      </w:r>
      <w:r>
        <w:rPr>
          <w:kern w:val="24"/>
        </w:rPr>
        <w:tab/>
      </w:r>
      <w:r>
        <w:rPr>
          <w:rFonts w:hint="eastAsia"/>
          <w:kern w:val="24"/>
        </w:rPr>
        <w:t>35</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九</w:t>
      </w:r>
      <w:r>
        <w:rPr>
          <w:kern w:val="24"/>
        </w:rPr>
        <w:t xml:space="preserve"> </w:t>
      </w:r>
      <w:r>
        <w:rPr>
          <w:rFonts w:hint="eastAsia"/>
          <w:kern w:val="24"/>
        </w:rPr>
        <w:t>条</w:t>
      </w:r>
      <w:r>
        <w:rPr>
          <w:kern w:val="24"/>
        </w:rPr>
        <w:t>……....…</w:t>
      </w:r>
      <w:r>
        <w:rPr>
          <w:kern w:val="24"/>
        </w:rPr>
        <w:tab/>
      </w:r>
      <w:r>
        <w:rPr>
          <w:rFonts w:hint="eastAsia"/>
          <w:kern w:val="24"/>
        </w:rPr>
        <w:tab/>
      </w:r>
      <w:r>
        <w:rPr>
          <w:kern w:val="24"/>
        </w:rPr>
        <w:t>1</w:t>
      </w:r>
      <w:r>
        <w:rPr>
          <w:rFonts w:hint="eastAsia"/>
          <w:kern w:val="24"/>
        </w:rPr>
        <w:t>59</w:t>
      </w:r>
      <w:r>
        <w:rPr>
          <w:rFonts w:hint="eastAsia"/>
          <w:kern w:val="24"/>
        </w:rPr>
        <w:tab/>
      </w:r>
      <w:r>
        <w:rPr>
          <w:kern w:val="24"/>
        </w:rPr>
        <w:t>-</w:t>
      </w:r>
      <w:r>
        <w:rPr>
          <w:rFonts w:hint="eastAsia"/>
          <w:kern w:val="24"/>
        </w:rPr>
        <w:tab/>
        <w:t>209</w:t>
      </w:r>
      <w:r>
        <w:rPr>
          <w:kern w:val="24"/>
        </w:rPr>
        <w:tab/>
      </w:r>
      <w:r>
        <w:rPr>
          <w:rFonts w:hint="eastAsia"/>
          <w:kern w:val="24"/>
        </w:rPr>
        <w:t>40</w:t>
      </w:r>
    </w:p>
    <w:p w:rsidR="00000000" w:rsidRDefault="00000000">
      <w:pPr>
        <w:pStyle w:val="a9"/>
        <w:rPr>
          <w:rFonts w:hint="eastAsia"/>
          <w:kern w:val="24"/>
        </w:rPr>
      </w:pPr>
      <w:r>
        <w:rPr>
          <w:rFonts w:hint="eastAsia"/>
          <w:kern w:val="24"/>
        </w:rPr>
        <w:t>第</w:t>
      </w:r>
      <w:r>
        <w:rPr>
          <w:kern w:val="24"/>
        </w:rPr>
        <w:t xml:space="preserve"> </w:t>
      </w:r>
      <w:r>
        <w:rPr>
          <w:rFonts w:hint="eastAsia"/>
          <w:kern w:val="24"/>
        </w:rPr>
        <w:t>十</w:t>
      </w:r>
      <w:r>
        <w:rPr>
          <w:kern w:val="24"/>
        </w:rPr>
        <w:t xml:space="preserve"> </w:t>
      </w:r>
      <w:r>
        <w:rPr>
          <w:rFonts w:hint="eastAsia"/>
          <w:kern w:val="24"/>
        </w:rPr>
        <w:t>条</w:t>
      </w:r>
      <w:r>
        <w:rPr>
          <w:kern w:val="24"/>
        </w:rPr>
        <w:t>……………</w:t>
      </w:r>
      <w:r>
        <w:rPr>
          <w:kern w:val="24"/>
        </w:rPr>
        <w:tab/>
      </w:r>
      <w:r>
        <w:rPr>
          <w:kern w:val="24"/>
        </w:rPr>
        <w:tab/>
        <w:t>210</w:t>
      </w:r>
      <w:r>
        <w:rPr>
          <w:rFonts w:hint="eastAsia"/>
          <w:kern w:val="24"/>
        </w:rPr>
        <w:tab/>
      </w:r>
      <w:r>
        <w:rPr>
          <w:kern w:val="24"/>
        </w:rPr>
        <w:t>-</w:t>
      </w:r>
      <w:r>
        <w:rPr>
          <w:rFonts w:hint="eastAsia"/>
          <w:kern w:val="24"/>
        </w:rPr>
        <w:tab/>
        <w:t>274</w:t>
      </w:r>
      <w:r>
        <w:rPr>
          <w:kern w:val="24"/>
        </w:rPr>
        <w:tab/>
      </w:r>
      <w:r>
        <w:rPr>
          <w:rFonts w:hint="eastAsia"/>
          <w:kern w:val="24"/>
        </w:rPr>
        <w:t>47</w:t>
      </w:r>
    </w:p>
    <w:p w:rsidR="00000000" w:rsidRDefault="00000000">
      <w:pPr>
        <w:pStyle w:val="a9"/>
        <w:rPr>
          <w:rFonts w:hint="eastAsia"/>
          <w:kern w:val="24"/>
        </w:rPr>
      </w:pPr>
      <w:r>
        <w:rPr>
          <w:rFonts w:hint="eastAsia"/>
          <w:kern w:val="24"/>
        </w:rPr>
        <w:t>第十一条</w:t>
      </w:r>
      <w:r>
        <w:rPr>
          <w:kern w:val="24"/>
        </w:rPr>
        <w:t>……………</w:t>
      </w:r>
      <w:r>
        <w:rPr>
          <w:kern w:val="24"/>
        </w:rPr>
        <w:tab/>
      </w:r>
      <w:r>
        <w:rPr>
          <w:kern w:val="24"/>
        </w:rPr>
        <w:tab/>
        <w:t>275</w:t>
      </w:r>
      <w:r>
        <w:rPr>
          <w:rFonts w:hint="eastAsia"/>
          <w:kern w:val="24"/>
        </w:rPr>
        <w:tab/>
      </w:r>
      <w:r>
        <w:rPr>
          <w:kern w:val="24"/>
        </w:rPr>
        <w:t>-</w:t>
      </w:r>
      <w:r>
        <w:rPr>
          <w:rFonts w:hint="eastAsia"/>
          <w:kern w:val="24"/>
        </w:rPr>
        <w:tab/>
        <w:t>376</w:t>
      </w:r>
      <w:r>
        <w:rPr>
          <w:kern w:val="24"/>
        </w:rPr>
        <w:tab/>
      </w:r>
      <w:r>
        <w:rPr>
          <w:rFonts w:hint="eastAsia"/>
          <w:kern w:val="24"/>
        </w:rPr>
        <w:t>57</w:t>
      </w:r>
    </w:p>
    <w:p w:rsidR="00000000" w:rsidRDefault="00000000">
      <w:pPr>
        <w:pStyle w:val="a9"/>
        <w:rPr>
          <w:rFonts w:hint="eastAsia"/>
          <w:kern w:val="24"/>
        </w:rPr>
      </w:pPr>
      <w:r>
        <w:rPr>
          <w:rFonts w:hint="eastAsia"/>
          <w:kern w:val="24"/>
        </w:rPr>
        <w:t>第十二条</w:t>
      </w:r>
      <w:r>
        <w:rPr>
          <w:kern w:val="24"/>
        </w:rPr>
        <w:t>……………</w:t>
      </w:r>
      <w:r>
        <w:rPr>
          <w:kern w:val="24"/>
        </w:rPr>
        <w:tab/>
      </w:r>
      <w:r>
        <w:rPr>
          <w:kern w:val="24"/>
        </w:rPr>
        <w:tab/>
        <w:t>377</w:t>
      </w:r>
      <w:r>
        <w:rPr>
          <w:rFonts w:hint="eastAsia"/>
          <w:kern w:val="24"/>
        </w:rPr>
        <w:tab/>
      </w:r>
      <w:r>
        <w:rPr>
          <w:kern w:val="24"/>
        </w:rPr>
        <w:t>-</w:t>
      </w:r>
      <w:r>
        <w:rPr>
          <w:rFonts w:hint="eastAsia"/>
          <w:kern w:val="24"/>
        </w:rPr>
        <w:tab/>
        <w:t>48</w:t>
      </w:r>
      <w:r>
        <w:rPr>
          <w:kern w:val="24"/>
        </w:rPr>
        <w:t>0</w:t>
      </w:r>
      <w:r>
        <w:rPr>
          <w:kern w:val="24"/>
        </w:rPr>
        <w:tab/>
      </w:r>
      <w:r>
        <w:rPr>
          <w:rFonts w:hint="eastAsia"/>
          <w:kern w:val="24"/>
        </w:rPr>
        <w:t>80</w:t>
      </w:r>
    </w:p>
    <w:p w:rsidR="00000000" w:rsidRDefault="00000000">
      <w:pPr>
        <w:pStyle w:val="a9"/>
        <w:rPr>
          <w:rFonts w:hint="eastAsia"/>
          <w:kern w:val="24"/>
        </w:rPr>
      </w:pPr>
      <w:r>
        <w:rPr>
          <w:rFonts w:hint="eastAsia"/>
          <w:kern w:val="24"/>
        </w:rPr>
        <w:t>第十三条</w:t>
      </w:r>
      <w:r>
        <w:rPr>
          <w:kern w:val="24"/>
        </w:rPr>
        <w:t>……………</w:t>
      </w:r>
      <w:r>
        <w:rPr>
          <w:kern w:val="24"/>
        </w:rPr>
        <w:tab/>
      </w:r>
      <w:r>
        <w:rPr>
          <w:kern w:val="24"/>
        </w:rPr>
        <w:tab/>
      </w:r>
      <w:r>
        <w:rPr>
          <w:rFonts w:hint="eastAsia"/>
          <w:kern w:val="24"/>
        </w:rPr>
        <w:t>48</w:t>
      </w:r>
      <w:r>
        <w:rPr>
          <w:kern w:val="24"/>
        </w:rPr>
        <w:t>1</w:t>
      </w:r>
      <w:r>
        <w:rPr>
          <w:rFonts w:hint="eastAsia"/>
          <w:kern w:val="24"/>
        </w:rPr>
        <w:tab/>
      </w:r>
      <w:r>
        <w:rPr>
          <w:kern w:val="24"/>
        </w:rPr>
        <w:t>-</w:t>
      </w:r>
      <w:r>
        <w:rPr>
          <w:rFonts w:hint="eastAsia"/>
          <w:kern w:val="24"/>
        </w:rPr>
        <w:tab/>
      </w:r>
      <w:r>
        <w:rPr>
          <w:kern w:val="24"/>
        </w:rPr>
        <w:t>5</w:t>
      </w:r>
      <w:r>
        <w:rPr>
          <w:rFonts w:hint="eastAsia"/>
          <w:kern w:val="24"/>
        </w:rPr>
        <w:t>44</w:t>
      </w:r>
      <w:r>
        <w:rPr>
          <w:kern w:val="24"/>
        </w:rPr>
        <w:tab/>
      </w:r>
      <w:r>
        <w:rPr>
          <w:rFonts w:hint="eastAsia"/>
          <w:kern w:val="24"/>
        </w:rPr>
        <w:t>101</w:t>
      </w:r>
    </w:p>
    <w:p w:rsidR="00000000" w:rsidRDefault="00000000">
      <w:pPr>
        <w:pStyle w:val="a9"/>
        <w:rPr>
          <w:rFonts w:hint="eastAsia"/>
          <w:kern w:val="24"/>
        </w:rPr>
      </w:pPr>
      <w:r>
        <w:rPr>
          <w:rFonts w:hint="eastAsia"/>
          <w:kern w:val="24"/>
        </w:rPr>
        <w:t>第十四条</w:t>
      </w:r>
      <w:r>
        <w:rPr>
          <w:kern w:val="24"/>
        </w:rPr>
        <w:t>……………</w:t>
      </w:r>
      <w:r>
        <w:rPr>
          <w:kern w:val="24"/>
        </w:rPr>
        <w:tab/>
      </w:r>
      <w:r>
        <w:rPr>
          <w:kern w:val="24"/>
        </w:rPr>
        <w:tab/>
      </w:r>
      <w:r>
        <w:rPr>
          <w:kern w:val="24"/>
        </w:rPr>
        <w:tab/>
        <w:t>545</w:t>
      </w:r>
      <w:r>
        <w:rPr>
          <w:kern w:val="24"/>
        </w:rPr>
        <w:tab/>
      </w:r>
      <w:r>
        <w:rPr>
          <w:rFonts w:hint="eastAsia"/>
          <w:kern w:val="24"/>
        </w:rPr>
        <w:t>118</w:t>
      </w:r>
    </w:p>
    <w:p w:rsidR="00000000" w:rsidRDefault="00000000">
      <w:pPr>
        <w:pStyle w:val="a9"/>
        <w:rPr>
          <w:rFonts w:eastAsia="长城楷体" w:hint="eastAsia"/>
          <w:kern w:val="24"/>
        </w:rPr>
      </w:pPr>
      <w:r>
        <w:rPr>
          <w:rFonts w:hint="eastAsia"/>
          <w:kern w:val="24"/>
        </w:rPr>
        <w:t>第十五条</w:t>
      </w:r>
      <w:r>
        <w:rPr>
          <w:kern w:val="24"/>
        </w:rPr>
        <w:t>……………</w:t>
      </w:r>
      <w:r>
        <w:rPr>
          <w:kern w:val="24"/>
        </w:rPr>
        <w:tab/>
      </w:r>
      <w:r>
        <w:rPr>
          <w:kern w:val="24"/>
        </w:rPr>
        <w:tab/>
      </w:r>
      <w:r>
        <w:rPr>
          <w:rFonts w:hint="eastAsia"/>
          <w:kern w:val="24"/>
        </w:rPr>
        <w:t>546</w:t>
      </w:r>
      <w:r>
        <w:rPr>
          <w:rFonts w:hint="eastAsia"/>
          <w:kern w:val="24"/>
        </w:rPr>
        <w:tab/>
      </w:r>
      <w:r>
        <w:rPr>
          <w:kern w:val="24"/>
        </w:rPr>
        <w:t>-</w:t>
      </w:r>
      <w:r>
        <w:rPr>
          <w:rFonts w:hint="eastAsia"/>
          <w:kern w:val="24"/>
        </w:rPr>
        <w:tab/>
        <w:t>61</w:t>
      </w:r>
      <w:r>
        <w:rPr>
          <w:kern w:val="24"/>
        </w:rPr>
        <w:t>5</w:t>
      </w:r>
      <w:r>
        <w:rPr>
          <w:kern w:val="24"/>
        </w:rPr>
        <w:tab/>
      </w:r>
      <w:r>
        <w:rPr>
          <w:rFonts w:hint="eastAsia"/>
          <w:kern w:val="24"/>
        </w:rPr>
        <w:t>119</w:t>
      </w:r>
    </w:p>
    <w:p w:rsidR="00000000" w:rsidRDefault="00000000">
      <w:pPr>
        <w:pStyle w:val="Heading2"/>
        <w:rPr>
          <w:rFonts w:hint="eastAsia"/>
        </w:rPr>
      </w:pPr>
      <w:r>
        <w:br w:type="page"/>
      </w:r>
      <w:r>
        <w:rPr>
          <w:rFonts w:hint="eastAsia"/>
        </w:rPr>
        <w:t>导</w:t>
      </w:r>
      <w:r>
        <w:rPr>
          <w:rFonts w:hint="eastAsia"/>
        </w:rPr>
        <w:t xml:space="preserve">  </w:t>
      </w:r>
      <w:r>
        <w:rPr>
          <w:rFonts w:hint="eastAsia"/>
        </w:rPr>
        <w:t>言</w:t>
      </w:r>
    </w:p>
    <w:p w:rsidR="00000000" w:rsidRDefault="00000000">
      <w:pPr>
        <w:rPr>
          <w:rFonts w:hint="eastAsia"/>
        </w:rPr>
      </w:pPr>
      <w:r>
        <w:tab/>
      </w:r>
      <w:r>
        <w:rPr>
          <w:rFonts w:hint="eastAsia"/>
        </w:rPr>
        <w:t xml:space="preserve">1.  </w:t>
      </w:r>
      <w:r>
        <w:rPr>
          <w:rFonts w:hint="eastAsia"/>
        </w:rPr>
        <w:t>关于厄瓜多尔经济权利与社会权利的本报告包括范围为</w:t>
      </w:r>
      <w:r>
        <w:rPr>
          <w:rFonts w:hint="eastAsia"/>
        </w:rPr>
        <w:t>1990</w:t>
      </w:r>
      <w:r>
        <w:rPr>
          <w:rFonts w:hint="eastAsia"/>
        </w:rPr>
        <w:t>年代，并对</w:t>
      </w:r>
      <w:r>
        <w:rPr>
          <w:rFonts w:hint="eastAsia"/>
        </w:rPr>
        <w:t>2002</w:t>
      </w:r>
      <w:r>
        <w:rPr>
          <w:rFonts w:hint="eastAsia"/>
        </w:rPr>
        <w:t>年之前作出预测。</w:t>
      </w:r>
    </w:p>
    <w:p w:rsidR="00000000" w:rsidRDefault="00000000">
      <w:pPr>
        <w:rPr>
          <w:rFonts w:hint="eastAsia"/>
        </w:rPr>
      </w:pPr>
      <w:r>
        <w:tab/>
        <w:t xml:space="preserve">2.  </w:t>
      </w:r>
      <w:r>
        <w:rPr>
          <w:rFonts w:hint="eastAsia"/>
        </w:rPr>
        <w:t>正如早先指出的，厄瓜多尔维护其关于《经济、社会、文化权利国际公约》第六至九条所规定的权利而提交的初始报告和第二份定期报告。</w:t>
      </w:r>
      <w:r>
        <w:rPr>
          <w:rStyle w:val="EndnoteReference"/>
        </w:rPr>
        <w:endnoteReference w:id="1"/>
      </w:r>
      <w:r>
        <w:t xml:space="preserve"> </w:t>
      </w:r>
      <w:r>
        <w:rPr>
          <w:rFonts w:hint="eastAsia"/>
        </w:rPr>
        <w:t>应当指出，相关的报告已经提交给联合国新近设立的有关委员会，特别是向消除对妇女歧视委员会提交的报告</w:t>
      </w:r>
      <w:r>
        <w:rPr>
          <w:rFonts w:hint="eastAsia"/>
        </w:rPr>
        <w:t>(</w:t>
      </w:r>
      <w:r>
        <w:t>CEDAW/C/ECU/4-5)</w:t>
      </w:r>
      <w:r>
        <w:rPr>
          <w:rFonts w:hint="eastAsia"/>
        </w:rPr>
        <w:t>、提交给儿童权利委员会的报告</w:t>
      </w:r>
      <w:r>
        <w:rPr>
          <w:rFonts w:hint="eastAsia"/>
        </w:rPr>
        <w:t>(</w:t>
      </w:r>
      <w:r>
        <w:t>CRC/C/3/Add.44)</w:t>
      </w:r>
      <w:r>
        <w:rPr>
          <w:rFonts w:hint="eastAsia"/>
        </w:rPr>
        <w:t>以及向消除种族歧视委员会提交的报告</w:t>
      </w:r>
      <w:r>
        <w:t>(CERD/C/226/Add.1)</w:t>
      </w:r>
      <w:r>
        <w:rPr>
          <w:rFonts w:hint="eastAsia"/>
        </w:rPr>
        <w:t>。如果本文件中某些章节叙述不完整，可以参阅上述报告予以补充。</w:t>
      </w:r>
    </w:p>
    <w:p w:rsidR="00000000" w:rsidRDefault="00000000">
      <w:pPr>
        <w:rPr>
          <w:rFonts w:hint="eastAsia"/>
        </w:rPr>
      </w:pPr>
      <w:r>
        <w:rPr>
          <w:rFonts w:hint="eastAsia"/>
        </w:rPr>
        <w:tab/>
        <w:t xml:space="preserve">3.  </w:t>
      </w:r>
      <w:r>
        <w:rPr>
          <w:rFonts w:hint="eastAsia"/>
        </w:rPr>
        <w:t>厄瓜多尔的人口有所减少。如果回想起</w:t>
      </w:r>
      <w:r>
        <w:rPr>
          <w:rFonts w:hint="eastAsia"/>
        </w:rPr>
        <w:t>1990</w:t>
      </w:r>
      <w:r>
        <w:rPr>
          <w:rFonts w:hint="eastAsia"/>
        </w:rPr>
        <w:t>年全国人口普查期间所作出的预测，大约少了将近</w:t>
      </w:r>
      <w:r>
        <w:rPr>
          <w:rFonts w:hint="eastAsia"/>
        </w:rPr>
        <w:t>50</w:t>
      </w:r>
      <w:r>
        <w:rPr>
          <w:rFonts w:hint="eastAsia"/>
        </w:rPr>
        <w:t>万人。这主要是由于从厄瓜多尔向其他国家、特别是美利坚合众国、西班牙和意大利移民的浪潮所造成的。</w:t>
      </w:r>
      <w:r>
        <w:rPr>
          <w:rStyle w:val="EndnoteReference"/>
        </w:rPr>
        <w:endnoteReference w:id="2"/>
      </w:r>
      <w:r>
        <w:rPr>
          <w:rFonts w:hint="eastAsia"/>
        </w:rPr>
        <w:t xml:space="preserve"> </w:t>
      </w:r>
    </w:p>
    <w:p w:rsidR="00000000" w:rsidRDefault="00000000">
      <w:pPr>
        <w:rPr>
          <w:rFonts w:hint="eastAsia"/>
        </w:rPr>
      </w:pPr>
      <w:r>
        <w:rPr>
          <w:rFonts w:hint="eastAsia"/>
        </w:rPr>
        <w:tab/>
        <w:t>4.  1998</w:t>
      </w:r>
      <w:r>
        <w:rPr>
          <w:rFonts w:hint="eastAsia"/>
        </w:rPr>
        <w:t>年国民议会所通过的新《宪法》规定了若干基本权利，例如承认少数民族及其祖传语言和祖传文化，而这些权利在早先的宪法中没有予以规定。新《宪法》中的富有创造性的内容包括：同等获得第一代权利和第二代权利、建立宪法保护</w:t>
      </w:r>
      <w:r>
        <w:rPr>
          <w:rFonts w:hint="eastAsia"/>
        </w:rPr>
        <w:t>(</w:t>
      </w:r>
      <w:r>
        <w:t>amparo)</w:t>
      </w:r>
      <w:r>
        <w:rPr>
          <w:rFonts w:hint="eastAsia"/>
        </w:rPr>
        <w:t>、资料保护令状以及监察员等相关机制来保护这些权利。</w:t>
      </w:r>
    </w:p>
    <w:p w:rsidR="00000000" w:rsidRDefault="00000000">
      <w:pPr>
        <w:spacing w:after="320"/>
        <w:rPr>
          <w:rFonts w:hint="eastAsia"/>
        </w:rPr>
      </w:pPr>
      <w:r>
        <w:rPr>
          <w:rFonts w:hint="eastAsia"/>
        </w:rPr>
        <w:tab/>
        <w:t xml:space="preserve">5.  </w:t>
      </w:r>
      <w:r>
        <w:rPr>
          <w:rFonts w:hint="eastAsia"/>
        </w:rPr>
        <w:t>本报告所载统计资料是根据</w:t>
      </w:r>
      <w:r>
        <w:rPr>
          <w:rFonts w:hint="eastAsia"/>
        </w:rPr>
        <w:t>2000</w:t>
      </w:r>
      <w:r>
        <w:rPr>
          <w:rFonts w:hint="eastAsia"/>
        </w:rPr>
        <w:t>年以前有效的苏克雷汇率计算的；为便于为好理解本报告的统计数字，我们增加了一项附录，列明</w:t>
      </w:r>
      <w:r>
        <w:rPr>
          <w:rFonts w:hint="eastAsia"/>
        </w:rPr>
        <w:t>1990</w:t>
      </w:r>
      <w:r>
        <w:rPr>
          <w:rFonts w:hint="eastAsia"/>
        </w:rPr>
        <w:t>年代汇率的等值数字表。</w:t>
      </w:r>
    </w:p>
    <w:p w:rsidR="00000000" w:rsidRDefault="00000000">
      <w:pPr>
        <w:pStyle w:val="Heading3"/>
        <w:rPr>
          <w:rFonts w:hint="eastAsia"/>
        </w:rPr>
      </w:pPr>
      <w:r>
        <w:rPr>
          <w:rFonts w:hint="eastAsia"/>
        </w:rPr>
        <w:t>第</w:t>
      </w:r>
      <w:r>
        <w:rPr>
          <w:rFonts w:hint="eastAsia"/>
        </w:rPr>
        <w:t xml:space="preserve"> </w:t>
      </w:r>
      <w:r>
        <w:rPr>
          <w:rFonts w:hint="eastAsia"/>
        </w:rPr>
        <w:t>一</w:t>
      </w:r>
      <w:r>
        <w:rPr>
          <w:rFonts w:hint="eastAsia"/>
        </w:rPr>
        <w:t xml:space="preserve"> </w:t>
      </w:r>
      <w:r>
        <w:rPr>
          <w:rFonts w:hint="eastAsia"/>
        </w:rPr>
        <w:t>条</w:t>
      </w:r>
    </w:p>
    <w:p w:rsidR="00000000" w:rsidRDefault="00000000">
      <w:pPr>
        <w:spacing w:after="320"/>
        <w:rPr>
          <w:rFonts w:hint="eastAsia"/>
        </w:rPr>
      </w:pPr>
      <w:r>
        <w:rPr>
          <w:rFonts w:hint="eastAsia"/>
        </w:rPr>
        <w:tab/>
        <w:t xml:space="preserve">6.  </w:t>
      </w:r>
      <w:r>
        <w:rPr>
          <w:rFonts w:hint="eastAsia"/>
        </w:rPr>
        <w:t>《厄瓜多尔宪法》第一条规定，“厄瓜多尔是建立在法制之上的一个社会、主权、统一、独立、民主、多文化和多民族的国家。</w:t>
      </w:r>
      <w:r>
        <w:t>[……]</w:t>
      </w:r>
      <w:r>
        <w:rPr>
          <w:rFonts w:hint="eastAsia"/>
        </w:rPr>
        <w:t xml:space="preserve"> </w:t>
      </w:r>
      <w:r>
        <w:rPr>
          <w:rFonts w:hint="eastAsia"/>
        </w:rPr>
        <w:t>主权属于人民。人民的意愿是权力的基础，政府通过政府机构以及本宪法规定的民主方式行使权力。”《宪法》第四条规定自决权：“在与国际社会的关系中，厄瓜多尔</w:t>
      </w:r>
      <w:r>
        <w:t>[……]</w:t>
      </w:r>
      <w:r>
        <w:rPr>
          <w:rFonts w:hint="eastAsia"/>
        </w:rPr>
        <w:t>拒绝任何形式的殖民主义、新殖民主义、歧视或隔离，</w:t>
      </w:r>
      <w:r>
        <w:t>[</w:t>
      </w:r>
      <w:r>
        <w:rPr>
          <w:rFonts w:hint="eastAsia"/>
        </w:rPr>
        <w:t>并</w:t>
      </w:r>
      <w:r>
        <w:t>]</w:t>
      </w:r>
      <w:r>
        <w:rPr>
          <w:rFonts w:hint="eastAsia"/>
        </w:rPr>
        <w:t>承认人民有自决权、并有摆脱压迫制度的权利。”</w:t>
      </w:r>
    </w:p>
    <w:p w:rsidR="00000000" w:rsidRDefault="00000000">
      <w:pPr>
        <w:pStyle w:val="Heading3"/>
        <w:rPr>
          <w:rFonts w:hint="eastAsia"/>
        </w:rPr>
      </w:pPr>
      <w:r>
        <w:rPr>
          <w:rFonts w:hint="eastAsia"/>
        </w:rPr>
        <w:t>第</w:t>
      </w:r>
      <w:r>
        <w:rPr>
          <w:rFonts w:hint="eastAsia"/>
        </w:rPr>
        <w:t xml:space="preserve"> </w:t>
      </w:r>
      <w:r>
        <w:rPr>
          <w:rFonts w:hint="eastAsia"/>
        </w:rPr>
        <w:t>二</w:t>
      </w:r>
      <w:r>
        <w:rPr>
          <w:rFonts w:hint="eastAsia"/>
        </w:rPr>
        <w:t xml:space="preserve"> </w:t>
      </w:r>
      <w:r>
        <w:rPr>
          <w:rFonts w:hint="eastAsia"/>
        </w:rPr>
        <w:t>条</w:t>
      </w:r>
    </w:p>
    <w:p w:rsidR="00000000" w:rsidRDefault="00000000">
      <w:pPr>
        <w:rPr>
          <w:rFonts w:hint="eastAsia"/>
        </w:rPr>
      </w:pPr>
      <w:r>
        <w:rPr>
          <w:rFonts w:hint="eastAsia"/>
        </w:rPr>
        <w:tab/>
        <w:t xml:space="preserve">7.  </w:t>
      </w:r>
      <w:r>
        <w:rPr>
          <w:rFonts w:hint="eastAsia"/>
        </w:rPr>
        <w:t>《宪法》第二十三条规定：“法律面前人人平等。人人都是平等的，享有同等权利、自由和机会，不因出身、年龄、性别、民族、肤色、社会出身、语言、宗教、政治属性、财产、性取向、健康状况、残疾或任何其他性质的差异而遭受歧视。”</w:t>
      </w:r>
    </w:p>
    <w:p w:rsidR="00000000" w:rsidRDefault="00000000">
      <w:pPr>
        <w:rPr>
          <w:rFonts w:hint="eastAsia"/>
        </w:rPr>
      </w:pPr>
      <w:r>
        <w:rPr>
          <w:rFonts w:hint="eastAsia"/>
        </w:rPr>
        <w:tab/>
        <w:t xml:space="preserve">8.  </w:t>
      </w:r>
      <w:r>
        <w:rPr>
          <w:rFonts w:hint="eastAsia"/>
        </w:rPr>
        <w:t>厄瓜多尔通过其体制肩负的最高任务是确保有效做到尊重和实现基本人权和公民权利，不因其国籍而作出任何区别。这是由于这些权利是《厄瓜多尔宪法》所赋予的、或者是因为厄瓜多尔根据国际协定而有义务坚持这些权利。</w:t>
      </w:r>
    </w:p>
    <w:p w:rsidR="00000000" w:rsidRDefault="00000000">
      <w:pPr>
        <w:rPr>
          <w:rFonts w:hint="eastAsia"/>
        </w:rPr>
      </w:pPr>
      <w:r>
        <w:rPr>
          <w:rFonts w:hint="eastAsia"/>
        </w:rPr>
        <w:tab/>
        <w:t xml:space="preserve">9.  </w:t>
      </w:r>
      <w:r>
        <w:rPr>
          <w:rFonts w:hint="eastAsia"/>
        </w:rPr>
        <w:t>根据《宪法》第三条，国家有义务“确保有效行使人权”。</w:t>
      </w:r>
    </w:p>
    <w:p w:rsidR="00000000" w:rsidRDefault="00000000">
      <w:pPr>
        <w:rPr>
          <w:rFonts w:hint="eastAsia"/>
        </w:rPr>
      </w:pPr>
      <w:r>
        <w:rPr>
          <w:rFonts w:hint="eastAsia"/>
        </w:rPr>
        <w:tab/>
        <w:t xml:space="preserve">10.  </w:t>
      </w:r>
      <w:r>
        <w:rPr>
          <w:rFonts w:hint="eastAsia"/>
        </w:rPr>
        <w:t>《宪法》第十三条确认，外国人和厄瓜多尔人都享有平等权利，但根据《宪法》以及法律只限于厄瓜多尔人的公民权利和政治权利，则不在此例。</w:t>
      </w:r>
    </w:p>
    <w:p w:rsidR="00000000" w:rsidRDefault="00000000">
      <w:pPr>
        <w:spacing w:after="320"/>
        <w:rPr>
          <w:rFonts w:hint="eastAsia"/>
        </w:rPr>
      </w:pPr>
      <w:r>
        <w:rPr>
          <w:rFonts w:hint="eastAsia"/>
        </w:rPr>
        <w:tab/>
        <w:t xml:space="preserve">11.  </w:t>
      </w:r>
      <w:r>
        <w:rPr>
          <w:rFonts w:hint="eastAsia"/>
        </w:rPr>
        <w:t>《外国人法》第一条要求国家管理厄瓜多尔境内外侨的状况。</w:t>
      </w:r>
    </w:p>
    <w:p w:rsidR="00000000" w:rsidRDefault="00000000">
      <w:pPr>
        <w:pStyle w:val="Heading3"/>
        <w:rPr>
          <w:rFonts w:hint="eastAsia"/>
        </w:rPr>
      </w:pPr>
      <w:r>
        <w:rPr>
          <w:rFonts w:hint="eastAsia"/>
        </w:rPr>
        <w:t>第</w:t>
      </w:r>
      <w:r>
        <w:rPr>
          <w:rFonts w:hint="eastAsia"/>
        </w:rPr>
        <w:t xml:space="preserve"> </w:t>
      </w:r>
      <w:r>
        <w:rPr>
          <w:rFonts w:hint="eastAsia"/>
        </w:rPr>
        <w:t>三</w:t>
      </w:r>
      <w:r>
        <w:rPr>
          <w:rFonts w:hint="eastAsia"/>
        </w:rPr>
        <w:t xml:space="preserve"> </w:t>
      </w:r>
      <w:r>
        <w:rPr>
          <w:rFonts w:hint="eastAsia"/>
        </w:rPr>
        <w:t>条</w:t>
      </w:r>
    </w:p>
    <w:p w:rsidR="00000000" w:rsidRDefault="00000000">
      <w:pPr>
        <w:rPr>
          <w:rFonts w:hint="eastAsia"/>
        </w:rPr>
      </w:pPr>
      <w:r>
        <w:rPr>
          <w:rFonts w:hint="eastAsia"/>
        </w:rPr>
        <w:tab/>
        <w:t xml:space="preserve">12.  </w:t>
      </w:r>
      <w:r>
        <w:rPr>
          <w:rFonts w:hint="eastAsia"/>
        </w:rPr>
        <w:t>《宪法》由国民议会制定，公布于</w:t>
      </w:r>
      <w:r>
        <w:rPr>
          <w:rFonts w:hint="eastAsia"/>
        </w:rPr>
        <w:t>1998</w:t>
      </w:r>
      <w:r>
        <w:rPr>
          <w:rFonts w:hint="eastAsia"/>
        </w:rPr>
        <w:t>年</w:t>
      </w:r>
      <w:r>
        <w:rPr>
          <w:rFonts w:hint="eastAsia"/>
        </w:rPr>
        <w:t>8</w:t>
      </w:r>
      <w:r>
        <w:rPr>
          <w:rFonts w:hint="eastAsia"/>
        </w:rPr>
        <w:t>月</w:t>
      </w:r>
      <w:r>
        <w:rPr>
          <w:rFonts w:hint="eastAsia"/>
        </w:rPr>
        <w:t>11</w:t>
      </w:r>
      <w:r>
        <w:rPr>
          <w:rFonts w:hint="eastAsia"/>
        </w:rPr>
        <w:t>日《官方公告》第</w:t>
      </w:r>
      <w:r>
        <w:rPr>
          <w:rFonts w:hint="eastAsia"/>
        </w:rPr>
        <w:t>1</w:t>
      </w:r>
      <w:r>
        <w:rPr>
          <w:rFonts w:hint="eastAsia"/>
        </w:rPr>
        <w:t>号。《宪法》的条文考虑到民间团体所提交的建议，包括了男女平等、社会公正、多文化特征、人权、环境、促进厄瓜多尔人经济、社会和文化权利、民主制度治理等内容。现行《宪法》第三十四条、第四十一条和第一百零二条都对男女平等的权利做了规定。</w:t>
      </w:r>
    </w:p>
    <w:p w:rsidR="00000000" w:rsidRDefault="00000000">
      <w:pPr>
        <w:rPr>
          <w:rFonts w:hint="eastAsia"/>
        </w:rPr>
      </w:pPr>
      <w:r>
        <w:rPr>
          <w:rFonts w:hint="eastAsia"/>
        </w:rPr>
        <w:tab/>
        <w:t xml:space="preserve">13.  </w:t>
      </w:r>
      <w:r>
        <w:rPr>
          <w:rFonts w:hint="eastAsia"/>
        </w:rPr>
        <w:t>《宪法》第三十四条规定，“国家保证男女在获取生产资源以及有关其婚姻关系和财产的经济决策过程中，享有平等的权利和机会。”根据第四十一条规定，“国家制定并实施旨在实现男女平等机会的政策。”第一百零二条规定，“妇女和男子在公民选举候选人方面、以及在公共领域的管理和决策机构方面，都有平等参与权。这些条款是对第二十三条第</w:t>
      </w:r>
      <w:r>
        <w:rPr>
          <w:rFonts w:hint="eastAsia"/>
        </w:rPr>
        <w:t>3</w:t>
      </w:r>
      <w:r>
        <w:rPr>
          <w:rFonts w:hint="eastAsia"/>
        </w:rPr>
        <w:t>段的补充，该段规定了宪法权利，并明确规定不得因性别、民族、肤色、残疾或任何其他差异而实施歧视。</w:t>
      </w:r>
    </w:p>
    <w:p w:rsidR="00000000" w:rsidRDefault="00000000">
      <w:pPr>
        <w:rPr>
          <w:rFonts w:hint="eastAsia"/>
        </w:rPr>
      </w:pPr>
      <w:r>
        <w:rPr>
          <w:rFonts w:hint="eastAsia"/>
        </w:rPr>
        <w:tab/>
        <w:t xml:space="preserve">14.  </w:t>
      </w:r>
      <w:r>
        <w:rPr>
          <w:rFonts w:hint="eastAsia"/>
        </w:rPr>
        <w:t>《宪法》第四十七条认为，儿童、青少年、孕妇、残疾人士、老年人以及患严重疾病者为弱势群体，并规定，他们应从政府和私人机构得到特别照顾。</w:t>
      </w:r>
    </w:p>
    <w:p w:rsidR="00000000" w:rsidRDefault="00000000">
      <w:pPr>
        <w:spacing w:line="322" w:lineRule="auto"/>
        <w:rPr>
          <w:rFonts w:hint="eastAsia"/>
        </w:rPr>
      </w:pPr>
      <w:r>
        <w:rPr>
          <w:rFonts w:hint="eastAsia"/>
        </w:rPr>
        <w:tab/>
        <w:t xml:space="preserve">15.  </w:t>
      </w:r>
      <w:r>
        <w:rPr>
          <w:rFonts w:hint="eastAsia"/>
        </w:rPr>
        <w:t>《宪法》重申这一信念：厄瓜多尔现行法律禁止基于种族、性别、宗教或残疾等原因而实行任何形式的歧视，并正在制定政策，以增进妇女真正参与有关其权利和平等机会的进程。这一进程应当由全社会参与，而不能认为平等问题仅仅是影响到妇女的一个问题。</w:t>
      </w:r>
    </w:p>
    <w:p w:rsidR="00000000" w:rsidRDefault="00000000">
      <w:pPr>
        <w:spacing w:line="322" w:lineRule="auto"/>
        <w:rPr>
          <w:rFonts w:hint="eastAsia"/>
        </w:rPr>
      </w:pPr>
      <w:r>
        <w:rPr>
          <w:rFonts w:hint="eastAsia"/>
        </w:rPr>
        <w:tab/>
        <w:t xml:space="preserve">16.  </w:t>
      </w:r>
      <w:r>
        <w:rPr>
          <w:rFonts w:hint="eastAsia"/>
        </w:rPr>
        <w:t>经过巨大努力，终于实现了让妇女在厄瓜多尔社会发展中起到重要作用，其基本特点就是妇女近年来更加广泛地参与了决策过程。妇女在政界越来越突出，努力让本国听到其作为人民之一部分的声音。</w:t>
      </w:r>
    </w:p>
    <w:p w:rsidR="00000000" w:rsidRDefault="00000000">
      <w:pPr>
        <w:spacing w:line="322" w:lineRule="auto"/>
        <w:rPr>
          <w:rFonts w:hint="eastAsia"/>
        </w:rPr>
      </w:pPr>
      <w:r>
        <w:rPr>
          <w:rFonts w:hint="eastAsia"/>
        </w:rPr>
        <w:tab/>
        <w:t xml:space="preserve">17.  </w:t>
      </w:r>
      <w:r>
        <w:rPr>
          <w:rFonts w:hint="eastAsia"/>
        </w:rPr>
        <w:t>在过去</w:t>
      </w:r>
      <w:r>
        <w:rPr>
          <w:rFonts w:hint="eastAsia"/>
        </w:rPr>
        <w:t>10</w:t>
      </w:r>
      <w:r>
        <w:rPr>
          <w:rFonts w:hint="eastAsia"/>
        </w:rPr>
        <w:t>年中，妇女在政界中的作用日益明显。在</w:t>
      </w:r>
      <w:r>
        <w:rPr>
          <w:rFonts w:hint="eastAsia"/>
        </w:rPr>
        <w:t>1980</w:t>
      </w:r>
      <w:r>
        <w:rPr>
          <w:rFonts w:hint="eastAsia"/>
        </w:rPr>
        <w:t>－</w:t>
      </w:r>
      <w:r>
        <w:rPr>
          <w:rFonts w:hint="eastAsia"/>
        </w:rPr>
        <w:t>1984</w:t>
      </w:r>
      <w:r>
        <w:rPr>
          <w:rFonts w:hint="eastAsia"/>
        </w:rPr>
        <w:t>年总统任期内，第一次任命一名妇女担任社会福利部部长。</w:t>
      </w:r>
      <w:r>
        <w:rPr>
          <w:rFonts w:hint="eastAsia"/>
        </w:rPr>
        <w:t>1990</w:t>
      </w:r>
      <w:r>
        <w:rPr>
          <w:rFonts w:hint="eastAsia"/>
        </w:rPr>
        <w:t>年，没有一个部长是由妇女担任的。在</w:t>
      </w:r>
      <w:r>
        <w:rPr>
          <w:rFonts w:hint="eastAsia"/>
        </w:rPr>
        <w:t>1993</w:t>
      </w:r>
      <w:r>
        <w:rPr>
          <w:rFonts w:hint="eastAsia"/>
        </w:rPr>
        <w:t>－</w:t>
      </w:r>
      <w:r>
        <w:rPr>
          <w:rFonts w:hint="eastAsia"/>
        </w:rPr>
        <w:t>1996</w:t>
      </w:r>
      <w:r>
        <w:rPr>
          <w:rFonts w:hint="eastAsia"/>
        </w:rPr>
        <w:t>年总统任期内，有二位妇女部长：教育部长和社会福利部长。在</w:t>
      </w:r>
      <w:r>
        <w:rPr>
          <w:rFonts w:hint="eastAsia"/>
        </w:rPr>
        <w:t>74</w:t>
      </w:r>
      <w:r>
        <w:rPr>
          <w:rFonts w:hint="eastAsia"/>
        </w:rPr>
        <w:t>位副部长中，有三位是妇女。</w:t>
      </w:r>
      <w:r>
        <w:rPr>
          <w:rFonts w:hint="eastAsia"/>
        </w:rPr>
        <w:t>1978</w:t>
      </w:r>
      <w:r>
        <w:rPr>
          <w:rFonts w:hint="eastAsia"/>
        </w:rPr>
        <w:t>年，选进市镇厅的人里仅有</w:t>
      </w:r>
      <w:r>
        <w:rPr>
          <w:rFonts w:hint="eastAsia"/>
        </w:rPr>
        <w:t>4%</w:t>
      </w:r>
      <w:r>
        <w:rPr>
          <w:rFonts w:hint="eastAsia"/>
        </w:rPr>
        <w:t>是妇女；在</w:t>
      </w:r>
      <w:r>
        <w:rPr>
          <w:rFonts w:hint="eastAsia"/>
        </w:rPr>
        <w:t>1997</w:t>
      </w:r>
      <w:r>
        <w:rPr>
          <w:rFonts w:hint="eastAsia"/>
        </w:rPr>
        <w:t>－</w:t>
      </w:r>
      <w:r>
        <w:rPr>
          <w:rFonts w:hint="eastAsia"/>
        </w:rPr>
        <w:t>2000</w:t>
      </w:r>
      <w:r>
        <w:rPr>
          <w:rFonts w:hint="eastAsia"/>
        </w:rPr>
        <w:t>年总统任期内，有</w:t>
      </w:r>
      <w:r>
        <w:rPr>
          <w:rFonts w:hint="eastAsia"/>
        </w:rPr>
        <w:t>86</w:t>
      </w:r>
      <w:r>
        <w:rPr>
          <w:rFonts w:hint="eastAsia"/>
        </w:rPr>
        <w:t>位妇女候选人争取各个职位、</w:t>
      </w:r>
      <w:r>
        <w:rPr>
          <w:rFonts w:hint="eastAsia"/>
        </w:rPr>
        <w:t>56</w:t>
      </w:r>
      <w:r>
        <w:rPr>
          <w:rFonts w:hint="eastAsia"/>
        </w:rPr>
        <w:t>名妇女作为候选代表、</w:t>
      </w:r>
      <w:r>
        <w:rPr>
          <w:rFonts w:hint="eastAsia"/>
        </w:rPr>
        <w:t>5</w:t>
      </w:r>
      <w:r>
        <w:rPr>
          <w:rFonts w:hint="eastAsia"/>
        </w:rPr>
        <w:t>位妇女担任省代表。</w:t>
      </w:r>
    </w:p>
    <w:p w:rsidR="00000000" w:rsidRDefault="00000000">
      <w:pPr>
        <w:spacing w:line="322" w:lineRule="auto"/>
        <w:rPr>
          <w:rFonts w:hint="eastAsia"/>
        </w:rPr>
      </w:pPr>
      <w:r>
        <w:rPr>
          <w:rFonts w:hint="eastAsia"/>
        </w:rPr>
        <w:tab/>
        <w:t xml:space="preserve">18.  </w:t>
      </w:r>
      <w:r>
        <w:rPr>
          <w:rFonts w:hint="eastAsia"/>
        </w:rPr>
        <w:t>然而，今天看见妇女担任大型组织、政策机构、贸易组织、各类协会等等的负责人，虽然不是很常见，但也是正常的事情。在政府各部和代表大会里，有越来越多的妇女参与作出困难和重要的政治决定。</w:t>
      </w:r>
    </w:p>
    <w:p w:rsidR="00000000" w:rsidRDefault="00000000">
      <w:pPr>
        <w:spacing w:line="322" w:lineRule="auto"/>
        <w:rPr>
          <w:rFonts w:hint="eastAsia"/>
        </w:rPr>
      </w:pPr>
      <w:r>
        <w:rPr>
          <w:rFonts w:hint="eastAsia"/>
        </w:rPr>
        <w:tab/>
        <w:t xml:space="preserve">19.  </w:t>
      </w:r>
      <w:r>
        <w:rPr>
          <w:rFonts w:hint="eastAsia"/>
        </w:rPr>
        <w:t>根据</w:t>
      </w:r>
      <w:r>
        <w:rPr>
          <w:rFonts w:hint="eastAsia"/>
        </w:rPr>
        <w:t>1990</w:t>
      </w:r>
      <w:r>
        <w:rPr>
          <w:rFonts w:hint="eastAsia"/>
        </w:rPr>
        <w:t>年全国人口普查，厄瓜多尔有</w:t>
      </w:r>
      <w:r>
        <w:rPr>
          <w:rFonts w:hint="eastAsia"/>
        </w:rPr>
        <w:t>4,851,777</w:t>
      </w:r>
      <w:r>
        <w:rPr>
          <w:rFonts w:hint="eastAsia"/>
        </w:rPr>
        <w:t>妇女、</w:t>
      </w:r>
      <w:r>
        <w:rPr>
          <w:rFonts w:hint="eastAsia"/>
        </w:rPr>
        <w:t>4,796,412</w:t>
      </w:r>
      <w:r>
        <w:rPr>
          <w:rFonts w:hint="eastAsia"/>
        </w:rPr>
        <w:t>名男子；妇女占整个人口的</w:t>
      </w:r>
      <w:r>
        <w:rPr>
          <w:rFonts w:hint="eastAsia"/>
        </w:rPr>
        <w:t>50.3%</w:t>
      </w:r>
      <w:r>
        <w:rPr>
          <w:rFonts w:hint="eastAsia"/>
        </w:rPr>
        <w:t>。在零至</w:t>
      </w:r>
      <w:r>
        <w:rPr>
          <w:rFonts w:hint="eastAsia"/>
        </w:rPr>
        <w:t>14</w:t>
      </w:r>
      <w:r>
        <w:rPr>
          <w:rFonts w:hint="eastAsia"/>
        </w:rPr>
        <w:t>岁这个年龄段，男子数量超过妇女；在</w:t>
      </w:r>
      <w:r>
        <w:rPr>
          <w:rFonts w:hint="eastAsia"/>
        </w:rPr>
        <w:t>15</w:t>
      </w:r>
      <w:r>
        <w:rPr>
          <w:rFonts w:hint="eastAsia"/>
        </w:rPr>
        <w:t>至</w:t>
      </w:r>
      <w:r>
        <w:rPr>
          <w:rFonts w:hint="eastAsia"/>
        </w:rPr>
        <w:t>64</w:t>
      </w:r>
      <w:r>
        <w:rPr>
          <w:rFonts w:hint="eastAsia"/>
        </w:rPr>
        <w:t>这个年龄段，妇女数目超过男子。这基本上是由于妇女在出身时便有更高的预期寿命。</w:t>
      </w:r>
    </w:p>
    <w:p w:rsidR="00000000" w:rsidRDefault="00000000">
      <w:pPr>
        <w:spacing w:line="322" w:lineRule="auto"/>
        <w:rPr>
          <w:rFonts w:hint="eastAsia"/>
        </w:rPr>
      </w:pPr>
      <w:r>
        <w:rPr>
          <w:rFonts w:hint="eastAsia"/>
        </w:rPr>
        <w:tab/>
        <w:t xml:space="preserve">20.  </w:t>
      </w:r>
      <w:r>
        <w:rPr>
          <w:rFonts w:hint="eastAsia"/>
        </w:rPr>
        <w:t>妇女在农村人口和城市人口中分别占</w:t>
      </w:r>
      <w:r>
        <w:rPr>
          <w:rFonts w:hint="eastAsia"/>
        </w:rPr>
        <w:t>48.</w:t>
      </w:r>
      <w:r>
        <w:t>9</w:t>
      </w:r>
      <w:r>
        <w:rPr>
          <w:rFonts w:hint="eastAsia"/>
        </w:rPr>
        <w:t>%</w:t>
      </w:r>
      <w:r>
        <w:rPr>
          <w:rFonts w:hint="eastAsia"/>
        </w:rPr>
        <w:t>和</w:t>
      </w:r>
      <w:r>
        <w:t>51.4%</w:t>
      </w:r>
      <w:r>
        <w:rPr>
          <w:rFonts w:hint="eastAsia"/>
        </w:rPr>
        <w:t>。这表明，居住在城市中的妇女多于居住在农村的妇女。</w:t>
      </w:r>
    </w:p>
    <w:p w:rsidR="00000000" w:rsidRDefault="00000000">
      <w:pPr>
        <w:spacing w:line="322" w:lineRule="auto"/>
        <w:rPr>
          <w:rFonts w:hint="eastAsia"/>
        </w:rPr>
      </w:pPr>
      <w:r>
        <w:rPr>
          <w:rFonts w:hint="eastAsia"/>
        </w:rPr>
        <w:tab/>
        <w:t xml:space="preserve">21.  </w:t>
      </w:r>
      <w:r>
        <w:rPr>
          <w:rFonts w:hint="eastAsia"/>
        </w:rPr>
        <w:t>妇女成家的年龄早于男子。根据国家统计与人口普查所</w:t>
      </w:r>
      <w:r>
        <w:rPr>
          <w:rFonts w:hint="eastAsia"/>
        </w:rPr>
        <w:t>(</w:t>
      </w:r>
      <w:r>
        <w:rPr>
          <w:rFonts w:hint="eastAsia"/>
        </w:rPr>
        <w:t>统计所</w:t>
      </w:r>
      <w:r>
        <w:rPr>
          <w:rFonts w:hint="eastAsia"/>
        </w:rPr>
        <w:t>)</w:t>
      </w:r>
      <w:r>
        <w:rPr>
          <w:rFonts w:hint="eastAsia"/>
        </w:rPr>
        <w:t>，</w:t>
      </w:r>
      <w:r>
        <w:rPr>
          <w:rFonts w:hint="eastAsia"/>
        </w:rPr>
        <w:t>1997</w:t>
      </w:r>
      <w:r>
        <w:rPr>
          <w:rFonts w:hint="eastAsia"/>
        </w:rPr>
        <w:t>年结婚的妇女大多属于</w:t>
      </w:r>
      <w:r>
        <w:rPr>
          <w:rFonts w:hint="eastAsia"/>
        </w:rPr>
        <w:t>15</w:t>
      </w:r>
      <w:r>
        <w:rPr>
          <w:rFonts w:hint="eastAsia"/>
        </w:rPr>
        <w:t>岁以下以及</w:t>
      </w:r>
      <w:r>
        <w:rPr>
          <w:rFonts w:hint="eastAsia"/>
        </w:rPr>
        <w:t>15</w:t>
      </w:r>
      <w:r>
        <w:rPr>
          <w:rFonts w:hint="eastAsia"/>
        </w:rPr>
        <w:t>岁到</w:t>
      </w:r>
      <w:r>
        <w:rPr>
          <w:rFonts w:hint="eastAsia"/>
        </w:rPr>
        <w:t>19</w:t>
      </w:r>
      <w:r>
        <w:rPr>
          <w:rFonts w:hint="eastAsia"/>
        </w:rPr>
        <w:t>岁这两个年龄段，而结婚的男子大多在</w:t>
      </w:r>
      <w:r>
        <w:rPr>
          <w:rFonts w:hint="eastAsia"/>
        </w:rPr>
        <w:t>20</w:t>
      </w:r>
      <w:r>
        <w:rPr>
          <w:rFonts w:hint="eastAsia"/>
        </w:rPr>
        <w:t>至</w:t>
      </w:r>
      <w:r>
        <w:rPr>
          <w:rFonts w:hint="eastAsia"/>
        </w:rPr>
        <w:t>24</w:t>
      </w:r>
      <w:r>
        <w:rPr>
          <w:rFonts w:hint="eastAsia"/>
        </w:rPr>
        <w:t>岁这个年龄段。</w:t>
      </w:r>
    </w:p>
    <w:p w:rsidR="00000000" w:rsidRDefault="00000000">
      <w:pPr>
        <w:spacing w:line="322" w:lineRule="auto"/>
      </w:pPr>
      <w:r>
        <w:rPr>
          <w:rFonts w:hint="eastAsia"/>
        </w:rPr>
        <w:tab/>
        <w:t xml:space="preserve">22.  </w:t>
      </w:r>
      <w:r>
        <w:rPr>
          <w:rFonts w:hint="eastAsia"/>
        </w:rPr>
        <w:t>《宪法》保护婚姻以及事实婚姻。在事实婚姻中，男子和妇女之间并没有对另一方的婚姻约束，但可以成立一个事实上的家庭，他们与通过正式结婚而成立的家庭享有同等权利和义务。“妇女同居在沿海地区更为常见；在沿海地区，同居妇女多于已婚妇女，而在高原地区婚姻则更为常见”</w:t>
      </w:r>
      <w:r>
        <w:rPr>
          <w:rStyle w:val="EndnoteReference"/>
        </w:rPr>
        <w:endnoteReference w:id="3"/>
      </w:r>
    </w:p>
    <w:p w:rsidR="00000000" w:rsidRDefault="00000000">
      <w:pPr>
        <w:spacing w:after="240"/>
        <w:rPr>
          <w:rFonts w:hint="eastAsia"/>
        </w:rPr>
      </w:pPr>
      <w:r>
        <w:rPr>
          <w:rFonts w:hint="eastAsia"/>
        </w:rPr>
        <w:tab/>
        <w:t xml:space="preserve">23.  </w:t>
      </w:r>
      <w:r>
        <w:rPr>
          <w:rFonts w:hint="eastAsia"/>
        </w:rPr>
        <w:t>从下表中可以看出，厄瓜多尔妇女的生育率有所下降。</w:t>
      </w:r>
    </w:p>
    <w:p w:rsidR="00000000" w:rsidRDefault="00000000">
      <w:pPr>
        <w:pStyle w:val="Heading3"/>
        <w:rPr>
          <w:rFonts w:eastAsia="KaiTi_GB2312" w:hint="eastAsia"/>
          <w:snapToGrid/>
          <w:spacing w:val="0"/>
          <w:kern w:val="0"/>
          <w:u w:val="none"/>
        </w:rPr>
      </w:pPr>
      <w:r>
        <w:rPr>
          <w:rFonts w:hint="eastAsia"/>
        </w:rPr>
        <w:t>15</w:t>
      </w:r>
      <w:r>
        <w:rPr>
          <w:rFonts w:hint="eastAsia"/>
        </w:rPr>
        <w:t>至</w:t>
      </w:r>
      <w:r>
        <w:rPr>
          <w:rFonts w:hint="eastAsia"/>
        </w:rPr>
        <w:t>49</w:t>
      </w:r>
      <w:r>
        <w:rPr>
          <w:rFonts w:hint="eastAsia"/>
        </w:rPr>
        <w:t>岁妇女总生育率</w:t>
      </w:r>
      <w:r>
        <w:br/>
      </w:r>
      <w:r>
        <w:rPr>
          <w:rFonts w:eastAsia="KaiTi_GB2312" w:hint="eastAsia"/>
          <w:snapToGrid/>
          <w:spacing w:val="0"/>
          <w:kern w:val="0"/>
          <w:u w:val="none"/>
        </w:rPr>
        <w:t>(</w:t>
      </w:r>
      <w:r>
        <w:rPr>
          <w:rFonts w:eastAsia="KaiTi_GB2312" w:hint="eastAsia"/>
          <w:snapToGrid/>
          <w:spacing w:val="0"/>
          <w:kern w:val="0"/>
          <w:u w:val="none"/>
        </w:rPr>
        <w:t>预计生育子女数目，</w:t>
      </w:r>
      <w:r>
        <w:rPr>
          <w:rFonts w:eastAsia="KaiTi_GB2312" w:hint="eastAsia"/>
          <w:snapToGrid/>
          <w:spacing w:val="0"/>
          <w:kern w:val="0"/>
          <w:u w:val="none"/>
        </w:rPr>
        <w:t>1965-1999</w:t>
      </w:r>
      <w:r>
        <w:rPr>
          <w:rFonts w:eastAsia="KaiTi_GB2312" w:hint="eastAsia"/>
          <w:snapToGrid/>
          <w:spacing w:val="0"/>
          <w:kern w:val="0"/>
          <w:u w:val="none"/>
        </w:rPr>
        <w:t>年</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pPr>
              <w:pStyle w:val="a2"/>
              <w:spacing w:before="60" w:after="20"/>
              <w:jc w:val="center"/>
              <w:rPr>
                <w:rFonts w:hint="eastAsia"/>
              </w:rPr>
            </w:pPr>
            <w:r>
              <w:rPr>
                <w:rFonts w:hint="eastAsia"/>
              </w:rPr>
              <w:t>年</w:t>
            </w:r>
            <w:r>
              <w:rPr>
                <w:rFonts w:hint="eastAsia"/>
              </w:rPr>
              <w:t xml:space="preserve">  </w:t>
            </w:r>
            <w:r>
              <w:rPr>
                <w:rFonts w:hint="eastAsia"/>
              </w:rPr>
              <w:t>份</w:t>
            </w:r>
          </w:p>
        </w:tc>
        <w:tc>
          <w:tcPr>
            <w:tcW w:w="4786" w:type="dxa"/>
          </w:tcPr>
          <w:p w:rsidR="00000000" w:rsidRDefault="00000000">
            <w:pPr>
              <w:pStyle w:val="a2"/>
              <w:spacing w:before="60" w:after="20"/>
              <w:jc w:val="center"/>
              <w:rPr>
                <w:rFonts w:hint="eastAsia"/>
              </w:rPr>
            </w:pPr>
            <w:r>
              <w:rPr>
                <w:rFonts w:hint="eastAsia"/>
              </w:rPr>
              <w:t>子女数目</w:t>
            </w:r>
          </w:p>
        </w:tc>
      </w:tr>
      <w:tr w:rsidR="00000000">
        <w:tblPrEx>
          <w:tblCellMar>
            <w:top w:w="0" w:type="dxa"/>
            <w:bottom w:w="0" w:type="dxa"/>
          </w:tblCellMar>
        </w:tblPrEx>
        <w:tc>
          <w:tcPr>
            <w:tcW w:w="4785" w:type="dxa"/>
          </w:tcPr>
          <w:p w:rsidR="00000000" w:rsidRDefault="00000000">
            <w:pPr>
              <w:pStyle w:val="a2"/>
              <w:spacing w:before="60" w:after="20"/>
              <w:jc w:val="center"/>
            </w:pPr>
            <w:r>
              <w:t>1965</w:t>
            </w:r>
            <w:r>
              <w:rPr>
                <w:rFonts w:hint="eastAsia"/>
              </w:rPr>
              <w:t xml:space="preserve"> </w:t>
            </w:r>
            <w:r>
              <w:t>–</w:t>
            </w:r>
            <w:r>
              <w:rPr>
                <w:rFonts w:hint="eastAsia"/>
              </w:rPr>
              <w:t xml:space="preserve"> </w:t>
            </w:r>
            <w:r>
              <w:t>1969</w:t>
            </w:r>
          </w:p>
        </w:tc>
        <w:tc>
          <w:tcPr>
            <w:tcW w:w="4786" w:type="dxa"/>
          </w:tcPr>
          <w:p w:rsidR="00000000" w:rsidRDefault="00000000">
            <w:pPr>
              <w:pStyle w:val="a2"/>
              <w:spacing w:before="60" w:after="20"/>
              <w:jc w:val="center"/>
            </w:pPr>
            <w:r>
              <w:t>6.9</w:t>
            </w:r>
          </w:p>
        </w:tc>
      </w:tr>
      <w:tr w:rsidR="00000000">
        <w:tblPrEx>
          <w:tblCellMar>
            <w:top w:w="0" w:type="dxa"/>
            <w:bottom w:w="0" w:type="dxa"/>
          </w:tblCellMar>
        </w:tblPrEx>
        <w:tc>
          <w:tcPr>
            <w:tcW w:w="4785" w:type="dxa"/>
          </w:tcPr>
          <w:p w:rsidR="00000000" w:rsidRDefault="00000000">
            <w:pPr>
              <w:pStyle w:val="a2"/>
              <w:spacing w:before="60" w:after="20"/>
              <w:jc w:val="center"/>
            </w:pPr>
            <w:r>
              <w:t>1975</w:t>
            </w:r>
            <w:r>
              <w:rPr>
                <w:rFonts w:hint="eastAsia"/>
              </w:rPr>
              <w:t xml:space="preserve"> </w:t>
            </w:r>
            <w:r>
              <w:t>–</w:t>
            </w:r>
            <w:r>
              <w:rPr>
                <w:rFonts w:hint="eastAsia"/>
              </w:rPr>
              <w:t xml:space="preserve"> </w:t>
            </w:r>
            <w:r>
              <w:t>1979</w:t>
            </w:r>
          </w:p>
        </w:tc>
        <w:tc>
          <w:tcPr>
            <w:tcW w:w="4786" w:type="dxa"/>
          </w:tcPr>
          <w:p w:rsidR="00000000" w:rsidRDefault="00000000">
            <w:pPr>
              <w:pStyle w:val="a2"/>
              <w:spacing w:before="60" w:after="20"/>
              <w:jc w:val="center"/>
            </w:pPr>
            <w:r>
              <w:t>5.4</w:t>
            </w:r>
          </w:p>
        </w:tc>
      </w:tr>
      <w:tr w:rsidR="00000000">
        <w:tblPrEx>
          <w:tblCellMar>
            <w:top w:w="0" w:type="dxa"/>
            <w:bottom w:w="0" w:type="dxa"/>
          </w:tblCellMar>
        </w:tblPrEx>
        <w:tc>
          <w:tcPr>
            <w:tcW w:w="4785" w:type="dxa"/>
          </w:tcPr>
          <w:p w:rsidR="00000000" w:rsidRDefault="00000000">
            <w:pPr>
              <w:pStyle w:val="a2"/>
              <w:spacing w:before="60" w:after="20"/>
              <w:jc w:val="center"/>
            </w:pPr>
            <w:r>
              <w:t>1981</w:t>
            </w:r>
            <w:r>
              <w:rPr>
                <w:rFonts w:hint="eastAsia"/>
              </w:rPr>
              <w:t xml:space="preserve"> </w:t>
            </w:r>
            <w:r>
              <w:t>–</w:t>
            </w:r>
            <w:r>
              <w:rPr>
                <w:rFonts w:hint="eastAsia"/>
              </w:rPr>
              <w:t xml:space="preserve"> </w:t>
            </w:r>
            <w:r>
              <w:t>1982</w:t>
            </w:r>
          </w:p>
        </w:tc>
        <w:tc>
          <w:tcPr>
            <w:tcW w:w="4786" w:type="dxa"/>
          </w:tcPr>
          <w:p w:rsidR="00000000" w:rsidRDefault="00000000">
            <w:pPr>
              <w:pStyle w:val="a2"/>
              <w:spacing w:before="60" w:after="20"/>
              <w:jc w:val="center"/>
            </w:pPr>
            <w:r>
              <w:t>4.9</w:t>
            </w:r>
          </w:p>
        </w:tc>
      </w:tr>
      <w:tr w:rsidR="00000000">
        <w:tblPrEx>
          <w:tblCellMar>
            <w:top w:w="0" w:type="dxa"/>
            <w:bottom w:w="0" w:type="dxa"/>
          </w:tblCellMar>
        </w:tblPrEx>
        <w:tc>
          <w:tcPr>
            <w:tcW w:w="4785" w:type="dxa"/>
          </w:tcPr>
          <w:p w:rsidR="00000000" w:rsidRDefault="00000000">
            <w:pPr>
              <w:pStyle w:val="a2"/>
              <w:spacing w:before="60" w:after="20"/>
              <w:jc w:val="center"/>
            </w:pPr>
            <w:r>
              <w:t>1982</w:t>
            </w:r>
            <w:r>
              <w:rPr>
                <w:rFonts w:hint="eastAsia"/>
              </w:rPr>
              <w:t xml:space="preserve"> </w:t>
            </w:r>
            <w:r>
              <w:t>–</w:t>
            </w:r>
            <w:r>
              <w:rPr>
                <w:rFonts w:hint="eastAsia"/>
              </w:rPr>
              <w:t xml:space="preserve"> </w:t>
            </w:r>
            <w:r>
              <w:t>1987</w:t>
            </w:r>
          </w:p>
        </w:tc>
        <w:tc>
          <w:tcPr>
            <w:tcW w:w="4786" w:type="dxa"/>
          </w:tcPr>
          <w:p w:rsidR="00000000" w:rsidRDefault="00000000">
            <w:pPr>
              <w:pStyle w:val="a2"/>
              <w:spacing w:before="60" w:after="20"/>
              <w:jc w:val="center"/>
            </w:pPr>
            <w:r>
              <w:t>4.3</w:t>
            </w:r>
          </w:p>
        </w:tc>
      </w:tr>
      <w:tr w:rsidR="00000000">
        <w:tblPrEx>
          <w:tblCellMar>
            <w:top w:w="0" w:type="dxa"/>
            <w:bottom w:w="0" w:type="dxa"/>
          </w:tblCellMar>
        </w:tblPrEx>
        <w:tc>
          <w:tcPr>
            <w:tcW w:w="4785" w:type="dxa"/>
          </w:tcPr>
          <w:p w:rsidR="00000000" w:rsidRDefault="00000000">
            <w:pPr>
              <w:pStyle w:val="a2"/>
              <w:spacing w:before="60" w:after="20"/>
              <w:jc w:val="center"/>
            </w:pPr>
            <w:r>
              <w:t>1984</w:t>
            </w:r>
            <w:r>
              <w:rPr>
                <w:rFonts w:hint="eastAsia"/>
              </w:rPr>
              <w:t xml:space="preserve"> </w:t>
            </w:r>
            <w:r>
              <w:t>–</w:t>
            </w:r>
            <w:r>
              <w:rPr>
                <w:rFonts w:hint="eastAsia"/>
              </w:rPr>
              <w:t xml:space="preserve"> </w:t>
            </w:r>
            <w:r>
              <w:t>1989</w:t>
            </w:r>
          </w:p>
        </w:tc>
        <w:tc>
          <w:tcPr>
            <w:tcW w:w="4786" w:type="dxa"/>
          </w:tcPr>
          <w:p w:rsidR="00000000" w:rsidRDefault="00000000">
            <w:pPr>
              <w:pStyle w:val="a2"/>
              <w:spacing w:before="60" w:after="20"/>
              <w:jc w:val="center"/>
            </w:pPr>
            <w:r>
              <w:t>3.8</w:t>
            </w:r>
          </w:p>
        </w:tc>
      </w:tr>
      <w:tr w:rsidR="00000000">
        <w:tblPrEx>
          <w:tblCellMar>
            <w:top w:w="0" w:type="dxa"/>
            <w:bottom w:w="0" w:type="dxa"/>
          </w:tblCellMar>
        </w:tblPrEx>
        <w:tc>
          <w:tcPr>
            <w:tcW w:w="4785" w:type="dxa"/>
          </w:tcPr>
          <w:p w:rsidR="00000000" w:rsidRDefault="00000000">
            <w:pPr>
              <w:pStyle w:val="a2"/>
              <w:spacing w:before="60" w:after="20"/>
              <w:jc w:val="center"/>
            </w:pPr>
            <w:r>
              <w:t>1989</w:t>
            </w:r>
            <w:r>
              <w:rPr>
                <w:rFonts w:hint="eastAsia"/>
              </w:rPr>
              <w:t xml:space="preserve"> </w:t>
            </w:r>
            <w:r>
              <w:t>–</w:t>
            </w:r>
            <w:r>
              <w:rPr>
                <w:rFonts w:hint="eastAsia"/>
              </w:rPr>
              <w:t xml:space="preserve"> </w:t>
            </w:r>
            <w:r>
              <w:t>1994</w:t>
            </w:r>
          </w:p>
        </w:tc>
        <w:tc>
          <w:tcPr>
            <w:tcW w:w="4786" w:type="dxa"/>
          </w:tcPr>
          <w:p w:rsidR="00000000" w:rsidRDefault="00000000">
            <w:pPr>
              <w:pStyle w:val="a2"/>
              <w:spacing w:before="60" w:after="20"/>
              <w:jc w:val="center"/>
            </w:pPr>
            <w:r>
              <w:t>3.6</w:t>
            </w:r>
          </w:p>
        </w:tc>
      </w:tr>
      <w:tr w:rsidR="00000000">
        <w:tblPrEx>
          <w:tblCellMar>
            <w:top w:w="0" w:type="dxa"/>
            <w:bottom w:w="0" w:type="dxa"/>
          </w:tblCellMar>
        </w:tblPrEx>
        <w:tc>
          <w:tcPr>
            <w:tcW w:w="4785" w:type="dxa"/>
          </w:tcPr>
          <w:p w:rsidR="00000000" w:rsidRDefault="00000000">
            <w:pPr>
              <w:pStyle w:val="a2"/>
              <w:spacing w:before="60" w:after="20"/>
              <w:jc w:val="center"/>
            </w:pPr>
            <w:r>
              <w:t>1994</w:t>
            </w:r>
            <w:r>
              <w:rPr>
                <w:rFonts w:hint="eastAsia"/>
              </w:rPr>
              <w:t xml:space="preserve"> </w:t>
            </w:r>
            <w:r>
              <w:t>-</w:t>
            </w:r>
            <w:r>
              <w:rPr>
                <w:rFonts w:hint="eastAsia"/>
              </w:rPr>
              <w:t xml:space="preserve"> </w:t>
            </w:r>
            <w:r>
              <w:t>1999*</w:t>
            </w:r>
          </w:p>
        </w:tc>
        <w:tc>
          <w:tcPr>
            <w:tcW w:w="4786" w:type="dxa"/>
          </w:tcPr>
          <w:p w:rsidR="00000000" w:rsidRDefault="00000000">
            <w:pPr>
              <w:pStyle w:val="a2"/>
              <w:spacing w:before="60" w:after="20"/>
              <w:jc w:val="center"/>
            </w:pPr>
            <w:r>
              <w:t>3.4</w:t>
            </w:r>
          </w:p>
        </w:tc>
      </w:tr>
    </w:tbl>
    <w:p w:rsidR="00000000" w:rsidRDefault="00000000">
      <w:pPr>
        <w:spacing w:line="360" w:lineRule="auto"/>
        <w:ind w:left="520"/>
        <w:rPr>
          <w:rFonts w:eastAsia="KaiTi_GB2312" w:hint="eastAsia"/>
          <w:spacing w:val="0"/>
          <w:u w:val="single"/>
        </w:rPr>
      </w:pPr>
    </w:p>
    <w:p w:rsidR="00000000" w:rsidRDefault="00000000">
      <w:pPr>
        <w:pStyle w:val="EndnoteText"/>
        <w:rPr>
          <w:rFonts w:hint="eastAsia"/>
        </w:rPr>
      </w:pPr>
      <w:r>
        <w:rPr>
          <w:rFonts w:hint="eastAsia"/>
          <w:u w:val="single"/>
        </w:rPr>
        <w:t>资料来源</w:t>
      </w:r>
      <w:r>
        <w:t>：</w:t>
      </w:r>
      <w:r>
        <w:t xml:space="preserve">Retrato de mujeres. Indicadores sociales sobre la situación de las campesinas e indigenas del Ecuador rural, </w:t>
      </w:r>
      <w:r>
        <w:rPr>
          <w:u w:val="single"/>
        </w:rPr>
        <w:t>El desarrollo social en el Ecuador 2,</w:t>
      </w:r>
      <w:r>
        <w:t xml:space="preserve"> </w:t>
      </w:r>
      <w:r>
        <w:rPr>
          <w:rFonts w:hint="eastAsia"/>
          <w:lang w:val="fr-CH"/>
        </w:rPr>
        <w:t>社会阵线经济秘书处</w:t>
      </w:r>
      <w:r>
        <w:rPr>
          <w:rFonts w:hint="eastAsia"/>
        </w:rPr>
        <w:t>，</w:t>
      </w:r>
      <w:r>
        <w:rPr>
          <w:rFonts w:hint="eastAsia"/>
          <w:lang w:val="fr-CH"/>
        </w:rPr>
        <w:t>联合国妇女发展基金以及艾滋病全球方案</w:t>
      </w:r>
      <w:r>
        <w:rPr>
          <w:rFonts w:hint="eastAsia"/>
        </w:rPr>
        <w:t>，</w:t>
      </w:r>
      <w:r>
        <w:rPr>
          <w:rFonts w:hint="eastAsia"/>
        </w:rPr>
        <w:t>1998</w:t>
      </w:r>
      <w:r>
        <w:rPr>
          <w:rFonts w:hint="eastAsia"/>
        </w:rPr>
        <w:t>年。</w:t>
      </w:r>
    </w:p>
    <w:p w:rsidR="00000000" w:rsidRDefault="00000000">
      <w:pPr>
        <w:pStyle w:val="EndnoteText"/>
        <w:spacing w:after="320"/>
      </w:pPr>
      <w:r>
        <w:rPr>
          <w:rFonts w:hint="eastAsia"/>
        </w:rPr>
        <w:t>*</w:t>
      </w:r>
      <w:r>
        <w:rPr>
          <w:rFonts w:hint="eastAsia"/>
        </w:rPr>
        <w:tab/>
        <w:t>1999</w:t>
      </w:r>
      <w:r>
        <w:rPr>
          <w:rFonts w:hint="eastAsia"/>
        </w:rPr>
        <w:t>年人口与母婴健康状况普查</w:t>
      </w:r>
      <w:r>
        <w:rPr>
          <w:rFonts w:hint="eastAsia"/>
        </w:rPr>
        <w:t>(</w:t>
      </w:r>
      <w:r>
        <w:t>Encuesta demográfica y de salud materna e infantil</w:t>
      </w:r>
      <w:r>
        <w:rPr>
          <w:rFonts w:hint="eastAsia"/>
        </w:rPr>
        <w:t xml:space="preserve"> - </w:t>
      </w:r>
      <w:r>
        <w:t>99</w:t>
      </w:r>
      <w:r>
        <w:rPr>
          <w:rFonts w:hint="eastAsia"/>
        </w:rPr>
        <w:t>人口普查</w:t>
      </w:r>
      <w:r>
        <w:t>)</w:t>
      </w:r>
    </w:p>
    <w:p w:rsidR="00000000" w:rsidRDefault="00000000">
      <w:pPr>
        <w:rPr>
          <w:rFonts w:hint="eastAsia"/>
        </w:rPr>
      </w:pPr>
      <w:r>
        <w:rPr>
          <w:rFonts w:hint="eastAsia"/>
        </w:rPr>
        <w:tab/>
        <w:t>24.  99</w:t>
      </w:r>
      <w:r>
        <w:rPr>
          <w:rFonts w:hint="eastAsia"/>
        </w:rPr>
        <w:t>年人口普查是最近作的一项普查。它表明，</w:t>
      </w:r>
      <w:r>
        <w:rPr>
          <w:rFonts w:hint="eastAsia"/>
        </w:rPr>
        <w:t>1994</w:t>
      </w:r>
      <w:r>
        <w:rPr>
          <w:rFonts w:hint="eastAsia"/>
        </w:rPr>
        <w:t>－</w:t>
      </w:r>
      <w:r>
        <w:rPr>
          <w:rFonts w:hint="eastAsia"/>
        </w:rPr>
        <w:t>1999</w:t>
      </w:r>
      <w:r>
        <w:rPr>
          <w:rFonts w:hint="eastAsia"/>
        </w:rPr>
        <w:t>年期间厄瓜多尔总生育率是每名妇女生</w:t>
      </w:r>
      <w:r>
        <w:rPr>
          <w:rFonts w:hint="eastAsia"/>
        </w:rPr>
        <w:t>3.4</w:t>
      </w:r>
      <w:r>
        <w:rPr>
          <w:rFonts w:hint="eastAsia"/>
        </w:rPr>
        <w:t>个子女。在农村地区，估计总的生育率为</w:t>
      </w:r>
      <w:r>
        <w:rPr>
          <w:rFonts w:hint="eastAsia"/>
        </w:rPr>
        <w:t>4.</w:t>
      </w:r>
      <w:r>
        <w:t>4</w:t>
      </w:r>
      <w:r>
        <w:rPr>
          <w:rFonts w:hint="eastAsia"/>
        </w:rPr>
        <w:t>个子女，远远高于城市的</w:t>
      </w:r>
      <w:r>
        <w:rPr>
          <w:rFonts w:hint="eastAsia"/>
        </w:rPr>
        <w:t>2.8</w:t>
      </w:r>
      <w:r>
        <w:rPr>
          <w:rFonts w:hint="eastAsia"/>
        </w:rPr>
        <w:t>个子女的总生育率。</w:t>
      </w:r>
    </w:p>
    <w:p w:rsidR="00000000" w:rsidRDefault="00000000">
      <w:pPr>
        <w:rPr>
          <w:rFonts w:hint="eastAsia"/>
        </w:rPr>
      </w:pPr>
      <w:r>
        <w:rPr>
          <w:rFonts w:hint="eastAsia"/>
        </w:rPr>
        <w:tab/>
        <w:t xml:space="preserve">25.  </w:t>
      </w:r>
      <w:r>
        <w:rPr>
          <w:rFonts w:hint="eastAsia"/>
        </w:rPr>
        <w:t>如果按地区分类，岛屿地区的总生育率是最低的，只有</w:t>
      </w:r>
      <w:r>
        <w:rPr>
          <w:rFonts w:hint="eastAsia"/>
        </w:rPr>
        <w:t>2.</w:t>
      </w:r>
      <w:r>
        <w:t>3</w:t>
      </w:r>
      <w:r>
        <w:rPr>
          <w:rFonts w:hint="eastAsia"/>
        </w:rPr>
        <w:t>个子女；这与发达国家的总生育率是相似的。在沿海地区，生育率为</w:t>
      </w:r>
      <w:r>
        <w:rPr>
          <w:rFonts w:hint="eastAsia"/>
        </w:rPr>
        <w:t>3</w:t>
      </w:r>
      <w:r>
        <w:rPr>
          <w:rFonts w:hint="eastAsia"/>
        </w:rPr>
        <w:t>个子女，在高原地区为</w:t>
      </w:r>
      <w:r>
        <w:rPr>
          <w:rFonts w:hint="eastAsia"/>
        </w:rPr>
        <w:t>3.</w:t>
      </w:r>
      <w:r>
        <w:t>6</w:t>
      </w:r>
      <w:r>
        <w:rPr>
          <w:rFonts w:hint="eastAsia"/>
        </w:rPr>
        <w:t>个子女。生育率最高的是在亚马孙河流域</w:t>
      </w:r>
      <w:r>
        <w:rPr>
          <w:rFonts w:hint="eastAsia"/>
        </w:rPr>
        <w:t>(</w:t>
      </w:r>
      <w:r>
        <w:rPr>
          <w:rFonts w:hint="eastAsia"/>
        </w:rPr>
        <w:t>每个妇女生育</w:t>
      </w:r>
      <w:r>
        <w:rPr>
          <w:rFonts w:hint="eastAsia"/>
        </w:rPr>
        <w:t>5.</w:t>
      </w:r>
      <w:r>
        <w:t>5</w:t>
      </w:r>
      <w:r>
        <w:rPr>
          <w:rFonts w:hint="eastAsia"/>
        </w:rPr>
        <w:t>个子女，相当于</w:t>
      </w:r>
      <w:r>
        <w:rPr>
          <w:rFonts w:hint="eastAsia"/>
        </w:rPr>
        <w:t>1960</w:t>
      </w:r>
      <w:r>
        <w:rPr>
          <w:rFonts w:hint="eastAsia"/>
        </w:rPr>
        <w:t>年代中期厄瓜多尔全国的平均生育率</w:t>
      </w:r>
      <w:r>
        <w:rPr>
          <w:rFonts w:hint="eastAsia"/>
        </w:rPr>
        <w:t>)</w:t>
      </w:r>
      <w:r>
        <w:rPr>
          <w:rFonts w:hint="eastAsia"/>
        </w:rPr>
        <w:t>。</w:t>
      </w:r>
      <w:r>
        <w:rPr>
          <w:rStyle w:val="EndnoteReference"/>
        </w:rPr>
        <w:endnoteReference w:id="4"/>
      </w:r>
      <w:r>
        <w:rPr>
          <w:rFonts w:hint="eastAsia"/>
        </w:rPr>
        <w:t xml:space="preserve"> </w:t>
      </w:r>
    </w:p>
    <w:p w:rsidR="00000000" w:rsidRDefault="00000000">
      <w:pPr>
        <w:rPr>
          <w:rFonts w:hint="eastAsia"/>
        </w:rPr>
      </w:pPr>
      <w:r>
        <w:rPr>
          <w:rFonts w:hint="eastAsia"/>
        </w:rPr>
        <w:tab/>
        <w:t xml:space="preserve">26.  </w:t>
      </w:r>
      <w:r>
        <w:rPr>
          <w:rFonts w:hint="eastAsia"/>
        </w:rPr>
        <w:t>虽然厄瓜多尔的文盲率大大下降，但是男女之间的文盲率差别仍然存在。</w:t>
      </w:r>
      <w:r>
        <w:rPr>
          <w:rFonts w:hint="eastAsia"/>
        </w:rPr>
        <w:t>1998</w:t>
      </w:r>
      <w:r>
        <w:rPr>
          <w:rFonts w:hint="eastAsia"/>
        </w:rPr>
        <w:t>年厄瓜多尔妇女中有</w:t>
      </w:r>
      <w:r>
        <w:rPr>
          <w:rFonts w:hint="eastAsia"/>
        </w:rPr>
        <w:t>12.1%</w:t>
      </w:r>
      <w:r>
        <w:rPr>
          <w:rFonts w:hint="eastAsia"/>
        </w:rPr>
        <w:t>为文盲，而在男子中只有</w:t>
      </w:r>
      <w:r>
        <w:rPr>
          <w:rFonts w:hint="eastAsia"/>
        </w:rPr>
        <w:t>8.</w:t>
      </w:r>
      <w:r>
        <w:t>3%</w:t>
      </w:r>
      <w:r>
        <w:rPr>
          <w:rFonts w:hint="eastAsia"/>
        </w:rPr>
        <w:t>为文盲。农村人口文盲率是最高的。</w:t>
      </w:r>
    </w:p>
    <w:p w:rsidR="00000000" w:rsidRDefault="00000000">
      <w:pPr>
        <w:rPr>
          <w:rFonts w:hint="eastAsia"/>
        </w:rPr>
      </w:pPr>
      <w:r>
        <w:rPr>
          <w:rFonts w:hint="eastAsia"/>
        </w:rPr>
        <w:tab/>
        <w:t xml:space="preserve">27.  </w:t>
      </w:r>
      <w:r>
        <w:rPr>
          <w:rFonts w:hint="eastAsia"/>
        </w:rPr>
        <w:t>厄瓜多尔通过改革教育制度成功地提高了教育水平和教育质量，以改进并加速儿童的在校成就。厄瓜多尔同时还缩小了教育领域里的差异。由于确保妇女接受教育的努力，使得妇女更加有可能加入劳动力大军，而且其子女将会得到更高的教育。妇女如果得到更多的教育，她们就可以进入正式部门的就业</w:t>
      </w:r>
      <w:r>
        <w:rPr>
          <w:rFonts w:hint="eastAsia"/>
          <w:spacing w:val="-50"/>
        </w:rPr>
        <w:t>―</w:t>
      </w:r>
      <w:r>
        <w:rPr>
          <w:rFonts w:hint="eastAsia"/>
        </w:rPr>
        <w:t>―家庭收入会有所增加、家庭的子女数目会减少、其子女通常要受到更好的教育，而且妇女受到暴力伤害的可能性也有所减少。虽然妇女近年来在劳务市场的参与超过了男子的程度，受到失业影响的妇女仍然多于男子。</w:t>
      </w:r>
    </w:p>
    <w:p w:rsidR="00000000" w:rsidRDefault="00000000">
      <w:pPr>
        <w:rPr>
          <w:rFonts w:hint="eastAsia"/>
        </w:rPr>
      </w:pPr>
      <w:r>
        <w:rPr>
          <w:rFonts w:hint="eastAsia"/>
        </w:rPr>
        <w:tab/>
        <w:t xml:space="preserve">28.  </w:t>
      </w:r>
      <w:r>
        <w:rPr>
          <w:rFonts w:hint="eastAsia"/>
        </w:rPr>
        <w:t>《劳动法》规定，根据妇女的工作地点和工作类型，男女同工同酬。因此，《劳动法》第</w:t>
      </w:r>
      <w:r>
        <w:rPr>
          <w:rFonts w:hint="eastAsia"/>
        </w:rPr>
        <w:t>78</w:t>
      </w:r>
      <w:r>
        <w:rPr>
          <w:rFonts w:hint="eastAsia"/>
        </w:rPr>
        <w:t>条规定“同工同酬，不得因性别、种族、国籍或宗教不同而予以区别对待；此外，在制定报酬标准时，应当考虑到专业技能和工作经验”。</w:t>
      </w:r>
    </w:p>
    <w:p w:rsidR="00000000" w:rsidRDefault="00000000">
      <w:pPr>
        <w:rPr>
          <w:rFonts w:hint="eastAsia"/>
        </w:rPr>
      </w:pPr>
      <w:r>
        <w:rPr>
          <w:rFonts w:hint="eastAsia"/>
        </w:rPr>
        <w:tab/>
        <w:t xml:space="preserve">29.  </w:t>
      </w:r>
      <w:r>
        <w:rPr>
          <w:rFonts w:hint="eastAsia"/>
        </w:rPr>
        <w:t>在劳动大军中妇女的数目少于男子。对于工作的妇女来说，她们往往更经常地在非正规部门工作，其工资低于正规部门。妇女参与工作在很大程度上受到其教育水平以及她们所扶养的子女数目的影响。在正规部门，男女报酬的差异要小于非正规部门。</w:t>
      </w:r>
      <w:r>
        <w:rPr>
          <w:rFonts w:hint="eastAsia"/>
        </w:rPr>
        <w:t>1995</w:t>
      </w:r>
      <w:r>
        <w:rPr>
          <w:rFonts w:hint="eastAsia"/>
        </w:rPr>
        <w:t>年，妇女的收入平均要比男子的收入低三分之一</w:t>
      </w:r>
      <w:r>
        <w:rPr>
          <w:rFonts w:hint="eastAsia"/>
        </w:rPr>
        <w:t>(27%)</w:t>
      </w:r>
      <w:r>
        <w:rPr>
          <w:rFonts w:hint="eastAsia"/>
        </w:rPr>
        <w:t>。在农业部门，这一差异更为明显，妇女的收入比男子要少</w:t>
      </w:r>
      <w:r>
        <w:rPr>
          <w:rFonts w:hint="eastAsia"/>
        </w:rPr>
        <w:t>37%</w:t>
      </w:r>
      <w:r>
        <w:rPr>
          <w:rFonts w:hint="eastAsia"/>
        </w:rPr>
        <w:t>。</w:t>
      </w:r>
      <w:r>
        <w:rPr>
          <w:rStyle w:val="EndnoteReference"/>
        </w:rPr>
        <w:endnoteReference w:id="5"/>
      </w:r>
    </w:p>
    <w:p w:rsidR="00000000" w:rsidRDefault="00000000">
      <w:pPr>
        <w:spacing w:after="320"/>
        <w:rPr>
          <w:rFonts w:hint="eastAsia"/>
        </w:rPr>
      </w:pPr>
      <w:r>
        <w:rPr>
          <w:rFonts w:hint="eastAsia"/>
        </w:rPr>
        <w:tab/>
        <w:t xml:space="preserve">30.  </w:t>
      </w:r>
      <w:r>
        <w:rPr>
          <w:rFonts w:hint="eastAsia"/>
        </w:rPr>
        <w:t>下表列明根据职业分类的男女平均收入。它表明，妇女的收入平均都低于男子。还值得指出的是，在城市与农村之间也存在着估计数字的差异。</w:t>
      </w:r>
      <w:r>
        <w:rPr>
          <w:rStyle w:val="EndnoteReference"/>
        </w:rPr>
        <w:endnoteReference w:id="6"/>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rPr>
          <w:cantSplit/>
        </w:trPr>
        <w:tc>
          <w:tcPr>
            <w:tcW w:w="2391" w:type="dxa"/>
            <w:vMerge w:val="restart"/>
            <w:tcBorders>
              <w:top w:val="single" w:sz="4" w:space="0" w:color="auto"/>
              <w:left w:val="single" w:sz="4" w:space="0" w:color="auto"/>
              <w:right w:val="single" w:sz="4" w:space="0" w:color="auto"/>
            </w:tcBorders>
          </w:tcPr>
          <w:p w:rsidR="00000000" w:rsidRDefault="00000000">
            <w:pPr>
              <w:pStyle w:val="a2"/>
              <w:spacing w:before="240" w:after="20" w:line="312" w:lineRule="auto"/>
              <w:jc w:val="center"/>
              <w:rPr>
                <w:rFonts w:hint="eastAsia"/>
              </w:rPr>
            </w:pPr>
            <w:r>
              <w:rPr>
                <w:rFonts w:hint="eastAsia"/>
              </w:rPr>
              <w:t>地</w:t>
            </w:r>
            <w:r>
              <w:rPr>
                <w:rFonts w:hint="eastAsia"/>
              </w:rPr>
              <w:t xml:space="preserve">  </w:t>
            </w:r>
            <w:r>
              <w:rPr>
                <w:rFonts w:hint="eastAsia"/>
              </w:rPr>
              <w:t>区</w:t>
            </w:r>
          </w:p>
        </w:tc>
        <w:tc>
          <w:tcPr>
            <w:tcW w:w="2393" w:type="dxa"/>
            <w:tcBorders>
              <w:top w:val="single" w:sz="4" w:space="0" w:color="auto"/>
              <w:left w:val="single" w:sz="4" w:space="0" w:color="auto"/>
              <w:bottom w:val="single" w:sz="4" w:space="0" w:color="auto"/>
              <w:right w:val="nil"/>
            </w:tcBorders>
          </w:tcPr>
          <w:p w:rsidR="00000000" w:rsidRDefault="00000000">
            <w:pPr>
              <w:pStyle w:val="a2"/>
              <w:spacing w:before="60" w:after="20" w:line="312" w:lineRule="auto"/>
            </w:pPr>
          </w:p>
        </w:tc>
        <w:tc>
          <w:tcPr>
            <w:tcW w:w="2393" w:type="dxa"/>
            <w:tcBorders>
              <w:top w:val="single" w:sz="4" w:space="0" w:color="auto"/>
              <w:left w:val="nil"/>
              <w:bottom w:val="single" w:sz="4" w:space="0" w:color="auto"/>
              <w:right w:val="nil"/>
            </w:tcBorders>
          </w:tcPr>
          <w:p w:rsidR="00000000" w:rsidRDefault="00000000">
            <w:pPr>
              <w:pStyle w:val="a2"/>
              <w:spacing w:before="60" w:after="20" w:line="312" w:lineRule="auto"/>
              <w:rPr>
                <w:rFonts w:hint="eastAsia"/>
              </w:rPr>
            </w:pPr>
            <w:r>
              <w:rPr>
                <w:rFonts w:hint="eastAsia"/>
              </w:rPr>
              <w:t>平</w:t>
            </w:r>
            <w:r>
              <w:rPr>
                <w:rFonts w:hint="eastAsia"/>
              </w:rPr>
              <w:t xml:space="preserve"> </w:t>
            </w:r>
            <w:r>
              <w:rPr>
                <w:rFonts w:hint="eastAsia"/>
              </w:rPr>
              <w:t>均</w:t>
            </w:r>
            <w:r>
              <w:rPr>
                <w:rFonts w:hint="eastAsia"/>
              </w:rPr>
              <w:t xml:space="preserve"> </w:t>
            </w:r>
            <w:r>
              <w:rPr>
                <w:rFonts w:hint="eastAsia"/>
              </w:rPr>
              <w:t>收</w:t>
            </w:r>
            <w:r>
              <w:rPr>
                <w:rFonts w:hint="eastAsia"/>
              </w:rPr>
              <w:t xml:space="preserve"> </w:t>
            </w:r>
            <w:r>
              <w:rPr>
                <w:rFonts w:hint="eastAsia"/>
              </w:rPr>
              <w:t>入</w:t>
            </w:r>
          </w:p>
        </w:tc>
        <w:tc>
          <w:tcPr>
            <w:tcW w:w="2393" w:type="dxa"/>
            <w:tcBorders>
              <w:top w:val="single" w:sz="4" w:space="0" w:color="auto"/>
              <w:left w:val="nil"/>
              <w:bottom w:val="single" w:sz="4" w:space="0" w:color="auto"/>
              <w:right w:val="single" w:sz="4" w:space="0" w:color="auto"/>
            </w:tcBorders>
          </w:tcPr>
          <w:p w:rsidR="00000000" w:rsidRDefault="00000000">
            <w:pPr>
              <w:pStyle w:val="a2"/>
              <w:spacing w:before="60" w:after="20" w:line="312" w:lineRule="auto"/>
            </w:pPr>
          </w:p>
        </w:tc>
      </w:tr>
      <w:tr w:rsidR="00000000">
        <w:tblPrEx>
          <w:tblCellMar>
            <w:top w:w="0" w:type="dxa"/>
            <w:bottom w:w="0" w:type="dxa"/>
          </w:tblCellMar>
        </w:tblPrEx>
        <w:trPr>
          <w:cantSplit/>
        </w:trPr>
        <w:tc>
          <w:tcPr>
            <w:tcW w:w="2391" w:type="dxa"/>
            <w:vMerge/>
            <w:tcBorders>
              <w:left w:val="single" w:sz="4" w:space="0" w:color="auto"/>
              <w:bottom w:val="single" w:sz="4" w:space="0" w:color="auto"/>
              <w:right w:val="single" w:sz="4" w:space="0" w:color="auto"/>
            </w:tcBorders>
          </w:tcPr>
          <w:p w:rsidR="00000000" w:rsidRDefault="00000000">
            <w:pPr>
              <w:pStyle w:val="a2"/>
              <w:spacing w:before="60" w:after="20" w:line="312" w:lineRule="auto"/>
              <w:jc w:val="center"/>
              <w:rPr>
                <w:rFonts w:hint="eastAsia"/>
              </w:rPr>
            </w:pPr>
          </w:p>
        </w:tc>
        <w:tc>
          <w:tcPr>
            <w:tcW w:w="2393" w:type="dxa"/>
            <w:tcBorders>
              <w:top w:val="single" w:sz="4" w:space="0" w:color="auto"/>
              <w:left w:val="single" w:sz="4" w:space="0" w:color="auto"/>
            </w:tcBorders>
          </w:tcPr>
          <w:p w:rsidR="00000000" w:rsidRDefault="00000000">
            <w:pPr>
              <w:pStyle w:val="a2"/>
              <w:spacing w:before="60" w:after="20" w:line="312" w:lineRule="auto"/>
              <w:jc w:val="center"/>
              <w:rPr>
                <w:rFonts w:hint="eastAsia"/>
              </w:rPr>
            </w:pPr>
            <w:r>
              <w:rPr>
                <w:rFonts w:hint="eastAsia"/>
              </w:rPr>
              <w:t>妇</w:t>
            </w:r>
            <w:r>
              <w:rPr>
                <w:rFonts w:hint="eastAsia"/>
              </w:rPr>
              <w:t xml:space="preserve">  </w:t>
            </w:r>
            <w:r>
              <w:rPr>
                <w:rFonts w:hint="eastAsia"/>
              </w:rPr>
              <w:t>女</w:t>
            </w:r>
          </w:p>
        </w:tc>
        <w:tc>
          <w:tcPr>
            <w:tcW w:w="2393" w:type="dxa"/>
            <w:tcBorders>
              <w:top w:val="single" w:sz="4" w:space="0" w:color="auto"/>
            </w:tcBorders>
          </w:tcPr>
          <w:p w:rsidR="00000000" w:rsidRDefault="00000000">
            <w:pPr>
              <w:pStyle w:val="a2"/>
              <w:spacing w:before="60" w:after="20" w:line="312" w:lineRule="auto"/>
              <w:jc w:val="center"/>
              <w:rPr>
                <w:rFonts w:hint="eastAsia"/>
              </w:rPr>
            </w:pPr>
            <w:r>
              <w:rPr>
                <w:rFonts w:hint="eastAsia"/>
              </w:rPr>
              <w:t>男</w:t>
            </w:r>
            <w:r>
              <w:rPr>
                <w:rFonts w:hint="eastAsia"/>
              </w:rPr>
              <w:t xml:space="preserve">  </w:t>
            </w:r>
            <w:r>
              <w:rPr>
                <w:rFonts w:hint="eastAsia"/>
              </w:rPr>
              <w:t>子</w:t>
            </w:r>
          </w:p>
        </w:tc>
        <w:tc>
          <w:tcPr>
            <w:tcW w:w="2393" w:type="dxa"/>
            <w:tcBorders>
              <w:top w:val="single" w:sz="4" w:space="0" w:color="auto"/>
            </w:tcBorders>
          </w:tcPr>
          <w:p w:rsidR="00000000" w:rsidRDefault="00000000">
            <w:pPr>
              <w:pStyle w:val="a2"/>
              <w:spacing w:before="60" w:after="20" w:line="312" w:lineRule="auto"/>
              <w:jc w:val="center"/>
              <w:rPr>
                <w:rFonts w:hint="eastAsia"/>
              </w:rPr>
            </w:pPr>
            <w:r>
              <w:rPr>
                <w:rFonts w:hint="eastAsia"/>
              </w:rPr>
              <w:t>差别</w:t>
            </w:r>
            <w:r>
              <w:rPr>
                <w:rFonts w:hint="eastAsia"/>
              </w:rPr>
              <w:t>(%)</w:t>
            </w:r>
          </w:p>
        </w:tc>
      </w:tr>
      <w:tr w:rsidR="00000000">
        <w:tblPrEx>
          <w:tblCellMar>
            <w:top w:w="0" w:type="dxa"/>
            <w:bottom w:w="0" w:type="dxa"/>
          </w:tblCellMar>
        </w:tblPrEx>
        <w:tc>
          <w:tcPr>
            <w:tcW w:w="2391" w:type="dxa"/>
            <w:tcBorders>
              <w:top w:val="single" w:sz="4" w:space="0" w:color="auto"/>
            </w:tcBorders>
          </w:tcPr>
          <w:p w:rsidR="00000000" w:rsidRDefault="00000000">
            <w:pPr>
              <w:pStyle w:val="a2"/>
              <w:spacing w:after="20" w:line="312" w:lineRule="auto"/>
              <w:ind w:left="227"/>
              <w:rPr>
                <w:rFonts w:hint="eastAsia"/>
              </w:rPr>
            </w:pPr>
            <w:r>
              <w:rPr>
                <w:rFonts w:hint="eastAsia"/>
              </w:rPr>
              <w:t>城市</w:t>
            </w:r>
          </w:p>
        </w:tc>
        <w:tc>
          <w:tcPr>
            <w:tcW w:w="2393" w:type="dxa"/>
          </w:tcPr>
          <w:p w:rsidR="00000000" w:rsidRDefault="00000000">
            <w:pPr>
              <w:pStyle w:val="a2"/>
              <w:spacing w:before="60" w:after="20" w:line="312" w:lineRule="auto"/>
              <w:ind w:right="851"/>
              <w:jc w:val="right"/>
            </w:pPr>
            <w:r>
              <w:t>881,077</w:t>
            </w:r>
          </w:p>
        </w:tc>
        <w:tc>
          <w:tcPr>
            <w:tcW w:w="2393" w:type="dxa"/>
          </w:tcPr>
          <w:p w:rsidR="00000000" w:rsidRDefault="00000000">
            <w:pPr>
              <w:pStyle w:val="a2"/>
              <w:spacing w:before="60" w:after="20" w:line="312" w:lineRule="auto"/>
              <w:ind w:right="851"/>
              <w:jc w:val="right"/>
            </w:pPr>
            <w:r>
              <w:t>1,337,489</w:t>
            </w:r>
          </w:p>
        </w:tc>
        <w:tc>
          <w:tcPr>
            <w:tcW w:w="2393" w:type="dxa"/>
          </w:tcPr>
          <w:p w:rsidR="00000000" w:rsidRDefault="00000000">
            <w:pPr>
              <w:pStyle w:val="a2"/>
              <w:spacing w:before="60" w:after="20" w:line="312" w:lineRule="auto"/>
              <w:ind w:right="904"/>
              <w:jc w:val="right"/>
            </w:pPr>
            <w:r>
              <w:t>65.9</w:t>
            </w:r>
          </w:p>
        </w:tc>
      </w:tr>
      <w:tr w:rsidR="00000000">
        <w:tblPrEx>
          <w:tblCellMar>
            <w:top w:w="0" w:type="dxa"/>
            <w:bottom w:w="0" w:type="dxa"/>
          </w:tblCellMar>
        </w:tblPrEx>
        <w:tc>
          <w:tcPr>
            <w:tcW w:w="2391" w:type="dxa"/>
            <w:tcBorders>
              <w:top w:val="single" w:sz="4" w:space="0" w:color="auto"/>
            </w:tcBorders>
          </w:tcPr>
          <w:p w:rsidR="00000000" w:rsidRDefault="00000000">
            <w:pPr>
              <w:pStyle w:val="a2"/>
              <w:spacing w:after="20" w:line="312" w:lineRule="auto"/>
              <w:ind w:left="227"/>
              <w:rPr>
                <w:rFonts w:hint="eastAsia"/>
              </w:rPr>
            </w:pPr>
            <w:r>
              <w:rPr>
                <w:rFonts w:hint="eastAsia"/>
              </w:rPr>
              <w:t>农村</w:t>
            </w:r>
          </w:p>
        </w:tc>
        <w:tc>
          <w:tcPr>
            <w:tcW w:w="2393" w:type="dxa"/>
          </w:tcPr>
          <w:p w:rsidR="00000000" w:rsidRDefault="00000000">
            <w:pPr>
              <w:pStyle w:val="a2"/>
              <w:spacing w:before="60" w:after="20" w:line="312" w:lineRule="auto"/>
              <w:ind w:right="851"/>
              <w:jc w:val="right"/>
            </w:pPr>
            <w:r>
              <w:t>328,911</w:t>
            </w:r>
          </w:p>
        </w:tc>
        <w:tc>
          <w:tcPr>
            <w:tcW w:w="2393" w:type="dxa"/>
          </w:tcPr>
          <w:p w:rsidR="00000000" w:rsidRDefault="00000000">
            <w:pPr>
              <w:pStyle w:val="a2"/>
              <w:spacing w:before="60" w:after="20" w:line="312" w:lineRule="auto"/>
              <w:ind w:right="851"/>
              <w:jc w:val="right"/>
            </w:pPr>
            <w:r>
              <w:t>613,253</w:t>
            </w:r>
          </w:p>
        </w:tc>
        <w:tc>
          <w:tcPr>
            <w:tcW w:w="2393" w:type="dxa"/>
          </w:tcPr>
          <w:p w:rsidR="00000000" w:rsidRDefault="00000000">
            <w:pPr>
              <w:pStyle w:val="a2"/>
              <w:spacing w:before="60" w:after="20" w:line="312" w:lineRule="auto"/>
              <w:ind w:right="904"/>
              <w:jc w:val="right"/>
            </w:pPr>
            <w:r>
              <w:t>53.6</w:t>
            </w:r>
          </w:p>
        </w:tc>
      </w:tr>
      <w:tr w:rsidR="00000000">
        <w:tblPrEx>
          <w:tblCellMar>
            <w:top w:w="0" w:type="dxa"/>
            <w:bottom w:w="0" w:type="dxa"/>
          </w:tblCellMar>
        </w:tblPrEx>
        <w:tc>
          <w:tcPr>
            <w:tcW w:w="2391" w:type="dxa"/>
          </w:tcPr>
          <w:p w:rsidR="00000000" w:rsidRDefault="00000000">
            <w:pPr>
              <w:pStyle w:val="a2"/>
              <w:spacing w:before="40" w:after="20" w:line="312" w:lineRule="auto"/>
              <w:ind w:left="227"/>
              <w:rPr>
                <w:rFonts w:hint="eastAsia"/>
              </w:rPr>
            </w:pPr>
            <w:r>
              <w:rPr>
                <w:rFonts w:hint="eastAsia"/>
              </w:rPr>
              <w:t>全国总计</w:t>
            </w:r>
          </w:p>
        </w:tc>
        <w:tc>
          <w:tcPr>
            <w:tcW w:w="2393" w:type="dxa"/>
          </w:tcPr>
          <w:p w:rsidR="00000000" w:rsidRDefault="00000000">
            <w:pPr>
              <w:pStyle w:val="a2"/>
              <w:spacing w:before="40" w:after="20" w:line="312" w:lineRule="auto"/>
              <w:ind w:right="851"/>
              <w:jc w:val="right"/>
            </w:pPr>
            <w:r>
              <w:t>700,040</w:t>
            </w:r>
          </w:p>
        </w:tc>
        <w:tc>
          <w:tcPr>
            <w:tcW w:w="2393" w:type="dxa"/>
          </w:tcPr>
          <w:p w:rsidR="00000000" w:rsidRDefault="00000000">
            <w:pPr>
              <w:pStyle w:val="a2"/>
              <w:spacing w:before="40" w:after="20" w:line="312" w:lineRule="auto"/>
              <w:ind w:right="851"/>
              <w:jc w:val="right"/>
            </w:pPr>
            <w:r>
              <w:t>1,036,779</w:t>
            </w:r>
          </w:p>
        </w:tc>
        <w:tc>
          <w:tcPr>
            <w:tcW w:w="2393" w:type="dxa"/>
          </w:tcPr>
          <w:p w:rsidR="00000000" w:rsidRDefault="00000000">
            <w:pPr>
              <w:pStyle w:val="a2"/>
              <w:spacing w:before="40" w:after="20" w:line="312" w:lineRule="auto"/>
              <w:ind w:right="904"/>
              <w:jc w:val="right"/>
            </w:pPr>
            <w:r>
              <w:t>67.5</w:t>
            </w:r>
          </w:p>
        </w:tc>
      </w:tr>
    </w:tbl>
    <w:p w:rsidR="00000000" w:rsidRDefault="00000000">
      <w:pPr>
        <w:spacing w:line="360" w:lineRule="auto"/>
      </w:pPr>
    </w:p>
    <w:p w:rsidR="00000000" w:rsidRDefault="00000000">
      <w:pPr>
        <w:pStyle w:val="EndnoteText"/>
        <w:spacing w:after="320"/>
        <w:rPr>
          <w:rFonts w:hint="eastAsia"/>
        </w:rPr>
      </w:pPr>
      <w:r>
        <w:rPr>
          <w:rFonts w:hint="eastAsia"/>
          <w:u w:val="single"/>
        </w:rPr>
        <w:t>资料来源</w:t>
      </w:r>
      <w:r>
        <w:rPr>
          <w:rFonts w:hint="eastAsia"/>
        </w:rPr>
        <w:t>：国家统计所，</w:t>
      </w:r>
      <w:r>
        <w:rPr>
          <w:rFonts w:hint="eastAsia"/>
        </w:rPr>
        <w:t xml:space="preserve"> </w:t>
      </w:r>
      <w:r>
        <w:rPr>
          <w:rFonts w:hint="eastAsia"/>
        </w:rPr>
        <w:t>生活条件普查，第三轮，</w:t>
      </w:r>
      <w:r>
        <w:rPr>
          <w:rFonts w:hint="eastAsia"/>
        </w:rPr>
        <w:t>1998</w:t>
      </w:r>
      <w:r>
        <w:rPr>
          <w:rFonts w:hint="eastAsia"/>
        </w:rPr>
        <w:t>。</w:t>
      </w:r>
    </w:p>
    <w:p w:rsidR="00000000" w:rsidRDefault="00000000">
      <w:pPr>
        <w:rPr>
          <w:rFonts w:hint="eastAsia"/>
        </w:rPr>
      </w:pPr>
      <w:r>
        <w:rPr>
          <w:rFonts w:hint="eastAsia"/>
        </w:rPr>
        <w:tab/>
        <w:t xml:space="preserve">31.  </w:t>
      </w:r>
      <w:r>
        <w:rPr>
          <w:rFonts w:hint="eastAsia"/>
        </w:rPr>
        <w:t>为了提高妇女寻求并得到好工作的能力，厄瓜多尔对于劳动法律进行了改革，以消除对妇女的歧视。《劳动保护法》规定，必须雇用妇女的最低百分比；此类雇用将由劳动部的部门委员会予以管理。其他方面的改革明显的涉及社会政策方面，例如鼓励日托和学前保育服务。这些改革的目的是为了使妇女能够保住工作，与此同时提高儿童的学习、发育并完成学业的能力。</w:t>
      </w:r>
    </w:p>
    <w:p w:rsidR="00000000" w:rsidRDefault="00000000">
      <w:pPr>
        <w:rPr>
          <w:rFonts w:hint="eastAsia"/>
        </w:rPr>
      </w:pPr>
      <w:r>
        <w:rPr>
          <w:rFonts w:hint="eastAsia"/>
        </w:rPr>
        <w:tab/>
        <w:t xml:space="preserve">32.  </w:t>
      </w:r>
      <w:r>
        <w:rPr>
          <w:rFonts w:hint="eastAsia"/>
        </w:rPr>
        <w:t>最大的差异存在于教育水平、以及市场对不同类型的教育制定不同类型的报酬：经验多的人得到较高的工资；男子收入高于妇女，而且既然妇女大多数做的是收入低下的工作，这一情况也反映在这类工作中妇女数目巨大。此外，妇女报酬低下的原因之一是由于她们的工作经验少于男子，这是因为由于要养育子女和家务工作妇女不能够持续不断工作。虽然在正式就业中差异不大，但是在自我经营的就业中，差异就有所明显增加。</w:t>
      </w:r>
    </w:p>
    <w:p w:rsidR="00000000" w:rsidRDefault="00000000">
      <w:pPr>
        <w:rPr>
          <w:rFonts w:hint="eastAsia"/>
        </w:rPr>
      </w:pPr>
      <w:r>
        <w:rPr>
          <w:rFonts w:hint="eastAsia"/>
        </w:rPr>
        <w:tab/>
        <w:t xml:space="preserve">33.  </w:t>
      </w:r>
      <w:r>
        <w:rPr>
          <w:rFonts w:hint="eastAsia"/>
        </w:rPr>
        <w:t>在农业部门，成年妇女、特别是农妇和土著妇女以同等的基础参与劳动力大军。在农业工作中，大多数妇女是在家庭所有的土地上工作，没有任何报酬，</w:t>
      </w:r>
      <w:r>
        <w:rPr>
          <w:rStyle w:val="EndnoteReference"/>
        </w:rPr>
        <w:endnoteReference w:id="7"/>
      </w:r>
      <w:r>
        <w:rPr>
          <w:rFonts w:hint="eastAsia"/>
        </w:rPr>
        <w:t xml:space="preserve"> </w:t>
      </w:r>
      <w:r>
        <w:rPr>
          <w:rFonts w:hint="eastAsia"/>
        </w:rPr>
        <w:t>同时还承受过去几十年的歧视的后果。</w:t>
      </w:r>
    </w:p>
    <w:p w:rsidR="00000000" w:rsidRDefault="00000000">
      <w:pPr>
        <w:rPr>
          <w:rFonts w:hint="eastAsia"/>
        </w:rPr>
      </w:pPr>
      <w:r>
        <w:rPr>
          <w:rFonts w:hint="eastAsia"/>
        </w:rPr>
        <w:tab/>
        <w:t xml:space="preserve">34.  </w:t>
      </w:r>
      <w:r>
        <w:rPr>
          <w:rFonts w:hint="eastAsia"/>
        </w:rPr>
        <w:t>在促进男女平等机会方面，厄瓜多尔进行了许多立法改革并实施政策措施：</w:t>
      </w:r>
    </w:p>
    <w:p w:rsidR="00000000" w:rsidRDefault="00000000">
      <w:pPr>
        <w:numPr>
          <w:ilvl w:val="0"/>
          <w:numId w:val="8"/>
        </w:numPr>
        <w:rPr>
          <w:rFonts w:hint="eastAsia"/>
        </w:rPr>
      </w:pPr>
      <w:r>
        <w:rPr>
          <w:rFonts w:hint="eastAsia"/>
        </w:rPr>
        <w:t>关于妇女与家庭委员部运作的若干修改条例，</w:t>
      </w:r>
      <w:r>
        <w:rPr>
          <w:rFonts w:hint="eastAsia"/>
        </w:rPr>
        <w:t>1995</w:t>
      </w:r>
      <w:r>
        <w:rPr>
          <w:rFonts w:hint="eastAsia"/>
        </w:rPr>
        <w:t>年</w:t>
      </w:r>
      <w:r>
        <w:rPr>
          <w:rFonts w:hint="eastAsia"/>
        </w:rPr>
        <w:t>8</w:t>
      </w:r>
      <w:r>
        <w:rPr>
          <w:rFonts w:hint="eastAsia"/>
        </w:rPr>
        <w:t>月</w:t>
      </w:r>
      <w:r>
        <w:rPr>
          <w:rFonts w:hint="eastAsia"/>
        </w:rPr>
        <w:t>14</w:t>
      </w:r>
      <w:r>
        <w:rPr>
          <w:rFonts w:hint="eastAsia"/>
        </w:rPr>
        <w:t>日公布于《官方公告》第</w:t>
      </w:r>
      <w:r>
        <w:rPr>
          <w:rFonts w:hint="eastAsia"/>
        </w:rPr>
        <w:t>758</w:t>
      </w:r>
      <w:r>
        <w:rPr>
          <w:rFonts w:hint="eastAsia"/>
        </w:rPr>
        <w:t>号。这些条例注意到，对妇女和儿童实施的暴力是一个社会问题，必须为专业处理提供充足的保障。妇女与家庭委员部在处理对妇女和儿童的家庭暴力与犯罪方面有优先处置权、但不是专属处置权。将对这些罪行根据现行法律予以惩处。根据《刑法》第</w:t>
      </w:r>
      <w:r>
        <w:rPr>
          <w:rFonts w:hint="eastAsia"/>
        </w:rPr>
        <w:t>662</w:t>
      </w:r>
      <w:r>
        <w:rPr>
          <w:rFonts w:hint="eastAsia"/>
        </w:rPr>
        <w:t>条的规定，可以采取预防性和矫正性措施，以保证妇女和儿童的人身安全与精神和肉体的不受侵犯。</w:t>
      </w:r>
    </w:p>
    <w:p w:rsidR="00000000" w:rsidRDefault="00000000">
      <w:pPr>
        <w:numPr>
          <w:ilvl w:val="0"/>
          <w:numId w:val="8"/>
        </w:numPr>
        <w:rPr>
          <w:rFonts w:hint="eastAsia"/>
        </w:rPr>
      </w:pPr>
      <w:r>
        <w:rPr>
          <w:rFonts w:hint="eastAsia"/>
        </w:rPr>
        <w:t>批准《关于预防惩治和消除对妇女暴力的美洲间公约》</w:t>
      </w:r>
      <w:r>
        <w:rPr>
          <w:rFonts w:hint="eastAsia"/>
        </w:rPr>
        <w:t>(</w:t>
      </w:r>
      <w:r>
        <w:rPr>
          <w:rFonts w:hint="eastAsia"/>
        </w:rPr>
        <w:t>《禁止对妇女施暴公约》</w:t>
      </w:r>
      <w:r>
        <w:rPr>
          <w:rFonts w:hint="eastAsia"/>
        </w:rPr>
        <w:t>)</w:t>
      </w:r>
      <w:r>
        <w:rPr>
          <w:rFonts w:hint="eastAsia"/>
        </w:rPr>
        <w:t>，</w:t>
      </w:r>
      <w:r>
        <w:rPr>
          <w:rFonts w:hint="eastAsia"/>
        </w:rPr>
        <w:t>1995</w:t>
      </w:r>
      <w:r>
        <w:rPr>
          <w:rFonts w:hint="eastAsia"/>
        </w:rPr>
        <w:t>年</w:t>
      </w:r>
      <w:r>
        <w:rPr>
          <w:rFonts w:hint="eastAsia"/>
        </w:rPr>
        <w:t>6</w:t>
      </w:r>
      <w:r>
        <w:rPr>
          <w:rFonts w:hint="eastAsia"/>
        </w:rPr>
        <w:t>月</w:t>
      </w:r>
      <w:r>
        <w:rPr>
          <w:rFonts w:hint="eastAsia"/>
        </w:rPr>
        <w:t>30</w:t>
      </w:r>
      <w:r>
        <w:rPr>
          <w:rFonts w:hint="eastAsia"/>
        </w:rPr>
        <w:t>日发表于《官方公告》第</w:t>
      </w:r>
      <w:r>
        <w:rPr>
          <w:rFonts w:hint="eastAsia"/>
        </w:rPr>
        <w:t>728</w:t>
      </w:r>
      <w:r>
        <w:rPr>
          <w:rFonts w:hint="eastAsia"/>
        </w:rPr>
        <w:t>号；</w:t>
      </w:r>
    </w:p>
    <w:p w:rsidR="00000000" w:rsidRDefault="00000000">
      <w:pPr>
        <w:numPr>
          <w:ilvl w:val="0"/>
          <w:numId w:val="8"/>
        </w:numPr>
        <w:rPr>
          <w:rFonts w:hint="eastAsia"/>
        </w:rPr>
      </w:pPr>
      <w:r>
        <w:rPr>
          <w:rFonts w:hint="eastAsia"/>
        </w:rPr>
        <w:t>《对妇女和家庭成员施暴法》，</w:t>
      </w:r>
      <w:r>
        <w:rPr>
          <w:rFonts w:hint="eastAsia"/>
        </w:rPr>
        <w:t>1995</w:t>
      </w:r>
      <w:r>
        <w:rPr>
          <w:rFonts w:hint="eastAsia"/>
        </w:rPr>
        <w:t>年</w:t>
      </w:r>
      <w:r>
        <w:rPr>
          <w:rFonts w:hint="eastAsia"/>
        </w:rPr>
        <w:t>12</w:t>
      </w:r>
      <w:r>
        <w:rPr>
          <w:rFonts w:hint="eastAsia"/>
        </w:rPr>
        <w:t>月</w:t>
      </w:r>
      <w:r>
        <w:rPr>
          <w:rFonts w:hint="eastAsia"/>
        </w:rPr>
        <w:t>11</w:t>
      </w:r>
      <w:r>
        <w:rPr>
          <w:rFonts w:hint="eastAsia"/>
        </w:rPr>
        <w:t>日发表于《官方公告》第</w:t>
      </w:r>
      <w:r>
        <w:rPr>
          <w:rFonts w:hint="eastAsia"/>
        </w:rPr>
        <w:t>839</w:t>
      </w:r>
      <w:r>
        <w:rPr>
          <w:rFonts w:hint="eastAsia"/>
        </w:rPr>
        <w:t>号，该法认定对妇女和家庭成员进行肉体暴力、心理暴力和性暴力是一项罪行，并予以惩治，并就保护家庭暴力受害者作出了规定。该法规定，厄瓜多尔已批准的有关防止与惩治对妇女实施暴力的国际文书将具有法律效力；</w:t>
      </w:r>
    </w:p>
    <w:p w:rsidR="00000000" w:rsidRDefault="00000000">
      <w:pPr>
        <w:numPr>
          <w:ilvl w:val="0"/>
          <w:numId w:val="8"/>
        </w:numPr>
        <w:rPr>
          <w:rFonts w:hint="eastAsia"/>
        </w:rPr>
      </w:pPr>
      <w:r>
        <w:rPr>
          <w:rFonts w:hint="eastAsia"/>
        </w:rPr>
        <w:t>《妇女劳动保护法》，</w:t>
      </w:r>
      <w:r>
        <w:rPr>
          <w:rFonts w:hint="eastAsia"/>
        </w:rPr>
        <w:t>1997</w:t>
      </w:r>
      <w:r>
        <w:rPr>
          <w:rFonts w:hint="eastAsia"/>
        </w:rPr>
        <w:t>年</w:t>
      </w:r>
      <w:r>
        <w:rPr>
          <w:rFonts w:hint="eastAsia"/>
        </w:rPr>
        <w:t>2</w:t>
      </w:r>
      <w:r>
        <w:rPr>
          <w:rFonts w:hint="eastAsia"/>
        </w:rPr>
        <w:t>月</w:t>
      </w:r>
      <w:r>
        <w:rPr>
          <w:rFonts w:hint="eastAsia"/>
        </w:rPr>
        <w:t>6</w:t>
      </w:r>
      <w:r>
        <w:rPr>
          <w:rFonts w:hint="eastAsia"/>
        </w:rPr>
        <w:t>日公布于《官方公告》第</w:t>
      </w:r>
      <w:r>
        <w:rPr>
          <w:rFonts w:hint="eastAsia"/>
        </w:rPr>
        <w:t>124</w:t>
      </w:r>
      <w:r>
        <w:rPr>
          <w:rFonts w:hint="eastAsia"/>
        </w:rPr>
        <w:t>号，该法对《劳动法》、《选举法》以及《司法组织法》进行了修订；</w:t>
      </w:r>
    </w:p>
    <w:p w:rsidR="00000000" w:rsidRDefault="00000000">
      <w:pPr>
        <w:numPr>
          <w:ilvl w:val="0"/>
          <w:numId w:val="8"/>
        </w:numPr>
        <w:rPr>
          <w:rFonts w:hint="eastAsia"/>
        </w:rPr>
      </w:pPr>
      <w:r>
        <w:rPr>
          <w:rFonts w:hint="eastAsia"/>
        </w:rPr>
        <w:t>全国妇女理事会。这是一个具有社会目的和公共目的的公众法律机构，隶属于共和国总统办公室。它以性别公允的角度对公共政策作出指导，并对相关活动进行控制和管理，以确保在所有公共部门机构中实行男女机会同等，促进妇女全面参与并发展其在社会、经济和政治生活中的潜力，制定妇女社会融入的方案，以促进妇女的就业和自我就业、扫盲和教育、并对暴力受害者的妇女提供全面护理。该理事会促进旨在使妇女和男子妥善兼顾工作和家庭生活的方案。全国妇女理事会是根据</w:t>
      </w:r>
      <w:r>
        <w:rPr>
          <w:rFonts w:hint="eastAsia"/>
        </w:rPr>
        <w:t>1997</w:t>
      </w:r>
      <w:r>
        <w:rPr>
          <w:rFonts w:hint="eastAsia"/>
        </w:rPr>
        <w:t>年</w:t>
      </w:r>
      <w:r>
        <w:rPr>
          <w:rFonts w:hint="eastAsia"/>
        </w:rPr>
        <w:t>10</w:t>
      </w:r>
      <w:r>
        <w:rPr>
          <w:rFonts w:hint="eastAsia"/>
        </w:rPr>
        <w:t>月</w:t>
      </w:r>
      <w:r>
        <w:rPr>
          <w:rFonts w:hint="eastAsia"/>
        </w:rPr>
        <w:t>24</w:t>
      </w:r>
      <w:r>
        <w:rPr>
          <w:rFonts w:hint="eastAsia"/>
        </w:rPr>
        <w:t>日第</w:t>
      </w:r>
      <w:r>
        <w:rPr>
          <w:rFonts w:hint="eastAsia"/>
        </w:rPr>
        <w:t>764</w:t>
      </w:r>
      <w:r>
        <w:rPr>
          <w:rFonts w:hint="eastAsia"/>
        </w:rPr>
        <w:t>项行政法令成立的，该法令于</w:t>
      </w:r>
      <w:r>
        <w:rPr>
          <w:rFonts w:hint="eastAsia"/>
        </w:rPr>
        <w:t>1997</w:t>
      </w:r>
      <w:r>
        <w:rPr>
          <w:rFonts w:hint="eastAsia"/>
        </w:rPr>
        <w:t>年</w:t>
      </w:r>
      <w:r>
        <w:rPr>
          <w:rFonts w:hint="eastAsia"/>
        </w:rPr>
        <w:t>10</w:t>
      </w:r>
      <w:r>
        <w:rPr>
          <w:rFonts w:hint="eastAsia"/>
        </w:rPr>
        <w:t>月</w:t>
      </w:r>
      <w:r>
        <w:rPr>
          <w:rFonts w:hint="eastAsia"/>
        </w:rPr>
        <w:t>28</w:t>
      </w:r>
      <w:r>
        <w:rPr>
          <w:rFonts w:hint="eastAsia"/>
        </w:rPr>
        <w:t>日公布于《官方公告》第</w:t>
      </w:r>
      <w:r>
        <w:rPr>
          <w:rFonts w:hint="eastAsia"/>
        </w:rPr>
        <w:t>182</w:t>
      </w:r>
      <w:r>
        <w:rPr>
          <w:rFonts w:hint="eastAsia"/>
        </w:rPr>
        <w:t>号；</w:t>
      </w:r>
    </w:p>
    <w:p w:rsidR="00000000" w:rsidRDefault="00000000">
      <w:pPr>
        <w:numPr>
          <w:ilvl w:val="0"/>
          <w:numId w:val="8"/>
        </w:numPr>
        <w:rPr>
          <w:rFonts w:hint="eastAsia"/>
        </w:rPr>
      </w:pPr>
      <w:r>
        <w:rPr>
          <w:rFonts w:hint="eastAsia"/>
        </w:rPr>
        <w:t>《免费产假</w:t>
      </w:r>
      <w:r>
        <w:rPr>
          <w:rFonts w:hint="eastAsia"/>
        </w:rPr>
        <w:t>(</w:t>
      </w:r>
      <w:r>
        <w:rPr>
          <w:rFonts w:hint="eastAsia"/>
        </w:rPr>
        <w:t>修订</w:t>
      </w:r>
      <w:r>
        <w:rPr>
          <w:rFonts w:hint="eastAsia"/>
        </w:rPr>
        <w:t>)</w:t>
      </w:r>
      <w:r>
        <w:rPr>
          <w:rFonts w:hint="eastAsia"/>
        </w:rPr>
        <w:t>法》，</w:t>
      </w:r>
      <w:r>
        <w:rPr>
          <w:rFonts w:hint="eastAsia"/>
        </w:rPr>
        <w:t>1998</w:t>
      </w:r>
      <w:r>
        <w:rPr>
          <w:rFonts w:hint="eastAsia"/>
        </w:rPr>
        <w:t>年</w:t>
      </w:r>
      <w:r>
        <w:rPr>
          <w:rFonts w:hint="eastAsia"/>
        </w:rPr>
        <w:t>8</w:t>
      </w:r>
      <w:r>
        <w:rPr>
          <w:rFonts w:hint="eastAsia"/>
        </w:rPr>
        <w:t>月</w:t>
      </w:r>
      <w:r>
        <w:rPr>
          <w:rFonts w:hint="eastAsia"/>
        </w:rPr>
        <w:t>10</w:t>
      </w:r>
      <w:r>
        <w:rPr>
          <w:rFonts w:hint="eastAsia"/>
        </w:rPr>
        <w:t>日公布于《官方公告》第</w:t>
      </w:r>
      <w:r>
        <w:rPr>
          <w:rFonts w:hint="eastAsia"/>
        </w:rPr>
        <w:t>381</w:t>
      </w:r>
      <w:r>
        <w:rPr>
          <w:rFonts w:hint="eastAsia"/>
        </w:rPr>
        <w:t>号。该法的目的是为了降低母婴死亡率。另一个目的是为了确保孕妇、新生婴儿和</w:t>
      </w:r>
      <w:r>
        <w:rPr>
          <w:rFonts w:hint="eastAsia"/>
        </w:rPr>
        <w:t>5</w:t>
      </w:r>
      <w:r>
        <w:rPr>
          <w:rFonts w:hint="eastAsia"/>
        </w:rPr>
        <w:t>岁以下儿童享有免费的高质量医疗保健的权利，范围包括药品费用、基本化验检查和后续检查的费用。</w:t>
      </w:r>
    </w:p>
    <w:p w:rsidR="00000000" w:rsidRDefault="00000000">
      <w:pPr>
        <w:spacing w:after="320"/>
        <w:rPr>
          <w:rFonts w:hint="eastAsia"/>
        </w:rPr>
      </w:pPr>
      <w:r>
        <w:rPr>
          <w:rFonts w:hint="eastAsia"/>
        </w:rPr>
        <w:tab/>
        <w:t xml:space="preserve">35.  </w:t>
      </w:r>
      <w:r>
        <w:rPr>
          <w:rFonts w:hint="eastAsia"/>
        </w:rPr>
        <w:t>近年来，人们越来越关注减少基于性别、种族或民族出身而对若干群体实行的歧视，以保障这些群体人员能够享受适当的公共服务并在劳动市场得到公正待遇。目前正在实施的社会政策措施中许多将会对子孙后代的福利产生影响。</w:t>
      </w:r>
    </w:p>
    <w:p w:rsidR="00000000" w:rsidRDefault="00000000">
      <w:pPr>
        <w:pStyle w:val="Heading3"/>
        <w:rPr>
          <w:rFonts w:hint="eastAsia"/>
        </w:rPr>
      </w:pPr>
      <w:r>
        <w:rPr>
          <w:rFonts w:hint="eastAsia"/>
        </w:rPr>
        <w:t>第</w:t>
      </w:r>
      <w:r>
        <w:rPr>
          <w:rFonts w:hint="eastAsia"/>
        </w:rPr>
        <w:t xml:space="preserve"> </w:t>
      </w:r>
      <w:r>
        <w:rPr>
          <w:rFonts w:hint="eastAsia"/>
        </w:rPr>
        <w:t>四</w:t>
      </w:r>
      <w:r>
        <w:rPr>
          <w:rFonts w:hint="eastAsia"/>
        </w:rPr>
        <w:t xml:space="preserve"> </w:t>
      </w:r>
      <w:r>
        <w:rPr>
          <w:rFonts w:hint="eastAsia"/>
        </w:rPr>
        <w:t>条</w:t>
      </w:r>
    </w:p>
    <w:p w:rsidR="00000000" w:rsidRDefault="00000000">
      <w:pPr>
        <w:spacing w:after="320"/>
        <w:rPr>
          <w:rFonts w:hint="eastAsia"/>
        </w:rPr>
      </w:pPr>
      <w:r>
        <w:rPr>
          <w:rFonts w:hint="eastAsia"/>
        </w:rPr>
        <w:tab/>
        <w:t xml:space="preserve">36.  </w:t>
      </w:r>
      <w:r>
        <w:rPr>
          <w:rFonts w:hint="eastAsia"/>
        </w:rPr>
        <w:t>厄瓜多尔确保其宪法的规定至高无上，任何法律都不得与《经济、社会、文化权利国际公约》保障的权利相冲突。《宪法》和法律承认、保障并促进人权，并鼓励其司法管辖下的所有人享有经济、社会和文化进步。</w:t>
      </w:r>
    </w:p>
    <w:p w:rsidR="00000000" w:rsidRDefault="00000000">
      <w:pPr>
        <w:pStyle w:val="Heading3"/>
        <w:rPr>
          <w:rFonts w:hint="eastAsia"/>
        </w:rPr>
      </w:pPr>
      <w:r>
        <w:rPr>
          <w:rFonts w:hint="eastAsia"/>
        </w:rPr>
        <w:t>第</w:t>
      </w:r>
      <w:r>
        <w:rPr>
          <w:rFonts w:hint="eastAsia"/>
        </w:rPr>
        <w:t xml:space="preserve"> </w:t>
      </w:r>
      <w:r>
        <w:rPr>
          <w:rFonts w:hint="eastAsia"/>
        </w:rPr>
        <w:t>五</w:t>
      </w:r>
      <w:r>
        <w:rPr>
          <w:rFonts w:hint="eastAsia"/>
        </w:rPr>
        <w:t xml:space="preserve"> </w:t>
      </w:r>
      <w:r>
        <w:rPr>
          <w:rFonts w:hint="eastAsia"/>
        </w:rPr>
        <w:t>条</w:t>
      </w:r>
    </w:p>
    <w:p w:rsidR="00000000" w:rsidRDefault="00000000">
      <w:pPr>
        <w:rPr>
          <w:rFonts w:hint="eastAsia"/>
        </w:rPr>
      </w:pPr>
      <w:r>
        <w:rPr>
          <w:rFonts w:hint="eastAsia"/>
        </w:rPr>
        <w:tab/>
        <w:t xml:space="preserve">37.  </w:t>
      </w:r>
      <w:r>
        <w:rPr>
          <w:rFonts w:hint="eastAsia"/>
        </w:rPr>
        <w:t>《厄瓜多尔宪法》保障有效行使人权。其他法律的规定必须与《宪法》的规定相一致，并优先重视自然人的权利和自由以及促进其发展，以实现社会与经济进步。</w:t>
      </w:r>
    </w:p>
    <w:p w:rsidR="00000000" w:rsidRDefault="00000000">
      <w:pPr>
        <w:rPr>
          <w:rFonts w:hint="eastAsia"/>
        </w:rPr>
      </w:pPr>
      <w:r>
        <w:rPr>
          <w:rFonts w:hint="eastAsia"/>
        </w:rPr>
        <w:tab/>
        <w:t xml:space="preserve">38.  </w:t>
      </w:r>
      <w:r>
        <w:rPr>
          <w:rFonts w:hint="eastAsia"/>
        </w:rPr>
        <w:t>任何人的宪法权利遭到行政措施或司法措施的影响，那么该人就有权得到下述补救措施：</w:t>
      </w:r>
    </w:p>
    <w:p w:rsidR="00000000" w:rsidRDefault="00000000">
      <w:pPr>
        <w:numPr>
          <w:ilvl w:val="0"/>
          <w:numId w:val="9"/>
        </w:numPr>
        <w:rPr>
          <w:rFonts w:hint="eastAsia"/>
        </w:rPr>
      </w:pPr>
      <w:r>
        <w:rPr>
          <w:rFonts w:hint="eastAsia"/>
        </w:rPr>
        <w:t>人身保护令，</w:t>
      </w:r>
      <w:r>
        <w:rPr>
          <w:rStyle w:val="EndnoteReference"/>
        </w:rPr>
        <w:endnoteReference w:id="8"/>
      </w:r>
      <w:r>
        <w:rPr>
          <w:rFonts w:hint="eastAsia"/>
        </w:rPr>
        <w:t xml:space="preserve"> </w:t>
      </w:r>
      <w:r>
        <w:rPr>
          <w:rFonts w:hint="eastAsia"/>
        </w:rPr>
        <w:t>用于某人被非法剥夺人身自由的情况；</w:t>
      </w:r>
    </w:p>
    <w:p w:rsidR="00000000" w:rsidRDefault="00000000">
      <w:pPr>
        <w:numPr>
          <w:ilvl w:val="0"/>
          <w:numId w:val="9"/>
        </w:numPr>
        <w:rPr>
          <w:rFonts w:hint="eastAsia"/>
        </w:rPr>
      </w:pPr>
      <w:r>
        <w:rPr>
          <w:rFonts w:hint="eastAsia"/>
        </w:rPr>
        <w:t>人身资料保护令：“任何人对公共实体或私营实体所持有的于与个人或财产有关的文件，资料库和报告，都有权查询，并有权了解这些资料是如何被使用以及为何种目的而使用”；</w:t>
      </w:r>
      <w:r>
        <w:rPr>
          <w:rStyle w:val="EndnoteReference"/>
        </w:rPr>
        <w:endnoteReference w:id="9"/>
      </w:r>
      <w:r>
        <w:rPr>
          <w:rFonts w:hint="eastAsia"/>
        </w:rPr>
        <w:t xml:space="preserve"> </w:t>
      </w:r>
    </w:p>
    <w:p w:rsidR="00000000" w:rsidRDefault="00000000">
      <w:pPr>
        <w:numPr>
          <w:ilvl w:val="0"/>
          <w:numId w:val="9"/>
        </w:numPr>
        <w:rPr>
          <w:rFonts w:hint="eastAsia"/>
        </w:rPr>
      </w:pPr>
      <w:r>
        <w:rPr>
          <w:rFonts w:hint="eastAsia"/>
        </w:rPr>
        <w:t>宪法保护</w:t>
      </w:r>
      <w:r>
        <w:rPr>
          <w:rFonts w:hint="eastAsia"/>
        </w:rPr>
        <w:t>(</w:t>
      </w:r>
      <w:r>
        <w:t>amparo</w:t>
      </w:r>
      <w:r>
        <w:rPr>
          <w:rFonts w:hint="eastAsia"/>
        </w:rPr>
        <w:t>)</w:t>
      </w:r>
      <w:r>
        <w:rPr>
          <w:rFonts w:hint="eastAsia"/>
        </w:rPr>
        <w:t>：“这一补救措施享有优先和即决待遇，在公共机关违反、或可能违反《宪法》所规定的任何权利而作出任何非法行为或非法不作出行为时，将根据这一原则采取紧急措施，以制止或避免上述行为或不行为、或立即纠正上述行为或不行为的后果”；</w:t>
      </w:r>
      <w:r>
        <w:rPr>
          <w:rStyle w:val="EndnoteReference"/>
        </w:rPr>
        <w:endnoteReference w:id="10"/>
      </w:r>
    </w:p>
    <w:p w:rsidR="00000000" w:rsidRDefault="00000000">
      <w:pPr>
        <w:numPr>
          <w:ilvl w:val="0"/>
          <w:numId w:val="9"/>
        </w:numPr>
        <w:rPr>
          <w:rFonts w:hint="eastAsia"/>
        </w:rPr>
      </w:pPr>
      <w:r>
        <w:rPr>
          <w:rFonts w:hint="eastAsia"/>
        </w:rPr>
        <w:t>监察员办公室：“特此设立监察员，有权在全国范围内对需要相关措施的人促进或主持人身自由令或宪法保护行动；保护并促进遵守《宪法》保障的基本权利，并监察公共服务的质量并履行法律授予的任何其他职责。”</w:t>
      </w:r>
      <w:r>
        <w:rPr>
          <w:rStyle w:val="EndnoteReference"/>
        </w:rPr>
        <w:endnoteReference w:id="11"/>
      </w:r>
    </w:p>
    <w:p w:rsidR="00000000" w:rsidRDefault="00000000">
      <w:pPr>
        <w:spacing w:after="160"/>
        <w:rPr>
          <w:rFonts w:hint="eastAsia"/>
        </w:rPr>
      </w:pPr>
      <w:r>
        <w:rPr>
          <w:rFonts w:hint="eastAsia"/>
        </w:rPr>
        <w:tab/>
        <w:t xml:space="preserve">39.  </w:t>
      </w:r>
      <w:r>
        <w:rPr>
          <w:rFonts w:hint="eastAsia"/>
        </w:rPr>
        <w:t>根据监察员办公室提供的资料，从</w:t>
      </w:r>
      <w:r>
        <w:rPr>
          <w:rFonts w:hint="eastAsia"/>
        </w:rPr>
        <w:t>1988</w:t>
      </w:r>
      <w:r>
        <w:rPr>
          <w:rFonts w:hint="eastAsia"/>
        </w:rPr>
        <w:t>年</w:t>
      </w:r>
      <w:r>
        <w:rPr>
          <w:rFonts w:hint="eastAsia"/>
        </w:rPr>
        <w:t>9</w:t>
      </w:r>
      <w:r>
        <w:rPr>
          <w:rFonts w:hint="eastAsia"/>
        </w:rPr>
        <w:t>月该办公室设立到</w:t>
      </w:r>
      <w:r>
        <w:rPr>
          <w:rFonts w:hint="eastAsia"/>
        </w:rPr>
        <w:t>1999</w:t>
      </w:r>
      <w:r>
        <w:rPr>
          <w:rFonts w:hint="eastAsia"/>
        </w:rPr>
        <w:t>年</w:t>
      </w:r>
      <w:r>
        <w:rPr>
          <w:rFonts w:hint="eastAsia"/>
        </w:rPr>
        <w:t>10</w:t>
      </w:r>
      <w:r>
        <w:rPr>
          <w:rFonts w:hint="eastAsia"/>
        </w:rPr>
        <w:t>月，该办公室收到并处理了以下案件：</w:t>
      </w:r>
    </w:p>
    <w:tbl>
      <w:tblPr>
        <w:tblW w:w="8383" w:type="dxa"/>
        <w:tblInd w:w="928" w:type="dxa"/>
        <w:tblBorders>
          <w:top w:val="single" w:sz="4" w:space="0" w:color="auto"/>
          <w:left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7"/>
        <w:gridCol w:w="4786"/>
      </w:tblGrid>
      <w:tr w:rsidR="00000000">
        <w:tblPrEx>
          <w:tblCellMar>
            <w:top w:w="0" w:type="dxa"/>
            <w:bottom w:w="0" w:type="dxa"/>
          </w:tblCellMar>
        </w:tblPrEx>
        <w:tc>
          <w:tcPr>
            <w:tcW w:w="3597" w:type="dxa"/>
            <w:tcBorders>
              <w:top w:val="nil"/>
              <w:left w:val="nil"/>
              <w:bottom w:val="nil"/>
              <w:right w:val="nil"/>
            </w:tcBorders>
          </w:tcPr>
          <w:p w:rsidR="00000000" w:rsidRDefault="00000000">
            <w:pPr>
              <w:pStyle w:val="a2"/>
              <w:spacing w:line="312" w:lineRule="auto"/>
              <w:rPr>
                <w:rFonts w:hint="eastAsia"/>
                <w:sz w:val="24"/>
              </w:rPr>
            </w:pPr>
            <w:r>
              <w:rPr>
                <w:rFonts w:hint="eastAsia"/>
                <w:sz w:val="24"/>
              </w:rPr>
              <w:t>侵犯人权的投诉</w:t>
            </w:r>
          </w:p>
        </w:tc>
        <w:tc>
          <w:tcPr>
            <w:tcW w:w="4786" w:type="dxa"/>
            <w:tcBorders>
              <w:top w:val="nil"/>
              <w:left w:val="nil"/>
              <w:bottom w:val="nil"/>
              <w:right w:val="nil"/>
            </w:tcBorders>
          </w:tcPr>
          <w:p w:rsidR="00000000" w:rsidRDefault="00000000">
            <w:pPr>
              <w:pStyle w:val="a2"/>
              <w:tabs>
                <w:tab w:val="decimal" w:pos="2495"/>
              </w:tabs>
              <w:spacing w:line="312" w:lineRule="auto"/>
              <w:rPr>
                <w:rFonts w:hint="eastAsia"/>
                <w:sz w:val="24"/>
              </w:rPr>
            </w:pPr>
            <w:r>
              <w:rPr>
                <w:rFonts w:hint="eastAsia"/>
                <w:sz w:val="24"/>
              </w:rPr>
              <w:t>3</w:t>
            </w:r>
            <w:r>
              <w:rPr>
                <w:sz w:val="24"/>
              </w:rPr>
              <w:t>,</w:t>
            </w:r>
            <w:r>
              <w:rPr>
                <w:rFonts w:hint="eastAsia"/>
                <w:sz w:val="24"/>
              </w:rPr>
              <w:t>160</w:t>
            </w:r>
            <w:r>
              <w:rPr>
                <w:rFonts w:hint="eastAsia"/>
                <w:sz w:val="24"/>
              </w:rPr>
              <w:t>件</w:t>
            </w:r>
          </w:p>
        </w:tc>
      </w:tr>
      <w:tr w:rsidR="00000000">
        <w:tblPrEx>
          <w:tblCellMar>
            <w:top w:w="0" w:type="dxa"/>
            <w:bottom w:w="0" w:type="dxa"/>
          </w:tblCellMar>
        </w:tblPrEx>
        <w:tc>
          <w:tcPr>
            <w:tcW w:w="3597" w:type="dxa"/>
            <w:tcBorders>
              <w:top w:val="nil"/>
              <w:left w:val="nil"/>
              <w:bottom w:val="nil"/>
              <w:right w:val="nil"/>
            </w:tcBorders>
          </w:tcPr>
          <w:p w:rsidR="00000000" w:rsidRDefault="00000000">
            <w:pPr>
              <w:pStyle w:val="a2"/>
              <w:spacing w:line="312" w:lineRule="auto"/>
              <w:rPr>
                <w:rFonts w:hint="eastAsia"/>
                <w:sz w:val="24"/>
              </w:rPr>
            </w:pPr>
            <w:r>
              <w:rPr>
                <w:rFonts w:hint="eastAsia"/>
                <w:sz w:val="24"/>
              </w:rPr>
              <w:t>解决案件</w:t>
            </w:r>
          </w:p>
        </w:tc>
        <w:tc>
          <w:tcPr>
            <w:tcW w:w="4786" w:type="dxa"/>
            <w:tcBorders>
              <w:top w:val="nil"/>
              <w:left w:val="nil"/>
              <w:bottom w:val="nil"/>
              <w:right w:val="nil"/>
            </w:tcBorders>
          </w:tcPr>
          <w:p w:rsidR="00000000" w:rsidRDefault="00000000">
            <w:pPr>
              <w:pStyle w:val="a2"/>
              <w:tabs>
                <w:tab w:val="decimal" w:pos="2495"/>
              </w:tabs>
              <w:spacing w:line="312" w:lineRule="auto"/>
              <w:rPr>
                <w:rFonts w:hint="eastAsia"/>
                <w:sz w:val="24"/>
              </w:rPr>
            </w:pPr>
            <w:r>
              <w:rPr>
                <w:rFonts w:hint="eastAsia"/>
                <w:sz w:val="24"/>
              </w:rPr>
              <w:t>2</w:t>
            </w:r>
            <w:r>
              <w:rPr>
                <w:sz w:val="24"/>
              </w:rPr>
              <w:t>,</w:t>
            </w:r>
            <w:r>
              <w:rPr>
                <w:rFonts w:hint="eastAsia"/>
                <w:sz w:val="24"/>
              </w:rPr>
              <w:t>201</w:t>
            </w:r>
          </w:p>
        </w:tc>
      </w:tr>
      <w:tr w:rsidR="00000000">
        <w:tblPrEx>
          <w:tblCellMar>
            <w:top w:w="0" w:type="dxa"/>
            <w:bottom w:w="0" w:type="dxa"/>
          </w:tblCellMar>
        </w:tblPrEx>
        <w:tc>
          <w:tcPr>
            <w:tcW w:w="3597" w:type="dxa"/>
            <w:tcBorders>
              <w:top w:val="nil"/>
              <w:left w:val="nil"/>
              <w:bottom w:val="nil"/>
              <w:right w:val="nil"/>
            </w:tcBorders>
          </w:tcPr>
          <w:p w:rsidR="00000000" w:rsidRDefault="00000000">
            <w:pPr>
              <w:pStyle w:val="a2"/>
              <w:spacing w:line="312" w:lineRule="auto"/>
              <w:rPr>
                <w:rFonts w:hint="eastAsia"/>
                <w:sz w:val="24"/>
              </w:rPr>
            </w:pPr>
            <w:r>
              <w:rPr>
                <w:rFonts w:hint="eastAsia"/>
                <w:sz w:val="24"/>
              </w:rPr>
              <w:t>收到下述请求：</w:t>
            </w:r>
          </w:p>
        </w:tc>
        <w:tc>
          <w:tcPr>
            <w:tcW w:w="4786" w:type="dxa"/>
            <w:tcBorders>
              <w:top w:val="nil"/>
              <w:left w:val="nil"/>
              <w:bottom w:val="nil"/>
              <w:right w:val="nil"/>
            </w:tcBorders>
          </w:tcPr>
          <w:p w:rsidR="00000000" w:rsidRDefault="00000000">
            <w:pPr>
              <w:pStyle w:val="a2"/>
              <w:tabs>
                <w:tab w:val="decimal" w:pos="2495"/>
              </w:tabs>
              <w:spacing w:line="312" w:lineRule="auto"/>
              <w:rPr>
                <w:rFonts w:hint="eastAsia"/>
                <w:sz w:val="24"/>
              </w:rPr>
            </w:pPr>
          </w:p>
        </w:tc>
      </w:tr>
      <w:tr w:rsidR="00000000">
        <w:tblPrEx>
          <w:tblCellMar>
            <w:top w:w="0" w:type="dxa"/>
            <w:bottom w:w="0" w:type="dxa"/>
          </w:tblCellMar>
        </w:tblPrEx>
        <w:tc>
          <w:tcPr>
            <w:tcW w:w="3597" w:type="dxa"/>
            <w:tcBorders>
              <w:top w:val="nil"/>
              <w:left w:val="nil"/>
              <w:bottom w:val="nil"/>
              <w:right w:val="nil"/>
            </w:tcBorders>
          </w:tcPr>
          <w:p w:rsidR="00000000" w:rsidRDefault="00000000">
            <w:pPr>
              <w:pStyle w:val="a2"/>
              <w:spacing w:line="240" w:lineRule="auto"/>
              <w:ind w:left="480"/>
              <w:rPr>
                <w:rFonts w:hint="eastAsia"/>
                <w:sz w:val="24"/>
              </w:rPr>
            </w:pPr>
            <w:r>
              <w:rPr>
                <w:rFonts w:hint="eastAsia"/>
                <w:sz w:val="24"/>
              </w:rPr>
              <w:t>人身自由令</w:t>
            </w:r>
          </w:p>
        </w:tc>
        <w:tc>
          <w:tcPr>
            <w:tcW w:w="4786" w:type="dxa"/>
            <w:tcBorders>
              <w:top w:val="nil"/>
              <w:left w:val="nil"/>
              <w:bottom w:val="nil"/>
              <w:right w:val="nil"/>
            </w:tcBorders>
          </w:tcPr>
          <w:p w:rsidR="00000000" w:rsidRDefault="00000000">
            <w:pPr>
              <w:pStyle w:val="a2"/>
              <w:tabs>
                <w:tab w:val="decimal" w:pos="2495"/>
              </w:tabs>
              <w:spacing w:line="240" w:lineRule="auto"/>
              <w:rPr>
                <w:rFonts w:hint="eastAsia"/>
                <w:sz w:val="24"/>
              </w:rPr>
            </w:pPr>
            <w:r>
              <w:rPr>
                <w:rFonts w:hint="eastAsia"/>
                <w:sz w:val="24"/>
              </w:rPr>
              <w:t>495</w:t>
            </w:r>
          </w:p>
        </w:tc>
      </w:tr>
      <w:tr w:rsidR="00000000">
        <w:tblPrEx>
          <w:tblCellMar>
            <w:top w:w="0" w:type="dxa"/>
            <w:bottom w:w="0" w:type="dxa"/>
          </w:tblCellMar>
        </w:tblPrEx>
        <w:tc>
          <w:tcPr>
            <w:tcW w:w="3597" w:type="dxa"/>
            <w:tcBorders>
              <w:top w:val="nil"/>
              <w:left w:val="nil"/>
              <w:bottom w:val="nil"/>
              <w:right w:val="nil"/>
            </w:tcBorders>
          </w:tcPr>
          <w:p w:rsidR="00000000" w:rsidRDefault="00000000">
            <w:pPr>
              <w:pStyle w:val="a2"/>
              <w:spacing w:line="240" w:lineRule="auto"/>
              <w:ind w:left="480"/>
              <w:rPr>
                <w:rFonts w:hint="eastAsia"/>
                <w:sz w:val="24"/>
              </w:rPr>
            </w:pPr>
            <w:r>
              <w:rPr>
                <w:rFonts w:hint="eastAsia"/>
                <w:sz w:val="24"/>
              </w:rPr>
              <w:t>已准人身自由令的补救</w:t>
            </w:r>
          </w:p>
        </w:tc>
        <w:tc>
          <w:tcPr>
            <w:tcW w:w="4786" w:type="dxa"/>
            <w:tcBorders>
              <w:top w:val="nil"/>
              <w:left w:val="nil"/>
              <w:bottom w:val="nil"/>
              <w:right w:val="nil"/>
            </w:tcBorders>
          </w:tcPr>
          <w:p w:rsidR="00000000" w:rsidRDefault="00000000">
            <w:pPr>
              <w:pStyle w:val="a2"/>
              <w:tabs>
                <w:tab w:val="decimal" w:pos="2495"/>
              </w:tabs>
              <w:spacing w:after="200" w:line="240" w:lineRule="auto"/>
              <w:rPr>
                <w:rFonts w:hint="eastAsia"/>
                <w:sz w:val="24"/>
              </w:rPr>
            </w:pPr>
            <w:r>
              <w:rPr>
                <w:rFonts w:hint="eastAsia"/>
                <w:sz w:val="24"/>
              </w:rPr>
              <w:t>357</w:t>
            </w:r>
          </w:p>
        </w:tc>
      </w:tr>
      <w:tr w:rsidR="00000000">
        <w:tblPrEx>
          <w:tblCellMar>
            <w:top w:w="0" w:type="dxa"/>
            <w:bottom w:w="0" w:type="dxa"/>
          </w:tblCellMar>
        </w:tblPrEx>
        <w:tc>
          <w:tcPr>
            <w:tcW w:w="3597" w:type="dxa"/>
            <w:tcBorders>
              <w:top w:val="nil"/>
              <w:left w:val="nil"/>
              <w:bottom w:val="nil"/>
              <w:right w:val="nil"/>
            </w:tcBorders>
          </w:tcPr>
          <w:p w:rsidR="00000000" w:rsidRDefault="00000000">
            <w:pPr>
              <w:pStyle w:val="a2"/>
              <w:spacing w:line="240" w:lineRule="auto"/>
              <w:ind w:left="480"/>
              <w:rPr>
                <w:rFonts w:hint="eastAsia"/>
                <w:sz w:val="24"/>
              </w:rPr>
            </w:pPr>
            <w:r>
              <w:rPr>
                <w:rFonts w:hint="eastAsia"/>
                <w:sz w:val="24"/>
              </w:rPr>
              <w:t>人身资料令</w:t>
            </w:r>
          </w:p>
        </w:tc>
        <w:tc>
          <w:tcPr>
            <w:tcW w:w="4786" w:type="dxa"/>
            <w:tcBorders>
              <w:top w:val="nil"/>
              <w:left w:val="nil"/>
              <w:bottom w:val="nil"/>
              <w:right w:val="nil"/>
            </w:tcBorders>
          </w:tcPr>
          <w:p w:rsidR="00000000" w:rsidRDefault="00000000">
            <w:pPr>
              <w:pStyle w:val="a2"/>
              <w:tabs>
                <w:tab w:val="decimal" w:pos="2495"/>
              </w:tabs>
              <w:spacing w:line="240" w:lineRule="auto"/>
              <w:rPr>
                <w:rFonts w:hint="eastAsia"/>
                <w:sz w:val="24"/>
              </w:rPr>
            </w:pPr>
            <w:r>
              <w:rPr>
                <w:rFonts w:hint="eastAsia"/>
                <w:sz w:val="24"/>
              </w:rPr>
              <w:t>30</w:t>
            </w:r>
          </w:p>
        </w:tc>
      </w:tr>
      <w:tr w:rsidR="00000000">
        <w:tblPrEx>
          <w:tblCellMar>
            <w:top w:w="0" w:type="dxa"/>
            <w:bottom w:w="0" w:type="dxa"/>
          </w:tblCellMar>
        </w:tblPrEx>
        <w:tc>
          <w:tcPr>
            <w:tcW w:w="3597" w:type="dxa"/>
            <w:tcBorders>
              <w:top w:val="nil"/>
              <w:left w:val="nil"/>
              <w:bottom w:val="nil"/>
              <w:right w:val="nil"/>
            </w:tcBorders>
          </w:tcPr>
          <w:p w:rsidR="00000000" w:rsidRDefault="00000000">
            <w:pPr>
              <w:pStyle w:val="a2"/>
              <w:spacing w:after="160" w:line="240" w:lineRule="auto"/>
              <w:ind w:left="480"/>
              <w:rPr>
                <w:rFonts w:hint="eastAsia"/>
                <w:sz w:val="24"/>
              </w:rPr>
            </w:pPr>
            <w:r>
              <w:rPr>
                <w:rFonts w:hint="eastAsia"/>
                <w:sz w:val="24"/>
              </w:rPr>
              <w:t>已准人身资料令的补救</w:t>
            </w:r>
          </w:p>
        </w:tc>
        <w:tc>
          <w:tcPr>
            <w:tcW w:w="4786" w:type="dxa"/>
            <w:tcBorders>
              <w:top w:val="nil"/>
              <w:left w:val="nil"/>
              <w:bottom w:val="nil"/>
              <w:right w:val="nil"/>
            </w:tcBorders>
          </w:tcPr>
          <w:p w:rsidR="00000000" w:rsidRDefault="00000000">
            <w:pPr>
              <w:pStyle w:val="a2"/>
              <w:tabs>
                <w:tab w:val="decimal" w:pos="2495"/>
              </w:tabs>
              <w:spacing w:line="240" w:lineRule="auto"/>
              <w:rPr>
                <w:rFonts w:hint="eastAsia"/>
                <w:sz w:val="24"/>
              </w:rPr>
            </w:pPr>
            <w:r>
              <w:rPr>
                <w:rFonts w:hint="eastAsia"/>
                <w:sz w:val="24"/>
              </w:rPr>
              <w:t>26</w:t>
            </w:r>
          </w:p>
        </w:tc>
      </w:tr>
      <w:tr w:rsidR="00000000">
        <w:tblPrEx>
          <w:tblCellMar>
            <w:top w:w="0" w:type="dxa"/>
            <w:bottom w:w="0" w:type="dxa"/>
          </w:tblCellMar>
        </w:tblPrEx>
        <w:tc>
          <w:tcPr>
            <w:tcW w:w="3597" w:type="dxa"/>
            <w:tcBorders>
              <w:top w:val="nil"/>
              <w:left w:val="nil"/>
              <w:bottom w:val="nil"/>
              <w:right w:val="nil"/>
            </w:tcBorders>
          </w:tcPr>
          <w:p w:rsidR="00000000" w:rsidRDefault="00000000">
            <w:pPr>
              <w:pStyle w:val="a2"/>
              <w:spacing w:line="240" w:lineRule="auto"/>
              <w:ind w:left="480"/>
              <w:rPr>
                <w:rFonts w:hint="eastAsia"/>
                <w:sz w:val="24"/>
              </w:rPr>
            </w:pPr>
            <w:r>
              <w:rPr>
                <w:rFonts w:hint="eastAsia"/>
                <w:sz w:val="24"/>
              </w:rPr>
              <w:t>宪法保护</w:t>
            </w:r>
          </w:p>
        </w:tc>
        <w:tc>
          <w:tcPr>
            <w:tcW w:w="4786" w:type="dxa"/>
            <w:tcBorders>
              <w:top w:val="nil"/>
              <w:left w:val="nil"/>
              <w:bottom w:val="nil"/>
              <w:right w:val="nil"/>
            </w:tcBorders>
          </w:tcPr>
          <w:p w:rsidR="00000000" w:rsidRDefault="00000000">
            <w:pPr>
              <w:pStyle w:val="a2"/>
              <w:tabs>
                <w:tab w:val="decimal" w:pos="2495"/>
              </w:tabs>
              <w:spacing w:line="240" w:lineRule="auto"/>
              <w:rPr>
                <w:rFonts w:hint="eastAsia"/>
                <w:sz w:val="24"/>
              </w:rPr>
            </w:pPr>
            <w:r>
              <w:rPr>
                <w:rFonts w:hint="eastAsia"/>
                <w:sz w:val="24"/>
              </w:rPr>
              <w:t>186</w:t>
            </w:r>
          </w:p>
        </w:tc>
      </w:tr>
      <w:tr w:rsidR="00000000">
        <w:tblPrEx>
          <w:tblCellMar>
            <w:top w:w="0" w:type="dxa"/>
            <w:bottom w:w="0" w:type="dxa"/>
          </w:tblCellMar>
        </w:tblPrEx>
        <w:tc>
          <w:tcPr>
            <w:tcW w:w="3597" w:type="dxa"/>
            <w:tcBorders>
              <w:top w:val="nil"/>
              <w:left w:val="nil"/>
              <w:bottom w:val="nil"/>
              <w:right w:val="nil"/>
            </w:tcBorders>
          </w:tcPr>
          <w:p w:rsidR="00000000" w:rsidRDefault="00000000">
            <w:pPr>
              <w:spacing w:line="240" w:lineRule="auto"/>
              <w:rPr>
                <w:rFonts w:hint="eastAsia"/>
              </w:rPr>
            </w:pPr>
            <w:r>
              <w:rPr>
                <w:rFonts w:hint="eastAsia"/>
              </w:rPr>
              <w:t xml:space="preserve">　　已准宪法保护的补救</w:t>
            </w:r>
            <w:r>
              <w:rPr>
                <w:rFonts w:hint="eastAsia"/>
              </w:rPr>
              <w:t xml:space="preserve"> </w:t>
            </w:r>
            <w:r>
              <w:rPr>
                <w:rStyle w:val="EndnoteReference"/>
              </w:rPr>
              <w:endnoteReference w:id="12"/>
            </w:r>
          </w:p>
        </w:tc>
        <w:tc>
          <w:tcPr>
            <w:tcW w:w="4786" w:type="dxa"/>
            <w:tcBorders>
              <w:top w:val="nil"/>
              <w:left w:val="nil"/>
              <w:bottom w:val="nil"/>
              <w:right w:val="nil"/>
            </w:tcBorders>
          </w:tcPr>
          <w:p w:rsidR="00000000" w:rsidRDefault="00000000">
            <w:pPr>
              <w:pStyle w:val="a2"/>
              <w:tabs>
                <w:tab w:val="decimal" w:pos="2495"/>
              </w:tabs>
              <w:spacing w:line="240" w:lineRule="auto"/>
              <w:rPr>
                <w:rFonts w:hint="eastAsia"/>
                <w:sz w:val="24"/>
              </w:rPr>
            </w:pPr>
            <w:r>
              <w:rPr>
                <w:rFonts w:hint="eastAsia"/>
                <w:sz w:val="24"/>
              </w:rPr>
              <w:t>136</w:t>
            </w:r>
          </w:p>
        </w:tc>
      </w:tr>
    </w:tbl>
    <w:p w:rsidR="00000000" w:rsidRDefault="00000000">
      <w:pPr>
        <w:spacing w:before="240"/>
        <w:rPr>
          <w:rFonts w:hint="eastAsia"/>
        </w:rPr>
      </w:pPr>
      <w:r>
        <w:rPr>
          <w:rFonts w:hint="eastAsia"/>
        </w:rPr>
        <w:tab/>
        <w:t xml:space="preserve">40.  </w:t>
      </w:r>
      <w:r>
        <w:rPr>
          <w:rFonts w:hint="eastAsia"/>
        </w:rPr>
        <w:t>有关声称侵犯人权的投诉大多是针对警察、司法机关、省政府、公营企业和私营企业以及军队而提出的。</w:t>
      </w:r>
    </w:p>
    <w:p w:rsidR="00000000" w:rsidRDefault="00000000">
      <w:pPr>
        <w:spacing w:after="320"/>
        <w:rPr>
          <w:rFonts w:hint="eastAsia"/>
        </w:rPr>
      </w:pPr>
      <w:r>
        <w:rPr>
          <w:rFonts w:hint="eastAsia"/>
        </w:rPr>
        <w:tab/>
        <w:t xml:space="preserve">41.  </w:t>
      </w:r>
      <w:r>
        <w:rPr>
          <w:rFonts w:hint="eastAsia"/>
        </w:rPr>
        <w:t>为了使厄瓜多尔人能够正确行使其权利，培养公众意识是十分重要的。</w:t>
      </w:r>
    </w:p>
    <w:p w:rsidR="00000000" w:rsidRDefault="00000000">
      <w:pPr>
        <w:pStyle w:val="Heading3"/>
        <w:spacing w:after="160"/>
        <w:rPr>
          <w:rFonts w:hint="eastAsia"/>
        </w:rPr>
      </w:pPr>
      <w:r>
        <w:rPr>
          <w:rFonts w:hint="eastAsia"/>
        </w:rPr>
        <w:t>第</w:t>
      </w:r>
      <w:r>
        <w:rPr>
          <w:rFonts w:hint="eastAsia"/>
        </w:rPr>
        <w:t xml:space="preserve"> </w:t>
      </w:r>
      <w:r>
        <w:rPr>
          <w:rFonts w:hint="eastAsia"/>
        </w:rPr>
        <w:t>六</w:t>
      </w:r>
      <w:r>
        <w:rPr>
          <w:rFonts w:hint="eastAsia"/>
        </w:rPr>
        <w:t xml:space="preserve"> </w:t>
      </w:r>
      <w:r>
        <w:rPr>
          <w:rFonts w:hint="eastAsia"/>
        </w:rPr>
        <w:t>条</w:t>
      </w:r>
    </w:p>
    <w:p w:rsidR="00000000" w:rsidRDefault="00000000">
      <w:pPr>
        <w:pStyle w:val="Heading4"/>
        <w:spacing w:after="160"/>
        <w:rPr>
          <w:rFonts w:hint="eastAsia"/>
        </w:rPr>
      </w:pPr>
      <w:r>
        <w:rPr>
          <w:rFonts w:hint="eastAsia"/>
        </w:rPr>
        <w:t>就业与现代化</w:t>
      </w:r>
    </w:p>
    <w:p w:rsidR="00000000" w:rsidRDefault="00000000">
      <w:pPr>
        <w:rPr>
          <w:rFonts w:hint="eastAsia"/>
        </w:rPr>
      </w:pPr>
      <w:r>
        <w:rPr>
          <w:rFonts w:hint="eastAsia"/>
        </w:rPr>
        <w:tab/>
        <w:t xml:space="preserve">42.  </w:t>
      </w:r>
      <w:r>
        <w:rPr>
          <w:rFonts w:hint="eastAsia"/>
        </w:rPr>
        <w:t>厄瓜多尔作为国际劳工组织</w:t>
      </w:r>
      <w:r>
        <w:rPr>
          <w:rFonts w:hint="eastAsia"/>
        </w:rPr>
        <w:t>(</w:t>
      </w:r>
      <w:r>
        <w:rPr>
          <w:rFonts w:hint="eastAsia"/>
        </w:rPr>
        <w:t>劳工组织</w:t>
      </w:r>
      <w:r>
        <w:rPr>
          <w:rFonts w:hint="eastAsia"/>
        </w:rPr>
        <w:t>)</w:t>
      </w:r>
      <w:r>
        <w:rPr>
          <w:rFonts w:hint="eastAsia"/>
        </w:rPr>
        <w:t>的成员国之一，已经签署了关于就业政策的劳工组织第</w:t>
      </w:r>
      <w:r>
        <w:rPr>
          <w:rFonts w:hint="eastAsia"/>
        </w:rPr>
        <w:t>122</w:t>
      </w:r>
      <w:r>
        <w:rPr>
          <w:rFonts w:hint="eastAsia"/>
        </w:rPr>
        <w:t>号公约以及关于就业与职业方面歧视的劳工组织第</w:t>
      </w:r>
      <w:r>
        <w:rPr>
          <w:rFonts w:hint="eastAsia"/>
        </w:rPr>
        <w:t>111</w:t>
      </w:r>
      <w:r>
        <w:rPr>
          <w:rFonts w:hint="eastAsia"/>
        </w:rPr>
        <w:t>号公约。厄瓜多尔作为《消除一切形式种族歧视国际公约》以及《消除对妇女一切形式歧视公约》的缔约国，已经就第</w:t>
      </w:r>
      <w:r>
        <w:rPr>
          <w:rFonts w:hint="eastAsia"/>
        </w:rPr>
        <w:t>6</w:t>
      </w:r>
      <w:r>
        <w:rPr>
          <w:rFonts w:hint="eastAsia"/>
        </w:rPr>
        <w:t>条的规定向主管监察委员会提交了报告。</w:t>
      </w:r>
    </w:p>
    <w:p w:rsidR="00000000" w:rsidRDefault="00000000">
      <w:pPr>
        <w:rPr>
          <w:rFonts w:hint="eastAsia"/>
        </w:rPr>
      </w:pPr>
      <w:r>
        <w:rPr>
          <w:rFonts w:hint="eastAsia"/>
        </w:rPr>
        <w:tab/>
        <w:t xml:space="preserve">43.  </w:t>
      </w:r>
      <w:r>
        <w:rPr>
          <w:rFonts w:hint="eastAsia"/>
        </w:rPr>
        <w:t>根据新《宪法》第四章第二部分第三十五条，“工作是一项权利和社会义务。国家保护工作，并保障工人的尊严、体面的生活以及能够维持其自己及其家庭需要的公正报酬。”</w:t>
      </w:r>
    </w:p>
    <w:p w:rsidR="00000000" w:rsidRDefault="00000000">
      <w:pPr>
        <w:rPr>
          <w:rFonts w:hint="eastAsia"/>
        </w:rPr>
      </w:pPr>
      <w:r>
        <w:rPr>
          <w:rFonts w:hint="eastAsia"/>
        </w:rPr>
        <w:tab/>
        <w:t xml:space="preserve">44.  </w:t>
      </w:r>
      <w:r>
        <w:rPr>
          <w:rFonts w:hint="eastAsia"/>
        </w:rPr>
        <w:t>《劳动法》第</w:t>
      </w:r>
      <w:r>
        <w:rPr>
          <w:rFonts w:hint="eastAsia"/>
        </w:rPr>
        <w:t>1</w:t>
      </w:r>
      <w:r>
        <w:rPr>
          <w:rFonts w:hint="eastAsia"/>
        </w:rPr>
        <w:t>条就各种就业形式和条件的雇主与工人之间的关系确立了框架和方针，并包括具体立法或国际公约所规定的劳工标准。</w:t>
      </w:r>
    </w:p>
    <w:p w:rsidR="00000000" w:rsidRDefault="00000000">
      <w:pPr>
        <w:rPr>
          <w:rFonts w:hint="eastAsia"/>
        </w:rPr>
      </w:pPr>
      <w:r>
        <w:rPr>
          <w:rFonts w:hint="eastAsia"/>
        </w:rPr>
        <w:tab/>
        <w:t xml:space="preserve">45.  </w:t>
      </w:r>
      <w:r>
        <w:rPr>
          <w:rFonts w:hint="eastAsia"/>
          <w:spacing w:val="2"/>
        </w:rPr>
        <w:t>厄瓜多尔立法规定工作自由、合约自由。因此，《劳动法》第</w:t>
      </w:r>
      <w:r>
        <w:rPr>
          <w:rFonts w:hint="eastAsia"/>
          <w:spacing w:val="2"/>
        </w:rPr>
        <w:t>3</w:t>
      </w:r>
      <w:r>
        <w:rPr>
          <w:rFonts w:hint="eastAsia"/>
          <w:spacing w:val="2"/>
        </w:rPr>
        <w:t>条促进工人有权自由决定如何努力作出他们所希望作出的任何合法工作。所有工作都应当得到报酬。</w:t>
      </w:r>
    </w:p>
    <w:p w:rsidR="00000000" w:rsidRDefault="00000000">
      <w:pPr>
        <w:rPr>
          <w:rFonts w:hint="eastAsia"/>
        </w:rPr>
      </w:pPr>
      <w:r>
        <w:rPr>
          <w:rFonts w:hint="eastAsia"/>
        </w:rPr>
        <w:tab/>
        <w:t xml:space="preserve">46.  </w:t>
      </w:r>
      <w:r>
        <w:rPr>
          <w:rFonts w:hint="eastAsia"/>
        </w:rPr>
        <w:t>《妇女就业保护法》于</w:t>
      </w:r>
      <w:r>
        <w:rPr>
          <w:rFonts w:hint="eastAsia"/>
        </w:rPr>
        <w:t>1997</w:t>
      </w:r>
      <w:r>
        <w:rPr>
          <w:rFonts w:hint="eastAsia"/>
        </w:rPr>
        <w:t>年</w:t>
      </w:r>
      <w:r>
        <w:rPr>
          <w:rFonts w:hint="eastAsia"/>
        </w:rPr>
        <w:t>2</w:t>
      </w:r>
      <w:r>
        <w:rPr>
          <w:rFonts w:hint="eastAsia"/>
        </w:rPr>
        <w:t>月</w:t>
      </w:r>
      <w:r>
        <w:rPr>
          <w:rFonts w:hint="eastAsia"/>
        </w:rPr>
        <w:t>6</w:t>
      </w:r>
      <w:r>
        <w:rPr>
          <w:rFonts w:hint="eastAsia"/>
        </w:rPr>
        <w:t>日公布于《官方公告》第</w:t>
      </w:r>
      <w:r>
        <w:rPr>
          <w:rFonts w:hint="eastAsia"/>
        </w:rPr>
        <w:t>124</w:t>
      </w:r>
      <w:r>
        <w:rPr>
          <w:rFonts w:hint="eastAsia"/>
        </w:rPr>
        <w:t>号，该法对于《劳动法》作出了修改，规定了有待劳动部的部门委员会制定的雇佣妇女工人的最低配额。该法同时还修改了《司法</w:t>
      </w:r>
      <w:r>
        <w:rPr>
          <w:rFonts w:hint="eastAsia"/>
        </w:rPr>
        <w:t>(</w:t>
      </w:r>
      <w:r>
        <w:rPr>
          <w:rFonts w:hint="eastAsia"/>
        </w:rPr>
        <w:t>组织</w:t>
      </w:r>
      <w:r>
        <w:rPr>
          <w:rFonts w:hint="eastAsia"/>
        </w:rPr>
        <w:t>)</w:t>
      </w:r>
      <w:r>
        <w:rPr>
          <w:rFonts w:hint="eastAsia"/>
        </w:rPr>
        <w:t>法》，以减少对妇女歧视，其中规定高级法院法官、公证师、注册官以及其他官员中必须至少</w:t>
      </w:r>
      <w:r>
        <w:rPr>
          <w:rFonts w:hint="eastAsia"/>
        </w:rPr>
        <w:t>20%</w:t>
      </w:r>
      <w:r>
        <w:rPr>
          <w:rFonts w:hint="eastAsia"/>
        </w:rPr>
        <w:t>为妇女。</w:t>
      </w:r>
    </w:p>
    <w:p w:rsidR="00000000" w:rsidRDefault="00000000">
      <w:pPr>
        <w:spacing w:after="240"/>
        <w:rPr>
          <w:rFonts w:hint="eastAsia"/>
        </w:rPr>
      </w:pPr>
      <w:r>
        <w:rPr>
          <w:rFonts w:hint="eastAsia"/>
        </w:rPr>
        <w:tab/>
        <w:t xml:space="preserve">47.  </w:t>
      </w:r>
      <w:r>
        <w:rPr>
          <w:rFonts w:hint="eastAsia"/>
        </w:rPr>
        <w:t>根据该法第</w:t>
      </w:r>
      <w:r>
        <w:rPr>
          <w:rFonts w:hint="eastAsia"/>
        </w:rPr>
        <w:t>4</w:t>
      </w:r>
      <w:r>
        <w:rPr>
          <w:rFonts w:hint="eastAsia"/>
        </w:rPr>
        <w:t>条规定，在私营部门工作的妇女可就该法的执行情况向劳工检察员或副检察员提出投诉。</w:t>
      </w:r>
    </w:p>
    <w:p w:rsidR="00000000" w:rsidRDefault="00000000">
      <w:pPr>
        <w:pStyle w:val="Heading4"/>
        <w:spacing w:after="160"/>
        <w:rPr>
          <w:rFonts w:hint="eastAsia"/>
        </w:rPr>
      </w:pPr>
      <w:r>
        <w:rPr>
          <w:rFonts w:hint="eastAsia"/>
        </w:rPr>
        <w:t>就业政策</w:t>
      </w:r>
    </w:p>
    <w:p w:rsidR="00000000" w:rsidRDefault="00000000">
      <w:pPr>
        <w:rPr>
          <w:rFonts w:hint="eastAsia"/>
        </w:rPr>
      </w:pPr>
      <w:r>
        <w:rPr>
          <w:rFonts w:hint="eastAsia"/>
        </w:rPr>
        <w:tab/>
        <w:t xml:space="preserve">48.  </w:t>
      </w:r>
      <w:r>
        <w:rPr>
          <w:rFonts w:hint="eastAsia"/>
        </w:rPr>
        <w:t>由于厄瓜多尔经济危机所造成的问题，社会局势有所恶化，贫困和社会不公平现象有所增加。厄瓜多尔人口中有</w:t>
      </w:r>
      <w:r>
        <w:rPr>
          <w:rFonts w:hint="eastAsia"/>
        </w:rPr>
        <w:t>78.</w:t>
      </w:r>
      <w:r>
        <w:t>5%</w:t>
      </w:r>
      <w:r>
        <w:rPr>
          <w:rFonts w:hint="eastAsia"/>
        </w:rPr>
        <w:t>属于贫民，其中</w:t>
      </w:r>
      <w:r>
        <w:t>46.2%</w:t>
      </w:r>
      <w:r>
        <w:rPr>
          <w:rFonts w:hint="eastAsia"/>
        </w:rPr>
        <w:t>为赤贫，即他们的家庭不能够满足其食品最低需求。近年来，在收入贫困线以下的家庭有所增加，这对于经济发展来说构成了一个主要障碍。</w:t>
      </w:r>
    </w:p>
    <w:p w:rsidR="00000000" w:rsidRDefault="00000000">
      <w:pPr>
        <w:rPr>
          <w:rFonts w:hint="eastAsia"/>
        </w:rPr>
      </w:pPr>
      <w:r>
        <w:rPr>
          <w:rFonts w:hint="eastAsia"/>
        </w:rPr>
        <w:tab/>
        <w:t xml:space="preserve">49.  </w:t>
      </w:r>
      <w:r>
        <w:rPr>
          <w:rFonts w:hint="eastAsia"/>
        </w:rPr>
        <w:t>在农村部门的人、特别是土著人和黑人，他们生活在社会边缘，受到社会排斥。这是历史所造成的。他们的主要问题是限制得到土地、以及土地拥有十分集中。这一情况之所以持续存在，是由于</w:t>
      </w:r>
      <w:r>
        <w:rPr>
          <w:rFonts w:hint="eastAsia"/>
        </w:rPr>
        <w:t>1964</w:t>
      </w:r>
      <w:r>
        <w:rPr>
          <w:rFonts w:hint="eastAsia"/>
        </w:rPr>
        <w:t>年和</w:t>
      </w:r>
      <w:r>
        <w:rPr>
          <w:rFonts w:hint="eastAsia"/>
        </w:rPr>
        <w:t>1973</w:t>
      </w:r>
      <w:r>
        <w:rPr>
          <w:rFonts w:hint="eastAsia"/>
        </w:rPr>
        <w:t>年两项《土地改革法》重新分配土地的影响十分有限而造成的。</w:t>
      </w:r>
    </w:p>
    <w:p w:rsidR="00000000" w:rsidRDefault="00000000">
      <w:pPr>
        <w:spacing w:line="312" w:lineRule="auto"/>
        <w:rPr>
          <w:rFonts w:hint="eastAsia"/>
        </w:rPr>
      </w:pPr>
      <w:r>
        <w:rPr>
          <w:rFonts w:hint="eastAsia"/>
        </w:rPr>
        <w:tab/>
        <w:t xml:space="preserve">50.  </w:t>
      </w:r>
      <w:r>
        <w:rPr>
          <w:rFonts w:hint="eastAsia"/>
        </w:rPr>
        <w:t>农村人口在农村就业方面没有什么可选择：多数工人处于失业状况，文盲率高，教育水平低下，生活于社会边缘区，几乎享受不到基本服务。这种情况反应在生产率非常低的职业以及收入有限。这些微薄收入主要是来自维持基本生活的小自耕农土地。农业主要是根据边缘化的传统方式进行耕作。除此之外，许多农田地处山坡，没有灌溉而且水土流失，同时也没有贷款和技术援助；这些情况迫使人们从农村移居到大城市，特别是基多和加雅基等城市。在这些大城市里，他们组成了“城市贫困带”，即在城市边缘的贫民窟；在许多有类似问题的城市，此类居民点的法律地位尚未受到确定。</w:t>
      </w:r>
    </w:p>
    <w:p w:rsidR="00000000" w:rsidRDefault="00000000">
      <w:pPr>
        <w:spacing w:line="312" w:lineRule="auto"/>
        <w:rPr>
          <w:rFonts w:hint="eastAsia"/>
        </w:rPr>
      </w:pPr>
      <w:r>
        <w:rPr>
          <w:rFonts w:hint="eastAsia"/>
        </w:rPr>
        <w:tab/>
        <w:t>51.  1990</w:t>
      </w:r>
      <w:r>
        <w:rPr>
          <w:rFonts w:hint="eastAsia"/>
        </w:rPr>
        <w:t>年，厄瓜多尔农村人口为</w:t>
      </w:r>
      <w:r>
        <w:t>4,384,695,</w:t>
      </w:r>
      <w:r>
        <w:rPr>
          <w:rFonts w:hint="eastAsia"/>
        </w:rPr>
        <w:t>其中妇女占</w:t>
      </w:r>
      <w:r>
        <w:rPr>
          <w:rFonts w:hint="eastAsia"/>
        </w:rPr>
        <w:t>49%</w:t>
      </w:r>
      <w:r>
        <w:rPr>
          <w:rFonts w:hint="eastAsia"/>
        </w:rPr>
        <w:t>，男子占</w:t>
      </w:r>
      <w:r>
        <w:rPr>
          <w:rFonts w:hint="eastAsia"/>
        </w:rPr>
        <w:t>51%</w:t>
      </w:r>
      <w:r>
        <w:rPr>
          <w:rFonts w:hint="eastAsia"/>
        </w:rPr>
        <w:t>。在这些农村人口中，</w:t>
      </w:r>
      <w:r>
        <w:rPr>
          <w:rFonts w:hint="eastAsia"/>
        </w:rPr>
        <w:t>96%</w:t>
      </w:r>
      <w:r>
        <w:rPr>
          <w:rFonts w:hint="eastAsia"/>
        </w:rPr>
        <w:t>有工作：就业中男子占</w:t>
      </w:r>
      <w:r>
        <w:rPr>
          <w:rFonts w:hint="eastAsia"/>
        </w:rPr>
        <w:t>64.</w:t>
      </w:r>
      <w:r>
        <w:t>8%</w:t>
      </w:r>
      <w:r>
        <w:rPr>
          <w:rFonts w:hint="eastAsia"/>
        </w:rPr>
        <w:t>，妇女占</w:t>
      </w:r>
      <w:r>
        <w:rPr>
          <w:rFonts w:hint="eastAsia"/>
        </w:rPr>
        <w:t>35.</w:t>
      </w:r>
      <w:r>
        <w:t>2%</w:t>
      </w:r>
      <w:r>
        <w:rPr>
          <w:rFonts w:hint="eastAsia"/>
        </w:rPr>
        <w:t>。失业率为</w:t>
      </w:r>
      <w:r>
        <w:rPr>
          <w:rFonts w:hint="eastAsia"/>
        </w:rPr>
        <w:t>4%</w:t>
      </w:r>
      <w:r>
        <w:rPr>
          <w:rFonts w:hint="eastAsia"/>
        </w:rPr>
        <w:t>，在工作年龄的人口中，经济不活跃人口占</w:t>
      </w:r>
      <w:r>
        <w:t>36.9%</w:t>
      </w:r>
      <w:r>
        <w:rPr>
          <w:rFonts w:hint="eastAsia"/>
        </w:rPr>
        <w:t>。</w:t>
      </w:r>
    </w:p>
    <w:p w:rsidR="00000000" w:rsidRDefault="00000000">
      <w:pPr>
        <w:spacing w:line="312" w:lineRule="auto"/>
        <w:rPr>
          <w:rFonts w:hint="eastAsia"/>
        </w:rPr>
      </w:pPr>
      <w:r>
        <w:rPr>
          <w:rFonts w:hint="eastAsia"/>
        </w:rPr>
        <w:tab/>
        <w:t xml:space="preserve">52.  </w:t>
      </w:r>
      <w:r>
        <w:rPr>
          <w:rFonts w:hint="eastAsia"/>
        </w:rPr>
        <w:t>在农村经济部门就业的工人分布情况如下：</w:t>
      </w:r>
      <w:r>
        <w:t>14.1%</w:t>
      </w:r>
      <w:r>
        <w:rPr>
          <w:rFonts w:hint="eastAsia"/>
        </w:rPr>
        <w:t>在现代部门工作；</w:t>
      </w:r>
      <w:r>
        <w:rPr>
          <w:rFonts w:hint="eastAsia"/>
        </w:rPr>
        <w:t>85%</w:t>
      </w:r>
      <w:r>
        <w:rPr>
          <w:rFonts w:hint="eastAsia"/>
        </w:rPr>
        <w:t>在传统部门工作，</w:t>
      </w:r>
      <w:r>
        <w:t>0.9</w:t>
      </w:r>
      <w:r>
        <w:rPr>
          <w:rFonts w:hint="eastAsia"/>
        </w:rPr>
        <w:t>%</w:t>
      </w:r>
      <w:r>
        <w:rPr>
          <w:rFonts w:hint="eastAsia"/>
        </w:rPr>
        <w:t>从事家庭服务。如果按活动类型细分，</w:t>
      </w:r>
      <w:r>
        <w:rPr>
          <w:rFonts w:hint="eastAsia"/>
        </w:rPr>
        <w:t>65%</w:t>
      </w:r>
      <w:r>
        <w:rPr>
          <w:rFonts w:hint="eastAsia"/>
        </w:rPr>
        <w:t>在农业，</w:t>
      </w:r>
      <w:r>
        <w:t>10.2%</w:t>
      </w:r>
      <w:r>
        <w:rPr>
          <w:rFonts w:hint="eastAsia"/>
        </w:rPr>
        <w:t>在制造业，</w:t>
      </w:r>
      <w:r>
        <w:rPr>
          <w:rFonts w:hint="eastAsia"/>
        </w:rPr>
        <w:t>10%</w:t>
      </w:r>
      <w:r>
        <w:rPr>
          <w:rFonts w:hint="eastAsia"/>
        </w:rPr>
        <w:t>在商业和餐饮业。</w:t>
      </w:r>
    </w:p>
    <w:p w:rsidR="00000000" w:rsidRDefault="00000000">
      <w:pPr>
        <w:spacing w:after="160" w:line="312" w:lineRule="auto"/>
        <w:rPr>
          <w:rFonts w:hint="eastAsia"/>
        </w:rPr>
      </w:pPr>
      <w:r>
        <w:rPr>
          <w:rFonts w:hint="eastAsia"/>
        </w:rPr>
        <w:tab/>
        <w:t xml:space="preserve">53.  </w:t>
      </w:r>
      <w:r>
        <w:rPr>
          <w:rFonts w:hint="eastAsia"/>
        </w:rPr>
        <w:t>农业部门的失业率是</w:t>
      </w:r>
      <w:r>
        <w:rPr>
          <w:rFonts w:hint="eastAsia"/>
        </w:rPr>
        <w:t>4%</w:t>
      </w:r>
      <w:r>
        <w:rPr>
          <w:rFonts w:hint="eastAsia"/>
        </w:rPr>
        <w:t>，其中妇女占</w:t>
      </w:r>
      <w:r>
        <w:rPr>
          <w:rFonts w:hint="eastAsia"/>
        </w:rPr>
        <w:t>62%</w:t>
      </w:r>
      <w:r>
        <w:rPr>
          <w:rFonts w:hint="eastAsia"/>
        </w:rPr>
        <w:t>，男子占</w:t>
      </w:r>
      <w:r>
        <w:rPr>
          <w:rFonts w:hint="eastAsia"/>
        </w:rPr>
        <w:t>37%</w:t>
      </w:r>
      <w:r>
        <w:rPr>
          <w:rFonts w:hint="eastAsia"/>
        </w:rPr>
        <w:t>。城市的失业率往往高于农村地区的失业率。</w:t>
      </w:r>
    </w:p>
    <w:p w:rsidR="00000000" w:rsidRDefault="00000000">
      <w:pPr>
        <w:pStyle w:val="Heading3"/>
        <w:spacing w:after="240"/>
        <w:rPr>
          <w:rFonts w:hint="eastAsia"/>
        </w:rPr>
      </w:pPr>
      <w:r>
        <w:rPr>
          <w:rFonts w:hint="eastAsia"/>
        </w:rPr>
        <w:t>1990</w:t>
      </w:r>
      <w:r>
        <w:rPr>
          <w:rFonts w:hint="eastAsia"/>
        </w:rPr>
        <w:t>年农村人口总数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6"/>
        <w:gridCol w:w="2410"/>
        <w:gridCol w:w="2410"/>
      </w:tblGrid>
      <w:tr w:rsidR="00000000">
        <w:tblPrEx>
          <w:tblCellMar>
            <w:top w:w="0" w:type="dxa"/>
          </w:tblCellMar>
        </w:tblPrEx>
        <w:tc>
          <w:tcPr>
            <w:tcW w:w="4536" w:type="dxa"/>
            <w:tcBorders>
              <w:bottom w:val="single" w:sz="4" w:space="0" w:color="auto"/>
            </w:tcBorders>
          </w:tcPr>
          <w:p w:rsidR="00000000" w:rsidRDefault="00000000">
            <w:pPr>
              <w:pStyle w:val="a2"/>
              <w:spacing w:before="60" w:after="20"/>
            </w:pPr>
          </w:p>
        </w:tc>
        <w:tc>
          <w:tcPr>
            <w:tcW w:w="2410" w:type="dxa"/>
            <w:tcBorders>
              <w:bottom w:val="single" w:sz="4" w:space="0" w:color="auto"/>
            </w:tcBorders>
          </w:tcPr>
          <w:p w:rsidR="00000000" w:rsidRDefault="00000000">
            <w:pPr>
              <w:pStyle w:val="a2"/>
              <w:spacing w:before="60" w:after="20"/>
              <w:jc w:val="center"/>
              <w:rPr>
                <w:rFonts w:hint="eastAsia"/>
              </w:rPr>
            </w:pPr>
            <w:r>
              <w:rPr>
                <w:rFonts w:hint="eastAsia"/>
              </w:rPr>
              <w:t>总</w:t>
            </w:r>
            <w:r>
              <w:rPr>
                <w:rFonts w:hint="eastAsia"/>
              </w:rPr>
              <w:t xml:space="preserve">  </w:t>
            </w:r>
            <w:r>
              <w:rPr>
                <w:rFonts w:hint="eastAsia"/>
              </w:rPr>
              <w:t>数</w:t>
            </w:r>
          </w:p>
        </w:tc>
        <w:tc>
          <w:tcPr>
            <w:tcW w:w="2410" w:type="dxa"/>
            <w:tcBorders>
              <w:bottom w:val="single" w:sz="4" w:space="0" w:color="auto"/>
            </w:tcBorders>
          </w:tcPr>
          <w:p w:rsidR="00000000" w:rsidRDefault="00000000">
            <w:pPr>
              <w:pStyle w:val="a2"/>
              <w:spacing w:before="60" w:after="20"/>
              <w:jc w:val="center"/>
              <w:rPr>
                <w:rFonts w:hint="eastAsia"/>
              </w:rPr>
            </w:pPr>
            <w:r>
              <w:rPr>
                <w:rFonts w:hint="eastAsia"/>
              </w:rPr>
              <w:t>百分比</w:t>
            </w:r>
          </w:p>
        </w:tc>
      </w:tr>
      <w:tr w:rsidR="00000000">
        <w:tblPrEx>
          <w:tblCellMar>
            <w:top w:w="0" w:type="dxa"/>
          </w:tblCellMar>
        </w:tblPrEx>
        <w:tc>
          <w:tcPr>
            <w:tcW w:w="4536" w:type="dxa"/>
            <w:tcBorders>
              <w:bottom w:val="nil"/>
            </w:tcBorders>
          </w:tcPr>
          <w:p w:rsidR="00000000" w:rsidRDefault="00000000">
            <w:pPr>
              <w:pStyle w:val="a2"/>
              <w:spacing w:before="60" w:after="20" w:line="240" w:lineRule="auto"/>
              <w:rPr>
                <w:rFonts w:hint="eastAsia"/>
              </w:rPr>
            </w:pPr>
            <w:r>
              <w:rPr>
                <w:rFonts w:hint="eastAsia"/>
                <w:lang w:val="fr-FR"/>
              </w:rPr>
              <w:t>人口总数</w:t>
            </w:r>
          </w:p>
        </w:tc>
        <w:tc>
          <w:tcPr>
            <w:tcW w:w="2410" w:type="dxa"/>
            <w:tcBorders>
              <w:bottom w:val="nil"/>
            </w:tcBorders>
          </w:tcPr>
          <w:p w:rsidR="00000000" w:rsidRDefault="00000000">
            <w:pPr>
              <w:pStyle w:val="a2"/>
              <w:spacing w:before="60" w:after="20" w:line="240" w:lineRule="auto"/>
              <w:ind w:right="567"/>
              <w:jc w:val="right"/>
            </w:pPr>
            <w:r>
              <w:t>4,384,695</w:t>
            </w:r>
          </w:p>
        </w:tc>
        <w:tc>
          <w:tcPr>
            <w:tcW w:w="2410" w:type="dxa"/>
            <w:tcBorders>
              <w:bottom w:val="nil"/>
            </w:tcBorders>
          </w:tcPr>
          <w:p w:rsidR="00000000" w:rsidRDefault="00000000">
            <w:pPr>
              <w:pStyle w:val="a2"/>
              <w:tabs>
                <w:tab w:val="decimal" w:pos="1226"/>
              </w:tabs>
              <w:spacing w:before="60" w:after="20" w:line="240" w:lineRule="auto"/>
            </w:pPr>
            <w:r>
              <w:t>100</w:t>
            </w:r>
          </w:p>
        </w:tc>
      </w:tr>
      <w:tr w:rsidR="00000000">
        <w:tblPrEx>
          <w:tblCellMar>
            <w:top w:w="0" w:type="dxa"/>
          </w:tblCellMar>
        </w:tblPrEx>
        <w:tc>
          <w:tcPr>
            <w:tcW w:w="4536" w:type="dxa"/>
            <w:tcBorders>
              <w:top w:val="nil"/>
              <w:bottom w:val="nil"/>
            </w:tcBorders>
          </w:tcPr>
          <w:p w:rsidR="00000000" w:rsidRDefault="00000000">
            <w:pPr>
              <w:pStyle w:val="a2"/>
              <w:spacing w:line="240" w:lineRule="auto"/>
              <w:rPr>
                <w:rFonts w:hint="eastAsia"/>
              </w:rPr>
            </w:pPr>
            <w:r>
              <w:rPr>
                <w:rFonts w:hint="eastAsia"/>
              </w:rPr>
              <w:t>0</w:t>
            </w:r>
            <w:r>
              <w:rPr>
                <w:rFonts w:hint="eastAsia"/>
              </w:rPr>
              <w:t>至</w:t>
            </w:r>
            <w:r>
              <w:rPr>
                <w:rFonts w:hint="eastAsia"/>
              </w:rPr>
              <w:t>10</w:t>
            </w:r>
            <w:r>
              <w:rPr>
                <w:rFonts w:hint="eastAsia"/>
              </w:rPr>
              <w:t>岁的人口</w:t>
            </w:r>
          </w:p>
        </w:tc>
        <w:tc>
          <w:tcPr>
            <w:tcW w:w="2410" w:type="dxa"/>
            <w:tcBorders>
              <w:top w:val="nil"/>
              <w:bottom w:val="nil"/>
            </w:tcBorders>
          </w:tcPr>
          <w:p w:rsidR="00000000" w:rsidRDefault="00000000">
            <w:pPr>
              <w:pStyle w:val="a2"/>
              <w:spacing w:line="240" w:lineRule="auto"/>
              <w:ind w:right="567"/>
              <w:jc w:val="right"/>
            </w:pPr>
            <w:r>
              <w:t>1,235,387</w:t>
            </w:r>
          </w:p>
        </w:tc>
        <w:tc>
          <w:tcPr>
            <w:tcW w:w="2410" w:type="dxa"/>
            <w:tcBorders>
              <w:top w:val="nil"/>
              <w:bottom w:val="nil"/>
            </w:tcBorders>
          </w:tcPr>
          <w:p w:rsidR="00000000" w:rsidRDefault="00000000">
            <w:pPr>
              <w:pStyle w:val="a2"/>
              <w:tabs>
                <w:tab w:val="decimal" w:pos="1226"/>
              </w:tabs>
              <w:spacing w:line="240" w:lineRule="auto"/>
            </w:pPr>
            <w:r>
              <w:t>28.20</w:t>
            </w:r>
          </w:p>
        </w:tc>
      </w:tr>
      <w:tr w:rsidR="00000000">
        <w:tblPrEx>
          <w:tblCellMar>
            <w:top w:w="0" w:type="dxa"/>
          </w:tblCellMar>
        </w:tblPrEx>
        <w:tc>
          <w:tcPr>
            <w:tcW w:w="4536" w:type="dxa"/>
            <w:tcBorders>
              <w:top w:val="nil"/>
              <w:bottom w:val="nil"/>
            </w:tcBorders>
          </w:tcPr>
          <w:p w:rsidR="00000000" w:rsidRDefault="00000000">
            <w:pPr>
              <w:pStyle w:val="a2"/>
              <w:spacing w:line="240" w:lineRule="auto"/>
              <w:rPr>
                <w:rFonts w:hint="eastAsia"/>
              </w:rPr>
            </w:pPr>
            <w:r>
              <w:rPr>
                <w:rFonts w:hint="eastAsia"/>
              </w:rPr>
              <w:t>工作年龄人口</w:t>
            </w:r>
          </w:p>
        </w:tc>
        <w:tc>
          <w:tcPr>
            <w:tcW w:w="2410" w:type="dxa"/>
            <w:tcBorders>
              <w:top w:val="nil"/>
              <w:bottom w:val="nil"/>
            </w:tcBorders>
          </w:tcPr>
          <w:p w:rsidR="00000000" w:rsidRDefault="00000000">
            <w:pPr>
              <w:pStyle w:val="a2"/>
              <w:spacing w:line="240" w:lineRule="auto"/>
              <w:ind w:right="567"/>
              <w:jc w:val="right"/>
            </w:pPr>
            <w:r>
              <w:t>3,149,308</w:t>
            </w:r>
          </w:p>
        </w:tc>
        <w:tc>
          <w:tcPr>
            <w:tcW w:w="2410" w:type="dxa"/>
            <w:tcBorders>
              <w:top w:val="nil"/>
              <w:bottom w:val="nil"/>
            </w:tcBorders>
          </w:tcPr>
          <w:p w:rsidR="00000000" w:rsidRDefault="00000000">
            <w:pPr>
              <w:pStyle w:val="a2"/>
              <w:tabs>
                <w:tab w:val="decimal" w:pos="1226"/>
              </w:tabs>
              <w:spacing w:line="240" w:lineRule="auto"/>
            </w:pPr>
            <w:r>
              <w:t>71.80</w:t>
            </w:r>
          </w:p>
        </w:tc>
      </w:tr>
      <w:tr w:rsidR="00000000">
        <w:tblPrEx>
          <w:tblCellMar>
            <w:top w:w="0" w:type="dxa"/>
          </w:tblCellMar>
        </w:tblPrEx>
        <w:tc>
          <w:tcPr>
            <w:tcW w:w="4536" w:type="dxa"/>
            <w:tcBorders>
              <w:top w:val="nil"/>
              <w:bottom w:val="nil"/>
            </w:tcBorders>
          </w:tcPr>
          <w:p w:rsidR="00000000" w:rsidRDefault="00000000">
            <w:pPr>
              <w:pStyle w:val="a2"/>
              <w:spacing w:line="240" w:lineRule="auto"/>
              <w:rPr>
                <w:rFonts w:hint="eastAsia"/>
              </w:rPr>
            </w:pPr>
            <w:r>
              <w:rPr>
                <w:rFonts w:hint="eastAsia"/>
              </w:rPr>
              <w:t>经济活跃人口</w:t>
            </w:r>
          </w:p>
        </w:tc>
        <w:tc>
          <w:tcPr>
            <w:tcW w:w="2410" w:type="dxa"/>
            <w:tcBorders>
              <w:top w:val="nil"/>
              <w:bottom w:val="nil"/>
            </w:tcBorders>
          </w:tcPr>
          <w:p w:rsidR="00000000" w:rsidRDefault="00000000">
            <w:pPr>
              <w:pStyle w:val="a2"/>
              <w:spacing w:line="240" w:lineRule="auto"/>
              <w:ind w:right="567"/>
              <w:jc w:val="right"/>
            </w:pPr>
            <w:r>
              <w:t>1,986,435</w:t>
            </w:r>
          </w:p>
        </w:tc>
        <w:tc>
          <w:tcPr>
            <w:tcW w:w="2410" w:type="dxa"/>
            <w:tcBorders>
              <w:top w:val="nil"/>
              <w:bottom w:val="nil"/>
            </w:tcBorders>
          </w:tcPr>
          <w:p w:rsidR="00000000" w:rsidRDefault="00000000">
            <w:pPr>
              <w:pStyle w:val="a2"/>
              <w:tabs>
                <w:tab w:val="decimal" w:pos="1226"/>
              </w:tabs>
              <w:spacing w:line="240" w:lineRule="auto"/>
            </w:pPr>
            <w:r>
              <w:t>63.10</w:t>
            </w:r>
          </w:p>
        </w:tc>
      </w:tr>
      <w:tr w:rsidR="00000000">
        <w:tblPrEx>
          <w:tblCellMar>
            <w:top w:w="0" w:type="dxa"/>
          </w:tblCellMar>
        </w:tblPrEx>
        <w:tc>
          <w:tcPr>
            <w:tcW w:w="4536" w:type="dxa"/>
            <w:tcBorders>
              <w:top w:val="nil"/>
              <w:bottom w:val="nil"/>
            </w:tcBorders>
          </w:tcPr>
          <w:p w:rsidR="00000000" w:rsidRDefault="00000000">
            <w:pPr>
              <w:pStyle w:val="a2"/>
              <w:spacing w:line="240" w:lineRule="auto"/>
              <w:rPr>
                <w:rFonts w:hint="eastAsia"/>
              </w:rPr>
            </w:pPr>
            <w:r>
              <w:rPr>
                <w:rFonts w:hint="eastAsia"/>
              </w:rPr>
              <w:t>失业</w:t>
            </w:r>
          </w:p>
        </w:tc>
        <w:tc>
          <w:tcPr>
            <w:tcW w:w="2410" w:type="dxa"/>
            <w:tcBorders>
              <w:top w:val="nil"/>
              <w:bottom w:val="nil"/>
            </w:tcBorders>
          </w:tcPr>
          <w:p w:rsidR="00000000" w:rsidRDefault="00000000">
            <w:pPr>
              <w:pStyle w:val="a2"/>
              <w:spacing w:line="240" w:lineRule="auto"/>
              <w:ind w:right="567"/>
              <w:jc w:val="right"/>
            </w:pPr>
            <w:r>
              <w:t>79,563</w:t>
            </w:r>
          </w:p>
        </w:tc>
        <w:tc>
          <w:tcPr>
            <w:tcW w:w="2410" w:type="dxa"/>
            <w:tcBorders>
              <w:top w:val="nil"/>
              <w:bottom w:val="nil"/>
            </w:tcBorders>
          </w:tcPr>
          <w:p w:rsidR="00000000" w:rsidRDefault="00000000">
            <w:pPr>
              <w:pStyle w:val="a2"/>
              <w:tabs>
                <w:tab w:val="decimal" w:pos="1226"/>
              </w:tabs>
              <w:spacing w:line="240" w:lineRule="auto"/>
            </w:pPr>
            <w:r>
              <w:t>4</w:t>
            </w:r>
          </w:p>
        </w:tc>
      </w:tr>
      <w:tr w:rsidR="00000000">
        <w:tblPrEx>
          <w:tblCellMar>
            <w:top w:w="0" w:type="dxa"/>
          </w:tblCellMar>
        </w:tblPrEx>
        <w:tc>
          <w:tcPr>
            <w:tcW w:w="4536" w:type="dxa"/>
            <w:tcBorders>
              <w:top w:val="nil"/>
              <w:bottom w:val="nil"/>
            </w:tcBorders>
          </w:tcPr>
          <w:p w:rsidR="00000000" w:rsidRDefault="00000000">
            <w:pPr>
              <w:pStyle w:val="a2"/>
              <w:spacing w:line="240" w:lineRule="auto"/>
              <w:rPr>
                <w:rFonts w:hint="eastAsia"/>
              </w:rPr>
            </w:pPr>
            <w:r>
              <w:rPr>
                <w:rFonts w:hint="eastAsia"/>
              </w:rPr>
              <w:t>就业总人口</w:t>
            </w:r>
          </w:p>
        </w:tc>
        <w:tc>
          <w:tcPr>
            <w:tcW w:w="2410" w:type="dxa"/>
            <w:tcBorders>
              <w:top w:val="nil"/>
              <w:bottom w:val="nil"/>
            </w:tcBorders>
          </w:tcPr>
          <w:p w:rsidR="00000000" w:rsidRDefault="00000000">
            <w:pPr>
              <w:pStyle w:val="a2"/>
              <w:spacing w:line="240" w:lineRule="auto"/>
              <w:ind w:right="567"/>
              <w:jc w:val="right"/>
            </w:pPr>
            <w:r>
              <w:t>1,906,872</w:t>
            </w:r>
          </w:p>
        </w:tc>
        <w:tc>
          <w:tcPr>
            <w:tcW w:w="2410" w:type="dxa"/>
            <w:tcBorders>
              <w:top w:val="nil"/>
              <w:bottom w:val="nil"/>
            </w:tcBorders>
          </w:tcPr>
          <w:p w:rsidR="00000000" w:rsidRDefault="00000000">
            <w:pPr>
              <w:pStyle w:val="a2"/>
              <w:tabs>
                <w:tab w:val="decimal" w:pos="1226"/>
              </w:tabs>
              <w:spacing w:line="240" w:lineRule="auto"/>
            </w:pPr>
            <w:r>
              <w:t>100</w:t>
            </w:r>
          </w:p>
        </w:tc>
      </w:tr>
      <w:tr w:rsidR="00000000">
        <w:tblPrEx>
          <w:tblCellMar>
            <w:top w:w="0" w:type="dxa"/>
          </w:tblCellMar>
        </w:tblPrEx>
        <w:tc>
          <w:tcPr>
            <w:tcW w:w="4536" w:type="dxa"/>
            <w:tcBorders>
              <w:top w:val="nil"/>
              <w:bottom w:val="nil"/>
            </w:tcBorders>
          </w:tcPr>
          <w:p w:rsidR="00000000" w:rsidRDefault="00000000">
            <w:pPr>
              <w:pStyle w:val="a2"/>
              <w:spacing w:line="240" w:lineRule="auto"/>
              <w:rPr>
                <w:rFonts w:hint="eastAsia"/>
              </w:rPr>
            </w:pPr>
            <w:r>
              <w:rPr>
                <w:rFonts w:hint="eastAsia"/>
              </w:rPr>
              <w:t>现代部门</w:t>
            </w:r>
          </w:p>
        </w:tc>
        <w:tc>
          <w:tcPr>
            <w:tcW w:w="2410" w:type="dxa"/>
            <w:tcBorders>
              <w:top w:val="nil"/>
              <w:bottom w:val="nil"/>
            </w:tcBorders>
          </w:tcPr>
          <w:p w:rsidR="00000000" w:rsidRDefault="00000000">
            <w:pPr>
              <w:pStyle w:val="a2"/>
              <w:spacing w:line="240" w:lineRule="auto"/>
              <w:ind w:right="567"/>
              <w:jc w:val="right"/>
            </w:pPr>
            <w:r>
              <w:t>268,122</w:t>
            </w:r>
          </w:p>
        </w:tc>
        <w:tc>
          <w:tcPr>
            <w:tcW w:w="2410" w:type="dxa"/>
            <w:tcBorders>
              <w:top w:val="nil"/>
              <w:bottom w:val="nil"/>
            </w:tcBorders>
          </w:tcPr>
          <w:p w:rsidR="00000000" w:rsidRDefault="00000000">
            <w:pPr>
              <w:pStyle w:val="a2"/>
              <w:tabs>
                <w:tab w:val="decimal" w:pos="1226"/>
              </w:tabs>
              <w:spacing w:line="240" w:lineRule="auto"/>
            </w:pPr>
            <w:r>
              <w:t>14.10</w:t>
            </w:r>
          </w:p>
        </w:tc>
      </w:tr>
      <w:tr w:rsidR="00000000">
        <w:tblPrEx>
          <w:tblCellMar>
            <w:top w:w="0" w:type="dxa"/>
          </w:tblCellMar>
        </w:tblPrEx>
        <w:tc>
          <w:tcPr>
            <w:tcW w:w="4536" w:type="dxa"/>
            <w:tcBorders>
              <w:top w:val="nil"/>
              <w:bottom w:val="nil"/>
            </w:tcBorders>
          </w:tcPr>
          <w:p w:rsidR="00000000" w:rsidRDefault="00000000">
            <w:pPr>
              <w:pStyle w:val="a2"/>
              <w:spacing w:line="240" w:lineRule="auto"/>
              <w:rPr>
                <w:rFonts w:hint="eastAsia"/>
              </w:rPr>
            </w:pPr>
            <w:r>
              <w:rPr>
                <w:rFonts w:hint="eastAsia"/>
              </w:rPr>
              <w:t>传统部门</w:t>
            </w:r>
          </w:p>
        </w:tc>
        <w:tc>
          <w:tcPr>
            <w:tcW w:w="2410" w:type="dxa"/>
            <w:tcBorders>
              <w:top w:val="nil"/>
              <w:bottom w:val="nil"/>
            </w:tcBorders>
          </w:tcPr>
          <w:p w:rsidR="00000000" w:rsidRDefault="00000000">
            <w:pPr>
              <w:pStyle w:val="a2"/>
              <w:spacing w:line="240" w:lineRule="auto"/>
              <w:ind w:right="567"/>
              <w:jc w:val="right"/>
            </w:pPr>
            <w:r>
              <w:t>1,621,361</w:t>
            </w:r>
          </w:p>
        </w:tc>
        <w:tc>
          <w:tcPr>
            <w:tcW w:w="2410" w:type="dxa"/>
            <w:tcBorders>
              <w:top w:val="nil"/>
              <w:bottom w:val="nil"/>
            </w:tcBorders>
          </w:tcPr>
          <w:p w:rsidR="00000000" w:rsidRDefault="00000000">
            <w:pPr>
              <w:pStyle w:val="a2"/>
              <w:tabs>
                <w:tab w:val="decimal" w:pos="1226"/>
              </w:tabs>
              <w:spacing w:line="240" w:lineRule="auto"/>
            </w:pPr>
            <w:r>
              <w:t>85</w:t>
            </w:r>
          </w:p>
        </w:tc>
      </w:tr>
      <w:tr w:rsidR="00000000">
        <w:tblPrEx>
          <w:tblCellMar>
            <w:top w:w="0" w:type="dxa"/>
          </w:tblCellMar>
        </w:tblPrEx>
        <w:tc>
          <w:tcPr>
            <w:tcW w:w="4536" w:type="dxa"/>
            <w:tcBorders>
              <w:top w:val="nil"/>
              <w:bottom w:val="nil"/>
            </w:tcBorders>
          </w:tcPr>
          <w:p w:rsidR="00000000" w:rsidRDefault="00000000">
            <w:pPr>
              <w:pStyle w:val="a2"/>
              <w:spacing w:line="240" w:lineRule="auto"/>
              <w:rPr>
                <w:rFonts w:hint="eastAsia"/>
              </w:rPr>
            </w:pPr>
            <w:r>
              <w:rPr>
                <w:rFonts w:hint="eastAsia"/>
              </w:rPr>
              <w:t>家庭服务</w:t>
            </w:r>
          </w:p>
        </w:tc>
        <w:tc>
          <w:tcPr>
            <w:tcW w:w="2410" w:type="dxa"/>
            <w:tcBorders>
              <w:top w:val="nil"/>
              <w:bottom w:val="nil"/>
            </w:tcBorders>
          </w:tcPr>
          <w:p w:rsidR="00000000" w:rsidRDefault="00000000">
            <w:pPr>
              <w:pStyle w:val="a2"/>
              <w:spacing w:line="240" w:lineRule="auto"/>
              <w:ind w:right="567"/>
              <w:jc w:val="right"/>
            </w:pPr>
            <w:r>
              <w:t>17,389</w:t>
            </w:r>
          </w:p>
        </w:tc>
        <w:tc>
          <w:tcPr>
            <w:tcW w:w="2410" w:type="dxa"/>
            <w:tcBorders>
              <w:top w:val="nil"/>
              <w:bottom w:val="nil"/>
            </w:tcBorders>
          </w:tcPr>
          <w:p w:rsidR="00000000" w:rsidRDefault="00000000">
            <w:pPr>
              <w:pStyle w:val="a2"/>
              <w:tabs>
                <w:tab w:val="decimal" w:pos="1226"/>
              </w:tabs>
              <w:spacing w:line="240" w:lineRule="auto"/>
            </w:pPr>
            <w:r>
              <w:t>0.91</w:t>
            </w:r>
          </w:p>
        </w:tc>
      </w:tr>
      <w:tr w:rsidR="00000000">
        <w:tblPrEx>
          <w:tblCellMar>
            <w:top w:w="0" w:type="dxa"/>
          </w:tblCellMar>
        </w:tblPrEx>
        <w:tc>
          <w:tcPr>
            <w:tcW w:w="4536" w:type="dxa"/>
            <w:tcBorders>
              <w:top w:val="nil"/>
            </w:tcBorders>
          </w:tcPr>
          <w:p w:rsidR="00000000" w:rsidRDefault="00000000">
            <w:pPr>
              <w:pStyle w:val="a2"/>
              <w:spacing w:line="240" w:lineRule="auto"/>
              <w:rPr>
                <w:rFonts w:hint="eastAsia"/>
              </w:rPr>
            </w:pPr>
            <w:r>
              <w:rPr>
                <w:rFonts w:hint="eastAsia"/>
              </w:rPr>
              <w:t>经济上不活跃人口</w:t>
            </w:r>
          </w:p>
        </w:tc>
        <w:tc>
          <w:tcPr>
            <w:tcW w:w="2410" w:type="dxa"/>
            <w:tcBorders>
              <w:top w:val="nil"/>
            </w:tcBorders>
          </w:tcPr>
          <w:p w:rsidR="00000000" w:rsidRDefault="00000000">
            <w:pPr>
              <w:pStyle w:val="a2"/>
              <w:spacing w:line="240" w:lineRule="auto"/>
              <w:ind w:right="567"/>
              <w:jc w:val="right"/>
            </w:pPr>
            <w:r>
              <w:t>1,162,873</w:t>
            </w:r>
          </w:p>
        </w:tc>
        <w:tc>
          <w:tcPr>
            <w:tcW w:w="2410" w:type="dxa"/>
            <w:tcBorders>
              <w:top w:val="nil"/>
            </w:tcBorders>
          </w:tcPr>
          <w:p w:rsidR="00000000" w:rsidRDefault="00000000">
            <w:pPr>
              <w:pStyle w:val="a2"/>
              <w:tabs>
                <w:tab w:val="decimal" w:pos="1226"/>
              </w:tabs>
              <w:spacing w:line="240" w:lineRule="auto"/>
            </w:pPr>
            <w:r>
              <w:t>36.90</w:t>
            </w:r>
          </w:p>
        </w:tc>
      </w:tr>
    </w:tbl>
    <w:p w:rsidR="00000000" w:rsidRDefault="00000000">
      <w:pPr>
        <w:pStyle w:val="EndnoteText"/>
        <w:spacing w:before="240" w:after="200"/>
        <w:rPr>
          <w:rFonts w:hint="eastAsia"/>
          <w:sz w:val="22"/>
        </w:rPr>
      </w:pPr>
      <w:r>
        <w:rPr>
          <w:rFonts w:hint="eastAsia"/>
          <w:sz w:val="22"/>
          <w:u w:val="single"/>
        </w:rPr>
        <w:t>资料来源</w:t>
      </w:r>
      <w:r>
        <w:rPr>
          <w:rFonts w:hint="eastAsia"/>
          <w:sz w:val="22"/>
        </w:rPr>
        <w:t>：国家就业研究所，</w:t>
      </w:r>
      <w:r>
        <w:rPr>
          <w:sz w:val="22"/>
        </w:rPr>
        <w:t>Encuesta Permanente de</w:t>
      </w:r>
      <w:r>
        <w:rPr>
          <w:rFonts w:hint="eastAsia"/>
          <w:sz w:val="22"/>
        </w:rPr>
        <w:t xml:space="preserve"> </w:t>
      </w:r>
      <w:r>
        <w:rPr>
          <w:sz w:val="22"/>
        </w:rPr>
        <w:t>Hogares, Empleo, Subempleo, Desempleo(</w:t>
      </w:r>
      <w:r>
        <w:rPr>
          <w:rFonts w:hint="eastAsia"/>
          <w:sz w:val="22"/>
        </w:rPr>
        <w:t>家庭、就业、就业不足和失业常设普查</w:t>
      </w:r>
      <w:r>
        <w:rPr>
          <w:rFonts w:hint="eastAsia"/>
          <w:sz w:val="22"/>
        </w:rPr>
        <w:t>)</w:t>
      </w:r>
      <w:r>
        <w:rPr>
          <w:rFonts w:hint="eastAsia"/>
          <w:sz w:val="22"/>
        </w:rPr>
        <w:t>。</w:t>
      </w:r>
    </w:p>
    <w:p w:rsidR="00000000" w:rsidRDefault="00000000">
      <w:pPr>
        <w:rPr>
          <w:rFonts w:hint="eastAsia"/>
        </w:rPr>
      </w:pPr>
      <w:r>
        <w:rPr>
          <w:rFonts w:hint="eastAsia"/>
        </w:rPr>
        <w:tab/>
        <w:t xml:space="preserve">54.  </w:t>
      </w:r>
      <w:r>
        <w:rPr>
          <w:rFonts w:hint="eastAsia"/>
        </w:rPr>
        <w:t>根据社会阵线秘书处进行的一项调查，</w:t>
      </w:r>
      <w:r>
        <w:rPr>
          <w:rFonts w:hint="eastAsia"/>
        </w:rPr>
        <w:t>1994</w:t>
      </w:r>
      <w:r>
        <w:rPr>
          <w:rFonts w:hint="eastAsia"/>
        </w:rPr>
        <w:t>年农村贫困率约为</w:t>
      </w:r>
      <w:r>
        <w:rPr>
          <w:rFonts w:hint="eastAsia"/>
        </w:rPr>
        <w:t>70%</w:t>
      </w:r>
      <w:r>
        <w:rPr>
          <w:rFonts w:hint="eastAsia"/>
        </w:rPr>
        <w:t>左右，而城市贫困率则在</w:t>
      </w:r>
      <w:r>
        <w:rPr>
          <w:rFonts w:hint="eastAsia"/>
        </w:rPr>
        <w:t>35%</w:t>
      </w:r>
      <w:r>
        <w:rPr>
          <w:rFonts w:hint="eastAsia"/>
        </w:rPr>
        <w:t>。“在土著居民为主的地区和国内其他地区之间，也存在着非常广泛的社会差异：虽然</w:t>
      </w:r>
      <w:r>
        <w:rPr>
          <w:rFonts w:hint="eastAsia"/>
        </w:rPr>
        <w:t>1994</w:t>
      </w:r>
      <w:r>
        <w:rPr>
          <w:rFonts w:hint="eastAsia"/>
        </w:rPr>
        <w:t>年全国贫困率为</w:t>
      </w:r>
      <w:r>
        <w:rPr>
          <w:rFonts w:hint="eastAsia"/>
        </w:rPr>
        <w:t>52%</w:t>
      </w:r>
      <w:r>
        <w:rPr>
          <w:rFonts w:hint="eastAsia"/>
        </w:rPr>
        <w:t>，但在土著居民中贫困率为</w:t>
      </w:r>
      <w:r>
        <w:rPr>
          <w:rFonts w:hint="eastAsia"/>
        </w:rPr>
        <w:t>80%</w:t>
      </w:r>
      <w:r>
        <w:t>[……]</w:t>
      </w:r>
      <w:r>
        <w:rPr>
          <w:rFonts w:hint="eastAsia"/>
        </w:rPr>
        <w:t>。就地区而言，在东部地区和其他地区之间存在着相当大的差距。东部地区是存在大规模赤贫现象的唯一地区：因此东部地区的农村，生活条件最差，而在</w:t>
      </w:r>
      <w:r>
        <w:t>Orellana</w:t>
      </w:r>
      <w:r>
        <w:rPr>
          <w:rFonts w:hint="eastAsia"/>
        </w:rPr>
        <w:t>(</w:t>
      </w:r>
      <w:r>
        <w:rPr>
          <w:rFonts w:hint="eastAsia"/>
        </w:rPr>
        <w:t>纳波省</w:t>
      </w:r>
      <w:r>
        <w:t>)</w:t>
      </w:r>
      <w:r>
        <w:rPr>
          <w:rFonts w:hint="eastAsia"/>
        </w:rPr>
        <w:t>、</w:t>
      </w:r>
      <w:r>
        <w:t>Morona (</w:t>
      </w:r>
      <w:r>
        <w:rPr>
          <w:rFonts w:hint="eastAsia"/>
        </w:rPr>
        <w:t>莫罗纳</w:t>
      </w:r>
      <w:r>
        <w:rPr>
          <w:rFonts w:hint="eastAsia"/>
        </w:rPr>
        <w:t>-</w:t>
      </w:r>
      <w:r>
        <w:rPr>
          <w:rFonts w:hint="eastAsia"/>
        </w:rPr>
        <w:t>圣地亚哥省</w:t>
      </w:r>
      <w:r>
        <w:t>)</w:t>
      </w:r>
      <w:r>
        <w:rPr>
          <w:rFonts w:hint="eastAsia"/>
        </w:rPr>
        <w:t>以及</w:t>
      </w:r>
      <w:r>
        <w:t>Lago Agrio (</w:t>
      </w:r>
      <w:r>
        <w:rPr>
          <w:rFonts w:hint="eastAsia"/>
        </w:rPr>
        <w:t>苏古姆比奥斯省</w:t>
      </w:r>
      <w:r>
        <w:t>)</w:t>
      </w:r>
      <w:r>
        <w:rPr>
          <w:rFonts w:hint="eastAsia"/>
        </w:rPr>
        <w:t>等地区，贫困率达到</w:t>
      </w:r>
      <w:r>
        <w:rPr>
          <w:rFonts w:hint="eastAsia"/>
        </w:rPr>
        <w:t>95%</w:t>
      </w:r>
      <w:r>
        <w:rPr>
          <w:rFonts w:hint="eastAsia"/>
        </w:rPr>
        <w:t>或者更高。亚马逊河流域的农村地区贫困与基础设施上面的差距、低工资以及特别是农业生产率低下有着密切的关系</w:t>
      </w:r>
      <w:r>
        <w:t>[……]</w:t>
      </w:r>
      <w:r>
        <w:rPr>
          <w:rFonts w:hint="eastAsia"/>
        </w:rPr>
        <w:t>。在沿海地区和高原地区，尽管总的贫困率和赤贫的水平相仿，但这两个地区的社会贫困性质却不一样。农村贫困现象仅涉及高原地区，特别是洛哈省</w:t>
      </w:r>
      <w:r>
        <w:rPr>
          <w:rFonts w:hint="eastAsia"/>
        </w:rPr>
        <w:t>(84%)</w:t>
      </w:r>
      <w:r>
        <w:rPr>
          <w:rFonts w:hint="eastAsia"/>
        </w:rPr>
        <w:t>、钦博拉索省</w:t>
      </w:r>
      <w:r>
        <w:t>(81%)</w:t>
      </w:r>
      <w:r>
        <w:rPr>
          <w:rFonts w:hint="eastAsia"/>
        </w:rPr>
        <w:t>以及科多托帕克希省</w:t>
      </w:r>
      <w:r>
        <w:t>(80%)</w:t>
      </w:r>
      <w:r>
        <w:rPr>
          <w:rFonts w:hint="eastAsia"/>
        </w:rPr>
        <w:t>。一般而言，沿海地区的农村贫困少于高原地区。”</w:t>
      </w:r>
      <w:r>
        <w:rPr>
          <w:rStyle w:val="EndnoteReference"/>
        </w:rPr>
        <w:endnoteReference w:id="13"/>
      </w:r>
    </w:p>
    <w:p w:rsidR="00000000" w:rsidRDefault="00000000">
      <w:pPr>
        <w:spacing w:after="240"/>
      </w:pPr>
      <w:r>
        <w:rPr>
          <w:rFonts w:hint="eastAsia"/>
        </w:rPr>
        <w:tab/>
        <w:t xml:space="preserve">55.  </w:t>
      </w:r>
      <w:r>
        <w:rPr>
          <w:rFonts w:hint="eastAsia"/>
        </w:rPr>
        <w:t>在城市部门，公开失业率从</w:t>
      </w:r>
      <w:r>
        <w:rPr>
          <w:rFonts w:hint="eastAsia"/>
        </w:rPr>
        <w:t>1990</w:t>
      </w:r>
      <w:r>
        <w:rPr>
          <w:rFonts w:hint="eastAsia"/>
        </w:rPr>
        <w:t>年的</w:t>
      </w:r>
      <w:r>
        <w:rPr>
          <w:rFonts w:hint="eastAsia"/>
        </w:rPr>
        <w:t>6.</w:t>
      </w:r>
      <w:r>
        <w:t>1%</w:t>
      </w:r>
      <w:r>
        <w:rPr>
          <w:rFonts w:hint="eastAsia"/>
        </w:rPr>
        <w:t>增加到</w:t>
      </w:r>
      <w:r>
        <w:rPr>
          <w:rFonts w:hint="eastAsia"/>
        </w:rPr>
        <w:t>1995</w:t>
      </w:r>
      <w:r>
        <w:rPr>
          <w:rFonts w:hint="eastAsia"/>
        </w:rPr>
        <w:t>年的</w:t>
      </w:r>
      <w:r>
        <w:rPr>
          <w:rFonts w:hint="eastAsia"/>
        </w:rPr>
        <w:t>6.</w:t>
      </w:r>
      <w:r>
        <w:t>9%</w:t>
      </w:r>
      <w:r>
        <w:rPr>
          <w:rFonts w:hint="eastAsia"/>
        </w:rPr>
        <w:t>，又从</w:t>
      </w:r>
      <w:r>
        <w:rPr>
          <w:rFonts w:hint="eastAsia"/>
        </w:rPr>
        <w:t>1998</w:t>
      </w:r>
      <w:r>
        <w:rPr>
          <w:rFonts w:hint="eastAsia"/>
        </w:rPr>
        <w:t>年的</w:t>
      </w:r>
      <w:r>
        <w:t>11.5%</w:t>
      </w:r>
      <w:r>
        <w:rPr>
          <w:rFonts w:hint="eastAsia"/>
        </w:rPr>
        <w:t>增加到</w:t>
      </w:r>
      <w:r>
        <w:rPr>
          <w:rFonts w:hint="eastAsia"/>
        </w:rPr>
        <w:t>1999</w:t>
      </w:r>
      <w:r>
        <w:rPr>
          <w:rFonts w:hint="eastAsia"/>
        </w:rPr>
        <w:t>年的</w:t>
      </w:r>
      <w:r>
        <w:t>14.4%</w:t>
      </w:r>
      <w:r>
        <w:rPr>
          <w:rFonts w:hint="eastAsia"/>
        </w:rPr>
        <w:t>；在</w:t>
      </w:r>
      <w:r>
        <w:rPr>
          <w:rFonts w:hint="eastAsia"/>
        </w:rPr>
        <w:t>1995</w:t>
      </w:r>
      <w:r>
        <w:rPr>
          <w:rFonts w:hint="eastAsia"/>
        </w:rPr>
        <w:t>年至</w:t>
      </w:r>
      <w:r>
        <w:rPr>
          <w:rFonts w:hint="eastAsia"/>
        </w:rPr>
        <w:t>1998</w:t>
      </w:r>
      <w:r>
        <w:rPr>
          <w:rFonts w:hint="eastAsia"/>
        </w:rPr>
        <w:t>年期间，失业率增长了</w:t>
      </w:r>
      <w:r>
        <w:t>66.7%</w:t>
      </w:r>
      <w:r>
        <w:rPr>
          <w:rFonts w:hint="eastAsia"/>
        </w:rPr>
        <w:t>，在</w:t>
      </w:r>
      <w:r>
        <w:rPr>
          <w:rFonts w:hint="eastAsia"/>
        </w:rPr>
        <w:t>1997</w:t>
      </w:r>
      <w:r>
        <w:rPr>
          <w:rFonts w:hint="eastAsia"/>
        </w:rPr>
        <w:t>年和</w:t>
      </w:r>
      <w:r>
        <w:rPr>
          <w:rFonts w:hint="eastAsia"/>
        </w:rPr>
        <w:t>1998</w:t>
      </w:r>
      <w:r>
        <w:rPr>
          <w:rFonts w:hint="eastAsia"/>
        </w:rPr>
        <w:t>年期间，增长了</w:t>
      </w:r>
      <w:r>
        <w:t>25.22%</w:t>
      </w:r>
      <w:r>
        <w:rPr>
          <w:rFonts w:hint="eastAsia"/>
        </w:rPr>
        <w:t>。失业影响了收入低下的大型家庭。</w:t>
      </w:r>
      <w:r>
        <w:rPr>
          <w:rFonts w:hint="eastAsia"/>
        </w:rPr>
        <w:t>2002</w:t>
      </w:r>
      <w:r>
        <w:rPr>
          <w:rFonts w:hint="eastAsia"/>
        </w:rPr>
        <w:t>年，由于移民和经济复苏，失业率急剧下降。</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1"/>
        <w:gridCol w:w="3190"/>
        <w:gridCol w:w="3191"/>
      </w:tblGrid>
      <w:tr w:rsidR="00000000">
        <w:tblPrEx>
          <w:tblCellMar>
            <w:top w:w="0" w:type="dxa"/>
            <w:bottom w:w="0" w:type="dxa"/>
          </w:tblCellMar>
        </w:tblPrEx>
        <w:tc>
          <w:tcPr>
            <w:tcW w:w="3081" w:type="dxa"/>
          </w:tcPr>
          <w:p w:rsidR="00000000" w:rsidRDefault="00000000">
            <w:pPr>
              <w:pStyle w:val="a2"/>
              <w:spacing w:before="60" w:after="20" w:line="240" w:lineRule="auto"/>
              <w:jc w:val="center"/>
              <w:rPr>
                <w:rFonts w:hint="eastAsia"/>
              </w:rPr>
            </w:pPr>
            <w:r>
              <w:rPr>
                <w:rFonts w:hint="eastAsia"/>
              </w:rPr>
              <w:t>时</w:t>
            </w:r>
            <w:r>
              <w:rPr>
                <w:rFonts w:hint="eastAsia"/>
              </w:rPr>
              <w:t xml:space="preserve">  </w:t>
            </w:r>
            <w:r>
              <w:rPr>
                <w:rFonts w:hint="eastAsia"/>
              </w:rPr>
              <w:t>期</w:t>
            </w:r>
          </w:p>
        </w:tc>
        <w:tc>
          <w:tcPr>
            <w:tcW w:w="3190" w:type="dxa"/>
          </w:tcPr>
          <w:p w:rsidR="00000000" w:rsidRDefault="00000000">
            <w:pPr>
              <w:pStyle w:val="a2"/>
              <w:spacing w:before="60" w:after="20" w:line="240" w:lineRule="auto"/>
              <w:jc w:val="center"/>
              <w:rPr>
                <w:rFonts w:hint="eastAsia"/>
              </w:rPr>
            </w:pPr>
            <w:r>
              <w:rPr>
                <w:rFonts w:hint="eastAsia"/>
              </w:rPr>
              <w:t>失</w:t>
            </w:r>
            <w:r>
              <w:rPr>
                <w:rFonts w:hint="eastAsia"/>
              </w:rPr>
              <w:t xml:space="preserve">  </w:t>
            </w:r>
            <w:r>
              <w:rPr>
                <w:rFonts w:hint="eastAsia"/>
              </w:rPr>
              <w:t>业</w:t>
            </w:r>
          </w:p>
        </w:tc>
        <w:tc>
          <w:tcPr>
            <w:tcW w:w="3191" w:type="dxa"/>
          </w:tcPr>
          <w:p w:rsidR="00000000" w:rsidRDefault="00000000">
            <w:pPr>
              <w:pStyle w:val="a2"/>
              <w:spacing w:before="60" w:after="20" w:line="240" w:lineRule="auto"/>
              <w:jc w:val="center"/>
              <w:rPr>
                <w:rFonts w:hint="eastAsia"/>
              </w:rPr>
            </w:pPr>
            <w:r>
              <w:rPr>
                <w:rFonts w:hint="eastAsia"/>
              </w:rPr>
              <w:t>变化</w:t>
            </w:r>
            <w:r>
              <w:rPr>
                <w:rFonts w:hint="eastAsia"/>
              </w:rPr>
              <w:t>(</w:t>
            </w:r>
            <w:r>
              <w:rPr>
                <w:rFonts w:hint="eastAsia"/>
              </w:rPr>
              <w:t>百分比</w:t>
            </w:r>
            <w:r>
              <w:rPr>
                <w:rFonts w:hint="eastAsia"/>
              </w:rPr>
              <w:t>)</w:t>
            </w:r>
          </w:p>
        </w:tc>
      </w:tr>
      <w:tr w:rsidR="00000000">
        <w:tblPrEx>
          <w:tblCellMar>
            <w:top w:w="0" w:type="dxa"/>
            <w:bottom w:w="0" w:type="dxa"/>
          </w:tblCellMar>
        </w:tblPrEx>
        <w:tc>
          <w:tcPr>
            <w:tcW w:w="3081" w:type="dxa"/>
          </w:tcPr>
          <w:p w:rsidR="00000000" w:rsidRDefault="00000000">
            <w:pPr>
              <w:pStyle w:val="a2"/>
              <w:spacing w:before="60" w:after="20" w:line="240" w:lineRule="auto"/>
              <w:jc w:val="center"/>
            </w:pPr>
            <w:r>
              <w:t>1990</w:t>
            </w:r>
          </w:p>
        </w:tc>
        <w:tc>
          <w:tcPr>
            <w:tcW w:w="3190" w:type="dxa"/>
          </w:tcPr>
          <w:p w:rsidR="00000000" w:rsidRDefault="00000000">
            <w:pPr>
              <w:pStyle w:val="a2"/>
              <w:tabs>
                <w:tab w:val="decimal" w:pos="1458"/>
              </w:tabs>
              <w:spacing w:before="60" w:after="20" w:line="240" w:lineRule="auto"/>
            </w:pPr>
            <w:r>
              <w:t>6.1</w:t>
            </w:r>
          </w:p>
        </w:tc>
        <w:tc>
          <w:tcPr>
            <w:tcW w:w="3191" w:type="dxa"/>
          </w:tcPr>
          <w:p w:rsidR="00000000" w:rsidRDefault="00000000">
            <w:pPr>
              <w:pStyle w:val="a2"/>
              <w:tabs>
                <w:tab w:val="decimal" w:pos="1572"/>
              </w:tabs>
              <w:spacing w:before="60" w:after="20" w:line="240" w:lineRule="auto"/>
            </w:pPr>
            <w:r>
              <w:t>0</w:t>
            </w:r>
          </w:p>
        </w:tc>
      </w:tr>
      <w:tr w:rsidR="00000000">
        <w:tblPrEx>
          <w:tblCellMar>
            <w:top w:w="0" w:type="dxa"/>
            <w:bottom w:w="0" w:type="dxa"/>
          </w:tblCellMar>
        </w:tblPrEx>
        <w:tc>
          <w:tcPr>
            <w:tcW w:w="3081" w:type="dxa"/>
          </w:tcPr>
          <w:p w:rsidR="00000000" w:rsidRDefault="00000000">
            <w:pPr>
              <w:pStyle w:val="a2"/>
              <w:spacing w:before="60" w:after="20" w:line="240" w:lineRule="auto"/>
              <w:jc w:val="center"/>
            </w:pPr>
            <w:r>
              <w:t>1995</w:t>
            </w:r>
          </w:p>
        </w:tc>
        <w:tc>
          <w:tcPr>
            <w:tcW w:w="3190" w:type="dxa"/>
          </w:tcPr>
          <w:p w:rsidR="00000000" w:rsidRDefault="00000000">
            <w:pPr>
              <w:pStyle w:val="a2"/>
              <w:tabs>
                <w:tab w:val="decimal" w:pos="1458"/>
              </w:tabs>
              <w:spacing w:before="60" w:after="20" w:line="240" w:lineRule="auto"/>
            </w:pPr>
            <w:r>
              <w:t>6.9</w:t>
            </w:r>
          </w:p>
        </w:tc>
        <w:tc>
          <w:tcPr>
            <w:tcW w:w="3191" w:type="dxa"/>
          </w:tcPr>
          <w:p w:rsidR="00000000" w:rsidRDefault="00000000">
            <w:pPr>
              <w:pStyle w:val="a2"/>
              <w:tabs>
                <w:tab w:val="decimal" w:pos="1572"/>
              </w:tabs>
              <w:spacing w:before="60" w:after="20" w:line="240" w:lineRule="auto"/>
            </w:pPr>
            <w:r>
              <w:t>13</w:t>
            </w:r>
          </w:p>
        </w:tc>
      </w:tr>
      <w:tr w:rsidR="00000000">
        <w:tblPrEx>
          <w:tblCellMar>
            <w:top w:w="0" w:type="dxa"/>
            <w:bottom w:w="0" w:type="dxa"/>
          </w:tblCellMar>
        </w:tblPrEx>
        <w:tc>
          <w:tcPr>
            <w:tcW w:w="3081" w:type="dxa"/>
          </w:tcPr>
          <w:p w:rsidR="00000000" w:rsidRDefault="00000000">
            <w:pPr>
              <w:pStyle w:val="a2"/>
              <w:spacing w:before="60" w:after="20" w:line="240" w:lineRule="auto"/>
              <w:jc w:val="center"/>
            </w:pPr>
            <w:r>
              <w:t>1998</w:t>
            </w:r>
          </w:p>
        </w:tc>
        <w:tc>
          <w:tcPr>
            <w:tcW w:w="3190" w:type="dxa"/>
          </w:tcPr>
          <w:p w:rsidR="00000000" w:rsidRDefault="00000000">
            <w:pPr>
              <w:pStyle w:val="a2"/>
              <w:tabs>
                <w:tab w:val="decimal" w:pos="1458"/>
              </w:tabs>
              <w:spacing w:before="60" w:after="20" w:line="240" w:lineRule="auto"/>
            </w:pPr>
            <w:r>
              <w:t>11.5</w:t>
            </w:r>
          </w:p>
        </w:tc>
        <w:tc>
          <w:tcPr>
            <w:tcW w:w="3191" w:type="dxa"/>
          </w:tcPr>
          <w:p w:rsidR="00000000" w:rsidRDefault="00000000">
            <w:pPr>
              <w:pStyle w:val="a2"/>
              <w:tabs>
                <w:tab w:val="decimal" w:pos="1572"/>
              </w:tabs>
              <w:spacing w:before="60" w:after="20" w:line="240" w:lineRule="auto"/>
            </w:pPr>
            <w:r>
              <w:t>66.67</w:t>
            </w:r>
          </w:p>
        </w:tc>
      </w:tr>
      <w:tr w:rsidR="00000000">
        <w:tblPrEx>
          <w:tblCellMar>
            <w:top w:w="0" w:type="dxa"/>
            <w:bottom w:w="0" w:type="dxa"/>
          </w:tblCellMar>
        </w:tblPrEx>
        <w:tc>
          <w:tcPr>
            <w:tcW w:w="3081" w:type="dxa"/>
          </w:tcPr>
          <w:p w:rsidR="00000000" w:rsidRDefault="00000000">
            <w:pPr>
              <w:pStyle w:val="a2"/>
              <w:spacing w:before="60" w:after="20" w:line="240" w:lineRule="auto"/>
              <w:jc w:val="center"/>
            </w:pPr>
            <w:r>
              <w:t>1999</w:t>
            </w:r>
          </w:p>
        </w:tc>
        <w:tc>
          <w:tcPr>
            <w:tcW w:w="3190" w:type="dxa"/>
          </w:tcPr>
          <w:p w:rsidR="00000000" w:rsidRDefault="00000000">
            <w:pPr>
              <w:pStyle w:val="a2"/>
              <w:tabs>
                <w:tab w:val="decimal" w:pos="1458"/>
              </w:tabs>
              <w:spacing w:before="60" w:after="20" w:line="240" w:lineRule="auto"/>
            </w:pPr>
            <w:r>
              <w:t>14.4</w:t>
            </w:r>
          </w:p>
        </w:tc>
        <w:tc>
          <w:tcPr>
            <w:tcW w:w="3191" w:type="dxa"/>
          </w:tcPr>
          <w:p w:rsidR="00000000" w:rsidRDefault="00000000">
            <w:pPr>
              <w:pStyle w:val="a2"/>
              <w:tabs>
                <w:tab w:val="decimal" w:pos="1572"/>
              </w:tabs>
              <w:spacing w:before="60" w:after="20" w:line="240" w:lineRule="auto"/>
            </w:pPr>
            <w:r>
              <w:t>25.22</w:t>
            </w:r>
          </w:p>
        </w:tc>
      </w:tr>
      <w:tr w:rsidR="00000000">
        <w:tblPrEx>
          <w:tblCellMar>
            <w:top w:w="0" w:type="dxa"/>
            <w:bottom w:w="0" w:type="dxa"/>
          </w:tblCellMar>
        </w:tblPrEx>
        <w:tc>
          <w:tcPr>
            <w:tcW w:w="3081" w:type="dxa"/>
          </w:tcPr>
          <w:p w:rsidR="00000000" w:rsidRDefault="00000000">
            <w:pPr>
              <w:pStyle w:val="a2"/>
              <w:spacing w:before="60" w:after="20" w:line="240" w:lineRule="auto"/>
              <w:jc w:val="center"/>
            </w:pPr>
            <w:r>
              <w:t>2000</w:t>
            </w:r>
          </w:p>
        </w:tc>
        <w:tc>
          <w:tcPr>
            <w:tcW w:w="3190" w:type="dxa"/>
          </w:tcPr>
          <w:p w:rsidR="00000000" w:rsidRDefault="00000000">
            <w:pPr>
              <w:pStyle w:val="a2"/>
              <w:tabs>
                <w:tab w:val="decimal" w:pos="1458"/>
              </w:tabs>
              <w:spacing w:before="60" w:after="20" w:line="240" w:lineRule="auto"/>
            </w:pPr>
            <w:r>
              <w:t>17</w:t>
            </w:r>
          </w:p>
        </w:tc>
        <w:tc>
          <w:tcPr>
            <w:tcW w:w="3191" w:type="dxa"/>
          </w:tcPr>
          <w:p w:rsidR="00000000" w:rsidRDefault="00000000">
            <w:pPr>
              <w:pStyle w:val="a2"/>
              <w:tabs>
                <w:tab w:val="decimal" w:pos="1572"/>
              </w:tabs>
              <w:spacing w:before="60" w:after="20" w:line="240" w:lineRule="auto"/>
            </w:pPr>
            <w:r>
              <w:t>18.06</w:t>
            </w:r>
          </w:p>
        </w:tc>
      </w:tr>
      <w:tr w:rsidR="00000000">
        <w:tblPrEx>
          <w:tblCellMar>
            <w:top w:w="0" w:type="dxa"/>
            <w:bottom w:w="0" w:type="dxa"/>
          </w:tblCellMar>
        </w:tblPrEx>
        <w:tc>
          <w:tcPr>
            <w:tcW w:w="3081" w:type="dxa"/>
          </w:tcPr>
          <w:p w:rsidR="00000000" w:rsidRDefault="00000000">
            <w:pPr>
              <w:pStyle w:val="a2"/>
              <w:spacing w:before="60" w:after="20" w:line="240" w:lineRule="auto"/>
              <w:jc w:val="center"/>
            </w:pPr>
            <w:r>
              <w:t>2002</w:t>
            </w:r>
          </w:p>
        </w:tc>
        <w:tc>
          <w:tcPr>
            <w:tcW w:w="3190" w:type="dxa"/>
          </w:tcPr>
          <w:p w:rsidR="00000000" w:rsidRDefault="00000000">
            <w:pPr>
              <w:pStyle w:val="a2"/>
              <w:tabs>
                <w:tab w:val="decimal" w:pos="1458"/>
              </w:tabs>
              <w:spacing w:before="60" w:after="20" w:line="240" w:lineRule="auto"/>
            </w:pPr>
            <w:r>
              <w:t>8.4</w:t>
            </w:r>
          </w:p>
        </w:tc>
        <w:tc>
          <w:tcPr>
            <w:tcW w:w="3191" w:type="dxa"/>
          </w:tcPr>
          <w:p w:rsidR="00000000" w:rsidRDefault="00000000">
            <w:pPr>
              <w:pStyle w:val="a2"/>
              <w:tabs>
                <w:tab w:val="decimal" w:pos="1572"/>
              </w:tabs>
              <w:spacing w:before="60" w:after="20" w:line="240" w:lineRule="auto"/>
            </w:pPr>
            <w:r>
              <w:t>-50.59</w:t>
            </w:r>
          </w:p>
        </w:tc>
      </w:tr>
    </w:tbl>
    <w:p w:rsidR="00000000" w:rsidRDefault="00000000">
      <w:pPr>
        <w:pStyle w:val="EndnoteText"/>
        <w:spacing w:before="240" w:after="240"/>
        <w:rPr>
          <w:rFonts w:hint="eastAsia"/>
          <w:sz w:val="22"/>
        </w:rPr>
      </w:pPr>
      <w:r>
        <w:rPr>
          <w:rFonts w:hint="eastAsia"/>
          <w:sz w:val="22"/>
          <w:u w:val="single"/>
        </w:rPr>
        <w:t>资料来源</w:t>
      </w:r>
      <w:r>
        <w:rPr>
          <w:rFonts w:hint="eastAsia"/>
          <w:sz w:val="22"/>
        </w:rPr>
        <w:t>：国家统计与人口普查研究所</w:t>
      </w:r>
      <w:r>
        <w:rPr>
          <w:rFonts w:hint="eastAsia"/>
          <w:sz w:val="22"/>
        </w:rPr>
        <w:t>(</w:t>
      </w:r>
      <w:r>
        <w:rPr>
          <w:rFonts w:hint="eastAsia"/>
          <w:sz w:val="22"/>
        </w:rPr>
        <w:t>国家统计局</w:t>
      </w:r>
      <w:r>
        <w:rPr>
          <w:rFonts w:hint="eastAsia"/>
          <w:sz w:val="22"/>
        </w:rPr>
        <w:t>)</w:t>
      </w:r>
      <w:r>
        <w:rPr>
          <w:rFonts w:hint="eastAsia"/>
          <w:sz w:val="22"/>
        </w:rPr>
        <w:t>，</w:t>
      </w:r>
      <w:r>
        <w:rPr>
          <w:sz w:val="22"/>
        </w:rPr>
        <w:t>Encuesta Urbana de Empleo, Subempleo y Desmpleo</w:t>
      </w:r>
      <w:r>
        <w:rPr>
          <w:rFonts w:hint="eastAsia"/>
          <w:sz w:val="22"/>
        </w:rPr>
        <w:t>(</w:t>
      </w:r>
      <w:r>
        <w:rPr>
          <w:rFonts w:hint="eastAsia"/>
          <w:sz w:val="22"/>
        </w:rPr>
        <w:t>城市就业、就业不足和失业普查</w:t>
      </w:r>
      <w:r>
        <w:rPr>
          <w:rFonts w:hint="eastAsia"/>
          <w:sz w:val="22"/>
        </w:rPr>
        <w:t>)</w:t>
      </w:r>
      <w:r>
        <w:rPr>
          <w:rFonts w:hint="eastAsia"/>
          <w:sz w:val="22"/>
        </w:rPr>
        <w:t>。</w:t>
      </w:r>
    </w:p>
    <w:p w:rsidR="00000000" w:rsidRDefault="00000000">
      <w:pPr>
        <w:rPr>
          <w:rFonts w:hint="eastAsia"/>
          <w:spacing w:val="6"/>
        </w:rPr>
      </w:pPr>
      <w:r>
        <w:rPr>
          <w:rFonts w:hint="eastAsia"/>
        </w:rPr>
        <w:tab/>
        <w:t xml:space="preserve">56.  </w:t>
      </w:r>
      <w:r>
        <w:rPr>
          <w:rFonts w:hint="eastAsia"/>
          <w:spacing w:val="6"/>
        </w:rPr>
        <w:t>来自贫困家庭的妇女、不管是否有家庭要扶养，在进入劳动市场方面都面临更大的问题，因为她们基础教育差、缺乏工作技能并担负着家庭和养育子女的责任。</w:t>
      </w:r>
    </w:p>
    <w:p w:rsidR="00000000" w:rsidRDefault="00000000">
      <w:pPr>
        <w:spacing w:after="320"/>
        <w:rPr>
          <w:rFonts w:hint="eastAsia"/>
        </w:rPr>
      </w:pPr>
      <w:r>
        <w:rPr>
          <w:rFonts w:hint="eastAsia"/>
        </w:rPr>
        <w:tab/>
        <w:t xml:space="preserve">57.  </w:t>
      </w:r>
      <w:r>
        <w:rPr>
          <w:rFonts w:hint="eastAsia"/>
        </w:rPr>
        <w:t>受到失业影响最大的是</w:t>
      </w:r>
      <w:r>
        <w:rPr>
          <w:rFonts w:hint="eastAsia"/>
        </w:rPr>
        <w:t>15</w:t>
      </w:r>
      <w:r>
        <w:rPr>
          <w:rFonts w:hint="eastAsia"/>
        </w:rPr>
        <w:t>至</w:t>
      </w:r>
      <w:r>
        <w:rPr>
          <w:rFonts w:hint="eastAsia"/>
        </w:rPr>
        <w:t>24</w:t>
      </w:r>
      <w:r>
        <w:rPr>
          <w:rFonts w:hint="eastAsia"/>
        </w:rPr>
        <w:t>岁的年轻人，特别是年轻妇女。</w:t>
      </w:r>
    </w:p>
    <w:p w:rsidR="00000000" w:rsidRDefault="00000000">
      <w:pPr>
        <w:pStyle w:val="Heading3"/>
        <w:rPr>
          <w:kern w:val="0"/>
          <w:u w:val="none"/>
        </w:rPr>
      </w:pPr>
      <w:r>
        <w:rPr>
          <w:rFonts w:hint="eastAsia"/>
          <w:kern w:val="0"/>
        </w:rPr>
        <w:t>按性别与年龄组划分的失业状况</w:t>
      </w:r>
      <w:r>
        <w:rPr>
          <w:rFonts w:hint="eastAsia"/>
          <w:kern w:val="0"/>
        </w:rPr>
        <w:t>(1998</w:t>
      </w:r>
      <w:r>
        <w:rPr>
          <w:rFonts w:hint="eastAsia"/>
          <w:kern w:val="0"/>
          <w:u w:val="none"/>
        </w:rPr>
        <w:t>)</w:t>
      </w:r>
    </w:p>
    <w:tbl>
      <w:tblPr>
        <w:tblW w:w="0" w:type="auto"/>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3"/>
        <w:gridCol w:w="2393"/>
        <w:gridCol w:w="2393"/>
        <w:gridCol w:w="2393"/>
      </w:tblGrid>
      <w:tr w:rsidR="00000000">
        <w:tblPrEx>
          <w:tblCellMar>
            <w:top w:w="0" w:type="dxa"/>
            <w:bottom w:w="0" w:type="dxa"/>
          </w:tblCellMar>
        </w:tblPrEx>
        <w:tc>
          <w:tcPr>
            <w:tcW w:w="2083" w:type="dxa"/>
          </w:tcPr>
          <w:p w:rsidR="00000000" w:rsidRDefault="00000000">
            <w:pPr>
              <w:pStyle w:val="a2"/>
              <w:spacing w:before="60" w:after="20" w:line="240" w:lineRule="auto"/>
              <w:jc w:val="center"/>
              <w:rPr>
                <w:rFonts w:hint="eastAsia"/>
              </w:rPr>
            </w:pPr>
            <w:r>
              <w:rPr>
                <w:rFonts w:hint="eastAsia"/>
              </w:rPr>
              <w:t>年</w:t>
            </w:r>
            <w:r>
              <w:rPr>
                <w:rFonts w:hint="eastAsia"/>
              </w:rPr>
              <w:t xml:space="preserve">  </w:t>
            </w:r>
            <w:r>
              <w:rPr>
                <w:rFonts w:hint="eastAsia"/>
              </w:rPr>
              <w:t>龄</w:t>
            </w:r>
          </w:p>
        </w:tc>
        <w:tc>
          <w:tcPr>
            <w:tcW w:w="2393" w:type="dxa"/>
          </w:tcPr>
          <w:p w:rsidR="00000000" w:rsidRDefault="00000000">
            <w:pPr>
              <w:pStyle w:val="a2"/>
              <w:spacing w:before="60" w:after="20" w:line="240" w:lineRule="auto"/>
              <w:jc w:val="center"/>
              <w:rPr>
                <w:rFonts w:hint="eastAsia"/>
              </w:rPr>
            </w:pPr>
            <w:r>
              <w:rPr>
                <w:rFonts w:hint="eastAsia"/>
              </w:rPr>
              <w:t>男</w:t>
            </w:r>
            <w:r>
              <w:rPr>
                <w:rFonts w:hint="eastAsia"/>
              </w:rPr>
              <w:t xml:space="preserve">  </w:t>
            </w:r>
            <w:r>
              <w:rPr>
                <w:rFonts w:hint="eastAsia"/>
              </w:rPr>
              <w:t>子</w:t>
            </w:r>
          </w:p>
        </w:tc>
        <w:tc>
          <w:tcPr>
            <w:tcW w:w="2393" w:type="dxa"/>
          </w:tcPr>
          <w:p w:rsidR="00000000" w:rsidRDefault="00000000">
            <w:pPr>
              <w:pStyle w:val="a2"/>
              <w:spacing w:before="60" w:after="20" w:line="240" w:lineRule="auto"/>
              <w:jc w:val="center"/>
              <w:rPr>
                <w:rFonts w:hint="eastAsia"/>
              </w:rPr>
            </w:pPr>
            <w:r>
              <w:rPr>
                <w:rFonts w:hint="eastAsia"/>
              </w:rPr>
              <w:t>妇</w:t>
            </w:r>
            <w:r>
              <w:rPr>
                <w:rFonts w:hint="eastAsia"/>
              </w:rPr>
              <w:t xml:space="preserve">  </w:t>
            </w:r>
            <w:r>
              <w:rPr>
                <w:rFonts w:hint="eastAsia"/>
              </w:rPr>
              <w:t>女</w:t>
            </w:r>
          </w:p>
        </w:tc>
        <w:tc>
          <w:tcPr>
            <w:tcW w:w="2393" w:type="dxa"/>
          </w:tcPr>
          <w:p w:rsidR="00000000" w:rsidRDefault="00000000">
            <w:pPr>
              <w:pStyle w:val="a2"/>
              <w:spacing w:before="60" w:after="20" w:line="240" w:lineRule="auto"/>
              <w:jc w:val="center"/>
              <w:rPr>
                <w:rFonts w:hint="eastAsia"/>
              </w:rPr>
            </w:pPr>
            <w:r>
              <w:rPr>
                <w:rFonts w:hint="eastAsia"/>
              </w:rPr>
              <w:t>总</w:t>
            </w:r>
            <w:r>
              <w:rPr>
                <w:rFonts w:hint="eastAsia"/>
              </w:rPr>
              <w:t xml:space="preserve">  </w:t>
            </w:r>
            <w:r>
              <w:rPr>
                <w:rFonts w:hint="eastAsia"/>
              </w:rPr>
              <w:t>数</w:t>
            </w:r>
          </w:p>
        </w:tc>
      </w:tr>
      <w:tr w:rsidR="00000000">
        <w:tblPrEx>
          <w:tblCellMar>
            <w:top w:w="0" w:type="dxa"/>
            <w:bottom w:w="0" w:type="dxa"/>
          </w:tblCellMar>
        </w:tblPrEx>
        <w:tc>
          <w:tcPr>
            <w:tcW w:w="2083" w:type="dxa"/>
          </w:tcPr>
          <w:p w:rsidR="00000000" w:rsidRDefault="00000000">
            <w:pPr>
              <w:pStyle w:val="a2"/>
              <w:spacing w:before="60" w:after="20" w:line="240" w:lineRule="auto"/>
              <w:ind w:left="227"/>
            </w:pPr>
            <w:r>
              <w:t>10-11</w:t>
            </w:r>
          </w:p>
        </w:tc>
        <w:tc>
          <w:tcPr>
            <w:tcW w:w="2393" w:type="dxa"/>
          </w:tcPr>
          <w:p w:rsidR="00000000" w:rsidRDefault="00000000">
            <w:pPr>
              <w:pStyle w:val="a2"/>
              <w:spacing w:before="60" w:after="20" w:line="240" w:lineRule="auto"/>
              <w:ind w:right="798"/>
              <w:jc w:val="right"/>
            </w:pPr>
            <w:r>
              <w:t>151</w:t>
            </w:r>
          </w:p>
        </w:tc>
        <w:tc>
          <w:tcPr>
            <w:tcW w:w="2393" w:type="dxa"/>
          </w:tcPr>
          <w:p w:rsidR="00000000" w:rsidRDefault="00000000">
            <w:pPr>
              <w:pStyle w:val="a2"/>
              <w:spacing w:before="60" w:after="20" w:line="240" w:lineRule="auto"/>
              <w:ind w:right="798"/>
              <w:jc w:val="right"/>
            </w:pPr>
            <w:r>
              <w:t>428</w:t>
            </w:r>
          </w:p>
        </w:tc>
        <w:tc>
          <w:tcPr>
            <w:tcW w:w="2393" w:type="dxa"/>
          </w:tcPr>
          <w:p w:rsidR="00000000" w:rsidRDefault="00000000">
            <w:pPr>
              <w:pStyle w:val="a2"/>
              <w:spacing w:before="60" w:after="20" w:line="240" w:lineRule="auto"/>
              <w:ind w:right="798"/>
              <w:jc w:val="right"/>
            </w:pPr>
            <w:r>
              <w:t>579</w:t>
            </w:r>
          </w:p>
        </w:tc>
      </w:tr>
      <w:tr w:rsidR="00000000">
        <w:tblPrEx>
          <w:tblCellMar>
            <w:top w:w="0" w:type="dxa"/>
            <w:bottom w:w="0" w:type="dxa"/>
          </w:tblCellMar>
        </w:tblPrEx>
        <w:tc>
          <w:tcPr>
            <w:tcW w:w="2083" w:type="dxa"/>
          </w:tcPr>
          <w:p w:rsidR="00000000" w:rsidRDefault="00000000">
            <w:pPr>
              <w:pStyle w:val="a2"/>
              <w:spacing w:before="60" w:after="20" w:line="240" w:lineRule="auto"/>
              <w:ind w:left="227"/>
            </w:pPr>
            <w:r>
              <w:t>12-14</w:t>
            </w:r>
          </w:p>
        </w:tc>
        <w:tc>
          <w:tcPr>
            <w:tcW w:w="2393" w:type="dxa"/>
          </w:tcPr>
          <w:p w:rsidR="00000000" w:rsidRDefault="00000000">
            <w:pPr>
              <w:pStyle w:val="a2"/>
              <w:spacing w:before="60" w:after="20" w:line="240" w:lineRule="auto"/>
              <w:ind w:right="798"/>
              <w:jc w:val="right"/>
            </w:pPr>
            <w:r>
              <w:t>3,476</w:t>
            </w:r>
          </w:p>
        </w:tc>
        <w:tc>
          <w:tcPr>
            <w:tcW w:w="2393" w:type="dxa"/>
          </w:tcPr>
          <w:p w:rsidR="00000000" w:rsidRDefault="00000000">
            <w:pPr>
              <w:pStyle w:val="a2"/>
              <w:spacing w:before="60" w:after="20" w:line="240" w:lineRule="auto"/>
              <w:ind w:right="798"/>
              <w:jc w:val="right"/>
            </w:pPr>
            <w:r>
              <w:t>3,953</w:t>
            </w:r>
          </w:p>
        </w:tc>
        <w:tc>
          <w:tcPr>
            <w:tcW w:w="2393" w:type="dxa"/>
          </w:tcPr>
          <w:p w:rsidR="00000000" w:rsidRDefault="00000000">
            <w:pPr>
              <w:pStyle w:val="a2"/>
              <w:spacing w:before="60" w:after="20" w:line="240" w:lineRule="auto"/>
              <w:ind w:right="798"/>
              <w:jc w:val="right"/>
            </w:pPr>
            <w:r>
              <w:t>7,429</w:t>
            </w:r>
          </w:p>
        </w:tc>
      </w:tr>
      <w:tr w:rsidR="00000000">
        <w:tblPrEx>
          <w:tblCellMar>
            <w:top w:w="0" w:type="dxa"/>
            <w:bottom w:w="0" w:type="dxa"/>
          </w:tblCellMar>
        </w:tblPrEx>
        <w:tc>
          <w:tcPr>
            <w:tcW w:w="2083" w:type="dxa"/>
          </w:tcPr>
          <w:p w:rsidR="00000000" w:rsidRDefault="00000000">
            <w:pPr>
              <w:pStyle w:val="a2"/>
              <w:spacing w:before="60" w:after="20" w:line="240" w:lineRule="auto"/>
              <w:ind w:left="227"/>
            </w:pPr>
            <w:r>
              <w:t>15-24</w:t>
            </w:r>
          </w:p>
        </w:tc>
        <w:tc>
          <w:tcPr>
            <w:tcW w:w="2393" w:type="dxa"/>
          </w:tcPr>
          <w:p w:rsidR="00000000" w:rsidRDefault="00000000">
            <w:pPr>
              <w:pStyle w:val="a2"/>
              <w:spacing w:before="60" w:after="20" w:line="240" w:lineRule="auto"/>
              <w:ind w:right="798"/>
              <w:jc w:val="right"/>
            </w:pPr>
            <w:r>
              <w:t>86,188</w:t>
            </w:r>
          </w:p>
        </w:tc>
        <w:tc>
          <w:tcPr>
            <w:tcW w:w="2393" w:type="dxa"/>
          </w:tcPr>
          <w:p w:rsidR="00000000" w:rsidRDefault="00000000">
            <w:pPr>
              <w:pStyle w:val="a2"/>
              <w:spacing w:before="60" w:after="20" w:line="240" w:lineRule="auto"/>
              <w:ind w:right="798"/>
              <w:jc w:val="right"/>
            </w:pPr>
            <w:r>
              <w:t>110,926</w:t>
            </w:r>
          </w:p>
        </w:tc>
        <w:tc>
          <w:tcPr>
            <w:tcW w:w="2393" w:type="dxa"/>
          </w:tcPr>
          <w:p w:rsidR="00000000" w:rsidRDefault="00000000">
            <w:pPr>
              <w:pStyle w:val="a2"/>
              <w:spacing w:before="60" w:after="20" w:line="240" w:lineRule="auto"/>
              <w:ind w:right="798"/>
              <w:jc w:val="right"/>
            </w:pPr>
            <w:r>
              <w:t>197,114</w:t>
            </w:r>
          </w:p>
        </w:tc>
      </w:tr>
      <w:tr w:rsidR="00000000">
        <w:tblPrEx>
          <w:tblCellMar>
            <w:top w:w="0" w:type="dxa"/>
            <w:bottom w:w="0" w:type="dxa"/>
          </w:tblCellMar>
        </w:tblPrEx>
        <w:tc>
          <w:tcPr>
            <w:tcW w:w="2083" w:type="dxa"/>
          </w:tcPr>
          <w:p w:rsidR="00000000" w:rsidRDefault="00000000">
            <w:pPr>
              <w:pStyle w:val="a2"/>
              <w:spacing w:before="60" w:after="20" w:line="240" w:lineRule="auto"/>
              <w:ind w:left="227"/>
            </w:pPr>
            <w:r>
              <w:t>25-54</w:t>
            </w:r>
          </w:p>
        </w:tc>
        <w:tc>
          <w:tcPr>
            <w:tcW w:w="2393" w:type="dxa"/>
          </w:tcPr>
          <w:p w:rsidR="00000000" w:rsidRDefault="00000000">
            <w:pPr>
              <w:pStyle w:val="a2"/>
              <w:spacing w:before="60" w:after="20" w:line="240" w:lineRule="auto"/>
              <w:ind w:right="798"/>
              <w:jc w:val="right"/>
            </w:pPr>
            <w:r>
              <w:t>71,878</w:t>
            </w:r>
          </w:p>
        </w:tc>
        <w:tc>
          <w:tcPr>
            <w:tcW w:w="2393" w:type="dxa"/>
          </w:tcPr>
          <w:p w:rsidR="00000000" w:rsidRDefault="00000000">
            <w:pPr>
              <w:pStyle w:val="a2"/>
              <w:spacing w:before="60" w:after="20" w:line="240" w:lineRule="auto"/>
              <w:ind w:right="798"/>
              <w:jc w:val="right"/>
            </w:pPr>
            <w:r>
              <w:t>113,053</w:t>
            </w:r>
          </w:p>
        </w:tc>
        <w:tc>
          <w:tcPr>
            <w:tcW w:w="2393" w:type="dxa"/>
          </w:tcPr>
          <w:p w:rsidR="00000000" w:rsidRDefault="00000000">
            <w:pPr>
              <w:pStyle w:val="a2"/>
              <w:spacing w:before="60" w:after="20" w:line="240" w:lineRule="auto"/>
              <w:ind w:right="798"/>
              <w:jc w:val="right"/>
            </w:pPr>
            <w:r>
              <w:t>184,931</w:t>
            </w:r>
          </w:p>
        </w:tc>
      </w:tr>
      <w:tr w:rsidR="00000000">
        <w:tblPrEx>
          <w:tblCellMar>
            <w:top w:w="0" w:type="dxa"/>
            <w:bottom w:w="0" w:type="dxa"/>
          </w:tblCellMar>
        </w:tblPrEx>
        <w:tc>
          <w:tcPr>
            <w:tcW w:w="2083" w:type="dxa"/>
          </w:tcPr>
          <w:p w:rsidR="00000000" w:rsidRDefault="00000000">
            <w:pPr>
              <w:pStyle w:val="a2"/>
              <w:spacing w:before="60" w:after="20" w:line="240" w:lineRule="auto"/>
              <w:ind w:left="227"/>
              <w:rPr>
                <w:rFonts w:hint="eastAsia"/>
              </w:rPr>
            </w:pPr>
            <w:r>
              <w:t>55</w:t>
            </w:r>
            <w:r>
              <w:rPr>
                <w:rFonts w:hint="eastAsia"/>
              </w:rPr>
              <w:t>及以上</w:t>
            </w:r>
          </w:p>
        </w:tc>
        <w:tc>
          <w:tcPr>
            <w:tcW w:w="2393" w:type="dxa"/>
          </w:tcPr>
          <w:p w:rsidR="00000000" w:rsidRDefault="00000000">
            <w:pPr>
              <w:pStyle w:val="a2"/>
              <w:spacing w:before="60" w:after="20" w:line="240" w:lineRule="auto"/>
              <w:ind w:right="798"/>
              <w:jc w:val="right"/>
            </w:pPr>
            <w:r>
              <w:t>13,775</w:t>
            </w:r>
          </w:p>
        </w:tc>
        <w:tc>
          <w:tcPr>
            <w:tcW w:w="2393" w:type="dxa"/>
          </w:tcPr>
          <w:p w:rsidR="00000000" w:rsidRDefault="00000000">
            <w:pPr>
              <w:pStyle w:val="a2"/>
              <w:spacing w:before="60" w:after="20" w:line="240" w:lineRule="auto"/>
              <w:ind w:right="798"/>
              <w:jc w:val="right"/>
            </w:pPr>
            <w:r>
              <w:t>5,453</w:t>
            </w:r>
          </w:p>
        </w:tc>
        <w:tc>
          <w:tcPr>
            <w:tcW w:w="2393" w:type="dxa"/>
          </w:tcPr>
          <w:p w:rsidR="00000000" w:rsidRDefault="00000000">
            <w:pPr>
              <w:pStyle w:val="a2"/>
              <w:spacing w:before="60" w:after="20" w:line="240" w:lineRule="auto"/>
              <w:ind w:right="798"/>
              <w:jc w:val="right"/>
            </w:pPr>
            <w:r>
              <w:t>19,228</w:t>
            </w:r>
          </w:p>
        </w:tc>
      </w:tr>
    </w:tbl>
    <w:p w:rsidR="00000000" w:rsidRDefault="00000000">
      <w:pPr>
        <w:pStyle w:val="EndnoteText"/>
        <w:spacing w:before="360" w:after="360"/>
        <w:rPr>
          <w:rFonts w:hint="eastAsia"/>
          <w:sz w:val="22"/>
        </w:rPr>
      </w:pPr>
      <w:r>
        <w:rPr>
          <w:rFonts w:hint="eastAsia"/>
          <w:sz w:val="22"/>
          <w:u w:val="single"/>
        </w:rPr>
        <w:t>资料来源</w:t>
      </w:r>
      <w:r>
        <w:rPr>
          <w:rFonts w:hint="eastAsia"/>
          <w:sz w:val="22"/>
        </w:rPr>
        <w:t>：国家统计与人口普查研究所</w:t>
      </w:r>
      <w:r>
        <w:rPr>
          <w:rFonts w:hint="eastAsia"/>
          <w:sz w:val="22"/>
        </w:rPr>
        <w:t>(</w:t>
      </w:r>
      <w:r>
        <w:rPr>
          <w:rFonts w:hint="eastAsia"/>
          <w:sz w:val="22"/>
        </w:rPr>
        <w:t>国家统计局</w:t>
      </w:r>
      <w:r>
        <w:rPr>
          <w:rFonts w:hint="eastAsia"/>
          <w:sz w:val="22"/>
        </w:rPr>
        <w:t>)</w:t>
      </w:r>
      <w:r>
        <w:rPr>
          <w:rFonts w:hint="eastAsia"/>
          <w:sz w:val="22"/>
        </w:rPr>
        <w:t>，</w:t>
      </w:r>
      <w:r>
        <w:rPr>
          <w:sz w:val="22"/>
        </w:rPr>
        <w:t>Encuesta Urbana de Empleo, Subempleo y Desmpleo</w:t>
      </w:r>
      <w:r>
        <w:rPr>
          <w:rFonts w:hint="eastAsia"/>
          <w:sz w:val="22"/>
        </w:rPr>
        <w:t>(</w:t>
      </w:r>
      <w:r>
        <w:rPr>
          <w:rFonts w:hint="eastAsia"/>
          <w:sz w:val="22"/>
        </w:rPr>
        <w:t>城市就业、就业不足和失业普查</w:t>
      </w:r>
      <w:r>
        <w:rPr>
          <w:rFonts w:hint="eastAsia"/>
          <w:sz w:val="22"/>
        </w:rPr>
        <w:t>)</w:t>
      </w:r>
      <w:r>
        <w:rPr>
          <w:rFonts w:hint="eastAsia"/>
          <w:sz w:val="22"/>
        </w:rPr>
        <w:t>。</w:t>
      </w:r>
    </w:p>
    <w:p w:rsidR="00000000" w:rsidRDefault="00000000">
      <w:pPr>
        <w:spacing w:after="320"/>
        <w:rPr>
          <w:rFonts w:hint="eastAsia"/>
        </w:rPr>
      </w:pPr>
      <w:r>
        <w:tab/>
        <w:t xml:space="preserve">58. </w:t>
      </w:r>
      <w:r>
        <w:rPr>
          <w:rFonts w:hint="eastAsia"/>
        </w:rPr>
        <w:t xml:space="preserve"> </w:t>
      </w:r>
      <w:r>
        <w:rPr>
          <w:rFonts w:hint="eastAsia"/>
        </w:rPr>
        <w:t>失业在厄瓜多尔全国都有所增加，但是沿海地区的增加幅度大于任何其他地方，这主要是由于厄尔尼诺现象所造成的损失。该地区失业率从</w:t>
      </w:r>
      <w:r>
        <w:rPr>
          <w:rFonts w:hint="eastAsia"/>
        </w:rPr>
        <w:t>1995</w:t>
      </w:r>
      <w:r>
        <w:rPr>
          <w:rFonts w:hint="eastAsia"/>
        </w:rPr>
        <w:t>年的</w:t>
      </w:r>
      <w:r>
        <w:t>7.1%</w:t>
      </w:r>
      <w:r>
        <w:rPr>
          <w:rFonts w:hint="eastAsia"/>
        </w:rPr>
        <w:t>增加到</w:t>
      </w:r>
      <w:r>
        <w:rPr>
          <w:rFonts w:hint="eastAsia"/>
        </w:rPr>
        <w:t>1999</w:t>
      </w:r>
      <w:r>
        <w:rPr>
          <w:rFonts w:hint="eastAsia"/>
        </w:rPr>
        <w:t>年的</w:t>
      </w:r>
      <w:r>
        <w:t>15.8%</w:t>
      </w:r>
      <w:r>
        <w:rPr>
          <w:rFonts w:hint="eastAsia"/>
        </w:rPr>
        <w:t>，即相当于在此期间增加了</w:t>
      </w:r>
      <w:r>
        <w:rPr>
          <w:rFonts w:hint="eastAsia"/>
        </w:rPr>
        <w:t>123%</w:t>
      </w:r>
      <w:r>
        <w:rPr>
          <w:rFonts w:hint="eastAsia"/>
        </w:rPr>
        <w:t>。</w:t>
      </w:r>
    </w:p>
    <w:p w:rsidR="00000000" w:rsidRDefault="00000000">
      <w:pPr>
        <w:pStyle w:val="Heading3"/>
        <w:rPr>
          <w:rFonts w:hint="eastAsia"/>
        </w:rPr>
      </w:pPr>
      <w:r>
        <w:rPr>
          <w:rFonts w:hint="eastAsia"/>
        </w:rPr>
        <w:t>失业率趋势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92"/>
        <w:gridCol w:w="1134"/>
        <w:gridCol w:w="1134"/>
        <w:gridCol w:w="1134"/>
        <w:gridCol w:w="1134"/>
        <w:gridCol w:w="1276"/>
        <w:gridCol w:w="1134"/>
      </w:tblGrid>
      <w:tr w:rsidR="00000000">
        <w:tblPrEx>
          <w:tblCellMar>
            <w:top w:w="0" w:type="dxa"/>
            <w:bottom w:w="0" w:type="dxa"/>
          </w:tblCellMar>
        </w:tblPrEx>
        <w:trPr>
          <w:cantSplit/>
        </w:trPr>
        <w:tc>
          <w:tcPr>
            <w:tcW w:w="1418" w:type="dxa"/>
            <w:vMerge w:val="restart"/>
          </w:tcPr>
          <w:p w:rsidR="00000000" w:rsidRDefault="00000000">
            <w:pPr>
              <w:pStyle w:val="a2"/>
              <w:spacing w:before="60" w:after="20" w:line="312" w:lineRule="auto"/>
              <w:jc w:val="center"/>
              <w:rPr>
                <w:rFonts w:hint="eastAsia"/>
              </w:rPr>
            </w:pPr>
            <w:r>
              <w:br/>
            </w:r>
            <w:r>
              <w:rPr>
                <w:rFonts w:hint="eastAsia"/>
              </w:rPr>
              <w:t>地</w:t>
            </w:r>
            <w:r>
              <w:rPr>
                <w:rFonts w:hint="eastAsia"/>
              </w:rPr>
              <w:t xml:space="preserve">  </w:t>
            </w:r>
            <w:r>
              <w:rPr>
                <w:rFonts w:hint="eastAsia"/>
              </w:rPr>
              <w:t>区</w:t>
            </w:r>
          </w:p>
        </w:tc>
        <w:tc>
          <w:tcPr>
            <w:tcW w:w="992" w:type="dxa"/>
            <w:vMerge w:val="restart"/>
          </w:tcPr>
          <w:p w:rsidR="00000000" w:rsidRDefault="00000000">
            <w:pPr>
              <w:pStyle w:val="a2"/>
              <w:spacing w:before="60" w:after="20" w:line="312" w:lineRule="auto"/>
              <w:jc w:val="center"/>
            </w:pPr>
            <w:r>
              <w:rPr>
                <w:rFonts w:hint="eastAsia"/>
              </w:rPr>
              <w:br/>
            </w:r>
            <w:r>
              <w:t>1995</w:t>
            </w:r>
          </w:p>
        </w:tc>
        <w:tc>
          <w:tcPr>
            <w:tcW w:w="1134" w:type="dxa"/>
            <w:vMerge w:val="restart"/>
          </w:tcPr>
          <w:p w:rsidR="00000000" w:rsidRDefault="00000000">
            <w:pPr>
              <w:pStyle w:val="a2"/>
              <w:spacing w:before="60" w:after="20" w:line="312" w:lineRule="auto"/>
              <w:jc w:val="center"/>
            </w:pPr>
            <w:r>
              <w:rPr>
                <w:rFonts w:hint="eastAsia"/>
              </w:rPr>
              <w:br/>
            </w:r>
            <w:r>
              <w:t>1998</w:t>
            </w:r>
          </w:p>
        </w:tc>
        <w:tc>
          <w:tcPr>
            <w:tcW w:w="1134" w:type="dxa"/>
            <w:vMerge w:val="restart"/>
          </w:tcPr>
          <w:p w:rsidR="00000000" w:rsidRDefault="00000000">
            <w:pPr>
              <w:pStyle w:val="a2"/>
              <w:spacing w:before="60" w:after="20" w:line="312" w:lineRule="auto"/>
              <w:jc w:val="center"/>
            </w:pPr>
            <w:r>
              <w:rPr>
                <w:rFonts w:hint="eastAsia"/>
              </w:rPr>
              <w:br/>
            </w:r>
            <w:r>
              <w:t>1999</w:t>
            </w:r>
          </w:p>
        </w:tc>
        <w:tc>
          <w:tcPr>
            <w:tcW w:w="2268" w:type="dxa"/>
            <w:gridSpan w:val="2"/>
          </w:tcPr>
          <w:p w:rsidR="00000000" w:rsidRDefault="00000000">
            <w:pPr>
              <w:pStyle w:val="a2"/>
              <w:spacing w:before="60" w:after="20" w:line="312" w:lineRule="auto"/>
              <w:jc w:val="center"/>
              <w:rPr>
                <w:rFonts w:hint="eastAsia"/>
              </w:rPr>
            </w:pPr>
            <w:r>
              <w:t>1995-1998</w:t>
            </w:r>
            <w:r>
              <w:rPr>
                <w:rFonts w:hint="eastAsia"/>
              </w:rPr>
              <w:t>变化</w:t>
            </w:r>
          </w:p>
        </w:tc>
        <w:tc>
          <w:tcPr>
            <w:tcW w:w="2410" w:type="dxa"/>
            <w:gridSpan w:val="2"/>
          </w:tcPr>
          <w:p w:rsidR="00000000" w:rsidRDefault="00000000">
            <w:pPr>
              <w:pStyle w:val="a2"/>
              <w:spacing w:before="60" w:after="20" w:line="312" w:lineRule="auto"/>
              <w:jc w:val="center"/>
              <w:rPr>
                <w:rFonts w:hint="eastAsia"/>
              </w:rPr>
            </w:pPr>
            <w:r>
              <w:t>1995-1999</w:t>
            </w:r>
            <w:r>
              <w:rPr>
                <w:rFonts w:hint="eastAsia"/>
              </w:rPr>
              <w:t>变化</w:t>
            </w:r>
          </w:p>
        </w:tc>
      </w:tr>
      <w:tr w:rsidR="00000000">
        <w:tblPrEx>
          <w:tblCellMar>
            <w:top w:w="0" w:type="dxa"/>
            <w:bottom w:w="0" w:type="dxa"/>
          </w:tblCellMar>
        </w:tblPrEx>
        <w:trPr>
          <w:cantSplit/>
        </w:trPr>
        <w:tc>
          <w:tcPr>
            <w:tcW w:w="1418" w:type="dxa"/>
            <w:vMerge/>
            <w:tcBorders>
              <w:bottom w:val="single" w:sz="4" w:space="0" w:color="auto"/>
            </w:tcBorders>
          </w:tcPr>
          <w:p w:rsidR="00000000" w:rsidRDefault="00000000">
            <w:pPr>
              <w:pStyle w:val="a2"/>
              <w:spacing w:before="60" w:after="20" w:line="312" w:lineRule="auto"/>
              <w:jc w:val="center"/>
            </w:pPr>
          </w:p>
        </w:tc>
        <w:tc>
          <w:tcPr>
            <w:tcW w:w="992" w:type="dxa"/>
            <w:vMerge/>
            <w:tcBorders>
              <w:bottom w:val="single" w:sz="4" w:space="0" w:color="auto"/>
            </w:tcBorders>
          </w:tcPr>
          <w:p w:rsidR="00000000" w:rsidRDefault="00000000">
            <w:pPr>
              <w:pStyle w:val="a2"/>
              <w:spacing w:before="60" w:after="20" w:line="312" w:lineRule="auto"/>
            </w:pPr>
          </w:p>
        </w:tc>
        <w:tc>
          <w:tcPr>
            <w:tcW w:w="1134" w:type="dxa"/>
            <w:vMerge/>
            <w:tcBorders>
              <w:bottom w:val="single" w:sz="4" w:space="0" w:color="auto"/>
            </w:tcBorders>
          </w:tcPr>
          <w:p w:rsidR="00000000" w:rsidRDefault="00000000">
            <w:pPr>
              <w:pStyle w:val="a2"/>
              <w:spacing w:before="60" w:after="20" w:line="312" w:lineRule="auto"/>
            </w:pPr>
          </w:p>
        </w:tc>
        <w:tc>
          <w:tcPr>
            <w:tcW w:w="1134" w:type="dxa"/>
            <w:vMerge/>
            <w:tcBorders>
              <w:bottom w:val="single" w:sz="4" w:space="0" w:color="auto"/>
            </w:tcBorders>
          </w:tcPr>
          <w:p w:rsidR="00000000" w:rsidRDefault="00000000">
            <w:pPr>
              <w:pStyle w:val="a2"/>
              <w:spacing w:before="60" w:after="20" w:line="312" w:lineRule="auto"/>
            </w:pPr>
          </w:p>
        </w:tc>
        <w:tc>
          <w:tcPr>
            <w:tcW w:w="1134" w:type="dxa"/>
            <w:tcBorders>
              <w:bottom w:val="single" w:sz="4" w:space="0" w:color="auto"/>
            </w:tcBorders>
          </w:tcPr>
          <w:p w:rsidR="00000000" w:rsidRDefault="00000000">
            <w:pPr>
              <w:pStyle w:val="a2"/>
              <w:spacing w:before="60" w:after="20" w:line="312" w:lineRule="auto"/>
              <w:jc w:val="center"/>
              <w:rPr>
                <w:rFonts w:hint="eastAsia"/>
              </w:rPr>
            </w:pPr>
            <w:r>
              <w:rPr>
                <w:rFonts w:hint="eastAsia"/>
              </w:rPr>
              <w:t>绝对值</w:t>
            </w:r>
          </w:p>
        </w:tc>
        <w:tc>
          <w:tcPr>
            <w:tcW w:w="1134" w:type="dxa"/>
            <w:tcBorders>
              <w:bottom w:val="single" w:sz="4" w:space="0" w:color="auto"/>
            </w:tcBorders>
          </w:tcPr>
          <w:p w:rsidR="00000000" w:rsidRDefault="00000000">
            <w:pPr>
              <w:pStyle w:val="a2"/>
              <w:spacing w:before="60" w:after="20" w:line="312" w:lineRule="auto"/>
              <w:jc w:val="center"/>
            </w:pPr>
            <w:r>
              <w:rPr>
                <w:rFonts w:hint="eastAsia"/>
              </w:rPr>
              <w:t>百分比</w:t>
            </w:r>
          </w:p>
        </w:tc>
        <w:tc>
          <w:tcPr>
            <w:tcW w:w="1276" w:type="dxa"/>
            <w:tcBorders>
              <w:bottom w:val="single" w:sz="4" w:space="0" w:color="auto"/>
            </w:tcBorders>
          </w:tcPr>
          <w:p w:rsidR="00000000" w:rsidRDefault="00000000">
            <w:pPr>
              <w:pStyle w:val="a2"/>
              <w:spacing w:before="60" w:after="20" w:line="312" w:lineRule="auto"/>
              <w:jc w:val="center"/>
              <w:rPr>
                <w:rFonts w:hint="eastAsia"/>
              </w:rPr>
            </w:pPr>
            <w:r>
              <w:rPr>
                <w:rFonts w:hint="eastAsia"/>
              </w:rPr>
              <w:t>绝对值</w:t>
            </w:r>
          </w:p>
        </w:tc>
        <w:tc>
          <w:tcPr>
            <w:tcW w:w="1134" w:type="dxa"/>
            <w:tcBorders>
              <w:bottom w:val="single" w:sz="4" w:space="0" w:color="auto"/>
            </w:tcBorders>
          </w:tcPr>
          <w:p w:rsidR="00000000" w:rsidRDefault="00000000">
            <w:pPr>
              <w:pStyle w:val="a2"/>
              <w:spacing w:before="60" w:after="20" w:line="312" w:lineRule="auto"/>
              <w:jc w:val="center"/>
            </w:pPr>
            <w:r>
              <w:rPr>
                <w:rFonts w:hint="eastAsia"/>
              </w:rPr>
              <w:t>百分比</w:t>
            </w:r>
          </w:p>
        </w:tc>
      </w:tr>
      <w:tr w:rsidR="00000000">
        <w:tblPrEx>
          <w:tblCellMar>
            <w:top w:w="0" w:type="dxa"/>
            <w:bottom w:w="0" w:type="dxa"/>
          </w:tblCellMar>
        </w:tblPrEx>
        <w:trPr>
          <w:cantSplit/>
        </w:trPr>
        <w:tc>
          <w:tcPr>
            <w:tcW w:w="1418" w:type="dxa"/>
            <w:tcBorders>
              <w:bottom w:val="nil"/>
            </w:tcBorders>
          </w:tcPr>
          <w:p w:rsidR="00000000" w:rsidRDefault="00000000">
            <w:pPr>
              <w:pStyle w:val="a2"/>
              <w:spacing w:line="336" w:lineRule="auto"/>
              <w:rPr>
                <w:rFonts w:hint="eastAsia"/>
              </w:rPr>
            </w:pPr>
            <w:r>
              <w:rPr>
                <w:rFonts w:hint="eastAsia"/>
              </w:rPr>
              <w:t>高原</w:t>
            </w:r>
          </w:p>
        </w:tc>
        <w:tc>
          <w:tcPr>
            <w:tcW w:w="992" w:type="dxa"/>
            <w:vMerge w:val="restart"/>
          </w:tcPr>
          <w:p w:rsidR="00000000" w:rsidRDefault="00000000">
            <w:pPr>
              <w:pStyle w:val="a2"/>
              <w:spacing w:before="60" w:line="336" w:lineRule="auto"/>
              <w:ind w:right="227"/>
              <w:jc w:val="right"/>
            </w:pPr>
            <w:r>
              <w:t>6.5</w:t>
            </w:r>
          </w:p>
          <w:p w:rsidR="00000000" w:rsidRDefault="00000000">
            <w:pPr>
              <w:pStyle w:val="a2"/>
              <w:spacing w:line="336" w:lineRule="auto"/>
              <w:ind w:right="227"/>
              <w:jc w:val="right"/>
            </w:pPr>
            <w:r>
              <w:t>7.1</w:t>
            </w:r>
          </w:p>
          <w:p w:rsidR="00000000" w:rsidRDefault="00000000">
            <w:pPr>
              <w:pStyle w:val="a2"/>
              <w:spacing w:line="336" w:lineRule="auto"/>
              <w:ind w:right="227"/>
              <w:jc w:val="right"/>
            </w:pPr>
            <w:r>
              <w:t>5.5</w:t>
            </w:r>
          </w:p>
        </w:tc>
        <w:tc>
          <w:tcPr>
            <w:tcW w:w="1134" w:type="dxa"/>
            <w:vMerge w:val="restart"/>
          </w:tcPr>
          <w:p w:rsidR="00000000" w:rsidRDefault="00000000">
            <w:pPr>
              <w:pStyle w:val="a2"/>
              <w:tabs>
                <w:tab w:val="decimal" w:pos="482"/>
              </w:tabs>
              <w:spacing w:before="60" w:line="336" w:lineRule="auto"/>
              <w:ind w:right="227"/>
              <w:jc w:val="right"/>
            </w:pPr>
            <w:r>
              <w:t>9.6</w:t>
            </w:r>
          </w:p>
          <w:p w:rsidR="00000000" w:rsidRDefault="00000000">
            <w:pPr>
              <w:pStyle w:val="a2"/>
              <w:tabs>
                <w:tab w:val="decimal" w:pos="482"/>
              </w:tabs>
              <w:spacing w:line="336" w:lineRule="auto"/>
              <w:ind w:right="227"/>
              <w:jc w:val="right"/>
            </w:pPr>
            <w:r>
              <w:t>12.8</w:t>
            </w:r>
          </w:p>
          <w:p w:rsidR="00000000" w:rsidRDefault="00000000">
            <w:pPr>
              <w:pStyle w:val="a2"/>
              <w:tabs>
                <w:tab w:val="decimal" w:pos="482"/>
              </w:tabs>
              <w:spacing w:line="336" w:lineRule="auto"/>
              <w:ind w:right="227"/>
              <w:jc w:val="right"/>
            </w:pPr>
            <w:r>
              <w:t>8.6</w:t>
            </w:r>
          </w:p>
        </w:tc>
        <w:tc>
          <w:tcPr>
            <w:tcW w:w="1134" w:type="dxa"/>
            <w:vMerge w:val="restart"/>
          </w:tcPr>
          <w:p w:rsidR="00000000" w:rsidRDefault="00000000">
            <w:pPr>
              <w:pStyle w:val="a2"/>
              <w:spacing w:before="60" w:line="336" w:lineRule="auto"/>
              <w:ind w:right="227"/>
              <w:jc w:val="right"/>
            </w:pPr>
            <w:r>
              <w:t>12.7</w:t>
            </w:r>
          </w:p>
          <w:p w:rsidR="00000000" w:rsidRDefault="00000000">
            <w:pPr>
              <w:pStyle w:val="a2"/>
              <w:spacing w:line="336" w:lineRule="auto"/>
              <w:ind w:right="227"/>
              <w:jc w:val="right"/>
            </w:pPr>
            <w:r>
              <w:t>15.8</w:t>
            </w:r>
          </w:p>
          <w:p w:rsidR="00000000" w:rsidRDefault="00000000">
            <w:pPr>
              <w:pStyle w:val="a2"/>
              <w:spacing w:line="336" w:lineRule="auto"/>
              <w:ind w:right="227"/>
              <w:jc w:val="right"/>
            </w:pPr>
            <w:r>
              <w:t>12.2</w:t>
            </w:r>
          </w:p>
        </w:tc>
        <w:tc>
          <w:tcPr>
            <w:tcW w:w="1134" w:type="dxa"/>
            <w:vMerge w:val="restart"/>
          </w:tcPr>
          <w:p w:rsidR="00000000" w:rsidRDefault="00000000">
            <w:pPr>
              <w:pStyle w:val="a2"/>
              <w:spacing w:before="60" w:line="336" w:lineRule="auto"/>
              <w:ind w:right="227"/>
              <w:jc w:val="right"/>
            </w:pPr>
            <w:r>
              <w:t>3.1</w:t>
            </w:r>
          </w:p>
          <w:p w:rsidR="00000000" w:rsidRDefault="00000000">
            <w:pPr>
              <w:pStyle w:val="a2"/>
              <w:spacing w:line="336" w:lineRule="auto"/>
              <w:ind w:right="227"/>
              <w:jc w:val="right"/>
            </w:pPr>
            <w:r>
              <w:t>5.7</w:t>
            </w:r>
          </w:p>
          <w:p w:rsidR="00000000" w:rsidRDefault="00000000">
            <w:pPr>
              <w:pStyle w:val="a2"/>
              <w:spacing w:line="336" w:lineRule="auto"/>
              <w:ind w:right="227"/>
              <w:jc w:val="right"/>
            </w:pPr>
            <w:r>
              <w:t>3.1</w:t>
            </w:r>
          </w:p>
        </w:tc>
        <w:tc>
          <w:tcPr>
            <w:tcW w:w="1134" w:type="dxa"/>
            <w:vMerge w:val="restart"/>
          </w:tcPr>
          <w:p w:rsidR="00000000" w:rsidRDefault="00000000">
            <w:pPr>
              <w:pStyle w:val="a2"/>
              <w:spacing w:before="60" w:line="336" w:lineRule="auto"/>
              <w:ind w:right="227"/>
              <w:jc w:val="right"/>
            </w:pPr>
            <w:r>
              <w:t>48</w:t>
            </w:r>
          </w:p>
          <w:p w:rsidR="00000000" w:rsidRDefault="00000000">
            <w:pPr>
              <w:pStyle w:val="a2"/>
              <w:spacing w:line="336" w:lineRule="auto"/>
              <w:ind w:right="227"/>
              <w:jc w:val="right"/>
            </w:pPr>
            <w:r>
              <w:t>80</w:t>
            </w:r>
          </w:p>
          <w:p w:rsidR="00000000" w:rsidRDefault="00000000">
            <w:pPr>
              <w:pStyle w:val="a2"/>
              <w:spacing w:line="336" w:lineRule="auto"/>
              <w:ind w:right="227"/>
              <w:jc w:val="right"/>
            </w:pPr>
            <w:r>
              <w:t>56</w:t>
            </w:r>
          </w:p>
        </w:tc>
        <w:tc>
          <w:tcPr>
            <w:tcW w:w="1276" w:type="dxa"/>
            <w:vMerge w:val="restart"/>
          </w:tcPr>
          <w:p w:rsidR="00000000" w:rsidRDefault="00000000">
            <w:pPr>
              <w:pStyle w:val="a2"/>
              <w:spacing w:before="60" w:line="336" w:lineRule="auto"/>
              <w:ind w:right="227"/>
              <w:jc w:val="right"/>
            </w:pPr>
            <w:r>
              <w:t>6.2</w:t>
            </w:r>
          </w:p>
          <w:p w:rsidR="00000000" w:rsidRDefault="00000000">
            <w:pPr>
              <w:pStyle w:val="a2"/>
              <w:spacing w:line="336" w:lineRule="auto"/>
              <w:ind w:right="227"/>
              <w:jc w:val="right"/>
            </w:pPr>
            <w:r>
              <w:t>8.7</w:t>
            </w:r>
          </w:p>
          <w:p w:rsidR="00000000" w:rsidRDefault="00000000">
            <w:pPr>
              <w:pStyle w:val="a2"/>
              <w:spacing w:line="336" w:lineRule="auto"/>
              <w:ind w:right="227"/>
              <w:jc w:val="right"/>
            </w:pPr>
            <w:r>
              <w:t>6.7</w:t>
            </w:r>
          </w:p>
        </w:tc>
        <w:tc>
          <w:tcPr>
            <w:tcW w:w="1134" w:type="dxa"/>
            <w:vMerge w:val="restart"/>
          </w:tcPr>
          <w:p w:rsidR="00000000" w:rsidRDefault="00000000">
            <w:pPr>
              <w:pStyle w:val="a2"/>
              <w:spacing w:before="60" w:line="336" w:lineRule="auto"/>
              <w:ind w:right="227"/>
              <w:jc w:val="right"/>
            </w:pPr>
            <w:r>
              <w:t>95</w:t>
            </w:r>
          </w:p>
          <w:p w:rsidR="00000000" w:rsidRDefault="00000000">
            <w:pPr>
              <w:pStyle w:val="a2"/>
              <w:spacing w:line="336" w:lineRule="auto"/>
              <w:ind w:right="227"/>
              <w:jc w:val="right"/>
            </w:pPr>
            <w:r>
              <w:t>123</w:t>
            </w:r>
          </w:p>
          <w:p w:rsidR="00000000" w:rsidRDefault="00000000">
            <w:pPr>
              <w:pStyle w:val="a2"/>
              <w:spacing w:before="60" w:after="20" w:line="336" w:lineRule="auto"/>
              <w:ind w:right="227"/>
              <w:jc w:val="right"/>
            </w:pPr>
            <w:r>
              <w:t>122</w:t>
            </w:r>
          </w:p>
        </w:tc>
      </w:tr>
      <w:tr w:rsidR="00000000">
        <w:tblPrEx>
          <w:tblCellMar>
            <w:top w:w="0" w:type="dxa"/>
            <w:bottom w:w="0" w:type="dxa"/>
          </w:tblCellMar>
        </w:tblPrEx>
        <w:trPr>
          <w:cantSplit/>
        </w:trPr>
        <w:tc>
          <w:tcPr>
            <w:tcW w:w="1418" w:type="dxa"/>
            <w:tcBorders>
              <w:top w:val="nil"/>
              <w:bottom w:val="nil"/>
            </w:tcBorders>
          </w:tcPr>
          <w:p w:rsidR="00000000" w:rsidRDefault="00000000">
            <w:pPr>
              <w:pStyle w:val="a2"/>
              <w:spacing w:line="312" w:lineRule="auto"/>
              <w:rPr>
                <w:rFonts w:hint="eastAsia"/>
              </w:rPr>
            </w:pPr>
            <w:r>
              <w:rPr>
                <w:rFonts w:hint="eastAsia"/>
              </w:rPr>
              <w:t>沿海</w:t>
            </w:r>
          </w:p>
        </w:tc>
        <w:tc>
          <w:tcPr>
            <w:tcW w:w="992" w:type="dxa"/>
            <w:vMerge/>
          </w:tcPr>
          <w:p w:rsidR="00000000" w:rsidRDefault="00000000">
            <w:pPr>
              <w:pStyle w:val="a2"/>
              <w:spacing w:line="312" w:lineRule="auto"/>
              <w:jc w:val="right"/>
            </w:pPr>
          </w:p>
        </w:tc>
        <w:tc>
          <w:tcPr>
            <w:tcW w:w="1134" w:type="dxa"/>
            <w:vMerge/>
          </w:tcPr>
          <w:p w:rsidR="00000000" w:rsidRDefault="00000000">
            <w:pPr>
              <w:pStyle w:val="a2"/>
              <w:tabs>
                <w:tab w:val="decimal" w:pos="482"/>
              </w:tabs>
              <w:spacing w:line="312" w:lineRule="auto"/>
              <w:jc w:val="right"/>
            </w:pPr>
          </w:p>
        </w:tc>
        <w:tc>
          <w:tcPr>
            <w:tcW w:w="1134" w:type="dxa"/>
            <w:vMerge/>
          </w:tcPr>
          <w:p w:rsidR="00000000" w:rsidRDefault="00000000">
            <w:pPr>
              <w:pStyle w:val="a2"/>
              <w:spacing w:line="312" w:lineRule="auto"/>
              <w:jc w:val="right"/>
            </w:pPr>
          </w:p>
        </w:tc>
        <w:tc>
          <w:tcPr>
            <w:tcW w:w="1134" w:type="dxa"/>
            <w:vMerge/>
          </w:tcPr>
          <w:p w:rsidR="00000000" w:rsidRDefault="00000000">
            <w:pPr>
              <w:pStyle w:val="a2"/>
              <w:spacing w:line="312" w:lineRule="auto"/>
              <w:jc w:val="right"/>
            </w:pPr>
          </w:p>
        </w:tc>
        <w:tc>
          <w:tcPr>
            <w:tcW w:w="1134" w:type="dxa"/>
            <w:vMerge/>
          </w:tcPr>
          <w:p w:rsidR="00000000" w:rsidRDefault="00000000">
            <w:pPr>
              <w:pStyle w:val="a2"/>
              <w:spacing w:line="312" w:lineRule="auto"/>
              <w:jc w:val="right"/>
            </w:pPr>
          </w:p>
        </w:tc>
        <w:tc>
          <w:tcPr>
            <w:tcW w:w="1276" w:type="dxa"/>
            <w:vMerge/>
          </w:tcPr>
          <w:p w:rsidR="00000000" w:rsidRDefault="00000000">
            <w:pPr>
              <w:pStyle w:val="a2"/>
              <w:spacing w:line="312" w:lineRule="auto"/>
              <w:jc w:val="right"/>
            </w:pPr>
          </w:p>
        </w:tc>
        <w:tc>
          <w:tcPr>
            <w:tcW w:w="1134" w:type="dxa"/>
            <w:vMerge/>
          </w:tcPr>
          <w:p w:rsidR="00000000" w:rsidRDefault="00000000">
            <w:pPr>
              <w:pStyle w:val="a2"/>
              <w:spacing w:before="60" w:after="20" w:line="312" w:lineRule="auto"/>
              <w:jc w:val="right"/>
            </w:pPr>
          </w:p>
        </w:tc>
      </w:tr>
      <w:tr w:rsidR="00000000">
        <w:tblPrEx>
          <w:tblCellMar>
            <w:top w:w="0" w:type="dxa"/>
            <w:bottom w:w="0" w:type="dxa"/>
          </w:tblCellMar>
        </w:tblPrEx>
        <w:trPr>
          <w:cantSplit/>
        </w:trPr>
        <w:tc>
          <w:tcPr>
            <w:tcW w:w="1418" w:type="dxa"/>
            <w:tcBorders>
              <w:top w:val="nil"/>
            </w:tcBorders>
          </w:tcPr>
          <w:p w:rsidR="00000000" w:rsidRDefault="00000000">
            <w:pPr>
              <w:pStyle w:val="a2"/>
              <w:spacing w:line="312" w:lineRule="auto"/>
              <w:rPr>
                <w:rFonts w:hint="eastAsia"/>
              </w:rPr>
            </w:pPr>
            <w:r>
              <w:rPr>
                <w:rFonts w:hint="eastAsia"/>
              </w:rPr>
              <w:t>亚马逊河</w:t>
            </w:r>
          </w:p>
        </w:tc>
        <w:tc>
          <w:tcPr>
            <w:tcW w:w="992" w:type="dxa"/>
            <w:vMerge/>
          </w:tcPr>
          <w:p w:rsidR="00000000" w:rsidRDefault="00000000">
            <w:pPr>
              <w:pStyle w:val="a2"/>
              <w:spacing w:line="312" w:lineRule="auto"/>
              <w:jc w:val="right"/>
            </w:pPr>
          </w:p>
        </w:tc>
        <w:tc>
          <w:tcPr>
            <w:tcW w:w="1134" w:type="dxa"/>
            <w:vMerge/>
          </w:tcPr>
          <w:p w:rsidR="00000000" w:rsidRDefault="00000000">
            <w:pPr>
              <w:pStyle w:val="a2"/>
              <w:tabs>
                <w:tab w:val="decimal" w:pos="482"/>
              </w:tabs>
              <w:spacing w:line="312" w:lineRule="auto"/>
              <w:jc w:val="right"/>
            </w:pPr>
          </w:p>
        </w:tc>
        <w:tc>
          <w:tcPr>
            <w:tcW w:w="1134" w:type="dxa"/>
            <w:vMerge/>
          </w:tcPr>
          <w:p w:rsidR="00000000" w:rsidRDefault="00000000">
            <w:pPr>
              <w:pStyle w:val="a2"/>
              <w:spacing w:line="312" w:lineRule="auto"/>
              <w:jc w:val="right"/>
            </w:pPr>
          </w:p>
        </w:tc>
        <w:tc>
          <w:tcPr>
            <w:tcW w:w="1134" w:type="dxa"/>
            <w:vMerge/>
          </w:tcPr>
          <w:p w:rsidR="00000000" w:rsidRDefault="00000000">
            <w:pPr>
              <w:pStyle w:val="a2"/>
              <w:spacing w:line="312" w:lineRule="auto"/>
              <w:jc w:val="right"/>
            </w:pPr>
          </w:p>
        </w:tc>
        <w:tc>
          <w:tcPr>
            <w:tcW w:w="1134" w:type="dxa"/>
            <w:vMerge/>
          </w:tcPr>
          <w:p w:rsidR="00000000" w:rsidRDefault="00000000">
            <w:pPr>
              <w:pStyle w:val="a2"/>
              <w:spacing w:line="312" w:lineRule="auto"/>
              <w:jc w:val="right"/>
            </w:pPr>
          </w:p>
        </w:tc>
        <w:tc>
          <w:tcPr>
            <w:tcW w:w="1276" w:type="dxa"/>
            <w:vMerge/>
          </w:tcPr>
          <w:p w:rsidR="00000000" w:rsidRDefault="00000000">
            <w:pPr>
              <w:pStyle w:val="a2"/>
              <w:spacing w:line="312" w:lineRule="auto"/>
              <w:jc w:val="right"/>
            </w:pPr>
          </w:p>
        </w:tc>
        <w:tc>
          <w:tcPr>
            <w:tcW w:w="1134" w:type="dxa"/>
            <w:vMerge/>
          </w:tcPr>
          <w:p w:rsidR="00000000" w:rsidRDefault="00000000">
            <w:pPr>
              <w:pStyle w:val="a2"/>
              <w:spacing w:before="60" w:after="20" w:line="312" w:lineRule="auto"/>
              <w:jc w:val="right"/>
            </w:pPr>
          </w:p>
        </w:tc>
      </w:tr>
    </w:tbl>
    <w:p w:rsidR="00000000" w:rsidRDefault="00000000">
      <w:pPr>
        <w:pStyle w:val="EndnoteText"/>
        <w:spacing w:before="240"/>
        <w:rPr>
          <w:rFonts w:hint="eastAsia"/>
          <w:sz w:val="22"/>
        </w:rPr>
      </w:pPr>
      <w:r>
        <w:rPr>
          <w:rFonts w:hint="eastAsia"/>
          <w:sz w:val="22"/>
          <w:u w:val="single"/>
        </w:rPr>
        <w:t>资料来源</w:t>
      </w:r>
      <w:r>
        <w:rPr>
          <w:rFonts w:hint="eastAsia"/>
          <w:sz w:val="22"/>
        </w:rPr>
        <w:t>：国家统计与人口普查研究所</w:t>
      </w:r>
      <w:r>
        <w:rPr>
          <w:rFonts w:hint="eastAsia"/>
          <w:sz w:val="22"/>
        </w:rPr>
        <w:t>(</w:t>
      </w:r>
      <w:r>
        <w:rPr>
          <w:rFonts w:hint="eastAsia"/>
          <w:sz w:val="22"/>
        </w:rPr>
        <w:t>国家统计局</w:t>
      </w:r>
      <w:r>
        <w:rPr>
          <w:rFonts w:hint="eastAsia"/>
          <w:sz w:val="22"/>
        </w:rPr>
        <w:t>)</w:t>
      </w:r>
      <w:r>
        <w:rPr>
          <w:rFonts w:hint="eastAsia"/>
          <w:sz w:val="22"/>
        </w:rPr>
        <w:t>，</w:t>
      </w:r>
      <w:r>
        <w:rPr>
          <w:sz w:val="22"/>
        </w:rPr>
        <w:t>Encuesta Urbana de Empleo, Subempleo y Desmpleo</w:t>
      </w:r>
      <w:r>
        <w:rPr>
          <w:rFonts w:hint="eastAsia"/>
          <w:sz w:val="22"/>
        </w:rPr>
        <w:t>(</w:t>
      </w:r>
      <w:r>
        <w:rPr>
          <w:rFonts w:hint="eastAsia"/>
          <w:sz w:val="22"/>
        </w:rPr>
        <w:t>城市就业、就业不足和失业普查</w:t>
      </w:r>
      <w:r>
        <w:rPr>
          <w:rFonts w:hint="eastAsia"/>
          <w:sz w:val="22"/>
        </w:rPr>
        <w:t>)</w:t>
      </w:r>
      <w:r>
        <w:rPr>
          <w:rFonts w:hint="eastAsia"/>
          <w:sz w:val="22"/>
        </w:rPr>
        <w:t>。</w:t>
      </w:r>
    </w:p>
    <w:p w:rsidR="00000000" w:rsidRDefault="00000000">
      <w:pPr>
        <w:rPr>
          <w:rFonts w:eastAsia="KaiTi_GB2312" w:hint="eastAsia"/>
          <w:spacing w:val="0"/>
        </w:rPr>
      </w:pPr>
    </w:p>
    <w:p w:rsidR="00000000" w:rsidRDefault="00000000">
      <w:pPr>
        <w:spacing w:after="320"/>
      </w:pPr>
      <w:r>
        <w:rPr>
          <w:rFonts w:hint="eastAsia"/>
        </w:rPr>
        <w:tab/>
        <w:t xml:space="preserve">59.  </w:t>
      </w:r>
      <w:r>
        <w:rPr>
          <w:rFonts w:hint="eastAsia"/>
        </w:rPr>
        <w:t>失业主要有两项基本原因：对劳工的需求减少以及工作年龄人口的增长。</w:t>
      </w:r>
    </w:p>
    <w:p w:rsidR="00000000" w:rsidRDefault="00000000">
      <w:pPr>
        <w:pStyle w:val="Heading3"/>
      </w:pPr>
      <w:r>
        <w:rPr>
          <w:rFonts w:hint="eastAsia"/>
        </w:rPr>
        <w:t>城市人口总数</w:t>
      </w:r>
      <w:r>
        <w:rPr>
          <w:rFonts w:hint="eastAsia"/>
        </w:rPr>
        <w:t>(1990</w:t>
      </w:r>
      <w:r>
        <w:rPr>
          <w:rFonts w:hint="eastAsia"/>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2"/>
        <w:gridCol w:w="2188"/>
        <w:gridCol w:w="2052"/>
        <w:gridCol w:w="2048"/>
      </w:tblGrid>
      <w:tr w:rsidR="00000000">
        <w:tblPrEx>
          <w:tblCellMar>
            <w:top w:w="0" w:type="dxa"/>
            <w:bottom w:w="0" w:type="dxa"/>
          </w:tblCellMar>
        </w:tblPrEx>
        <w:trPr>
          <w:cantSplit/>
        </w:trPr>
        <w:tc>
          <w:tcPr>
            <w:tcW w:w="1715" w:type="pct"/>
            <w:tcBorders>
              <w:bottom w:val="single" w:sz="4" w:space="0" w:color="auto"/>
            </w:tcBorders>
          </w:tcPr>
          <w:p w:rsidR="00000000" w:rsidRDefault="00000000">
            <w:pPr>
              <w:pStyle w:val="a2"/>
              <w:spacing w:before="60" w:after="20" w:line="312" w:lineRule="auto"/>
              <w:jc w:val="center"/>
            </w:pPr>
            <w:r>
              <w:rPr>
                <w:rFonts w:hint="eastAsia"/>
              </w:rPr>
              <w:t>组</w:t>
            </w:r>
            <w:r>
              <w:rPr>
                <w:rFonts w:hint="eastAsia"/>
              </w:rPr>
              <w:t xml:space="preserve">  </w:t>
            </w:r>
            <w:r>
              <w:rPr>
                <w:rFonts w:hint="eastAsia"/>
              </w:rPr>
              <w:t>别</w:t>
            </w:r>
          </w:p>
        </w:tc>
        <w:tc>
          <w:tcPr>
            <w:tcW w:w="1143" w:type="pct"/>
            <w:tcBorders>
              <w:bottom w:val="single" w:sz="4" w:space="0" w:color="auto"/>
            </w:tcBorders>
          </w:tcPr>
          <w:p w:rsidR="00000000" w:rsidRDefault="00000000">
            <w:pPr>
              <w:pStyle w:val="a2"/>
              <w:spacing w:before="60" w:after="20" w:line="312" w:lineRule="auto"/>
              <w:jc w:val="center"/>
              <w:rPr>
                <w:rFonts w:hint="eastAsia"/>
              </w:rPr>
            </w:pPr>
            <w:r>
              <w:rPr>
                <w:rFonts w:hint="eastAsia"/>
              </w:rPr>
              <w:t>总</w:t>
            </w:r>
            <w:r>
              <w:rPr>
                <w:rFonts w:hint="eastAsia"/>
              </w:rPr>
              <w:t xml:space="preserve">  </w:t>
            </w:r>
            <w:r>
              <w:rPr>
                <w:rFonts w:hint="eastAsia"/>
              </w:rPr>
              <w:t>数</w:t>
            </w:r>
          </w:p>
        </w:tc>
        <w:tc>
          <w:tcPr>
            <w:tcW w:w="1072" w:type="pct"/>
            <w:tcBorders>
              <w:bottom w:val="single" w:sz="4" w:space="0" w:color="auto"/>
            </w:tcBorders>
          </w:tcPr>
          <w:p w:rsidR="00000000" w:rsidRDefault="00000000">
            <w:pPr>
              <w:pStyle w:val="a2"/>
              <w:spacing w:before="60" w:after="20" w:line="312" w:lineRule="auto"/>
              <w:jc w:val="center"/>
              <w:rPr>
                <w:rFonts w:hint="eastAsia"/>
              </w:rPr>
            </w:pPr>
            <w:r>
              <w:rPr>
                <w:rFonts w:hint="eastAsia"/>
              </w:rPr>
              <w:t>男</w:t>
            </w:r>
            <w:r>
              <w:rPr>
                <w:rFonts w:hint="eastAsia"/>
              </w:rPr>
              <w:t xml:space="preserve">  </w:t>
            </w:r>
            <w:r>
              <w:rPr>
                <w:rFonts w:hint="eastAsia"/>
              </w:rPr>
              <w:t>子</w:t>
            </w:r>
          </w:p>
        </w:tc>
        <w:tc>
          <w:tcPr>
            <w:tcW w:w="1070" w:type="pct"/>
            <w:tcBorders>
              <w:bottom w:val="single" w:sz="4" w:space="0" w:color="auto"/>
            </w:tcBorders>
          </w:tcPr>
          <w:p w:rsidR="00000000" w:rsidRDefault="00000000">
            <w:pPr>
              <w:pStyle w:val="a2"/>
              <w:spacing w:before="60" w:after="20" w:line="312" w:lineRule="auto"/>
              <w:jc w:val="center"/>
              <w:rPr>
                <w:rFonts w:hint="eastAsia"/>
              </w:rPr>
            </w:pPr>
            <w:r>
              <w:rPr>
                <w:rFonts w:hint="eastAsia"/>
              </w:rPr>
              <w:t>妇</w:t>
            </w:r>
            <w:r>
              <w:rPr>
                <w:rFonts w:hint="eastAsia"/>
              </w:rPr>
              <w:t xml:space="preserve">  </w:t>
            </w:r>
            <w:r>
              <w:rPr>
                <w:rFonts w:hint="eastAsia"/>
              </w:rPr>
              <w:t>女</w:t>
            </w:r>
          </w:p>
        </w:tc>
      </w:tr>
      <w:tr w:rsidR="00000000">
        <w:tblPrEx>
          <w:tblCellMar>
            <w:top w:w="0" w:type="dxa"/>
            <w:bottom w:w="0" w:type="dxa"/>
          </w:tblCellMar>
        </w:tblPrEx>
        <w:trPr>
          <w:cantSplit/>
        </w:trPr>
        <w:tc>
          <w:tcPr>
            <w:tcW w:w="1715" w:type="pct"/>
            <w:tcBorders>
              <w:bottom w:val="nil"/>
            </w:tcBorders>
          </w:tcPr>
          <w:p w:rsidR="00000000" w:rsidRDefault="00000000">
            <w:pPr>
              <w:pStyle w:val="a2"/>
              <w:rPr>
                <w:rFonts w:hint="eastAsia"/>
              </w:rPr>
            </w:pPr>
            <w:r>
              <w:rPr>
                <w:rFonts w:hint="eastAsia"/>
              </w:rPr>
              <w:t>人口总数</w:t>
            </w:r>
          </w:p>
        </w:tc>
        <w:tc>
          <w:tcPr>
            <w:tcW w:w="1143" w:type="pct"/>
            <w:vMerge w:val="restart"/>
          </w:tcPr>
          <w:p w:rsidR="00000000" w:rsidRDefault="00000000">
            <w:pPr>
              <w:pStyle w:val="a2"/>
              <w:spacing w:before="40" w:line="288" w:lineRule="auto"/>
              <w:ind w:right="542"/>
              <w:jc w:val="right"/>
            </w:pPr>
            <w:r>
              <w:t>6,172,978</w:t>
            </w:r>
          </w:p>
          <w:p w:rsidR="00000000" w:rsidRDefault="00000000">
            <w:pPr>
              <w:pStyle w:val="a2"/>
              <w:spacing w:before="40" w:line="288" w:lineRule="auto"/>
              <w:ind w:right="542"/>
              <w:jc w:val="right"/>
            </w:pPr>
            <w:r>
              <w:t>1,432,662</w:t>
            </w:r>
          </w:p>
          <w:p w:rsidR="00000000" w:rsidRDefault="00000000">
            <w:pPr>
              <w:pStyle w:val="a2"/>
              <w:spacing w:before="40" w:line="288" w:lineRule="auto"/>
              <w:ind w:right="542"/>
              <w:jc w:val="right"/>
            </w:pPr>
            <w:r>
              <w:t>4,740,316</w:t>
            </w:r>
          </w:p>
          <w:p w:rsidR="00000000" w:rsidRDefault="00000000">
            <w:pPr>
              <w:pStyle w:val="a2"/>
              <w:spacing w:before="40" w:line="288" w:lineRule="auto"/>
              <w:ind w:right="542"/>
              <w:jc w:val="right"/>
            </w:pPr>
            <w:r>
              <w:t>2,259,331</w:t>
            </w:r>
          </w:p>
          <w:p w:rsidR="00000000" w:rsidRDefault="00000000">
            <w:pPr>
              <w:pStyle w:val="a2"/>
              <w:spacing w:before="40" w:line="288" w:lineRule="auto"/>
              <w:ind w:right="542"/>
              <w:jc w:val="right"/>
            </w:pPr>
            <w:r>
              <w:t>2,480,985</w:t>
            </w:r>
          </w:p>
          <w:p w:rsidR="00000000" w:rsidRDefault="00000000">
            <w:pPr>
              <w:pStyle w:val="a2"/>
              <w:spacing w:before="40" w:line="288" w:lineRule="auto"/>
              <w:ind w:right="542"/>
              <w:jc w:val="right"/>
            </w:pPr>
            <w:r>
              <w:t>150,472</w:t>
            </w:r>
          </w:p>
          <w:p w:rsidR="00000000" w:rsidRDefault="00000000">
            <w:pPr>
              <w:pStyle w:val="a2"/>
              <w:spacing w:before="40" w:line="288" w:lineRule="auto"/>
              <w:ind w:right="542"/>
              <w:jc w:val="right"/>
            </w:pPr>
            <w:r>
              <w:t>2,330,513</w:t>
            </w:r>
          </w:p>
        </w:tc>
        <w:tc>
          <w:tcPr>
            <w:tcW w:w="1072" w:type="pct"/>
            <w:vMerge w:val="restart"/>
          </w:tcPr>
          <w:p w:rsidR="00000000" w:rsidRDefault="00000000">
            <w:pPr>
              <w:pStyle w:val="a2"/>
              <w:tabs>
                <w:tab w:val="left" w:pos="2102"/>
              </w:tabs>
              <w:spacing w:before="40" w:line="288" w:lineRule="auto"/>
              <w:ind w:right="412"/>
              <w:jc w:val="right"/>
            </w:pPr>
            <w:r>
              <w:t>3,020,358</w:t>
            </w:r>
          </w:p>
          <w:p w:rsidR="00000000" w:rsidRDefault="00000000">
            <w:pPr>
              <w:pStyle w:val="a2"/>
              <w:tabs>
                <w:tab w:val="left" w:pos="2102"/>
              </w:tabs>
              <w:spacing w:before="40" w:line="288" w:lineRule="auto"/>
              <w:ind w:right="412"/>
              <w:jc w:val="right"/>
            </w:pPr>
            <w:r>
              <w:t>730,411</w:t>
            </w:r>
          </w:p>
          <w:p w:rsidR="00000000" w:rsidRDefault="00000000">
            <w:pPr>
              <w:pStyle w:val="a2"/>
              <w:tabs>
                <w:tab w:val="left" w:pos="2102"/>
              </w:tabs>
              <w:spacing w:before="40" w:line="288" w:lineRule="auto"/>
              <w:ind w:right="412"/>
              <w:jc w:val="right"/>
            </w:pPr>
            <w:r>
              <w:t>2,289,947</w:t>
            </w:r>
          </w:p>
          <w:p w:rsidR="00000000" w:rsidRDefault="00000000">
            <w:pPr>
              <w:pStyle w:val="a2"/>
              <w:tabs>
                <w:tab w:val="left" w:pos="2102"/>
              </w:tabs>
              <w:spacing w:before="40" w:line="288" w:lineRule="auto"/>
              <w:ind w:right="412"/>
              <w:jc w:val="right"/>
            </w:pPr>
            <w:r>
              <w:t>723,208</w:t>
            </w:r>
          </w:p>
          <w:p w:rsidR="00000000" w:rsidRDefault="00000000">
            <w:pPr>
              <w:pStyle w:val="a2"/>
              <w:tabs>
                <w:tab w:val="left" w:pos="2102"/>
              </w:tabs>
              <w:spacing w:before="40" w:line="288" w:lineRule="auto"/>
              <w:ind w:right="412"/>
              <w:jc w:val="right"/>
            </w:pPr>
            <w:r>
              <w:t>1,566,739</w:t>
            </w:r>
          </w:p>
          <w:p w:rsidR="00000000" w:rsidRDefault="00000000">
            <w:pPr>
              <w:pStyle w:val="a2"/>
              <w:tabs>
                <w:tab w:val="left" w:pos="2102"/>
              </w:tabs>
              <w:spacing w:before="40" w:line="288" w:lineRule="auto"/>
              <w:ind w:right="412"/>
              <w:jc w:val="right"/>
            </w:pPr>
            <w:r>
              <w:t>66,945</w:t>
            </w:r>
          </w:p>
          <w:p w:rsidR="00000000" w:rsidRDefault="00000000">
            <w:pPr>
              <w:pStyle w:val="a2"/>
              <w:tabs>
                <w:tab w:val="left" w:pos="2102"/>
              </w:tabs>
              <w:spacing w:before="40" w:line="288" w:lineRule="auto"/>
              <w:ind w:right="412"/>
              <w:jc w:val="right"/>
            </w:pPr>
            <w:r>
              <w:t>1,499,794</w:t>
            </w:r>
          </w:p>
        </w:tc>
        <w:tc>
          <w:tcPr>
            <w:tcW w:w="1070" w:type="pct"/>
            <w:vMerge w:val="restart"/>
          </w:tcPr>
          <w:p w:rsidR="00000000" w:rsidRDefault="00000000">
            <w:pPr>
              <w:pStyle w:val="a2"/>
              <w:spacing w:before="40" w:line="288" w:lineRule="auto"/>
              <w:ind w:right="408"/>
              <w:jc w:val="right"/>
            </w:pPr>
            <w:r>
              <w:t>3,152,620</w:t>
            </w:r>
          </w:p>
          <w:p w:rsidR="00000000" w:rsidRDefault="00000000">
            <w:pPr>
              <w:pStyle w:val="a2"/>
              <w:spacing w:before="40" w:line="288" w:lineRule="auto"/>
              <w:ind w:right="408"/>
              <w:jc w:val="right"/>
            </w:pPr>
            <w:r>
              <w:t>702,251</w:t>
            </w:r>
          </w:p>
          <w:p w:rsidR="00000000" w:rsidRDefault="00000000">
            <w:pPr>
              <w:pStyle w:val="a2"/>
              <w:spacing w:before="40" w:line="288" w:lineRule="auto"/>
              <w:ind w:right="408"/>
              <w:jc w:val="right"/>
            </w:pPr>
            <w:r>
              <w:t>2,450,369</w:t>
            </w:r>
          </w:p>
          <w:p w:rsidR="00000000" w:rsidRDefault="00000000">
            <w:pPr>
              <w:pStyle w:val="a2"/>
              <w:spacing w:before="40" w:line="288" w:lineRule="auto"/>
              <w:ind w:right="408"/>
              <w:jc w:val="right"/>
            </w:pPr>
            <w:r>
              <w:t>1,536,123</w:t>
            </w:r>
          </w:p>
          <w:p w:rsidR="00000000" w:rsidRDefault="00000000">
            <w:pPr>
              <w:pStyle w:val="a2"/>
              <w:spacing w:before="40" w:line="288" w:lineRule="auto"/>
              <w:ind w:right="408"/>
              <w:jc w:val="right"/>
            </w:pPr>
            <w:r>
              <w:t>914,246</w:t>
            </w:r>
          </w:p>
          <w:p w:rsidR="00000000" w:rsidRDefault="00000000">
            <w:pPr>
              <w:pStyle w:val="a2"/>
              <w:spacing w:before="40" w:line="288" w:lineRule="auto"/>
              <w:ind w:right="408"/>
              <w:jc w:val="right"/>
            </w:pPr>
            <w:r>
              <w:t>83,527</w:t>
            </w:r>
          </w:p>
          <w:p w:rsidR="00000000" w:rsidRDefault="00000000">
            <w:pPr>
              <w:pStyle w:val="a2"/>
              <w:spacing w:before="40" w:line="288" w:lineRule="auto"/>
              <w:ind w:right="408"/>
              <w:jc w:val="right"/>
            </w:pPr>
            <w:r>
              <w:t>830,719</w:t>
            </w:r>
          </w:p>
        </w:tc>
      </w:tr>
      <w:tr w:rsidR="00000000">
        <w:tblPrEx>
          <w:tblCellMar>
            <w:top w:w="0" w:type="dxa"/>
            <w:bottom w:w="0" w:type="dxa"/>
          </w:tblCellMar>
        </w:tblPrEx>
        <w:trPr>
          <w:cantSplit/>
        </w:trPr>
        <w:tc>
          <w:tcPr>
            <w:tcW w:w="1715" w:type="pct"/>
            <w:tcBorders>
              <w:top w:val="nil"/>
              <w:bottom w:val="nil"/>
            </w:tcBorders>
          </w:tcPr>
          <w:p w:rsidR="00000000" w:rsidRDefault="00000000">
            <w:pPr>
              <w:pStyle w:val="a2"/>
              <w:rPr>
                <w:rFonts w:hint="eastAsia"/>
              </w:rPr>
            </w:pPr>
            <w:r>
              <w:rPr>
                <w:rFonts w:hint="eastAsia"/>
              </w:rPr>
              <w:t>10</w:t>
            </w:r>
            <w:r>
              <w:rPr>
                <w:rFonts w:hint="eastAsia"/>
              </w:rPr>
              <w:t>岁以下人口</w:t>
            </w:r>
          </w:p>
        </w:tc>
        <w:tc>
          <w:tcPr>
            <w:tcW w:w="1143" w:type="pct"/>
            <w:vMerge/>
          </w:tcPr>
          <w:p w:rsidR="00000000" w:rsidRDefault="00000000">
            <w:pPr>
              <w:pStyle w:val="a2"/>
              <w:spacing w:line="312" w:lineRule="auto"/>
            </w:pPr>
          </w:p>
        </w:tc>
        <w:tc>
          <w:tcPr>
            <w:tcW w:w="1072" w:type="pct"/>
            <w:vMerge/>
          </w:tcPr>
          <w:p w:rsidR="00000000" w:rsidRDefault="00000000">
            <w:pPr>
              <w:pStyle w:val="a2"/>
              <w:spacing w:line="312" w:lineRule="auto"/>
              <w:jc w:val="right"/>
            </w:pPr>
          </w:p>
        </w:tc>
        <w:tc>
          <w:tcPr>
            <w:tcW w:w="1070" w:type="pct"/>
            <w:vMerge/>
          </w:tcPr>
          <w:p w:rsidR="00000000" w:rsidRDefault="00000000">
            <w:pPr>
              <w:pStyle w:val="a2"/>
              <w:spacing w:line="312" w:lineRule="auto"/>
            </w:pPr>
          </w:p>
        </w:tc>
      </w:tr>
      <w:tr w:rsidR="00000000">
        <w:tblPrEx>
          <w:tblCellMar>
            <w:top w:w="0" w:type="dxa"/>
            <w:bottom w:w="0" w:type="dxa"/>
          </w:tblCellMar>
        </w:tblPrEx>
        <w:trPr>
          <w:cantSplit/>
        </w:trPr>
        <w:tc>
          <w:tcPr>
            <w:tcW w:w="1715" w:type="pct"/>
            <w:tcBorders>
              <w:top w:val="nil"/>
              <w:bottom w:val="nil"/>
            </w:tcBorders>
          </w:tcPr>
          <w:p w:rsidR="00000000" w:rsidRDefault="00000000">
            <w:pPr>
              <w:pStyle w:val="a2"/>
              <w:rPr>
                <w:rFonts w:hint="eastAsia"/>
              </w:rPr>
            </w:pPr>
            <w:r>
              <w:rPr>
                <w:rFonts w:hint="eastAsia"/>
              </w:rPr>
              <w:t>工作年龄人口</w:t>
            </w:r>
          </w:p>
        </w:tc>
        <w:tc>
          <w:tcPr>
            <w:tcW w:w="1143" w:type="pct"/>
            <w:vMerge/>
          </w:tcPr>
          <w:p w:rsidR="00000000" w:rsidRDefault="00000000">
            <w:pPr>
              <w:pStyle w:val="a2"/>
              <w:spacing w:line="312" w:lineRule="auto"/>
            </w:pPr>
          </w:p>
        </w:tc>
        <w:tc>
          <w:tcPr>
            <w:tcW w:w="1072" w:type="pct"/>
            <w:vMerge/>
          </w:tcPr>
          <w:p w:rsidR="00000000" w:rsidRDefault="00000000">
            <w:pPr>
              <w:pStyle w:val="a2"/>
              <w:spacing w:line="312" w:lineRule="auto"/>
              <w:jc w:val="right"/>
            </w:pPr>
          </w:p>
        </w:tc>
        <w:tc>
          <w:tcPr>
            <w:tcW w:w="1070" w:type="pct"/>
            <w:vMerge/>
          </w:tcPr>
          <w:p w:rsidR="00000000" w:rsidRDefault="00000000">
            <w:pPr>
              <w:pStyle w:val="a2"/>
              <w:spacing w:line="312" w:lineRule="auto"/>
            </w:pPr>
          </w:p>
        </w:tc>
      </w:tr>
      <w:tr w:rsidR="00000000">
        <w:tblPrEx>
          <w:tblCellMar>
            <w:top w:w="0" w:type="dxa"/>
            <w:bottom w:w="0" w:type="dxa"/>
          </w:tblCellMar>
        </w:tblPrEx>
        <w:trPr>
          <w:cantSplit/>
        </w:trPr>
        <w:tc>
          <w:tcPr>
            <w:tcW w:w="1715" w:type="pct"/>
            <w:tcBorders>
              <w:top w:val="nil"/>
              <w:bottom w:val="nil"/>
            </w:tcBorders>
          </w:tcPr>
          <w:p w:rsidR="00000000" w:rsidRDefault="00000000">
            <w:pPr>
              <w:pStyle w:val="a2"/>
              <w:rPr>
                <w:rFonts w:hint="eastAsia"/>
              </w:rPr>
            </w:pPr>
            <w:r>
              <w:rPr>
                <w:rFonts w:hint="eastAsia"/>
              </w:rPr>
              <w:t>经济不活跃人口</w:t>
            </w:r>
          </w:p>
        </w:tc>
        <w:tc>
          <w:tcPr>
            <w:tcW w:w="1143" w:type="pct"/>
            <w:vMerge/>
          </w:tcPr>
          <w:p w:rsidR="00000000" w:rsidRDefault="00000000">
            <w:pPr>
              <w:pStyle w:val="a2"/>
              <w:spacing w:line="312" w:lineRule="auto"/>
            </w:pPr>
          </w:p>
        </w:tc>
        <w:tc>
          <w:tcPr>
            <w:tcW w:w="1072" w:type="pct"/>
            <w:vMerge/>
          </w:tcPr>
          <w:p w:rsidR="00000000" w:rsidRDefault="00000000">
            <w:pPr>
              <w:pStyle w:val="a2"/>
              <w:spacing w:line="312" w:lineRule="auto"/>
              <w:jc w:val="right"/>
            </w:pPr>
          </w:p>
        </w:tc>
        <w:tc>
          <w:tcPr>
            <w:tcW w:w="1070" w:type="pct"/>
            <w:vMerge/>
          </w:tcPr>
          <w:p w:rsidR="00000000" w:rsidRDefault="00000000">
            <w:pPr>
              <w:pStyle w:val="a2"/>
              <w:spacing w:line="312" w:lineRule="auto"/>
            </w:pPr>
          </w:p>
        </w:tc>
      </w:tr>
      <w:tr w:rsidR="00000000">
        <w:tblPrEx>
          <w:tblCellMar>
            <w:top w:w="0" w:type="dxa"/>
            <w:bottom w:w="0" w:type="dxa"/>
          </w:tblCellMar>
        </w:tblPrEx>
        <w:trPr>
          <w:cantSplit/>
        </w:trPr>
        <w:tc>
          <w:tcPr>
            <w:tcW w:w="1715" w:type="pct"/>
            <w:tcBorders>
              <w:top w:val="nil"/>
              <w:bottom w:val="nil"/>
            </w:tcBorders>
          </w:tcPr>
          <w:p w:rsidR="00000000" w:rsidRDefault="00000000">
            <w:pPr>
              <w:pStyle w:val="a2"/>
              <w:rPr>
                <w:rFonts w:hint="eastAsia"/>
              </w:rPr>
            </w:pPr>
            <w:r>
              <w:rPr>
                <w:rFonts w:hint="eastAsia"/>
              </w:rPr>
              <w:t>经济活跃人口</w:t>
            </w:r>
          </w:p>
        </w:tc>
        <w:tc>
          <w:tcPr>
            <w:tcW w:w="1143" w:type="pct"/>
            <w:vMerge/>
          </w:tcPr>
          <w:p w:rsidR="00000000" w:rsidRDefault="00000000">
            <w:pPr>
              <w:pStyle w:val="a2"/>
              <w:spacing w:line="312" w:lineRule="auto"/>
            </w:pPr>
          </w:p>
        </w:tc>
        <w:tc>
          <w:tcPr>
            <w:tcW w:w="1072" w:type="pct"/>
            <w:vMerge/>
          </w:tcPr>
          <w:p w:rsidR="00000000" w:rsidRDefault="00000000">
            <w:pPr>
              <w:pStyle w:val="a2"/>
              <w:spacing w:line="312" w:lineRule="auto"/>
              <w:jc w:val="right"/>
            </w:pPr>
          </w:p>
        </w:tc>
        <w:tc>
          <w:tcPr>
            <w:tcW w:w="1070" w:type="pct"/>
            <w:vMerge/>
          </w:tcPr>
          <w:p w:rsidR="00000000" w:rsidRDefault="00000000">
            <w:pPr>
              <w:pStyle w:val="a2"/>
              <w:spacing w:line="312" w:lineRule="auto"/>
            </w:pPr>
          </w:p>
        </w:tc>
      </w:tr>
      <w:tr w:rsidR="00000000">
        <w:tblPrEx>
          <w:tblCellMar>
            <w:top w:w="0" w:type="dxa"/>
            <w:bottom w:w="0" w:type="dxa"/>
          </w:tblCellMar>
        </w:tblPrEx>
        <w:trPr>
          <w:cantSplit/>
        </w:trPr>
        <w:tc>
          <w:tcPr>
            <w:tcW w:w="1715" w:type="pct"/>
            <w:tcBorders>
              <w:top w:val="nil"/>
              <w:bottom w:val="nil"/>
            </w:tcBorders>
          </w:tcPr>
          <w:p w:rsidR="00000000" w:rsidRDefault="00000000">
            <w:pPr>
              <w:pStyle w:val="a2"/>
              <w:rPr>
                <w:rFonts w:hint="eastAsia"/>
              </w:rPr>
            </w:pPr>
            <w:r>
              <w:rPr>
                <w:rFonts w:hint="eastAsia"/>
              </w:rPr>
              <w:t>失业人口</w:t>
            </w:r>
          </w:p>
        </w:tc>
        <w:tc>
          <w:tcPr>
            <w:tcW w:w="1143" w:type="pct"/>
            <w:vMerge/>
          </w:tcPr>
          <w:p w:rsidR="00000000" w:rsidRDefault="00000000">
            <w:pPr>
              <w:pStyle w:val="a2"/>
              <w:spacing w:line="312" w:lineRule="auto"/>
            </w:pPr>
          </w:p>
        </w:tc>
        <w:tc>
          <w:tcPr>
            <w:tcW w:w="1072" w:type="pct"/>
            <w:vMerge/>
          </w:tcPr>
          <w:p w:rsidR="00000000" w:rsidRDefault="00000000">
            <w:pPr>
              <w:pStyle w:val="a2"/>
              <w:spacing w:line="312" w:lineRule="auto"/>
              <w:jc w:val="right"/>
            </w:pPr>
          </w:p>
        </w:tc>
        <w:tc>
          <w:tcPr>
            <w:tcW w:w="1070" w:type="pct"/>
            <w:vMerge/>
          </w:tcPr>
          <w:p w:rsidR="00000000" w:rsidRDefault="00000000">
            <w:pPr>
              <w:pStyle w:val="a2"/>
              <w:spacing w:line="312" w:lineRule="auto"/>
            </w:pPr>
          </w:p>
        </w:tc>
      </w:tr>
      <w:tr w:rsidR="00000000">
        <w:tblPrEx>
          <w:tblCellMar>
            <w:top w:w="0" w:type="dxa"/>
            <w:bottom w:w="0" w:type="dxa"/>
          </w:tblCellMar>
        </w:tblPrEx>
        <w:trPr>
          <w:cantSplit/>
        </w:trPr>
        <w:tc>
          <w:tcPr>
            <w:tcW w:w="1715" w:type="pct"/>
            <w:tcBorders>
              <w:top w:val="nil"/>
            </w:tcBorders>
          </w:tcPr>
          <w:p w:rsidR="00000000" w:rsidRDefault="00000000">
            <w:pPr>
              <w:pStyle w:val="a2"/>
              <w:rPr>
                <w:rFonts w:hint="eastAsia"/>
              </w:rPr>
            </w:pPr>
            <w:r>
              <w:rPr>
                <w:rFonts w:hint="eastAsia"/>
              </w:rPr>
              <w:t>就业人口</w:t>
            </w:r>
          </w:p>
        </w:tc>
        <w:tc>
          <w:tcPr>
            <w:tcW w:w="1143" w:type="pct"/>
            <w:vMerge/>
          </w:tcPr>
          <w:p w:rsidR="00000000" w:rsidRDefault="00000000">
            <w:pPr>
              <w:pStyle w:val="a2"/>
              <w:spacing w:line="312" w:lineRule="auto"/>
            </w:pPr>
          </w:p>
        </w:tc>
        <w:tc>
          <w:tcPr>
            <w:tcW w:w="1072" w:type="pct"/>
            <w:vMerge/>
          </w:tcPr>
          <w:p w:rsidR="00000000" w:rsidRDefault="00000000">
            <w:pPr>
              <w:pStyle w:val="a2"/>
              <w:spacing w:line="312" w:lineRule="auto"/>
              <w:jc w:val="right"/>
            </w:pPr>
          </w:p>
        </w:tc>
        <w:tc>
          <w:tcPr>
            <w:tcW w:w="1070" w:type="pct"/>
            <w:vMerge/>
          </w:tcPr>
          <w:p w:rsidR="00000000" w:rsidRDefault="00000000">
            <w:pPr>
              <w:pStyle w:val="a2"/>
              <w:spacing w:line="312" w:lineRule="auto"/>
            </w:pPr>
          </w:p>
        </w:tc>
      </w:tr>
    </w:tbl>
    <w:p w:rsidR="00000000" w:rsidRDefault="00000000">
      <w:pPr>
        <w:pStyle w:val="EndnoteText"/>
        <w:spacing w:before="360" w:after="240"/>
        <w:rPr>
          <w:rFonts w:hint="eastAsia"/>
          <w:sz w:val="22"/>
        </w:rPr>
      </w:pPr>
      <w:r>
        <w:rPr>
          <w:rFonts w:hint="eastAsia"/>
          <w:sz w:val="22"/>
          <w:u w:val="single"/>
        </w:rPr>
        <w:t>资料来源</w:t>
      </w:r>
      <w:r>
        <w:rPr>
          <w:rFonts w:hint="eastAsia"/>
          <w:sz w:val="22"/>
        </w:rPr>
        <w:t>：国家统计与人口普查研究所</w:t>
      </w:r>
      <w:r>
        <w:rPr>
          <w:rFonts w:hint="eastAsia"/>
          <w:sz w:val="22"/>
        </w:rPr>
        <w:t>(</w:t>
      </w:r>
      <w:r>
        <w:rPr>
          <w:rFonts w:hint="eastAsia"/>
          <w:sz w:val="22"/>
        </w:rPr>
        <w:t>国家统计局</w:t>
      </w:r>
      <w:r>
        <w:rPr>
          <w:rFonts w:hint="eastAsia"/>
          <w:sz w:val="22"/>
        </w:rPr>
        <w:t>)</w:t>
      </w:r>
      <w:r>
        <w:rPr>
          <w:rFonts w:hint="eastAsia"/>
          <w:sz w:val="22"/>
        </w:rPr>
        <w:t>，</w:t>
      </w:r>
      <w:r>
        <w:rPr>
          <w:sz w:val="22"/>
        </w:rPr>
        <w:t>Encuesta Urbana de Empleo, Subempleo y Desmpleo</w:t>
      </w:r>
      <w:r>
        <w:rPr>
          <w:rFonts w:hint="eastAsia"/>
          <w:sz w:val="22"/>
        </w:rPr>
        <w:t>(</w:t>
      </w:r>
      <w:r>
        <w:rPr>
          <w:rFonts w:hint="eastAsia"/>
          <w:sz w:val="22"/>
        </w:rPr>
        <w:t>城市就业、就业不足和失业普查</w:t>
      </w:r>
      <w:r>
        <w:rPr>
          <w:rFonts w:hint="eastAsia"/>
          <w:sz w:val="22"/>
        </w:rPr>
        <w:t>)</w:t>
      </w:r>
      <w:r>
        <w:rPr>
          <w:rFonts w:hint="eastAsia"/>
          <w:sz w:val="22"/>
        </w:rPr>
        <w:t>。</w:t>
      </w:r>
    </w:p>
    <w:p w:rsidR="00000000" w:rsidRDefault="00000000">
      <w:pPr>
        <w:pStyle w:val="Heading3"/>
        <w:spacing w:after="160"/>
        <w:rPr>
          <w:rFonts w:hint="eastAsia"/>
        </w:rPr>
      </w:pPr>
      <w:r>
        <w:br w:type="page"/>
      </w:r>
      <w:r>
        <w:rPr>
          <w:rFonts w:hint="eastAsia"/>
        </w:rPr>
        <w:t>城市人口总数</w:t>
      </w:r>
      <w:r>
        <w:t>(1995)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2"/>
        <w:gridCol w:w="2360"/>
        <w:gridCol w:w="2138"/>
        <w:gridCol w:w="1790"/>
      </w:tblGrid>
      <w:tr w:rsidR="00000000">
        <w:tblPrEx>
          <w:tblCellMar>
            <w:top w:w="0" w:type="dxa"/>
            <w:bottom w:w="0" w:type="dxa"/>
          </w:tblCellMar>
        </w:tblPrEx>
        <w:trPr>
          <w:cantSplit/>
        </w:trPr>
        <w:tc>
          <w:tcPr>
            <w:tcW w:w="1715" w:type="pct"/>
            <w:tcBorders>
              <w:bottom w:val="single" w:sz="4" w:space="0" w:color="auto"/>
            </w:tcBorders>
          </w:tcPr>
          <w:p w:rsidR="00000000" w:rsidRDefault="00000000">
            <w:pPr>
              <w:pStyle w:val="a2"/>
              <w:spacing w:before="60" w:after="20" w:line="288" w:lineRule="auto"/>
              <w:jc w:val="center"/>
              <w:rPr>
                <w:rFonts w:ascii="Time New Roman" w:eastAsia="SimHei" w:hAnsi="Time New Roman"/>
              </w:rPr>
            </w:pPr>
            <w:r>
              <w:rPr>
                <w:rFonts w:ascii="Time New Roman" w:eastAsia="SimHei" w:hAnsi="Time New Roman" w:hint="eastAsia"/>
              </w:rPr>
              <w:t>组</w:t>
            </w:r>
            <w:r>
              <w:rPr>
                <w:rFonts w:ascii="Time New Roman" w:eastAsia="SimHei" w:hAnsi="Time New Roman" w:hint="eastAsia"/>
              </w:rPr>
              <w:t xml:space="preserve">  </w:t>
            </w:r>
            <w:r>
              <w:rPr>
                <w:rFonts w:ascii="Time New Roman" w:eastAsia="SimHei" w:hAnsi="Time New Roman" w:hint="eastAsia"/>
              </w:rPr>
              <w:t>别</w:t>
            </w:r>
          </w:p>
        </w:tc>
        <w:tc>
          <w:tcPr>
            <w:tcW w:w="1233" w:type="pct"/>
            <w:tcBorders>
              <w:bottom w:val="single" w:sz="4" w:space="0" w:color="auto"/>
            </w:tcBorders>
          </w:tcPr>
          <w:p w:rsidR="00000000" w:rsidRDefault="00000000">
            <w:pPr>
              <w:pStyle w:val="a2"/>
              <w:spacing w:before="60" w:after="20" w:line="288" w:lineRule="auto"/>
              <w:jc w:val="center"/>
              <w:rPr>
                <w:rFonts w:ascii="Time New Roman" w:eastAsia="SimHei" w:hAnsi="Time New Roman" w:hint="eastAsia"/>
              </w:rPr>
            </w:pPr>
            <w:r>
              <w:rPr>
                <w:rFonts w:ascii="Time New Roman" w:eastAsia="SimHei" w:hAnsi="Time New Roman" w:hint="eastAsia"/>
              </w:rPr>
              <w:t>总</w:t>
            </w:r>
            <w:r>
              <w:rPr>
                <w:rFonts w:ascii="Time New Roman" w:eastAsia="SimHei" w:hAnsi="Time New Roman" w:hint="eastAsia"/>
              </w:rPr>
              <w:t xml:space="preserve">  </w:t>
            </w:r>
            <w:r>
              <w:rPr>
                <w:rFonts w:ascii="Time New Roman" w:eastAsia="SimHei" w:hAnsi="Time New Roman" w:hint="eastAsia"/>
              </w:rPr>
              <w:t>数</w:t>
            </w:r>
          </w:p>
        </w:tc>
        <w:tc>
          <w:tcPr>
            <w:tcW w:w="1117" w:type="pct"/>
            <w:tcBorders>
              <w:bottom w:val="single" w:sz="4" w:space="0" w:color="auto"/>
            </w:tcBorders>
          </w:tcPr>
          <w:p w:rsidR="00000000" w:rsidRDefault="00000000">
            <w:pPr>
              <w:pStyle w:val="a2"/>
              <w:spacing w:before="60" w:after="20" w:line="288" w:lineRule="auto"/>
              <w:jc w:val="center"/>
              <w:rPr>
                <w:rFonts w:ascii="Time New Roman" w:eastAsia="SimHei" w:hAnsi="Time New Roman" w:hint="eastAsia"/>
              </w:rPr>
            </w:pPr>
            <w:r>
              <w:rPr>
                <w:rFonts w:ascii="Time New Roman" w:eastAsia="SimHei" w:hAnsi="Time New Roman" w:hint="eastAsia"/>
              </w:rPr>
              <w:t>男</w:t>
            </w:r>
            <w:r>
              <w:rPr>
                <w:rFonts w:ascii="Time New Roman" w:eastAsia="SimHei" w:hAnsi="Time New Roman" w:hint="eastAsia"/>
              </w:rPr>
              <w:t xml:space="preserve">  </w:t>
            </w:r>
            <w:r>
              <w:rPr>
                <w:rFonts w:ascii="Time New Roman" w:eastAsia="SimHei" w:hAnsi="Time New Roman" w:hint="eastAsia"/>
              </w:rPr>
              <w:t>子</w:t>
            </w:r>
          </w:p>
        </w:tc>
        <w:tc>
          <w:tcPr>
            <w:tcW w:w="935" w:type="pct"/>
            <w:tcBorders>
              <w:bottom w:val="single" w:sz="4" w:space="0" w:color="auto"/>
            </w:tcBorders>
          </w:tcPr>
          <w:p w:rsidR="00000000" w:rsidRDefault="00000000">
            <w:pPr>
              <w:pStyle w:val="a2"/>
              <w:spacing w:before="60" w:after="20" w:line="288" w:lineRule="auto"/>
              <w:jc w:val="center"/>
              <w:rPr>
                <w:rFonts w:ascii="Time New Roman" w:eastAsia="SimHei" w:hAnsi="Time New Roman" w:hint="eastAsia"/>
              </w:rPr>
            </w:pPr>
            <w:r>
              <w:rPr>
                <w:rFonts w:ascii="Time New Roman" w:eastAsia="SimHei" w:hAnsi="Time New Roman" w:hint="eastAsia"/>
              </w:rPr>
              <w:t>妇</w:t>
            </w:r>
            <w:r>
              <w:rPr>
                <w:rFonts w:ascii="Time New Roman" w:eastAsia="SimHei" w:hAnsi="Time New Roman" w:hint="eastAsia"/>
              </w:rPr>
              <w:t xml:space="preserve">  </w:t>
            </w:r>
            <w:r>
              <w:rPr>
                <w:rFonts w:ascii="Time New Roman" w:eastAsia="SimHei" w:hAnsi="Time New Roman" w:hint="eastAsia"/>
              </w:rPr>
              <w:t>女</w:t>
            </w:r>
          </w:p>
        </w:tc>
      </w:tr>
      <w:tr w:rsidR="00000000">
        <w:tblPrEx>
          <w:tblCellMar>
            <w:top w:w="0" w:type="dxa"/>
            <w:bottom w:w="0" w:type="dxa"/>
          </w:tblCellMar>
        </w:tblPrEx>
        <w:trPr>
          <w:cantSplit/>
          <w:trHeight w:val="20"/>
        </w:trPr>
        <w:tc>
          <w:tcPr>
            <w:tcW w:w="1715" w:type="pct"/>
            <w:tcBorders>
              <w:bottom w:val="single" w:sz="4" w:space="0" w:color="auto"/>
            </w:tcBorders>
          </w:tcPr>
          <w:p w:rsidR="00000000" w:rsidRDefault="00000000">
            <w:pPr>
              <w:pStyle w:val="a2"/>
              <w:spacing w:before="40" w:after="20" w:line="259" w:lineRule="auto"/>
            </w:pPr>
            <w:r>
              <w:rPr>
                <w:rFonts w:hint="eastAsia"/>
              </w:rPr>
              <w:t>人口总数</w:t>
            </w:r>
          </w:p>
          <w:p w:rsidR="00000000" w:rsidRDefault="00000000">
            <w:pPr>
              <w:pStyle w:val="a2"/>
              <w:spacing w:before="40" w:after="20" w:line="259" w:lineRule="auto"/>
            </w:pPr>
            <w:r>
              <w:rPr>
                <w:rFonts w:hint="eastAsia"/>
              </w:rPr>
              <w:t>10</w:t>
            </w:r>
            <w:r>
              <w:rPr>
                <w:rFonts w:hint="eastAsia"/>
              </w:rPr>
              <w:t>岁以下人口</w:t>
            </w:r>
          </w:p>
          <w:p w:rsidR="00000000" w:rsidRDefault="00000000">
            <w:pPr>
              <w:pStyle w:val="a2"/>
              <w:spacing w:before="40" w:after="20" w:line="259" w:lineRule="auto"/>
            </w:pPr>
            <w:r>
              <w:rPr>
                <w:rFonts w:hint="eastAsia"/>
              </w:rPr>
              <w:t>工作年龄人口</w:t>
            </w:r>
          </w:p>
          <w:p w:rsidR="00000000" w:rsidRDefault="00000000">
            <w:pPr>
              <w:pStyle w:val="a2"/>
              <w:spacing w:before="40" w:after="20" w:line="259" w:lineRule="auto"/>
            </w:pPr>
            <w:r>
              <w:rPr>
                <w:rFonts w:hint="eastAsia"/>
              </w:rPr>
              <w:t>经济不活跃人口</w:t>
            </w:r>
          </w:p>
          <w:p w:rsidR="00000000" w:rsidRDefault="00000000">
            <w:pPr>
              <w:pStyle w:val="a2"/>
              <w:spacing w:before="40" w:after="20" w:line="259" w:lineRule="auto"/>
            </w:pPr>
            <w:r>
              <w:rPr>
                <w:rFonts w:hint="eastAsia"/>
              </w:rPr>
              <w:t>经济活跃人口</w:t>
            </w:r>
          </w:p>
          <w:p w:rsidR="00000000" w:rsidRDefault="00000000">
            <w:pPr>
              <w:pStyle w:val="a2"/>
              <w:spacing w:before="40" w:after="20" w:line="259" w:lineRule="auto"/>
            </w:pPr>
            <w:r>
              <w:rPr>
                <w:rFonts w:hint="eastAsia"/>
              </w:rPr>
              <w:t>失业人口</w:t>
            </w:r>
          </w:p>
          <w:p w:rsidR="00000000" w:rsidRDefault="00000000">
            <w:pPr>
              <w:pStyle w:val="a2"/>
              <w:spacing w:before="40" w:after="20" w:line="259" w:lineRule="auto"/>
            </w:pPr>
            <w:r>
              <w:rPr>
                <w:rFonts w:hint="eastAsia"/>
              </w:rPr>
              <w:t>就业人口</w:t>
            </w:r>
          </w:p>
        </w:tc>
        <w:tc>
          <w:tcPr>
            <w:tcW w:w="1233" w:type="pct"/>
            <w:tcBorders>
              <w:bottom w:val="single" w:sz="4" w:space="0" w:color="auto"/>
            </w:tcBorders>
          </w:tcPr>
          <w:p w:rsidR="00000000" w:rsidRDefault="00000000">
            <w:pPr>
              <w:pStyle w:val="a2"/>
              <w:spacing w:before="40" w:after="20" w:line="288" w:lineRule="auto"/>
              <w:ind w:right="575"/>
              <w:jc w:val="right"/>
            </w:pPr>
            <w:r>
              <w:t>7,037,563</w:t>
            </w:r>
          </w:p>
          <w:p w:rsidR="00000000" w:rsidRDefault="00000000">
            <w:pPr>
              <w:pStyle w:val="a2"/>
              <w:spacing w:before="40" w:after="20" w:line="288" w:lineRule="auto"/>
              <w:ind w:right="575"/>
              <w:jc w:val="right"/>
            </w:pPr>
            <w:r>
              <w:t>1,468,250</w:t>
            </w:r>
          </w:p>
          <w:p w:rsidR="00000000" w:rsidRDefault="00000000">
            <w:pPr>
              <w:pStyle w:val="a2"/>
              <w:spacing w:before="40" w:after="20" w:line="288" w:lineRule="auto"/>
              <w:ind w:right="575"/>
              <w:jc w:val="right"/>
            </w:pPr>
            <w:r>
              <w:t>5,569,313</w:t>
            </w:r>
          </w:p>
          <w:p w:rsidR="00000000" w:rsidRDefault="00000000">
            <w:pPr>
              <w:pStyle w:val="a2"/>
              <w:spacing w:before="40" w:after="20" w:line="288" w:lineRule="auto"/>
              <w:ind w:right="575"/>
              <w:jc w:val="right"/>
            </w:pPr>
            <w:r>
              <w:t>2,464,999</w:t>
            </w:r>
          </w:p>
          <w:p w:rsidR="00000000" w:rsidRDefault="00000000">
            <w:pPr>
              <w:pStyle w:val="a2"/>
              <w:spacing w:before="40" w:after="20" w:line="288" w:lineRule="auto"/>
              <w:ind w:right="575"/>
              <w:jc w:val="right"/>
            </w:pPr>
            <w:r>
              <w:t>3,104,314</w:t>
            </w:r>
          </w:p>
          <w:p w:rsidR="00000000" w:rsidRDefault="00000000">
            <w:pPr>
              <w:pStyle w:val="a2"/>
              <w:spacing w:before="40" w:after="20" w:line="288" w:lineRule="auto"/>
              <w:ind w:right="575"/>
              <w:jc w:val="right"/>
            </w:pPr>
            <w:r>
              <w:t>212,655</w:t>
            </w:r>
          </w:p>
          <w:p w:rsidR="00000000" w:rsidRDefault="00000000">
            <w:pPr>
              <w:pStyle w:val="a2"/>
              <w:spacing w:before="40" w:after="20" w:line="288" w:lineRule="auto"/>
              <w:ind w:right="575"/>
              <w:jc w:val="right"/>
            </w:pPr>
            <w:r>
              <w:t>2,891,659</w:t>
            </w:r>
          </w:p>
        </w:tc>
        <w:tc>
          <w:tcPr>
            <w:tcW w:w="1117" w:type="pct"/>
            <w:tcBorders>
              <w:bottom w:val="single" w:sz="4" w:space="0" w:color="auto"/>
            </w:tcBorders>
          </w:tcPr>
          <w:p w:rsidR="00000000" w:rsidRDefault="00000000">
            <w:pPr>
              <w:pStyle w:val="a2"/>
              <w:spacing w:before="40" w:after="20" w:line="288" w:lineRule="auto"/>
              <w:ind w:right="397"/>
              <w:jc w:val="right"/>
            </w:pPr>
            <w:r>
              <w:t>3,422,990</w:t>
            </w:r>
          </w:p>
          <w:p w:rsidR="00000000" w:rsidRDefault="00000000">
            <w:pPr>
              <w:pStyle w:val="a2"/>
              <w:spacing w:before="40" w:after="20" w:line="288" w:lineRule="auto"/>
              <w:ind w:right="397"/>
              <w:jc w:val="right"/>
            </w:pPr>
            <w:r>
              <w:t>746,211</w:t>
            </w:r>
          </w:p>
          <w:p w:rsidR="00000000" w:rsidRDefault="00000000">
            <w:pPr>
              <w:pStyle w:val="a2"/>
              <w:spacing w:before="40" w:after="20" w:line="288" w:lineRule="auto"/>
              <w:ind w:right="397"/>
              <w:jc w:val="right"/>
            </w:pPr>
            <w:r>
              <w:t>2,676,779</w:t>
            </w:r>
          </w:p>
          <w:p w:rsidR="00000000" w:rsidRDefault="00000000">
            <w:pPr>
              <w:pStyle w:val="a2"/>
              <w:spacing w:before="40" w:after="20" w:line="288" w:lineRule="auto"/>
              <w:ind w:right="397"/>
              <w:jc w:val="right"/>
            </w:pPr>
            <w:r>
              <w:t>798,138</w:t>
            </w:r>
          </w:p>
          <w:p w:rsidR="00000000" w:rsidRDefault="00000000">
            <w:pPr>
              <w:pStyle w:val="a2"/>
              <w:spacing w:before="40" w:after="20" w:line="288" w:lineRule="auto"/>
              <w:ind w:right="397"/>
              <w:jc w:val="right"/>
            </w:pPr>
            <w:r>
              <w:t>1,878,641</w:t>
            </w:r>
          </w:p>
          <w:p w:rsidR="00000000" w:rsidRDefault="00000000">
            <w:pPr>
              <w:pStyle w:val="a2"/>
              <w:spacing w:before="40" w:after="20" w:line="288" w:lineRule="auto"/>
              <w:ind w:right="397"/>
              <w:jc w:val="right"/>
            </w:pPr>
            <w:r>
              <w:t>104,226</w:t>
            </w:r>
          </w:p>
          <w:p w:rsidR="00000000" w:rsidRDefault="00000000">
            <w:pPr>
              <w:pStyle w:val="a2"/>
              <w:spacing w:before="40" w:after="20" w:line="288" w:lineRule="auto"/>
              <w:ind w:right="397"/>
              <w:jc w:val="right"/>
            </w:pPr>
            <w:r>
              <w:t>1,774,415</w:t>
            </w:r>
          </w:p>
        </w:tc>
        <w:tc>
          <w:tcPr>
            <w:tcW w:w="935" w:type="pct"/>
            <w:tcBorders>
              <w:bottom w:val="single" w:sz="4" w:space="0" w:color="auto"/>
            </w:tcBorders>
          </w:tcPr>
          <w:p w:rsidR="00000000" w:rsidRDefault="00000000">
            <w:pPr>
              <w:pStyle w:val="a2"/>
              <w:spacing w:before="40" w:after="20" w:line="288" w:lineRule="auto"/>
              <w:ind w:right="278"/>
              <w:jc w:val="right"/>
            </w:pPr>
            <w:r>
              <w:t>3,614,573</w:t>
            </w:r>
          </w:p>
          <w:p w:rsidR="00000000" w:rsidRDefault="00000000">
            <w:pPr>
              <w:pStyle w:val="a2"/>
              <w:spacing w:before="40" w:after="20" w:line="288" w:lineRule="auto"/>
              <w:ind w:right="278"/>
              <w:jc w:val="right"/>
            </w:pPr>
            <w:r>
              <w:t>722,039</w:t>
            </w:r>
          </w:p>
          <w:p w:rsidR="00000000" w:rsidRDefault="00000000">
            <w:pPr>
              <w:pStyle w:val="a2"/>
              <w:spacing w:before="40" w:after="20" w:line="288" w:lineRule="auto"/>
              <w:ind w:right="278"/>
              <w:jc w:val="right"/>
            </w:pPr>
            <w:r>
              <w:t>2,892,534</w:t>
            </w:r>
          </w:p>
          <w:p w:rsidR="00000000" w:rsidRDefault="00000000">
            <w:pPr>
              <w:pStyle w:val="a2"/>
              <w:spacing w:before="40" w:after="20" w:line="288" w:lineRule="auto"/>
              <w:ind w:right="278"/>
              <w:jc w:val="right"/>
            </w:pPr>
            <w:r>
              <w:t>1,666,861</w:t>
            </w:r>
          </w:p>
          <w:p w:rsidR="00000000" w:rsidRDefault="00000000">
            <w:pPr>
              <w:pStyle w:val="a2"/>
              <w:spacing w:before="40" w:after="20" w:line="288" w:lineRule="auto"/>
              <w:ind w:right="278"/>
              <w:jc w:val="right"/>
            </w:pPr>
            <w:r>
              <w:t>1,225,673</w:t>
            </w:r>
          </w:p>
          <w:p w:rsidR="00000000" w:rsidRDefault="00000000">
            <w:pPr>
              <w:pStyle w:val="a2"/>
              <w:spacing w:before="40" w:after="20" w:line="288" w:lineRule="auto"/>
              <w:ind w:right="278"/>
              <w:jc w:val="right"/>
            </w:pPr>
            <w:r>
              <w:t>108,429</w:t>
            </w:r>
          </w:p>
          <w:p w:rsidR="00000000" w:rsidRDefault="00000000">
            <w:pPr>
              <w:pStyle w:val="a2"/>
              <w:spacing w:before="40" w:after="20" w:line="288" w:lineRule="auto"/>
              <w:ind w:right="278"/>
              <w:jc w:val="right"/>
            </w:pPr>
            <w:r>
              <w:t>1,117,244</w:t>
            </w:r>
          </w:p>
        </w:tc>
      </w:tr>
    </w:tbl>
    <w:p w:rsidR="00000000" w:rsidRDefault="00000000">
      <w:pPr>
        <w:pStyle w:val="EndnoteText"/>
        <w:spacing w:before="240" w:after="240" w:line="240" w:lineRule="auto"/>
        <w:rPr>
          <w:rFonts w:hint="eastAsia"/>
          <w:sz w:val="22"/>
        </w:rPr>
      </w:pPr>
      <w:r>
        <w:rPr>
          <w:rFonts w:hint="eastAsia"/>
          <w:sz w:val="22"/>
          <w:u w:val="single"/>
        </w:rPr>
        <w:t>资料来源</w:t>
      </w:r>
      <w:r>
        <w:rPr>
          <w:rFonts w:hint="eastAsia"/>
          <w:sz w:val="22"/>
        </w:rPr>
        <w:t>：国家统计与人口普查研究所</w:t>
      </w:r>
      <w:r>
        <w:rPr>
          <w:rFonts w:hint="eastAsia"/>
          <w:sz w:val="22"/>
        </w:rPr>
        <w:t>(</w:t>
      </w:r>
      <w:r>
        <w:rPr>
          <w:rFonts w:hint="eastAsia"/>
          <w:sz w:val="22"/>
        </w:rPr>
        <w:t>国家统计局</w:t>
      </w:r>
      <w:r>
        <w:rPr>
          <w:rFonts w:hint="eastAsia"/>
          <w:sz w:val="22"/>
        </w:rPr>
        <w:t>)</w:t>
      </w:r>
      <w:r>
        <w:rPr>
          <w:rFonts w:hint="eastAsia"/>
          <w:sz w:val="22"/>
        </w:rPr>
        <w:t>，</w:t>
      </w:r>
      <w:r>
        <w:rPr>
          <w:sz w:val="22"/>
        </w:rPr>
        <w:t>Encuesta Urbana de Empleo, Subempleo y Desmpleo</w:t>
      </w:r>
      <w:r>
        <w:rPr>
          <w:rFonts w:hint="eastAsia"/>
          <w:sz w:val="22"/>
        </w:rPr>
        <w:t>(</w:t>
      </w:r>
      <w:r>
        <w:rPr>
          <w:rFonts w:hint="eastAsia"/>
          <w:sz w:val="22"/>
        </w:rPr>
        <w:t>城市就业、就业不足和失业普查</w:t>
      </w:r>
      <w:r>
        <w:rPr>
          <w:rFonts w:hint="eastAsia"/>
          <w:sz w:val="22"/>
        </w:rPr>
        <w:t>)</w:t>
      </w:r>
      <w:r>
        <w:rPr>
          <w:rFonts w:hint="eastAsia"/>
          <w:sz w:val="22"/>
        </w:rPr>
        <w:t>。</w:t>
      </w:r>
    </w:p>
    <w:p w:rsidR="00000000" w:rsidRDefault="00000000">
      <w:pPr>
        <w:pStyle w:val="Heading3"/>
        <w:spacing w:after="160"/>
      </w:pPr>
      <w:r>
        <w:rPr>
          <w:rFonts w:hint="eastAsia"/>
        </w:rPr>
        <w:t>城市人口总数</w:t>
      </w:r>
      <w:r>
        <w:t>(1998)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8"/>
        <w:gridCol w:w="1765"/>
        <w:gridCol w:w="440"/>
        <w:gridCol w:w="1617"/>
        <w:gridCol w:w="295"/>
        <w:gridCol w:w="1470"/>
        <w:gridCol w:w="295"/>
      </w:tblGrid>
      <w:tr w:rsidR="00000000">
        <w:tblPrEx>
          <w:tblCellMar>
            <w:top w:w="0" w:type="dxa"/>
            <w:bottom w:w="0" w:type="dxa"/>
          </w:tblCellMar>
        </w:tblPrEx>
        <w:trPr>
          <w:cantSplit/>
        </w:trPr>
        <w:tc>
          <w:tcPr>
            <w:tcW w:w="1927" w:type="pct"/>
            <w:tcBorders>
              <w:bottom w:val="single" w:sz="4" w:space="0" w:color="auto"/>
            </w:tcBorders>
          </w:tcPr>
          <w:p w:rsidR="00000000" w:rsidRDefault="00000000">
            <w:pPr>
              <w:pStyle w:val="a2"/>
              <w:spacing w:before="60" w:after="20" w:line="288" w:lineRule="auto"/>
              <w:jc w:val="center"/>
              <w:rPr>
                <w:rFonts w:ascii="Time New Roman" w:eastAsia="SimHei" w:hAnsi="Time New Roman"/>
              </w:rPr>
            </w:pPr>
            <w:r>
              <w:rPr>
                <w:rFonts w:ascii="Time New Roman" w:eastAsia="SimHei" w:hAnsi="Time New Roman" w:hint="eastAsia"/>
              </w:rPr>
              <w:t>组</w:t>
            </w:r>
            <w:r>
              <w:rPr>
                <w:rFonts w:ascii="Time New Roman" w:eastAsia="SimHei" w:hAnsi="Time New Roman" w:hint="eastAsia"/>
              </w:rPr>
              <w:t xml:space="preserve">  </w:t>
            </w:r>
            <w:r>
              <w:rPr>
                <w:rFonts w:ascii="Time New Roman" w:eastAsia="SimHei" w:hAnsi="Time New Roman" w:hint="eastAsia"/>
              </w:rPr>
              <w:t>别</w:t>
            </w:r>
          </w:p>
        </w:tc>
        <w:tc>
          <w:tcPr>
            <w:tcW w:w="1152" w:type="pct"/>
            <w:gridSpan w:val="2"/>
            <w:tcBorders>
              <w:bottom w:val="single" w:sz="4" w:space="0" w:color="auto"/>
            </w:tcBorders>
          </w:tcPr>
          <w:p w:rsidR="00000000" w:rsidRDefault="00000000">
            <w:pPr>
              <w:pStyle w:val="a2"/>
              <w:spacing w:before="60" w:after="20" w:line="288" w:lineRule="auto"/>
              <w:jc w:val="center"/>
              <w:rPr>
                <w:rFonts w:ascii="Time New Roman" w:eastAsia="SimHei" w:hAnsi="Time New Roman" w:hint="eastAsia"/>
              </w:rPr>
            </w:pPr>
            <w:r>
              <w:rPr>
                <w:rFonts w:ascii="Time New Roman" w:eastAsia="SimHei" w:hAnsi="Time New Roman" w:hint="eastAsia"/>
              </w:rPr>
              <w:t>总</w:t>
            </w:r>
            <w:r>
              <w:rPr>
                <w:rFonts w:ascii="Time New Roman" w:eastAsia="SimHei" w:hAnsi="Time New Roman" w:hint="eastAsia"/>
              </w:rPr>
              <w:t xml:space="preserve">  </w:t>
            </w:r>
            <w:r>
              <w:rPr>
                <w:rFonts w:ascii="Time New Roman" w:eastAsia="SimHei" w:hAnsi="Time New Roman" w:hint="eastAsia"/>
              </w:rPr>
              <w:t>数</w:t>
            </w:r>
          </w:p>
        </w:tc>
        <w:tc>
          <w:tcPr>
            <w:tcW w:w="999" w:type="pct"/>
            <w:gridSpan w:val="2"/>
            <w:tcBorders>
              <w:bottom w:val="single" w:sz="4" w:space="0" w:color="auto"/>
            </w:tcBorders>
          </w:tcPr>
          <w:p w:rsidR="00000000" w:rsidRDefault="00000000">
            <w:pPr>
              <w:pStyle w:val="a2"/>
              <w:spacing w:before="60" w:after="20" w:line="288" w:lineRule="auto"/>
              <w:jc w:val="center"/>
              <w:rPr>
                <w:rFonts w:ascii="Time New Roman" w:eastAsia="SimHei" w:hAnsi="Time New Roman" w:hint="eastAsia"/>
              </w:rPr>
            </w:pPr>
            <w:r>
              <w:rPr>
                <w:rFonts w:ascii="Time New Roman" w:eastAsia="SimHei" w:hAnsi="Time New Roman" w:hint="eastAsia"/>
              </w:rPr>
              <w:t>男</w:t>
            </w:r>
            <w:r>
              <w:rPr>
                <w:rFonts w:ascii="Time New Roman" w:eastAsia="SimHei" w:hAnsi="Time New Roman" w:hint="eastAsia"/>
              </w:rPr>
              <w:t xml:space="preserve">  </w:t>
            </w:r>
            <w:r>
              <w:rPr>
                <w:rFonts w:ascii="Time New Roman" w:eastAsia="SimHei" w:hAnsi="Time New Roman" w:hint="eastAsia"/>
              </w:rPr>
              <w:t>子</w:t>
            </w:r>
          </w:p>
        </w:tc>
        <w:tc>
          <w:tcPr>
            <w:tcW w:w="922" w:type="pct"/>
            <w:gridSpan w:val="2"/>
            <w:tcBorders>
              <w:bottom w:val="single" w:sz="4" w:space="0" w:color="auto"/>
            </w:tcBorders>
          </w:tcPr>
          <w:p w:rsidR="00000000" w:rsidRDefault="00000000">
            <w:pPr>
              <w:pStyle w:val="a2"/>
              <w:spacing w:before="60" w:after="20" w:line="288" w:lineRule="auto"/>
              <w:jc w:val="center"/>
              <w:rPr>
                <w:rFonts w:ascii="Time New Roman" w:eastAsia="SimHei" w:hAnsi="Time New Roman" w:hint="eastAsia"/>
              </w:rPr>
            </w:pPr>
            <w:r>
              <w:rPr>
                <w:rFonts w:ascii="Time New Roman" w:eastAsia="SimHei" w:hAnsi="Time New Roman" w:hint="eastAsia"/>
              </w:rPr>
              <w:t>妇</w:t>
            </w:r>
            <w:r>
              <w:rPr>
                <w:rFonts w:ascii="Time New Roman" w:eastAsia="SimHei" w:hAnsi="Time New Roman" w:hint="eastAsia"/>
              </w:rPr>
              <w:t xml:space="preserve">  </w:t>
            </w:r>
            <w:r>
              <w:rPr>
                <w:rFonts w:ascii="Time New Roman" w:eastAsia="SimHei" w:hAnsi="Time New Roman" w:hint="eastAsia"/>
              </w:rPr>
              <w:t>女</w:t>
            </w:r>
          </w:p>
        </w:tc>
      </w:tr>
      <w:tr w:rsidR="00000000">
        <w:tblPrEx>
          <w:tblCellMar>
            <w:top w:w="0" w:type="dxa"/>
            <w:bottom w:w="0" w:type="dxa"/>
          </w:tblCellMar>
        </w:tblPrEx>
        <w:tc>
          <w:tcPr>
            <w:tcW w:w="1927" w:type="pct"/>
            <w:tcBorders>
              <w:bottom w:val="nil"/>
            </w:tcBorders>
          </w:tcPr>
          <w:p w:rsidR="00000000" w:rsidRDefault="00000000">
            <w:pPr>
              <w:pStyle w:val="a2"/>
              <w:spacing w:before="40" w:after="20" w:line="240" w:lineRule="exact"/>
              <w:rPr>
                <w:rFonts w:hint="eastAsia"/>
              </w:rPr>
            </w:pPr>
            <w:r>
              <w:rPr>
                <w:rFonts w:hint="eastAsia"/>
              </w:rPr>
              <w:t>人口总数</w:t>
            </w:r>
          </w:p>
        </w:tc>
        <w:tc>
          <w:tcPr>
            <w:tcW w:w="922" w:type="pct"/>
            <w:tcBorders>
              <w:bottom w:val="nil"/>
              <w:right w:val="nil"/>
            </w:tcBorders>
          </w:tcPr>
          <w:p w:rsidR="00000000" w:rsidRDefault="00000000">
            <w:pPr>
              <w:pStyle w:val="a2"/>
              <w:spacing w:before="40" w:after="20" w:line="240" w:lineRule="exact"/>
              <w:jc w:val="right"/>
            </w:pPr>
            <w:r>
              <w:t>7,780,286</w:t>
            </w:r>
          </w:p>
        </w:tc>
        <w:tc>
          <w:tcPr>
            <w:tcW w:w="230" w:type="pct"/>
            <w:tcBorders>
              <w:left w:val="nil"/>
              <w:bottom w:val="nil"/>
            </w:tcBorders>
          </w:tcPr>
          <w:p w:rsidR="00000000" w:rsidRDefault="00000000">
            <w:pPr>
              <w:pStyle w:val="a2"/>
              <w:spacing w:before="40" w:after="20" w:line="240" w:lineRule="exact"/>
              <w:jc w:val="right"/>
            </w:pPr>
          </w:p>
        </w:tc>
        <w:tc>
          <w:tcPr>
            <w:tcW w:w="845" w:type="pct"/>
            <w:tcBorders>
              <w:bottom w:val="nil"/>
              <w:right w:val="nil"/>
            </w:tcBorders>
          </w:tcPr>
          <w:p w:rsidR="00000000" w:rsidRDefault="00000000">
            <w:pPr>
              <w:pStyle w:val="a2"/>
              <w:spacing w:before="40" w:after="20" w:line="240" w:lineRule="exact"/>
              <w:jc w:val="right"/>
            </w:pPr>
            <w:r>
              <w:t>3,800,813</w:t>
            </w:r>
          </w:p>
        </w:tc>
        <w:tc>
          <w:tcPr>
            <w:tcW w:w="154" w:type="pct"/>
            <w:tcBorders>
              <w:left w:val="nil"/>
              <w:bottom w:val="nil"/>
            </w:tcBorders>
          </w:tcPr>
          <w:p w:rsidR="00000000" w:rsidRDefault="00000000">
            <w:pPr>
              <w:pStyle w:val="a2"/>
              <w:spacing w:before="40" w:after="20" w:line="240" w:lineRule="exact"/>
              <w:jc w:val="right"/>
            </w:pPr>
          </w:p>
        </w:tc>
        <w:tc>
          <w:tcPr>
            <w:tcW w:w="768" w:type="pct"/>
            <w:tcBorders>
              <w:bottom w:val="nil"/>
              <w:right w:val="nil"/>
            </w:tcBorders>
          </w:tcPr>
          <w:p w:rsidR="00000000" w:rsidRDefault="00000000">
            <w:pPr>
              <w:pStyle w:val="a2"/>
              <w:spacing w:before="40" w:after="20" w:line="240" w:lineRule="exact"/>
              <w:jc w:val="right"/>
            </w:pPr>
            <w:r>
              <w:t>3,979,473</w:t>
            </w:r>
          </w:p>
        </w:tc>
        <w:tc>
          <w:tcPr>
            <w:tcW w:w="154" w:type="pct"/>
            <w:tcBorders>
              <w:left w:val="nil"/>
              <w:bottom w:val="nil"/>
            </w:tcBorders>
          </w:tcPr>
          <w:p w:rsidR="00000000" w:rsidRDefault="00000000">
            <w:pPr>
              <w:pStyle w:val="a2"/>
              <w:spacing w:before="40" w:after="20" w:line="240" w:lineRule="exact"/>
              <w:jc w:val="right"/>
            </w:pPr>
          </w:p>
        </w:tc>
      </w:tr>
      <w:tr w:rsidR="00000000">
        <w:tblPrEx>
          <w:tblCellMar>
            <w:top w:w="0" w:type="dxa"/>
            <w:bottom w:w="0" w:type="dxa"/>
          </w:tblCellMar>
        </w:tblPrEx>
        <w:tc>
          <w:tcPr>
            <w:tcW w:w="1927" w:type="pct"/>
            <w:tcBorders>
              <w:top w:val="nil"/>
              <w:bottom w:val="nil"/>
            </w:tcBorders>
          </w:tcPr>
          <w:p w:rsidR="00000000" w:rsidRDefault="00000000">
            <w:pPr>
              <w:pStyle w:val="a2"/>
              <w:spacing w:before="40" w:after="20" w:line="240" w:lineRule="exact"/>
              <w:rPr>
                <w:rFonts w:hint="eastAsia"/>
              </w:rPr>
            </w:pPr>
            <w:r>
              <w:rPr>
                <w:rFonts w:hint="eastAsia"/>
              </w:rPr>
              <w:t>10</w:t>
            </w:r>
            <w:r>
              <w:rPr>
                <w:rFonts w:hint="eastAsia"/>
              </w:rPr>
              <w:t>岁以下人口</w:t>
            </w:r>
          </w:p>
        </w:tc>
        <w:tc>
          <w:tcPr>
            <w:tcW w:w="922" w:type="pct"/>
            <w:tcBorders>
              <w:top w:val="nil"/>
              <w:bottom w:val="nil"/>
              <w:right w:val="nil"/>
            </w:tcBorders>
          </w:tcPr>
          <w:p w:rsidR="00000000" w:rsidRDefault="00000000">
            <w:pPr>
              <w:pStyle w:val="a2"/>
              <w:spacing w:before="40" w:after="20" w:line="240" w:lineRule="exact"/>
              <w:jc w:val="right"/>
            </w:pPr>
            <w:r>
              <w:t>1,686,600</w:t>
            </w:r>
          </w:p>
        </w:tc>
        <w:tc>
          <w:tcPr>
            <w:tcW w:w="230" w:type="pct"/>
            <w:tcBorders>
              <w:top w:val="nil"/>
              <w:left w:val="nil"/>
              <w:bottom w:val="nil"/>
            </w:tcBorders>
          </w:tcPr>
          <w:p w:rsidR="00000000" w:rsidRDefault="00000000">
            <w:pPr>
              <w:pStyle w:val="a2"/>
              <w:spacing w:before="40" w:after="20" w:line="240" w:lineRule="exact"/>
              <w:jc w:val="right"/>
            </w:pPr>
          </w:p>
        </w:tc>
        <w:tc>
          <w:tcPr>
            <w:tcW w:w="845" w:type="pct"/>
            <w:tcBorders>
              <w:top w:val="nil"/>
              <w:bottom w:val="nil"/>
              <w:right w:val="nil"/>
            </w:tcBorders>
          </w:tcPr>
          <w:p w:rsidR="00000000" w:rsidRDefault="00000000">
            <w:pPr>
              <w:pStyle w:val="a2"/>
              <w:spacing w:before="40" w:after="20" w:line="240" w:lineRule="exact"/>
              <w:jc w:val="right"/>
            </w:pPr>
            <w:r>
              <w:t>881,700</w:t>
            </w:r>
          </w:p>
        </w:tc>
        <w:tc>
          <w:tcPr>
            <w:tcW w:w="154" w:type="pct"/>
            <w:tcBorders>
              <w:top w:val="nil"/>
              <w:left w:val="nil"/>
              <w:bottom w:val="nil"/>
            </w:tcBorders>
          </w:tcPr>
          <w:p w:rsidR="00000000" w:rsidRDefault="00000000">
            <w:pPr>
              <w:pStyle w:val="a2"/>
              <w:spacing w:before="40" w:after="20" w:line="240" w:lineRule="exact"/>
              <w:jc w:val="right"/>
            </w:pPr>
          </w:p>
        </w:tc>
        <w:tc>
          <w:tcPr>
            <w:tcW w:w="768" w:type="pct"/>
            <w:tcBorders>
              <w:top w:val="nil"/>
              <w:bottom w:val="nil"/>
              <w:right w:val="nil"/>
            </w:tcBorders>
          </w:tcPr>
          <w:p w:rsidR="00000000" w:rsidRDefault="00000000">
            <w:pPr>
              <w:pStyle w:val="a2"/>
              <w:spacing w:before="40" w:after="20" w:line="240" w:lineRule="exact"/>
              <w:jc w:val="right"/>
            </w:pPr>
            <w:r>
              <w:t>804,900</w:t>
            </w:r>
          </w:p>
        </w:tc>
        <w:tc>
          <w:tcPr>
            <w:tcW w:w="154" w:type="pct"/>
            <w:tcBorders>
              <w:top w:val="nil"/>
              <w:left w:val="nil"/>
              <w:bottom w:val="nil"/>
            </w:tcBorders>
          </w:tcPr>
          <w:p w:rsidR="00000000" w:rsidRDefault="00000000">
            <w:pPr>
              <w:pStyle w:val="a2"/>
              <w:spacing w:before="40" w:after="20" w:line="240" w:lineRule="exact"/>
              <w:jc w:val="right"/>
            </w:pPr>
          </w:p>
        </w:tc>
      </w:tr>
      <w:tr w:rsidR="00000000">
        <w:tblPrEx>
          <w:tblCellMar>
            <w:top w:w="0" w:type="dxa"/>
            <w:bottom w:w="0" w:type="dxa"/>
          </w:tblCellMar>
        </w:tblPrEx>
        <w:tc>
          <w:tcPr>
            <w:tcW w:w="1927" w:type="pct"/>
            <w:tcBorders>
              <w:top w:val="nil"/>
              <w:bottom w:val="nil"/>
            </w:tcBorders>
          </w:tcPr>
          <w:p w:rsidR="00000000" w:rsidRDefault="00000000">
            <w:pPr>
              <w:pStyle w:val="a2"/>
              <w:spacing w:before="40" w:after="20" w:line="240" w:lineRule="exact"/>
              <w:rPr>
                <w:rFonts w:hint="eastAsia"/>
              </w:rPr>
            </w:pPr>
            <w:r>
              <w:rPr>
                <w:rFonts w:hint="eastAsia"/>
              </w:rPr>
              <w:t>工作年龄人口</w:t>
            </w:r>
          </w:p>
        </w:tc>
        <w:tc>
          <w:tcPr>
            <w:tcW w:w="922" w:type="pct"/>
            <w:tcBorders>
              <w:top w:val="nil"/>
              <w:bottom w:val="nil"/>
              <w:right w:val="nil"/>
            </w:tcBorders>
          </w:tcPr>
          <w:p w:rsidR="00000000" w:rsidRDefault="00000000">
            <w:pPr>
              <w:pStyle w:val="a2"/>
              <w:spacing w:before="40" w:after="20" w:line="240" w:lineRule="exact"/>
              <w:jc w:val="right"/>
            </w:pPr>
            <w:r>
              <w:t>6,093,686</w:t>
            </w:r>
          </w:p>
        </w:tc>
        <w:tc>
          <w:tcPr>
            <w:tcW w:w="230" w:type="pct"/>
            <w:tcBorders>
              <w:top w:val="nil"/>
              <w:left w:val="nil"/>
              <w:bottom w:val="nil"/>
            </w:tcBorders>
          </w:tcPr>
          <w:p w:rsidR="00000000" w:rsidRDefault="00000000">
            <w:pPr>
              <w:pStyle w:val="a2"/>
              <w:spacing w:before="40" w:after="20" w:line="240" w:lineRule="exact"/>
              <w:jc w:val="right"/>
            </w:pPr>
          </w:p>
        </w:tc>
        <w:tc>
          <w:tcPr>
            <w:tcW w:w="845" w:type="pct"/>
            <w:tcBorders>
              <w:top w:val="nil"/>
              <w:bottom w:val="nil"/>
              <w:right w:val="nil"/>
            </w:tcBorders>
          </w:tcPr>
          <w:p w:rsidR="00000000" w:rsidRDefault="00000000">
            <w:pPr>
              <w:pStyle w:val="a2"/>
              <w:spacing w:before="40" w:after="20" w:line="240" w:lineRule="exact"/>
              <w:jc w:val="right"/>
            </w:pPr>
            <w:r>
              <w:t>2,919,113</w:t>
            </w:r>
          </w:p>
        </w:tc>
        <w:tc>
          <w:tcPr>
            <w:tcW w:w="154" w:type="pct"/>
            <w:tcBorders>
              <w:top w:val="nil"/>
              <w:left w:val="nil"/>
              <w:bottom w:val="nil"/>
            </w:tcBorders>
          </w:tcPr>
          <w:p w:rsidR="00000000" w:rsidRDefault="00000000">
            <w:pPr>
              <w:pStyle w:val="a2"/>
              <w:spacing w:before="40" w:after="20" w:line="240" w:lineRule="exact"/>
              <w:jc w:val="right"/>
            </w:pPr>
          </w:p>
        </w:tc>
        <w:tc>
          <w:tcPr>
            <w:tcW w:w="768" w:type="pct"/>
            <w:tcBorders>
              <w:top w:val="nil"/>
              <w:bottom w:val="nil"/>
              <w:right w:val="nil"/>
            </w:tcBorders>
          </w:tcPr>
          <w:p w:rsidR="00000000" w:rsidRDefault="00000000">
            <w:pPr>
              <w:pStyle w:val="a2"/>
              <w:spacing w:before="40" w:after="20" w:line="240" w:lineRule="exact"/>
              <w:jc w:val="right"/>
            </w:pPr>
            <w:r>
              <w:t>3,174,573</w:t>
            </w:r>
          </w:p>
        </w:tc>
        <w:tc>
          <w:tcPr>
            <w:tcW w:w="154" w:type="pct"/>
            <w:tcBorders>
              <w:top w:val="nil"/>
              <w:left w:val="nil"/>
              <w:bottom w:val="nil"/>
            </w:tcBorders>
          </w:tcPr>
          <w:p w:rsidR="00000000" w:rsidRDefault="00000000">
            <w:pPr>
              <w:pStyle w:val="a2"/>
              <w:spacing w:before="40" w:after="20" w:line="240" w:lineRule="exact"/>
              <w:jc w:val="right"/>
            </w:pPr>
          </w:p>
        </w:tc>
      </w:tr>
      <w:tr w:rsidR="00000000">
        <w:tblPrEx>
          <w:tblCellMar>
            <w:top w:w="0" w:type="dxa"/>
            <w:bottom w:w="0" w:type="dxa"/>
          </w:tblCellMar>
        </w:tblPrEx>
        <w:tc>
          <w:tcPr>
            <w:tcW w:w="1927" w:type="pct"/>
            <w:tcBorders>
              <w:top w:val="nil"/>
              <w:bottom w:val="nil"/>
            </w:tcBorders>
          </w:tcPr>
          <w:p w:rsidR="00000000" w:rsidRDefault="00000000">
            <w:pPr>
              <w:pStyle w:val="a2"/>
              <w:spacing w:before="40" w:after="20" w:line="240" w:lineRule="exact"/>
              <w:rPr>
                <w:rFonts w:hint="eastAsia"/>
              </w:rPr>
            </w:pPr>
            <w:r>
              <w:rPr>
                <w:rFonts w:hint="eastAsia"/>
              </w:rPr>
              <w:t>经济不活跃人口</w:t>
            </w:r>
          </w:p>
        </w:tc>
        <w:tc>
          <w:tcPr>
            <w:tcW w:w="922" w:type="pct"/>
            <w:tcBorders>
              <w:top w:val="nil"/>
              <w:bottom w:val="nil"/>
              <w:right w:val="nil"/>
            </w:tcBorders>
          </w:tcPr>
          <w:p w:rsidR="00000000" w:rsidRDefault="00000000">
            <w:pPr>
              <w:pStyle w:val="a2"/>
              <w:spacing w:before="40" w:after="20" w:line="240" w:lineRule="exact"/>
              <w:jc w:val="right"/>
            </w:pPr>
            <w:r>
              <w:t>2,533,202</w:t>
            </w:r>
          </w:p>
        </w:tc>
        <w:tc>
          <w:tcPr>
            <w:tcW w:w="230" w:type="pct"/>
            <w:tcBorders>
              <w:top w:val="nil"/>
              <w:left w:val="nil"/>
              <w:bottom w:val="nil"/>
            </w:tcBorders>
          </w:tcPr>
          <w:p w:rsidR="00000000" w:rsidRDefault="00000000">
            <w:pPr>
              <w:pStyle w:val="a2"/>
              <w:spacing w:before="40" w:after="20" w:line="240" w:lineRule="exact"/>
              <w:jc w:val="right"/>
            </w:pPr>
          </w:p>
        </w:tc>
        <w:tc>
          <w:tcPr>
            <w:tcW w:w="845" w:type="pct"/>
            <w:tcBorders>
              <w:top w:val="nil"/>
              <w:bottom w:val="nil"/>
              <w:right w:val="nil"/>
            </w:tcBorders>
          </w:tcPr>
          <w:p w:rsidR="00000000" w:rsidRDefault="00000000">
            <w:pPr>
              <w:pStyle w:val="a2"/>
              <w:spacing w:before="40" w:after="20" w:line="240" w:lineRule="exact"/>
              <w:jc w:val="right"/>
            </w:pPr>
            <w:r>
              <w:t>822,851</w:t>
            </w:r>
          </w:p>
        </w:tc>
        <w:tc>
          <w:tcPr>
            <w:tcW w:w="154" w:type="pct"/>
            <w:tcBorders>
              <w:top w:val="nil"/>
              <w:left w:val="nil"/>
              <w:bottom w:val="nil"/>
            </w:tcBorders>
          </w:tcPr>
          <w:p w:rsidR="00000000" w:rsidRDefault="00000000">
            <w:pPr>
              <w:pStyle w:val="a2"/>
              <w:spacing w:before="40" w:after="20" w:line="240" w:lineRule="exact"/>
              <w:jc w:val="right"/>
            </w:pPr>
          </w:p>
        </w:tc>
        <w:tc>
          <w:tcPr>
            <w:tcW w:w="768" w:type="pct"/>
            <w:tcBorders>
              <w:top w:val="nil"/>
              <w:bottom w:val="nil"/>
              <w:right w:val="nil"/>
            </w:tcBorders>
          </w:tcPr>
          <w:p w:rsidR="00000000" w:rsidRDefault="00000000">
            <w:pPr>
              <w:pStyle w:val="a2"/>
              <w:spacing w:before="40" w:after="20" w:line="240" w:lineRule="exact"/>
              <w:jc w:val="right"/>
            </w:pPr>
            <w:r>
              <w:t>1,710,351</w:t>
            </w:r>
          </w:p>
        </w:tc>
        <w:tc>
          <w:tcPr>
            <w:tcW w:w="154" w:type="pct"/>
            <w:tcBorders>
              <w:top w:val="nil"/>
              <w:left w:val="nil"/>
              <w:bottom w:val="nil"/>
            </w:tcBorders>
          </w:tcPr>
          <w:p w:rsidR="00000000" w:rsidRDefault="00000000">
            <w:pPr>
              <w:pStyle w:val="a2"/>
              <w:spacing w:before="40" w:after="20" w:line="240" w:lineRule="exact"/>
              <w:jc w:val="right"/>
            </w:pPr>
          </w:p>
        </w:tc>
      </w:tr>
      <w:tr w:rsidR="00000000">
        <w:tblPrEx>
          <w:tblCellMar>
            <w:top w:w="0" w:type="dxa"/>
            <w:bottom w:w="0" w:type="dxa"/>
          </w:tblCellMar>
        </w:tblPrEx>
        <w:tc>
          <w:tcPr>
            <w:tcW w:w="1927" w:type="pct"/>
            <w:tcBorders>
              <w:top w:val="nil"/>
              <w:bottom w:val="nil"/>
            </w:tcBorders>
          </w:tcPr>
          <w:p w:rsidR="00000000" w:rsidRDefault="00000000">
            <w:pPr>
              <w:pStyle w:val="a2"/>
              <w:spacing w:before="40" w:after="20" w:line="240" w:lineRule="exact"/>
              <w:rPr>
                <w:rFonts w:hint="eastAsia"/>
              </w:rPr>
            </w:pPr>
            <w:r>
              <w:rPr>
                <w:rFonts w:hint="eastAsia"/>
              </w:rPr>
              <w:t>经济活跃人口</w:t>
            </w:r>
          </w:p>
        </w:tc>
        <w:tc>
          <w:tcPr>
            <w:tcW w:w="922" w:type="pct"/>
            <w:tcBorders>
              <w:top w:val="nil"/>
              <w:bottom w:val="nil"/>
              <w:right w:val="nil"/>
            </w:tcBorders>
          </w:tcPr>
          <w:p w:rsidR="00000000" w:rsidRDefault="00000000">
            <w:pPr>
              <w:pStyle w:val="a2"/>
              <w:spacing w:before="40" w:after="20" w:line="240" w:lineRule="exact"/>
              <w:jc w:val="right"/>
            </w:pPr>
            <w:r>
              <w:t>3,560,484</w:t>
            </w:r>
          </w:p>
        </w:tc>
        <w:tc>
          <w:tcPr>
            <w:tcW w:w="230" w:type="pct"/>
            <w:tcBorders>
              <w:top w:val="nil"/>
              <w:left w:val="nil"/>
              <w:bottom w:val="nil"/>
            </w:tcBorders>
          </w:tcPr>
          <w:p w:rsidR="00000000" w:rsidRDefault="00000000">
            <w:pPr>
              <w:pStyle w:val="a2"/>
              <w:spacing w:before="40" w:after="20" w:line="240" w:lineRule="exact"/>
              <w:jc w:val="right"/>
            </w:pPr>
          </w:p>
        </w:tc>
        <w:tc>
          <w:tcPr>
            <w:tcW w:w="845" w:type="pct"/>
            <w:tcBorders>
              <w:top w:val="nil"/>
              <w:bottom w:val="nil"/>
              <w:right w:val="nil"/>
            </w:tcBorders>
          </w:tcPr>
          <w:p w:rsidR="00000000" w:rsidRDefault="00000000">
            <w:pPr>
              <w:pStyle w:val="a2"/>
              <w:spacing w:before="40" w:after="20" w:line="240" w:lineRule="exact"/>
              <w:jc w:val="right"/>
            </w:pPr>
            <w:r>
              <w:t>2,096,262</w:t>
            </w:r>
          </w:p>
        </w:tc>
        <w:tc>
          <w:tcPr>
            <w:tcW w:w="154" w:type="pct"/>
            <w:tcBorders>
              <w:top w:val="nil"/>
              <w:left w:val="nil"/>
              <w:bottom w:val="nil"/>
            </w:tcBorders>
          </w:tcPr>
          <w:p w:rsidR="00000000" w:rsidRDefault="00000000">
            <w:pPr>
              <w:pStyle w:val="a2"/>
              <w:spacing w:before="40" w:after="20" w:line="240" w:lineRule="exact"/>
              <w:jc w:val="right"/>
            </w:pPr>
          </w:p>
        </w:tc>
        <w:tc>
          <w:tcPr>
            <w:tcW w:w="768" w:type="pct"/>
            <w:tcBorders>
              <w:top w:val="nil"/>
              <w:bottom w:val="nil"/>
              <w:right w:val="nil"/>
            </w:tcBorders>
          </w:tcPr>
          <w:p w:rsidR="00000000" w:rsidRDefault="00000000">
            <w:pPr>
              <w:pStyle w:val="a2"/>
              <w:spacing w:before="40" w:after="20" w:line="240" w:lineRule="exact"/>
              <w:jc w:val="right"/>
            </w:pPr>
            <w:r>
              <w:t>1,464,222</w:t>
            </w:r>
          </w:p>
        </w:tc>
        <w:tc>
          <w:tcPr>
            <w:tcW w:w="154" w:type="pct"/>
            <w:tcBorders>
              <w:top w:val="nil"/>
              <w:left w:val="nil"/>
              <w:bottom w:val="nil"/>
            </w:tcBorders>
          </w:tcPr>
          <w:p w:rsidR="00000000" w:rsidRDefault="00000000">
            <w:pPr>
              <w:pStyle w:val="a2"/>
              <w:spacing w:before="40" w:after="20" w:line="240" w:lineRule="exact"/>
              <w:jc w:val="right"/>
            </w:pPr>
          </w:p>
        </w:tc>
      </w:tr>
      <w:tr w:rsidR="00000000">
        <w:tblPrEx>
          <w:tblCellMar>
            <w:top w:w="0" w:type="dxa"/>
            <w:bottom w:w="0" w:type="dxa"/>
          </w:tblCellMar>
        </w:tblPrEx>
        <w:tc>
          <w:tcPr>
            <w:tcW w:w="1927" w:type="pct"/>
            <w:tcBorders>
              <w:top w:val="nil"/>
              <w:bottom w:val="nil"/>
            </w:tcBorders>
          </w:tcPr>
          <w:p w:rsidR="00000000" w:rsidRDefault="00000000">
            <w:pPr>
              <w:pStyle w:val="a2"/>
              <w:spacing w:before="40" w:after="20" w:line="240" w:lineRule="exact"/>
              <w:rPr>
                <w:rFonts w:hint="eastAsia"/>
              </w:rPr>
            </w:pPr>
            <w:r>
              <w:rPr>
                <w:rFonts w:hint="eastAsia"/>
              </w:rPr>
              <w:t>失业人口</w:t>
            </w:r>
          </w:p>
        </w:tc>
        <w:tc>
          <w:tcPr>
            <w:tcW w:w="922" w:type="pct"/>
            <w:tcBorders>
              <w:top w:val="nil"/>
              <w:bottom w:val="nil"/>
              <w:right w:val="nil"/>
            </w:tcBorders>
          </w:tcPr>
          <w:p w:rsidR="00000000" w:rsidRDefault="00000000">
            <w:pPr>
              <w:pStyle w:val="a2"/>
              <w:spacing w:before="40" w:after="20" w:line="240" w:lineRule="exact"/>
              <w:jc w:val="right"/>
            </w:pPr>
            <w:r>
              <w:t>237,034</w:t>
            </w:r>
          </w:p>
        </w:tc>
        <w:tc>
          <w:tcPr>
            <w:tcW w:w="230" w:type="pct"/>
            <w:tcBorders>
              <w:top w:val="nil"/>
              <w:left w:val="nil"/>
              <w:bottom w:val="nil"/>
            </w:tcBorders>
          </w:tcPr>
          <w:p w:rsidR="00000000" w:rsidRDefault="00000000">
            <w:pPr>
              <w:pStyle w:val="a2"/>
              <w:spacing w:before="40" w:after="20" w:line="240" w:lineRule="exact"/>
              <w:jc w:val="right"/>
            </w:pPr>
          </w:p>
        </w:tc>
        <w:tc>
          <w:tcPr>
            <w:tcW w:w="845" w:type="pct"/>
            <w:tcBorders>
              <w:top w:val="nil"/>
              <w:bottom w:val="nil"/>
              <w:right w:val="nil"/>
            </w:tcBorders>
          </w:tcPr>
          <w:p w:rsidR="00000000" w:rsidRDefault="00000000">
            <w:pPr>
              <w:pStyle w:val="a2"/>
              <w:spacing w:before="40" w:after="20" w:line="240" w:lineRule="exact"/>
              <w:jc w:val="right"/>
            </w:pPr>
            <w:r>
              <w:t>91,862</w:t>
            </w:r>
          </w:p>
        </w:tc>
        <w:tc>
          <w:tcPr>
            <w:tcW w:w="154" w:type="pct"/>
            <w:tcBorders>
              <w:top w:val="nil"/>
              <w:left w:val="nil"/>
              <w:bottom w:val="nil"/>
            </w:tcBorders>
          </w:tcPr>
          <w:p w:rsidR="00000000" w:rsidRDefault="00000000">
            <w:pPr>
              <w:pStyle w:val="a2"/>
              <w:spacing w:before="40" w:after="20" w:line="240" w:lineRule="exact"/>
              <w:jc w:val="right"/>
            </w:pPr>
          </w:p>
        </w:tc>
        <w:tc>
          <w:tcPr>
            <w:tcW w:w="768" w:type="pct"/>
            <w:tcBorders>
              <w:top w:val="nil"/>
              <w:bottom w:val="nil"/>
              <w:right w:val="nil"/>
            </w:tcBorders>
          </w:tcPr>
          <w:p w:rsidR="00000000" w:rsidRDefault="00000000">
            <w:pPr>
              <w:pStyle w:val="a2"/>
              <w:spacing w:before="40" w:after="20" w:line="240" w:lineRule="exact"/>
              <w:jc w:val="right"/>
            </w:pPr>
            <w:r>
              <w:t>145,172</w:t>
            </w:r>
          </w:p>
        </w:tc>
        <w:tc>
          <w:tcPr>
            <w:tcW w:w="154" w:type="pct"/>
            <w:tcBorders>
              <w:top w:val="nil"/>
              <w:left w:val="nil"/>
              <w:bottom w:val="nil"/>
            </w:tcBorders>
          </w:tcPr>
          <w:p w:rsidR="00000000" w:rsidRDefault="00000000">
            <w:pPr>
              <w:pStyle w:val="a2"/>
              <w:spacing w:before="40" w:after="20" w:line="240" w:lineRule="exact"/>
              <w:jc w:val="right"/>
            </w:pPr>
          </w:p>
        </w:tc>
      </w:tr>
      <w:tr w:rsidR="00000000">
        <w:tblPrEx>
          <w:tblCellMar>
            <w:top w:w="0" w:type="dxa"/>
            <w:bottom w:w="0" w:type="dxa"/>
          </w:tblCellMar>
        </w:tblPrEx>
        <w:tc>
          <w:tcPr>
            <w:tcW w:w="1927" w:type="pct"/>
            <w:tcBorders>
              <w:top w:val="nil"/>
            </w:tcBorders>
          </w:tcPr>
          <w:p w:rsidR="00000000" w:rsidRDefault="00000000">
            <w:pPr>
              <w:pStyle w:val="a2"/>
              <w:spacing w:before="40" w:after="20" w:line="240" w:lineRule="exact"/>
              <w:rPr>
                <w:rFonts w:hint="eastAsia"/>
              </w:rPr>
            </w:pPr>
            <w:r>
              <w:rPr>
                <w:rFonts w:hint="eastAsia"/>
              </w:rPr>
              <w:t>就业人口</w:t>
            </w:r>
          </w:p>
        </w:tc>
        <w:tc>
          <w:tcPr>
            <w:tcW w:w="922" w:type="pct"/>
            <w:tcBorders>
              <w:top w:val="nil"/>
              <w:right w:val="nil"/>
            </w:tcBorders>
          </w:tcPr>
          <w:p w:rsidR="00000000" w:rsidRDefault="00000000">
            <w:pPr>
              <w:pStyle w:val="a2"/>
              <w:spacing w:before="40" w:after="20" w:line="240" w:lineRule="exact"/>
              <w:jc w:val="right"/>
            </w:pPr>
            <w:r>
              <w:t>3,151,203</w:t>
            </w:r>
          </w:p>
        </w:tc>
        <w:tc>
          <w:tcPr>
            <w:tcW w:w="230" w:type="pct"/>
            <w:tcBorders>
              <w:top w:val="nil"/>
              <w:left w:val="nil"/>
            </w:tcBorders>
          </w:tcPr>
          <w:p w:rsidR="00000000" w:rsidRDefault="00000000">
            <w:pPr>
              <w:pStyle w:val="a2"/>
              <w:spacing w:before="40" w:after="20" w:line="240" w:lineRule="exact"/>
              <w:jc w:val="right"/>
            </w:pPr>
          </w:p>
        </w:tc>
        <w:tc>
          <w:tcPr>
            <w:tcW w:w="845" w:type="pct"/>
            <w:tcBorders>
              <w:top w:val="nil"/>
              <w:right w:val="nil"/>
            </w:tcBorders>
          </w:tcPr>
          <w:p w:rsidR="00000000" w:rsidRDefault="00000000">
            <w:pPr>
              <w:pStyle w:val="a2"/>
              <w:spacing w:before="40" w:after="20" w:line="240" w:lineRule="exact"/>
              <w:jc w:val="right"/>
            </w:pPr>
            <w:r>
              <w:t>1,920,794</w:t>
            </w:r>
          </w:p>
        </w:tc>
        <w:tc>
          <w:tcPr>
            <w:tcW w:w="154" w:type="pct"/>
            <w:tcBorders>
              <w:top w:val="nil"/>
              <w:left w:val="nil"/>
            </w:tcBorders>
          </w:tcPr>
          <w:p w:rsidR="00000000" w:rsidRDefault="00000000">
            <w:pPr>
              <w:pStyle w:val="a2"/>
              <w:spacing w:before="40" w:after="20" w:line="240" w:lineRule="exact"/>
              <w:jc w:val="right"/>
            </w:pPr>
          </w:p>
        </w:tc>
        <w:tc>
          <w:tcPr>
            <w:tcW w:w="768" w:type="pct"/>
            <w:tcBorders>
              <w:top w:val="nil"/>
              <w:right w:val="nil"/>
            </w:tcBorders>
          </w:tcPr>
          <w:p w:rsidR="00000000" w:rsidRDefault="00000000">
            <w:pPr>
              <w:pStyle w:val="a2"/>
              <w:spacing w:before="40" w:after="20" w:line="240" w:lineRule="exact"/>
              <w:jc w:val="right"/>
            </w:pPr>
            <w:r>
              <w:t>1,230,409</w:t>
            </w:r>
          </w:p>
        </w:tc>
        <w:tc>
          <w:tcPr>
            <w:tcW w:w="154" w:type="pct"/>
            <w:tcBorders>
              <w:top w:val="nil"/>
              <w:left w:val="nil"/>
            </w:tcBorders>
          </w:tcPr>
          <w:p w:rsidR="00000000" w:rsidRDefault="00000000">
            <w:pPr>
              <w:pStyle w:val="a2"/>
              <w:spacing w:before="40" w:after="20" w:line="240" w:lineRule="exact"/>
              <w:jc w:val="right"/>
            </w:pPr>
          </w:p>
        </w:tc>
      </w:tr>
    </w:tbl>
    <w:p w:rsidR="00000000" w:rsidRDefault="00000000">
      <w:pPr>
        <w:pStyle w:val="EndnoteText"/>
        <w:spacing w:before="360" w:after="240" w:line="240" w:lineRule="auto"/>
        <w:rPr>
          <w:rFonts w:hint="eastAsia"/>
          <w:sz w:val="22"/>
        </w:rPr>
      </w:pPr>
      <w:r>
        <w:rPr>
          <w:rFonts w:hint="eastAsia"/>
          <w:sz w:val="22"/>
          <w:u w:val="single"/>
        </w:rPr>
        <w:t>资料来源</w:t>
      </w:r>
      <w:r>
        <w:rPr>
          <w:rFonts w:hint="eastAsia"/>
          <w:sz w:val="22"/>
        </w:rPr>
        <w:t>：国家统计与人口普查研究所</w:t>
      </w:r>
      <w:r>
        <w:rPr>
          <w:rFonts w:hint="eastAsia"/>
          <w:sz w:val="22"/>
        </w:rPr>
        <w:t>(</w:t>
      </w:r>
      <w:r>
        <w:rPr>
          <w:rFonts w:hint="eastAsia"/>
          <w:sz w:val="22"/>
        </w:rPr>
        <w:t>国家统计局</w:t>
      </w:r>
      <w:r>
        <w:rPr>
          <w:rFonts w:hint="eastAsia"/>
          <w:sz w:val="22"/>
        </w:rPr>
        <w:t>)</w:t>
      </w:r>
      <w:r>
        <w:rPr>
          <w:rFonts w:hint="eastAsia"/>
          <w:sz w:val="22"/>
        </w:rPr>
        <w:t>，</w:t>
      </w:r>
      <w:r>
        <w:rPr>
          <w:sz w:val="22"/>
        </w:rPr>
        <w:t>Encuesta Urbana de Empleo, Subempleo y Desmpleo</w:t>
      </w:r>
      <w:r>
        <w:rPr>
          <w:rFonts w:hint="eastAsia"/>
          <w:sz w:val="22"/>
        </w:rPr>
        <w:t>(</w:t>
      </w:r>
      <w:r>
        <w:rPr>
          <w:rFonts w:hint="eastAsia"/>
          <w:sz w:val="22"/>
        </w:rPr>
        <w:t>城市就业、就业不足和失业普查</w:t>
      </w:r>
      <w:r>
        <w:rPr>
          <w:rFonts w:hint="eastAsia"/>
          <w:sz w:val="22"/>
        </w:rPr>
        <w:t>)</w:t>
      </w:r>
      <w:r>
        <w:rPr>
          <w:rFonts w:hint="eastAsia"/>
          <w:sz w:val="22"/>
        </w:rPr>
        <w:t>。</w:t>
      </w:r>
    </w:p>
    <w:p w:rsidR="00000000" w:rsidRDefault="00000000">
      <w:pPr>
        <w:pStyle w:val="Heading3"/>
        <w:spacing w:after="160"/>
      </w:pPr>
      <w:r>
        <w:rPr>
          <w:rFonts w:hint="eastAsia"/>
        </w:rPr>
        <w:t>城市人口总数</w:t>
      </w:r>
      <w:r>
        <w:t>(1999)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3"/>
        <w:gridCol w:w="4877"/>
      </w:tblGrid>
      <w:tr w:rsidR="00000000">
        <w:tblPrEx>
          <w:tblCellMar>
            <w:top w:w="0" w:type="dxa"/>
            <w:bottom w:w="0" w:type="dxa"/>
          </w:tblCellMar>
        </w:tblPrEx>
        <w:tc>
          <w:tcPr>
            <w:tcW w:w="2452" w:type="pct"/>
            <w:tcBorders>
              <w:bottom w:val="single" w:sz="4" w:space="0" w:color="auto"/>
            </w:tcBorders>
          </w:tcPr>
          <w:p w:rsidR="00000000" w:rsidRDefault="00000000">
            <w:pPr>
              <w:pStyle w:val="a2"/>
              <w:spacing w:before="40" w:after="20" w:line="240" w:lineRule="auto"/>
              <w:jc w:val="center"/>
              <w:rPr>
                <w:rFonts w:ascii="Time New Roman" w:eastAsia="SimHei" w:hAnsi="Time New Roman" w:hint="eastAsia"/>
              </w:rPr>
            </w:pPr>
            <w:r>
              <w:rPr>
                <w:rFonts w:ascii="Time New Roman" w:eastAsia="SimHei" w:hAnsi="Time New Roman" w:hint="eastAsia"/>
              </w:rPr>
              <w:t>组</w:t>
            </w:r>
            <w:r>
              <w:rPr>
                <w:rFonts w:ascii="Time New Roman" w:eastAsia="SimHei" w:hAnsi="Time New Roman" w:hint="eastAsia"/>
              </w:rPr>
              <w:t xml:space="preserve">  </w:t>
            </w:r>
            <w:r>
              <w:rPr>
                <w:rFonts w:ascii="Time New Roman" w:eastAsia="SimHei" w:hAnsi="Time New Roman" w:hint="eastAsia"/>
              </w:rPr>
              <w:t>别</w:t>
            </w:r>
          </w:p>
        </w:tc>
        <w:tc>
          <w:tcPr>
            <w:tcW w:w="2548" w:type="pct"/>
            <w:tcBorders>
              <w:bottom w:val="single" w:sz="4" w:space="0" w:color="auto"/>
            </w:tcBorders>
          </w:tcPr>
          <w:p w:rsidR="00000000" w:rsidRDefault="00000000">
            <w:pPr>
              <w:pStyle w:val="a2"/>
              <w:spacing w:before="40" w:after="20" w:line="240" w:lineRule="auto"/>
              <w:jc w:val="center"/>
              <w:rPr>
                <w:rFonts w:ascii="Time New Roman" w:eastAsia="SimHei" w:hAnsi="Time New Roman" w:hint="eastAsia"/>
              </w:rPr>
            </w:pPr>
            <w:r>
              <w:rPr>
                <w:rFonts w:ascii="Time New Roman" w:eastAsia="SimHei" w:hAnsi="Time New Roman" w:hint="eastAsia"/>
              </w:rPr>
              <w:t>总</w:t>
            </w:r>
            <w:r>
              <w:rPr>
                <w:rFonts w:ascii="Time New Roman" w:eastAsia="SimHei" w:hAnsi="Time New Roman" w:hint="eastAsia"/>
              </w:rPr>
              <w:t xml:space="preserve">  </w:t>
            </w:r>
            <w:r>
              <w:rPr>
                <w:rFonts w:ascii="Time New Roman" w:eastAsia="SimHei" w:hAnsi="Time New Roman" w:hint="eastAsia"/>
              </w:rPr>
              <w:t>数</w:t>
            </w:r>
          </w:p>
        </w:tc>
      </w:tr>
      <w:tr w:rsidR="00000000">
        <w:tblPrEx>
          <w:tblCellMar>
            <w:top w:w="0" w:type="dxa"/>
            <w:bottom w:w="0" w:type="dxa"/>
          </w:tblCellMar>
        </w:tblPrEx>
        <w:tc>
          <w:tcPr>
            <w:tcW w:w="2452" w:type="pct"/>
            <w:tcBorders>
              <w:bottom w:val="nil"/>
              <w:right w:val="single" w:sz="4" w:space="0" w:color="auto"/>
            </w:tcBorders>
          </w:tcPr>
          <w:p w:rsidR="00000000" w:rsidRDefault="00000000">
            <w:pPr>
              <w:pStyle w:val="a2"/>
              <w:spacing w:before="20" w:line="240" w:lineRule="exact"/>
              <w:rPr>
                <w:rFonts w:hint="eastAsia"/>
              </w:rPr>
            </w:pPr>
            <w:r>
              <w:rPr>
                <w:rFonts w:hint="eastAsia"/>
              </w:rPr>
              <w:t>人口总数</w:t>
            </w:r>
          </w:p>
        </w:tc>
        <w:tc>
          <w:tcPr>
            <w:tcW w:w="2548" w:type="pct"/>
            <w:tcBorders>
              <w:left w:val="single" w:sz="4" w:space="0" w:color="auto"/>
              <w:bottom w:val="nil"/>
            </w:tcBorders>
          </w:tcPr>
          <w:p w:rsidR="00000000" w:rsidRDefault="00000000">
            <w:pPr>
              <w:pStyle w:val="a2"/>
              <w:spacing w:before="20" w:line="240" w:lineRule="exact"/>
              <w:ind w:right="1915"/>
              <w:jc w:val="right"/>
            </w:pPr>
            <w:r>
              <w:t>8,023,454</w:t>
            </w:r>
          </w:p>
        </w:tc>
      </w:tr>
      <w:tr w:rsidR="00000000">
        <w:tblPrEx>
          <w:tblCellMar>
            <w:top w:w="0" w:type="dxa"/>
            <w:bottom w:w="0" w:type="dxa"/>
          </w:tblCellMar>
        </w:tblPrEx>
        <w:tc>
          <w:tcPr>
            <w:tcW w:w="2452" w:type="pct"/>
            <w:tcBorders>
              <w:top w:val="nil"/>
              <w:bottom w:val="nil"/>
              <w:right w:val="single" w:sz="4" w:space="0" w:color="auto"/>
            </w:tcBorders>
          </w:tcPr>
          <w:p w:rsidR="00000000" w:rsidRDefault="00000000">
            <w:pPr>
              <w:pStyle w:val="a2"/>
              <w:spacing w:before="20" w:line="240" w:lineRule="exact"/>
              <w:rPr>
                <w:rFonts w:hint="eastAsia"/>
              </w:rPr>
            </w:pPr>
            <w:r>
              <w:rPr>
                <w:rFonts w:hint="eastAsia"/>
              </w:rPr>
              <w:t>10</w:t>
            </w:r>
            <w:r>
              <w:rPr>
                <w:rFonts w:hint="eastAsia"/>
              </w:rPr>
              <w:t>岁以下人口</w:t>
            </w:r>
          </w:p>
        </w:tc>
        <w:tc>
          <w:tcPr>
            <w:tcW w:w="2548" w:type="pct"/>
            <w:tcBorders>
              <w:top w:val="nil"/>
              <w:left w:val="single" w:sz="4" w:space="0" w:color="auto"/>
              <w:bottom w:val="nil"/>
            </w:tcBorders>
          </w:tcPr>
          <w:p w:rsidR="00000000" w:rsidRDefault="00000000">
            <w:pPr>
              <w:pStyle w:val="a2"/>
              <w:spacing w:before="20" w:line="240" w:lineRule="exact"/>
              <w:ind w:right="1915"/>
              <w:jc w:val="right"/>
            </w:pPr>
            <w:r>
              <w:t>1,742,514</w:t>
            </w:r>
          </w:p>
        </w:tc>
      </w:tr>
      <w:tr w:rsidR="00000000">
        <w:tblPrEx>
          <w:tblCellMar>
            <w:top w:w="0" w:type="dxa"/>
            <w:bottom w:w="0" w:type="dxa"/>
          </w:tblCellMar>
        </w:tblPrEx>
        <w:tc>
          <w:tcPr>
            <w:tcW w:w="2452" w:type="pct"/>
            <w:tcBorders>
              <w:top w:val="nil"/>
              <w:bottom w:val="nil"/>
              <w:right w:val="single" w:sz="4" w:space="0" w:color="auto"/>
            </w:tcBorders>
          </w:tcPr>
          <w:p w:rsidR="00000000" w:rsidRDefault="00000000">
            <w:pPr>
              <w:pStyle w:val="a2"/>
              <w:spacing w:before="20" w:line="240" w:lineRule="exact"/>
              <w:rPr>
                <w:rFonts w:hint="eastAsia"/>
              </w:rPr>
            </w:pPr>
            <w:r>
              <w:rPr>
                <w:rFonts w:hint="eastAsia"/>
              </w:rPr>
              <w:t>工作年龄人口</w:t>
            </w:r>
          </w:p>
        </w:tc>
        <w:tc>
          <w:tcPr>
            <w:tcW w:w="2548" w:type="pct"/>
            <w:tcBorders>
              <w:top w:val="nil"/>
              <w:left w:val="single" w:sz="4" w:space="0" w:color="auto"/>
              <w:bottom w:val="nil"/>
            </w:tcBorders>
          </w:tcPr>
          <w:p w:rsidR="00000000" w:rsidRDefault="00000000">
            <w:pPr>
              <w:pStyle w:val="a2"/>
              <w:spacing w:before="20" w:line="240" w:lineRule="exact"/>
              <w:ind w:right="1915"/>
              <w:jc w:val="right"/>
            </w:pPr>
            <w:r>
              <w:t>6,280,940</w:t>
            </w:r>
          </w:p>
        </w:tc>
      </w:tr>
      <w:tr w:rsidR="00000000">
        <w:tblPrEx>
          <w:tblCellMar>
            <w:top w:w="0" w:type="dxa"/>
            <w:bottom w:w="0" w:type="dxa"/>
          </w:tblCellMar>
        </w:tblPrEx>
        <w:tc>
          <w:tcPr>
            <w:tcW w:w="2452" w:type="pct"/>
            <w:tcBorders>
              <w:top w:val="nil"/>
              <w:bottom w:val="nil"/>
              <w:right w:val="single" w:sz="4" w:space="0" w:color="auto"/>
            </w:tcBorders>
          </w:tcPr>
          <w:p w:rsidR="00000000" w:rsidRDefault="00000000">
            <w:pPr>
              <w:pStyle w:val="a2"/>
              <w:spacing w:before="20" w:line="240" w:lineRule="exact"/>
              <w:rPr>
                <w:rFonts w:hint="eastAsia"/>
              </w:rPr>
            </w:pPr>
            <w:r>
              <w:rPr>
                <w:rFonts w:hint="eastAsia"/>
              </w:rPr>
              <w:t>经济不活跃人口</w:t>
            </w:r>
          </w:p>
        </w:tc>
        <w:tc>
          <w:tcPr>
            <w:tcW w:w="2548" w:type="pct"/>
            <w:tcBorders>
              <w:top w:val="nil"/>
              <w:left w:val="single" w:sz="4" w:space="0" w:color="auto"/>
              <w:bottom w:val="nil"/>
            </w:tcBorders>
          </w:tcPr>
          <w:p w:rsidR="00000000" w:rsidRDefault="00000000">
            <w:pPr>
              <w:pStyle w:val="a2"/>
              <w:spacing w:before="20" w:line="240" w:lineRule="exact"/>
              <w:ind w:right="1915"/>
              <w:jc w:val="right"/>
            </w:pPr>
            <w:r>
              <w:t>2,511,360</w:t>
            </w:r>
          </w:p>
        </w:tc>
      </w:tr>
      <w:tr w:rsidR="00000000">
        <w:tblPrEx>
          <w:tblCellMar>
            <w:top w:w="0" w:type="dxa"/>
            <w:bottom w:w="0" w:type="dxa"/>
          </w:tblCellMar>
        </w:tblPrEx>
        <w:tc>
          <w:tcPr>
            <w:tcW w:w="2452" w:type="pct"/>
            <w:tcBorders>
              <w:top w:val="nil"/>
              <w:bottom w:val="nil"/>
              <w:right w:val="single" w:sz="4" w:space="0" w:color="auto"/>
            </w:tcBorders>
          </w:tcPr>
          <w:p w:rsidR="00000000" w:rsidRDefault="00000000">
            <w:pPr>
              <w:pStyle w:val="a2"/>
              <w:spacing w:before="20" w:line="240" w:lineRule="exact"/>
              <w:rPr>
                <w:rFonts w:hint="eastAsia"/>
              </w:rPr>
            </w:pPr>
            <w:r>
              <w:rPr>
                <w:rFonts w:hint="eastAsia"/>
              </w:rPr>
              <w:t>经济活跃人口</w:t>
            </w:r>
          </w:p>
        </w:tc>
        <w:tc>
          <w:tcPr>
            <w:tcW w:w="2548" w:type="pct"/>
            <w:tcBorders>
              <w:top w:val="nil"/>
              <w:left w:val="single" w:sz="4" w:space="0" w:color="auto"/>
              <w:bottom w:val="nil"/>
            </w:tcBorders>
          </w:tcPr>
          <w:p w:rsidR="00000000" w:rsidRDefault="00000000">
            <w:pPr>
              <w:pStyle w:val="a2"/>
              <w:spacing w:before="20" w:line="240" w:lineRule="exact"/>
              <w:ind w:right="1915"/>
              <w:jc w:val="right"/>
            </w:pPr>
            <w:r>
              <w:t>3,769,580</w:t>
            </w:r>
          </w:p>
        </w:tc>
      </w:tr>
      <w:tr w:rsidR="00000000">
        <w:tblPrEx>
          <w:tblCellMar>
            <w:top w:w="0" w:type="dxa"/>
            <w:bottom w:w="0" w:type="dxa"/>
          </w:tblCellMar>
        </w:tblPrEx>
        <w:tc>
          <w:tcPr>
            <w:tcW w:w="2452" w:type="pct"/>
            <w:tcBorders>
              <w:top w:val="nil"/>
              <w:bottom w:val="nil"/>
              <w:right w:val="single" w:sz="4" w:space="0" w:color="auto"/>
            </w:tcBorders>
          </w:tcPr>
          <w:p w:rsidR="00000000" w:rsidRDefault="00000000">
            <w:pPr>
              <w:pStyle w:val="a2"/>
              <w:spacing w:before="20" w:line="240" w:lineRule="exact"/>
              <w:rPr>
                <w:rFonts w:hint="eastAsia"/>
              </w:rPr>
            </w:pPr>
            <w:r>
              <w:rPr>
                <w:rFonts w:hint="eastAsia"/>
              </w:rPr>
              <w:t>失业人口</w:t>
            </w:r>
          </w:p>
        </w:tc>
        <w:tc>
          <w:tcPr>
            <w:tcW w:w="2548" w:type="pct"/>
            <w:tcBorders>
              <w:top w:val="nil"/>
              <w:left w:val="single" w:sz="4" w:space="0" w:color="auto"/>
              <w:bottom w:val="nil"/>
            </w:tcBorders>
          </w:tcPr>
          <w:p w:rsidR="00000000" w:rsidRDefault="00000000">
            <w:pPr>
              <w:pStyle w:val="a2"/>
              <w:spacing w:before="20" w:line="240" w:lineRule="exact"/>
              <w:ind w:right="1915"/>
              <w:jc w:val="right"/>
            </w:pPr>
            <w:r>
              <w:t>543,452</w:t>
            </w:r>
          </w:p>
        </w:tc>
      </w:tr>
      <w:tr w:rsidR="00000000">
        <w:tblPrEx>
          <w:tblCellMar>
            <w:top w:w="0" w:type="dxa"/>
            <w:bottom w:w="0" w:type="dxa"/>
          </w:tblCellMar>
        </w:tblPrEx>
        <w:tc>
          <w:tcPr>
            <w:tcW w:w="2452" w:type="pct"/>
            <w:tcBorders>
              <w:top w:val="nil"/>
            </w:tcBorders>
          </w:tcPr>
          <w:p w:rsidR="00000000" w:rsidRDefault="00000000">
            <w:pPr>
              <w:pStyle w:val="a2"/>
              <w:spacing w:before="20" w:line="240" w:lineRule="exact"/>
              <w:rPr>
                <w:rFonts w:hint="eastAsia"/>
              </w:rPr>
            </w:pPr>
            <w:r>
              <w:rPr>
                <w:rFonts w:hint="eastAsia"/>
              </w:rPr>
              <w:t>就业人口</w:t>
            </w:r>
          </w:p>
        </w:tc>
        <w:tc>
          <w:tcPr>
            <w:tcW w:w="2548" w:type="pct"/>
            <w:tcBorders>
              <w:top w:val="nil"/>
            </w:tcBorders>
          </w:tcPr>
          <w:p w:rsidR="00000000" w:rsidRDefault="00000000">
            <w:pPr>
              <w:pStyle w:val="a2"/>
              <w:spacing w:before="20" w:line="240" w:lineRule="exact"/>
              <w:ind w:right="1915"/>
              <w:jc w:val="right"/>
            </w:pPr>
            <w:r>
              <w:t>3,226,128</w:t>
            </w:r>
          </w:p>
        </w:tc>
      </w:tr>
    </w:tbl>
    <w:p w:rsidR="00000000" w:rsidRDefault="00000000">
      <w:pPr>
        <w:pStyle w:val="EndnoteText"/>
        <w:spacing w:before="240" w:line="240" w:lineRule="auto"/>
        <w:rPr>
          <w:sz w:val="22"/>
        </w:rPr>
      </w:pPr>
      <w:r>
        <w:rPr>
          <w:rFonts w:hint="eastAsia"/>
          <w:sz w:val="22"/>
          <w:u w:val="single"/>
        </w:rPr>
        <w:t>资料来源</w:t>
      </w:r>
      <w:r>
        <w:rPr>
          <w:rFonts w:hint="eastAsia"/>
          <w:sz w:val="22"/>
        </w:rPr>
        <w:t>：国家统计与人口普查研究所</w:t>
      </w:r>
      <w:r>
        <w:rPr>
          <w:rFonts w:hint="eastAsia"/>
          <w:sz w:val="22"/>
        </w:rPr>
        <w:t>(</w:t>
      </w:r>
      <w:r>
        <w:rPr>
          <w:rFonts w:hint="eastAsia"/>
          <w:sz w:val="22"/>
        </w:rPr>
        <w:t>国家统计局</w:t>
      </w:r>
      <w:r>
        <w:rPr>
          <w:rFonts w:hint="eastAsia"/>
          <w:sz w:val="22"/>
        </w:rPr>
        <w:t>)</w:t>
      </w:r>
      <w:r>
        <w:rPr>
          <w:rFonts w:hint="eastAsia"/>
          <w:sz w:val="22"/>
        </w:rPr>
        <w:t>，</w:t>
      </w:r>
      <w:r>
        <w:rPr>
          <w:sz w:val="22"/>
        </w:rPr>
        <w:t>Encuesta Urbana de Empleo, Subempleo y Desmpleo</w:t>
      </w:r>
      <w:r>
        <w:rPr>
          <w:rFonts w:hint="eastAsia"/>
          <w:sz w:val="22"/>
        </w:rPr>
        <w:t>(</w:t>
      </w:r>
      <w:r>
        <w:rPr>
          <w:rFonts w:hint="eastAsia"/>
          <w:sz w:val="22"/>
        </w:rPr>
        <w:t>城市就业、就业不足和失业普查</w:t>
      </w:r>
      <w:r>
        <w:rPr>
          <w:rFonts w:hint="eastAsia"/>
          <w:sz w:val="22"/>
        </w:rPr>
        <w:t>)</w:t>
      </w:r>
      <w:r>
        <w:rPr>
          <w:rFonts w:hint="eastAsia"/>
          <w:sz w:val="22"/>
        </w:rPr>
        <w:t>。</w:t>
      </w:r>
    </w:p>
    <w:p w:rsidR="00000000" w:rsidRDefault="00000000">
      <w:pPr>
        <w:rPr>
          <w:rFonts w:eastAsia="KaiTi_GB2312"/>
          <w:spacing w:val="0"/>
        </w:rPr>
      </w:pPr>
    </w:p>
    <w:p w:rsidR="00000000" w:rsidRDefault="00000000">
      <w:pPr>
        <w:rPr>
          <w:rFonts w:hint="eastAsia"/>
        </w:rPr>
      </w:pPr>
      <w:r>
        <w:rPr>
          <w:rFonts w:hint="eastAsia"/>
        </w:rPr>
        <w:tab/>
        <w:t xml:space="preserve">60.  </w:t>
      </w:r>
      <w:r>
        <w:rPr>
          <w:rFonts w:hint="eastAsia"/>
        </w:rPr>
        <w:t>经济活跃人口的增长符合多年来已经可以观测到的一种趋势，即越来越多的人参与经济活动。因此，总参与率</w:t>
      </w:r>
      <w:r>
        <w:rPr>
          <w:rFonts w:hint="eastAsia"/>
        </w:rPr>
        <w:t>(</w:t>
      </w:r>
      <w:r>
        <w:rPr>
          <w:rFonts w:hint="eastAsia"/>
        </w:rPr>
        <w:t>即经济活跃人口与工作年龄人口之比率</w:t>
      </w:r>
      <w:r>
        <w:rPr>
          <w:rFonts w:hint="eastAsia"/>
        </w:rPr>
        <w:t>)1990</w:t>
      </w:r>
      <w:r>
        <w:rPr>
          <w:rFonts w:hint="eastAsia"/>
        </w:rPr>
        <w:t>年</w:t>
      </w:r>
      <w:r>
        <w:rPr>
          <w:rFonts w:hint="eastAsia"/>
        </w:rPr>
        <w:t>11</w:t>
      </w:r>
      <w:r>
        <w:rPr>
          <w:rFonts w:hint="eastAsia"/>
        </w:rPr>
        <w:t>月为</w:t>
      </w:r>
      <w:r>
        <w:rPr>
          <w:rFonts w:hint="eastAsia"/>
        </w:rPr>
        <w:t>52.</w:t>
      </w:r>
      <w:r>
        <w:t>34%</w:t>
      </w:r>
      <w:r>
        <w:rPr>
          <w:rFonts w:hint="eastAsia"/>
        </w:rPr>
        <w:t>，</w:t>
      </w:r>
      <w:r>
        <w:rPr>
          <w:rFonts w:hint="eastAsia"/>
        </w:rPr>
        <w:t>1998</w:t>
      </w:r>
      <w:r>
        <w:rPr>
          <w:rFonts w:hint="eastAsia"/>
        </w:rPr>
        <w:t>年为</w:t>
      </w:r>
      <w:r>
        <w:rPr>
          <w:rFonts w:hint="eastAsia"/>
        </w:rPr>
        <w:t>58.</w:t>
      </w:r>
      <w:r>
        <w:t>43%</w:t>
      </w:r>
      <w:r>
        <w:rPr>
          <w:rFonts w:hint="eastAsia"/>
        </w:rPr>
        <w:t>，</w:t>
      </w:r>
      <w:r>
        <w:rPr>
          <w:rFonts w:hint="eastAsia"/>
        </w:rPr>
        <w:t>1999</w:t>
      </w:r>
      <w:r>
        <w:rPr>
          <w:rFonts w:hint="eastAsia"/>
        </w:rPr>
        <w:t>年为</w:t>
      </w:r>
      <w:r>
        <w:rPr>
          <w:rFonts w:hint="eastAsia"/>
        </w:rPr>
        <w:t>60%</w:t>
      </w:r>
      <w:r>
        <w:rPr>
          <w:rFonts w:hint="eastAsia"/>
        </w:rPr>
        <w:t>。</w:t>
      </w:r>
    </w:p>
    <w:p w:rsidR="00000000" w:rsidRDefault="00000000">
      <w:pPr>
        <w:rPr>
          <w:rFonts w:hint="eastAsia"/>
        </w:rPr>
      </w:pPr>
      <w:r>
        <w:rPr>
          <w:rFonts w:hint="eastAsia"/>
        </w:rPr>
        <w:tab/>
        <w:t xml:space="preserve">61.  </w:t>
      </w:r>
      <w:r>
        <w:rPr>
          <w:rFonts w:hint="eastAsia"/>
        </w:rPr>
        <w:t>根据</w:t>
      </w:r>
      <w:r>
        <w:rPr>
          <w:rFonts w:hint="eastAsia"/>
        </w:rPr>
        <w:t>1998</w:t>
      </w:r>
      <w:r>
        <w:rPr>
          <w:rFonts w:hint="eastAsia"/>
        </w:rPr>
        <w:t>年</w:t>
      </w:r>
      <w:r>
        <w:rPr>
          <w:rFonts w:hint="eastAsia"/>
        </w:rPr>
        <w:t>11</w:t>
      </w:r>
      <w:r>
        <w:rPr>
          <w:rFonts w:hint="eastAsia"/>
        </w:rPr>
        <w:t>月进行的城市就业、失业以及就业不足情况调查，妇女受失业打击最严重。</w:t>
      </w:r>
      <w:r>
        <w:t>15.9%</w:t>
      </w:r>
      <w:r>
        <w:rPr>
          <w:rFonts w:hint="eastAsia"/>
        </w:rPr>
        <w:t>的妇女属于经济不活跃人口，但是男子的这一百分比为</w:t>
      </w:r>
      <w:r>
        <w:t>8.3%</w:t>
      </w:r>
      <w:r>
        <w:rPr>
          <w:rFonts w:hint="eastAsia"/>
        </w:rPr>
        <w:t>；这就是说，妇女并没有享受到男子的同等机会。</w:t>
      </w:r>
    </w:p>
    <w:p w:rsidR="00000000" w:rsidRDefault="00000000">
      <w:r>
        <w:rPr>
          <w:rFonts w:hint="eastAsia"/>
        </w:rPr>
        <w:tab/>
        <w:t xml:space="preserve">62.  </w:t>
      </w:r>
      <w:r>
        <w:rPr>
          <w:rFonts w:hint="eastAsia"/>
        </w:rPr>
        <w:t>在整个国家，男子和妇女的劳工市场是不一样的：男子从事有工资的工作多于妇女，而妇女主要集中于自足性活动和没有报酬的家庭工作。在农村，妇女在公营或私营部门或者从事自己的生意的机会大大少于城市，特别是对农妇和土著妇女来说，更为如此。</w:t>
      </w:r>
      <w:r>
        <w:rPr>
          <w:rStyle w:val="EndnoteReference"/>
        </w:rPr>
        <w:endnoteReference w:id="14"/>
      </w:r>
    </w:p>
    <w:p w:rsidR="00000000" w:rsidRDefault="00000000">
      <w:pPr>
        <w:spacing w:after="320"/>
        <w:rPr>
          <w:rFonts w:hint="eastAsia"/>
        </w:rPr>
      </w:pPr>
      <w:r>
        <w:tab/>
        <w:t xml:space="preserve">63.  </w:t>
      </w:r>
      <w:r>
        <w:rPr>
          <w:rFonts w:hint="eastAsia"/>
        </w:rPr>
        <w:t>由于出口增长，人们希望农业部门对劳工的需求将会有大幅度的恢复。事实上，上述恢复幅度并不大，而且并不充足，这主要是由于厄尔尼诺现象造成的破坏所造成的。</w:t>
      </w:r>
      <w:r>
        <w:rPr>
          <w:rFonts w:hint="eastAsia"/>
        </w:rPr>
        <w:t>1997</w:t>
      </w:r>
      <w:r>
        <w:rPr>
          <w:rFonts w:hint="eastAsia"/>
        </w:rPr>
        <w:t>年和</w:t>
      </w:r>
      <w:r>
        <w:rPr>
          <w:rFonts w:hint="eastAsia"/>
        </w:rPr>
        <w:t>1998</w:t>
      </w:r>
      <w:r>
        <w:rPr>
          <w:rFonts w:hint="eastAsia"/>
        </w:rPr>
        <w:t>年袭击沿海地区的厄尔尼诺现象使农业生产和畜牧业遭到不利影响，减少</w:t>
      </w:r>
      <w:r>
        <w:t>0.8</w:t>
      </w:r>
      <w:r>
        <w:rPr>
          <w:rFonts w:hint="eastAsia"/>
        </w:rPr>
        <w:t>%</w:t>
      </w:r>
      <w:r>
        <w:rPr>
          <w:rFonts w:hint="eastAsia"/>
        </w:rPr>
        <w:t>；该地区</w:t>
      </w:r>
      <w:r>
        <w:rPr>
          <w:rFonts w:hint="eastAsia"/>
        </w:rPr>
        <w:t>80%</w:t>
      </w:r>
      <w:r>
        <w:rPr>
          <w:rFonts w:hint="eastAsia"/>
        </w:rPr>
        <w:t>的道路遭到毁坏，医院基础设施也受到影响，至少有</w:t>
      </w:r>
      <w:r>
        <w:rPr>
          <w:rFonts w:hint="eastAsia"/>
        </w:rPr>
        <w:t>23</w:t>
      </w:r>
      <w:r>
        <w:rPr>
          <w:rFonts w:hint="eastAsia"/>
        </w:rPr>
        <w:t>所医疗设施遭到损坏。</w:t>
      </w:r>
    </w:p>
    <w:p w:rsidR="00000000" w:rsidRDefault="00000000">
      <w:pPr>
        <w:pStyle w:val="Heading3"/>
        <w:rPr>
          <w:rFonts w:eastAsia="KaiTi_GB2312"/>
          <w:snapToGrid/>
          <w:spacing w:val="0"/>
          <w:kern w:val="0"/>
          <w:u w:val="none"/>
        </w:rPr>
      </w:pPr>
      <w:r>
        <w:rPr>
          <w:rFonts w:hint="eastAsia"/>
        </w:rPr>
        <w:t>传统性出口产品</w:t>
      </w:r>
      <w:r>
        <w:br/>
      </w:r>
      <w:r>
        <w:rPr>
          <w:rFonts w:eastAsia="KaiTi_GB2312" w:hint="eastAsia"/>
          <w:snapToGrid/>
          <w:spacing w:val="0"/>
          <w:kern w:val="0"/>
          <w:u w:val="none"/>
        </w:rPr>
        <w:t>(</w:t>
      </w:r>
      <w:r>
        <w:rPr>
          <w:rFonts w:eastAsia="KaiTi_GB2312" w:hint="eastAsia"/>
          <w:snapToGrid/>
          <w:spacing w:val="0"/>
          <w:kern w:val="0"/>
          <w:u w:val="none"/>
        </w:rPr>
        <w:t>离岸价格，百万美元</w:t>
      </w:r>
      <w:r>
        <w:rPr>
          <w:rFonts w:eastAsia="KaiTi_GB2312" w:hint="eastAsia"/>
          <w:snapToGrid/>
          <w:spacing w:val="0"/>
          <w:kern w:val="0"/>
          <w:u w:val="none"/>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0"/>
        <w:gridCol w:w="1300"/>
        <w:gridCol w:w="1300"/>
        <w:gridCol w:w="1300"/>
        <w:gridCol w:w="1332"/>
        <w:gridCol w:w="1134"/>
      </w:tblGrid>
      <w:tr w:rsidR="00000000">
        <w:tblPrEx>
          <w:tblCellMar>
            <w:top w:w="0" w:type="dxa"/>
            <w:bottom w:w="0" w:type="dxa"/>
          </w:tblCellMar>
        </w:tblPrEx>
        <w:trPr>
          <w:cantSplit/>
        </w:trPr>
        <w:tc>
          <w:tcPr>
            <w:tcW w:w="2990" w:type="dxa"/>
            <w:tcBorders>
              <w:bottom w:val="single" w:sz="4" w:space="0" w:color="auto"/>
            </w:tcBorders>
          </w:tcPr>
          <w:p w:rsidR="00000000" w:rsidRDefault="00000000">
            <w:pPr>
              <w:pStyle w:val="a2"/>
              <w:spacing w:before="60"/>
            </w:pPr>
          </w:p>
        </w:tc>
        <w:tc>
          <w:tcPr>
            <w:tcW w:w="1300" w:type="dxa"/>
            <w:tcBorders>
              <w:bottom w:val="single" w:sz="4" w:space="0" w:color="auto"/>
            </w:tcBorders>
          </w:tcPr>
          <w:p w:rsidR="00000000" w:rsidRDefault="00000000">
            <w:pPr>
              <w:pStyle w:val="a2"/>
              <w:spacing w:before="60"/>
              <w:jc w:val="center"/>
            </w:pPr>
            <w:r>
              <w:t>1995</w:t>
            </w:r>
          </w:p>
        </w:tc>
        <w:tc>
          <w:tcPr>
            <w:tcW w:w="1300" w:type="dxa"/>
            <w:tcBorders>
              <w:bottom w:val="single" w:sz="4" w:space="0" w:color="auto"/>
            </w:tcBorders>
          </w:tcPr>
          <w:p w:rsidR="00000000" w:rsidRDefault="00000000">
            <w:pPr>
              <w:pStyle w:val="a2"/>
              <w:spacing w:before="60"/>
              <w:jc w:val="center"/>
            </w:pPr>
            <w:r>
              <w:t>1996</w:t>
            </w:r>
          </w:p>
        </w:tc>
        <w:tc>
          <w:tcPr>
            <w:tcW w:w="1300" w:type="dxa"/>
            <w:tcBorders>
              <w:bottom w:val="single" w:sz="4" w:space="0" w:color="auto"/>
            </w:tcBorders>
          </w:tcPr>
          <w:p w:rsidR="00000000" w:rsidRDefault="00000000">
            <w:pPr>
              <w:pStyle w:val="a2"/>
              <w:spacing w:before="60"/>
              <w:jc w:val="center"/>
            </w:pPr>
            <w:r>
              <w:t>1997</w:t>
            </w:r>
          </w:p>
        </w:tc>
        <w:tc>
          <w:tcPr>
            <w:tcW w:w="1332" w:type="dxa"/>
            <w:tcBorders>
              <w:bottom w:val="single" w:sz="4" w:space="0" w:color="auto"/>
            </w:tcBorders>
          </w:tcPr>
          <w:p w:rsidR="00000000" w:rsidRDefault="00000000">
            <w:pPr>
              <w:pStyle w:val="a2"/>
              <w:spacing w:before="60"/>
              <w:jc w:val="center"/>
            </w:pPr>
            <w:r>
              <w:t>1998</w:t>
            </w:r>
          </w:p>
        </w:tc>
        <w:tc>
          <w:tcPr>
            <w:tcW w:w="1134" w:type="dxa"/>
            <w:tcBorders>
              <w:bottom w:val="single" w:sz="4" w:space="0" w:color="auto"/>
            </w:tcBorders>
          </w:tcPr>
          <w:p w:rsidR="00000000" w:rsidRDefault="00000000">
            <w:pPr>
              <w:pStyle w:val="a2"/>
              <w:spacing w:before="60"/>
              <w:jc w:val="center"/>
            </w:pPr>
            <w:r>
              <w:t>1999</w:t>
            </w:r>
          </w:p>
        </w:tc>
      </w:tr>
      <w:tr w:rsidR="00000000">
        <w:tblPrEx>
          <w:tblCellMar>
            <w:top w:w="0" w:type="dxa"/>
            <w:bottom w:w="0" w:type="dxa"/>
          </w:tblCellMar>
        </w:tblPrEx>
        <w:trPr>
          <w:cantSplit/>
        </w:trPr>
        <w:tc>
          <w:tcPr>
            <w:tcW w:w="2990" w:type="dxa"/>
            <w:tcBorders>
              <w:bottom w:val="nil"/>
              <w:right w:val="single" w:sz="4" w:space="0" w:color="auto"/>
            </w:tcBorders>
          </w:tcPr>
          <w:p w:rsidR="00000000" w:rsidRDefault="00000000">
            <w:pPr>
              <w:pStyle w:val="a2"/>
              <w:spacing w:before="60"/>
            </w:pPr>
            <w:r>
              <w:rPr>
                <w:rFonts w:hint="eastAsia"/>
              </w:rPr>
              <w:t>香蕉</w:t>
            </w:r>
          </w:p>
        </w:tc>
        <w:tc>
          <w:tcPr>
            <w:tcW w:w="130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a2"/>
              <w:spacing w:before="60"/>
              <w:ind w:right="264"/>
              <w:jc w:val="right"/>
            </w:pPr>
            <w:r>
              <w:t>857</w:t>
            </w:r>
          </w:p>
          <w:p w:rsidR="00000000" w:rsidRDefault="00000000">
            <w:pPr>
              <w:pStyle w:val="a2"/>
              <w:ind w:right="264"/>
              <w:jc w:val="right"/>
            </w:pPr>
            <w:r>
              <w:t>244</w:t>
            </w:r>
          </w:p>
          <w:p w:rsidR="00000000" w:rsidRDefault="00000000">
            <w:pPr>
              <w:pStyle w:val="a2"/>
              <w:ind w:right="264"/>
              <w:jc w:val="right"/>
            </w:pPr>
            <w:r>
              <w:t>133</w:t>
            </w:r>
          </w:p>
          <w:p w:rsidR="00000000" w:rsidRDefault="00000000">
            <w:pPr>
              <w:pStyle w:val="a2"/>
              <w:ind w:right="264"/>
              <w:jc w:val="right"/>
            </w:pPr>
            <w:r>
              <w:t>89</w:t>
            </w:r>
          </w:p>
          <w:p w:rsidR="00000000" w:rsidRDefault="00000000">
            <w:pPr>
              <w:pStyle w:val="a2"/>
              <w:spacing w:before="60" w:after="20"/>
              <w:ind w:right="264"/>
              <w:jc w:val="right"/>
            </w:pPr>
            <w:r>
              <w:t>673</w:t>
            </w:r>
          </w:p>
        </w:tc>
        <w:tc>
          <w:tcPr>
            <w:tcW w:w="1300" w:type="dxa"/>
            <w:vMerge w:val="restart"/>
            <w:tcBorders>
              <w:left w:val="single" w:sz="4" w:space="0" w:color="auto"/>
            </w:tcBorders>
          </w:tcPr>
          <w:p w:rsidR="00000000" w:rsidRDefault="00000000">
            <w:pPr>
              <w:pStyle w:val="a2"/>
              <w:spacing w:before="60"/>
              <w:ind w:right="264"/>
              <w:jc w:val="right"/>
            </w:pPr>
            <w:r>
              <w:t>973</w:t>
            </w:r>
          </w:p>
          <w:p w:rsidR="00000000" w:rsidRDefault="00000000">
            <w:pPr>
              <w:pStyle w:val="a2"/>
              <w:ind w:right="264"/>
              <w:jc w:val="right"/>
            </w:pPr>
            <w:r>
              <w:t>160</w:t>
            </w:r>
          </w:p>
          <w:p w:rsidR="00000000" w:rsidRDefault="00000000">
            <w:pPr>
              <w:pStyle w:val="a2"/>
              <w:ind w:right="264"/>
              <w:jc w:val="right"/>
            </w:pPr>
            <w:r>
              <w:t>164</w:t>
            </w:r>
          </w:p>
          <w:p w:rsidR="00000000" w:rsidRDefault="00000000">
            <w:pPr>
              <w:pStyle w:val="a2"/>
              <w:ind w:right="264"/>
              <w:jc w:val="right"/>
            </w:pPr>
            <w:r>
              <w:t>85</w:t>
            </w:r>
          </w:p>
          <w:p w:rsidR="00000000" w:rsidRDefault="00000000">
            <w:pPr>
              <w:pStyle w:val="a2"/>
              <w:spacing w:before="60" w:after="20"/>
              <w:ind w:right="264"/>
              <w:jc w:val="right"/>
            </w:pPr>
            <w:r>
              <w:t>631</w:t>
            </w:r>
          </w:p>
        </w:tc>
        <w:tc>
          <w:tcPr>
            <w:tcW w:w="1300" w:type="dxa"/>
            <w:vMerge w:val="restart"/>
          </w:tcPr>
          <w:p w:rsidR="00000000" w:rsidRDefault="00000000">
            <w:pPr>
              <w:pStyle w:val="a2"/>
              <w:spacing w:before="60"/>
              <w:ind w:right="264"/>
              <w:jc w:val="right"/>
            </w:pPr>
            <w:r>
              <w:t>1,327</w:t>
            </w:r>
          </w:p>
          <w:p w:rsidR="00000000" w:rsidRDefault="00000000">
            <w:pPr>
              <w:pStyle w:val="a2"/>
              <w:ind w:right="264"/>
              <w:jc w:val="right"/>
            </w:pPr>
            <w:r>
              <w:t>121</w:t>
            </w:r>
          </w:p>
          <w:p w:rsidR="00000000" w:rsidRDefault="00000000">
            <w:pPr>
              <w:pStyle w:val="a2"/>
              <w:ind w:right="264"/>
              <w:jc w:val="right"/>
            </w:pPr>
            <w:r>
              <w:t>132</w:t>
            </w:r>
          </w:p>
          <w:p w:rsidR="00000000" w:rsidRDefault="00000000">
            <w:pPr>
              <w:pStyle w:val="a2"/>
              <w:ind w:right="264"/>
              <w:jc w:val="right"/>
            </w:pPr>
            <w:r>
              <w:t>99</w:t>
            </w:r>
          </w:p>
          <w:p w:rsidR="00000000" w:rsidRDefault="00000000">
            <w:pPr>
              <w:pStyle w:val="a2"/>
              <w:spacing w:before="60" w:after="20"/>
              <w:ind w:right="264"/>
              <w:jc w:val="right"/>
            </w:pPr>
            <w:r>
              <w:t>886</w:t>
            </w:r>
          </w:p>
        </w:tc>
        <w:tc>
          <w:tcPr>
            <w:tcW w:w="1332" w:type="dxa"/>
            <w:vMerge w:val="restart"/>
          </w:tcPr>
          <w:p w:rsidR="00000000" w:rsidRDefault="00000000">
            <w:pPr>
              <w:pStyle w:val="a2"/>
              <w:spacing w:before="60"/>
              <w:ind w:right="296"/>
              <w:jc w:val="right"/>
            </w:pPr>
            <w:r>
              <w:t>1,070</w:t>
            </w:r>
          </w:p>
          <w:p w:rsidR="00000000" w:rsidRDefault="00000000">
            <w:pPr>
              <w:pStyle w:val="a2"/>
              <w:ind w:right="296"/>
              <w:jc w:val="right"/>
            </w:pPr>
            <w:r>
              <w:t>105</w:t>
            </w:r>
          </w:p>
          <w:p w:rsidR="00000000" w:rsidRDefault="00000000">
            <w:pPr>
              <w:pStyle w:val="a2"/>
              <w:ind w:right="296"/>
              <w:jc w:val="right"/>
            </w:pPr>
            <w:r>
              <w:t>47</w:t>
            </w:r>
          </w:p>
          <w:p w:rsidR="00000000" w:rsidRDefault="00000000">
            <w:pPr>
              <w:pStyle w:val="a2"/>
              <w:ind w:right="296"/>
              <w:jc w:val="right"/>
            </w:pPr>
            <w:r>
              <w:t>83</w:t>
            </w:r>
          </w:p>
          <w:p w:rsidR="00000000" w:rsidRDefault="00000000">
            <w:pPr>
              <w:pStyle w:val="a2"/>
              <w:spacing w:before="60" w:after="20"/>
              <w:ind w:right="296"/>
              <w:jc w:val="right"/>
            </w:pPr>
            <w:r>
              <w:t>872</w:t>
            </w:r>
          </w:p>
        </w:tc>
        <w:tc>
          <w:tcPr>
            <w:tcW w:w="1134" w:type="dxa"/>
            <w:vMerge w:val="restart"/>
          </w:tcPr>
          <w:p w:rsidR="00000000" w:rsidRDefault="00000000">
            <w:pPr>
              <w:pStyle w:val="a2"/>
              <w:spacing w:before="60"/>
              <w:ind w:right="148"/>
              <w:jc w:val="right"/>
            </w:pPr>
            <w:r>
              <w:t>954</w:t>
            </w:r>
          </w:p>
          <w:p w:rsidR="00000000" w:rsidRDefault="00000000">
            <w:pPr>
              <w:pStyle w:val="a2"/>
              <w:ind w:right="148"/>
              <w:jc w:val="right"/>
            </w:pPr>
            <w:r>
              <w:t>78</w:t>
            </w:r>
          </w:p>
          <w:p w:rsidR="00000000" w:rsidRDefault="00000000">
            <w:pPr>
              <w:pStyle w:val="a2"/>
              <w:ind w:right="148"/>
              <w:jc w:val="right"/>
            </w:pPr>
            <w:r>
              <w:t>106</w:t>
            </w:r>
          </w:p>
          <w:p w:rsidR="00000000" w:rsidRDefault="00000000">
            <w:pPr>
              <w:pStyle w:val="a2"/>
              <w:ind w:right="148"/>
              <w:jc w:val="right"/>
            </w:pPr>
            <w:r>
              <w:t>69</w:t>
            </w:r>
          </w:p>
          <w:p w:rsidR="00000000" w:rsidRDefault="00000000">
            <w:pPr>
              <w:pStyle w:val="a2"/>
              <w:spacing w:before="60" w:after="20"/>
              <w:ind w:right="148"/>
              <w:jc w:val="right"/>
            </w:pPr>
            <w:r>
              <w:t>607</w:t>
            </w:r>
          </w:p>
        </w:tc>
      </w:tr>
      <w:tr w:rsidR="00000000">
        <w:tblPrEx>
          <w:tblCellMar>
            <w:top w:w="0" w:type="dxa"/>
            <w:bottom w:w="0" w:type="dxa"/>
          </w:tblCellMar>
        </w:tblPrEx>
        <w:trPr>
          <w:cantSplit/>
        </w:trPr>
        <w:tc>
          <w:tcPr>
            <w:tcW w:w="2990" w:type="dxa"/>
            <w:tcBorders>
              <w:top w:val="nil"/>
              <w:bottom w:val="nil"/>
              <w:right w:val="single" w:sz="4" w:space="0" w:color="auto"/>
            </w:tcBorders>
          </w:tcPr>
          <w:p w:rsidR="00000000" w:rsidRDefault="00000000">
            <w:pPr>
              <w:pStyle w:val="a2"/>
            </w:pPr>
            <w:r>
              <w:rPr>
                <w:rFonts w:hint="eastAsia"/>
              </w:rPr>
              <w:t>咖啡</w:t>
            </w:r>
            <w:r>
              <w:rPr>
                <w:rFonts w:hint="eastAsia"/>
              </w:rPr>
              <w:t>(</w:t>
            </w:r>
            <w:r>
              <w:rPr>
                <w:rFonts w:hint="eastAsia"/>
              </w:rPr>
              <w:t>咖啡豆或加工品</w:t>
            </w:r>
            <w:r>
              <w:rPr>
                <w:rFonts w:hint="eastAsia"/>
              </w:rPr>
              <w:t>)</w:t>
            </w:r>
          </w:p>
        </w:tc>
        <w:tc>
          <w:tcPr>
            <w:tcW w:w="1300" w:type="dxa"/>
            <w:vMerge/>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pPr>
          </w:p>
        </w:tc>
        <w:tc>
          <w:tcPr>
            <w:tcW w:w="1300" w:type="dxa"/>
            <w:vMerge/>
            <w:tcBorders>
              <w:left w:val="single" w:sz="4" w:space="0" w:color="auto"/>
            </w:tcBorders>
          </w:tcPr>
          <w:p w:rsidR="00000000" w:rsidRDefault="00000000">
            <w:pPr>
              <w:pStyle w:val="a2"/>
              <w:spacing w:before="60" w:after="20"/>
            </w:pPr>
          </w:p>
        </w:tc>
        <w:tc>
          <w:tcPr>
            <w:tcW w:w="1300" w:type="dxa"/>
            <w:vMerge/>
          </w:tcPr>
          <w:p w:rsidR="00000000" w:rsidRDefault="00000000">
            <w:pPr>
              <w:pStyle w:val="a2"/>
              <w:spacing w:before="60" w:after="20"/>
            </w:pPr>
          </w:p>
        </w:tc>
        <w:tc>
          <w:tcPr>
            <w:tcW w:w="1332" w:type="dxa"/>
            <w:vMerge/>
          </w:tcPr>
          <w:p w:rsidR="00000000" w:rsidRDefault="00000000">
            <w:pPr>
              <w:pStyle w:val="a2"/>
              <w:spacing w:before="60" w:after="20"/>
              <w:ind w:right="296"/>
              <w:jc w:val="right"/>
            </w:pPr>
          </w:p>
        </w:tc>
        <w:tc>
          <w:tcPr>
            <w:tcW w:w="1134" w:type="dxa"/>
            <w:vMerge/>
          </w:tcPr>
          <w:p w:rsidR="00000000" w:rsidRDefault="00000000">
            <w:pPr>
              <w:pStyle w:val="a2"/>
              <w:spacing w:before="60" w:after="20"/>
              <w:ind w:right="148"/>
              <w:jc w:val="right"/>
            </w:pPr>
          </w:p>
        </w:tc>
      </w:tr>
      <w:tr w:rsidR="00000000">
        <w:tblPrEx>
          <w:tblCellMar>
            <w:top w:w="0" w:type="dxa"/>
            <w:bottom w:w="0" w:type="dxa"/>
          </w:tblCellMar>
        </w:tblPrEx>
        <w:trPr>
          <w:cantSplit/>
        </w:trPr>
        <w:tc>
          <w:tcPr>
            <w:tcW w:w="2990" w:type="dxa"/>
            <w:tcBorders>
              <w:top w:val="nil"/>
              <w:bottom w:val="nil"/>
              <w:right w:val="single" w:sz="4" w:space="0" w:color="auto"/>
            </w:tcBorders>
          </w:tcPr>
          <w:p w:rsidR="00000000" w:rsidRDefault="00000000">
            <w:pPr>
              <w:pStyle w:val="a2"/>
            </w:pPr>
            <w:r>
              <w:rPr>
                <w:rFonts w:hint="eastAsia"/>
              </w:rPr>
              <w:t>可可</w:t>
            </w:r>
            <w:r>
              <w:rPr>
                <w:rFonts w:hint="eastAsia"/>
              </w:rPr>
              <w:t>(</w:t>
            </w:r>
            <w:r>
              <w:rPr>
                <w:rFonts w:hint="eastAsia"/>
              </w:rPr>
              <w:t>可可豆或加工品</w:t>
            </w:r>
            <w:r>
              <w:rPr>
                <w:rFonts w:hint="eastAsia"/>
              </w:rPr>
              <w:t>)</w:t>
            </w:r>
          </w:p>
        </w:tc>
        <w:tc>
          <w:tcPr>
            <w:tcW w:w="1300" w:type="dxa"/>
            <w:vMerge/>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pPr>
          </w:p>
        </w:tc>
        <w:tc>
          <w:tcPr>
            <w:tcW w:w="1300" w:type="dxa"/>
            <w:vMerge/>
            <w:tcBorders>
              <w:left w:val="single" w:sz="4" w:space="0" w:color="auto"/>
            </w:tcBorders>
          </w:tcPr>
          <w:p w:rsidR="00000000" w:rsidRDefault="00000000">
            <w:pPr>
              <w:pStyle w:val="a2"/>
              <w:spacing w:before="60" w:after="20"/>
            </w:pPr>
          </w:p>
        </w:tc>
        <w:tc>
          <w:tcPr>
            <w:tcW w:w="1300" w:type="dxa"/>
            <w:vMerge/>
          </w:tcPr>
          <w:p w:rsidR="00000000" w:rsidRDefault="00000000">
            <w:pPr>
              <w:pStyle w:val="a2"/>
              <w:spacing w:before="60" w:after="20"/>
            </w:pPr>
          </w:p>
        </w:tc>
        <w:tc>
          <w:tcPr>
            <w:tcW w:w="1332" w:type="dxa"/>
            <w:vMerge/>
          </w:tcPr>
          <w:p w:rsidR="00000000" w:rsidRDefault="00000000">
            <w:pPr>
              <w:pStyle w:val="a2"/>
              <w:spacing w:before="60" w:after="20"/>
              <w:ind w:right="296"/>
              <w:jc w:val="right"/>
            </w:pPr>
          </w:p>
        </w:tc>
        <w:tc>
          <w:tcPr>
            <w:tcW w:w="1134" w:type="dxa"/>
            <w:vMerge/>
          </w:tcPr>
          <w:p w:rsidR="00000000" w:rsidRDefault="00000000">
            <w:pPr>
              <w:pStyle w:val="a2"/>
              <w:spacing w:before="60" w:after="20"/>
              <w:ind w:right="148"/>
              <w:jc w:val="right"/>
            </w:pPr>
          </w:p>
        </w:tc>
      </w:tr>
      <w:tr w:rsidR="00000000">
        <w:tblPrEx>
          <w:tblCellMar>
            <w:top w:w="0" w:type="dxa"/>
            <w:bottom w:w="0" w:type="dxa"/>
          </w:tblCellMar>
        </w:tblPrEx>
        <w:trPr>
          <w:cantSplit/>
        </w:trPr>
        <w:tc>
          <w:tcPr>
            <w:tcW w:w="2990" w:type="dxa"/>
            <w:tcBorders>
              <w:top w:val="nil"/>
              <w:bottom w:val="nil"/>
              <w:right w:val="single" w:sz="4" w:space="0" w:color="auto"/>
            </w:tcBorders>
          </w:tcPr>
          <w:p w:rsidR="00000000" w:rsidRDefault="00000000">
            <w:pPr>
              <w:pStyle w:val="a2"/>
            </w:pPr>
            <w:r>
              <w:rPr>
                <w:rFonts w:hint="eastAsia"/>
              </w:rPr>
              <w:t>金枪鱼和鱼类</w:t>
            </w:r>
          </w:p>
        </w:tc>
        <w:tc>
          <w:tcPr>
            <w:tcW w:w="1300" w:type="dxa"/>
            <w:vMerge/>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pPr>
          </w:p>
        </w:tc>
        <w:tc>
          <w:tcPr>
            <w:tcW w:w="1300" w:type="dxa"/>
            <w:vMerge/>
            <w:tcBorders>
              <w:left w:val="single" w:sz="4" w:space="0" w:color="auto"/>
            </w:tcBorders>
          </w:tcPr>
          <w:p w:rsidR="00000000" w:rsidRDefault="00000000">
            <w:pPr>
              <w:pStyle w:val="a2"/>
              <w:spacing w:before="60" w:after="20"/>
            </w:pPr>
          </w:p>
        </w:tc>
        <w:tc>
          <w:tcPr>
            <w:tcW w:w="1300" w:type="dxa"/>
            <w:vMerge/>
          </w:tcPr>
          <w:p w:rsidR="00000000" w:rsidRDefault="00000000">
            <w:pPr>
              <w:pStyle w:val="a2"/>
              <w:spacing w:before="60" w:after="20"/>
            </w:pPr>
          </w:p>
        </w:tc>
        <w:tc>
          <w:tcPr>
            <w:tcW w:w="1332" w:type="dxa"/>
            <w:vMerge/>
          </w:tcPr>
          <w:p w:rsidR="00000000" w:rsidRDefault="00000000">
            <w:pPr>
              <w:pStyle w:val="a2"/>
              <w:spacing w:before="60" w:after="20"/>
              <w:ind w:right="296"/>
              <w:jc w:val="right"/>
            </w:pPr>
          </w:p>
        </w:tc>
        <w:tc>
          <w:tcPr>
            <w:tcW w:w="1134" w:type="dxa"/>
            <w:vMerge/>
          </w:tcPr>
          <w:p w:rsidR="00000000" w:rsidRDefault="00000000">
            <w:pPr>
              <w:pStyle w:val="a2"/>
              <w:spacing w:before="60" w:after="20"/>
              <w:ind w:right="148"/>
              <w:jc w:val="right"/>
            </w:pPr>
          </w:p>
        </w:tc>
      </w:tr>
      <w:tr w:rsidR="00000000">
        <w:tblPrEx>
          <w:tblCellMar>
            <w:top w:w="0" w:type="dxa"/>
            <w:bottom w:w="0" w:type="dxa"/>
          </w:tblCellMar>
        </w:tblPrEx>
        <w:trPr>
          <w:cantSplit/>
        </w:trPr>
        <w:tc>
          <w:tcPr>
            <w:tcW w:w="2990" w:type="dxa"/>
            <w:tcBorders>
              <w:top w:val="nil"/>
              <w:bottom w:val="single" w:sz="4" w:space="0" w:color="auto"/>
              <w:right w:val="single" w:sz="4" w:space="0" w:color="auto"/>
            </w:tcBorders>
          </w:tcPr>
          <w:p w:rsidR="00000000" w:rsidRDefault="00000000">
            <w:pPr>
              <w:pStyle w:val="a2"/>
              <w:rPr>
                <w:rFonts w:hint="eastAsia"/>
              </w:rPr>
            </w:pPr>
            <w:r>
              <w:rPr>
                <w:rFonts w:hint="eastAsia"/>
              </w:rPr>
              <w:t>虾类</w:t>
            </w:r>
          </w:p>
        </w:tc>
        <w:tc>
          <w:tcPr>
            <w:tcW w:w="1300" w:type="dxa"/>
            <w:vMerge/>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pPr>
          </w:p>
        </w:tc>
        <w:tc>
          <w:tcPr>
            <w:tcW w:w="1300" w:type="dxa"/>
            <w:vMerge/>
            <w:tcBorders>
              <w:left w:val="single" w:sz="4" w:space="0" w:color="auto"/>
              <w:bottom w:val="nil"/>
            </w:tcBorders>
          </w:tcPr>
          <w:p w:rsidR="00000000" w:rsidRDefault="00000000">
            <w:pPr>
              <w:pStyle w:val="a2"/>
              <w:spacing w:before="60" w:after="20"/>
            </w:pPr>
          </w:p>
        </w:tc>
        <w:tc>
          <w:tcPr>
            <w:tcW w:w="1300" w:type="dxa"/>
            <w:vMerge/>
            <w:tcBorders>
              <w:bottom w:val="nil"/>
            </w:tcBorders>
          </w:tcPr>
          <w:p w:rsidR="00000000" w:rsidRDefault="00000000">
            <w:pPr>
              <w:pStyle w:val="a2"/>
              <w:spacing w:before="60" w:after="20"/>
            </w:pPr>
          </w:p>
        </w:tc>
        <w:tc>
          <w:tcPr>
            <w:tcW w:w="1332" w:type="dxa"/>
            <w:vMerge/>
            <w:tcBorders>
              <w:bottom w:val="nil"/>
            </w:tcBorders>
          </w:tcPr>
          <w:p w:rsidR="00000000" w:rsidRDefault="00000000">
            <w:pPr>
              <w:pStyle w:val="a2"/>
              <w:spacing w:before="60" w:after="20"/>
              <w:ind w:right="296"/>
              <w:jc w:val="right"/>
            </w:pPr>
          </w:p>
        </w:tc>
        <w:tc>
          <w:tcPr>
            <w:tcW w:w="1134" w:type="dxa"/>
            <w:vMerge/>
            <w:tcBorders>
              <w:bottom w:val="nil"/>
            </w:tcBorders>
          </w:tcPr>
          <w:p w:rsidR="00000000" w:rsidRDefault="00000000">
            <w:pPr>
              <w:pStyle w:val="a2"/>
              <w:spacing w:before="60" w:after="20"/>
              <w:ind w:right="148"/>
              <w:jc w:val="right"/>
            </w:pPr>
          </w:p>
        </w:tc>
      </w:tr>
      <w:tr w:rsidR="00000000">
        <w:tblPrEx>
          <w:tblCellMar>
            <w:top w:w="0" w:type="dxa"/>
            <w:bottom w:w="0" w:type="dxa"/>
          </w:tblCellMar>
        </w:tblPrEx>
        <w:trPr>
          <w:cantSplit/>
        </w:trPr>
        <w:tc>
          <w:tcPr>
            <w:tcW w:w="2990" w:type="dxa"/>
            <w:tcBorders>
              <w:top w:val="single" w:sz="4" w:space="0" w:color="auto"/>
              <w:right w:val="single" w:sz="4" w:space="0" w:color="auto"/>
            </w:tcBorders>
          </w:tcPr>
          <w:p w:rsidR="00000000" w:rsidRDefault="00000000">
            <w:pPr>
              <w:pStyle w:val="a2"/>
              <w:spacing w:before="40" w:after="20"/>
              <w:rPr>
                <w:rFonts w:hint="eastAsia"/>
              </w:rPr>
            </w:pPr>
            <w:r>
              <w:rPr>
                <w:rFonts w:hint="eastAsia"/>
              </w:rPr>
              <w:t>总</w:t>
            </w:r>
            <w:r>
              <w:rPr>
                <w:rFonts w:hint="eastAsia"/>
              </w:rPr>
              <w:t xml:space="preserve">  </w:t>
            </w:r>
            <w:r>
              <w:rPr>
                <w:rFonts w:hint="eastAsia"/>
              </w:rPr>
              <w:t>计</w:t>
            </w:r>
          </w:p>
        </w:tc>
        <w:tc>
          <w:tcPr>
            <w:tcW w:w="1300" w:type="dxa"/>
            <w:tcBorders>
              <w:top w:val="single" w:sz="4" w:space="0" w:color="auto"/>
              <w:left w:val="single" w:sz="4" w:space="0" w:color="auto"/>
              <w:bottom w:val="single" w:sz="4" w:space="0" w:color="auto"/>
              <w:right w:val="single" w:sz="4" w:space="0" w:color="auto"/>
            </w:tcBorders>
          </w:tcPr>
          <w:p w:rsidR="00000000" w:rsidRDefault="00000000">
            <w:pPr>
              <w:pStyle w:val="a2"/>
              <w:spacing w:before="60" w:after="20"/>
              <w:ind w:right="264"/>
              <w:jc w:val="right"/>
            </w:pPr>
            <w:r>
              <w:t>1,996</w:t>
            </w:r>
          </w:p>
        </w:tc>
        <w:tc>
          <w:tcPr>
            <w:tcW w:w="1300" w:type="dxa"/>
            <w:tcBorders>
              <w:top w:val="single" w:sz="4" w:space="0" w:color="auto"/>
              <w:left w:val="single" w:sz="4" w:space="0" w:color="auto"/>
            </w:tcBorders>
          </w:tcPr>
          <w:p w:rsidR="00000000" w:rsidRDefault="00000000">
            <w:pPr>
              <w:pStyle w:val="a2"/>
              <w:spacing w:before="60" w:after="20"/>
              <w:ind w:right="264"/>
              <w:jc w:val="right"/>
            </w:pPr>
            <w:r>
              <w:t>2,013</w:t>
            </w:r>
          </w:p>
        </w:tc>
        <w:tc>
          <w:tcPr>
            <w:tcW w:w="1300" w:type="dxa"/>
            <w:tcBorders>
              <w:top w:val="single" w:sz="4" w:space="0" w:color="auto"/>
            </w:tcBorders>
          </w:tcPr>
          <w:p w:rsidR="00000000" w:rsidRDefault="00000000">
            <w:pPr>
              <w:pStyle w:val="a2"/>
              <w:spacing w:before="60" w:after="20"/>
              <w:ind w:right="264"/>
              <w:jc w:val="right"/>
            </w:pPr>
            <w:r>
              <w:t>2,565</w:t>
            </w:r>
          </w:p>
        </w:tc>
        <w:tc>
          <w:tcPr>
            <w:tcW w:w="1332" w:type="dxa"/>
            <w:tcBorders>
              <w:top w:val="single" w:sz="4" w:space="0" w:color="auto"/>
            </w:tcBorders>
          </w:tcPr>
          <w:p w:rsidR="00000000" w:rsidRDefault="00000000">
            <w:pPr>
              <w:pStyle w:val="a2"/>
              <w:tabs>
                <w:tab w:val="left" w:pos="1116"/>
              </w:tabs>
              <w:spacing w:before="60" w:after="20"/>
              <w:ind w:right="296"/>
              <w:jc w:val="right"/>
            </w:pPr>
            <w:r>
              <w:t>2,177</w:t>
            </w:r>
          </w:p>
        </w:tc>
        <w:tc>
          <w:tcPr>
            <w:tcW w:w="1134" w:type="dxa"/>
            <w:tcBorders>
              <w:top w:val="single" w:sz="4" w:space="0" w:color="auto"/>
            </w:tcBorders>
          </w:tcPr>
          <w:p w:rsidR="00000000" w:rsidRDefault="00000000">
            <w:pPr>
              <w:pStyle w:val="a2"/>
              <w:spacing w:before="60" w:after="20"/>
              <w:ind w:right="148"/>
              <w:jc w:val="right"/>
            </w:pPr>
            <w:r>
              <w:t>1,815</w:t>
            </w:r>
          </w:p>
        </w:tc>
      </w:tr>
    </w:tbl>
    <w:p w:rsidR="00000000" w:rsidRDefault="00000000">
      <w:pPr>
        <w:pStyle w:val="EndnoteText"/>
        <w:spacing w:before="240"/>
      </w:pPr>
      <w:r>
        <w:rPr>
          <w:rFonts w:hint="eastAsia"/>
          <w:u w:val="single"/>
        </w:rPr>
        <w:t>资料来源</w:t>
      </w:r>
      <w:r>
        <w:rPr>
          <w:rFonts w:hint="eastAsia"/>
        </w:rPr>
        <w:t>：中央银行，</w:t>
      </w:r>
      <w:r>
        <w:t>Boletin Estadistico</w:t>
      </w:r>
      <w:r>
        <w:rPr>
          <w:rFonts w:hint="eastAsia"/>
        </w:rPr>
        <w:t>。</w:t>
      </w:r>
    </w:p>
    <w:p w:rsidR="00000000" w:rsidRDefault="00000000"/>
    <w:p w:rsidR="00000000" w:rsidRDefault="00000000">
      <w:pPr>
        <w:spacing w:after="320" w:line="360" w:lineRule="auto"/>
      </w:pPr>
      <w:r>
        <w:br w:type="page"/>
      </w:r>
      <w:r>
        <w:tab/>
        <w:t>64.</w:t>
      </w:r>
      <w:r>
        <w:rPr>
          <w:rFonts w:hint="eastAsia"/>
        </w:rPr>
        <w:t xml:space="preserve">  </w:t>
      </w:r>
      <w:r>
        <w:rPr>
          <w:rFonts w:hint="eastAsia"/>
        </w:rPr>
        <w:t>厄尔尼诺现象对传统性出口商品也带来了不利影响，使用于沿海地区经济恢复的消费品非耐用品</w:t>
      </w:r>
      <w:r>
        <w:rPr>
          <w:rFonts w:hint="eastAsia"/>
        </w:rPr>
        <w:t>(</w:t>
      </w:r>
      <w:r>
        <w:rPr>
          <w:rFonts w:hint="eastAsia"/>
        </w:rPr>
        <w:t>食品</w:t>
      </w:r>
      <w:r>
        <w:rPr>
          <w:rFonts w:hint="eastAsia"/>
        </w:rPr>
        <w:t>)</w:t>
      </w:r>
      <w:r>
        <w:rPr>
          <w:rFonts w:hint="eastAsia"/>
        </w:rPr>
        <w:t>以及资本货物的进口有所增长。根据联合国拉美经济委员会的估计，基础设施、生产和收入方面的损失达</w:t>
      </w:r>
      <w:r>
        <w:rPr>
          <w:rFonts w:hint="eastAsia"/>
        </w:rPr>
        <w:t>29</w:t>
      </w:r>
      <w:r>
        <w:rPr>
          <w:rFonts w:hint="eastAsia"/>
        </w:rPr>
        <w:t>亿美元</w:t>
      </w:r>
      <w:r>
        <w:rPr>
          <w:rFonts w:hint="eastAsia"/>
        </w:rPr>
        <w:t>(</w:t>
      </w:r>
      <w:r>
        <w:rPr>
          <w:rFonts w:hint="eastAsia"/>
        </w:rPr>
        <w:t>国内生产总值的</w:t>
      </w:r>
      <w:r>
        <w:t>14.5</w:t>
      </w:r>
      <w:r>
        <w:rPr>
          <w:rFonts w:hint="eastAsia"/>
        </w:rPr>
        <w:t>%</w:t>
      </w:r>
      <w:r>
        <w:t>)</w:t>
      </w:r>
      <w:r>
        <w:rPr>
          <w:rFonts w:hint="eastAsia"/>
        </w:rPr>
        <w:t>。</w:t>
      </w:r>
    </w:p>
    <w:p w:rsidR="00000000" w:rsidRDefault="00000000">
      <w:pPr>
        <w:pStyle w:val="Heading3"/>
        <w:rPr>
          <w:rFonts w:eastAsia="KaiTi_GB2312"/>
          <w:snapToGrid/>
          <w:spacing w:val="0"/>
          <w:kern w:val="0"/>
        </w:rPr>
      </w:pPr>
      <w:r>
        <w:rPr>
          <w:rFonts w:hint="eastAsia"/>
        </w:rPr>
        <w:t>消费品进口</w:t>
      </w:r>
      <w:r>
        <w:br/>
      </w:r>
      <w:r>
        <w:rPr>
          <w:rFonts w:eastAsia="KaiTi_GB2312" w:hint="eastAsia"/>
          <w:snapToGrid/>
          <w:spacing w:val="0"/>
          <w:kern w:val="0"/>
          <w:u w:val="none"/>
        </w:rPr>
        <w:t>(</w:t>
      </w:r>
      <w:r>
        <w:rPr>
          <w:rFonts w:eastAsia="KaiTi_GB2312" w:hint="eastAsia"/>
          <w:snapToGrid/>
          <w:spacing w:val="0"/>
          <w:kern w:val="0"/>
          <w:u w:val="none"/>
        </w:rPr>
        <w:t>离岸价格，百万美元</w:t>
      </w:r>
      <w:r>
        <w:rPr>
          <w:rFonts w:eastAsia="KaiTi_GB2312" w:hint="eastAsia"/>
          <w:snapToGrid/>
          <w:spacing w:val="0"/>
          <w:kern w:val="0"/>
          <w:u w:val="none"/>
        </w:rPr>
        <w:t>)</w:t>
      </w:r>
    </w:p>
    <w:tbl>
      <w:tblPr>
        <w:tblW w:w="9026"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0"/>
        <w:gridCol w:w="1300"/>
        <w:gridCol w:w="1430"/>
        <w:gridCol w:w="1170"/>
        <w:gridCol w:w="1170"/>
        <w:gridCol w:w="1226"/>
      </w:tblGrid>
      <w:tr w:rsidR="00000000">
        <w:tblPrEx>
          <w:tblCellMar>
            <w:top w:w="0" w:type="dxa"/>
            <w:bottom w:w="0" w:type="dxa"/>
          </w:tblCellMar>
        </w:tblPrEx>
        <w:trPr>
          <w:cantSplit/>
        </w:trPr>
        <w:tc>
          <w:tcPr>
            <w:tcW w:w="2730" w:type="dxa"/>
            <w:tcBorders>
              <w:bottom w:val="single" w:sz="4" w:space="0" w:color="auto"/>
            </w:tcBorders>
          </w:tcPr>
          <w:p w:rsidR="00000000" w:rsidRDefault="00000000">
            <w:pPr>
              <w:pStyle w:val="a2"/>
              <w:spacing w:before="60" w:after="20" w:line="312" w:lineRule="auto"/>
            </w:pPr>
          </w:p>
        </w:tc>
        <w:tc>
          <w:tcPr>
            <w:tcW w:w="1300" w:type="dxa"/>
            <w:tcBorders>
              <w:bottom w:val="single" w:sz="4" w:space="0" w:color="auto"/>
            </w:tcBorders>
          </w:tcPr>
          <w:p w:rsidR="00000000" w:rsidRDefault="00000000">
            <w:pPr>
              <w:pStyle w:val="a2"/>
              <w:spacing w:before="60" w:after="20" w:line="312" w:lineRule="auto"/>
              <w:jc w:val="center"/>
              <w:rPr>
                <w:lang w:val="fr-FR"/>
              </w:rPr>
            </w:pPr>
            <w:r>
              <w:rPr>
                <w:lang w:val="fr-FR"/>
              </w:rPr>
              <w:t>1995</w:t>
            </w:r>
          </w:p>
        </w:tc>
        <w:tc>
          <w:tcPr>
            <w:tcW w:w="1430" w:type="dxa"/>
            <w:tcBorders>
              <w:bottom w:val="single" w:sz="4" w:space="0" w:color="auto"/>
            </w:tcBorders>
          </w:tcPr>
          <w:p w:rsidR="00000000" w:rsidRDefault="00000000">
            <w:pPr>
              <w:pStyle w:val="a2"/>
              <w:spacing w:before="60" w:after="20" w:line="312" w:lineRule="auto"/>
              <w:jc w:val="center"/>
              <w:rPr>
                <w:lang w:val="fr-FR"/>
              </w:rPr>
            </w:pPr>
            <w:r>
              <w:rPr>
                <w:lang w:val="fr-FR"/>
              </w:rPr>
              <w:t>1996</w:t>
            </w:r>
          </w:p>
        </w:tc>
        <w:tc>
          <w:tcPr>
            <w:tcW w:w="1170" w:type="dxa"/>
            <w:tcBorders>
              <w:bottom w:val="single" w:sz="4" w:space="0" w:color="auto"/>
            </w:tcBorders>
          </w:tcPr>
          <w:p w:rsidR="00000000" w:rsidRDefault="00000000">
            <w:pPr>
              <w:pStyle w:val="a2"/>
              <w:spacing w:before="60" w:after="20" w:line="312" w:lineRule="auto"/>
              <w:jc w:val="center"/>
              <w:rPr>
                <w:lang w:val="fr-FR"/>
              </w:rPr>
            </w:pPr>
            <w:r>
              <w:rPr>
                <w:lang w:val="fr-FR"/>
              </w:rPr>
              <w:t>1997</w:t>
            </w:r>
          </w:p>
        </w:tc>
        <w:tc>
          <w:tcPr>
            <w:tcW w:w="1170" w:type="dxa"/>
            <w:tcBorders>
              <w:bottom w:val="single" w:sz="4" w:space="0" w:color="auto"/>
            </w:tcBorders>
          </w:tcPr>
          <w:p w:rsidR="00000000" w:rsidRDefault="00000000">
            <w:pPr>
              <w:pStyle w:val="a2"/>
              <w:spacing w:before="60" w:after="20" w:line="312" w:lineRule="auto"/>
              <w:jc w:val="center"/>
              <w:rPr>
                <w:lang w:val="fr-FR"/>
              </w:rPr>
            </w:pPr>
            <w:r>
              <w:rPr>
                <w:lang w:val="fr-FR"/>
              </w:rPr>
              <w:t>1998</w:t>
            </w:r>
          </w:p>
        </w:tc>
        <w:tc>
          <w:tcPr>
            <w:tcW w:w="1226" w:type="dxa"/>
            <w:tcBorders>
              <w:bottom w:val="single" w:sz="4" w:space="0" w:color="auto"/>
            </w:tcBorders>
          </w:tcPr>
          <w:p w:rsidR="00000000" w:rsidRDefault="00000000">
            <w:pPr>
              <w:pStyle w:val="a2"/>
              <w:spacing w:before="60" w:after="20" w:line="312" w:lineRule="auto"/>
              <w:jc w:val="center"/>
              <w:rPr>
                <w:lang w:val="fr-FR"/>
              </w:rPr>
            </w:pPr>
            <w:r>
              <w:rPr>
                <w:lang w:val="fr-FR"/>
              </w:rPr>
              <w:t>1999</w:t>
            </w:r>
          </w:p>
        </w:tc>
      </w:tr>
      <w:tr w:rsidR="00000000">
        <w:tblPrEx>
          <w:tblCellMar>
            <w:top w:w="0" w:type="dxa"/>
            <w:bottom w:w="0" w:type="dxa"/>
          </w:tblCellMar>
        </w:tblPrEx>
        <w:trPr>
          <w:cantSplit/>
        </w:trPr>
        <w:tc>
          <w:tcPr>
            <w:tcW w:w="2730" w:type="dxa"/>
            <w:tcBorders>
              <w:bottom w:val="nil"/>
            </w:tcBorders>
          </w:tcPr>
          <w:p w:rsidR="00000000" w:rsidRDefault="00000000">
            <w:pPr>
              <w:pStyle w:val="a2"/>
              <w:spacing w:before="60" w:after="20" w:line="336" w:lineRule="auto"/>
              <w:rPr>
                <w:lang w:val="fr-FR"/>
              </w:rPr>
            </w:pPr>
            <w:r>
              <w:rPr>
                <w:rFonts w:hint="eastAsia"/>
                <w:lang w:val="fr-FR"/>
              </w:rPr>
              <w:t>非耐用品</w:t>
            </w:r>
          </w:p>
        </w:tc>
        <w:tc>
          <w:tcPr>
            <w:tcW w:w="1300" w:type="dxa"/>
            <w:vMerge w:val="restart"/>
          </w:tcPr>
          <w:p w:rsidR="00000000" w:rsidRDefault="00000000">
            <w:pPr>
              <w:pStyle w:val="a2"/>
              <w:spacing w:before="60" w:after="20" w:line="336" w:lineRule="auto"/>
              <w:ind w:left="414" w:right="284" w:hanging="130"/>
              <w:jc w:val="right"/>
              <w:rPr>
                <w:lang w:val="fr-FR"/>
              </w:rPr>
            </w:pPr>
            <w:r>
              <w:rPr>
                <w:lang w:val="fr-FR"/>
              </w:rPr>
              <w:t>398</w:t>
            </w:r>
          </w:p>
          <w:p w:rsidR="00000000" w:rsidRDefault="00000000">
            <w:pPr>
              <w:pStyle w:val="a2"/>
              <w:spacing w:before="40" w:after="20" w:line="336" w:lineRule="auto"/>
              <w:ind w:left="414" w:right="284" w:hanging="130"/>
              <w:jc w:val="right"/>
              <w:rPr>
                <w:lang w:val="fr-FR"/>
              </w:rPr>
            </w:pPr>
            <w:r>
              <w:rPr>
                <w:lang w:val="fr-FR"/>
              </w:rPr>
              <w:t>340</w:t>
            </w:r>
          </w:p>
        </w:tc>
        <w:tc>
          <w:tcPr>
            <w:tcW w:w="1430" w:type="dxa"/>
            <w:vMerge w:val="restart"/>
          </w:tcPr>
          <w:p w:rsidR="00000000" w:rsidRDefault="00000000">
            <w:pPr>
              <w:pStyle w:val="a2"/>
              <w:spacing w:before="60" w:after="20" w:line="336" w:lineRule="auto"/>
              <w:jc w:val="center"/>
              <w:rPr>
                <w:lang w:val="fr-FR"/>
              </w:rPr>
            </w:pPr>
            <w:r>
              <w:rPr>
                <w:lang w:val="fr-FR"/>
              </w:rPr>
              <w:t>459</w:t>
            </w:r>
          </w:p>
          <w:p w:rsidR="00000000" w:rsidRDefault="00000000">
            <w:pPr>
              <w:pStyle w:val="a2"/>
              <w:spacing w:before="40" w:after="20" w:line="336" w:lineRule="auto"/>
              <w:jc w:val="center"/>
              <w:rPr>
                <w:lang w:val="fr-FR"/>
              </w:rPr>
            </w:pPr>
            <w:r>
              <w:t>319</w:t>
            </w:r>
          </w:p>
        </w:tc>
        <w:tc>
          <w:tcPr>
            <w:tcW w:w="1170" w:type="dxa"/>
            <w:vMerge w:val="restart"/>
          </w:tcPr>
          <w:p w:rsidR="00000000" w:rsidRDefault="00000000">
            <w:pPr>
              <w:pStyle w:val="a2"/>
              <w:spacing w:before="60" w:after="20" w:line="336" w:lineRule="auto"/>
              <w:jc w:val="center"/>
              <w:rPr>
                <w:lang w:val="fr-FR"/>
              </w:rPr>
            </w:pPr>
            <w:r>
              <w:rPr>
                <w:lang w:val="fr-FR"/>
              </w:rPr>
              <w:t>563</w:t>
            </w:r>
          </w:p>
          <w:p w:rsidR="00000000" w:rsidRDefault="00000000">
            <w:pPr>
              <w:pStyle w:val="a2"/>
              <w:spacing w:before="40" w:after="20" w:line="336" w:lineRule="auto"/>
              <w:jc w:val="center"/>
              <w:rPr>
                <w:lang w:val="fr-FR"/>
              </w:rPr>
            </w:pPr>
            <w:r>
              <w:t>385</w:t>
            </w:r>
          </w:p>
        </w:tc>
        <w:tc>
          <w:tcPr>
            <w:tcW w:w="1170" w:type="dxa"/>
            <w:vMerge w:val="restart"/>
          </w:tcPr>
          <w:p w:rsidR="00000000" w:rsidRDefault="00000000">
            <w:pPr>
              <w:pStyle w:val="a2"/>
              <w:spacing w:before="60" w:after="20" w:line="336" w:lineRule="auto"/>
              <w:ind w:left="130" w:right="227" w:hanging="130"/>
              <w:jc w:val="right"/>
              <w:rPr>
                <w:lang w:val="fr-FR"/>
              </w:rPr>
            </w:pPr>
            <w:r>
              <w:rPr>
                <w:lang w:val="fr-FR"/>
              </w:rPr>
              <w:t>660</w:t>
            </w:r>
          </w:p>
          <w:p w:rsidR="00000000" w:rsidRDefault="00000000">
            <w:pPr>
              <w:pStyle w:val="a2"/>
              <w:spacing w:before="40" w:after="20" w:line="336" w:lineRule="auto"/>
              <w:ind w:left="130" w:right="227" w:hanging="130"/>
              <w:jc w:val="right"/>
              <w:rPr>
                <w:lang w:val="fr-FR"/>
              </w:rPr>
            </w:pPr>
            <w:r>
              <w:t>420</w:t>
            </w:r>
          </w:p>
        </w:tc>
        <w:tc>
          <w:tcPr>
            <w:tcW w:w="1226" w:type="dxa"/>
            <w:vMerge w:val="restart"/>
          </w:tcPr>
          <w:p w:rsidR="00000000" w:rsidRDefault="00000000">
            <w:pPr>
              <w:pStyle w:val="a2"/>
              <w:spacing w:before="60" w:after="20" w:line="336" w:lineRule="auto"/>
              <w:ind w:right="227"/>
              <w:jc w:val="right"/>
              <w:rPr>
                <w:lang w:val="fr-FR"/>
              </w:rPr>
            </w:pPr>
            <w:r>
              <w:rPr>
                <w:lang w:val="fr-FR"/>
              </w:rPr>
              <w:t>412</w:t>
            </w:r>
          </w:p>
          <w:p w:rsidR="00000000" w:rsidRDefault="00000000">
            <w:pPr>
              <w:pStyle w:val="a2"/>
              <w:spacing w:before="40" w:after="20" w:line="336" w:lineRule="auto"/>
              <w:ind w:right="227"/>
              <w:jc w:val="right"/>
              <w:rPr>
                <w:rFonts w:hint="eastAsia"/>
                <w:lang w:val="fr-FR"/>
              </w:rPr>
            </w:pPr>
            <w:r>
              <w:t>160.3</w:t>
            </w:r>
          </w:p>
        </w:tc>
      </w:tr>
      <w:tr w:rsidR="00000000">
        <w:tblPrEx>
          <w:tblCellMar>
            <w:top w:w="0" w:type="dxa"/>
            <w:bottom w:w="0" w:type="dxa"/>
          </w:tblCellMar>
        </w:tblPrEx>
        <w:trPr>
          <w:cantSplit/>
        </w:trPr>
        <w:tc>
          <w:tcPr>
            <w:tcW w:w="2730" w:type="dxa"/>
            <w:tcBorders>
              <w:top w:val="nil"/>
              <w:bottom w:val="single" w:sz="4" w:space="0" w:color="auto"/>
            </w:tcBorders>
          </w:tcPr>
          <w:p w:rsidR="00000000" w:rsidRDefault="00000000">
            <w:pPr>
              <w:pStyle w:val="a2"/>
              <w:spacing w:after="20" w:line="336" w:lineRule="auto"/>
              <w:rPr>
                <w:rFonts w:hint="eastAsia"/>
                <w:lang w:val="fr-FR"/>
              </w:rPr>
            </w:pPr>
            <w:r>
              <w:rPr>
                <w:rFonts w:hint="eastAsia"/>
                <w:lang w:val="fr-FR"/>
              </w:rPr>
              <w:t>耐用品</w:t>
            </w:r>
          </w:p>
        </w:tc>
        <w:tc>
          <w:tcPr>
            <w:tcW w:w="1300" w:type="dxa"/>
            <w:vMerge/>
          </w:tcPr>
          <w:p w:rsidR="00000000" w:rsidRDefault="00000000">
            <w:pPr>
              <w:pStyle w:val="a2"/>
              <w:spacing w:before="60" w:after="20" w:line="336" w:lineRule="auto"/>
              <w:ind w:left="414" w:right="284" w:hanging="130"/>
              <w:jc w:val="right"/>
            </w:pPr>
          </w:p>
        </w:tc>
        <w:tc>
          <w:tcPr>
            <w:tcW w:w="1430" w:type="dxa"/>
            <w:vMerge/>
          </w:tcPr>
          <w:p w:rsidR="00000000" w:rsidRDefault="00000000">
            <w:pPr>
              <w:pStyle w:val="a2"/>
              <w:spacing w:before="60" w:after="20" w:line="336" w:lineRule="auto"/>
              <w:jc w:val="center"/>
            </w:pPr>
          </w:p>
        </w:tc>
        <w:tc>
          <w:tcPr>
            <w:tcW w:w="1170" w:type="dxa"/>
            <w:vMerge/>
          </w:tcPr>
          <w:p w:rsidR="00000000" w:rsidRDefault="00000000">
            <w:pPr>
              <w:pStyle w:val="a2"/>
              <w:spacing w:before="60" w:after="20" w:line="336" w:lineRule="auto"/>
              <w:jc w:val="center"/>
            </w:pPr>
          </w:p>
        </w:tc>
        <w:tc>
          <w:tcPr>
            <w:tcW w:w="1170" w:type="dxa"/>
            <w:vMerge/>
          </w:tcPr>
          <w:p w:rsidR="00000000" w:rsidRDefault="00000000">
            <w:pPr>
              <w:pStyle w:val="a2"/>
              <w:spacing w:before="60" w:after="20" w:line="336" w:lineRule="auto"/>
              <w:ind w:left="130" w:right="227" w:hanging="130"/>
              <w:jc w:val="right"/>
            </w:pPr>
          </w:p>
        </w:tc>
        <w:tc>
          <w:tcPr>
            <w:tcW w:w="1226" w:type="dxa"/>
            <w:vMerge/>
          </w:tcPr>
          <w:p w:rsidR="00000000" w:rsidRDefault="00000000">
            <w:pPr>
              <w:pStyle w:val="a2"/>
              <w:spacing w:before="60" w:after="20" w:line="336" w:lineRule="auto"/>
              <w:ind w:right="227"/>
              <w:jc w:val="right"/>
            </w:pPr>
          </w:p>
        </w:tc>
      </w:tr>
      <w:tr w:rsidR="00000000">
        <w:tblPrEx>
          <w:tblCellMar>
            <w:top w:w="0" w:type="dxa"/>
            <w:bottom w:w="0" w:type="dxa"/>
          </w:tblCellMar>
        </w:tblPrEx>
        <w:trPr>
          <w:cantSplit/>
        </w:trPr>
        <w:tc>
          <w:tcPr>
            <w:tcW w:w="2730" w:type="dxa"/>
            <w:tcBorders>
              <w:top w:val="single" w:sz="4" w:space="0" w:color="auto"/>
            </w:tcBorders>
          </w:tcPr>
          <w:p w:rsidR="00000000" w:rsidRDefault="00000000">
            <w:pPr>
              <w:pStyle w:val="a2"/>
              <w:spacing w:after="20" w:line="336" w:lineRule="auto"/>
            </w:pPr>
            <w:r>
              <w:rPr>
                <w:rFonts w:hint="eastAsia"/>
              </w:rPr>
              <w:t>总</w:t>
            </w:r>
            <w:r>
              <w:rPr>
                <w:rFonts w:hint="eastAsia"/>
              </w:rPr>
              <w:t xml:space="preserve">  </w:t>
            </w:r>
            <w:r>
              <w:rPr>
                <w:rFonts w:hint="eastAsia"/>
              </w:rPr>
              <w:t>计</w:t>
            </w:r>
          </w:p>
        </w:tc>
        <w:tc>
          <w:tcPr>
            <w:tcW w:w="1300" w:type="dxa"/>
          </w:tcPr>
          <w:p w:rsidR="00000000" w:rsidRDefault="00000000">
            <w:pPr>
              <w:pStyle w:val="a2"/>
              <w:spacing w:before="60" w:after="20" w:line="336" w:lineRule="auto"/>
              <w:ind w:left="414" w:right="284" w:hanging="130"/>
              <w:jc w:val="right"/>
            </w:pPr>
            <w:r>
              <w:rPr>
                <w:lang w:val="fr-FR"/>
              </w:rPr>
              <w:t>738</w:t>
            </w:r>
          </w:p>
        </w:tc>
        <w:tc>
          <w:tcPr>
            <w:tcW w:w="1430" w:type="dxa"/>
          </w:tcPr>
          <w:p w:rsidR="00000000" w:rsidRDefault="00000000">
            <w:pPr>
              <w:pStyle w:val="a2"/>
              <w:spacing w:before="60" w:after="20" w:line="336" w:lineRule="auto"/>
              <w:jc w:val="center"/>
            </w:pPr>
            <w:r>
              <w:t>779</w:t>
            </w:r>
          </w:p>
        </w:tc>
        <w:tc>
          <w:tcPr>
            <w:tcW w:w="1170" w:type="dxa"/>
          </w:tcPr>
          <w:p w:rsidR="00000000" w:rsidRDefault="00000000">
            <w:pPr>
              <w:pStyle w:val="a2"/>
              <w:spacing w:before="60" w:after="20" w:line="336" w:lineRule="auto"/>
              <w:jc w:val="center"/>
            </w:pPr>
            <w:r>
              <w:t>948</w:t>
            </w:r>
          </w:p>
        </w:tc>
        <w:tc>
          <w:tcPr>
            <w:tcW w:w="1170" w:type="dxa"/>
          </w:tcPr>
          <w:p w:rsidR="00000000" w:rsidRDefault="00000000">
            <w:pPr>
              <w:pStyle w:val="a2"/>
              <w:spacing w:before="60" w:after="20" w:line="336" w:lineRule="auto"/>
              <w:ind w:left="130" w:right="227" w:hanging="130"/>
              <w:jc w:val="right"/>
            </w:pPr>
            <w:r>
              <w:t>1,080</w:t>
            </w:r>
          </w:p>
        </w:tc>
        <w:tc>
          <w:tcPr>
            <w:tcW w:w="1226" w:type="dxa"/>
          </w:tcPr>
          <w:p w:rsidR="00000000" w:rsidRDefault="00000000">
            <w:pPr>
              <w:pStyle w:val="a2"/>
              <w:spacing w:before="60" w:after="20" w:line="336" w:lineRule="auto"/>
              <w:ind w:right="227"/>
              <w:jc w:val="right"/>
            </w:pPr>
            <w:r>
              <w:t>572</w:t>
            </w:r>
          </w:p>
        </w:tc>
      </w:tr>
    </w:tbl>
    <w:p w:rsidR="00000000" w:rsidRDefault="00000000">
      <w:pPr>
        <w:pStyle w:val="EndnoteText"/>
        <w:spacing w:before="240"/>
      </w:pPr>
      <w:r>
        <w:rPr>
          <w:rFonts w:hint="eastAsia"/>
          <w:u w:val="single"/>
        </w:rPr>
        <w:t>资料来源</w:t>
      </w:r>
      <w:r>
        <w:rPr>
          <w:rFonts w:hint="eastAsia"/>
        </w:rPr>
        <w:t>：厄瓜多尔中央银行，统计数据。</w:t>
      </w:r>
    </w:p>
    <w:p w:rsidR="00000000" w:rsidRDefault="00000000">
      <w:pPr>
        <w:pStyle w:val="a6"/>
        <w:rPr>
          <w:rFonts w:eastAsia="SimSun"/>
        </w:rPr>
      </w:pPr>
    </w:p>
    <w:p w:rsidR="00000000" w:rsidRDefault="00000000">
      <w:pPr>
        <w:rPr>
          <w:rFonts w:hint="eastAsia"/>
        </w:rPr>
      </w:pPr>
      <w:r>
        <w:tab/>
      </w:r>
      <w:r>
        <w:rPr>
          <w:rFonts w:hint="eastAsia"/>
        </w:rPr>
        <w:t xml:space="preserve">65.  </w:t>
      </w:r>
      <w:r>
        <w:rPr>
          <w:rFonts w:hint="eastAsia"/>
        </w:rPr>
        <w:t>上述问题以及与厄尔尼诺现象造成生产下降有关的其他问题，对价格水平、汇率和利率都造成了压力。近年来，农产品出口方面有所恢复，但仍没有能够创造出足够的新工作、或扭转不利趋势。目前，失业率为</w:t>
      </w:r>
      <w:r>
        <w:t>14.4%</w:t>
      </w:r>
      <w:r>
        <w:rPr>
          <w:rFonts w:hint="eastAsia"/>
        </w:rPr>
        <w:t>，就业不足率达</w:t>
      </w:r>
      <w:r>
        <w:rPr>
          <w:rFonts w:hint="eastAsia"/>
        </w:rPr>
        <w:t>56.9%</w:t>
      </w:r>
      <w:r>
        <w:rPr>
          <w:rFonts w:hint="eastAsia"/>
        </w:rPr>
        <w:t>。实际工资在持续不断下降，财富集中的程度有所加剧。</w:t>
      </w:r>
    </w:p>
    <w:p w:rsidR="00000000" w:rsidRDefault="00000000">
      <w:pPr>
        <w:rPr>
          <w:rFonts w:hint="eastAsia"/>
        </w:rPr>
      </w:pPr>
      <w:r>
        <w:rPr>
          <w:rFonts w:hint="eastAsia"/>
        </w:rPr>
        <w:tab/>
        <w:t xml:space="preserve">66.  </w:t>
      </w:r>
      <w:r>
        <w:rPr>
          <w:rFonts w:hint="eastAsia"/>
        </w:rPr>
        <w:t>在此背景下，厄瓜多尔近年来的贫困有所上升：</w:t>
      </w:r>
      <w:r>
        <w:rPr>
          <w:rFonts w:hint="eastAsia"/>
        </w:rPr>
        <w:t>1997</w:t>
      </w:r>
      <w:r>
        <w:rPr>
          <w:rFonts w:hint="eastAsia"/>
        </w:rPr>
        <w:t>年，城市人口中贫困人口的比率为</w:t>
      </w:r>
      <w:r>
        <w:rPr>
          <w:rFonts w:hint="eastAsia"/>
        </w:rPr>
        <w:t>69.7%</w:t>
      </w:r>
      <w:r>
        <w:rPr>
          <w:rFonts w:hint="eastAsia"/>
        </w:rPr>
        <w:t>，其中</w:t>
      </w:r>
      <w:r>
        <w:rPr>
          <w:rFonts w:hint="eastAsia"/>
        </w:rPr>
        <w:t>3</w:t>
      </w:r>
      <w:r>
        <w:t>0.</w:t>
      </w:r>
      <w:r>
        <w:rPr>
          <w:rFonts w:hint="eastAsia"/>
        </w:rPr>
        <w:t>5%</w:t>
      </w:r>
      <w:r>
        <w:rPr>
          <w:rFonts w:hint="eastAsia"/>
        </w:rPr>
        <w:t>为赤贫；</w:t>
      </w:r>
      <w:r>
        <w:rPr>
          <w:rFonts w:hint="eastAsia"/>
        </w:rPr>
        <w:t>1999</w:t>
      </w:r>
      <w:r>
        <w:rPr>
          <w:rFonts w:hint="eastAsia"/>
        </w:rPr>
        <w:t>年，贫困率达</w:t>
      </w:r>
      <w:r>
        <w:rPr>
          <w:rFonts w:hint="eastAsia"/>
        </w:rPr>
        <w:t>78.5%</w:t>
      </w:r>
      <w:r>
        <w:rPr>
          <w:rFonts w:hint="eastAsia"/>
        </w:rPr>
        <w:t>，其中</w:t>
      </w:r>
      <w:r>
        <w:rPr>
          <w:rFonts w:hint="eastAsia"/>
        </w:rPr>
        <w:t>46.2%</w:t>
      </w:r>
      <w:r>
        <w:rPr>
          <w:rFonts w:hint="eastAsia"/>
        </w:rPr>
        <w:t>为赤贫。在农村部门，土著居民和黑人中的情况更为严重。</w:t>
      </w:r>
    </w:p>
    <w:p w:rsidR="00000000" w:rsidRDefault="00000000">
      <w:pPr>
        <w:spacing w:after="320"/>
        <w:rPr>
          <w:rFonts w:hint="eastAsia"/>
        </w:rPr>
      </w:pPr>
      <w:r>
        <w:rPr>
          <w:rFonts w:hint="eastAsia"/>
        </w:rPr>
        <w:tab/>
        <w:t xml:space="preserve">67.  </w:t>
      </w:r>
      <w:r>
        <w:rPr>
          <w:rFonts w:hint="eastAsia"/>
        </w:rPr>
        <w:t>然而，非传统产品方面的情况却相当不同。对过去</w:t>
      </w:r>
      <w:r>
        <w:rPr>
          <w:rFonts w:hint="eastAsia"/>
        </w:rPr>
        <w:t>10</w:t>
      </w:r>
      <w:r>
        <w:rPr>
          <w:rFonts w:hint="eastAsia"/>
        </w:rPr>
        <w:t>年中厄瓜多尔非传统性出口增长的分析表明，这的确可以称之为是一项经济奇迹。</w:t>
      </w:r>
      <w:r>
        <w:rPr>
          <w:rFonts w:hint="eastAsia"/>
        </w:rPr>
        <w:t>1992</w:t>
      </w:r>
      <w:r>
        <w:rPr>
          <w:rFonts w:hint="eastAsia"/>
        </w:rPr>
        <w:t>年非传统性出口产品额为</w:t>
      </w:r>
      <w:r>
        <w:rPr>
          <w:rFonts w:hint="eastAsia"/>
        </w:rPr>
        <w:t>3.18</w:t>
      </w:r>
      <w:r>
        <w:rPr>
          <w:rFonts w:hint="eastAsia"/>
        </w:rPr>
        <w:t>亿美元；在今年，这一数字预计将猛增到约</w:t>
      </w:r>
      <w:r>
        <w:rPr>
          <w:rFonts w:hint="eastAsia"/>
        </w:rPr>
        <w:t>13.44</w:t>
      </w:r>
      <w:r>
        <w:rPr>
          <w:rFonts w:hint="eastAsia"/>
        </w:rPr>
        <w:t>亿美元，但这一增长大部分都发生在包括某种程度工业加工的产品方面：这些产品价值从</w:t>
      </w:r>
      <w:r>
        <w:rPr>
          <w:rFonts w:hint="eastAsia"/>
        </w:rPr>
        <w:t>2.28</w:t>
      </w:r>
      <w:r>
        <w:rPr>
          <w:rFonts w:hint="eastAsia"/>
        </w:rPr>
        <w:t>亿美元增加到</w:t>
      </w:r>
      <w:r>
        <w:rPr>
          <w:rFonts w:hint="eastAsia"/>
        </w:rPr>
        <w:t>9.41</w:t>
      </w:r>
      <w:r>
        <w:rPr>
          <w:rFonts w:hint="eastAsia"/>
        </w:rPr>
        <w:t>亿美元，而商品则从</w:t>
      </w:r>
      <w:r>
        <w:rPr>
          <w:rFonts w:hint="eastAsia"/>
        </w:rPr>
        <w:t>8,900</w:t>
      </w:r>
      <w:r>
        <w:rPr>
          <w:rFonts w:hint="eastAsia"/>
        </w:rPr>
        <w:t>万美元增长到</w:t>
      </w:r>
      <w:r>
        <w:rPr>
          <w:rFonts w:hint="eastAsia"/>
        </w:rPr>
        <w:t>4.02</w:t>
      </w:r>
      <w:r>
        <w:rPr>
          <w:rFonts w:hint="eastAsia"/>
        </w:rPr>
        <w:t>亿美元。目前正在大幅度增长的另一领域是鲜果出口，今年预计可达</w:t>
      </w:r>
      <w:r>
        <w:rPr>
          <w:rFonts w:hint="eastAsia"/>
        </w:rPr>
        <w:t>3,300</w:t>
      </w:r>
      <w:r>
        <w:rPr>
          <w:rFonts w:hint="eastAsia"/>
        </w:rPr>
        <w:t>万美元。加工产品方面业绩最好的就是渔业产品，从</w:t>
      </w:r>
      <w:r>
        <w:rPr>
          <w:rFonts w:hint="eastAsia"/>
        </w:rPr>
        <w:t>5,500</w:t>
      </w:r>
      <w:r>
        <w:rPr>
          <w:rFonts w:hint="eastAsia"/>
        </w:rPr>
        <w:t>万美元增加到了</w:t>
      </w:r>
      <w:r>
        <w:t>3.3</w:t>
      </w:r>
      <w:r>
        <w:rPr>
          <w:rFonts w:hint="eastAsia"/>
        </w:rPr>
        <w:t>5</w:t>
      </w:r>
      <w:r>
        <w:rPr>
          <w:rFonts w:hint="eastAsia"/>
        </w:rPr>
        <w:t>亿美元。同时，在化工产品和医药产品、皮革制品、塑料产品和橡胶产品以及其他一系列产品方面也有大幅度增长，今年预计出口额将达到</w:t>
      </w:r>
      <w:r>
        <w:rPr>
          <w:rFonts w:hint="eastAsia"/>
        </w:rPr>
        <w:t>1.7</w:t>
      </w:r>
      <w:r>
        <w:rPr>
          <w:rFonts w:hint="eastAsia"/>
        </w:rPr>
        <w:t>亿美元。美元化看来对金属制品、车辆和纺织品</w:t>
      </w:r>
      <w:r>
        <w:rPr>
          <w:rFonts w:hint="eastAsia"/>
        </w:rPr>
        <w:t>(</w:t>
      </w:r>
      <w:r>
        <w:rPr>
          <w:rFonts w:hint="eastAsia"/>
        </w:rPr>
        <w:t>包括服装与其他产品</w:t>
      </w:r>
      <w:r>
        <w:rPr>
          <w:rFonts w:hint="eastAsia"/>
        </w:rPr>
        <w:t>)</w:t>
      </w:r>
      <w:r>
        <w:rPr>
          <w:rFonts w:hint="eastAsia"/>
        </w:rPr>
        <w:t>的出口都产生了深远的影响。值得指出的是，由于天然水果的出口业绩增长，果汁和水果罐头的出口有所下降。</w:t>
      </w:r>
    </w:p>
    <w:p w:rsidR="00000000" w:rsidRDefault="00000000">
      <w:pPr>
        <w:pStyle w:val="Heading4"/>
        <w:rPr>
          <w:rFonts w:eastAsia="KaiTi_GB2312" w:hint="eastAsia"/>
          <w:snapToGrid/>
          <w:spacing w:val="0"/>
          <w:u w:val="none"/>
        </w:rPr>
      </w:pPr>
      <w:r>
        <w:rPr>
          <w:rFonts w:eastAsia="KaiTi_GB2312" w:hint="eastAsia"/>
          <w:snapToGrid/>
          <w:spacing w:val="0"/>
          <w:u w:val="none"/>
        </w:rPr>
        <w:t>残</w:t>
      </w:r>
      <w:r>
        <w:rPr>
          <w:rFonts w:eastAsia="KaiTi_GB2312" w:hint="eastAsia"/>
          <w:snapToGrid/>
          <w:spacing w:val="0"/>
          <w:u w:val="none"/>
        </w:rPr>
        <w:t xml:space="preserve">  </w:t>
      </w:r>
      <w:r>
        <w:rPr>
          <w:rFonts w:eastAsia="KaiTi_GB2312" w:hint="eastAsia"/>
          <w:snapToGrid/>
          <w:spacing w:val="0"/>
          <w:u w:val="none"/>
        </w:rPr>
        <w:t>疾</w:t>
      </w:r>
    </w:p>
    <w:p w:rsidR="00000000" w:rsidRDefault="00000000">
      <w:pPr>
        <w:rPr>
          <w:rFonts w:hint="eastAsia"/>
        </w:rPr>
      </w:pPr>
      <w:r>
        <w:rPr>
          <w:rFonts w:hint="eastAsia"/>
        </w:rPr>
        <w:tab/>
        <w:t xml:space="preserve">68.  </w:t>
      </w:r>
      <w:r>
        <w:rPr>
          <w:rFonts w:hint="eastAsia"/>
        </w:rPr>
        <w:t>根据全国残疾理事会</w:t>
      </w:r>
      <w:r>
        <w:rPr>
          <w:rFonts w:hint="eastAsia"/>
        </w:rPr>
        <w:t>1996</w:t>
      </w:r>
      <w:r>
        <w:rPr>
          <w:rFonts w:hint="eastAsia"/>
        </w:rPr>
        <w:t>年进行的一项调查，现有约</w:t>
      </w:r>
      <w:r>
        <w:rPr>
          <w:rFonts w:hint="eastAsia"/>
        </w:rPr>
        <w:t>160</w:t>
      </w:r>
      <w:r>
        <w:rPr>
          <w:rFonts w:hint="eastAsia"/>
        </w:rPr>
        <w:t>万人患有残疾，占总人口的</w:t>
      </w:r>
      <w:r>
        <w:rPr>
          <w:rFonts w:hint="eastAsia"/>
        </w:rPr>
        <w:t>13.2%</w:t>
      </w:r>
      <w:r>
        <w:rPr>
          <w:rFonts w:hint="eastAsia"/>
        </w:rPr>
        <w:t>。</w:t>
      </w:r>
      <w:r>
        <w:rPr>
          <w:rStyle w:val="EndnoteReference"/>
        </w:rPr>
        <w:endnoteReference w:id="15"/>
      </w:r>
    </w:p>
    <w:p w:rsidR="00000000" w:rsidRDefault="00000000">
      <w:pPr>
        <w:spacing w:after="320"/>
        <w:rPr>
          <w:rFonts w:hint="eastAsia"/>
        </w:rPr>
      </w:pPr>
      <w:r>
        <w:rPr>
          <w:rFonts w:hint="eastAsia"/>
        </w:rPr>
        <w:tab/>
        <w:t xml:space="preserve">69.  </w:t>
      </w:r>
      <w:r>
        <w:rPr>
          <w:rFonts w:hint="eastAsia"/>
        </w:rPr>
        <w:t>目前在厄瓜多尔正在实施的全国助残计划，为规划助残行动提供了理论和诊断性的框架。该计划包括了将由国家和私营部门实施的方案、项目和活动。为履行其职责，全国残疾理事会编制了年度活动预测，这些预测将取决于国家的整个预算情况，因为国家预算是相关活动的主要资金来源。</w:t>
      </w:r>
    </w:p>
    <w:p w:rsidR="00000000" w:rsidRDefault="00000000">
      <w:pPr>
        <w:pStyle w:val="Heading3"/>
        <w:rPr>
          <w:rFonts w:eastAsia="KaiTi_GB2312" w:hint="eastAsia"/>
          <w:snapToGrid/>
          <w:spacing w:val="0"/>
          <w:kern w:val="0"/>
          <w:u w:val="none"/>
        </w:rPr>
      </w:pPr>
      <w:r>
        <w:rPr>
          <w:rFonts w:hint="eastAsia"/>
        </w:rPr>
        <w:t>年度活动预测</w:t>
      </w:r>
      <w:r>
        <w:br/>
      </w:r>
      <w:r>
        <w:rPr>
          <w:rFonts w:eastAsia="KaiTi_GB2312" w:hint="eastAsia"/>
          <w:snapToGrid/>
          <w:spacing w:val="0"/>
          <w:kern w:val="0"/>
          <w:u w:val="none"/>
        </w:rPr>
        <w:t>(</w:t>
      </w:r>
      <w:r>
        <w:rPr>
          <w:rFonts w:eastAsia="KaiTi_GB2312" w:hint="eastAsia"/>
          <w:snapToGrid/>
          <w:spacing w:val="0"/>
          <w:kern w:val="0"/>
          <w:u w:val="none"/>
        </w:rPr>
        <w:t>苏克雷</w:t>
      </w:r>
      <w:r>
        <w:rPr>
          <w:rFonts w:eastAsia="KaiTi_GB2312" w:hint="eastAsia"/>
          <w:snapToGrid/>
          <w:spacing w:val="0"/>
          <w:kern w:val="0"/>
          <w:u w:val="none"/>
        </w:rPr>
        <w:t>)</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47"/>
        <w:gridCol w:w="4785"/>
      </w:tblGrid>
      <w:tr w:rsidR="00000000">
        <w:tblPrEx>
          <w:tblCellMar>
            <w:top w:w="0" w:type="dxa"/>
            <w:bottom w:w="0" w:type="dxa"/>
          </w:tblCellMar>
        </w:tblPrEx>
        <w:tc>
          <w:tcPr>
            <w:tcW w:w="4547" w:type="dxa"/>
          </w:tcPr>
          <w:p w:rsidR="00000000" w:rsidRDefault="00000000">
            <w:pPr>
              <w:pStyle w:val="a2"/>
              <w:spacing w:before="60" w:after="20" w:line="336" w:lineRule="auto"/>
              <w:jc w:val="center"/>
              <w:rPr>
                <w:rFonts w:hint="eastAsia"/>
              </w:rPr>
            </w:pPr>
            <w:r>
              <w:rPr>
                <w:rFonts w:hint="eastAsia"/>
              </w:rPr>
              <w:t>1995</w:t>
            </w:r>
          </w:p>
        </w:tc>
        <w:tc>
          <w:tcPr>
            <w:tcW w:w="4785" w:type="dxa"/>
          </w:tcPr>
          <w:p w:rsidR="00000000" w:rsidRDefault="00000000">
            <w:pPr>
              <w:pStyle w:val="a2"/>
              <w:spacing w:before="60" w:after="20" w:line="336" w:lineRule="auto"/>
              <w:jc w:val="center"/>
            </w:pPr>
            <w:r>
              <w:t>1,546,422,350</w:t>
            </w:r>
          </w:p>
        </w:tc>
      </w:tr>
      <w:tr w:rsidR="00000000">
        <w:tblPrEx>
          <w:tblCellMar>
            <w:top w:w="0" w:type="dxa"/>
            <w:bottom w:w="0" w:type="dxa"/>
          </w:tblCellMar>
        </w:tblPrEx>
        <w:tc>
          <w:tcPr>
            <w:tcW w:w="4547" w:type="dxa"/>
          </w:tcPr>
          <w:p w:rsidR="00000000" w:rsidRDefault="00000000">
            <w:pPr>
              <w:pStyle w:val="a2"/>
              <w:spacing w:before="60" w:after="20" w:line="336" w:lineRule="auto"/>
              <w:jc w:val="center"/>
              <w:rPr>
                <w:rFonts w:hint="eastAsia"/>
              </w:rPr>
            </w:pPr>
            <w:r>
              <w:rPr>
                <w:rFonts w:hint="eastAsia"/>
              </w:rPr>
              <w:t>1998</w:t>
            </w:r>
          </w:p>
        </w:tc>
        <w:tc>
          <w:tcPr>
            <w:tcW w:w="4785" w:type="dxa"/>
          </w:tcPr>
          <w:p w:rsidR="00000000" w:rsidRDefault="00000000">
            <w:pPr>
              <w:pStyle w:val="a2"/>
              <w:spacing w:before="60" w:after="20" w:line="336" w:lineRule="auto"/>
              <w:jc w:val="center"/>
            </w:pPr>
            <w:r>
              <w:t>3,643,811,000</w:t>
            </w:r>
          </w:p>
        </w:tc>
      </w:tr>
    </w:tbl>
    <w:p w:rsidR="00000000" w:rsidRDefault="00000000">
      <w:pPr>
        <w:pStyle w:val="EndnoteText"/>
        <w:spacing w:before="240"/>
      </w:pPr>
      <w:r>
        <w:rPr>
          <w:rFonts w:hint="eastAsia"/>
          <w:u w:val="single"/>
        </w:rPr>
        <w:t>资料来源</w:t>
      </w:r>
      <w:r>
        <w:rPr>
          <w:rFonts w:hint="eastAsia"/>
        </w:rPr>
        <w:t>：全国残疾理事会。</w:t>
      </w:r>
    </w:p>
    <w:p w:rsidR="00000000" w:rsidRDefault="00000000">
      <w:pPr>
        <w:rPr>
          <w:rFonts w:eastAsia="KaiTi_GB2312"/>
          <w:spacing w:val="0"/>
        </w:rPr>
      </w:pPr>
    </w:p>
    <w:p w:rsidR="00000000" w:rsidRDefault="00000000">
      <w:pPr>
        <w:rPr>
          <w:rFonts w:hint="eastAsia"/>
        </w:rPr>
      </w:pPr>
      <w:r>
        <w:rPr>
          <w:rFonts w:hint="eastAsia"/>
        </w:rPr>
        <w:tab/>
        <w:t xml:space="preserve">70.  </w:t>
      </w:r>
      <w:r>
        <w:rPr>
          <w:rFonts w:hint="eastAsia"/>
        </w:rPr>
        <w:t>根据厄瓜多尔现行《宪法》第四十七条，国家对弱势群体提供保健：“在公共部门和私营部门，将对儿童和年轻人、孕妇、残疾人、身患严重慢性病的人以及老年人给予优先、优待和特别照顾。处于危险状况的人以及家庭暴力、儿童虐待、天灾人祸的受害人也将得到类似的照顾。”</w:t>
      </w:r>
    </w:p>
    <w:p w:rsidR="00000000" w:rsidRDefault="00000000">
      <w:pPr>
        <w:rPr>
          <w:rFonts w:hint="eastAsia"/>
        </w:rPr>
      </w:pPr>
      <w:r>
        <w:rPr>
          <w:rFonts w:hint="eastAsia"/>
        </w:rPr>
        <w:tab/>
        <w:t xml:space="preserve">71.  </w:t>
      </w:r>
      <w:r>
        <w:rPr>
          <w:rFonts w:hint="eastAsia"/>
        </w:rPr>
        <w:t>国家教育方案规定将残疾人普遍融入社会。残疾人可以参与正常课程，对于有特殊教育需求的儿童还实行了教育一体化的计划，学校的课程将按照这些方案予以调整。职业教育与就业的责任在于政府部门和私营部门，而政府通过全国残疾理事会给予相关支持；然而，这些服务仍然受到严重的限制，特别是在资金和人力资源方面尤为如此。</w:t>
      </w:r>
    </w:p>
    <w:p w:rsidR="00000000" w:rsidRDefault="00000000">
      <w:pPr>
        <w:rPr>
          <w:rFonts w:hint="eastAsia"/>
        </w:rPr>
      </w:pPr>
      <w:r>
        <w:rPr>
          <w:rFonts w:hint="eastAsia"/>
        </w:rPr>
        <w:tab/>
        <w:t xml:space="preserve">72.  </w:t>
      </w:r>
      <w:r>
        <w:rPr>
          <w:rFonts w:hint="eastAsia"/>
        </w:rPr>
        <w:t>根据《宪法》第五十三条的规定，“国家将保证残疾预防、并对残疾人士、特别是赤贫的残疾人提供全面保健和康复。国家、社会以及家庭有共同责任，使残疾人融入社会并使其享有平等机会。国家采取措施，以确保残疾人能够特别是在医疗、教育、训练、就业和娱乐等方面得到商品和服务；在公共场所、建筑物和运输工具方面消除对其行动自由和交通造成不便的障碍和障碍物。各城市有义务在其权力和管辖区范围之内采取这些措施。残疾人在税务抵免以及税务减免方面可以依照法律得到优惠待遇。残疾人有权使用其他通讯方式，例如厄瓜多尔聋哑人手势语、唇读辩意术以及盲文等。”</w:t>
      </w:r>
    </w:p>
    <w:p w:rsidR="00000000" w:rsidRDefault="00000000">
      <w:pPr>
        <w:rPr>
          <w:rFonts w:hint="eastAsia"/>
        </w:rPr>
      </w:pPr>
      <w:r>
        <w:rPr>
          <w:rFonts w:hint="eastAsia"/>
        </w:rPr>
        <w:tab/>
        <w:t xml:space="preserve">73.  </w:t>
      </w:r>
      <w:r>
        <w:rPr>
          <w:rFonts w:hint="eastAsia"/>
        </w:rPr>
        <w:t>残疾人在厄瓜多尔社会中所面临的主要问题总结如下：</w:t>
      </w:r>
    </w:p>
    <w:p w:rsidR="00000000" w:rsidRDefault="00000000">
      <w:pPr>
        <w:numPr>
          <w:ilvl w:val="0"/>
          <w:numId w:val="107"/>
        </w:numPr>
        <w:rPr>
          <w:rFonts w:hint="eastAsia"/>
        </w:rPr>
      </w:pPr>
      <w:r>
        <w:rPr>
          <w:rFonts w:hint="eastAsia"/>
        </w:rPr>
        <w:t>预防残疾的方案数量有限；</w:t>
      </w:r>
    </w:p>
    <w:p w:rsidR="00000000" w:rsidRDefault="00000000">
      <w:pPr>
        <w:numPr>
          <w:ilvl w:val="0"/>
          <w:numId w:val="107"/>
        </w:numPr>
        <w:rPr>
          <w:rFonts w:hint="eastAsia"/>
        </w:rPr>
      </w:pPr>
      <w:r>
        <w:rPr>
          <w:rFonts w:hint="eastAsia"/>
        </w:rPr>
        <w:t>早期诊断和干预服务有限；</w:t>
      </w:r>
    </w:p>
    <w:p w:rsidR="00000000" w:rsidRDefault="00000000">
      <w:pPr>
        <w:numPr>
          <w:ilvl w:val="0"/>
          <w:numId w:val="107"/>
        </w:numPr>
        <w:rPr>
          <w:rFonts w:hint="eastAsia"/>
        </w:rPr>
      </w:pPr>
      <w:r>
        <w:rPr>
          <w:rFonts w:hint="eastAsia"/>
        </w:rPr>
        <w:t>没有对社会经济地位低下的残疾人群体提供大众化药品的方案；</w:t>
      </w:r>
    </w:p>
    <w:p w:rsidR="00000000" w:rsidRDefault="00000000">
      <w:pPr>
        <w:numPr>
          <w:ilvl w:val="0"/>
          <w:numId w:val="107"/>
        </w:numPr>
        <w:rPr>
          <w:rFonts w:hint="eastAsia"/>
        </w:rPr>
      </w:pPr>
      <w:r>
        <w:rPr>
          <w:rFonts w:hint="eastAsia"/>
        </w:rPr>
        <w:t>帮助融入教育、社会和就业方面的服务有限；</w:t>
      </w:r>
    </w:p>
    <w:p w:rsidR="00000000" w:rsidRDefault="00000000">
      <w:pPr>
        <w:numPr>
          <w:ilvl w:val="0"/>
          <w:numId w:val="107"/>
        </w:numPr>
        <w:rPr>
          <w:rFonts w:hint="eastAsia"/>
        </w:rPr>
      </w:pPr>
      <w:r>
        <w:rPr>
          <w:rFonts w:hint="eastAsia"/>
        </w:rPr>
        <w:t>技术援助服务有限；</w:t>
      </w:r>
    </w:p>
    <w:p w:rsidR="00000000" w:rsidRDefault="00000000">
      <w:pPr>
        <w:numPr>
          <w:ilvl w:val="0"/>
          <w:numId w:val="107"/>
        </w:numPr>
        <w:rPr>
          <w:rFonts w:hint="eastAsia"/>
        </w:rPr>
      </w:pPr>
      <w:r>
        <w:rPr>
          <w:rFonts w:hint="eastAsia"/>
        </w:rPr>
        <w:t>对残疾人的教育和培训有限；</w:t>
      </w:r>
    </w:p>
    <w:p w:rsidR="00000000" w:rsidRDefault="00000000">
      <w:pPr>
        <w:numPr>
          <w:ilvl w:val="0"/>
          <w:numId w:val="107"/>
        </w:numPr>
        <w:rPr>
          <w:rFonts w:hint="eastAsia"/>
        </w:rPr>
      </w:pPr>
      <w:r>
        <w:rPr>
          <w:rFonts w:hint="eastAsia"/>
        </w:rPr>
        <w:t>对于已经受到培训或有专业资格的残疾人提供的就业机会不足；</w:t>
      </w:r>
    </w:p>
    <w:p w:rsidR="00000000" w:rsidRDefault="00000000">
      <w:pPr>
        <w:numPr>
          <w:ilvl w:val="0"/>
          <w:numId w:val="107"/>
        </w:numPr>
        <w:rPr>
          <w:rFonts w:hint="eastAsia"/>
        </w:rPr>
      </w:pPr>
      <w:r>
        <w:rPr>
          <w:rFonts w:hint="eastAsia"/>
        </w:rPr>
        <w:t>对关于在公共场所、建筑物以及运输工具方面为残疾人拆除障碍物的法律规定的执行存在缺点。</w:t>
      </w:r>
    </w:p>
    <w:p w:rsidR="00000000" w:rsidRDefault="00000000">
      <w:pPr>
        <w:rPr>
          <w:rFonts w:hint="eastAsia"/>
        </w:rPr>
      </w:pPr>
      <w:r>
        <w:rPr>
          <w:rFonts w:hint="eastAsia"/>
        </w:rPr>
        <w:tab/>
        <w:t xml:space="preserve">74.  </w:t>
      </w:r>
      <w:r>
        <w:rPr>
          <w:rFonts w:hint="eastAsia"/>
        </w:rPr>
        <w:t>在厄瓜多尔，存在着对残疾人的歧视，特别是对残疾妇女在就业方面的歧视。由于发生事故的风险将会使其身体状况更加恶化、同时雇用残疾人的公司也将蒙受经济后果，所以一般都认为残疾人进入劳动力大军是有问题的。几乎没有人能够认识到残疾人的真正素质或潜力。尤其是，他们没有被作为特殊情况对待，而是被作为厄瓜多尔残疾问题的一个普通情况来处理。在全国妇女委员会成立以来，它便成为在保护妇女和为妇女提供机会方面的政策性和行动性独立机构。从那以来，上述情况更为如此。</w:t>
      </w:r>
    </w:p>
    <w:p w:rsidR="00000000" w:rsidRDefault="00000000">
      <w:pPr>
        <w:rPr>
          <w:rFonts w:hint="eastAsia"/>
        </w:rPr>
      </w:pPr>
      <w:r>
        <w:rPr>
          <w:rFonts w:hint="eastAsia"/>
        </w:rPr>
        <w:tab/>
        <w:t xml:space="preserve">75.  </w:t>
      </w:r>
      <w:r>
        <w:rPr>
          <w:rFonts w:hint="eastAsia"/>
        </w:rPr>
        <w:t>全国残疾理事会是根据</w:t>
      </w:r>
      <w:r>
        <w:rPr>
          <w:rFonts w:hint="eastAsia"/>
        </w:rPr>
        <w:t>1982</w:t>
      </w:r>
      <w:r>
        <w:rPr>
          <w:rFonts w:hint="eastAsia"/>
        </w:rPr>
        <w:t>年</w:t>
      </w:r>
      <w:r>
        <w:rPr>
          <w:rFonts w:hint="eastAsia"/>
        </w:rPr>
        <w:t>8</w:t>
      </w:r>
      <w:r>
        <w:rPr>
          <w:rFonts w:hint="eastAsia"/>
        </w:rPr>
        <w:t>月</w:t>
      </w:r>
      <w:r>
        <w:rPr>
          <w:rFonts w:hint="eastAsia"/>
        </w:rPr>
        <w:t>7</w:t>
      </w:r>
      <w:r>
        <w:rPr>
          <w:rFonts w:hint="eastAsia"/>
        </w:rPr>
        <w:t>日公布于《官方公告》的《残疾法》第</w:t>
      </w:r>
      <w:r>
        <w:rPr>
          <w:rFonts w:hint="eastAsia"/>
        </w:rPr>
        <w:t>7</w:t>
      </w:r>
      <w:r>
        <w:rPr>
          <w:rFonts w:hint="eastAsia"/>
        </w:rPr>
        <w:t>条而成立的。它是一个全国性机构，负责促进社会项目、进行研究调查并协调负责残疾照顾、预防、教育以及融入社会方面的这些部门和国家或私营机构所采取的主动行动进行协调。它的另一项职能是就残疾问题制定国家政策。</w:t>
      </w:r>
    </w:p>
    <w:p w:rsidR="00000000" w:rsidRDefault="00000000">
      <w:pPr>
        <w:rPr>
          <w:rFonts w:hint="eastAsia"/>
        </w:rPr>
      </w:pPr>
      <w:r>
        <w:rPr>
          <w:rFonts w:hint="eastAsia"/>
        </w:rPr>
        <w:tab/>
        <w:t xml:space="preserve">76.  </w:t>
      </w:r>
      <w:r>
        <w:rPr>
          <w:rFonts w:hint="eastAsia"/>
        </w:rPr>
        <w:t>《残疾法》</w:t>
      </w:r>
      <w:r>
        <w:rPr>
          <w:rFonts w:hint="eastAsia"/>
        </w:rPr>
        <w:t>(</w:t>
      </w:r>
      <w:r>
        <w:rPr>
          <w:rFonts w:hint="eastAsia"/>
        </w:rPr>
        <w:t>第</w:t>
      </w:r>
      <w:r>
        <w:rPr>
          <w:rFonts w:hint="eastAsia"/>
        </w:rPr>
        <w:t>180</w:t>
      </w:r>
      <w:r>
        <w:rPr>
          <w:rFonts w:hint="eastAsia"/>
        </w:rPr>
        <w:t>号法</w:t>
      </w:r>
      <w:r>
        <w:rPr>
          <w:rFonts w:hint="eastAsia"/>
        </w:rPr>
        <w:t>)</w:t>
      </w:r>
      <w:r>
        <w:rPr>
          <w:rFonts w:hint="eastAsia"/>
        </w:rPr>
        <w:t>不能说改变了残疾人的生活，但是必须承认，它使厄瓜多尔社会的各阶层都对这一问题进行了自由和坦率的公开讨论。因此，对于全国残疾理事会通过负责残疾预防、照顾和融入社会方面的国家和私营机构所计划和实施的主动行动，有积极的反应。厄瓜多尔在满足这一部门的需求以及改善残疾人状况方面有法律依据，但是在实践中，却缺乏各个方面必须的协调：服务的待遇以及水平不高，政府的预算拨款不足，这意味着非政府组织在此方面的参与与日俱增。</w:t>
      </w:r>
    </w:p>
    <w:p w:rsidR="00000000" w:rsidRDefault="00000000">
      <w:pPr>
        <w:rPr>
          <w:rFonts w:hint="eastAsia"/>
        </w:rPr>
      </w:pPr>
      <w:r>
        <w:rPr>
          <w:rFonts w:hint="eastAsia"/>
        </w:rPr>
        <w:tab/>
        <w:t xml:space="preserve">77.  </w:t>
      </w:r>
      <w:r>
        <w:rPr>
          <w:rFonts w:hint="eastAsia"/>
        </w:rPr>
        <w:t>厄瓜多尔没有对协助或培训残疾人制定任何全国性计划。常规性的教育中心没有一个有接受、培训、工作安置或监测方案。</w:t>
      </w:r>
    </w:p>
    <w:p w:rsidR="00000000" w:rsidRDefault="00000000">
      <w:pPr>
        <w:rPr>
          <w:rFonts w:hint="eastAsia"/>
        </w:rPr>
      </w:pPr>
      <w:r>
        <w:rPr>
          <w:rFonts w:hint="eastAsia"/>
        </w:rPr>
        <w:tab/>
        <w:t xml:space="preserve">78.  </w:t>
      </w:r>
      <w:r>
        <w:rPr>
          <w:rFonts w:hint="eastAsia"/>
        </w:rPr>
        <w:t>就业方面的部门政策规定，厄瓜多尔国家通过劳动与人力资源部进行下述活动：</w:t>
      </w:r>
    </w:p>
    <w:p w:rsidR="00000000" w:rsidRDefault="00000000">
      <w:pPr>
        <w:numPr>
          <w:ilvl w:val="0"/>
          <w:numId w:val="108"/>
        </w:numPr>
        <w:rPr>
          <w:rFonts w:hint="eastAsia"/>
        </w:rPr>
      </w:pPr>
      <w:r>
        <w:rPr>
          <w:rFonts w:hint="eastAsia"/>
        </w:rPr>
        <w:t>通过专业和职业培训而提供最佳的教育、医疗以及福利服务协调，以促进适当就业；</w:t>
      </w:r>
    </w:p>
    <w:p w:rsidR="00000000" w:rsidRDefault="00000000">
      <w:pPr>
        <w:numPr>
          <w:ilvl w:val="0"/>
          <w:numId w:val="108"/>
        </w:numPr>
        <w:rPr>
          <w:rFonts w:hint="eastAsia"/>
        </w:rPr>
      </w:pPr>
      <w:r>
        <w:rPr>
          <w:rFonts w:hint="eastAsia"/>
        </w:rPr>
        <w:t>设立适当机制来协调国家和私营机构在医疗、教育以及就业等部门协调有关工作场所事故预防、或对那些尚未进入正常稳定就业的残疾人提供独立机制；</w:t>
      </w:r>
    </w:p>
    <w:p w:rsidR="00000000" w:rsidRDefault="00000000">
      <w:pPr>
        <w:numPr>
          <w:ilvl w:val="0"/>
          <w:numId w:val="108"/>
        </w:numPr>
        <w:rPr>
          <w:rFonts w:hint="eastAsia"/>
        </w:rPr>
      </w:pPr>
      <w:r>
        <w:rPr>
          <w:rFonts w:hint="eastAsia"/>
        </w:rPr>
        <w:t>鼓励建立并加强信贷机构以及为残疾人的生产单位组建提供优惠融资支持的机构；</w:t>
      </w:r>
    </w:p>
    <w:p w:rsidR="00000000" w:rsidRDefault="00000000">
      <w:pPr>
        <w:numPr>
          <w:ilvl w:val="0"/>
          <w:numId w:val="108"/>
        </w:numPr>
        <w:rPr>
          <w:rFonts w:hint="eastAsia"/>
        </w:rPr>
      </w:pPr>
      <w:r>
        <w:rPr>
          <w:rFonts w:hint="eastAsia"/>
        </w:rPr>
        <w:t>建立一个完全康复的样板，其中包括评估、入门、改编、职业训练、工作安置以及后续活动，并加强和调整厄瓜多尔的专业和职业培训与康复中心的方针。</w:t>
      </w:r>
    </w:p>
    <w:p w:rsidR="00000000" w:rsidRDefault="00000000">
      <w:pPr>
        <w:spacing w:after="320"/>
        <w:rPr>
          <w:rFonts w:hint="eastAsia"/>
        </w:rPr>
      </w:pPr>
      <w:r>
        <w:rPr>
          <w:rFonts w:hint="eastAsia"/>
        </w:rPr>
        <w:tab/>
        <w:t xml:space="preserve">79.  </w:t>
      </w:r>
      <w:r>
        <w:rPr>
          <w:rFonts w:hint="eastAsia"/>
        </w:rPr>
        <w:t>残疾人被排除在积极参与社会之外；还没有消除障碍和偏见；残疾人在劳工市场上处于不利地位；对残疾人提供的所有服务都集中在大城市和省城；这使得远离发展中心的成千上万残疾人处于边缘化状况。为了实施其政策，国家依赖厄瓜多尔职业培训服务局等机构，该局预计将修改其正常职业和专业培训方案的入学要求，以接纳残疾人。</w:t>
      </w:r>
    </w:p>
    <w:p w:rsidR="00000000" w:rsidRDefault="00000000">
      <w:pPr>
        <w:pStyle w:val="Heading4"/>
        <w:rPr>
          <w:rFonts w:eastAsia="KaiTi_GB2312"/>
          <w:snapToGrid/>
          <w:spacing w:val="0"/>
          <w:u w:val="none"/>
        </w:rPr>
      </w:pPr>
      <w:r>
        <w:rPr>
          <w:rFonts w:eastAsia="KaiTi_GB2312" w:hint="eastAsia"/>
          <w:snapToGrid/>
          <w:spacing w:val="0"/>
          <w:u w:val="none"/>
        </w:rPr>
        <w:t>厄瓜多尔有关残疾的立法：《宪法》、《残疾法》</w:t>
      </w:r>
      <w:r>
        <w:rPr>
          <w:rFonts w:eastAsia="KaiTi_GB2312" w:hint="eastAsia"/>
          <w:snapToGrid/>
          <w:spacing w:val="0"/>
          <w:u w:val="none"/>
        </w:rPr>
        <w:t>(</w:t>
      </w:r>
      <w:r>
        <w:rPr>
          <w:rFonts w:eastAsia="KaiTi_GB2312" w:hint="eastAsia"/>
          <w:snapToGrid/>
          <w:spacing w:val="0"/>
          <w:u w:val="none"/>
        </w:rPr>
        <w:t>第</w:t>
      </w:r>
      <w:r>
        <w:rPr>
          <w:rFonts w:eastAsia="KaiTi_GB2312" w:hint="eastAsia"/>
          <w:snapToGrid/>
          <w:spacing w:val="0"/>
          <w:u w:val="none"/>
        </w:rPr>
        <w:t>180</w:t>
      </w:r>
      <w:r>
        <w:rPr>
          <w:rFonts w:eastAsia="KaiTi_GB2312" w:hint="eastAsia"/>
          <w:snapToGrid/>
          <w:spacing w:val="0"/>
          <w:u w:val="none"/>
        </w:rPr>
        <w:t>号法</w:t>
      </w:r>
      <w:r>
        <w:rPr>
          <w:rFonts w:eastAsia="KaiTi_GB2312" w:hint="eastAsia"/>
          <w:snapToGrid/>
          <w:spacing w:val="0"/>
          <w:u w:val="none"/>
        </w:rPr>
        <w:t>)</w:t>
      </w:r>
      <w:r>
        <w:rPr>
          <w:rFonts w:eastAsia="KaiTi_GB2312" w:hint="eastAsia"/>
          <w:snapToGrid/>
          <w:spacing w:val="0"/>
          <w:u w:val="none"/>
        </w:rPr>
        <w:t>、第</w:t>
      </w:r>
      <w:r>
        <w:rPr>
          <w:rFonts w:eastAsia="KaiTi_GB2312" w:hint="eastAsia"/>
          <w:snapToGrid/>
          <w:spacing w:val="0"/>
          <w:u w:val="none"/>
        </w:rPr>
        <w:t>180</w:t>
      </w:r>
      <w:r>
        <w:rPr>
          <w:rFonts w:eastAsia="KaiTi_GB2312" w:hint="eastAsia"/>
          <w:snapToGrid/>
          <w:spacing w:val="0"/>
          <w:u w:val="none"/>
        </w:rPr>
        <w:t>号法的规定、有关残疾问题的一般性和部门性政策</w:t>
      </w:r>
    </w:p>
    <w:p w:rsidR="00000000" w:rsidRDefault="00000000">
      <w:pPr>
        <w:rPr>
          <w:rFonts w:hint="eastAsia"/>
        </w:rPr>
      </w:pPr>
      <w:r>
        <w:rPr>
          <w:rFonts w:hint="eastAsia"/>
        </w:rPr>
        <w:tab/>
        <w:t xml:space="preserve">80.  </w:t>
      </w:r>
      <w:r>
        <w:rPr>
          <w:rFonts w:hint="eastAsia"/>
        </w:rPr>
        <w:t>西班牙政府通过下述组织作出了非常重要的贡献：全国移民与社会服务研究所、西班牙国际合作署、伊比利亚美洲残疾技术合作网以及索菲娅王后皇家残疾基金会。</w:t>
      </w:r>
    </w:p>
    <w:p w:rsidR="00000000" w:rsidRDefault="00000000">
      <w:pPr>
        <w:rPr>
          <w:rFonts w:hint="eastAsia"/>
        </w:rPr>
      </w:pPr>
      <w:r>
        <w:rPr>
          <w:rFonts w:hint="eastAsia"/>
        </w:rPr>
        <w:tab/>
        <w:t xml:space="preserve">81.  </w:t>
      </w:r>
      <w:r>
        <w:rPr>
          <w:rFonts w:hint="eastAsia"/>
        </w:rPr>
        <w:t>到</w:t>
      </w:r>
      <w:r>
        <w:rPr>
          <w:rFonts w:hint="eastAsia"/>
        </w:rPr>
        <w:t>1999</w:t>
      </w:r>
      <w:r>
        <w:rPr>
          <w:rFonts w:hint="eastAsia"/>
        </w:rPr>
        <w:t>年</w:t>
      </w:r>
      <w:r>
        <w:rPr>
          <w:rFonts w:hint="eastAsia"/>
        </w:rPr>
        <w:t>12</w:t>
      </w:r>
      <w:r>
        <w:rPr>
          <w:rFonts w:hint="eastAsia"/>
        </w:rPr>
        <w:t>月</w:t>
      </w:r>
      <w:r>
        <w:rPr>
          <w:rFonts w:hint="eastAsia"/>
        </w:rPr>
        <w:t>14</w:t>
      </w:r>
      <w:r>
        <w:rPr>
          <w:rFonts w:hint="eastAsia"/>
        </w:rPr>
        <w:t>日为止，全国残疾理事会向全国</w:t>
      </w:r>
      <w:r>
        <w:rPr>
          <w:rFonts w:hint="eastAsia"/>
        </w:rPr>
        <w:t>30,000</w:t>
      </w:r>
      <w:r>
        <w:rPr>
          <w:rFonts w:hint="eastAsia"/>
        </w:rPr>
        <w:t>名残疾人士提供了身份证；为了便于残疾人获得福利，政府决定，只要卫生部、社会保障部、武装部队和国家警察联合主办的医疗组证明某人至少</w:t>
      </w:r>
      <w:r>
        <w:rPr>
          <w:rFonts w:hint="eastAsia"/>
        </w:rPr>
        <w:t>60%</w:t>
      </w:r>
      <w:r>
        <w:rPr>
          <w:rFonts w:hint="eastAsia"/>
        </w:rPr>
        <w:t>残疾，那么便可以将团结证书的权利扩展到经济手段有限的此类残疾人。到</w:t>
      </w:r>
      <w:r>
        <w:rPr>
          <w:rFonts w:hint="eastAsia"/>
        </w:rPr>
        <w:t>1999</w:t>
      </w:r>
      <w:r>
        <w:rPr>
          <w:rFonts w:hint="eastAsia"/>
        </w:rPr>
        <w:t>年</w:t>
      </w:r>
      <w:r>
        <w:rPr>
          <w:rFonts w:hint="eastAsia"/>
        </w:rPr>
        <w:t>12</w:t>
      </w:r>
      <w:r>
        <w:rPr>
          <w:rFonts w:hint="eastAsia"/>
        </w:rPr>
        <w:t>月为止，全国约有</w:t>
      </w:r>
      <w:r>
        <w:rPr>
          <w:rFonts w:hint="eastAsia"/>
        </w:rPr>
        <w:t>4,500</w:t>
      </w:r>
      <w:r>
        <w:rPr>
          <w:rFonts w:hint="eastAsia"/>
        </w:rPr>
        <w:t>名残疾人收到了团结证书；如果国家现代化全国理事会决定、并且政府的预算情况允许，还会有更多的人有权得到团结证书。</w:t>
      </w:r>
    </w:p>
    <w:p w:rsidR="00000000" w:rsidRDefault="00000000">
      <w:pPr>
        <w:rPr>
          <w:rFonts w:hint="eastAsia"/>
          <w:lang w:val="fr-CH"/>
        </w:rPr>
      </w:pPr>
      <w:r>
        <w:rPr>
          <w:rFonts w:hint="eastAsia"/>
        </w:rPr>
        <w:tab/>
        <w:t xml:space="preserve">82.  </w:t>
      </w:r>
      <w:r>
        <w:rPr>
          <w:rFonts w:hint="eastAsia"/>
        </w:rPr>
        <w:t>值得一提的是非营利非政府组织在厄瓜多尔为残疾人士所进行的工作。厄瓜多尔基金会所进行的</w:t>
      </w:r>
      <w:r>
        <w:rPr>
          <w:lang w:val="fr-CH"/>
        </w:rPr>
        <w:t>Ramón Arregui Monreal</w:t>
      </w:r>
      <w:r>
        <w:rPr>
          <w:rFonts w:hint="eastAsia"/>
          <w:lang w:val="fr-CH"/>
        </w:rPr>
        <w:t>方案为</w:t>
      </w:r>
      <w:r>
        <w:rPr>
          <w:rFonts w:hint="eastAsia"/>
          <w:lang w:val="fr-CH"/>
        </w:rPr>
        <w:t>15</w:t>
      </w:r>
      <w:r>
        <w:rPr>
          <w:rFonts w:hint="eastAsia"/>
          <w:lang w:val="fr-CH"/>
        </w:rPr>
        <w:t>岁到</w:t>
      </w:r>
      <w:r>
        <w:rPr>
          <w:rFonts w:hint="eastAsia"/>
          <w:lang w:val="fr-CH"/>
        </w:rPr>
        <w:t>25</w:t>
      </w:r>
      <w:r>
        <w:rPr>
          <w:rFonts w:hint="eastAsia"/>
          <w:lang w:val="fr-CH"/>
        </w:rPr>
        <w:t>岁有智力残障的年轻人提供工作培训。他们学习有关缝纫、手工艺、陶瓷、木匠、园艺以及一般性服务等方面的课程。</w:t>
      </w:r>
    </w:p>
    <w:p w:rsidR="00000000" w:rsidRDefault="00000000">
      <w:pPr>
        <w:spacing w:after="320"/>
        <w:rPr>
          <w:rFonts w:hint="eastAsia"/>
          <w:lang w:val="fr-CH"/>
        </w:rPr>
      </w:pPr>
      <w:r>
        <w:rPr>
          <w:rFonts w:hint="eastAsia"/>
          <w:lang w:val="fr-CH"/>
        </w:rPr>
        <w:tab/>
        <w:t xml:space="preserve">83.  </w:t>
      </w:r>
      <w:r>
        <w:rPr>
          <w:rFonts w:hint="eastAsia"/>
          <w:lang w:val="fr-CH"/>
        </w:rPr>
        <w:t>到目前为止，已经有八个班完成了培训方案，共培训了</w:t>
      </w:r>
      <w:r>
        <w:rPr>
          <w:rFonts w:hint="eastAsia"/>
          <w:lang w:val="fr-CH"/>
        </w:rPr>
        <w:t>182</w:t>
      </w:r>
      <w:r>
        <w:rPr>
          <w:rFonts w:hint="eastAsia"/>
          <w:lang w:val="fr-CH"/>
        </w:rPr>
        <w:t>名学生。学生毕业时，有</w:t>
      </w:r>
      <w:r>
        <w:rPr>
          <w:rFonts w:hint="eastAsia"/>
          <w:lang w:val="fr-CH"/>
        </w:rPr>
        <w:t>60%</w:t>
      </w:r>
      <w:r>
        <w:rPr>
          <w:rFonts w:hint="eastAsia"/>
          <w:lang w:val="fr-CH"/>
        </w:rPr>
        <w:t>在公开竞争中找到工作。其余</w:t>
      </w:r>
      <w:r>
        <w:rPr>
          <w:rFonts w:hint="eastAsia"/>
          <w:lang w:val="fr-CH"/>
        </w:rPr>
        <w:t>40%</w:t>
      </w:r>
      <w:r>
        <w:rPr>
          <w:rFonts w:hint="eastAsia"/>
          <w:lang w:val="fr-CH"/>
        </w:rPr>
        <w:t>是在他们的主要支援组</w:t>
      </w:r>
      <w:r>
        <w:rPr>
          <w:rFonts w:hint="eastAsia"/>
          <w:lang w:val="fr-CH"/>
        </w:rPr>
        <w:t>(</w:t>
      </w:r>
      <w:r>
        <w:rPr>
          <w:rFonts w:hint="eastAsia"/>
          <w:lang w:val="fr-CH"/>
        </w:rPr>
        <w:t>他们的家庭</w:t>
      </w:r>
      <w:r>
        <w:rPr>
          <w:rFonts w:hint="eastAsia"/>
          <w:lang w:val="fr-CH"/>
        </w:rPr>
        <w:t>)</w:t>
      </w:r>
      <w:r>
        <w:rPr>
          <w:rFonts w:hint="eastAsia"/>
          <w:lang w:val="fr-CH"/>
        </w:rPr>
        <w:t>或者在其社区找到附带住所的就业或工作。该方案跟踪监测</w:t>
      </w:r>
      <w:r>
        <w:rPr>
          <w:rFonts w:hint="eastAsia"/>
          <w:lang w:val="fr-CH"/>
        </w:rPr>
        <w:t>1991</w:t>
      </w:r>
      <w:r>
        <w:rPr>
          <w:rFonts w:hint="eastAsia"/>
          <w:lang w:val="fr-CH"/>
        </w:rPr>
        <w:t>年到</w:t>
      </w:r>
      <w:r>
        <w:rPr>
          <w:rFonts w:hint="eastAsia"/>
          <w:lang w:val="fr-CH"/>
        </w:rPr>
        <w:t>1998</w:t>
      </w:r>
      <w:r>
        <w:rPr>
          <w:rFonts w:hint="eastAsia"/>
          <w:lang w:val="fr-CH"/>
        </w:rPr>
        <w:t>年之间毕业的</w:t>
      </w:r>
      <w:r>
        <w:rPr>
          <w:rFonts w:hint="eastAsia"/>
          <w:lang w:val="fr-CH"/>
        </w:rPr>
        <w:t>182</w:t>
      </w:r>
      <w:r>
        <w:rPr>
          <w:rFonts w:hint="eastAsia"/>
          <w:lang w:val="fr-CH"/>
        </w:rPr>
        <w:t>名学生，对其中</w:t>
      </w:r>
      <w:r>
        <w:rPr>
          <w:rFonts w:hint="eastAsia"/>
          <w:lang w:val="fr-CH"/>
        </w:rPr>
        <w:t>150</w:t>
      </w:r>
      <w:r>
        <w:rPr>
          <w:rFonts w:hint="eastAsia"/>
          <w:lang w:val="fr-CH"/>
        </w:rPr>
        <w:t>名进行了采访，其中</w:t>
      </w:r>
      <w:r>
        <w:rPr>
          <w:rFonts w:hint="eastAsia"/>
          <w:lang w:val="fr-CH"/>
        </w:rPr>
        <w:t>55</w:t>
      </w:r>
      <w:r>
        <w:rPr>
          <w:rFonts w:hint="eastAsia"/>
          <w:lang w:val="fr-CH"/>
        </w:rPr>
        <w:t>名为妇女，</w:t>
      </w:r>
      <w:r>
        <w:rPr>
          <w:rFonts w:hint="eastAsia"/>
          <w:lang w:val="fr-CH"/>
        </w:rPr>
        <w:t>95</w:t>
      </w:r>
      <w:r>
        <w:rPr>
          <w:rFonts w:hint="eastAsia"/>
          <w:lang w:val="fr-CH"/>
        </w:rPr>
        <w:t>名为男子。另外</w:t>
      </w:r>
      <w:r>
        <w:rPr>
          <w:rFonts w:hint="eastAsia"/>
          <w:lang w:val="fr-CH"/>
        </w:rPr>
        <w:t>32</w:t>
      </w:r>
      <w:r>
        <w:rPr>
          <w:rFonts w:hint="eastAsia"/>
          <w:lang w:val="fr-CH"/>
        </w:rPr>
        <w:t>名不知去向。</w:t>
      </w:r>
      <w:r>
        <w:rPr>
          <w:rFonts w:hint="eastAsia"/>
          <w:lang w:val="fr-CH"/>
        </w:rPr>
        <w:t>82</w:t>
      </w:r>
      <w:r>
        <w:rPr>
          <w:rFonts w:hint="eastAsia"/>
          <w:lang w:val="fr-CH"/>
        </w:rPr>
        <w:t>名</w:t>
      </w:r>
      <w:r>
        <w:rPr>
          <w:rFonts w:hint="eastAsia"/>
          <w:lang w:val="fr-CH"/>
        </w:rPr>
        <w:t>(54.7%)</w:t>
      </w:r>
      <w:r>
        <w:rPr>
          <w:rFonts w:hint="eastAsia"/>
          <w:lang w:val="fr-CH"/>
        </w:rPr>
        <w:t>毕业生有工作。男毕业生比女毕业生更容易找到工作</w:t>
      </w:r>
      <w:r>
        <w:rPr>
          <w:rFonts w:hint="eastAsia"/>
          <w:lang w:val="fr-CH"/>
        </w:rPr>
        <w:t>(</w:t>
      </w:r>
      <w:r>
        <w:rPr>
          <w:rFonts w:hint="eastAsia"/>
          <w:lang w:val="fr-CH"/>
        </w:rPr>
        <w:t>分别为</w:t>
      </w:r>
      <w:r>
        <w:rPr>
          <w:rFonts w:hint="eastAsia"/>
          <w:lang w:val="fr-CH"/>
        </w:rPr>
        <w:t>95</w:t>
      </w:r>
      <w:r>
        <w:rPr>
          <w:rFonts w:hint="eastAsia"/>
          <w:lang w:val="fr-CH"/>
        </w:rPr>
        <w:t>人有</w:t>
      </w:r>
      <w:r>
        <w:rPr>
          <w:rFonts w:hint="eastAsia"/>
          <w:lang w:val="fr-CH"/>
        </w:rPr>
        <w:t>64</w:t>
      </w:r>
      <w:r>
        <w:rPr>
          <w:rFonts w:hint="eastAsia"/>
          <w:lang w:val="fr-CH"/>
        </w:rPr>
        <w:t>人、和</w:t>
      </w:r>
      <w:r>
        <w:rPr>
          <w:rFonts w:hint="eastAsia"/>
          <w:lang w:val="fr-CH"/>
        </w:rPr>
        <w:t>55</w:t>
      </w:r>
      <w:r>
        <w:rPr>
          <w:rFonts w:hint="eastAsia"/>
          <w:lang w:val="fr-CH"/>
        </w:rPr>
        <w:t>人中有</w:t>
      </w:r>
      <w:r>
        <w:rPr>
          <w:rFonts w:hint="eastAsia"/>
          <w:lang w:val="fr-CH"/>
        </w:rPr>
        <w:t>18</w:t>
      </w:r>
      <w:r>
        <w:rPr>
          <w:rFonts w:hint="eastAsia"/>
          <w:lang w:val="fr-CH"/>
        </w:rPr>
        <w:t>人找到工作</w:t>
      </w:r>
      <w:r>
        <w:rPr>
          <w:rFonts w:hint="eastAsia"/>
          <w:lang w:val="fr-CH"/>
        </w:rPr>
        <w:t>)</w:t>
      </w:r>
      <w:r>
        <w:rPr>
          <w:rFonts w:hint="eastAsia"/>
          <w:lang w:val="fr-CH"/>
        </w:rPr>
        <w:t>。在</w:t>
      </w:r>
      <w:r>
        <w:rPr>
          <w:rFonts w:hint="eastAsia"/>
          <w:lang w:val="fr-CH"/>
        </w:rPr>
        <w:t>51.2%</w:t>
      </w:r>
      <w:r>
        <w:rPr>
          <w:rFonts w:hint="eastAsia"/>
          <w:lang w:val="fr-CH"/>
        </w:rPr>
        <w:t>的情况下，他们通过厄瓜多尔基金会几乎全部是在私营公司中找到工作。其余的毕业生则是回到他们的主要支援组</w:t>
      </w:r>
      <w:r>
        <w:rPr>
          <w:rFonts w:hint="eastAsia"/>
          <w:lang w:val="fr-CH"/>
        </w:rPr>
        <w:t>(</w:t>
      </w:r>
      <w:r>
        <w:rPr>
          <w:rFonts w:hint="eastAsia"/>
          <w:lang w:val="fr-CH"/>
        </w:rPr>
        <w:t>家庭</w:t>
      </w:r>
      <w:r>
        <w:rPr>
          <w:rFonts w:hint="eastAsia"/>
          <w:lang w:val="fr-CH"/>
        </w:rPr>
        <w:t>)</w:t>
      </w:r>
      <w:r>
        <w:rPr>
          <w:rFonts w:hint="eastAsia"/>
          <w:lang w:val="fr-CH"/>
        </w:rPr>
        <w:t>，进行家务工作，但他们的工作得到报酬的只有两例。</w:t>
      </w:r>
    </w:p>
    <w:p w:rsidR="00000000" w:rsidRDefault="00000000">
      <w:pPr>
        <w:pStyle w:val="Heading3"/>
        <w:rPr>
          <w:rFonts w:hint="eastAsia"/>
          <w:lang w:val="fr-CH"/>
        </w:rPr>
      </w:pPr>
      <w:r>
        <w:rPr>
          <w:lang w:val="fr-CH"/>
        </w:rPr>
        <w:br w:type="page"/>
      </w:r>
      <w:r>
        <w:rPr>
          <w:rFonts w:hint="eastAsia"/>
          <w:lang w:val="fr-CH"/>
        </w:rPr>
        <w:t>第</w:t>
      </w:r>
      <w:r>
        <w:rPr>
          <w:rFonts w:hint="eastAsia"/>
          <w:lang w:val="fr-CH"/>
        </w:rPr>
        <w:t xml:space="preserve"> </w:t>
      </w:r>
      <w:r>
        <w:rPr>
          <w:rFonts w:hint="eastAsia"/>
          <w:lang w:val="fr-CH"/>
        </w:rPr>
        <w:t>七</w:t>
      </w:r>
      <w:r>
        <w:rPr>
          <w:rFonts w:hint="eastAsia"/>
          <w:lang w:val="fr-CH"/>
        </w:rPr>
        <w:t xml:space="preserve"> </w:t>
      </w:r>
      <w:r>
        <w:rPr>
          <w:rFonts w:hint="eastAsia"/>
          <w:lang w:val="fr-CH"/>
        </w:rPr>
        <w:t>条</w:t>
      </w:r>
    </w:p>
    <w:p w:rsidR="00000000" w:rsidRDefault="00000000">
      <w:pPr>
        <w:pStyle w:val="Heading4"/>
        <w:rPr>
          <w:rFonts w:hint="eastAsia"/>
          <w:lang w:val="fr-CH"/>
        </w:rPr>
      </w:pPr>
      <w:r>
        <w:rPr>
          <w:rFonts w:hint="eastAsia"/>
          <w:lang w:val="fr-CH"/>
        </w:rPr>
        <w:t>工</w:t>
      </w:r>
      <w:r>
        <w:rPr>
          <w:rFonts w:hint="eastAsia"/>
          <w:lang w:val="fr-CH"/>
        </w:rPr>
        <w:t xml:space="preserve"> </w:t>
      </w:r>
      <w:r>
        <w:rPr>
          <w:rFonts w:hint="eastAsia"/>
          <w:lang w:val="fr-CH"/>
        </w:rPr>
        <w:t>作</w:t>
      </w:r>
      <w:r>
        <w:rPr>
          <w:rFonts w:hint="eastAsia"/>
          <w:lang w:val="fr-CH"/>
        </w:rPr>
        <w:t xml:space="preserve"> </w:t>
      </w:r>
      <w:r>
        <w:rPr>
          <w:rFonts w:hint="eastAsia"/>
          <w:lang w:val="fr-CH"/>
        </w:rPr>
        <w:t>权</w:t>
      </w:r>
    </w:p>
    <w:p w:rsidR="00000000" w:rsidRDefault="00000000">
      <w:pPr>
        <w:rPr>
          <w:rFonts w:hint="eastAsia"/>
          <w:lang w:val="fr-CH"/>
        </w:rPr>
      </w:pPr>
      <w:r>
        <w:rPr>
          <w:rFonts w:hint="eastAsia"/>
          <w:lang w:val="fr-CH"/>
        </w:rPr>
        <w:tab/>
        <w:t xml:space="preserve">84.  </w:t>
      </w:r>
      <w:r>
        <w:rPr>
          <w:rFonts w:hint="eastAsia"/>
          <w:lang w:val="fr-CH"/>
        </w:rPr>
        <w:t>《宪法》确认国家的基本义务之一是：“消除贫困、促进其居民的经济、社会和文化发展”</w:t>
      </w:r>
      <w:r>
        <w:rPr>
          <w:rFonts w:hint="eastAsia"/>
          <w:lang w:val="fr-CH"/>
        </w:rPr>
        <w:t> </w:t>
      </w:r>
      <w:r>
        <w:rPr>
          <w:rFonts w:hint="eastAsia"/>
          <w:lang w:val="fr-CH"/>
        </w:rPr>
        <w:t>；</w:t>
      </w:r>
      <w:r>
        <w:rPr>
          <w:rStyle w:val="EndnoteReference"/>
          <w:lang w:val="fr-CH"/>
        </w:rPr>
        <w:endnoteReference w:id="16"/>
      </w:r>
      <w:r>
        <w:rPr>
          <w:rFonts w:hint="eastAsia"/>
          <w:lang w:val="fr-CH"/>
        </w:rPr>
        <w:t xml:space="preserve">  </w:t>
      </w:r>
      <w:r>
        <w:rPr>
          <w:rFonts w:hint="eastAsia"/>
          <w:lang w:val="fr-CH"/>
        </w:rPr>
        <w:t>为此目的，国家确认并保证“工作自由”以及“享受可以确保医疗、食品与营养、饮用水、健康环境、教育、工作、就业、娱乐、住房、穿衣以及其他必要社会需求的生活水平”。</w:t>
      </w:r>
      <w:r>
        <w:rPr>
          <w:rStyle w:val="EndnoteReference"/>
          <w:lang w:val="fr-CH"/>
        </w:rPr>
        <w:endnoteReference w:id="17"/>
      </w:r>
      <w:r>
        <w:rPr>
          <w:rFonts w:hint="eastAsia"/>
          <w:lang w:val="fr-CH"/>
        </w:rPr>
        <w:t xml:space="preserve">  </w:t>
      </w:r>
    </w:p>
    <w:p w:rsidR="00000000" w:rsidRDefault="00000000">
      <w:pPr>
        <w:rPr>
          <w:rFonts w:hint="eastAsia"/>
          <w:lang w:val="fr-CH"/>
        </w:rPr>
      </w:pPr>
      <w:r>
        <w:rPr>
          <w:rFonts w:hint="eastAsia"/>
          <w:lang w:val="fr-CH"/>
        </w:rPr>
        <w:tab/>
        <w:t xml:space="preserve">85.  </w:t>
      </w:r>
      <w:r>
        <w:rPr>
          <w:rFonts w:hint="eastAsia"/>
          <w:lang w:val="fr-CH"/>
        </w:rPr>
        <w:t>根据《宪法》，“工作是一项权利和社会义务。工作受国家保护，国家保障工人的尊严、体面的生活以及能够支付其自己和家庭需求的公平报酬”。该条还规定</w:t>
      </w:r>
      <w:r>
        <w:rPr>
          <w:rFonts w:hint="eastAsia"/>
          <w:lang w:val="fr-CH"/>
        </w:rPr>
        <w:t> </w:t>
      </w:r>
      <w:r>
        <w:rPr>
          <w:rFonts w:hint="eastAsia"/>
          <w:lang w:val="fr-CH"/>
        </w:rPr>
        <w:t>：“工人的权利是不可剥夺的。任何要求放弃、损害或修改工人权利的条件都是无效的”。</w:t>
      </w:r>
      <w:r>
        <w:rPr>
          <w:rStyle w:val="EndnoteReference"/>
          <w:lang w:val="fr-CH"/>
        </w:rPr>
        <w:endnoteReference w:id="18"/>
      </w:r>
    </w:p>
    <w:p w:rsidR="00000000" w:rsidRDefault="00000000">
      <w:pPr>
        <w:rPr>
          <w:rFonts w:hint="eastAsia"/>
        </w:rPr>
      </w:pPr>
      <w:r>
        <w:rPr>
          <w:rFonts w:hint="eastAsia"/>
          <w:lang w:val="fr-CH"/>
        </w:rPr>
        <w:tab/>
        <w:t xml:space="preserve">86.  </w:t>
      </w:r>
      <w:r>
        <w:rPr>
          <w:rFonts w:hint="eastAsia"/>
          <w:lang w:val="fr-CH"/>
        </w:rPr>
        <w:t>《宪法》在承认权利方面实行了重大改变，包括“妇女进入有报酬的就业、拥有同等权利和机会、保障同工同酬”。此外，“应当对生育和</w:t>
      </w:r>
      <w:r>
        <w:rPr>
          <w:rFonts w:hint="eastAsia"/>
        </w:rPr>
        <w:t>生殖权利给予特别的尊重，以改进特别是孕妇和哺乳期妇女、有工作的妇女、在非正规和手工业部门的妇女、妇女户主以及寡妇等人的工作条件和享受社会保障制度。禁止在工作方面对妇女实行任何歧视。应当考虑到配偶或伙伴在家庭中的工作，以确保特别是当她或他在处于经济劣势情况下所应当得到的公正报酬。没有报酬的家务劳动应当被认为是生产性劳动”。</w:t>
      </w:r>
      <w:r>
        <w:rPr>
          <w:rStyle w:val="EndnoteReference"/>
        </w:rPr>
        <w:endnoteReference w:id="19"/>
      </w:r>
      <w:r>
        <w:rPr>
          <w:rFonts w:hint="eastAsia"/>
        </w:rPr>
        <w:t xml:space="preserve">  </w:t>
      </w:r>
    </w:p>
    <w:p w:rsidR="00000000" w:rsidRDefault="00000000">
      <w:pPr>
        <w:spacing w:after="320"/>
        <w:rPr>
          <w:rFonts w:hint="eastAsia"/>
        </w:rPr>
      </w:pPr>
      <w:r>
        <w:rPr>
          <w:rFonts w:hint="eastAsia"/>
        </w:rPr>
        <w:tab/>
        <w:t xml:space="preserve">87.  </w:t>
      </w:r>
      <w:r>
        <w:rPr>
          <w:rFonts w:hint="eastAsia"/>
        </w:rPr>
        <w:t>《劳动法》规定，任何人都有权选择任何合法职业：“除了在特别紧急的情况下或除了在需要立即援助的情况下，不得要求任何人提供免费服务、或提供法律规定非义务性的有报酬服务。除上述情况之外，任何人都无义务在没有合同和没有适当报酬的情况下工作。一般来说，所有工作都应当得到报酬。”</w:t>
      </w:r>
      <w:r>
        <w:rPr>
          <w:rStyle w:val="EndnoteReference"/>
        </w:rPr>
        <w:endnoteReference w:id="20"/>
      </w:r>
      <w:r>
        <w:rPr>
          <w:rFonts w:hint="eastAsia"/>
        </w:rPr>
        <w:t xml:space="preserve"> </w:t>
      </w:r>
    </w:p>
    <w:p w:rsidR="00000000" w:rsidRDefault="00000000">
      <w:pPr>
        <w:pStyle w:val="Heading4"/>
        <w:rPr>
          <w:rFonts w:eastAsia="KaiTi_GB2312" w:hint="eastAsia"/>
          <w:spacing w:val="0"/>
          <w:u w:val="none"/>
        </w:rPr>
      </w:pPr>
      <w:r>
        <w:rPr>
          <w:rFonts w:eastAsia="KaiTi_GB2312" w:hint="eastAsia"/>
          <w:spacing w:val="0"/>
          <w:u w:val="none"/>
        </w:rPr>
        <w:t>工资等级制度</w:t>
      </w:r>
    </w:p>
    <w:p w:rsidR="00000000" w:rsidRDefault="00000000">
      <w:pPr>
        <w:rPr>
          <w:rFonts w:hint="eastAsia"/>
        </w:rPr>
      </w:pPr>
      <w:r>
        <w:rPr>
          <w:rFonts w:hint="eastAsia"/>
        </w:rPr>
        <w:tab/>
        <w:t xml:space="preserve">88.  </w:t>
      </w:r>
      <w:r>
        <w:rPr>
          <w:rFonts w:hint="eastAsia"/>
          <w:lang w:val="fr-CH"/>
        </w:rPr>
        <w:t>《宪法》第一百一十八条确定了组成公共部门的单位之定义。第三十五条第</w:t>
      </w:r>
      <w:r>
        <w:rPr>
          <w:rFonts w:hint="eastAsia"/>
          <w:lang w:val="fr-CH"/>
        </w:rPr>
        <w:t>9</w:t>
      </w:r>
      <w:r>
        <w:rPr>
          <w:rFonts w:hint="eastAsia"/>
          <w:lang w:val="fr-CH"/>
        </w:rPr>
        <w:t>款确立了两大部门</w:t>
      </w:r>
      <w:r>
        <w:rPr>
          <w:rFonts w:hint="eastAsia"/>
          <w:lang w:val="fr-CH"/>
        </w:rPr>
        <w:t> </w:t>
      </w:r>
      <w:r>
        <w:rPr>
          <w:rFonts w:hint="eastAsia"/>
          <w:lang w:val="fr-CH"/>
        </w:rPr>
        <w:t>：受制于有关公共行政部门法律的官员，以及受制于</w:t>
      </w:r>
      <w:r>
        <w:rPr>
          <w:rFonts w:hint="eastAsia"/>
        </w:rPr>
        <w:t>《劳动法》的工人和雇员。</w:t>
      </w:r>
    </w:p>
    <w:p w:rsidR="00000000" w:rsidRDefault="00000000">
      <w:pPr>
        <w:rPr>
          <w:rFonts w:hint="eastAsia"/>
          <w:lang w:val="fr-CH"/>
        </w:rPr>
      </w:pPr>
      <w:r>
        <w:br w:type="page"/>
      </w:r>
      <w:r>
        <w:rPr>
          <w:rFonts w:hint="eastAsia"/>
        </w:rPr>
        <w:tab/>
        <w:t xml:space="preserve">89.  </w:t>
      </w:r>
      <w:r>
        <w:rPr>
          <w:rFonts w:hint="eastAsia"/>
        </w:rPr>
        <w:t>根据</w:t>
      </w:r>
      <w:r>
        <w:rPr>
          <w:rFonts w:hint="eastAsia"/>
          <w:lang w:val="fr-CH"/>
        </w:rPr>
        <w:t>《宪法》所建立的原则以及《劳动法》的规定，工资级别的确定利用了下述三个机制</w:t>
      </w:r>
      <w:r>
        <w:rPr>
          <w:rFonts w:hint="eastAsia"/>
          <w:lang w:val="fr-CH"/>
        </w:rPr>
        <w:t> </w:t>
      </w:r>
      <w:r>
        <w:rPr>
          <w:rFonts w:hint="eastAsia"/>
          <w:lang w:val="fr-CH"/>
        </w:rPr>
        <w:t>：</w:t>
      </w:r>
    </w:p>
    <w:p w:rsidR="00000000" w:rsidRDefault="00000000">
      <w:pPr>
        <w:numPr>
          <w:ilvl w:val="0"/>
          <w:numId w:val="110"/>
        </w:numPr>
        <w:rPr>
          <w:rFonts w:hint="eastAsia"/>
        </w:rPr>
      </w:pPr>
      <w:r>
        <w:rPr>
          <w:rFonts w:hint="eastAsia"/>
        </w:rPr>
        <w:t>在过去，确定工资级别是国会的责任，但是其后这一责任转入行政部门，现在由全国工资理事会履行这一职责。该理事会每隔</w:t>
      </w:r>
      <w:r>
        <w:rPr>
          <w:rFonts w:hint="eastAsia"/>
        </w:rPr>
        <w:t>6</w:t>
      </w:r>
      <w:r>
        <w:rPr>
          <w:rFonts w:hint="eastAsia"/>
        </w:rPr>
        <w:t>个月确定所有工人的最低生活工资。全国工资理事会还每隔</w:t>
      </w:r>
      <w:r>
        <w:rPr>
          <w:rFonts w:hint="eastAsia"/>
        </w:rPr>
        <w:t>6</w:t>
      </w:r>
      <w:r>
        <w:rPr>
          <w:rFonts w:hint="eastAsia"/>
        </w:rPr>
        <w:t>个月决定工资的总体增长幅度。根据相关立法并服从全国工资理事会规定的最低工资，厄瓜多尔总统通过法令规定国家教师的基本薪金。</w:t>
      </w:r>
    </w:p>
    <w:p w:rsidR="00000000" w:rsidRDefault="00000000">
      <w:pPr>
        <w:numPr>
          <w:ilvl w:val="0"/>
          <w:numId w:val="110"/>
        </w:numPr>
        <w:rPr>
          <w:rFonts w:hint="eastAsia"/>
        </w:rPr>
      </w:pPr>
      <w:r>
        <w:rPr>
          <w:rFonts w:hint="eastAsia"/>
        </w:rPr>
        <w:t>部门最低工资委员会是由工人、雇主和政府三方代表所组成的机构；他们通过部门委员会并在全国工资理事会的建议下，负责为《劳动法》所保护的各行各业的工人制定工资水平、薪金和或最低部门工资标准。</w:t>
      </w:r>
    </w:p>
    <w:p w:rsidR="00000000" w:rsidRDefault="00000000">
      <w:pPr>
        <w:numPr>
          <w:ilvl w:val="0"/>
          <w:numId w:val="110"/>
        </w:numPr>
        <w:rPr>
          <w:rFonts w:hint="eastAsia"/>
        </w:rPr>
      </w:pPr>
      <w:r>
        <w:rPr>
          <w:rFonts w:hint="eastAsia"/>
        </w:rPr>
        <w:t>第三个工资级别机制是集体协议谈判。通过这一谈判，参加工会的工人在劳动和人力资源部的参与下，就就业条件、包括根据公司的资源情况确定基本工资水平和若干社会福利等问题，与其雇主直接谈判。</w:t>
      </w:r>
    </w:p>
    <w:p w:rsidR="00000000" w:rsidRDefault="00000000">
      <w:pPr>
        <w:rPr>
          <w:rFonts w:hint="eastAsia"/>
        </w:rPr>
      </w:pPr>
      <w:r>
        <w:rPr>
          <w:rFonts w:hint="eastAsia"/>
        </w:rPr>
        <w:tab/>
        <w:t xml:space="preserve">90.  </w:t>
      </w:r>
      <w:r>
        <w:rPr>
          <w:rFonts w:hint="eastAsia"/>
        </w:rPr>
        <w:t>如果某人的职业由于其进行的活动之特性没有被包括在根据经济活动领域划分的部门工资等级的职业中，那么便适用最低生活工资。</w:t>
      </w:r>
    </w:p>
    <w:p w:rsidR="00000000" w:rsidRDefault="00000000">
      <w:pPr>
        <w:rPr>
          <w:rFonts w:hint="eastAsia"/>
        </w:rPr>
      </w:pPr>
      <w:r>
        <w:rPr>
          <w:rFonts w:hint="eastAsia"/>
        </w:rPr>
        <w:tab/>
        <w:t xml:space="preserve">91.  </w:t>
      </w:r>
      <w:r>
        <w:rPr>
          <w:rFonts w:hint="eastAsia"/>
        </w:rPr>
        <w:t>根据劳工和人力资源部最低工资司所提供的信息，厄瓜多尔目前没有这一类别人的人数统计资料。</w:t>
      </w:r>
    </w:p>
    <w:p w:rsidR="00000000" w:rsidRDefault="00000000">
      <w:pPr>
        <w:rPr>
          <w:rFonts w:hint="eastAsia"/>
        </w:rPr>
      </w:pPr>
      <w:r>
        <w:rPr>
          <w:rFonts w:hint="eastAsia"/>
        </w:rPr>
        <w:tab/>
        <w:t xml:space="preserve">92.  </w:t>
      </w:r>
      <w:r>
        <w:rPr>
          <w:rFonts w:hint="eastAsia"/>
        </w:rPr>
        <w:t>国家统计所这一机构就生活条件与就业、失业和就业不足进行调查，并就工人的收入收集数据。国家统计所使用的表格并不包括具体有关基本工资的问题，而仅仅就收入总额提出问题，而这一总额包括任何其他收入。另外，国家统计所的调查仅仅是在城市地区进行的，使得其数据的缺点更加严重。</w:t>
      </w:r>
    </w:p>
    <w:p w:rsidR="00000000" w:rsidRDefault="00000000">
      <w:pPr>
        <w:rPr>
          <w:rFonts w:hint="eastAsia"/>
        </w:rPr>
      </w:pPr>
      <w:r>
        <w:rPr>
          <w:rFonts w:hint="eastAsia"/>
        </w:rPr>
        <w:tab/>
        <w:t xml:space="preserve">93.  </w:t>
      </w:r>
      <w:r>
        <w:rPr>
          <w:rFonts w:hint="eastAsia"/>
        </w:rPr>
        <w:t>在各种情况下所规定的最低工资具有法律约束力，通过劳工与人力资源部视察处予以强制执行。而每一个部门内部如何实施最低生活工资和最低工资、工资级别和</w:t>
      </w:r>
      <w:r>
        <w:rPr>
          <w:rFonts w:hint="eastAsia"/>
        </w:rPr>
        <w:t>/</w:t>
      </w:r>
      <w:r>
        <w:rPr>
          <w:rFonts w:hint="eastAsia"/>
        </w:rPr>
        <w:t>或薪金等级则是通过皮钦查省劳动部以及厄瓜多尔的其他相应地区办事处来予以监测的。这些地区办事处包括沿海地区、南部地区和中部地区的劳动办事处、以及其他省的劳工检查员。工人和雇主都可以就如何实施现行的工资法律而向其当地劳工部门寻求咨询，并请求强制实施这些法律。</w:t>
      </w:r>
    </w:p>
    <w:p w:rsidR="00000000" w:rsidRDefault="00000000">
      <w:pPr>
        <w:spacing w:after="320"/>
        <w:rPr>
          <w:rFonts w:hint="eastAsia"/>
        </w:rPr>
      </w:pPr>
      <w:r>
        <w:rPr>
          <w:rFonts w:hint="eastAsia"/>
        </w:rPr>
        <w:tab/>
        <w:t xml:space="preserve">94.  </w:t>
      </w:r>
      <w:r>
        <w:rPr>
          <w:rFonts w:hint="eastAsia"/>
        </w:rPr>
        <w:t>自</w:t>
      </w:r>
      <w:r>
        <w:rPr>
          <w:rFonts w:hint="eastAsia"/>
        </w:rPr>
        <w:t>1997</w:t>
      </w:r>
      <w:r>
        <w:rPr>
          <w:rFonts w:hint="eastAsia"/>
        </w:rPr>
        <w:t>年以来，厄瓜多尔社会保障所帮助强制实施了相关工资等级表。为了改进其成员的状况，该所现要求雇主根据法律规定的工资水平来规定雇主和工人对该所的捐助。</w:t>
      </w:r>
    </w:p>
    <w:p w:rsidR="00000000" w:rsidRDefault="00000000">
      <w:pPr>
        <w:pStyle w:val="Heading4"/>
        <w:rPr>
          <w:rFonts w:hint="eastAsia"/>
        </w:rPr>
      </w:pPr>
      <w:r>
        <w:rPr>
          <w:rFonts w:hint="eastAsia"/>
        </w:rPr>
        <w:t>规定最低工资</w:t>
      </w:r>
    </w:p>
    <w:p w:rsidR="00000000" w:rsidRDefault="00000000">
      <w:pPr>
        <w:rPr>
          <w:rFonts w:hint="eastAsia"/>
        </w:rPr>
      </w:pPr>
      <w:r>
        <w:rPr>
          <w:rFonts w:hint="eastAsia"/>
        </w:rPr>
        <w:tab/>
        <w:t xml:space="preserve">95.  </w:t>
      </w:r>
      <w:r>
        <w:rPr>
          <w:rFonts w:hint="eastAsia"/>
        </w:rPr>
        <w:t>最低工资局是全国工资理事会的技术秘书处。最低工资局在制定最低生活工资时，编制一份技术报告，分析全国的经济和社会状况以及最低生活工资及部门工资制度下的工人的经济和社会状况。</w:t>
      </w:r>
    </w:p>
    <w:p w:rsidR="00000000" w:rsidRDefault="00000000">
      <w:pPr>
        <w:rPr>
          <w:rFonts w:hint="eastAsia"/>
        </w:rPr>
      </w:pPr>
      <w:r>
        <w:rPr>
          <w:rFonts w:hint="eastAsia"/>
        </w:rPr>
        <w:tab/>
        <w:t xml:space="preserve">96.  </w:t>
      </w:r>
      <w:r>
        <w:rPr>
          <w:rFonts w:hint="eastAsia"/>
        </w:rPr>
        <w:t>在制定最低生活工资所进行的分析过程中，全国工资理事会技术秘书处所编制的报告以及全国工资理事会成员所作出的反馈和建议都是十分重要的。在部门委员会所进行的制定工资过程中，进行调查和相应的研究。在集体谈判过程中，主要的因素是当事各方的诚意，并且根据公司的经济状况和前景来决定。</w:t>
      </w:r>
    </w:p>
    <w:p w:rsidR="00000000" w:rsidRDefault="00000000">
      <w:pPr>
        <w:rPr>
          <w:rFonts w:hint="eastAsia"/>
        </w:rPr>
      </w:pPr>
      <w:r>
        <w:rPr>
          <w:rFonts w:hint="eastAsia"/>
        </w:rPr>
        <w:tab/>
        <w:t xml:space="preserve">97.  </w:t>
      </w:r>
      <w:r>
        <w:rPr>
          <w:rFonts w:hint="eastAsia"/>
        </w:rPr>
        <w:t>厄瓜多尔的人力资源管理是根据立法的许多法律来进行的。有关行政机构的两项基本法律是《行政机构与公共行政管理法》以及《公共官员</w:t>
      </w:r>
      <w:r>
        <w:rPr>
          <w:rFonts w:hint="eastAsia"/>
        </w:rPr>
        <w:t>(</w:t>
      </w:r>
      <w:r>
        <w:rPr>
          <w:rFonts w:hint="eastAsia"/>
        </w:rPr>
        <w:t>报酬</w:t>
      </w:r>
      <w:r>
        <w:rPr>
          <w:rFonts w:hint="eastAsia"/>
        </w:rPr>
        <w:t>)</w:t>
      </w:r>
      <w:r>
        <w:rPr>
          <w:rFonts w:hint="eastAsia"/>
        </w:rPr>
        <w:t>法》，而私营部门则根据《劳动法》和《宪法》的规定。</w:t>
      </w:r>
    </w:p>
    <w:p w:rsidR="00000000" w:rsidRDefault="00000000">
      <w:pPr>
        <w:rPr>
          <w:rFonts w:hint="eastAsia"/>
          <w:lang w:val="fr-CH"/>
        </w:rPr>
      </w:pPr>
      <w:r>
        <w:rPr>
          <w:rFonts w:hint="eastAsia"/>
        </w:rPr>
        <w:tab/>
        <w:t xml:space="preserve">98.  </w:t>
      </w:r>
      <w:r>
        <w:rPr>
          <w:rFonts w:hint="eastAsia"/>
          <w:lang w:val="fr-CH"/>
        </w:rPr>
        <w:t>《公共官员</w:t>
      </w:r>
      <w:r>
        <w:rPr>
          <w:rFonts w:hint="eastAsia"/>
          <w:lang w:val="fr-CH"/>
        </w:rPr>
        <w:t>(</w:t>
      </w:r>
      <w:r>
        <w:rPr>
          <w:rFonts w:hint="eastAsia"/>
          <w:lang w:val="fr-CH"/>
        </w:rPr>
        <w:t>报酬</w:t>
      </w:r>
      <w:r>
        <w:rPr>
          <w:rFonts w:hint="eastAsia"/>
          <w:lang w:val="fr-CH"/>
        </w:rPr>
        <w:t>)</w:t>
      </w:r>
      <w:r>
        <w:rPr>
          <w:rFonts w:hint="eastAsia"/>
          <w:lang w:val="fr-CH"/>
        </w:rPr>
        <w:t>法》于</w:t>
      </w:r>
      <w:r>
        <w:rPr>
          <w:rFonts w:hint="eastAsia"/>
          <w:lang w:val="fr-CH"/>
        </w:rPr>
        <w:t>1995</w:t>
      </w:r>
      <w:r>
        <w:rPr>
          <w:rFonts w:hint="eastAsia"/>
          <w:lang w:val="fr-CH"/>
        </w:rPr>
        <w:t>年颁布，其目的是管理行政机构的工资制度。在</w:t>
      </w:r>
      <w:r>
        <w:rPr>
          <w:rFonts w:hint="eastAsia"/>
          <w:lang w:val="fr-CH"/>
        </w:rPr>
        <w:t>1990</w:t>
      </w:r>
      <w:r>
        <w:rPr>
          <w:rFonts w:hint="eastAsia"/>
          <w:lang w:val="fr-CH"/>
        </w:rPr>
        <w:t>年代，还就专业人员的薪金通过了立法，主要管理专业人员的基本薪金等级。</w:t>
      </w:r>
    </w:p>
    <w:p w:rsidR="00000000" w:rsidRDefault="00000000">
      <w:pPr>
        <w:rPr>
          <w:rFonts w:hint="eastAsia"/>
          <w:lang w:val="fr-CH"/>
        </w:rPr>
      </w:pPr>
      <w:r>
        <w:rPr>
          <w:rFonts w:hint="eastAsia"/>
          <w:lang w:val="fr-CH"/>
        </w:rPr>
        <w:tab/>
        <w:t>99.  1999</w:t>
      </w:r>
      <w:r>
        <w:rPr>
          <w:rFonts w:hint="eastAsia"/>
          <w:lang w:val="fr-CH"/>
        </w:rPr>
        <w:t>年</w:t>
      </w:r>
      <w:r>
        <w:rPr>
          <w:rFonts w:hint="eastAsia"/>
          <w:lang w:val="fr-CH"/>
        </w:rPr>
        <w:t>4</w:t>
      </w:r>
      <w:r>
        <w:rPr>
          <w:rFonts w:hint="eastAsia"/>
          <w:lang w:val="fr-CH"/>
        </w:rPr>
        <w:t>月</w:t>
      </w:r>
      <w:r>
        <w:rPr>
          <w:rFonts w:hint="eastAsia"/>
          <w:lang w:val="fr-CH"/>
        </w:rPr>
        <w:t>30</w:t>
      </w:r>
      <w:r>
        <w:rPr>
          <w:rFonts w:hint="eastAsia"/>
          <w:lang w:val="fr-CH"/>
        </w:rPr>
        <w:t>日公布于《官方公告》第</w:t>
      </w:r>
      <w:r>
        <w:rPr>
          <w:rFonts w:hint="eastAsia"/>
          <w:lang w:val="fr-CH"/>
        </w:rPr>
        <w:t>181</w:t>
      </w:r>
      <w:r>
        <w:rPr>
          <w:rFonts w:hint="eastAsia"/>
          <w:lang w:val="fr-CH"/>
        </w:rPr>
        <w:t>号的《公共财政</w:t>
      </w:r>
      <w:r>
        <w:rPr>
          <w:rFonts w:hint="eastAsia"/>
          <w:lang w:val="fr-CH"/>
        </w:rPr>
        <w:t>(</w:t>
      </w:r>
      <w:r>
        <w:rPr>
          <w:rFonts w:hint="eastAsia"/>
          <w:lang w:val="fr-CH"/>
        </w:rPr>
        <w:t>改革</w:t>
      </w:r>
      <w:r>
        <w:rPr>
          <w:rFonts w:hint="eastAsia"/>
          <w:lang w:val="fr-CH"/>
        </w:rPr>
        <w:t>)</w:t>
      </w:r>
      <w:r>
        <w:rPr>
          <w:rFonts w:hint="eastAsia"/>
          <w:lang w:val="fr-CH"/>
        </w:rPr>
        <w:t>法》第</w:t>
      </w:r>
      <w:r>
        <w:rPr>
          <w:rFonts w:hint="eastAsia"/>
          <w:lang w:val="fr-CH"/>
        </w:rPr>
        <w:t>51</w:t>
      </w:r>
      <w:r>
        <w:rPr>
          <w:rFonts w:hint="eastAsia"/>
          <w:lang w:val="fr-CH"/>
        </w:rPr>
        <w:t>条建立了全国公共部门薪金委员会，其职责是“制定适用于政府机构的薪金政策，而不论其官员、雇员或工人属于《行政机构和公共行政管理法》、有关其服务的其他具体立法的范围还是《劳动法》的范围。”</w:t>
      </w:r>
    </w:p>
    <w:p w:rsidR="00000000" w:rsidRDefault="00000000">
      <w:pPr>
        <w:rPr>
          <w:rFonts w:hint="eastAsia"/>
          <w:lang w:val="fr-CH"/>
        </w:rPr>
      </w:pPr>
      <w:r>
        <w:rPr>
          <w:rFonts w:hint="eastAsia"/>
          <w:lang w:val="fr-CH"/>
        </w:rPr>
        <w:tab/>
        <w:t xml:space="preserve">100.  </w:t>
      </w:r>
      <w:r>
        <w:rPr>
          <w:rFonts w:hint="eastAsia"/>
          <w:lang w:val="fr-CH"/>
        </w:rPr>
        <w:t>全国工资理事会所编制的技术报告是分析并讨论工资问题的一项可行基本文书，但是占主导位置的考虑因素却是其对国家财政的影响，因为最低生活工资是根据指数与一系列福利挂钩，而这些福利适用于集体协定所保护的工人、教师或其他专业薪金工资等级表范围的人员，因此将对国家财政产生重大影响。自</w:t>
      </w:r>
      <w:r>
        <w:rPr>
          <w:rFonts w:hint="eastAsia"/>
          <w:lang w:val="fr-CH"/>
        </w:rPr>
        <w:t>1994</w:t>
      </w:r>
      <w:r>
        <w:rPr>
          <w:rFonts w:hint="eastAsia"/>
          <w:lang w:val="fr-CH"/>
        </w:rPr>
        <w:t>年以来所实施的政策是增加工人报酬中的其他福利部分，例如生活费用补差以及支付奖金等对国家的经济影响较小的部份。</w:t>
      </w:r>
    </w:p>
    <w:p w:rsidR="00000000" w:rsidRDefault="00000000">
      <w:pPr>
        <w:rPr>
          <w:rFonts w:hint="eastAsia"/>
          <w:lang w:val="fr-CH"/>
        </w:rPr>
      </w:pPr>
      <w:r>
        <w:rPr>
          <w:rFonts w:hint="eastAsia"/>
          <w:lang w:val="fr-CH"/>
        </w:rPr>
        <w:tab/>
        <w:t xml:space="preserve">101.  </w:t>
      </w:r>
      <w:r>
        <w:rPr>
          <w:rFonts w:hint="eastAsia"/>
          <w:lang w:val="fr-CH"/>
        </w:rPr>
        <w:t>《公共财政</w:t>
      </w:r>
      <w:r>
        <w:rPr>
          <w:rFonts w:hint="eastAsia"/>
          <w:lang w:val="fr-CH"/>
        </w:rPr>
        <w:t>(</w:t>
      </w:r>
      <w:r>
        <w:rPr>
          <w:rFonts w:hint="eastAsia"/>
          <w:lang w:val="fr-CH"/>
        </w:rPr>
        <w:t>改革</w:t>
      </w:r>
      <w:r>
        <w:rPr>
          <w:rFonts w:hint="eastAsia"/>
          <w:lang w:val="fr-CH"/>
        </w:rPr>
        <w:t>)</w:t>
      </w:r>
      <w:r>
        <w:rPr>
          <w:rFonts w:hint="eastAsia"/>
          <w:lang w:val="fr-CH"/>
        </w:rPr>
        <w:t>法》第</w:t>
      </w:r>
      <w:r>
        <w:rPr>
          <w:rFonts w:hint="eastAsia"/>
          <w:lang w:val="fr-CH"/>
        </w:rPr>
        <w:t>53</w:t>
      </w:r>
      <w:r>
        <w:rPr>
          <w:rFonts w:hint="eastAsia"/>
          <w:lang w:val="fr-CH"/>
        </w:rPr>
        <w:t>条的规定是关于制定、监测并调整公共部门工资的机制</w:t>
      </w:r>
      <w:r>
        <w:rPr>
          <w:rFonts w:hint="eastAsia"/>
          <w:lang w:val="fr-CH"/>
        </w:rPr>
        <w:t> </w:t>
      </w:r>
      <w:r>
        <w:rPr>
          <w:rFonts w:hint="eastAsia"/>
          <w:lang w:val="fr-CH"/>
        </w:rPr>
        <w:t>：“全国公共部门工资委员会有专属权威，决定并制定有关国家机构的官员和雇员报酬方面的政策与标准。因此，该委员会在确保工资的购买力的同时，得根据资金的情况，规定这些官员的工资等级表，并将予以全面实施。”</w:t>
      </w:r>
    </w:p>
    <w:p w:rsidR="00000000" w:rsidRDefault="00000000">
      <w:pPr>
        <w:rPr>
          <w:rFonts w:hint="eastAsia"/>
          <w:lang w:val="fr-CH"/>
        </w:rPr>
      </w:pPr>
      <w:r>
        <w:rPr>
          <w:rFonts w:hint="eastAsia"/>
          <w:lang w:val="fr-CH"/>
        </w:rPr>
        <w:tab/>
        <w:t xml:space="preserve">102.  </w:t>
      </w:r>
      <w:r>
        <w:rPr>
          <w:rFonts w:hint="eastAsia"/>
          <w:lang w:val="fr-CH"/>
        </w:rPr>
        <w:t>公共部门的基本工资制度是根据国家的财政状况、</w:t>
      </w:r>
      <w:r>
        <w:rPr>
          <w:rFonts w:hint="eastAsia"/>
          <w:lang w:val="fr-CH"/>
        </w:rPr>
        <w:t>(</w:t>
      </w:r>
      <w:r>
        <w:rPr>
          <w:rFonts w:hint="eastAsia"/>
          <w:lang w:val="fr-CH"/>
        </w:rPr>
        <w:t>过去</w:t>
      </w:r>
      <w:r>
        <w:rPr>
          <w:rFonts w:hint="eastAsia"/>
          <w:lang w:val="fr-CH"/>
        </w:rPr>
        <w:t>)</w:t>
      </w:r>
      <w:r>
        <w:rPr>
          <w:rFonts w:hint="eastAsia"/>
          <w:lang w:val="fr-CH"/>
        </w:rPr>
        <w:t>通货膨胀水平以及职责程度而建立的。</w:t>
      </w:r>
    </w:p>
    <w:p w:rsidR="00000000" w:rsidRDefault="00000000">
      <w:pPr>
        <w:spacing w:after="320"/>
        <w:rPr>
          <w:rFonts w:hint="eastAsia"/>
          <w:lang w:val="fr-CH"/>
        </w:rPr>
      </w:pPr>
      <w:r>
        <w:rPr>
          <w:rFonts w:hint="eastAsia"/>
          <w:lang w:val="fr-CH"/>
        </w:rPr>
        <w:tab/>
        <w:t xml:space="preserve">103.  </w:t>
      </w:r>
      <w:r>
        <w:rPr>
          <w:rFonts w:hint="eastAsia"/>
          <w:lang w:val="fr-CH"/>
        </w:rPr>
        <w:t>同样，对于私营部门来说，全国工资理事会是确定工资政策、最低工资和工人工资总体增长幅度的机构。</w:t>
      </w:r>
    </w:p>
    <w:p w:rsidR="00000000" w:rsidRDefault="00000000">
      <w:pPr>
        <w:pStyle w:val="Heading3"/>
        <w:spacing w:after="160"/>
        <w:rPr>
          <w:rFonts w:hint="eastAsia"/>
        </w:rPr>
      </w:pPr>
      <w:r>
        <w:rPr>
          <w:rFonts w:hint="eastAsia"/>
        </w:rPr>
        <w:t>普通工人收入总额</w:t>
      </w:r>
    </w:p>
    <w:p w:rsidR="00000000" w:rsidRDefault="00000000">
      <w:pPr>
        <w:pStyle w:val="Heading3"/>
        <w:spacing w:after="160"/>
        <w:rPr>
          <w:u w:val="none"/>
        </w:rPr>
      </w:pPr>
      <w:r>
        <w:t xml:space="preserve">Borja-Parodi, </w:t>
      </w:r>
      <w:r>
        <w:rPr>
          <w:rFonts w:hint="eastAsia"/>
        </w:rPr>
        <w:t>1988</w:t>
      </w:r>
      <w:r>
        <w:rPr>
          <w:rFonts w:hint="eastAsia"/>
        </w:rPr>
        <w:t>年</w:t>
      </w:r>
      <w:r>
        <w:rPr>
          <w:rFonts w:hint="eastAsia"/>
        </w:rPr>
        <w:t>8</w:t>
      </w:r>
      <w:r>
        <w:rPr>
          <w:rFonts w:hint="eastAsia"/>
        </w:rPr>
        <w:t>月至</w:t>
      </w:r>
      <w:r>
        <w:rPr>
          <w:rFonts w:hint="eastAsia"/>
        </w:rPr>
        <w:t>1992</w:t>
      </w:r>
      <w:r>
        <w:rPr>
          <w:rFonts w:hint="eastAsia"/>
        </w:rPr>
        <w:t>年</w:t>
      </w:r>
      <w:r>
        <w:rPr>
          <w:rFonts w:hint="eastAsia"/>
        </w:rPr>
        <w:t>8</w:t>
      </w:r>
      <w:r>
        <w:rPr>
          <w:rFonts w:hint="eastAsia"/>
        </w:rPr>
        <w:t>月</w:t>
      </w:r>
      <w:r>
        <w:br/>
      </w:r>
      <w:r>
        <w:rPr>
          <w:u w:val="none"/>
        </w:rPr>
        <w:t>(</w:t>
      </w:r>
      <w:r>
        <w:rPr>
          <w:rFonts w:hint="eastAsia"/>
          <w:u w:val="none"/>
        </w:rPr>
        <w:t>苏克雷</w:t>
      </w:r>
      <w:r>
        <w:rPr>
          <w:u w:val="non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200"/>
        <w:gridCol w:w="1396"/>
        <w:gridCol w:w="1185"/>
        <w:gridCol w:w="1311"/>
        <w:gridCol w:w="1282"/>
        <w:gridCol w:w="1195"/>
      </w:tblGrid>
      <w:tr w:rsidR="00000000">
        <w:tblPrEx>
          <w:tblCellMar>
            <w:top w:w="0" w:type="dxa"/>
          </w:tblCellMar>
        </w:tblPrEx>
        <w:trPr>
          <w:cantSplit/>
        </w:trPr>
        <w:tc>
          <w:tcPr>
            <w:tcW w:w="1800" w:type="dxa"/>
            <w:vMerge w:val="restart"/>
          </w:tcPr>
          <w:p w:rsidR="00000000" w:rsidRDefault="00000000">
            <w:pPr>
              <w:spacing w:before="80" w:line="240" w:lineRule="auto"/>
              <w:jc w:val="center"/>
              <w:rPr>
                <w:rFonts w:hint="eastAsia"/>
                <w:sz w:val="20"/>
              </w:rPr>
            </w:pPr>
            <w:r>
              <w:rPr>
                <w:rFonts w:hint="eastAsia"/>
                <w:sz w:val="20"/>
              </w:rPr>
              <w:t>工资津贴内容</w:t>
            </w:r>
          </w:p>
          <w:p w:rsidR="00000000" w:rsidRDefault="00000000">
            <w:pPr>
              <w:spacing w:before="80" w:line="240" w:lineRule="auto"/>
              <w:jc w:val="center"/>
              <w:rPr>
                <w:rFonts w:hint="eastAsia"/>
                <w:sz w:val="20"/>
              </w:rPr>
            </w:pPr>
            <w:r>
              <w:rPr>
                <w:rFonts w:hint="eastAsia"/>
                <w:sz w:val="20"/>
              </w:rPr>
              <w:t>与年份</w:t>
            </w:r>
          </w:p>
        </w:tc>
        <w:tc>
          <w:tcPr>
            <w:tcW w:w="2596" w:type="dxa"/>
            <w:gridSpan w:val="2"/>
          </w:tcPr>
          <w:p w:rsidR="00000000" w:rsidRDefault="00000000">
            <w:pPr>
              <w:spacing w:before="20"/>
              <w:jc w:val="center"/>
              <w:rPr>
                <w:sz w:val="20"/>
              </w:rPr>
            </w:pPr>
            <w:r>
              <w:rPr>
                <w:sz w:val="20"/>
              </w:rPr>
              <w:t>1990</w:t>
            </w:r>
          </w:p>
        </w:tc>
        <w:tc>
          <w:tcPr>
            <w:tcW w:w="2496" w:type="dxa"/>
            <w:gridSpan w:val="2"/>
          </w:tcPr>
          <w:p w:rsidR="00000000" w:rsidRDefault="00000000">
            <w:pPr>
              <w:spacing w:before="20"/>
              <w:jc w:val="center"/>
              <w:rPr>
                <w:sz w:val="20"/>
              </w:rPr>
            </w:pPr>
            <w:r>
              <w:rPr>
                <w:sz w:val="20"/>
              </w:rPr>
              <w:t>1992</w:t>
            </w:r>
          </w:p>
        </w:tc>
        <w:tc>
          <w:tcPr>
            <w:tcW w:w="2477" w:type="dxa"/>
            <w:gridSpan w:val="2"/>
          </w:tcPr>
          <w:p w:rsidR="00000000" w:rsidRDefault="00000000">
            <w:pPr>
              <w:spacing w:before="20"/>
              <w:jc w:val="center"/>
              <w:rPr>
                <w:rFonts w:hint="eastAsia"/>
                <w:sz w:val="20"/>
              </w:rPr>
            </w:pPr>
            <w:r>
              <w:rPr>
                <w:rFonts w:hint="eastAsia"/>
                <w:sz w:val="20"/>
              </w:rPr>
              <w:t>时期内增长</w:t>
            </w:r>
          </w:p>
        </w:tc>
      </w:tr>
      <w:tr w:rsidR="00000000">
        <w:tblPrEx>
          <w:tblCellMar>
            <w:top w:w="0" w:type="dxa"/>
          </w:tblCellMar>
        </w:tblPrEx>
        <w:trPr>
          <w:cantSplit/>
        </w:trPr>
        <w:tc>
          <w:tcPr>
            <w:tcW w:w="1800" w:type="dxa"/>
            <w:vMerge/>
            <w:tcBorders>
              <w:bottom w:val="single" w:sz="4" w:space="0" w:color="auto"/>
            </w:tcBorders>
          </w:tcPr>
          <w:p w:rsidR="00000000" w:rsidRDefault="00000000">
            <w:pPr>
              <w:spacing w:before="40" w:line="240" w:lineRule="auto"/>
              <w:rPr>
                <w:sz w:val="20"/>
              </w:rPr>
            </w:pPr>
          </w:p>
        </w:tc>
        <w:tc>
          <w:tcPr>
            <w:tcW w:w="1200" w:type="dxa"/>
            <w:tcBorders>
              <w:bottom w:val="single" w:sz="4" w:space="0" w:color="auto"/>
            </w:tcBorders>
          </w:tcPr>
          <w:p w:rsidR="00000000" w:rsidRDefault="00000000">
            <w:pPr>
              <w:spacing w:before="40"/>
              <w:jc w:val="center"/>
              <w:rPr>
                <w:rFonts w:hint="eastAsia"/>
                <w:sz w:val="20"/>
              </w:rPr>
            </w:pPr>
            <w:r>
              <w:rPr>
                <w:rFonts w:hint="eastAsia"/>
                <w:sz w:val="20"/>
              </w:rPr>
              <w:t>1</w:t>
            </w:r>
            <w:r>
              <w:rPr>
                <w:rFonts w:hint="eastAsia"/>
                <w:sz w:val="20"/>
              </w:rPr>
              <w:t>月</w:t>
            </w:r>
            <w:r>
              <w:rPr>
                <w:rFonts w:hint="eastAsia"/>
                <w:sz w:val="20"/>
              </w:rPr>
              <w:t>1</w:t>
            </w:r>
            <w:r>
              <w:rPr>
                <w:rFonts w:hint="eastAsia"/>
                <w:sz w:val="20"/>
              </w:rPr>
              <w:t>日</w:t>
            </w:r>
          </w:p>
        </w:tc>
        <w:tc>
          <w:tcPr>
            <w:tcW w:w="1396" w:type="dxa"/>
            <w:tcBorders>
              <w:bottom w:val="single" w:sz="4" w:space="0" w:color="auto"/>
            </w:tcBorders>
          </w:tcPr>
          <w:p w:rsidR="00000000" w:rsidRDefault="00000000">
            <w:pPr>
              <w:spacing w:before="40"/>
              <w:jc w:val="center"/>
              <w:rPr>
                <w:sz w:val="20"/>
              </w:rPr>
            </w:pPr>
            <w:r>
              <w:rPr>
                <w:rFonts w:hint="eastAsia"/>
                <w:sz w:val="20"/>
              </w:rPr>
              <w:t>7</w:t>
            </w:r>
            <w:r>
              <w:rPr>
                <w:rFonts w:hint="eastAsia"/>
                <w:sz w:val="20"/>
              </w:rPr>
              <w:t>月</w:t>
            </w:r>
            <w:r>
              <w:rPr>
                <w:sz w:val="20"/>
              </w:rPr>
              <w:t>22</w:t>
            </w:r>
            <w:r>
              <w:rPr>
                <w:rFonts w:hint="eastAsia"/>
                <w:sz w:val="20"/>
              </w:rPr>
              <w:t>日</w:t>
            </w:r>
          </w:p>
        </w:tc>
        <w:tc>
          <w:tcPr>
            <w:tcW w:w="1185" w:type="dxa"/>
            <w:tcBorders>
              <w:bottom w:val="single" w:sz="4" w:space="0" w:color="auto"/>
            </w:tcBorders>
          </w:tcPr>
          <w:p w:rsidR="00000000" w:rsidRDefault="00000000">
            <w:pPr>
              <w:spacing w:before="40"/>
              <w:jc w:val="center"/>
              <w:rPr>
                <w:rFonts w:hint="eastAsia"/>
                <w:sz w:val="20"/>
                <w:lang w:val="fr-CH"/>
              </w:rPr>
            </w:pPr>
            <w:r>
              <w:rPr>
                <w:rFonts w:hint="eastAsia"/>
                <w:sz w:val="20"/>
                <w:lang w:val="fr-CH"/>
              </w:rPr>
              <w:t>1</w:t>
            </w:r>
            <w:r>
              <w:rPr>
                <w:rFonts w:hint="eastAsia"/>
                <w:sz w:val="20"/>
              </w:rPr>
              <w:t>月</w:t>
            </w:r>
            <w:r>
              <w:rPr>
                <w:rFonts w:hint="eastAsia"/>
                <w:sz w:val="20"/>
                <w:lang w:val="fr-CH"/>
              </w:rPr>
              <w:t>1</w:t>
            </w:r>
            <w:r>
              <w:rPr>
                <w:rFonts w:hint="eastAsia"/>
                <w:sz w:val="20"/>
              </w:rPr>
              <w:t>日</w:t>
            </w:r>
          </w:p>
        </w:tc>
        <w:tc>
          <w:tcPr>
            <w:tcW w:w="1311" w:type="dxa"/>
            <w:tcBorders>
              <w:bottom w:val="single" w:sz="4" w:space="0" w:color="auto"/>
            </w:tcBorders>
          </w:tcPr>
          <w:p w:rsidR="00000000" w:rsidRDefault="00000000">
            <w:pPr>
              <w:spacing w:before="40"/>
              <w:jc w:val="center"/>
              <w:rPr>
                <w:rFonts w:hint="eastAsia"/>
                <w:sz w:val="20"/>
                <w:lang w:val="fr-CH"/>
              </w:rPr>
            </w:pPr>
            <w:r>
              <w:rPr>
                <w:rFonts w:hint="eastAsia"/>
                <w:sz w:val="20"/>
                <w:lang w:val="fr-CH"/>
              </w:rPr>
              <w:t>8</w:t>
            </w:r>
            <w:r>
              <w:rPr>
                <w:rFonts w:hint="eastAsia"/>
                <w:sz w:val="20"/>
                <w:lang w:val="fr-CH"/>
              </w:rPr>
              <w:t>月</w:t>
            </w:r>
            <w:r>
              <w:rPr>
                <w:rFonts w:hint="eastAsia"/>
                <w:sz w:val="20"/>
                <w:lang w:val="fr-CH"/>
              </w:rPr>
              <w:t>10</w:t>
            </w:r>
            <w:r>
              <w:rPr>
                <w:rFonts w:hint="eastAsia"/>
                <w:sz w:val="20"/>
                <w:lang w:val="fr-CH"/>
              </w:rPr>
              <w:t>日</w:t>
            </w:r>
          </w:p>
        </w:tc>
        <w:tc>
          <w:tcPr>
            <w:tcW w:w="1282" w:type="dxa"/>
            <w:tcBorders>
              <w:bottom w:val="single" w:sz="4" w:space="0" w:color="auto"/>
            </w:tcBorders>
          </w:tcPr>
          <w:p w:rsidR="00000000" w:rsidRDefault="00000000">
            <w:pPr>
              <w:spacing w:before="40"/>
              <w:jc w:val="center"/>
              <w:rPr>
                <w:sz w:val="20"/>
                <w:lang w:val="fr-CH"/>
              </w:rPr>
            </w:pPr>
            <w:r>
              <w:rPr>
                <w:rFonts w:hint="eastAsia"/>
                <w:sz w:val="20"/>
                <w:lang w:val="fr-CH"/>
              </w:rPr>
              <w:t>百分比</w:t>
            </w:r>
          </w:p>
        </w:tc>
        <w:tc>
          <w:tcPr>
            <w:tcW w:w="1195" w:type="dxa"/>
            <w:tcBorders>
              <w:bottom w:val="single" w:sz="4" w:space="0" w:color="auto"/>
            </w:tcBorders>
          </w:tcPr>
          <w:p w:rsidR="00000000" w:rsidRDefault="00000000">
            <w:pPr>
              <w:spacing w:before="40"/>
              <w:jc w:val="center"/>
              <w:rPr>
                <w:rFonts w:hint="eastAsia"/>
                <w:sz w:val="20"/>
                <w:lang w:val="fr-CH"/>
              </w:rPr>
            </w:pPr>
            <w:r>
              <w:rPr>
                <w:rFonts w:hint="eastAsia"/>
                <w:sz w:val="20"/>
                <w:lang w:val="fr-CH"/>
              </w:rPr>
              <w:t>绝对值</w:t>
            </w:r>
          </w:p>
        </w:tc>
      </w:tr>
      <w:tr w:rsidR="00000000">
        <w:tblPrEx>
          <w:tblCellMar>
            <w:top w:w="0" w:type="dxa"/>
          </w:tblCellMar>
        </w:tblPrEx>
        <w:tc>
          <w:tcPr>
            <w:tcW w:w="1800" w:type="dxa"/>
            <w:tcBorders>
              <w:top w:val="nil"/>
              <w:bottom w:val="nil"/>
            </w:tcBorders>
          </w:tcPr>
          <w:p w:rsidR="00000000" w:rsidRDefault="00000000">
            <w:pPr>
              <w:spacing w:before="40" w:line="240" w:lineRule="auto"/>
              <w:rPr>
                <w:rFonts w:hint="eastAsia"/>
                <w:sz w:val="20"/>
                <w:lang w:val="fr-CH"/>
              </w:rPr>
            </w:pPr>
            <w:r>
              <w:rPr>
                <w:rFonts w:hint="eastAsia"/>
                <w:sz w:val="20"/>
                <w:lang w:val="fr-CH"/>
              </w:rPr>
              <w:t>最低生活工资</w:t>
            </w:r>
          </w:p>
        </w:tc>
        <w:tc>
          <w:tcPr>
            <w:tcW w:w="1200" w:type="dxa"/>
            <w:tcBorders>
              <w:top w:val="nil"/>
              <w:bottom w:val="nil"/>
            </w:tcBorders>
          </w:tcPr>
          <w:p w:rsidR="00000000" w:rsidRDefault="00000000">
            <w:pPr>
              <w:spacing w:before="40" w:line="240" w:lineRule="auto"/>
              <w:ind w:right="155"/>
              <w:jc w:val="right"/>
              <w:rPr>
                <w:sz w:val="20"/>
                <w:lang w:val="fr-CH"/>
              </w:rPr>
            </w:pPr>
            <w:r>
              <w:rPr>
                <w:sz w:val="20"/>
                <w:lang w:val="fr-CH"/>
              </w:rPr>
              <w:t>32,000</w:t>
            </w:r>
          </w:p>
        </w:tc>
        <w:tc>
          <w:tcPr>
            <w:tcW w:w="1396" w:type="dxa"/>
            <w:tcBorders>
              <w:top w:val="nil"/>
              <w:bottom w:val="nil"/>
            </w:tcBorders>
          </w:tcPr>
          <w:p w:rsidR="00000000" w:rsidRDefault="00000000">
            <w:pPr>
              <w:spacing w:before="40" w:line="240" w:lineRule="auto"/>
              <w:ind w:right="170"/>
              <w:jc w:val="right"/>
              <w:rPr>
                <w:sz w:val="20"/>
                <w:lang w:val="fr-CH"/>
              </w:rPr>
            </w:pPr>
            <w:r>
              <w:rPr>
                <w:sz w:val="20"/>
                <w:lang w:val="fr-CH"/>
              </w:rPr>
              <w:t>32,000</w:t>
            </w:r>
          </w:p>
        </w:tc>
        <w:tc>
          <w:tcPr>
            <w:tcW w:w="1185" w:type="dxa"/>
            <w:tcBorders>
              <w:top w:val="nil"/>
              <w:bottom w:val="nil"/>
            </w:tcBorders>
          </w:tcPr>
          <w:p w:rsidR="00000000" w:rsidRDefault="00000000">
            <w:pPr>
              <w:spacing w:before="40" w:line="240" w:lineRule="auto"/>
              <w:ind w:right="159"/>
              <w:jc w:val="right"/>
              <w:rPr>
                <w:sz w:val="20"/>
                <w:lang w:val="fr-CH"/>
              </w:rPr>
            </w:pPr>
            <w:r>
              <w:rPr>
                <w:sz w:val="20"/>
                <w:lang w:val="fr-CH"/>
              </w:rPr>
              <w:t>40,000</w:t>
            </w:r>
          </w:p>
        </w:tc>
        <w:tc>
          <w:tcPr>
            <w:tcW w:w="1311" w:type="dxa"/>
            <w:tcBorders>
              <w:top w:val="nil"/>
              <w:bottom w:val="nil"/>
            </w:tcBorders>
          </w:tcPr>
          <w:p w:rsidR="00000000" w:rsidRDefault="00000000">
            <w:pPr>
              <w:spacing w:before="40" w:line="240" w:lineRule="auto"/>
              <w:ind w:right="159"/>
              <w:jc w:val="right"/>
              <w:rPr>
                <w:sz w:val="20"/>
                <w:lang w:val="fr-CH"/>
              </w:rPr>
            </w:pPr>
            <w:r>
              <w:rPr>
                <w:sz w:val="20"/>
                <w:lang w:val="fr-CH"/>
              </w:rPr>
              <w:t>60,000</w:t>
            </w:r>
          </w:p>
        </w:tc>
        <w:tc>
          <w:tcPr>
            <w:tcW w:w="1282" w:type="dxa"/>
            <w:tcBorders>
              <w:top w:val="nil"/>
              <w:bottom w:val="nil"/>
            </w:tcBorders>
          </w:tcPr>
          <w:p w:rsidR="00000000" w:rsidRDefault="00000000">
            <w:pPr>
              <w:spacing w:before="40" w:line="240" w:lineRule="auto"/>
              <w:ind w:right="159"/>
              <w:jc w:val="right"/>
              <w:rPr>
                <w:sz w:val="20"/>
                <w:lang w:val="fr-CH"/>
              </w:rPr>
            </w:pPr>
            <w:r>
              <w:rPr>
                <w:sz w:val="20"/>
                <w:lang w:val="fr-CH"/>
              </w:rPr>
              <w:t>87.50</w:t>
            </w:r>
          </w:p>
        </w:tc>
        <w:tc>
          <w:tcPr>
            <w:tcW w:w="1195" w:type="dxa"/>
            <w:tcBorders>
              <w:top w:val="nil"/>
              <w:bottom w:val="nil"/>
            </w:tcBorders>
          </w:tcPr>
          <w:p w:rsidR="00000000" w:rsidRDefault="00000000">
            <w:pPr>
              <w:spacing w:before="40" w:line="240" w:lineRule="auto"/>
              <w:ind w:right="159"/>
              <w:jc w:val="right"/>
              <w:rPr>
                <w:sz w:val="20"/>
                <w:lang w:val="fr-CH"/>
              </w:rPr>
            </w:pPr>
            <w:r>
              <w:rPr>
                <w:sz w:val="20"/>
                <w:lang w:val="fr-CH"/>
              </w:rPr>
              <w:t>28,000</w:t>
            </w:r>
          </w:p>
        </w:tc>
      </w:tr>
      <w:tr w:rsidR="00000000">
        <w:tblPrEx>
          <w:tblCellMar>
            <w:top w:w="0" w:type="dxa"/>
          </w:tblCellMar>
        </w:tblPrEx>
        <w:tc>
          <w:tcPr>
            <w:tcW w:w="1800" w:type="dxa"/>
            <w:tcBorders>
              <w:top w:val="nil"/>
              <w:bottom w:val="nil"/>
            </w:tcBorders>
          </w:tcPr>
          <w:p w:rsidR="00000000" w:rsidRDefault="00000000">
            <w:pPr>
              <w:spacing w:before="40" w:line="240" w:lineRule="auto"/>
              <w:rPr>
                <w:rFonts w:hint="eastAsia"/>
                <w:sz w:val="20"/>
                <w:lang w:val="fr-CH"/>
              </w:rPr>
            </w:pPr>
            <w:r>
              <w:rPr>
                <w:rFonts w:hint="eastAsia"/>
                <w:sz w:val="20"/>
                <w:lang w:val="fr-CH"/>
              </w:rPr>
              <w:t>生活费用补差</w:t>
            </w:r>
          </w:p>
        </w:tc>
        <w:tc>
          <w:tcPr>
            <w:tcW w:w="1200" w:type="dxa"/>
            <w:tcBorders>
              <w:top w:val="nil"/>
              <w:bottom w:val="nil"/>
            </w:tcBorders>
          </w:tcPr>
          <w:p w:rsidR="00000000" w:rsidRDefault="00000000">
            <w:pPr>
              <w:spacing w:before="40" w:line="240" w:lineRule="auto"/>
              <w:ind w:right="155"/>
              <w:jc w:val="right"/>
              <w:rPr>
                <w:sz w:val="20"/>
                <w:lang w:val="fr-CH"/>
              </w:rPr>
            </w:pPr>
            <w:r>
              <w:rPr>
                <w:sz w:val="20"/>
                <w:lang w:val="fr-CH"/>
              </w:rPr>
              <w:t>2,500</w:t>
            </w:r>
          </w:p>
        </w:tc>
        <w:tc>
          <w:tcPr>
            <w:tcW w:w="1396" w:type="dxa"/>
            <w:tcBorders>
              <w:top w:val="nil"/>
              <w:bottom w:val="nil"/>
            </w:tcBorders>
          </w:tcPr>
          <w:p w:rsidR="00000000" w:rsidRDefault="00000000">
            <w:pPr>
              <w:spacing w:before="40" w:line="240" w:lineRule="auto"/>
              <w:ind w:right="170"/>
              <w:jc w:val="right"/>
              <w:rPr>
                <w:sz w:val="20"/>
                <w:lang w:val="fr-CH"/>
              </w:rPr>
            </w:pPr>
            <w:r>
              <w:rPr>
                <w:sz w:val="20"/>
                <w:lang w:val="fr-CH"/>
              </w:rPr>
              <w:t>2,500</w:t>
            </w:r>
          </w:p>
        </w:tc>
        <w:tc>
          <w:tcPr>
            <w:tcW w:w="1185" w:type="dxa"/>
            <w:tcBorders>
              <w:top w:val="nil"/>
              <w:bottom w:val="nil"/>
            </w:tcBorders>
          </w:tcPr>
          <w:p w:rsidR="00000000" w:rsidRDefault="00000000">
            <w:pPr>
              <w:spacing w:before="40" w:line="240" w:lineRule="auto"/>
              <w:ind w:right="159"/>
              <w:jc w:val="right"/>
              <w:rPr>
                <w:sz w:val="20"/>
                <w:lang w:val="fr-CH"/>
              </w:rPr>
            </w:pPr>
            <w:r>
              <w:rPr>
                <w:sz w:val="20"/>
                <w:lang w:val="fr-CH"/>
              </w:rPr>
              <w:t>20,000</w:t>
            </w:r>
          </w:p>
        </w:tc>
        <w:tc>
          <w:tcPr>
            <w:tcW w:w="1311" w:type="dxa"/>
            <w:tcBorders>
              <w:top w:val="nil"/>
              <w:bottom w:val="nil"/>
            </w:tcBorders>
          </w:tcPr>
          <w:p w:rsidR="00000000" w:rsidRDefault="00000000">
            <w:pPr>
              <w:spacing w:before="40" w:line="240" w:lineRule="auto"/>
              <w:ind w:right="159"/>
              <w:jc w:val="right"/>
              <w:rPr>
                <w:sz w:val="20"/>
                <w:lang w:val="fr-CH"/>
              </w:rPr>
            </w:pPr>
            <w:r>
              <w:rPr>
                <w:sz w:val="20"/>
                <w:lang w:val="fr-CH"/>
              </w:rPr>
              <w:t>20,000</w:t>
            </w:r>
          </w:p>
        </w:tc>
        <w:tc>
          <w:tcPr>
            <w:tcW w:w="1282" w:type="dxa"/>
            <w:tcBorders>
              <w:top w:val="nil"/>
              <w:bottom w:val="nil"/>
            </w:tcBorders>
          </w:tcPr>
          <w:p w:rsidR="00000000" w:rsidRDefault="00000000">
            <w:pPr>
              <w:spacing w:before="40" w:line="240" w:lineRule="auto"/>
              <w:ind w:right="159"/>
              <w:jc w:val="right"/>
              <w:rPr>
                <w:sz w:val="20"/>
                <w:lang w:val="fr-CH"/>
              </w:rPr>
            </w:pPr>
            <w:r>
              <w:rPr>
                <w:sz w:val="20"/>
                <w:lang w:val="fr-CH"/>
              </w:rPr>
              <w:t>1,233.33</w:t>
            </w:r>
          </w:p>
        </w:tc>
        <w:tc>
          <w:tcPr>
            <w:tcW w:w="1195" w:type="dxa"/>
            <w:tcBorders>
              <w:top w:val="nil"/>
              <w:bottom w:val="nil"/>
            </w:tcBorders>
          </w:tcPr>
          <w:p w:rsidR="00000000" w:rsidRDefault="00000000">
            <w:pPr>
              <w:spacing w:before="40" w:line="240" w:lineRule="auto"/>
              <w:ind w:right="159"/>
              <w:jc w:val="right"/>
              <w:rPr>
                <w:sz w:val="20"/>
                <w:lang w:val="fr-CH"/>
              </w:rPr>
            </w:pPr>
            <w:r>
              <w:rPr>
                <w:sz w:val="20"/>
                <w:lang w:val="fr-CH"/>
              </w:rPr>
              <w:t>17,500</w:t>
            </w:r>
          </w:p>
        </w:tc>
      </w:tr>
      <w:tr w:rsidR="00000000">
        <w:tblPrEx>
          <w:tblCellMar>
            <w:top w:w="0" w:type="dxa"/>
          </w:tblCellMar>
        </w:tblPrEx>
        <w:tc>
          <w:tcPr>
            <w:tcW w:w="1800" w:type="dxa"/>
            <w:tcBorders>
              <w:top w:val="nil"/>
              <w:bottom w:val="nil"/>
            </w:tcBorders>
          </w:tcPr>
          <w:p w:rsidR="00000000" w:rsidRDefault="00000000">
            <w:pPr>
              <w:spacing w:before="40" w:line="240" w:lineRule="auto"/>
              <w:rPr>
                <w:rFonts w:hint="eastAsia"/>
                <w:sz w:val="20"/>
                <w:lang w:val="fr-CH"/>
              </w:rPr>
            </w:pPr>
            <w:r>
              <w:rPr>
                <w:rFonts w:hint="eastAsia"/>
                <w:sz w:val="20"/>
                <w:lang w:val="fr-CH"/>
              </w:rPr>
              <w:t>奖金</w:t>
            </w:r>
          </w:p>
        </w:tc>
        <w:tc>
          <w:tcPr>
            <w:tcW w:w="1200" w:type="dxa"/>
            <w:tcBorders>
              <w:top w:val="nil"/>
              <w:bottom w:val="nil"/>
            </w:tcBorders>
          </w:tcPr>
          <w:p w:rsidR="00000000" w:rsidRDefault="00000000">
            <w:pPr>
              <w:spacing w:before="40" w:line="240" w:lineRule="auto"/>
              <w:ind w:right="155"/>
              <w:jc w:val="right"/>
              <w:rPr>
                <w:sz w:val="20"/>
                <w:lang w:val="fr-CH"/>
              </w:rPr>
            </w:pPr>
            <w:r>
              <w:rPr>
                <w:sz w:val="20"/>
                <w:lang w:val="fr-CH"/>
              </w:rPr>
              <w:t>1,000</w:t>
            </w:r>
          </w:p>
        </w:tc>
        <w:tc>
          <w:tcPr>
            <w:tcW w:w="1396" w:type="dxa"/>
            <w:tcBorders>
              <w:top w:val="nil"/>
              <w:bottom w:val="nil"/>
            </w:tcBorders>
          </w:tcPr>
          <w:p w:rsidR="00000000" w:rsidRDefault="00000000">
            <w:pPr>
              <w:spacing w:before="40" w:line="240" w:lineRule="auto"/>
              <w:ind w:right="170"/>
              <w:jc w:val="right"/>
              <w:rPr>
                <w:sz w:val="20"/>
                <w:lang w:val="fr-CH"/>
              </w:rPr>
            </w:pPr>
            <w:r>
              <w:rPr>
                <w:sz w:val="20"/>
                <w:lang w:val="fr-CH"/>
              </w:rPr>
              <w:t>1,000</w:t>
            </w:r>
          </w:p>
        </w:tc>
        <w:tc>
          <w:tcPr>
            <w:tcW w:w="1185" w:type="dxa"/>
            <w:tcBorders>
              <w:top w:val="nil"/>
              <w:bottom w:val="nil"/>
            </w:tcBorders>
          </w:tcPr>
          <w:p w:rsidR="00000000" w:rsidRDefault="00000000">
            <w:pPr>
              <w:spacing w:before="40" w:line="240" w:lineRule="auto"/>
              <w:ind w:right="159"/>
              <w:jc w:val="right"/>
              <w:rPr>
                <w:sz w:val="20"/>
                <w:lang w:val="fr-CH"/>
              </w:rPr>
            </w:pPr>
            <w:r>
              <w:rPr>
                <w:sz w:val="20"/>
                <w:lang w:val="fr-CH"/>
              </w:rPr>
              <w:t>1,000</w:t>
            </w:r>
          </w:p>
        </w:tc>
        <w:tc>
          <w:tcPr>
            <w:tcW w:w="1311" w:type="dxa"/>
            <w:tcBorders>
              <w:top w:val="nil"/>
              <w:bottom w:val="nil"/>
            </w:tcBorders>
          </w:tcPr>
          <w:p w:rsidR="00000000" w:rsidRDefault="00000000">
            <w:pPr>
              <w:spacing w:before="40" w:line="240" w:lineRule="auto"/>
              <w:ind w:right="159"/>
              <w:jc w:val="right"/>
              <w:rPr>
                <w:sz w:val="20"/>
                <w:lang w:val="fr-CH"/>
              </w:rPr>
            </w:pPr>
            <w:r>
              <w:rPr>
                <w:sz w:val="20"/>
                <w:lang w:val="fr-CH"/>
              </w:rPr>
              <w:t>1,000</w:t>
            </w:r>
          </w:p>
        </w:tc>
        <w:tc>
          <w:tcPr>
            <w:tcW w:w="1282" w:type="dxa"/>
            <w:tcBorders>
              <w:top w:val="nil"/>
              <w:bottom w:val="nil"/>
            </w:tcBorders>
          </w:tcPr>
          <w:p w:rsidR="00000000" w:rsidRDefault="00000000">
            <w:pPr>
              <w:spacing w:before="40" w:line="240" w:lineRule="auto"/>
              <w:ind w:right="159"/>
              <w:jc w:val="right"/>
              <w:rPr>
                <w:sz w:val="20"/>
                <w:lang w:val="fr-CH"/>
              </w:rPr>
            </w:pPr>
            <w:r>
              <w:rPr>
                <w:sz w:val="20"/>
                <w:lang w:val="fr-CH"/>
              </w:rPr>
              <w:t>100.00</w:t>
            </w:r>
          </w:p>
        </w:tc>
        <w:tc>
          <w:tcPr>
            <w:tcW w:w="1195" w:type="dxa"/>
            <w:tcBorders>
              <w:top w:val="nil"/>
              <w:bottom w:val="nil"/>
            </w:tcBorders>
          </w:tcPr>
          <w:p w:rsidR="00000000" w:rsidRDefault="00000000">
            <w:pPr>
              <w:spacing w:before="40" w:line="240" w:lineRule="auto"/>
              <w:ind w:right="159"/>
              <w:jc w:val="right"/>
              <w:rPr>
                <w:sz w:val="20"/>
                <w:lang w:val="fr-CH"/>
              </w:rPr>
            </w:pPr>
            <w:r>
              <w:rPr>
                <w:sz w:val="20"/>
                <w:lang w:val="fr-CH"/>
              </w:rPr>
              <w:t>0</w:t>
            </w:r>
          </w:p>
        </w:tc>
      </w:tr>
      <w:tr w:rsidR="00000000">
        <w:tblPrEx>
          <w:tblCellMar>
            <w:top w:w="0" w:type="dxa"/>
          </w:tblCellMar>
        </w:tblPrEx>
        <w:tc>
          <w:tcPr>
            <w:tcW w:w="1800" w:type="dxa"/>
            <w:tcBorders>
              <w:top w:val="nil"/>
              <w:bottom w:val="nil"/>
            </w:tcBorders>
          </w:tcPr>
          <w:p w:rsidR="00000000" w:rsidRDefault="00000000">
            <w:pPr>
              <w:spacing w:before="40" w:line="240" w:lineRule="auto"/>
              <w:rPr>
                <w:rFonts w:hint="eastAsia"/>
                <w:sz w:val="20"/>
                <w:lang w:val="fr-CH"/>
              </w:rPr>
            </w:pPr>
            <w:r>
              <w:rPr>
                <w:rFonts w:hint="eastAsia"/>
                <w:sz w:val="20"/>
                <w:lang w:val="fr-CH"/>
              </w:rPr>
              <w:t>差旅费</w:t>
            </w:r>
          </w:p>
        </w:tc>
        <w:tc>
          <w:tcPr>
            <w:tcW w:w="1200" w:type="dxa"/>
            <w:tcBorders>
              <w:top w:val="nil"/>
              <w:bottom w:val="nil"/>
            </w:tcBorders>
          </w:tcPr>
          <w:p w:rsidR="00000000" w:rsidRDefault="00000000">
            <w:pPr>
              <w:spacing w:before="40" w:line="240" w:lineRule="auto"/>
              <w:ind w:right="155"/>
              <w:jc w:val="right"/>
              <w:rPr>
                <w:sz w:val="20"/>
                <w:lang w:val="fr-CH"/>
              </w:rPr>
            </w:pPr>
            <w:r>
              <w:rPr>
                <w:sz w:val="20"/>
                <w:lang w:val="fr-CH"/>
              </w:rPr>
              <w:t>2,400</w:t>
            </w:r>
          </w:p>
        </w:tc>
        <w:tc>
          <w:tcPr>
            <w:tcW w:w="1396" w:type="dxa"/>
            <w:tcBorders>
              <w:top w:val="nil"/>
              <w:bottom w:val="nil"/>
            </w:tcBorders>
          </w:tcPr>
          <w:p w:rsidR="00000000" w:rsidRDefault="00000000">
            <w:pPr>
              <w:spacing w:before="40" w:line="240" w:lineRule="auto"/>
              <w:ind w:right="170"/>
              <w:jc w:val="right"/>
              <w:rPr>
                <w:sz w:val="20"/>
                <w:lang w:val="fr-CH"/>
              </w:rPr>
            </w:pPr>
            <w:r>
              <w:rPr>
                <w:sz w:val="20"/>
                <w:lang w:val="fr-CH"/>
              </w:rPr>
              <w:t>3,200</w:t>
            </w:r>
          </w:p>
        </w:tc>
        <w:tc>
          <w:tcPr>
            <w:tcW w:w="1185" w:type="dxa"/>
            <w:tcBorders>
              <w:top w:val="nil"/>
              <w:bottom w:val="nil"/>
            </w:tcBorders>
          </w:tcPr>
          <w:p w:rsidR="00000000" w:rsidRDefault="00000000">
            <w:pPr>
              <w:spacing w:before="40" w:line="240" w:lineRule="auto"/>
              <w:ind w:right="159"/>
              <w:jc w:val="right"/>
              <w:rPr>
                <w:sz w:val="20"/>
                <w:lang w:val="fr-CH"/>
              </w:rPr>
            </w:pPr>
            <w:r>
              <w:rPr>
                <w:sz w:val="20"/>
                <w:lang w:val="fr-CH"/>
              </w:rPr>
              <w:t>4,000</w:t>
            </w:r>
          </w:p>
        </w:tc>
        <w:tc>
          <w:tcPr>
            <w:tcW w:w="1311" w:type="dxa"/>
            <w:tcBorders>
              <w:top w:val="nil"/>
              <w:bottom w:val="nil"/>
            </w:tcBorders>
          </w:tcPr>
          <w:p w:rsidR="00000000" w:rsidRDefault="00000000">
            <w:pPr>
              <w:spacing w:before="40" w:line="240" w:lineRule="auto"/>
              <w:ind w:right="159"/>
              <w:jc w:val="right"/>
              <w:rPr>
                <w:sz w:val="20"/>
                <w:lang w:val="fr-CH"/>
              </w:rPr>
            </w:pPr>
            <w:r>
              <w:rPr>
                <w:sz w:val="20"/>
                <w:lang w:val="fr-CH"/>
              </w:rPr>
              <w:t>7,200</w:t>
            </w:r>
          </w:p>
        </w:tc>
        <w:tc>
          <w:tcPr>
            <w:tcW w:w="1282" w:type="dxa"/>
            <w:tcBorders>
              <w:top w:val="nil"/>
              <w:bottom w:val="nil"/>
            </w:tcBorders>
          </w:tcPr>
          <w:p w:rsidR="00000000" w:rsidRDefault="00000000">
            <w:pPr>
              <w:spacing w:before="40" w:line="240" w:lineRule="auto"/>
              <w:ind w:right="159"/>
              <w:jc w:val="right"/>
              <w:rPr>
                <w:sz w:val="20"/>
                <w:lang w:val="fr-CH"/>
              </w:rPr>
            </w:pPr>
            <w:r>
              <w:rPr>
                <w:sz w:val="20"/>
                <w:lang w:val="fr-CH"/>
              </w:rPr>
              <w:t>260.00</w:t>
            </w:r>
          </w:p>
        </w:tc>
        <w:tc>
          <w:tcPr>
            <w:tcW w:w="1195" w:type="dxa"/>
            <w:tcBorders>
              <w:top w:val="nil"/>
              <w:bottom w:val="nil"/>
            </w:tcBorders>
          </w:tcPr>
          <w:p w:rsidR="00000000" w:rsidRDefault="00000000">
            <w:pPr>
              <w:spacing w:before="40" w:line="240" w:lineRule="auto"/>
              <w:ind w:right="159"/>
              <w:jc w:val="right"/>
              <w:rPr>
                <w:sz w:val="20"/>
                <w:lang w:val="fr-CH"/>
              </w:rPr>
            </w:pPr>
            <w:r>
              <w:rPr>
                <w:sz w:val="20"/>
                <w:lang w:val="fr-CH"/>
              </w:rPr>
              <w:t>4,800</w:t>
            </w:r>
          </w:p>
        </w:tc>
      </w:tr>
      <w:tr w:rsidR="00000000">
        <w:tblPrEx>
          <w:tblCellMar>
            <w:top w:w="0" w:type="dxa"/>
          </w:tblCellMar>
        </w:tblPrEx>
        <w:tc>
          <w:tcPr>
            <w:tcW w:w="1800" w:type="dxa"/>
            <w:tcBorders>
              <w:top w:val="nil"/>
              <w:bottom w:val="nil"/>
            </w:tcBorders>
          </w:tcPr>
          <w:p w:rsidR="00000000" w:rsidRDefault="00000000">
            <w:pPr>
              <w:spacing w:before="40" w:line="240" w:lineRule="auto"/>
              <w:rPr>
                <w:rFonts w:hint="eastAsia"/>
                <w:sz w:val="20"/>
                <w:lang w:val="fr-CH"/>
              </w:rPr>
            </w:pPr>
            <w:r>
              <w:rPr>
                <w:rFonts w:hint="eastAsia"/>
                <w:sz w:val="20"/>
                <w:lang w:val="fr-CH"/>
              </w:rPr>
              <w:t>每月名义工资</w:t>
            </w:r>
          </w:p>
        </w:tc>
        <w:tc>
          <w:tcPr>
            <w:tcW w:w="1200" w:type="dxa"/>
            <w:tcBorders>
              <w:top w:val="nil"/>
              <w:bottom w:val="nil"/>
            </w:tcBorders>
          </w:tcPr>
          <w:p w:rsidR="00000000" w:rsidRDefault="00000000">
            <w:pPr>
              <w:spacing w:before="40" w:line="240" w:lineRule="auto"/>
              <w:ind w:right="155"/>
              <w:jc w:val="right"/>
              <w:rPr>
                <w:sz w:val="20"/>
                <w:lang w:val="fr-CH"/>
              </w:rPr>
            </w:pPr>
            <w:r>
              <w:rPr>
                <w:sz w:val="20"/>
                <w:lang w:val="fr-CH"/>
              </w:rPr>
              <w:t>37,900</w:t>
            </w:r>
          </w:p>
        </w:tc>
        <w:tc>
          <w:tcPr>
            <w:tcW w:w="1396" w:type="dxa"/>
            <w:tcBorders>
              <w:top w:val="nil"/>
              <w:bottom w:val="nil"/>
            </w:tcBorders>
          </w:tcPr>
          <w:p w:rsidR="00000000" w:rsidRDefault="00000000">
            <w:pPr>
              <w:spacing w:before="40" w:line="240" w:lineRule="auto"/>
              <w:ind w:right="170"/>
              <w:jc w:val="right"/>
              <w:rPr>
                <w:sz w:val="20"/>
                <w:lang w:val="fr-CH"/>
              </w:rPr>
            </w:pPr>
            <w:r>
              <w:rPr>
                <w:sz w:val="20"/>
                <w:lang w:val="fr-CH"/>
              </w:rPr>
              <w:t>38,700</w:t>
            </w:r>
          </w:p>
        </w:tc>
        <w:tc>
          <w:tcPr>
            <w:tcW w:w="1185" w:type="dxa"/>
            <w:tcBorders>
              <w:top w:val="nil"/>
              <w:bottom w:val="nil"/>
            </w:tcBorders>
          </w:tcPr>
          <w:p w:rsidR="00000000" w:rsidRDefault="00000000">
            <w:pPr>
              <w:spacing w:before="40" w:line="240" w:lineRule="auto"/>
              <w:ind w:right="159"/>
              <w:jc w:val="right"/>
              <w:rPr>
                <w:sz w:val="20"/>
                <w:lang w:val="fr-CH"/>
              </w:rPr>
            </w:pPr>
            <w:r>
              <w:rPr>
                <w:sz w:val="20"/>
                <w:lang w:val="fr-CH"/>
              </w:rPr>
              <w:t>65,000</w:t>
            </w:r>
          </w:p>
        </w:tc>
        <w:tc>
          <w:tcPr>
            <w:tcW w:w="1311" w:type="dxa"/>
            <w:tcBorders>
              <w:top w:val="nil"/>
              <w:bottom w:val="nil"/>
            </w:tcBorders>
          </w:tcPr>
          <w:p w:rsidR="00000000" w:rsidRDefault="00000000">
            <w:pPr>
              <w:spacing w:before="40" w:line="240" w:lineRule="auto"/>
              <w:ind w:right="159"/>
              <w:jc w:val="right"/>
              <w:rPr>
                <w:sz w:val="20"/>
                <w:lang w:val="fr-CH"/>
              </w:rPr>
            </w:pPr>
            <w:r>
              <w:rPr>
                <w:sz w:val="20"/>
                <w:lang w:val="fr-CH"/>
              </w:rPr>
              <w:t>88,200</w:t>
            </w:r>
          </w:p>
        </w:tc>
        <w:tc>
          <w:tcPr>
            <w:tcW w:w="1282" w:type="dxa"/>
            <w:tcBorders>
              <w:top w:val="nil"/>
              <w:bottom w:val="nil"/>
            </w:tcBorders>
          </w:tcPr>
          <w:p w:rsidR="00000000" w:rsidRDefault="00000000">
            <w:pPr>
              <w:spacing w:before="40" w:line="240" w:lineRule="auto"/>
              <w:ind w:right="159"/>
              <w:jc w:val="right"/>
              <w:rPr>
                <w:sz w:val="20"/>
                <w:lang w:val="fr-CH"/>
              </w:rPr>
            </w:pPr>
            <w:r>
              <w:rPr>
                <w:sz w:val="20"/>
                <w:lang w:val="fr-CH"/>
              </w:rPr>
              <w:t>132.72</w:t>
            </w:r>
          </w:p>
        </w:tc>
        <w:tc>
          <w:tcPr>
            <w:tcW w:w="1195" w:type="dxa"/>
            <w:tcBorders>
              <w:top w:val="nil"/>
              <w:bottom w:val="nil"/>
            </w:tcBorders>
          </w:tcPr>
          <w:p w:rsidR="00000000" w:rsidRDefault="00000000">
            <w:pPr>
              <w:spacing w:before="40" w:line="240" w:lineRule="auto"/>
              <w:ind w:right="159"/>
              <w:jc w:val="right"/>
              <w:rPr>
                <w:sz w:val="20"/>
                <w:lang w:val="fr-CH"/>
              </w:rPr>
            </w:pPr>
            <w:r>
              <w:rPr>
                <w:sz w:val="20"/>
                <w:lang w:val="fr-CH"/>
              </w:rPr>
              <w:t>50,300</w:t>
            </w:r>
          </w:p>
        </w:tc>
      </w:tr>
      <w:tr w:rsidR="00000000">
        <w:tblPrEx>
          <w:tblCellMar>
            <w:top w:w="0" w:type="dxa"/>
          </w:tblCellMar>
        </w:tblPrEx>
        <w:tc>
          <w:tcPr>
            <w:tcW w:w="1800" w:type="dxa"/>
            <w:tcBorders>
              <w:top w:val="nil"/>
              <w:bottom w:val="nil"/>
            </w:tcBorders>
          </w:tcPr>
          <w:p w:rsidR="00000000" w:rsidRDefault="00000000">
            <w:pPr>
              <w:spacing w:before="40" w:line="240" w:lineRule="auto"/>
              <w:rPr>
                <w:rFonts w:hint="eastAsia"/>
                <w:sz w:val="20"/>
                <w:lang w:val="fr-CH"/>
              </w:rPr>
            </w:pPr>
            <w:r>
              <w:rPr>
                <w:rFonts w:hint="eastAsia"/>
                <w:sz w:val="20"/>
                <w:lang w:val="fr-CH"/>
              </w:rPr>
              <w:t>第</w:t>
            </w:r>
            <w:r>
              <w:rPr>
                <w:rFonts w:hint="eastAsia"/>
                <w:sz w:val="20"/>
                <w:lang w:val="fr-CH"/>
              </w:rPr>
              <w:t>13</w:t>
            </w:r>
            <w:r>
              <w:rPr>
                <w:rFonts w:hint="eastAsia"/>
                <w:sz w:val="20"/>
                <w:lang w:val="fr-CH"/>
              </w:rPr>
              <w:t>个月工资</w:t>
            </w:r>
          </w:p>
        </w:tc>
        <w:tc>
          <w:tcPr>
            <w:tcW w:w="1200" w:type="dxa"/>
            <w:tcBorders>
              <w:top w:val="nil"/>
              <w:bottom w:val="nil"/>
            </w:tcBorders>
          </w:tcPr>
          <w:p w:rsidR="00000000" w:rsidRDefault="00000000">
            <w:pPr>
              <w:spacing w:before="40" w:line="240" w:lineRule="auto"/>
              <w:ind w:right="155"/>
              <w:jc w:val="right"/>
              <w:rPr>
                <w:sz w:val="20"/>
                <w:lang w:val="fr-CH"/>
              </w:rPr>
            </w:pPr>
            <w:r>
              <w:rPr>
                <w:sz w:val="20"/>
                <w:lang w:val="fr-CH"/>
              </w:rPr>
              <w:t>2,667</w:t>
            </w:r>
          </w:p>
        </w:tc>
        <w:tc>
          <w:tcPr>
            <w:tcW w:w="1396" w:type="dxa"/>
            <w:tcBorders>
              <w:top w:val="nil"/>
              <w:bottom w:val="nil"/>
            </w:tcBorders>
          </w:tcPr>
          <w:p w:rsidR="00000000" w:rsidRDefault="00000000">
            <w:pPr>
              <w:spacing w:before="40" w:line="240" w:lineRule="auto"/>
              <w:ind w:right="170"/>
              <w:jc w:val="right"/>
              <w:rPr>
                <w:sz w:val="20"/>
                <w:lang w:val="fr-CH"/>
              </w:rPr>
            </w:pPr>
            <w:r>
              <w:rPr>
                <w:sz w:val="20"/>
                <w:lang w:val="fr-CH"/>
              </w:rPr>
              <w:t>2,667</w:t>
            </w:r>
          </w:p>
        </w:tc>
        <w:tc>
          <w:tcPr>
            <w:tcW w:w="1185" w:type="dxa"/>
            <w:tcBorders>
              <w:top w:val="nil"/>
              <w:bottom w:val="nil"/>
            </w:tcBorders>
          </w:tcPr>
          <w:p w:rsidR="00000000" w:rsidRDefault="00000000">
            <w:pPr>
              <w:spacing w:before="40" w:line="240" w:lineRule="auto"/>
              <w:ind w:right="159"/>
              <w:jc w:val="right"/>
              <w:rPr>
                <w:sz w:val="20"/>
                <w:lang w:val="fr-CH"/>
              </w:rPr>
            </w:pPr>
            <w:r>
              <w:rPr>
                <w:sz w:val="20"/>
                <w:lang w:val="fr-CH"/>
              </w:rPr>
              <w:t>3,333</w:t>
            </w:r>
          </w:p>
        </w:tc>
        <w:tc>
          <w:tcPr>
            <w:tcW w:w="1311" w:type="dxa"/>
            <w:tcBorders>
              <w:top w:val="nil"/>
              <w:bottom w:val="nil"/>
            </w:tcBorders>
          </w:tcPr>
          <w:p w:rsidR="00000000" w:rsidRDefault="00000000">
            <w:pPr>
              <w:spacing w:before="40" w:line="240" w:lineRule="auto"/>
              <w:ind w:right="159"/>
              <w:jc w:val="right"/>
              <w:rPr>
                <w:sz w:val="20"/>
                <w:lang w:val="fr-CH"/>
              </w:rPr>
            </w:pPr>
            <w:r>
              <w:rPr>
                <w:sz w:val="20"/>
                <w:lang w:val="fr-CH"/>
              </w:rPr>
              <w:t>5,000</w:t>
            </w:r>
          </w:p>
        </w:tc>
        <w:tc>
          <w:tcPr>
            <w:tcW w:w="1282" w:type="dxa"/>
            <w:tcBorders>
              <w:top w:val="nil"/>
              <w:bottom w:val="nil"/>
            </w:tcBorders>
          </w:tcPr>
          <w:p w:rsidR="00000000" w:rsidRDefault="00000000">
            <w:pPr>
              <w:spacing w:before="40" w:line="240" w:lineRule="auto"/>
              <w:ind w:right="159"/>
              <w:jc w:val="right"/>
              <w:rPr>
                <w:sz w:val="20"/>
                <w:lang w:val="fr-CH"/>
              </w:rPr>
            </w:pPr>
            <w:r>
              <w:rPr>
                <w:sz w:val="20"/>
                <w:lang w:val="fr-CH"/>
              </w:rPr>
              <w:t>122.22</w:t>
            </w:r>
          </w:p>
        </w:tc>
        <w:tc>
          <w:tcPr>
            <w:tcW w:w="1195" w:type="dxa"/>
            <w:tcBorders>
              <w:top w:val="nil"/>
              <w:bottom w:val="nil"/>
            </w:tcBorders>
          </w:tcPr>
          <w:p w:rsidR="00000000" w:rsidRDefault="00000000">
            <w:pPr>
              <w:spacing w:before="40" w:line="240" w:lineRule="auto"/>
              <w:ind w:right="159"/>
              <w:jc w:val="right"/>
              <w:rPr>
                <w:sz w:val="20"/>
                <w:lang w:val="fr-CH"/>
              </w:rPr>
            </w:pPr>
            <w:r>
              <w:rPr>
                <w:sz w:val="20"/>
                <w:lang w:val="fr-CH"/>
              </w:rPr>
              <w:t>2,333</w:t>
            </w:r>
          </w:p>
        </w:tc>
      </w:tr>
      <w:tr w:rsidR="00000000">
        <w:tblPrEx>
          <w:tblCellMar>
            <w:top w:w="0" w:type="dxa"/>
          </w:tblCellMar>
        </w:tblPrEx>
        <w:tc>
          <w:tcPr>
            <w:tcW w:w="1800" w:type="dxa"/>
            <w:tcBorders>
              <w:top w:val="nil"/>
              <w:bottom w:val="nil"/>
            </w:tcBorders>
          </w:tcPr>
          <w:p w:rsidR="00000000" w:rsidRDefault="00000000">
            <w:pPr>
              <w:spacing w:before="40" w:line="240" w:lineRule="auto"/>
              <w:rPr>
                <w:sz w:val="20"/>
                <w:lang w:val="fr-CH"/>
              </w:rPr>
            </w:pPr>
            <w:r>
              <w:rPr>
                <w:rFonts w:hint="eastAsia"/>
                <w:sz w:val="20"/>
                <w:lang w:val="fr-CH"/>
              </w:rPr>
              <w:t>第</w:t>
            </w:r>
            <w:r>
              <w:rPr>
                <w:rFonts w:hint="eastAsia"/>
                <w:sz w:val="20"/>
                <w:lang w:val="fr-CH"/>
              </w:rPr>
              <w:t>14</w:t>
            </w:r>
            <w:r>
              <w:rPr>
                <w:rFonts w:hint="eastAsia"/>
                <w:sz w:val="20"/>
                <w:lang w:val="fr-CH"/>
              </w:rPr>
              <w:t>个月工资</w:t>
            </w:r>
          </w:p>
        </w:tc>
        <w:tc>
          <w:tcPr>
            <w:tcW w:w="1200" w:type="dxa"/>
            <w:tcBorders>
              <w:top w:val="nil"/>
              <w:bottom w:val="nil"/>
            </w:tcBorders>
          </w:tcPr>
          <w:p w:rsidR="00000000" w:rsidRDefault="00000000">
            <w:pPr>
              <w:spacing w:before="40" w:line="240" w:lineRule="auto"/>
              <w:ind w:right="155"/>
              <w:jc w:val="right"/>
              <w:rPr>
                <w:sz w:val="20"/>
                <w:lang w:val="fr-CH"/>
              </w:rPr>
            </w:pPr>
            <w:r>
              <w:rPr>
                <w:sz w:val="20"/>
                <w:lang w:val="fr-CH"/>
              </w:rPr>
              <w:t>5,333</w:t>
            </w:r>
          </w:p>
        </w:tc>
        <w:tc>
          <w:tcPr>
            <w:tcW w:w="1396" w:type="dxa"/>
            <w:tcBorders>
              <w:top w:val="nil"/>
              <w:bottom w:val="nil"/>
            </w:tcBorders>
          </w:tcPr>
          <w:p w:rsidR="00000000" w:rsidRDefault="00000000">
            <w:pPr>
              <w:spacing w:before="40" w:line="240" w:lineRule="auto"/>
              <w:ind w:right="170"/>
              <w:jc w:val="right"/>
              <w:rPr>
                <w:sz w:val="20"/>
                <w:lang w:val="fr-CH"/>
              </w:rPr>
            </w:pPr>
            <w:r>
              <w:rPr>
                <w:sz w:val="20"/>
                <w:lang w:val="fr-CH"/>
              </w:rPr>
              <w:t>5,333</w:t>
            </w:r>
          </w:p>
        </w:tc>
        <w:tc>
          <w:tcPr>
            <w:tcW w:w="1185" w:type="dxa"/>
            <w:tcBorders>
              <w:top w:val="nil"/>
              <w:bottom w:val="nil"/>
            </w:tcBorders>
          </w:tcPr>
          <w:p w:rsidR="00000000" w:rsidRDefault="00000000">
            <w:pPr>
              <w:spacing w:before="40" w:line="240" w:lineRule="auto"/>
              <w:ind w:right="159"/>
              <w:jc w:val="right"/>
              <w:rPr>
                <w:sz w:val="20"/>
                <w:lang w:val="fr-CH"/>
              </w:rPr>
            </w:pPr>
            <w:r>
              <w:rPr>
                <w:sz w:val="20"/>
                <w:lang w:val="fr-CH"/>
              </w:rPr>
              <w:t>6,667</w:t>
            </w:r>
          </w:p>
        </w:tc>
        <w:tc>
          <w:tcPr>
            <w:tcW w:w="1311" w:type="dxa"/>
            <w:tcBorders>
              <w:top w:val="nil"/>
              <w:bottom w:val="nil"/>
            </w:tcBorders>
          </w:tcPr>
          <w:p w:rsidR="00000000" w:rsidRDefault="00000000">
            <w:pPr>
              <w:spacing w:before="40" w:line="240" w:lineRule="auto"/>
              <w:ind w:right="159"/>
              <w:jc w:val="right"/>
              <w:rPr>
                <w:sz w:val="20"/>
                <w:lang w:val="fr-CH"/>
              </w:rPr>
            </w:pPr>
            <w:r>
              <w:rPr>
                <w:sz w:val="20"/>
                <w:lang w:val="fr-CH"/>
              </w:rPr>
              <w:t>10,000</w:t>
            </w:r>
          </w:p>
        </w:tc>
        <w:tc>
          <w:tcPr>
            <w:tcW w:w="1282" w:type="dxa"/>
            <w:tcBorders>
              <w:top w:val="nil"/>
              <w:bottom w:val="nil"/>
            </w:tcBorders>
          </w:tcPr>
          <w:p w:rsidR="00000000" w:rsidRDefault="00000000">
            <w:pPr>
              <w:spacing w:before="40" w:line="240" w:lineRule="auto"/>
              <w:ind w:right="159"/>
              <w:jc w:val="right"/>
              <w:rPr>
                <w:sz w:val="20"/>
                <w:lang w:val="fr-CH"/>
              </w:rPr>
            </w:pPr>
            <w:r>
              <w:rPr>
                <w:sz w:val="20"/>
                <w:lang w:val="fr-CH"/>
              </w:rPr>
              <w:t>122.22</w:t>
            </w:r>
          </w:p>
        </w:tc>
        <w:tc>
          <w:tcPr>
            <w:tcW w:w="1195" w:type="dxa"/>
            <w:tcBorders>
              <w:top w:val="nil"/>
              <w:bottom w:val="nil"/>
            </w:tcBorders>
          </w:tcPr>
          <w:p w:rsidR="00000000" w:rsidRDefault="00000000">
            <w:pPr>
              <w:spacing w:before="40" w:line="240" w:lineRule="auto"/>
              <w:ind w:right="159"/>
              <w:jc w:val="right"/>
              <w:rPr>
                <w:sz w:val="20"/>
                <w:lang w:val="fr-CH"/>
              </w:rPr>
            </w:pPr>
            <w:r>
              <w:rPr>
                <w:sz w:val="20"/>
                <w:lang w:val="fr-CH"/>
              </w:rPr>
              <w:t>4,667</w:t>
            </w:r>
          </w:p>
        </w:tc>
      </w:tr>
      <w:tr w:rsidR="00000000">
        <w:tblPrEx>
          <w:tblCellMar>
            <w:top w:w="0" w:type="dxa"/>
          </w:tblCellMar>
        </w:tblPrEx>
        <w:tc>
          <w:tcPr>
            <w:tcW w:w="1800" w:type="dxa"/>
            <w:tcBorders>
              <w:top w:val="nil"/>
              <w:bottom w:val="nil"/>
            </w:tcBorders>
          </w:tcPr>
          <w:p w:rsidR="00000000" w:rsidRDefault="00000000">
            <w:pPr>
              <w:spacing w:before="40" w:line="240" w:lineRule="auto"/>
              <w:rPr>
                <w:sz w:val="20"/>
                <w:lang w:val="fr-CH"/>
              </w:rPr>
            </w:pPr>
            <w:r>
              <w:rPr>
                <w:rFonts w:hint="eastAsia"/>
                <w:sz w:val="20"/>
                <w:lang w:val="fr-CH"/>
              </w:rPr>
              <w:t>第</w:t>
            </w:r>
            <w:r>
              <w:rPr>
                <w:rFonts w:hint="eastAsia"/>
                <w:sz w:val="20"/>
                <w:lang w:val="fr-CH"/>
              </w:rPr>
              <w:t>15</w:t>
            </w:r>
            <w:r>
              <w:rPr>
                <w:rFonts w:hint="eastAsia"/>
                <w:sz w:val="20"/>
                <w:lang w:val="fr-CH"/>
              </w:rPr>
              <w:t>个月工资</w:t>
            </w:r>
          </w:p>
        </w:tc>
        <w:tc>
          <w:tcPr>
            <w:tcW w:w="1200" w:type="dxa"/>
            <w:tcBorders>
              <w:top w:val="nil"/>
              <w:bottom w:val="nil"/>
            </w:tcBorders>
          </w:tcPr>
          <w:p w:rsidR="00000000" w:rsidRDefault="00000000">
            <w:pPr>
              <w:spacing w:before="40" w:line="240" w:lineRule="auto"/>
              <w:ind w:right="155"/>
              <w:jc w:val="right"/>
              <w:rPr>
                <w:sz w:val="20"/>
                <w:lang w:val="fr-CH"/>
              </w:rPr>
            </w:pPr>
            <w:r>
              <w:rPr>
                <w:sz w:val="20"/>
                <w:lang w:val="fr-CH"/>
              </w:rPr>
              <w:t>833</w:t>
            </w:r>
          </w:p>
        </w:tc>
        <w:tc>
          <w:tcPr>
            <w:tcW w:w="1396" w:type="dxa"/>
            <w:tcBorders>
              <w:top w:val="nil"/>
              <w:bottom w:val="nil"/>
            </w:tcBorders>
          </w:tcPr>
          <w:p w:rsidR="00000000" w:rsidRDefault="00000000">
            <w:pPr>
              <w:spacing w:before="40" w:line="240" w:lineRule="auto"/>
              <w:ind w:right="170"/>
              <w:jc w:val="right"/>
              <w:rPr>
                <w:sz w:val="20"/>
                <w:lang w:val="fr-CH"/>
              </w:rPr>
            </w:pPr>
            <w:r>
              <w:rPr>
                <w:sz w:val="20"/>
                <w:lang w:val="fr-CH"/>
              </w:rPr>
              <w:t>4,167</w:t>
            </w:r>
          </w:p>
        </w:tc>
        <w:tc>
          <w:tcPr>
            <w:tcW w:w="1185" w:type="dxa"/>
            <w:tcBorders>
              <w:top w:val="nil"/>
              <w:bottom w:val="nil"/>
            </w:tcBorders>
          </w:tcPr>
          <w:p w:rsidR="00000000" w:rsidRDefault="00000000">
            <w:pPr>
              <w:spacing w:before="40" w:line="240" w:lineRule="auto"/>
              <w:ind w:right="159"/>
              <w:jc w:val="right"/>
              <w:rPr>
                <w:sz w:val="20"/>
                <w:lang w:val="fr-CH"/>
              </w:rPr>
            </w:pPr>
            <w:r>
              <w:rPr>
                <w:sz w:val="20"/>
                <w:lang w:val="fr-CH"/>
              </w:rPr>
              <w:t>4,167</w:t>
            </w:r>
          </w:p>
        </w:tc>
        <w:tc>
          <w:tcPr>
            <w:tcW w:w="1311" w:type="dxa"/>
            <w:tcBorders>
              <w:top w:val="nil"/>
              <w:bottom w:val="nil"/>
            </w:tcBorders>
          </w:tcPr>
          <w:p w:rsidR="00000000" w:rsidRDefault="00000000">
            <w:pPr>
              <w:spacing w:before="40" w:line="240" w:lineRule="auto"/>
              <w:ind w:right="159"/>
              <w:jc w:val="right"/>
              <w:rPr>
                <w:sz w:val="20"/>
                <w:lang w:val="fr-CH"/>
              </w:rPr>
            </w:pPr>
            <w:r>
              <w:rPr>
                <w:sz w:val="20"/>
                <w:lang w:val="fr-CH"/>
              </w:rPr>
              <w:t>4,167</w:t>
            </w:r>
          </w:p>
        </w:tc>
        <w:tc>
          <w:tcPr>
            <w:tcW w:w="1282" w:type="dxa"/>
            <w:tcBorders>
              <w:top w:val="nil"/>
              <w:bottom w:val="nil"/>
            </w:tcBorders>
          </w:tcPr>
          <w:p w:rsidR="00000000" w:rsidRDefault="00000000">
            <w:pPr>
              <w:spacing w:before="40" w:line="240" w:lineRule="auto"/>
              <w:ind w:right="159"/>
              <w:jc w:val="right"/>
              <w:rPr>
                <w:sz w:val="20"/>
                <w:lang w:val="fr-CH"/>
              </w:rPr>
            </w:pPr>
            <w:r>
              <w:rPr>
                <w:sz w:val="20"/>
                <w:lang w:val="fr-CH"/>
              </w:rPr>
              <w:t>400.00</w:t>
            </w:r>
          </w:p>
        </w:tc>
        <w:tc>
          <w:tcPr>
            <w:tcW w:w="1195" w:type="dxa"/>
            <w:tcBorders>
              <w:top w:val="nil"/>
              <w:bottom w:val="nil"/>
            </w:tcBorders>
          </w:tcPr>
          <w:p w:rsidR="00000000" w:rsidRDefault="00000000">
            <w:pPr>
              <w:spacing w:before="40" w:line="240" w:lineRule="auto"/>
              <w:ind w:right="159"/>
              <w:jc w:val="right"/>
              <w:rPr>
                <w:sz w:val="20"/>
                <w:lang w:val="fr-CH"/>
              </w:rPr>
            </w:pPr>
            <w:r>
              <w:rPr>
                <w:sz w:val="20"/>
                <w:lang w:val="fr-CH"/>
              </w:rPr>
              <w:t>3,333</w:t>
            </w:r>
          </w:p>
        </w:tc>
      </w:tr>
      <w:tr w:rsidR="00000000">
        <w:tblPrEx>
          <w:tblCellMar>
            <w:top w:w="0" w:type="dxa"/>
          </w:tblCellMar>
        </w:tblPrEx>
        <w:tc>
          <w:tcPr>
            <w:tcW w:w="1800" w:type="dxa"/>
            <w:tcBorders>
              <w:top w:val="nil"/>
            </w:tcBorders>
          </w:tcPr>
          <w:p w:rsidR="00000000" w:rsidRDefault="00000000">
            <w:pPr>
              <w:spacing w:before="40" w:line="240" w:lineRule="auto"/>
              <w:rPr>
                <w:rFonts w:hint="eastAsia"/>
                <w:sz w:val="20"/>
                <w:lang w:val="fr-CH"/>
              </w:rPr>
            </w:pPr>
            <w:r>
              <w:rPr>
                <w:rFonts w:hint="eastAsia"/>
                <w:sz w:val="20"/>
                <w:lang w:val="fr-CH"/>
              </w:rPr>
              <w:t>储备基金</w:t>
            </w:r>
          </w:p>
        </w:tc>
        <w:tc>
          <w:tcPr>
            <w:tcW w:w="1200" w:type="dxa"/>
            <w:tcBorders>
              <w:top w:val="nil"/>
            </w:tcBorders>
          </w:tcPr>
          <w:p w:rsidR="00000000" w:rsidRDefault="00000000">
            <w:pPr>
              <w:spacing w:before="40" w:line="240" w:lineRule="auto"/>
              <w:ind w:right="155"/>
              <w:jc w:val="right"/>
              <w:rPr>
                <w:sz w:val="20"/>
                <w:lang w:val="fr-CH"/>
              </w:rPr>
            </w:pPr>
            <w:r>
              <w:rPr>
                <w:sz w:val="20"/>
                <w:lang w:val="fr-CH"/>
              </w:rPr>
              <w:t>2,667</w:t>
            </w:r>
          </w:p>
        </w:tc>
        <w:tc>
          <w:tcPr>
            <w:tcW w:w="1396" w:type="dxa"/>
            <w:tcBorders>
              <w:top w:val="nil"/>
            </w:tcBorders>
          </w:tcPr>
          <w:p w:rsidR="00000000" w:rsidRDefault="00000000">
            <w:pPr>
              <w:spacing w:before="40" w:line="240" w:lineRule="auto"/>
              <w:ind w:right="170"/>
              <w:jc w:val="right"/>
              <w:rPr>
                <w:sz w:val="20"/>
                <w:lang w:val="fr-CH"/>
              </w:rPr>
            </w:pPr>
            <w:r>
              <w:rPr>
                <w:sz w:val="20"/>
                <w:lang w:val="fr-CH"/>
              </w:rPr>
              <w:t>2,667</w:t>
            </w:r>
          </w:p>
        </w:tc>
        <w:tc>
          <w:tcPr>
            <w:tcW w:w="1185" w:type="dxa"/>
            <w:tcBorders>
              <w:top w:val="nil"/>
            </w:tcBorders>
          </w:tcPr>
          <w:p w:rsidR="00000000" w:rsidRDefault="00000000">
            <w:pPr>
              <w:spacing w:before="40" w:line="240" w:lineRule="auto"/>
              <w:ind w:right="159"/>
              <w:jc w:val="right"/>
              <w:rPr>
                <w:sz w:val="20"/>
                <w:lang w:val="fr-CH"/>
              </w:rPr>
            </w:pPr>
            <w:r>
              <w:rPr>
                <w:sz w:val="20"/>
                <w:lang w:val="fr-CH"/>
              </w:rPr>
              <w:t>3,333</w:t>
            </w:r>
          </w:p>
        </w:tc>
        <w:tc>
          <w:tcPr>
            <w:tcW w:w="1311" w:type="dxa"/>
            <w:tcBorders>
              <w:top w:val="nil"/>
            </w:tcBorders>
          </w:tcPr>
          <w:p w:rsidR="00000000" w:rsidRDefault="00000000">
            <w:pPr>
              <w:spacing w:before="40" w:line="240" w:lineRule="auto"/>
              <w:ind w:right="159"/>
              <w:jc w:val="right"/>
              <w:rPr>
                <w:sz w:val="20"/>
                <w:lang w:val="fr-CH"/>
              </w:rPr>
            </w:pPr>
            <w:r>
              <w:rPr>
                <w:sz w:val="20"/>
                <w:lang w:val="fr-CH"/>
              </w:rPr>
              <w:t>5,000</w:t>
            </w:r>
          </w:p>
        </w:tc>
        <w:tc>
          <w:tcPr>
            <w:tcW w:w="1282" w:type="dxa"/>
            <w:tcBorders>
              <w:top w:val="nil"/>
            </w:tcBorders>
          </w:tcPr>
          <w:p w:rsidR="00000000" w:rsidRDefault="00000000">
            <w:pPr>
              <w:spacing w:before="40" w:line="240" w:lineRule="auto"/>
              <w:ind w:right="159"/>
              <w:jc w:val="right"/>
              <w:rPr>
                <w:sz w:val="20"/>
                <w:lang w:val="fr-CH"/>
              </w:rPr>
            </w:pPr>
            <w:r>
              <w:rPr>
                <w:sz w:val="20"/>
                <w:lang w:val="fr-CH"/>
              </w:rPr>
              <w:t>122.22</w:t>
            </w:r>
          </w:p>
        </w:tc>
        <w:tc>
          <w:tcPr>
            <w:tcW w:w="1195" w:type="dxa"/>
            <w:tcBorders>
              <w:top w:val="nil"/>
            </w:tcBorders>
          </w:tcPr>
          <w:p w:rsidR="00000000" w:rsidRDefault="00000000">
            <w:pPr>
              <w:spacing w:before="40" w:line="240" w:lineRule="auto"/>
              <w:ind w:right="159"/>
              <w:jc w:val="right"/>
              <w:rPr>
                <w:sz w:val="20"/>
                <w:lang w:val="fr-CH"/>
              </w:rPr>
            </w:pPr>
            <w:r>
              <w:rPr>
                <w:sz w:val="20"/>
                <w:lang w:val="fr-CH"/>
              </w:rPr>
              <w:t>2,333</w:t>
            </w:r>
          </w:p>
        </w:tc>
      </w:tr>
      <w:tr w:rsidR="00000000">
        <w:tblPrEx>
          <w:tblCellMar>
            <w:top w:w="0" w:type="dxa"/>
          </w:tblCellMar>
        </w:tblPrEx>
        <w:tc>
          <w:tcPr>
            <w:tcW w:w="1800" w:type="dxa"/>
          </w:tcPr>
          <w:p w:rsidR="00000000" w:rsidRDefault="00000000">
            <w:pPr>
              <w:spacing w:before="40" w:line="240" w:lineRule="auto"/>
              <w:rPr>
                <w:rFonts w:hint="eastAsia"/>
                <w:sz w:val="20"/>
                <w:lang w:val="fr-CH"/>
              </w:rPr>
            </w:pPr>
            <w:r>
              <w:rPr>
                <w:rFonts w:hint="eastAsia"/>
                <w:sz w:val="20"/>
                <w:lang w:val="fr-CH"/>
              </w:rPr>
              <w:t>收入总额</w:t>
            </w:r>
          </w:p>
        </w:tc>
        <w:tc>
          <w:tcPr>
            <w:tcW w:w="1200" w:type="dxa"/>
          </w:tcPr>
          <w:p w:rsidR="00000000" w:rsidRDefault="00000000">
            <w:pPr>
              <w:spacing w:before="40" w:line="240" w:lineRule="auto"/>
              <w:ind w:right="155"/>
              <w:jc w:val="right"/>
              <w:rPr>
                <w:sz w:val="20"/>
                <w:lang w:val="fr-CH"/>
              </w:rPr>
            </w:pPr>
            <w:r>
              <w:rPr>
                <w:sz w:val="20"/>
                <w:lang w:val="fr-CH"/>
              </w:rPr>
              <w:t>49,400</w:t>
            </w:r>
          </w:p>
        </w:tc>
        <w:tc>
          <w:tcPr>
            <w:tcW w:w="1396" w:type="dxa"/>
          </w:tcPr>
          <w:p w:rsidR="00000000" w:rsidRDefault="00000000">
            <w:pPr>
              <w:spacing w:before="40" w:line="240" w:lineRule="auto"/>
              <w:ind w:right="170"/>
              <w:jc w:val="right"/>
              <w:rPr>
                <w:sz w:val="20"/>
                <w:lang w:val="fr-CH"/>
              </w:rPr>
            </w:pPr>
            <w:r>
              <w:rPr>
                <w:sz w:val="20"/>
                <w:lang w:val="fr-CH"/>
              </w:rPr>
              <w:t>53,533</w:t>
            </w:r>
          </w:p>
        </w:tc>
        <w:tc>
          <w:tcPr>
            <w:tcW w:w="1185" w:type="dxa"/>
          </w:tcPr>
          <w:p w:rsidR="00000000" w:rsidRDefault="00000000">
            <w:pPr>
              <w:spacing w:before="40" w:line="240" w:lineRule="auto"/>
              <w:ind w:right="159"/>
              <w:jc w:val="right"/>
              <w:rPr>
                <w:sz w:val="20"/>
                <w:lang w:val="fr-CH"/>
              </w:rPr>
            </w:pPr>
            <w:r>
              <w:rPr>
                <w:sz w:val="20"/>
                <w:lang w:val="fr-CH"/>
              </w:rPr>
              <w:t>82,500</w:t>
            </w:r>
          </w:p>
        </w:tc>
        <w:tc>
          <w:tcPr>
            <w:tcW w:w="1311" w:type="dxa"/>
          </w:tcPr>
          <w:p w:rsidR="00000000" w:rsidRDefault="00000000">
            <w:pPr>
              <w:spacing w:before="40" w:line="240" w:lineRule="auto"/>
              <w:ind w:right="159"/>
              <w:jc w:val="right"/>
              <w:rPr>
                <w:sz w:val="20"/>
                <w:lang w:val="fr-CH"/>
              </w:rPr>
            </w:pPr>
            <w:r>
              <w:rPr>
                <w:sz w:val="20"/>
                <w:lang w:val="fr-CH"/>
              </w:rPr>
              <w:t>112,367</w:t>
            </w:r>
          </w:p>
        </w:tc>
        <w:tc>
          <w:tcPr>
            <w:tcW w:w="1282" w:type="dxa"/>
          </w:tcPr>
          <w:p w:rsidR="00000000" w:rsidRDefault="00000000">
            <w:pPr>
              <w:spacing w:before="40" w:line="240" w:lineRule="auto"/>
              <w:ind w:right="159"/>
              <w:jc w:val="right"/>
              <w:rPr>
                <w:sz w:val="20"/>
                <w:lang w:val="fr-CH"/>
              </w:rPr>
            </w:pPr>
            <w:r>
              <w:rPr>
                <w:sz w:val="20"/>
                <w:lang w:val="fr-CH"/>
              </w:rPr>
              <w:t>175.18</w:t>
            </w:r>
          </w:p>
        </w:tc>
        <w:tc>
          <w:tcPr>
            <w:tcW w:w="1195" w:type="dxa"/>
          </w:tcPr>
          <w:p w:rsidR="00000000" w:rsidRDefault="00000000">
            <w:pPr>
              <w:spacing w:before="40" w:line="240" w:lineRule="auto"/>
              <w:ind w:right="159"/>
              <w:jc w:val="right"/>
              <w:rPr>
                <w:sz w:val="20"/>
                <w:lang w:val="fr-CH"/>
              </w:rPr>
            </w:pPr>
            <w:r>
              <w:rPr>
                <w:sz w:val="20"/>
                <w:lang w:val="fr-CH"/>
              </w:rPr>
              <w:t>62,967</w:t>
            </w:r>
          </w:p>
        </w:tc>
      </w:tr>
    </w:tbl>
    <w:p w:rsidR="00000000" w:rsidRDefault="00000000">
      <w:pPr>
        <w:pStyle w:val="a6"/>
        <w:rPr>
          <w:rFonts w:eastAsia="SimSun"/>
          <w:lang w:val="fr-CH"/>
        </w:rPr>
      </w:pPr>
    </w:p>
    <w:p w:rsidR="00000000" w:rsidRDefault="00000000">
      <w:pPr>
        <w:pStyle w:val="Heading3"/>
        <w:spacing w:after="160" w:line="240" w:lineRule="auto"/>
        <w:rPr>
          <w:rFonts w:hint="eastAsia"/>
        </w:rPr>
      </w:pPr>
      <w:r>
        <w:br w:type="page"/>
      </w:r>
      <w:r>
        <w:rPr>
          <w:rFonts w:hint="eastAsia"/>
        </w:rPr>
        <w:t>普通工人收入总额</w:t>
      </w:r>
    </w:p>
    <w:p w:rsidR="00000000" w:rsidRDefault="00000000">
      <w:pPr>
        <w:pStyle w:val="Heading3"/>
        <w:spacing w:after="160" w:line="240" w:lineRule="auto"/>
        <w:rPr>
          <w:u w:val="none"/>
          <w:lang w:val="fr-CH"/>
        </w:rPr>
      </w:pPr>
      <w:r>
        <w:rPr>
          <w:lang w:val="fr-CH"/>
        </w:rPr>
        <w:t xml:space="preserve">Duran Ballen-Dahik-Peña Triviño, </w:t>
      </w:r>
      <w:r>
        <w:rPr>
          <w:rFonts w:hint="eastAsia"/>
          <w:lang w:val="fr-CH"/>
        </w:rPr>
        <w:t>1992</w:t>
      </w:r>
      <w:r>
        <w:rPr>
          <w:rFonts w:hint="eastAsia"/>
        </w:rPr>
        <w:t>年</w:t>
      </w:r>
      <w:r>
        <w:rPr>
          <w:rFonts w:hint="eastAsia"/>
          <w:lang w:val="fr-CH"/>
        </w:rPr>
        <w:t>8</w:t>
      </w:r>
      <w:r>
        <w:rPr>
          <w:rFonts w:hint="eastAsia"/>
        </w:rPr>
        <w:t>月至</w:t>
      </w:r>
      <w:r>
        <w:rPr>
          <w:rFonts w:hint="eastAsia"/>
          <w:lang w:val="fr-CH"/>
        </w:rPr>
        <w:t>1996</w:t>
      </w:r>
      <w:r>
        <w:rPr>
          <w:rFonts w:hint="eastAsia"/>
        </w:rPr>
        <w:t>年</w:t>
      </w:r>
      <w:r>
        <w:rPr>
          <w:rFonts w:hint="eastAsia"/>
          <w:lang w:val="fr-CH"/>
        </w:rPr>
        <w:t>8</w:t>
      </w:r>
      <w:r>
        <w:rPr>
          <w:rFonts w:hint="eastAsia"/>
        </w:rPr>
        <w:t>月</w:t>
      </w:r>
      <w:r>
        <w:rPr>
          <w:lang w:val="fr-CH"/>
        </w:rPr>
        <w:br/>
      </w:r>
      <w:r>
        <w:rPr>
          <w:u w:val="none"/>
          <w:lang w:val="fr-CH"/>
        </w:rPr>
        <w:t>(</w:t>
      </w:r>
      <w:r>
        <w:rPr>
          <w:rFonts w:hint="eastAsia"/>
          <w:u w:val="none"/>
        </w:rPr>
        <w:t>苏克雷</w:t>
      </w:r>
      <w:r>
        <w:rPr>
          <w:u w:val="none"/>
          <w:lang w:val="fr-CH"/>
        </w:rPr>
        <w:t>)</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1083"/>
        <w:gridCol w:w="1109"/>
        <w:gridCol w:w="1109"/>
        <w:gridCol w:w="1109"/>
        <w:gridCol w:w="1109"/>
        <w:gridCol w:w="1366"/>
      </w:tblGrid>
      <w:tr w:rsidR="00000000">
        <w:tblPrEx>
          <w:tblCellMar>
            <w:top w:w="0" w:type="dxa"/>
          </w:tblCellMar>
        </w:tblPrEx>
        <w:trPr>
          <w:cantSplit/>
        </w:trPr>
        <w:tc>
          <w:tcPr>
            <w:tcW w:w="1701" w:type="dxa"/>
            <w:vMerge w:val="restart"/>
          </w:tcPr>
          <w:p w:rsidR="00000000" w:rsidRDefault="00000000">
            <w:pPr>
              <w:spacing w:before="60" w:line="240" w:lineRule="auto"/>
              <w:jc w:val="center"/>
              <w:rPr>
                <w:rFonts w:hint="eastAsia"/>
                <w:sz w:val="18"/>
                <w:lang w:val="fr-CH"/>
              </w:rPr>
            </w:pPr>
            <w:r>
              <w:rPr>
                <w:rFonts w:hint="eastAsia"/>
                <w:sz w:val="18"/>
              </w:rPr>
              <w:t>工资津贴内容</w:t>
            </w:r>
          </w:p>
          <w:p w:rsidR="00000000" w:rsidRDefault="00000000">
            <w:pPr>
              <w:spacing w:before="60" w:line="240" w:lineRule="auto"/>
              <w:jc w:val="center"/>
              <w:rPr>
                <w:rFonts w:hint="eastAsia"/>
                <w:sz w:val="18"/>
              </w:rPr>
            </w:pPr>
            <w:r>
              <w:rPr>
                <w:rFonts w:hint="eastAsia"/>
                <w:sz w:val="18"/>
              </w:rPr>
              <w:t>与年份</w:t>
            </w:r>
          </w:p>
        </w:tc>
        <w:tc>
          <w:tcPr>
            <w:tcW w:w="1134" w:type="dxa"/>
          </w:tcPr>
          <w:p w:rsidR="00000000" w:rsidRDefault="00000000">
            <w:pPr>
              <w:spacing w:before="40"/>
              <w:jc w:val="center"/>
              <w:rPr>
                <w:position w:val="-24"/>
                <w:sz w:val="18"/>
              </w:rPr>
            </w:pPr>
            <w:r>
              <w:rPr>
                <w:position w:val="-24"/>
                <w:sz w:val="18"/>
              </w:rPr>
              <w:t>1992</w:t>
            </w:r>
          </w:p>
        </w:tc>
        <w:tc>
          <w:tcPr>
            <w:tcW w:w="1083" w:type="dxa"/>
          </w:tcPr>
          <w:p w:rsidR="00000000" w:rsidRDefault="00000000">
            <w:pPr>
              <w:spacing w:before="40"/>
              <w:jc w:val="center"/>
              <w:rPr>
                <w:position w:val="-24"/>
                <w:sz w:val="18"/>
              </w:rPr>
            </w:pPr>
            <w:r>
              <w:rPr>
                <w:position w:val="-24"/>
                <w:sz w:val="18"/>
              </w:rPr>
              <w:t>1994</w:t>
            </w:r>
          </w:p>
        </w:tc>
        <w:tc>
          <w:tcPr>
            <w:tcW w:w="1109" w:type="dxa"/>
          </w:tcPr>
          <w:p w:rsidR="00000000" w:rsidRDefault="00000000">
            <w:pPr>
              <w:spacing w:before="40"/>
              <w:jc w:val="center"/>
              <w:rPr>
                <w:position w:val="-24"/>
                <w:sz w:val="18"/>
              </w:rPr>
            </w:pPr>
            <w:r>
              <w:rPr>
                <w:position w:val="-24"/>
                <w:sz w:val="18"/>
              </w:rPr>
              <w:t>1995</w:t>
            </w:r>
          </w:p>
        </w:tc>
        <w:tc>
          <w:tcPr>
            <w:tcW w:w="2218" w:type="dxa"/>
            <w:gridSpan w:val="2"/>
          </w:tcPr>
          <w:p w:rsidR="00000000" w:rsidRDefault="00000000">
            <w:pPr>
              <w:spacing w:before="40"/>
              <w:jc w:val="center"/>
              <w:rPr>
                <w:position w:val="-24"/>
                <w:sz w:val="18"/>
              </w:rPr>
            </w:pPr>
            <w:r>
              <w:rPr>
                <w:position w:val="-24"/>
                <w:sz w:val="18"/>
              </w:rPr>
              <w:t>1996</w:t>
            </w:r>
          </w:p>
        </w:tc>
        <w:tc>
          <w:tcPr>
            <w:tcW w:w="2475" w:type="dxa"/>
            <w:gridSpan w:val="2"/>
          </w:tcPr>
          <w:p w:rsidR="00000000" w:rsidRDefault="00000000">
            <w:pPr>
              <w:spacing w:before="40"/>
              <w:jc w:val="center"/>
              <w:rPr>
                <w:rFonts w:hint="eastAsia"/>
                <w:sz w:val="18"/>
              </w:rPr>
            </w:pPr>
            <w:r>
              <w:rPr>
                <w:rFonts w:hint="eastAsia"/>
                <w:sz w:val="18"/>
              </w:rPr>
              <w:t>期间内增长</w:t>
            </w:r>
          </w:p>
        </w:tc>
      </w:tr>
      <w:tr w:rsidR="00000000">
        <w:tblPrEx>
          <w:tblCellMar>
            <w:top w:w="0" w:type="dxa"/>
          </w:tblCellMar>
        </w:tblPrEx>
        <w:trPr>
          <w:cantSplit/>
        </w:trPr>
        <w:tc>
          <w:tcPr>
            <w:tcW w:w="1701" w:type="dxa"/>
            <w:vMerge/>
            <w:tcBorders>
              <w:bottom w:val="single" w:sz="4" w:space="0" w:color="auto"/>
            </w:tcBorders>
          </w:tcPr>
          <w:p w:rsidR="00000000" w:rsidRDefault="00000000">
            <w:pPr>
              <w:rPr>
                <w:sz w:val="18"/>
              </w:rPr>
            </w:pPr>
          </w:p>
        </w:tc>
        <w:tc>
          <w:tcPr>
            <w:tcW w:w="1134" w:type="dxa"/>
            <w:tcBorders>
              <w:bottom w:val="single" w:sz="4" w:space="0" w:color="auto"/>
            </w:tcBorders>
          </w:tcPr>
          <w:p w:rsidR="00000000" w:rsidRDefault="00000000">
            <w:pPr>
              <w:spacing w:before="40"/>
              <w:jc w:val="center"/>
              <w:rPr>
                <w:sz w:val="18"/>
              </w:rPr>
            </w:pPr>
            <w:r>
              <w:rPr>
                <w:rFonts w:hint="eastAsia"/>
                <w:sz w:val="18"/>
              </w:rPr>
              <w:t>8</w:t>
            </w:r>
            <w:r>
              <w:rPr>
                <w:rFonts w:hint="eastAsia"/>
                <w:sz w:val="18"/>
              </w:rPr>
              <w:t>月</w:t>
            </w:r>
            <w:r>
              <w:rPr>
                <w:sz w:val="18"/>
              </w:rPr>
              <w:t>10</w:t>
            </w:r>
            <w:r>
              <w:rPr>
                <w:rFonts w:hint="eastAsia"/>
                <w:sz w:val="18"/>
              </w:rPr>
              <w:t>日</w:t>
            </w:r>
          </w:p>
        </w:tc>
        <w:tc>
          <w:tcPr>
            <w:tcW w:w="1083" w:type="dxa"/>
            <w:tcBorders>
              <w:bottom w:val="single" w:sz="4" w:space="0" w:color="auto"/>
            </w:tcBorders>
          </w:tcPr>
          <w:p w:rsidR="00000000" w:rsidRDefault="00000000">
            <w:pPr>
              <w:spacing w:before="40"/>
              <w:jc w:val="center"/>
              <w:rPr>
                <w:sz w:val="18"/>
              </w:rPr>
            </w:pPr>
            <w:r>
              <w:rPr>
                <w:sz w:val="18"/>
              </w:rPr>
              <w:t>1</w:t>
            </w:r>
            <w:r>
              <w:rPr>
                <w:rFonts w:hint="eastAsia"/>
                <w:sz w:val="18"/>
              </w:rPr>
              <w:t>月</w:t>
            </w:r>
            <w:r>
              <w:rPr>
                <w:rFonts w:hint="eastAsia"/>
                <w:sz w:val="18"/>
              </w:rPr>
              <w:t>1</w:t>
            </w:r>
            <w:r>
              <w:rPr>
                <w:rFonts w:hint="eastAsia"/>
                <w:sz w:val="18"/>
              </w:rPr>
              <w:t>日</w:t>
            </w:r>
          </w:p>
        </w:tc>
        <w:tc>
          <w:tcPr>
            <w:tcW w:w="1109" w:type="dxa"/>
            <w:tcBorders>
              <w:bottom w:val="single" w:sz="4" w:space="0" w:color="auto"/>
            </w:tcBorders>
          </w:tcPr>
          <w:p w:rsidR="00000000" w:rsidRDefault="00000000">
            <w:pPr>
              <w:spacing w:before="40"/>
              <w:jc w:val="center"/>
              <w:rPr>
                <w:sz w:val="18"/>
              </w:rPr>
            </w:pPr>
            <w:r>
              <w:rPr>
                <w:sz w:val="18"/>
              </w:rPr>
              <w:t>1</w:t>
            </w:r>
            <w:r>
              <w:rPr>
                <w:rFonts w:hint="eastAsia"/>
                <w:sz w:val="18"/>
              </w:rPr>
              <w:t>月</w:t>
            </w:r>
            <w:r>
              <w:rPr>
                <w:rFonts w:hint="eastAsia"/>
                <w:sz w:val="18"/>
              </w:rPr>
              <w:t>1</w:t>
            </w:r>
            <w:r>
              <w:rPr>
                <w:rFonts w:hint="eastAsia"/>
                <w:sz w:val="18"/>
              </w:rPr>
              <w:t>日</w:t>
            </w:r>
          </w:p>
        </w:tc>
        <w:tc>
          <w:tcPr>
            <w:tcW w:w="1109" w:type="dxa"/>
            <w:tcBorders>
              <w:bottom w:val="single" w:sz="4" w:space="0" w:color="auto"/>
            </w:tcBorders>
          </w:tcPr>
          <w:p w:rsidR="00000000" w:rsidRDefault="00000000">
            <w:pPr>
              <w:spacing w:before="40"/>
              <w:jc w:val="center"/>
              <w:rPr>
                <w:sz w:val="18"/>
              </w:rPr>
            </w:pPr>
            <w:r>
              <w:rPr>
                <w:sz w:val="18"/>
              </w:rPr>
              <w:t>1</w:t>
            </w:r>
            <w:r>
              <w:rPr>
                <w:rFonts w:hint="eastAsia"/>
                <w:sz w:val="18"/>
              </w:rPr>
              <w:t>月</w:t>
            </w:r>
            <w:r>
              <w:rPr>
                <w:rFonts w:hint="eastAsia"/>
                <w:sz w:val="18"/>
              </w:rPr>
              <w:t>1</w:t>
            </w:r>
            <w:r>
              <w:rPr>
                <w:rFonts w:hint="eastAsia"/>
                <w:sz w:val="18"/>
              </w:rPr>
              <w:t>日</w:t>
            </w:r>
          </w:p>
        </w:tc>
        <w:tc>
          <w:tcPr>
            <w:tcW w:w="1109" w:type="dxa"/>
            <w:tcBorders>
              <w:bottom w:val="single" w:sz="4" w:space="0" w:color="auto"/>
            </w:tcBorders>
          </w:tcPr>
          <w:p w:rsidR="00000000" w:rsidRDefault="00000000">
            <w:pPr>
              <w:spacing w:before="40"/>
              <w:jc w:val="center"/>
              <w:rPr>
                <w:sz w:val="18"/>
              </w:rPr>
            </w:pPr>
            <w:r>
              <w:rPr>
                <w:rFonts w:hint="eastAsia"/>
                <w:sz w:val="18"/>
              </w:rPr>
              <w:t>7</w:t>
            </w:r>
            <w:r>
              <w:rPr>
                <w:rFonts w:hint="eastAsia"/>
                <w:sz w:val="18"/>
              </w:rPr>
              <w:t>月</w:t>
            </w:r>
            <w:r>
              <w:rPr>
                <w:rFonts w:hint="eastAsia"/>
                <w:sz w:val="18"/>
              </w:rPr>
              <w:t>1</w:t>
            </w:r>
            <w:r>
              <w:rPr>
                <w:rFonts w:hint="eastAsia"/>
                <w:sz w:val="18"/>
              </w:rPr>
              <w:t>日</w:t>
            </w:r>
          </w:p>
        </w:tc>
        <w:tc>
          <w:tcPr>
            <w:tcW w:w="1109" w:type="dxa"/>
            <w:tcBorders>
              <w:bottom w:val="single" w:sz="4" w:space="0" w:color="auto"/>
            </w:tcBorders>
          </w:tcPr>
          <w:p w:rsidR="00000000" w:rsidRDefault="00000000">
            <w:pPr>
              <w:spacing w:before="40"/>
              <w:jc w:val="center"/>
              <w:rPr>
                <w:sz w:val="18"/>
              </w:rPr>
            </w:pPr>
            <w:r>
              <w:rPr>
                <w:rFonts w:hint="eastAsia"/>
                <w:sz w:val="18"/>
                <w:lang w:val="fr-CH"/>
              </w:rPr>
              <w:t>百分比</w:t>
            </w:r>
          </w:p>
        </w:tc>
        <w:tc>
          <w:tcPr>
            <w:tcW w:w="1366" w:type="dxa"/>
            <w:tcBorders>
              <w:bottom w:val="single" w:sz="4" w:space="0" w:color="auto"/>
            </w:tcBorders>
          </w:tcPr>
          <w:p w:rsidR="00000000" w:rsidRDefault="00000000">
            <w:pPr>
              <w:spacing w:before="40"/>
              <w:jc w:val="center"/>
              <w:rPr>
                <w:rFonts w:hint="eastAsia"/>
                <w:sz w:val="18"/>
              </w:rPr>
            </w:pPr>
            <w:r>
              <w:rPr>
                <w:rFonts w:hint="eastAsia"/>
                <w:sz w:val="18"/>
              </w:rPr>
              <w:t>绝对值</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rFonts w:hint="eastAsia"/>
                <w:sz w:val="18"/>
                <w:lang w:val="fr-CH"/>
              </w:rPr>
            </w:pPr>
            <w:r>
              <w:rPr>
                <w:rFonts w:hint="eastAsia"/>
                <w:sz w:val="18"/>
                <w:lang w:val="fr-CH"/>
              </w:rPr>
              <w:t>最低生活工资</w:t>
            </w:r>
          </w:p>
        </w:tc>
        <w:tc>
          <w:tcPr>
            <w:tcW w:w="1134" w:type="dxa"/>
            <w:tcBorders>
              <w:top w:val="nil"/>
              <w:bottom w:val="nil"/>
            </w:tcBorders>
          </w:tcPr>
          <w:p w:rsidR="00000000" w:rsidRDefault="00000000">
            <w:pPr>
              <w:spacing w:before="80" w:after="40" w:line="200" w:lineRule="exact"/>
              <w:ind w:right="170"/>
              <w:jc w:val="right"/>
              <w:rPr>
                <w:sz w:val="18"/>
              </w:rPr>
            </w:pPr>
            <w:r>
              <w:rPr>
                <w:sz w:val="18"/>
              </w:rPr>
              <w:t>60,000</w:t>
            </w:r>
          </w:p>
        </w:tc>
        <w:tc>
          <w:tcPr>
            <w:tcW w:w="1083" w:type="dxa"/>
            <w:tcBorders>
              <w:top w:val="nil"/>
              <w:bottom w:val="nil"/>
            </w:tcBorders>
          </w:tcPr>
          <w:p w:rsidR="00000000" w:rsidRDefault="00000000">
            <w:pPr>
              <w:spacing w:before="80" w:after="40" w:line="200" w:lineRule="exact"/>
              <w:ind w:right="170"/>
              <w:jc w:val="right"/>
              <w:rPr>
                <w:sz w:val="18"/>
              </w:rPr>
            </w:pPr>
            <w:r>
              <w:rPr>
                <w:sz w:val="18"/>
              </w:rPr>
              <w:t>66,000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75,000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95,000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95,000</w:t>
            </w:r>
          </w:p>
        </w:tc>
        <w:tc>
          <w:tcPr>
            <w:tcW w:w="1109" w:type="dxa"/>
            <w:tcBorders>
              <w:top w:val="nil"/>
              <w:bottom w:val="nil"/>
            </w:tcBorders>
          </w:tcPr>
          <w:p w:rsidR="00000000" w:rsidRDefault="00000000">
            <w:pPr>
              <w:spacing w:before="80" w:after="40" w:line="200" w:lineRule="exact"/>
              <w:ind w:right="57"/>
              <w:jc w:val="right"/>
              <w:rPr>
                <w:sz w:val="18"/>
              </w:rPr>
            </w:pPr>
            <w:r>
              <w:rPr>
                <w:sz w:val="18"/>
              </w:rPr>
              <w:t>58.33</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35,000</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sz w:val="18"/>
                <w:lang w:val="fr-CH"/>
              </w:rPr>
            </w:pPr>
            <w:r>
              <w:rPr>
                <w:rFonts w:hint="eastAsia"/>
                <w:sz w:val="18"/>
                <w:lang w:val="fr-CH"/>
              </w:rPr>
              <w:t>生活费用补差</w:t>
            </w:r>
          </w:p>
        </w:tc>
        <w:tc>
          <w:tcPr>
            <w:tcW w:w="1134" w:type="dxa"/>
            <w:tcBorders>
              <w:top w:val="nil"/>
              <w:bottom w:val="nil"/>
            </w:tcBorders>
          </w:tcPr>
          <w:p w:rsidR="00000000" w:rsidRDefault="00000000">
            <w:pPr>
              <w:spacing w:before="80" w:after="40" w:line="200" w:lineRule="exact"/>
              <w:ind w:right="170"/>
              <w:jc w:val="right"/>
              <w:rPr>
                <w:sz w:val="18"/>
              </w:rPr>
            </w:pPr>
            <w:r>
              <w:rPr>
                <w:sz w:val="18"/>
              </w:rPr>
              <w:t>20,000</w:t>
            </w:r>
          </w:p>
        </w:tc>
        <w:tc>
          <w:tcPr>
            <w:tcW w:w="1083" w:type="dxa"/>
            <w:tcBorders>
              <w:top w:val="nil"/>
              <w:bottom w:val="nil"/>
            </w:tcBorders>
          </w:tcPr>
          <w:p w:rsidR="00000000" w:rsidRDefault="00000000">
            <w:pPr>
              <w:spacing w:before="80" w:after="40" w:line="200" w:lineRule="exact"/>
              <w:ind w:right="170"/>
              <w:jc w:val="right"/>
              <w:rPr>
                <w:sz w:val="18"/>
              </w:rPr>
            </w:pPr>
            <w:r>
              <w:rPr>
                <w:sz w:val="18"/>
              </w:rPr>
              <w:t>100,000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125,000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145,000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155,000</w:t>
            </w:r>
          </w:p>
        </w:tc>
        <w:tc>
          <w:tcPr>
            <w:tcW w:w="1109" w:type="dxa"/>
            <w:tcBorders>
              <w:top w:val="nil"/>
              <w:bottom w:val="nil"/>
            </w:tcBorders>
          </w:tcPr>
          <w:p w:rsidR="00000000" w:rsidRDefault="00000000">
            <w:pPr>
              <w:spacing w:before="80" w:after="40" w:line="200" w:lineRule="exact"/>
              <w:ind w:right="57"/>
              <w:jc w:val="right"/>
              <w:rPr>
                <w:sz w:val="18"/>
              </w:rPr>
            </w:pPr>
            <w:r>
              <w:rPr>
                <w:sz w:val="18"/>
              </w:rPr>
              <w:t>675.00</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135,000</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rFonts w:hint="eastAsia"/>
                <w:sz w:val="18"/>
                <w:lang w:val="fr-CH"/>
              </w:rPr>
            </w:pPr>
            <w:r>
              <w:rPr>
                <w:rFonts w:hint="eastAsia"/>
                <w:sz w:val="18"/>
                <w:lang w:val="fr-CH"/>
              </w:rPr>
              <w:t>奖金</w:t>
            </w:r>
          </w:p>
        </w:tc>
        <w:tc>
          <w:tcPr>
            <w:tcW w:w="1134" w:type="dxa"/>
            <w:tcBorders>
              <w:top w:val="nil"/>
              <w:bottom w:val="nil"/>
            </w:tcBorders>
          </w:tcPr>
          <w:p w:rsidR="00000000" w:rsidRDefault="00000000">
            <w:pPr>
              <w:spacing w:before="80" w:after="40" w:line="200" w:lineRule="exact"/>
              <w:ind w:right="170"/>
              <w:jc w:val="right"/>
              <w:rPr>
                <w:sz w:val="18"/>
              </w:rPr>
            </w:pPr>
            <w:r>
              <w:rPr>
                <w:sz w:val="18"/>
              </w:rPr>
              <w:t>1,000</w:t>
            </w:r>
          </w:p>
        </w:tc>
        <w:tc>
          <w:tcPr>
            <w:tcW w:w="1083" w:type="dxa"/>
            <w:tcBorders>
              <w:top w:val="nil"/>
              <w:bottom w:val="nil"/>
            </w:tcBorders>
          </w:tcPr>
          <w:p w:rsidR="00000000" w:rsidRDefault="00000000">
            <w:pPr>
              <w:spacing w:before="80" w:after="40" w:line="200" w:lineRule="exact"/>
              <w:ind w:right="170"/>
              <w:jc w:val="right"/>
              <w:rPr>
                <w:sz w:val="18"/>
              </w:rPr>
            </w:pPr>
            <w:r>
              <w:rPr>
                <w:sz w:val="18"/>
              </w:rPr>
              <w:t>1,000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96,000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180,000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240,000</w:t>
            </w:r>
          </w:p>
        </w:tc>
        <w:tc>
          <w:tcPr>
            <w:tcW w:w="1109" w:type="dxa"/>
            <w:tcBorders>
              <w:top w:val="nil"/>
              <w:bottom w:val="nil"/>
            </w:tcBorders>
          </w:tcPr>
          <w:p w:rsidR="00000000" w:rsidRDefault="00000000">
            <w:pPr>
              <w:spacing w:before="80" w:after="40" w:line="200" w:lineRule="exact"/>
              <w:ind w:right="57"/>
              <w:jc w:val="right"/>
              <w:rPr>
                <w:sz w:val="18"/>
              </w:rPr>
            </w:pPr>
            <w:r>
              <w:rPr>
                <w:sz w:val="18"/>
              </w:rPr>
              <w:t>23,900.00</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239,000</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rFonts w:hint="eastAsia"/>
                <w:sz w:val="18"/>
                <w:lang w:val="fr-CH"/>
              </w:rPr>
            </w:pPr>
            <w:r>
              <w:rPr>
                <w:rFonts w:hint="eastAsia"/>
                <w:sz w:val="18"/>
                <w:lang w:val="fr-CH"/>
              </w:rPr>
              <w:t>差旅费</w:t>
            </w:r>
          </w:p>
        </w:tc>
        <w:tc>
          <w:tcPr>
            <w:tcW w:w="1134" w:type="dxa"/>
            <w:tcBorders>
              <w:top w:val="nil"/>
              <w:bottom w:val="nil"/>
            </w:tcBorders>
          </w:tcPr>
          <w:p w:rsidR="00000000" w:rsidRDefault="00000000">
            <w:pPr>
              <w:spacing w:before="80" w:after="40" w:line="200" w:lineRule="exact"/>
              <w:ind w:right="170"/>
              <w:jc w:val="right"/>
              <w:rPr>
                <w:sz w:val="18"/>
              </w:rPr>
            </w:pPr>
            <w:r>
              <w:rPr>
                <w:sz w:val="18"/>
              </w:rPr>
              <w:t>7,200</w:t>
            </w:r>
          </w:p>
        </w:tc>
        <w:tc>
          <w:tcPr>
            <w:tcW w:w="1083" w:type="dxa"/>
            <w:tcBorders>
              <w:top w:val="nil"/>
              <w:bottom w:val="nil"/>
            </w:tcBorders>
          </w:tcPr>
          <w:p w:rsidR="00000000" w:rsidRDefault="00000000">
            <w:pPr>
              <w:spacing w:before="80" w:after="40" w:line="200" w:lineRule="exact"/>
              <w:ind w:right="170"/>
              <w:jc w:val="right"/>
              <w:rPr>
                <w:sz w:val="18"/>
              </w:rPr>
            </w:pPr>
            <w:r>
              <w:rPr>
                <w:sz w:val="18"/>
              </w:rPr>
              <w:t>12,000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16,000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20,000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20,000</w:t>
            </w:r>
          </w:p>
        </w:tc>
        <w:tc>
          <w:tcPr>
            <w:tcW w:w="1109" w:type="dxa"/>
            <w:tcBorders>
              <w:top w:val="nil"/>
              <w:bottom w:val="nil"/>
            </w:tcBorders>
          </w:tcPr>
          <w:p w:rsidR="00000000" w:rsidRDefault="00000000">
            <w:pPr>
              <w:spacing w:before="80" w:after="40" w:line="200" w:lineRule="exact"/>
              <w:ind w:right="57"/>
              <w:jc w:val="right"/>
              <w:rPr>
                <w:sz w:val="18"/>
              </w:rPr>
            </w:pPr>
            <w:r>
              <w:rPr>
                <w:sz w:val="18"/>
              </w:rPr>
              <w:t>177.78</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12,800</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rFonts w:hint="eastAsia"/>
                <w:sz w:val="18"/>
                <w:lang w:val="fr-CH"/>
              </w:rPr>
            </w:pPr>
            <w:r>
              <w:rPr>
                <w:rFonts w:hint="eastAsia"/>
                <w:sz w:val="18"/>
                <w:lang w:val="fr-CH"/>
              </w:rPr>
              <w:t>第</w:t>
            </w:r>
            <w:r>
              <w:rPr>
                <w:rFonts w:hint="eastAsia"/>
                <w:sz w:val="18"/>
                <w:lang w:val="fr-CH"/>
              </w:rPr>
              <w:t>16</w:t>
            </w:r>
            <w:r>
              <w:rPr>
                <w:rFonts w:hint="eastAsia"/>
                <w:sz w:val="18"/>
                <w:lang w:val="fr-CH"/>
              </w:rPr>
              <w:t>个月工资</w:t>
            </w:r>
          </w:p>
        </w:tc>
        <w:tc>
          <w:tcPr>
            <w:tcW w:w="1134" w:type="dxa"/>
            <w:tcBorders>
              <w:top w:val="nil"/>
              <w:bottom w:val="nil"/>
            </w:tcBorders>
          </w:tcPr>
          <w:p w:rsidR="00000000" w:rsidRDefault="00000000">
            <w:pPr>
              <w:spacing w:before="80" w:after="40" w:line="200" w:lineRule="exact"/>
              <w:ind w:right="170"/>
              <w:jc w:val="right"/>
              <w:rPr>
                <w:sz w:val="18"/>
              </w:rPr>
            </w:pPr>
          </w:p>
        </w:tc>
        <w:tc>
          <w:tcPr>
            <w:tcW w:w="1083" w:type="dxa"/>
            <w:tcBorders>
              <w:top w:val="nil"/>
              <w:bottom w:val="nil"/>
            </w:tcBorders>
          </w:tcPr>
          <w:p w:rsidR="00000000" w:rsidRDefault="00000000">
            <w:pPr>
              <w:spacing w:before="80" w:after="40" w:line="200" w:lineRule="exact"/>
              <w:ind w:right="170"/>
              <w:jc w:val="right"/>
              <w:rPr>
                <w:sz w:val="18"/>
              </w:rPr>
            </w:pPr>
            <w:r>
              <w:rPr>
                <w:sz w:val="18"/>
              </w:rPr>
              <w:t>11,000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12,500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15,833</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15,833</w:t>
            </w:r>
          </w:p>
        </w:tc>
        <w:tc>
          <w:tcPr>
            <w:tcW w:w="1109" w:type="dxa"/>
            <w:tcBorders>
              <w:top w:val="nil"/>
              <w:bottom w:val="nil"/>
            </w:tcBorders>
          </w:tcPr>
          <w:p w:rsidR="00000000" w:rsidRDefault="00000000">
            <w:pPr>
              <w:spacing w:before="80" w:after="40" w:line="200" w:lineRule="exact"/>
              <w:ind w:right="57"/>
              <w:jc w:val="right"/>
              <w:rPr>
                <w:sz w:val="18"/>
              </w:rPr>
            </w:pPr>
            <w:r>
              <w:rPr>
                <w:sz w:val="18"/>
              </w:rPr>
              <w:t>58.33</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15,833</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rFonts w:hint="eastAsia"/>
                <w:sz w:val="18"/>
                <w:lang w:val="fr-CH"/>
              </w:rPr>
            </w:pPr>
            <w:r>
              <w:rPr>
                <w:rFonts w:hint="eastAsia"/>
                <w:sz w:val="18"/>
                <w:lang w:val="fr-CH"/>
              </w:rPr>
              <w:t>每月名义工资</w:t>
            </w:r>
          </w:p>
        </w:tc>
        <w:tc>
          <w:tcPr>
            <w:tcW w:w="1134" w:type="dxa"/>
            <w:tcBorders>
              <w:top w:val="nil"/>
              <w:bottom w:val="nil"/>
            </w:tcBorders>
          </w:tcPr>
          <w:p w:rsidR="00000000" w:rsidRDefault="00000000">
            <w:pPr>
              <w:spacing w:before="80" w:after="40" w:line="200" w:lineRule="exact"/>
              <w:ind w:right="170"/>
              <w:jc w:val="right"/>
              <w:rPr>
                <w:sz w:val="18"/>
              </w:rPr>
            </w:pPr>
            <w:r>
              <w:rPr>
                <w:sz w:val="18"/>
              </w:rPr>
              <w:t>88,200</w:t>
            </w:r>
          </w:p>
        </w:tc>
        <w:tc>
          <w:tcPr>
            <w:tcW w:w="1083" w:type="dxa"/>
            <w:tcBorders>
              <w:top w:val="nil"/>
              <w:bottom w:val="nil"/>
            </w:tcBorders>
          </w:tcPr>
          <w:p w:rsidR="00000000" w:rsidRDefault="00000000">
            <w:pPr>
              <w:spacing w:before="80" w:after="40" w:line="200" w:lineRule="exact"/>
              <w:ind w:right="170"/>
              <w:jc w:val="right"/>
              <w:rPr>
                <w:sz w:val="18"/>
              </w:rPr>
            </w:pPr>
            <w:r>
              <w:rPr>
                <w:sz w:val="18"/>
              </w:rPr>
              <w:t>190,000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324,500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455,833</w:t>
            </w:r>
          </w:p>
        </w:tc>
        <w:tc>
          <w:tcPr>
            <w:tcW w:w="1109" w:type="dxa"/>
            <w:tcBorders>
              <w:top w:val="nil"/>
              <w:bottom w:val="nil"/>
            </w:tcBorders>
          </w:tcPr>
          <w:p w:rsidR="00000000" w:rsidRDefault="00000000">
            <w:pPr>
              <w:spacing w:before="80" w:after="40" w:line="200" w:lineRule="exact"/>
              <w:ind w:right="170"/>
              <w:jc w:val="right"/>
              <w:rPr>
                <w:sz w:val="18"/>
              </w:rPr>
            </w:pPr>
            <w:r>
              <w:rPr>
                <w:sz w:val="18"/>
              </w:rPr>
              <w:t>485,833</w:t>
            </w:r>
          </w:p>
        </w:tc>
        <w:tc>
          <w:tcPr>
            <w:tcW w:w="1109" w:type="dxa"/>
            <w:tcBorders>
              <w:top w:val="nil"/>
              <w:bottom w:val="nil"/>
            </w:tcBorders>
          </w:tcPr>
          <w:p w:rsidR="00000000" w:rsidRDefault="00000000">
            <w:pPr>
              <w:spacing w:before="80" w:after="40" w:line="200" w:lineRule="exact"/>
              <w:ind w:right="57"/>
              <w:jc w:val="right"/>
              <w:rPr>
                <w:sz w:val="18"/>
              </w:rPr>
            </w:pPr>
            <w:r>
              <w:rPr>
                <w:sz w:val="18"/>
              </w:rPr>
              <w:t>450.83</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397,633</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rFonts w:hint="eastAsia"/>
                <w:sz w:val="18"/>
                <w:lang w:val="fr-CH"/>
              </w:rPr>
            </w:pPr>
            <w:r>
              <w:rPr>
                <w:rFonts w:hint="eastAsia"/>
                <w:sz w:val="18"/>
                <w:lang w:val="fr-CH"/>
              </w:rPr>
              <w:t>第</w:t>
            </w:r>
            <w:r>
              <w:rPr>
                <w:rFonts w:hint="eastAsia"/>
                <w:sz w:val="18"/>
                <w:lang w:val="fr-CH"/>
              </w:rPr>
              <w:t>13</w:t>
            </w:r>
            <w:r>
              <w:rPr>
                <w:rFonts w:hint="eastAsia"/>
                <w:sz w:val="18"/>
                <w:lang w:val="fr-CH"/>
              </w:rPr>
              <w:t>个月工资</w:t>
            </w:r>
          </w:p>
        </w:tc>
        <w:tc>
          <w:tcPr>
            <w:tcW w:w="1134" w:type="dxa"/>
            <w:tcBorders>
              <w:top w:val="nil"/>
              <w:bottom w:val="nil"/>
            </w:tcBorders>
          </w:tcPr>
          <w:p w:rsidR="00000000" w:rsidRDefault="00000000">
            <w:pPr>
              <w:spacing w:before="80" w:after="40" w:line="200" w:lineRule="exact"/>
              <w:ind w:right="170"/>
              <w:jc w:val="right"/>
              <w:rPr>
                <w:sz w:val="18"/>
              </w:rPr>
            </w:pPr>
            <w:r>
              <w:rPr>
                <w:sz w:val="18"/>
              </w:rPr>
              <w:t>5,000</w:t>
            </w:r>
          </w:p>
        </w:tc>
        <w:tc>
          <w:tcPr>
            <w:tcW w:w="1083" w:type="dxa"/>
            <w:tcBorders>
              <w:top w:val="nil"/>
              <w:bottom w:val="nil"/>
            </w:tcBorders>
          </w:tcPr>
          <w:p w:rsidR="00000000" w:rsidRDefault="00000000">
            <w:pPr>
              <w:spacing w:before="80" w:after="40" w:line="200" w:lineRule="exact"/>
              <w:ind w:right="170"/>
              <w:jc w:val="right"/>
              <w:rPr>
                <w:sz w:val="18"/>
              </w:rPr>
            </w:pPr>
            <w:r>
              <w:rPr>
                <w:sz w:val="18"/>
              </w:rPr>
              <w:t>5,500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6,250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7,917</w:t>
            </w:r>
          </w:p>
        </w:tc>
        <w:tc>
          <w:tcPr>
            <w:tcW w:w="1109" w:type="dxa"/>
            <w:tcBorders>
              <w:top w:val="nil"/>
              <w:bottom w:val="nil"/>
            </w:tcBorders>
          </w:tcPr>
          <w:p w:rsidR="00000000" w:rsidRDefault="00000000">
            <w:pPr>
              <w:spacing w:before="80" w:after="40" w:line="200" w:lineRule="exact"/>
              <w:ind w:right="170"/>
              <w:jc w:val="right"/>
              <w:rPr>
                <w:sz w:val="18"/>
              </w:rPr>
            </w:pPr>
            <w:r>
              <w:rPr>
                <w:sz w:val="18"/>
              </w:rPr>
              <w:t>7,917</w:t>
            </w:r>
          </w:p>
        </w:tc>
        <w:tc>
          <w:tcPr>
            <w:tcW w:w="1109" w:type="dxa"/>
            <w:tcBorders>
              <w:top w:val="nil"/>
              <w:bottom w:val="nil"/>
            </w:tcBorders>
          </w:tcPr>
          <w:p w:rsidR="00000000" w:rsidRDefault="00000000">
            <w:pPr>
              <w:spacing w:before="80" w:after="40" w:line="200" w:lineRule="exact"/>
              <w:ind w:right="57"/>
              <w:jc w:val="right"/>
              <w:rPr>
                <w:sz w:val="18"/>
              </w:rPr>
            </w:pPr>
            <w:r>
              <w:rPr>
                <w:sz w:val="18"/>
              </w:rPr>
              <w:t>58.33</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2,917</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sz w:val="18"/>
                <w:lang w:val="fr-CH"/>
              </w:rPr>
            </w:pPr>
            <w:r>
              <w:rPr>
                <w:rFonts w:hint="eastAsia"/>
                <w:sz w:val="18"/>
                <w:lang w:val="fr-CH"/>
              </w:rPr>
              <w:t>第</w:t>
            </w:r>
            <w:r>
              <w:rPr>
                <w:rFonts w:hint="eastAsia"/>
                <w:sz w:val="18"/>
                <w:lang w:val="fr-CH"/>
              </w:rPr>
              <w:t>14</w:t>
            </w:r>
            <w:r>
              <w:rPr>
                <w:rFonts w:hint="eastAsia"/>
                <w:sz w:val="18"/>
                <w:lang w:val="fr-CH"/>
              </w:rPr>
              <w:t>个月工资</w:t>
            </w:r>
          </w:p>
        </w:tc>
        <w:tc>
          <w:tcPr>
            <w:tcW w:w="1134" w:type="dxa"/>
            <w:tcBorders>
              <w:top w:val="nil"/>
              <w:bottom w:val="nil"/>
            </w:tcBorders>
          </w:tcPr>
          <w:p w:rsidR="00000000" w:rsidRDefault="00000000">
            <w:pPr>
              <w:spacing w:before="80" w:after="40" w:line="200" w:lineRule="exact"/>
              <w:ind w:right="170"/>
              <w:jc w:val="right"/>
              <w:rPr>
                <w:sz w:val="18"/>
              </w:rPr>
            </w:pPr>
            <w:r>
              <w:rPr>
                <w:sz w:val="18"/>
              </w:rPr>
              <w:t>10,000</w:t>
            </w:r>
          </w:p>
        </w:tc>
        <w:tc>
          <w:tcPr>
            <w:tcW w:w="1083" w:type="dxa"/>
            <w:tcBorders>
              <w:top w:val="nil"/>
              <w:bottom w:val="nil"/>
            </w:tcBorders>
          </w:tcPr>
          <w:p w:rsidR="00000000" w:rsidRDefault="00000000">
            <w:pPr>
              <w:spacing w:before="80" w:after="40" w:line="200" w:lineRule="exact"/>
              <w:ind w:right="170"/>
              <w:jc w:val="right"/>
              <w:rPr>
                <w:sz w:val="18"/>
              </w:rPr>
            </w:pPr>
            <w:r>
              <w:rPr>
                <w:sz w:val="18"/>
              </w:rPr>
              <w:t>11,000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12,500</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15,833,</w:t>
            </w:r>
          </w:p>
        </w:tc>
        <w:tc>
          <w:tcPr>
            <w:tcW w:w="1109" w:type="dxa"/>
            <w:tcBorders>
              <w:top w:val="nil"/>
              <w:bottom w:val="nil"/>
            </w:tcBorders>
          </w:tcPr>
          <w:p w:rsidR="00000000" w:rsidRDefault="00000000">
            <w:pPr>
              <w:spacing w:before="80" w:after="40" w:line="200" w:lineRule="exact"/>
              <w:ind w:right="170"/>
              <w:jc w:val="right"/>
              <w:rPr>
                <w:sz w:val="18"/>
              </w:rPr>
            </w:pPr>
            <w:r>
              <w:rPr>
                <w:sz w:val="18"/>
              </w:rPr>
              <w:t>15,833</w:t>
            </w:r>
          </w:p>
        </w:tc>
        <w:tc>
          <w:tcPr>
            <w:tcW w:w="1109" w:type="dxa"/>
            <w:tcBorders>
              <w:top w:val="nil"/>
              <w:bottom w:val="nil"/>
            </w:tcBorders>
          </w:tcPr>
          <w:p w:rsidR="00000000" w:rsidRDefault="00000000">
            <w:pPr>
              <w:spacing w:before="80" w:after="40" w:line="200" w:lineRule="exact"/>
              <w:ind w:right="57"/>
              <w:jc w:val="right"/>
              <w:rPr>
                <w:sz w:val="18"/>
              </w:rPr>
            </w:pPr>
            <w:r>
              <w:rPr>
                <w:sz w:val="18"/>
              </w:rPr>
              <w:t>58.33</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5,833</w:t>
            </w:r>
          </w:p>
        </w:tc>
      </w:tr>
      <w:tr w:rsidR="00000000">
        <w:tblPrEx>
          <w:tblCellMar>
            <w:top w:w="0" w:type="dxa"/>
          </w:tblCellMar>
        </w:tblPrEx>
        <w:tc>
          <w:tcPr>
            <w:tcW w:w="1701" w:type="dxa"/>
            <w:tcBorders>
              <w:top w:val="nil"/>
              <w:bottom w:val="nil"/>
            </w:tcBorders>
          </w:tcPr>
          <w:p w:rsidR="00000000" w:rsidRDefault="00000000">
            <w:pPr>
              <w:spacing w:before="80" w:after="40" w:line="200" w:lineRule="exact"/>
              <w:rPr>
                <w:sz w:val="18"/>
                <w:lang w:val="fr-CH"/>
              </w:rPr>
            </w:pPr>
            <w:r>
              <w:rPr>
                <w:rFonts w:hint="eastAsia"/>
                <w:sz w:val="18"/>
                <w:lang w:val="fr-CH"/>
              </w:rPr>
              <w:t>第</w:t>
            </w:r>
            <w:r>
              <w:rPr>
                <w:rFonts w:hint="eastAsia"/>
                <w:sz w:val="18"/>
                <w:lang w:val="fr-CH"/>
              </w:rPr>
              <w:t>15</w:t>
            </w:r>
            <w:r>
              <w:rPr>
                <w:rFonts w:hint="eastAsia"/>
                <w:sz w:val="18"/>
                <w:lang w:val="fr-CH"/>
              </w:rPr>
              <w:t>个月工资</w:t>
            </w:r>
          </w:p>
        </w:tc>
        <w:tc>
          <w:tcPr>
            <w:tcW w:w="1134" w:type="dxa"/>
            <w:tcBorders>
              <w:top w:val="nil"/>
              <w:bottom w:val="nil"/>
            </w:tcBorders>
          </w:tcPr>
          <w:p w:rsidR="00000000" w:rsidRDefault="00000000">
            <w:pPr>
              <w:spacing w:before="80" w:after="40" w:line="200" w:lineRule="exact"/>
              <w:ind w:right="170"/>
              <w:jc w:val="right"/>
              <w:rPr>
                <w:sz w:val="18"/>
              </w:rPr>
            </w:pPr>
            <w:r>
              <w:rPr>
                <w:sz w:val="18"/>
              </w:rPr>
              <w:t>4,167</w:t>
            </w:r>
          </w:p>
        </w:tc>
        <w:tc>
          <w:tcPr>
            <w:tcW w:w="1083" w:type="dxa"/>
            <w:tcBorders>
              <w:top w:val="nil"/>
              <w:bottom w:val="nil"/>
            </w:tcBorders>
          </w:tcPr>
          <w:p w:rsidR="00000000" w:rsidRDefault="00000000">
            <w:pPr>
              <w:spacing w:before="80" w:after="40" w:line="200" w:lineRule="exact"/>
              <w:ind w:right="170"/>
              <w:jc w:val="right"/>
              <w:rPr>
                <w:sz w:val="18"/>
              </w:rPr>
            </w:pPr>
            <w:r>
              <w:rPr>
                <w:sz w:val="18"/>
              </w:rPr>
              <w:t>4,167</w:t>
            </w:r>
          </w:p>
        </w:tc>
        <w:tc>
          <w:tcPr>
            <w:tcW w:w="1109" w:type="dxa"/>
            <w:tcBorders>
              <w:top w:val="nil"/>
              <w:bottom w:val="nil"/>
            </w:tcBorders>
          </w:tcPr>
          <w:p w:rsidR="00000000" w:rsidRDefault="00000000">
            <w:pPr>
              <w:spacing w:before="80" w:after="40" w:line="200" w:lineRule="exact"/>
              <w:ind w:right="170"/>
              <w:jc w:val="right"/>
              <w:rPr>
                <w:sz w:val="18"/>
              </w:rPr>
            </w:pPr>
            <w:r>
              <w:rPr>
                <w:sz w:val="18"/>
              </w:rPr>
              <w:t>4,167</w:t>
            </w:r>
          </w:p>
        </w:tc>
        <w:tc>
          <w:tcPr>
            <w:tcW w:w="1109" w:type="dxa"/>
            <w:tcBorders>
              <w:top w:val="nil"/>
              <w:bottom w:val="nil"/>
            </w:tcBorders>
          </w:tcPr>
          <w:p w:rsidR="00000000" w:rsidRDefault="00000000">
            <w:pPr>
              <w:spacing w:before="80" w:after="40" w:line="200" w:lineRule="exact"/>
              <w:ind w:right="170"/>
              <w:jc w:val="right"/>
              <w:rPr>
                <w:sz w:val="18"/>
              </w:rPr>
            </w:pPr>
            <w:r>
              <w:rPr>
                <w:sz w:val="18"/>
              </w:rPr>
              <w:t>4,167</w:t>
            </w:r>
          </w:p>
        </w:tc>
        <w:tc>
          <w:tcPr>
            <w:tcW w:w="1109" w:type="dxa"/>
            <w:tcBorders>
              <w:top w:val="nil"/>
              <w:bottom w:val="nil"/>
            </w:tcBorders>
          </w:tcPr>
          <w:p w:rsidR="00000000" w:rsidRDefault="00000000">
            <w:pPr>
              <w:spacing w:before="80" w:after="40" w:line="200" w:lineRule="exact"/>
              <w:ind w:right="170"/>
              <w:jc w:val="right"/>
              <w:rPr>
                <w:sz w:val="18"/>
              </w:rPr>
            </w:pPr>
            <w:r>
              <w:rPr>
                <w:sz w:val="18"/>
              </w:rPr>
              <w:t>4,167</w:t>
            </w:r>
          </w:p>
        </w:tc>
        <w:tc>
          <w:tcPr>
            <w:tcW w:w="1109" w:type="dxa"/>
            <w:tcBorders>
              <w:top w:val="nil"/>
              <w:bottom w:val="nil"/>
            </w:tcBorders>
          </w:tcPr>
          <w:p w:rsidR="00000000" w:rsidRDefault="00000000">
            <w:pPr>
              <w:spacing w:before="80" w:after="40" w:line="200" w:lineRule="exact"/>
              <w:ind w:right="57"/>
              <w:jc w:val="right"/>
              <w:rPr>
                <w:sz w:val="18"/>
              </w:rPr>
            </w:pPr>
            <w:r>
              <w:rPr>
                <w:sz w:val="18"/>
              </w:rPr>
              <w:t>0.00</w:t>
            </w:r>
          </w:p>
        </w:tc>
        <w:tc>
          <w:tcPr>
            <w:tcW w:w="1366" w:type="dxa"/>
            <w:tcBorders>
              <w:top w:val="nil"/>
              <w:bottom w:val="nil"/>
            </w:tcBorders>
          </w:tcPr>
          <w:p w:rsidR="00000000" w:rsidRDefault="00000000">
            <w:pPr>
              <w:spacing w:before="80" w:after="40" w:line="200" w:lineRule="exact"/>
              <w:ind w:right="284" w:hanging="11"/>
              <w:jc w:val="right"/>
              <w:rPr>
                <w:sz w:val="18"/>
              </w:rPr>
            </w:pPr>
            <w:r>
              <w:rPr>
                <w:sz w:val="18"/>
              </w:rPr>
              <w:t>0</w:t>
            </w:r>
          </w:p>
        </w:tc>
      </w:tr>
      <w:tr w:rsidR="00000000">
        <w:tblPrEx>
          <w:tblCellMar>
            <w:top w:w="0" w:type="dxa"/>
          </w:tblCellMar>
        </w:tblPrEx>
        <w:tc>
          <w:tcPr>
            <w:tcW w:w="1701" w:type="dxa"/>
            <w:tcBorders>
              <w:top w:val="nil"/>
            </w:tcBorders>
          </w:tcPr>
          <w:p w:rsidR="00000000" w:rsidRDefault="00000000">
            <w:pPr>
              <w:spacing w:before="80" w:after="40" w:line="200" w:lineRule="exact"/>
              <w:rPr>
                <w:rFonts w:hint="eastAsia"/>
                <w:sz w:val="18"/>
                <w:lang w:val="fr-CH"/>
              </w:rPr>
            </w:pPr>
            <w:r>
              <w:rPr>
                <w:rFonts w:hint="eastAsia"/>
                <w:sz w:val="18"/>
                <w:lang w:val="fr-CH"/>
              </w:rPr>
              <w:t>储备基金</w:t>
            </w:r>
          </w:p>
        </w:tc>
        <w:tc>
          <w:tcPr>
            <w:tcW w:w="1134" w:type="dxa"/>
            <w:tcBorders>
              <w:top w:val="nil"/>
            </w:tcBorders>
          </w:tcPr>
          <w:p w:rsidR="00000000" w:rsidRDefault="00000000">
            <w:pPr>
              <w:spacing w:before="80" w:after="40" w:line="200" w:lineRule="exact"/>
              <w:ind w:right="170"/>
              <w:jc w:val="right"/>
              <w:rPr>
                <w:sz w:val="18"/>
              </w:rPr>
            </w:pPr>
            <w:r>
              <w:rPr>
                <w:sz w:val="18"/>
              </w:rPr>
              <w:t>5,000</w:t>
            </w:r>
          </w:p>
        </w:tc>
        <w:tc>
          <w:tcPr>
            <w:tcW w:w="1083" w:type="dxa"/>
            <w:tcBorders>
              <w:top w:val="nil"/>
            </w:tcBorders>
          </w:tcPr>
          <w:p w:rsidR="00000000" w:rsidRDefault="00000000">
            <w:pPr>
              <w:spacing w:before="80" w:after="40" w:line="200" w:lineRule="exact"/>
              <w:ind w:right="170"/>
              <w:jc w:val="right"/>
              <w:rPr>
                <w:sz w:val="18"/>
              </w:rPr>
            </w:pPr>
            <w:r>
              <w:rPr>
                <w:sz w:val="18"/>
              </w:rPr>
              <w:t>5,500</w:t>
            </w:r>
          </w:p>
        </w:tc>
        <w:tc>
          <w:tcPr>
            <w:tcW w:w="1109" w:type="dxa"/>
            <w:tcBorders>
              <w:top w:val="nil"/>
            </w:tcBorders>
          </w:tcPr>
          <w:p w:rsidR="00000000" w:rsidRDefault="00000000">
            <w:pPr>
              <w:spacing w:before="80" w:after="40" w:line="200" w:lineRule="exact"/>
              <w:ind w:right="170"/>
              <w:jc w:val="right"/>
              <w:rPr>
                <w:sz w:val="18"/>
              </w:rPr>
            </w:pPr>
            <w:r>
              <w:rPr>
                <w:sz w:val="18"/>
              </w:rPr>
              <w:t>6,250</w:t>
            </w:r>
          </w:p>
        </w:tc>
        <w:tc>
          <w:tcPr>
            <w:tcW w:w="1109" w:type="dxa"/>
            <w:tcBorders>
              <w:top w:val="nil"/>
            </w:tcBorders>
          </w:tcPr>
          <w:p w:rsidR="00000000" w:rsidRDefault="00000000">
            <w:pPr>
              <w:spacing w:before="80" w:after="40" w:line="200" w:lineRule="exact"/>
              <w:ind w:right="170"/>
              <w:jc w:val="right"/>
              <w:rPr>
                <w:sz w:val="18"/>
              </w:rPr>
            </w:pPr>
            <w:r>
              <w:rPr>
                <w:sz w:val="18"/>
              </w:rPr>
              <w:t>7,917</w:t>
            </w:r>
          </w:p>
        </w:tc>
        <w:tc>
          <w:tcPr>
            <w:tcW w:w="1109" w:type="dxa"/>
            <w:tcBorders>
              <w:top w:val="nil"/>
            </w:tcBorders>
          </w:tcPr>
          <w:p w:rsidR="00000000" w:rsidRDefault="00000000">
            <w:pPr>
              <w:spacing w:before="80" w:after="40" w:line="200" w:lineRule="exact"/>
              <w:ind w:right="170"/>
              <w:jc w:val="right"/>
              <w:rPr>
                <w:sz w:val="18"/>
              </w:rPr>
            </w:pPr>
            <w:r>
              <w:rPr>
                <w:sz w:val="18"/>
              </w:rPr>
              <w:t>7,917</w:t>
            </w:r>
          </w:p>
        </w:tc>
        <w:tc>
          <w:tcPr>
            <w:tcW w:w="1109" w:type="dxa"/>
            <w:tcBorders>
              <w:top w:val="nil"/>
            </w:tcBorders>
          </w:tcPr>
          <w:p w:rsidR="00000000" w:rsidRDefault="00000000">
            <w:pPr>
              <w:spacing w:before="80" w:after="40" w:line="200" w:lineRule="exact"/>
              <w:ind w:right="57"/>
              <w:jc w:val="right"/>
              <w:rPr>
                <w:sz w:val="18"/>
              </w:rPr>
            </w:pPr>
            <w:r>
              <w:rPr>
                <w:sz w:val="18"/>
              </w:rPr>
              <w:t>58.33</w:t>
            </w:r>
          </w:p>
        </w:tc>
        <w:tc>
          <w:tcPr>
            <w:tcW w:w="1366" w:type="dxa"/>
            <w:tcBorders>
              <w:top w:val="nil"/>
            </w:tcBorders>
          </w:tcPr>
          <w:p w:rsidR="00000000" w:rsidRDefault="00000000">
            <w:pPr>
              <w:spacing w:before="80" w:after="40" w:line="200" w:lineRule="exact"/>
              <w:ind w:right="284" w:hanging="11"/>
              <w:jc w:val="right"/>
              <w:rPr>
                <w:sz w:val="18"/>
              </w:rPr>
            </w:pPr>
            <w:r>
              <w:rPr>
                <w:sz w:val="18"/>
              </w:rPr>
              <w:t>2,917</w:t>
            </w:r>
          </w:p>
        </w:tc>
      </w:tr>
      <w:tr w:rsidR="00000000">
        <w:tblPrEx>
          <w:tblCellMar>
            <w:top w:w="0" w:type="dxa"/>
          </w:tblCellMar>
        </w:tblPrEx>
        <w:tc>
          <w:tcPr>
            <w:tcW w:w="1701" w:type="dxa"/>
          </w:tcPr>
          <w:p w:rsidR="00000000" w:rsidRDefault="00000000">
            <w:pPr>
              <w:spacing w:before="80" w:after="40" w:line="200" w:lineRule="exact"/>
              <w:rPr>
                <w:rFonts w:hint="eastAsia"/>
                <w:sz w:val="18"/>
                <w:lang w:val="fr-CH"/>
              </w:rPr>
            </w:pPr>
            <w:r>
              <w:rPr>
                <w:rFonts w:hint="eastAsia"/>
                <w:sz w:val="18"/>
                <w:lang w:val="fr-CH"/>
              </w:rPr>
              <w:t>收入总额</w:t>
            </w:r>
          </w:p>
        </w:tc>
        <w:tc>
          <w:tcPr>
            <w:tcW w:w="1134" w:type="dxa"/>
          </w:tcPr>
          <w:p w:rsidR="00000000" w:rsidRDefault="00000000">
            <w:pPr>
              <w:spacing w:before="80" w:after="40" w:line="200" w:lineRule="exact"/>
              <w:ind w:right="170"/>
              <w:jc w:val="right"/>
              <w:rPr>
                <w:sz w:val="18"/>
              </w:rPr>
            </w:pPr>
            <w:r>
              <w:rPr>
                <w:sz w:val="18"/>
              </w:rPr>
              <w:t>112,367</w:t>
            </w:r>
          </w:p>
        </w:tc>
        <w:tc>
          <w:tcPr>
            <w:tcW w:w="1083" w:type="dxa"/>
          </w:tcPr>
          <w:p w:rsidR="00000000" w:rsidRDefault="00000000">
            <w:pPr>
              <w:spacing w:before="80" w:after="40" w:line="200" w:lineRule="exact"/>
              <w:ind w:right="170"/>
              <w:jc w:val="right"/>
              <w:rPr>
                <w:sz w:val="18"/>
              </w:rPr>
            </w:pPr>
            <w:r>
              <w:rPr>
                <w:sz w:val="18"/>
              </w:rPr>
              <w:t>216,167</w:t>
            </w:r>
          </w:p>
        </w:tc>
        <w:tc>
          <w:tcPr>
            <w:tcW w:w="1109" w:type="dxa"/>
          </w:tcPr>
          <w:p w:rsidR="00000000" w:rsidRDefault="00000000">
            <w:pPr>
              <w:spacing w:before="80" w:after="40" w:line="200" w:lineRule="exact"/>
              <w:ind w:right="170"/>
              <w:jc w:val="right"/>
              <w:rPr>
                <w:sz w:val="18"/>
              </w:rPr>
            </w:pPr>
            <w:r>
              <w:rPr>
                <w:sz w:val="18"/>
              </w:rPr>
              <w:t>353,667</w:t>
            </w:r>
          </w:p>
        </w:tc>
        <w:tc>
          <w:tcPr>
            <w:tcW w:w="1109" w:type="dxa"/>
          </w:tcPr>
          <w:p w:rsidR="00000000" w:rsidRDefault="00000000">
            <w:pPr>
              <w:spacing w:before="80" w:after="40" w:line="200" w:lineRule="exact"/>
              <w:ind w:right="170"/>
              <w:jc w:val="right"/>
              <w:rPr>
                <w:sz w:val="18"/>
              </w:rPr>
            </w:pPr>
            <w:r>
              <w:rPr>
                <w:sz w:val="18"/>
              </w:rPr>
              <w:t>491,667</w:t>
            </w:r>
          </w:p>
        </w:tc>
        <w:tc>
          <w:tcPr>
            <w:tcW w:w="1109" w:type="dxa"/>
          </w:tcPr>
          <w:p w:rsidR="00000000" w:rsidRDefault="00000000">
            <w:pPr>
              <w:spacing w:before="80" w:after="40" w:line="200" w:lineRule="exact"/>
              <w:ind w:right="170"/>
              <w:jc w:val="right"/>
              <w:rPr>
                <w:sz w:val="18"/>
              </w:rPr>
            </w:pPr>
            <w:r>
              <w:rPr>
                <w:sz w:val="18"/>
              </w:rPr>
              <w:t>521,667</w:t>
            </w:r>
          </w:p>
        </w:tc>
        <w:tc>
          <w:tcPr>
            <w:tcW w:w="1109" w:type="dxa"/>
          </w:tcPr>
          <w:p w:rsidR="00000000" w:rsidRDefault="00000000">
            <w:pPr>
              <w:spacing w:before="80" w:after="40" w:line="200" w:lineRule="exact"/>
              <w:ind w:right="57"/>
              <w:jc w:val="right"/>
              <w:rPr>
                <w:sz w:val="18"/>
              </w:rPr>
            </w:pPr>
            <w:r>
              <w:rPr>
                <w:sz w:val="18"/>
              </w:rPr>
              <w:t>364.25</w:t>
            </w:r>
          </w:p>
        </w:tc>
        <w:tc>
          <w:tcPr>
            <w:tcW w:w="1366" w:type="dxa"/>
          </w:tcPr>
          <w:p w:rsidR="00000000" w:rsidRDefault="00000000">
            <w:pPr>
              <w:spacing w:before="80" w:after="40" w:line="200" w:lineRule="exact"/>
              <w:ind w:right="284" w:hanging="11"/>
              <w:jc w:val="right"/>
              <w:rPr>
                <w:sz w:val="18"/>
              </w:rPr>
            </w:pPr>
            <w:r>
              <w:rPr>
                <w:sz w:val="18"/>
              </w:rPr>
              <w:t>409,300</w:t>
            </w:r>
          </w:p>
        </w:tc>
      </w:tr>
    </w:tbl>
    <w:p w:rsidR="00000000" w:rsidRDefault="00000000">
      <w:pPr>
        <w:pStyle w:val="Heading3"/>
        <w:spacing w:before="280" w:after="160" w:line="240" w:lineRule="auto"/>
        <w:rPr>
          <w:rFonts w:hint="eastAsia"/>
        </w:rPr>
      </w:pPr>
      <w:r>
        <w:rPr>
          <w:rFonts w:hint="eastAsia"/>
        </w:rPr>
        <w:t>普通工人收入总额</w:t>
      </w:r>
    </w:p>
    <w:p w:rsidR="00000000" w:rsidRDefault="00000000">
      <w:pPr>
        <w:pStyle w:val="Heading3"/>
        <w:spacing w:after="160" w:line="240" w:lineRule="auto"/>
        <w:rPr>
          <w:u w:val="none"/>
        </w:rPr>
      </w:pPr>
      <w:r>
        <w:t xml:space="preserve">Abdala Bucaram-Rosalía Arteaga, </w:t>
      </w:r>
      <w:r>
        <w:rPr>
          <w:rFonts w:hint="eastAsia"/>
        </w:rPr>
        <w:t>1996</w:t>
      </w:r>
      <w:r>
        <w:rPr>
          <w:rFonts w:hint="eastAsia"/>
        </w:rPr>
        <w:t>年</w:t>
      </w:r>
      <w:r>
        <w:rPr>
          <w:rFonts w:hint="eastAsia"/>
        </w:rPr>
        <w:t>8</w:t>
      </w:r>
      <w:r>
        <w:rPr>
          <w:rFonts w:hint="eastAsia"/>
        </w:rPr>
        <w:t>月至</w:t>
      </w:r>
      <w:r>
        <w:br/>
      </w:r>
      <w:r>
        <w:rPr>
          <w:rFonts w:hint="eastAsia"/>
        </w:rPr>
        <w:t>1997</w:t>
      </w:r>
      <w:r>
        <w:rPr>
          <w:rFonts w:hint="eastAsia"/>
        </w:rPr>
        <w:t>年</w:t>
      </w:r>
      <w:r>
        <w:rPr>
          <w:rFonts w:hint="eastAsia"/>
        </w:rPr>
        <w:t>2</w:t>
      </w:r>
      <w:r>
        <w:rPr>
          <w:rFonts w:hint="eastAsia"/>
        </w:rPr>
        <w:t>月</w:t>
      </w:r>
      <w:r>
        <w:t xml:space="preserve">Fabián Alarcón, </w:t>
      </w:r>
      <w:r>
        <w:rPr>
          <w:rFonts w:hint="eastAsia"/>
        </w:rPr>
        <w:t>1997</w:t>
      </w:r>
      <w:r>
        <w:rPr>
          <w:rFonts w:hint="eastAsia"/>
        </w:rPr>
        <w:t>年</w:t>
      </w:r>
      <w:r>
        <w:rPr>
          <w:rFonts w:hint="eastAsia"/>
        </w:rPr>
        <w:t>2</w:t>
      </w:r>
      <w:r>
        <w:rPr>
          <w:rFonts w:hint="eastAsia"/>
        </w:rPr>
        <w:t>月至</w:t>
      </w:r>
      <w:r>
        <w:rPr>
          <w:rFonts w:hint="eastAsia"/>
        </w:rPr>
        <w:t>1998</w:t>
      </w:r>
      <w:r>
        <w:rPr>
          <w:rFonts w:hint="eastAsia"/>
        </w:rPr>
        <w:t>年</w:t>
      </w:r>
      <w:r>
        <w:rPr>
          <w:rFonts w:hint="eastAsia"/>
        </w:rPr>
        <w:t>8</w:t>
      </w:r>
      <w:r>
        <w:rPr>
          <w:rFonts w:hint="eastAsia"/>
        </w:rPr>
        <w:t>月</w:t>
      </w:r>
      <w:r>
        <w:br/>
        <w:t xml:space="preserve">amil Mahuad-Gustavo Noboa, </w:t>
      </w:r>
      <w:r>
        <w:rPr>
          <w:rFonts w:hint="eastAsia"/>
        </w:rPr>
        <w:t>1998</w:t>
      </w:r>
      <w:r>
        <w:rPr>
          <w:rFonts w:hint="eastAsia"/>
        </w:rPr>
        <w:t>年</w:t>
      </w:r>
      <w:r>
        <w:rPr>
          <w:rFonts w:hint="eastAsia"/>
        </w:rPr>
        <w:t>8</w:t>
      </w:r>
      <w:r>
        <w:rPr>
          <w:rFonts w:hint="eastAsia"/>
        </w:rPr>
        <w:t>月至今</w:t>
      </w:r>
      <w:r>
        <w:br/>
      </w:r>
      <w:r>
        <w:rPr>
          <w:u w:val="none"/>
        </w:rPr>
        <w:t>(</w:t>
      </w:r>
      <w:r>
        <w:rPr>
          <w:rFonts w:hint="eastAsia"/>
          <w:u w:val="none"/>
        </w:rPr>
        <w:t>苏克雷</w:t>
      </w:r>
      <w:r>
        <w:rPr>
          <w:u w:val="none"/>
        </w:rPr>
        <w:t>)</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1690"/>
        <w:gridCol w:w="1040"/>
        <w:gridCol w:w="1040"/>
        <w:gridCol w:w="1170"/>
        <w:gridCol w:w="1170"/>
        <w:gridCol w:w="1261"/>
        <w:gridCol w:w="1014"/>
        <w:gridCol w:w="1215"/>
      </w:tblGrid>
      <w:tr w:rsidR="00000000">
        <w:tblPrEx>
          <w:tblCellMar>
            <w:top w:w="0" w:type="dxa"/>
          </w:tblCellMar>
        </w:tblPrEx>
        <w:trPr>
          <w:cantSplit/>
        </w:trPr>
        <w:tc>
          <w:tcPr>
            <w:tcW w:w="1690" w:type="dxa"/>
            <w:vMerge w:val="restart"/>
          </w:tcPr>
          <w:p w:rsidR="00000000" w:rsidRDefault="00000000">
            <w:pPr>
              <w:spacing w:before="120" w:line="288" w:lineRule="auto"/>
              <w:jc w:val="center"/>
              <w:rPr>
                <w:rFonts w:hint="eastAsia"/>
                <w:sz w:val="18"/>
              </w:rPr>
            </w:pPr>
            <w:r>
              <w:rPr>
                <w:rFonts w:hint="eastAsia"/>
                <w:sz w:val="18"/>
              </w:rPr>
              <w:t>工资津贴内容</w:t>
            </w:r>
            <w:r>
              <w:rPr>
                <w:sz w:val="18"/>
              </w:rPr>
              <w:br/>
            </w:r>
            <w:r>
              <w:rPr>
                <w:rFonts w:hint="eastAsia"/>
                <w:sz w:val="18"/>
              </w:rPr>
              <w:t>与年份</w:t>
            </w:r>
          </w:p>
        </w:tc>
        <w:tc>
          <w:tcPr>
            <w:tcW w:w="1040" w:type="dxa"/>
          </w:tcPr>
          <w:p w:rsidR="00000000" w:rsidRDefault="00000000">
            <w:pPr>
              <w:spacing w:before="40" w:line="288" w:lineRule="auto"/>
              <w:jc w:val="center"/>
              <w:rPr>
                <w:sz w:val="18"/>
              </w:rPr>
            </w:pPr>
            <w:r>
              <w:rPr>
                <w:sz w:val="18"/>
              </w:rPr>
              <w:t>1996</w:t>
            </w:r>
          </w:p>
        </w:tc>
        <w:tc>
          <w:tcPr>
            <w:tcW w:w="1040" w:type="dxa"/>
          </w:tcPr>
          <w:p w:rsidR="00000000" w:rsidRDefault="00000000">
            <w:pPr>
              <w:spacing w:before="40" w:line="288" w:lineRule="auto"/>
              <w:jc w:val="center"/>
              <w:rPr>
                <w:sz w:val="18"/>
              </w:rPr>
            </w:pPr>
            <w:r>
              <w:rPr>
                <w:sz w:val="18"/>
              </w:rPr>
              <w:t>1997</w:t>
            </w:r>
          </w:p>
        </w:tc>
        <w:tc>
          <w:tcPr>
            <w:tcW w:w="1170" w:type="dxa"/>
          </w:tcPr>
          <w:p w:rsidR="00000000" w:rsidRDefault="00000000">
            <w:pPr>
              <w:spacing w:before="40" w:line="288" w:lineRule="auto"/>
              <w:jc w:val="center"/>
              <w:rPr>
                <w:sz w:val="18"/>
              </w:rPr>
            </w:pPr>
            <w:r>
              <w:rPr>
                <w:sz w:val="18"/>
              </w:rPr>
              <w:t>1998</w:t>
            </w:r>
          </w:p>
        </w:tc>
        <w:tc>
          <w:tcPr>
            <w:tcW w:w="2431" w:type="dxa"/>
            <w:gridSpan w:val="2"/>
          </w:tcPr>
          <w:p w:rsidR="00000000" w:rsidRDefault="00000000">
            <w:pPr>
              <w:spacing w:before="40" w:line="288" w:lineRule="auto"/>
              <w:jc w:val="center"/>
              <w:rPr>
                <w:sz w:val="18"/>
              </w:rPr>
            </w:pPr>
            <w:r>
              <w:rPr>
                <w:sz w:val="18"/>
              </w:rPr>
              <w:t>1999</w:t>
            </w:r>
          </w:p>
        </w:tc>
        <w:tc>
          <w:tcPr>
            <w:tcW w:w="2229" w:type="dxa"/>
            <w:gridSpan w:val="2"/>
          </w:tcPr>
          <w:p w:rsidR="00000000" w:rsidRDefault="00000000">
            <w:pPr>
              <w:spacing w:before="40" w:line="288" w:lineRule="auto"/>
              <w:jc w:val="center"/>
              <w:rPr>
                <w:rFonts w:hint="eastAsia"/>
                <w:sz w:val="18"/>
              </w:rPr>
            </w:pPr>
            <w:r>
              <w:rPr>
                <w:rFonts w:hint="eastAsia"/>
                <w:sz w:val="18"/>
              </w:rPr>
              <w:t>期间内增长</w:t>
            </w:r>
          </w:p>
        </w:tc>
      </w:tr>
      <w:tr w:rsidR="00000000">
        <w:tblPrEx>
          <w:tblCellMar>
            <w:top w:w="0" w:type="dxa"/>
          </w:tblCellMar>
        </w:tblPrEx>
        <w:trPr>
          <w:cantSplit/>
        </w:trPr>
        <w:tc>
          <w:tcPr>
            <w:tcW w:w="1690" w:type="dxa"/>
            <w:vMerge/>
            <w:tcBorders>
              <w:bottom w:val="single" w:sz="4" w:space="0" w:color="auto"/>
            </w:tcBorders>
          </w:tcPr>
          <w:p w:rsidR="00000000" w:rsidRDefault="00000000">
            <w:pPr>
              <w:spacing w:before="40" w:line="288" w:lineRule="auto"/>
              <w:rPr>
                <w:sz w:val="18"/>
              </w:rPr>
            </w:pPr>
          </w:p>
        </w:tc>
        <w:tc>
          <w:tcPr>
            <w:tcW w:w="1040" w:type="dxa"/>
            <w:tcBorders>
              <w:bottom w:val="single" w:sz="4" w:space="0" w:color="auto"/>
            </w:tcBorders>
          </w:tcPr>
          <w:p w:rsidR="00000000" w:rsidRDefault="00000000">
            <w:pPr>
              <w:spacing w:before="40" w:line="288" w:lineRule="auto"/>
              <w:ind w:left="-57" w:right="-57"/>
              <w:jc w:val="center"/>
              <w:rPr>
                <w:sz w:val="18"/>
              </w:rPr>
            </w:pPr>
            <w:r>
              <w:rPr>
                <w:rFonts w:hint="eastAsia"/>
                <w:sz w:val="18"/>
              </w:rPr>
              <w:t>8</w:t>
            </w:r>
            <w:r>
              <w:rPr>
                <w:rFonts w:hint="eastAsia"/>
                <w:sz w:val="18"/>
              </w:rPr>
              <w:t>月</w:t>
            </w:r>
            <w:r>
              <w:rPr>
                <w:sz w:val="18"/>
              </w:rPr>
              <w:t>10</w:t>
            </w:r>
            <w:r>
              <w:rPr>
                <w:rFonts w:hint="eastAsia"/>
                <w:sz w:val="18"/>
              </w:rPr>
              <w:t>日</w:t>
            </w:r>
            <w:r>
              <w:rPr>
                <w:sz w:val="18"/>
              </w:rPr>
              <w:t xml:space="preserve"> </w:t>
            </w:r>
          </w:p>
        </w:tc>
        <w:tc>
          <w:tcPr>
            <w:tcW w:w="1040" w:type="dxa"/>
            <w:tcBorders>
              <w:bottom w:val="single" w:sz="4" w:space="0" w:color="auto"/>
            </w:tcBorders>
          </w:tcPr>
          <w:p w:rsidR="00000000" w:rsidRDefault="00000000">
            <w:pPr>
              <w:spacing w:before="40" w:line="288" w:lineRule="auto"/>
              <w:ind w:left="-57" w:right="-57"/>
              <w:jc w:val="center"/>
              <w:rPr>
                <w:rFonts w:hint="eastAsia"/>
                <w:sz w:val="18"/>
              </w:rPr>
            </w:pPr>
            <w:r>
              <w:rPr>
                <w:rFonts w:hint="eastAsia"/>
                <w:sz w:val="18"/>
              </w:rPr>
              <w:t>1</w:t>
            </w:r>
            <w:r>
              <w:rPr>
                <w:rFonts w:hint="eastAsia"/>
                <w:sz w:val="18"/>
              </w:rPr>
              <w:t>月</w:t>
            </w:r>
            <w:r>
              <w:rPr>
                <w:sz w:val="18"/>
              </w:rPr>
              <w:t>1</w:t>
            </w:r>
            <w:r>
              <w:rPr>
                <w:rFonts w:hint="eastAsia"/>
                <w:sz w:val="18"/>
              </w:rPr>
              <w:t>日</w:t>
            </w:r>
            <w:r>
              <w:rPr>
                <w:sz w:val="18"/>
              </w:rPr>
              <w:t xml:space="preserve"> </w:t>
            </w:r>
          </w:p>
        </w:tc>
        <w:tc>
          <w:tcPr>
            <w:tcW w:w="1170" w:type="dxa"/>
            <w:tcBorders>
              <w:bottom w:val="single" w:sz="4" w:space="0" w:color="auto"/>
            </w:tcBorders>
          </w:tcPr>
          <w:p w:rsidR="00000000" w:rsidRDefault="00000000">
            <w:pPr>
              <w:spacing w:before="40" w:line="288" w:lineRule="auto"/>
              <w:ind w:left="-57" w:right="-57"/>
              <w:jc w:val="center"/>
              <w:rPr>
                <w:rFonts w:hint="eastAsia"/>
                <w:sz w:val="18"/>
              </w:rPr>
            </w:pPr>
            <w:r>
              <w:rPr>
                <w:rFonts w:hint="eastAsia"/>
                <w:sz w:val="18"/>
              </w:rPr>
              <w:t>1</w:t>
            </w:r>
            <w:r>
              <w:rPr>
                <w:rFonts w:hint="eastAsia"/>
                <w:sz w:val="18"/>
              </w:rPr>
              <w:t>月</w:t>
            </w:r>
            <w:r>
              <w:rPr>
                <w:sz w:val="18"/>
              </w:rPr>
              <w:t>1</w:t>
            </w:r>
            <w:r>
              <w:rPr>
                <w:rFonts w:hint="eastAsia"/>
                <w:sz w:val="18"/>
              </w:rPr>
              <w:t>日</w:t>
            </w:r>
            <w:r>
              <w:rPr>
                <w:sz w:val="18"/>
              </w:rPr>
              <w:t xml:space="preserve"> </w:t>
            </w:r>
          </w:p>
        </w:tc>
        <w:tc>
          <w:tcPr>
            <w:tcW w:w="1170" w:type="dxa"/>
            <w:tcBorders>
              <w:bottom w:val="single" w:sz="4" w:space="0" w:color="auto"/>
            </w:tcBorders>
          </w:tcPr>
          <w:p w:rsidR="00000000" w:rsidRDefault="00000000">
            <w:pPr>
              <w:spacing w:before="40" w:line="288" w:lineRule="auto"/>
              <w:ind w:left="-57" w:right="-57"/>
              <w:jc w:val="center"/>
              <w:rPr>
                <w:rFonts w:hint="eastAsia"/>
                <w:sz w:val="18"/>
              </w:rPr>
            </w:pPr>
            <w:r>
              <w:rPr>
                <w:rFonts w:hint="eastAsia"/>
                <w:sz w:val="18"/>
              </w:rPr>
              <w:t>1</w:t>
            </w:r>
            <w:r>
              <w:rPr>
                <w:rFonts w:hint="eastAsia"/>
                <w:sz w:val="18"/>
              </w:rPr>
              <w:t>月</w:t>
            </w:r>
            <w:r>
              <w:rPr>
                <w:sz w:val="18"/>
              </w:rPr>
              <w:t>1</w:t>
            </w:r>
            <w:r>
              <w:rPr>
                <w:rFonts w:hint="eastAsia"/>
                <w:sz w:val="18"/>
              </w:rPr>
              <w:t>日</w:t>
            </w:r>
            <w:r>
              <w:rPr>
                <w:sz w:val="18"/>
              </w:rPr>
              <w:t xml:space="preserve"> </w:t>
            </w:r>
          </w:p>
        </w:tc>
        <w:tc>
          <w:tcPr>
            <w:tcW w:w="1261" w:type="dxa"/>
            <w:tcBorders>
              <w:bottom w:val="single" w:sz="4" w:space="0" w:color="auto"/>
            </w:tcBorders>
          </w:tcPr>
          <w:p w:rsidR="00000000" w:rsidRDefault="00000000">
            <w:pPr>
              <w:spacing w:before="40" w:line="288" w:lineRule="auto"/>
              <w:ind w:left="-57" w:right="-57"/>
              <w:jc w:val="center"/>
              <w:rPr>
                <w:rFonts w:hint="eastAsia"/>
                <w:sz w:val="18"/>
              </w:rPr>
            </w:pPr>
            <w:r>
              <w:rPr>
                <w:rFonts w:hint="eastAsia"/>
                <w:sz w:val="18"/>
              </w:rPr>
              <w:t>7</w:t>
            </w:r>
            <w:r>
              <w:rPr>
                <w:rFonts w:hint="eastAsia"/>
                <w:sz w:val="18"/>
              </w:rPr>
              <w:t>月</w:t>
            </w:r>
            <w:r>
              <w:rPr>
                <w:sz w:val="18"/>
              </w:rPr>
              <w:t>1</w:t>
            </w:r>
            <w:r>
              <w:rPr>
                <w:rFonts w:hint="eastAsia"/>
                <w:sz w:val="18"/>
              </w:rPr>
              <w:t>日</w:t>
            </w:r>
            <w:r>
              <w:rPr>
                <w:sz w:val="18"/>
              </w:rPr>
              <w:t xml:space="preserve"> </w:t>
            </w:r>
          </w:p>
        </w:tc>
        <w:tc>
          <w:tcPr>
            <w:tcW w:w="1014" w:type="dxa"/>
            <w:tcBorders>
              <w:bottom w:val="single" w:sz="4" w:space="0" w:color="auto"/>
            </w:tcBorders>
          </w:tcPr>
          <w:p w:rsidR="00000000" w:rsidRDefault="00000000">
            <w:pPr>
              <w:spacing w:before="40" w:line="288" w:lineRule="auto"/>
              <w:jc w:val="center"/>
              <w:rPr>
                <w:sz w:val="18"/>
              </w:rPr>
            </w:pPr>
            <w:r>
              <w:rPr>
                <w:rFonts w:hint="eastAsia"/>
                <w:sz w:val="18"/>
                <w:lang w:val="fr-CH"/>
              </w:rPr>
              <w:t>百分比</w:t>
            </w:r>
          </w:p>
        </w:tc>
        <w:tc>
          <w:tcPr>
            <w:tcW w:w="1215" w:type="dxa"/>
            <w:tcBorders>
              <w:bottom w:val="single" w:sz="4" w:space="0" w:color="auto"/>
            </w:tcBorders>
          </w:tcPr>
          <w:p w:rsidR="00000000" w:rsidRDefault="00000000">
            <w:pPr>
              <w:spacing w:before="40" w:line="288" w:lineRule="auto"/>
              <w:jc w:val="center"/>
              <w:rPr>
                <w:rFonts w:hint="eastAsia"/>
                <w:sz w:val="18"/>
              </w:rPr>
            </w:pPr>
            <w:r>
              <w:rPr>
                <w:rFonts w:hint="eastAsia"/>
                <w:sz w:val="18"/>
              </w:rPr>
              <w:t>绝对值</w:t>
            </w:r>
          </w:p>
        </w:tc>
      </w:tr>
      <w:tr w:rsidR="00000000">
        <w:tblPrEx>
          <w:tblCellMar>
            <w:top w:w="0" w:type="dxa"/>
          </w:tblCellMar>
        </w:tblPrEx>
        <w:tc>
          <w:tcPr>
            <w:tcW w:w="0" w:type="dxa"/>
            <w:tcBorders>
              <w:bottom w:val="nil"/>
            </w:tcBorders>
          </w:tcPr>
          <w:p w:rsidR="00000000" w:rsidRDefault="00000000">
            <w:pPr>
              <w:pStyle w:val="Header"/>
              <w:tabs>
                <w:tab w:val="clear" w:pos="1202"/>
                <w:tab w:val="clear" w:pos="6124"/>
                <w:tab w:val="clear" w:pos="6634"/>
                <w:tab w:val="clear" w:pos="7144"/>
                <w:tab w:val="clear" w:pos="7655"/>
                <w:tab w:val="clear" w:pos="8165"/>
              </w:tabs>
              <w:spacing w:before="40" w:line="240" w:lineRule="exact"/>
              <w:rPr>
                <w:rFonts w:ascii="Times New Roman" w:hAnsi="Times New Roman" w:hint="eastAsia"/>
                <w:lang w:val="fr-CH"/>
              </w:rPr>
            </w:pPr>
            <w:r>
              <w:rPr>
                <w:rFonts w:ascii="Times New Roman" w:hAnsi="Times New Roman" w:hint="eastAsia"/>
                <w:lang w:val="fr-CH"/>
              </w:rPr>
              <w:t>最低生活工资</w:t>
            </w:r>
          </w:p>
        </w:tc>
        <w:tc>
          <w:tcPr>
            <w:tcW w:w="0" w:type="dxa"/>
            <w:tcBorders>
              <w:bottom w:val="nil"/>
            </w:tcBorders>
          </w:tcPr>
          <w:p w:rsidR="00000000" w:rsidRDefault="00000000">
            <w:pPr>
              <w:spacing w:before="40" w:line="240" w:lineRule="exact"/>
              <w:ind w:left="-57" w:right="113"/>
              <w:jc w:val="right"/>
              <w:rPr>
                <w:sz w:val="20"/>
              </w:rPr>
            </w:pPr>
            <w:r>
              <w:rPr>
                <w:sz w:val="20"/>
              </w:rPr>
              <w:t>95,000</w:t>
            </w:r>
          </w:p>
        </w:tc>
        <w:tc>
          <w:tcPr>
            <w:tcW w:w="0" w:type="dxa"/>
            <w:tcBorders>
              <w:bottom w:val="nil"/>
            </w:tcBorders>
          </w:tcPr>
          <w:p w:rsidR="00000000" w:rsidRDefault="00000000">
            <w:pPr>
              <w:spacing w:before="40" w:line="240" w:lineRule="exact"/>
              <w:ind w:left="-57" w:right="113"/>
              <w:jc w:val="right"/>
              <w:rPr>
                <w:sz w:val="20"/>
              </w:rPr>
            </w:pPr>
            <w:r>
              <w:rPr>
                <w:sz w:val="20"/>
              </w:rPr>
              <w:t>95,000</w:t>
            </w:r>
          </w:p>
        </w:tc>
        <w:tc>
          <w:tcPr>
            <w:tcW w:w="0" w:type="dxa"/>
            <w:tcBorders>
              <w:bottom w:val="nil"/>
            </w:tcBorders>
          </w:tcPr>
          <w:p w:rsidR="00000000" w:rsidRDefault="00000000">
            <w:pPr>
              <w:spacing w:before="40" w:line="240" w:lineRule="exact"/>
              <w:ind w:left="-57" w:right="113"/>
              <w:jc w:val="right"/>
              <w:rPr>
                <w:sz w:val="20"/>
              </w:rPr>
            </w:pPr>
            <w:r>
              <w:rPr>
                <w:sz w:val="20"/>
              </w:rPr>
              <w:t>100,000</w:t>
            </w:r>
          </w:p>
        </w:tc>
        <w:tc>
          <w:tcPr>
            <w:tcW w:w="0" w:type="dxa"/>
            <w:tcBorders>
              <w:bottom w:val="nil"/>
            </w:tcBorders>
          </w:tcPr>
          <w:p w:rsidR="00000000" w:rsidRDefault="00000000">
            <w:pPr>
              <w:spacing w:before="40" w:line="240" w:lineRule="exact"/>
              <w:ind w:left="-57" w:right="57"/>
              <w:jc w:val="right"/>
              <w:rPr>
                <w:sz w:val="20"/>
              </w:rPr>
            </w:pPr>
            <w:r>
              <w:rPr>
                <w:sz w:val="20"/>
              </w:rPr>
              <w:t>100,000</w:t>
            </w:r>
          </w:p>
        </w:tc>
        <w:tc>
          <w:tcPr>
            <w:tcW w:w="0" w:type="dxa"/>
            <w:tcBorders>
              <w:bottom w:val="nil"/>
            </w:tcBorders>
          </w:tcPr>
          <w:p w:rsidR="00000000" w:rsidRDefault="00000000">
            <w:pPr>
              <w:spacing w:before="40" w:line="240" w:lineRule="exact"/>
              <w:ind w:left="-57" w:right="57"/>
              <w:jc w:val="right"/>
              <w:rPr>
                <w:sz w:val="20"/>
              </w:rPr>
            </w:pPr>
            <w:r>
              <w:rPr>
                <w:sz w:val="20"/>
              </w:rPr>
              <w:t>100,000</w:t>
            </w:r>
          </w:p>
        </w:tc>
        <w:tc>
          <w:tcPr>
            <w:tcW w:w="0" w:type="dxa"/>
            <w:tcBorders>
              <w:bottom w:val="nil"/>
            </w:tcBorders>
          </w:tcPr>
          <w:p w:rsidR="00000000" w:rsidRDefault="00000000">
            <w:pPr>
              <w:spacing w:before="40" w:line="240" w:lineRule="exact"/>
              <w:ind w:left="-57" w:right="113"/>
              <w:jc w:val="right"/>
              <w:rPr>
                <w:sz w:val="20"/>
              </w:rPr>
            </w:pPr>
            <w:r>
              <w:rPr>
                <w:sz w:val="20"/>
              </w:rPr>
              <w:t>5.26</w:t>
            </w:r>
          </w:p>
        </w:tc>
        <w:tc>
          <w:tcPr>
            <w:tcW w:w="0" w:type="dxa"/>
            <w:tcBorders>
              <w:bottom w:val="nil"/>
            </w:tcBorders>
          </w:tcPr>
          <w:p w:rsidR="00000000" w:rsidRDefault="00000000">
            <w:pPr>
              <w:spacing w:before="40" w:line="240" w:lineRule="exact"/>
              <w:ind w:left="-57" w:right="57"/>
              <w:jc w:val="right"/>
              <w:rPr>
                <w:sz w:val="20"/>
              </w:rPr>
            </w:pPr>
            <w:r>
              <w:rPr>
                <w:sz w:val="20"/>
              </w:rPr>
              <w:t>5,000</w:t>
            </w:r>
          </w:p>
        </w:tc>
      </w:tr>
      <w:tr w:rsidR="00000000">
        <w:tblPrEx>
          <w:tblCellMar>
            <w:top w:w="0" w:type="dxa"/>
          </w:tblCellMar>
        </w:tblPrEx>
        <w:tc>
          <w:tcPr>
            <w:tcW w:w="1690" w:type="dxa"/>
            <w:tcBorders>
              <w:top w:val="nil"/>
              <w:bottom w:val="nil"/>
            </w:tcBorders>
          </w:tcPr>
          <w:p w:rsidR="00000000" w:rsidRDefault="00000000">
            <w:pPr>
              <w:pStyle w:val="Header"/>
              <w:tabs>
                <w:tab w:val="clear" w:pos="1202"/>
                <w:tab w:val="clear" w:pos="6124"/>
                <w:tab w:val="clear" w:pos="6634"/>
                <w:tab w:val="clear" w:pos="7144"/>
                <w:tab w:val="clear" w:pos="7655"/>
                <w:tab w:val="clear" w:pos="8165"/>
              </w:tabs>
              <w:spacing w:line="240" w:lineRule="exact"/>
              <w:rPr>
                <w:rFonts w:ascii="Times New Roman" w:hAnsi="Times New Roman" w:hint="eastAsia"/>
                <w:lang w:val="fr-CH"/>
              </w:rPr>
            </w:pPr>
            <w:r>
              <w:rPr>
                <w:rFonts w:ascii="Times New Roman" w:hAnsi="Times New Roman" w:hint="eastAsia"/>
                <w:lang w:val="fr-CH"/>
              </w:rPr>
              <w:t>生活费用补差</w:t>
            </w:r>
          </w:p>
        </w:tc>
        <w:tc>
          <w:tcPr>
            <w:tcW w:w="1040" w:type="dxa"/>
            <w:tcBorders>
              <w:top w:val="nil"/>
              <w:bottom w:val="nil"/>
            </w:tcBorders>
          </w:tcPr>
          <w:p w:rsidR="00000000" w:rsidRDefault="00000000">
            <w:pPr>
              <w:spacing w:line="240" w:lineRule="exact"/>
              <w:ind w:left="-57" w:right="113"/>
              <w:jc w:val="right"/>
              <w:rPr>
                <w:sz w:val="20"/>
              </w:rPr>
            </w:pPr>
            <w:r>
              <w:rPr>
                <w:sz w:val="20"/>
              </w:rPr>
              <w:t>155,000</w:t>
            </w:r>
          </w:p>
        </w:tc>
        <w:tc>
          <w:tcPr>
            <w:tcW w:w="1040" w:type="dxa"/>
            <w:tcBorders>
              <w:top w:val="nil"/>
              <w:bottom w:val="nil"/>
            </w:tcBorders>
          </w:tcPr>
          <w:p w:rsidR="00000000" w:rsidRDefault="00000000">
            <w:pPr>
              <w:spacing w:line="240" w:lineRule="exact"/>
              <w:ind w:left="-57" w:right="113"/>
              <w:jc w:val="right"/>
              <w:rPr>
                <w:sz w:val="20"/>
              </w:rPr>
            </w:pPr>
            <w:r>
              <w:rPr>
                <w:sz w:val="20"/>
              </w:rPr>
              <w:t>175,000</w:t>
            </w:r>
          </w:p>
        </w:tc>
        <w:tc>
          <w:tcPr>
            <w:tcW w:w="1170" w:type="dxa"/>
            <w:tcBorders>
              <w:top w:val="nil"/>
              <w:bottom w:val="nil"/>
            </w:tcBorders>
          </w:tcPr>
          <w:p w:rsidR="00000000" w:rsidRDefault="00000000">
            <w:pPr>
              <w:spacing w:line="240" w:lineRule="exact"/>
              <w:ind w:left="-57" w:right="113"/>
              <w:jc w:val="right"/>
              <w:rPr>
                <w:sz w:val="20"/>
              </w:rPr>
            </w:pPr>
            <w:r>
              <w:rPr>
                <w:sz w:val="20"/>
              </w:rPr>
              <w:t>190,000</w:t>
            </w:r>
          </w:p>
        </w:tc>
        <w:tc>
          <w:tcPr>
            <w:tcW w:w="1170" w:type="dxa"/>
            <w:tcBorders>
              <w:top w:val="nil"/>
              <w:bottom w:val="nil"/>
            </w:tcBorders>
          </w:tcPr>
          <w:p w:rsidR="00000000" w:rsidRDefault="00000000">
            <w:pPr>
              <w:spacing w:line="240" w:lineRule="exact"/>
              <w:ind w:left="-57" w:right="57"/>
              <w:jc w:val="right"/>
              <w:rPr>
                <w:sz w:val="20"/>
              </w:rPr>
            </w:pPr>
            <w:r>
              <w:rPr>
                <w:sz w:val="20"/>
              </w:rPr>
              <w:t>300,000</w:t>
            </w:r>
          </w:p>
        </w:tc>
        <w:tc>
          <w:tcPr>
            <w:tcW w:w="1261" w:type="dxa"/>
            <w:tcBorders>
              <w:top w:val="nil"/>
              <w:bottom w:val="nil"/>
            </w:tcBorders>
          </w:tcPr>
          <w:p w:rsidR="00000000" w:rsidRDefault="00000000">
            <w:pPr>
              <w:spacing w:line="240" w:lineRule="exact"/>
              <w:ind w:left="-57" w:right="57"/>
              <w:jc w:val="right"/>
              <w:rPr>
                <w:sz w:val="20"/>
              </w:rPr>
            </w:pPr>
            <w:r>
              <w:rPr>
                <w:sz w:val="20"/>
              </w:rPr>
              <w:t>300,000</w:t>
            </w:r>
          </w:p>
        </w:tc>
        <w:tc>
          <w:tcPr>
            <w:tcW w:w="1014" w:type="dxa"/>
            <w:tcBorders>
              <w:top w:val="nil"/>
              <w:bottom w:val="nil"/>
            </w:tcBorders>
          </w:tcPr>
          <w:p w:rsidR="00000000" w:rsidRDefault="00000000">
            <w:pPr>
              <w:spacing w:line="240" w:lineRule="exact"/>
              <w:ind w:left="-57" w:right="113"/>
              <w:jc w:val="right"/>
              <w:rPr>
                <w:sz w:val="20"/>
              </w:rPr>
            </w:pPr>
            <w:r>
              <w:rPr>
                <w:sz w:val="20"/>
              </w:rPr>
              <w:t>93.55</w:t>
            </w:r>
          </w:p>
        </w:tc>
        <w:tc>
          <w:tcPr>
            <w:tcW w:w="1215" w:type="dxa"/>
            <w:tcBorders>
              <w:top w:val="nil"/>
              <w:bottom w:val="nil"/>
            </w:tcBorders>
          </w:tcPr>
          <w:p w:rsidR="00000000" w:rsidRDefault="00000000">
            <w:pPr>
              <w:spacing w:line="240" w:lineRule="exact"/>
              <w:ind w:left="-57" w:right="57"/>
              <w:jc w:val="right"/>
              <w:rPr>
                <w:sz w:val="20"/>
              </w:rPr>
            </w:pPr>
            <w:r>
              <w:rPr>
                <w:sz w:val="20"/>
              </w:rPr>
              <w:t>145,000</w:t>
            </w:r>
          </w:p>
        </w:tc>
      </w:tr>
      <w:tr w:rsidR="00000000">
        <w:tblPrEx>
          <w:tblCellMar>
            <w:top w:w="0" w:type="dxa"/>
          </w:tblCellMar>
        </w:tblPrEx>
        <w:tc>
          <w:tcPr>
            <w:tcW w:w="1690" w:type="dxa"/>
            <w:tcBorders>
              <w:top w:val="nil"/>
              <w:bottom w:val="nil"/>
            </w:tcBorders>
          </w:tcPr>
          <w:p w:rsidR="00000000" w:rsidRDefault="00000000">
            <w:pPr>
              <w:spacing w:line="240" w:lineRule="exact"/>
              <w:rPr>
                <w:rFonts w:hint="eastAsia"/>
                <w:sz w:val="20"/>
                <w:lang w:val="fr-CH"/>
              </w:rPr>
            </w:pPr>
            <w:r>
              <w:rPr>
                <w:rFonts w:hint="eastAsia"/>
                <w:sz w:val="20"/>
                <w:lang w:val="fr-CH"/>
              </w:rPr>
              <w:t>奖金</w:t>
            </w:r>
          </w:p>
        </w:tc>
        <w:tc>
          <w:tcPr>
            <w:tcW w:w="1040" w:type="dxa"/>
            <w:tcBorders>
              <w:top w:val="nil"/>
              <w:bottom w:val="nil"/>
            </w:tcBorders>
          </w:tcPr>
          <w:p w:rsidR="00000000" w:rsidRDefault="00000000">
            <w:pPr>
              <w:spacing w:line="240" w:lineRule="exact"/>
              <w:ind w:left="-57" w:right="113"/>
              <w:jc w:val="right"/>
              <w:rPr>
                <w:sz w:val="20"/>
              </w:rPr>
            </w:pPr>
            <w:r>
              <w:rPr>
                <w:sz w:val="20"/>
              </w:rPr>
              <w:t>240,000</w:t>
            </w:r>
          </w:p>
        </w:tc>
        <w:tc>
          <w:tcPr>
            <w:tcW w:w="1040" w:type="dxa"/>
            <w:tcBorders>
              <w:top w:val="nil"/>
              <w:bottom w:val="nil"/>
            </w:tcBorders>
          </w:tcPr>
          <w:p w:rsidR="00000000" w:rsidRDefault="00000000">
            <w:pPr>
              <w:spacing w:line="240" w:lineRule="exact"/>
              <w:ind w:left="-57" w:right="113"/>
              <w:jc w:val="right"/>
              <w:rPr>
                <w:sz w:val="20"/>
              </w:rPr>
            </w:pPr>
            <w:r>
              <w:rPr>
                <w:sz w:val="20"/>
              </w:rPr>
              <w:t>282,000</w:t>
            </w:r>
          </w:p>
        </w:tc>
        <w:tc>
          <w:tcPr>
            <w:tcW w:w="1170" w:type="dxa"/>
            <w:tcBorders>
              <w:top w:val="nil"/>
              <w:bottom w:val="nil"/>
            </w:tcBorders>
          </w:tcPr>
          <w:p w:rsidR="00000000" w:rsidRDefault="00000000">
            <w:pPr>
              <w:spacing w:line="240" w:lineRule="exact"/>
              <w:ind w:left="-57" w:right="113"/>
              <w:jc w:val="right"/>
              <w:rPr>
                <w:sz w:val="20"/>
              </w:rPr>
            </w:pPr>
            <w:r>
              <w:rPr>
                <w:sz w:val="20"/>
              </w:rPr>
              <w:t>386,000</w:t>
            </w:r>
          </w:p>
        </w:tc>
        <w:tc>
          <w:tcPr>
            <w:tcW w:w="1170" w:type="dxa"/>
            <w:tcBorders>
              <w:top w:val="nil"/>
              <w:bottom w:val="nil"/>
            </w:tcBorders>
          </w:tcPr>
          <w:p w:rsidR="00000000" w:rsidRDefault="00000000">
            <w:pPr>
              <w:spacing w:line="240" w:lineRule="exact"/>
              <w:ind w:left="-57" w:right="57"/>
              <w:jc w:val="right"/>
              <w:rPr>
                <w:sz w:val="20"/>
              </w:rPr>
            </w:pPr>
            <w:r>
              <w:rPr>
                <w:sz w:val="20"/>
              </w:rPr>
              <w:t>546,400</w:t>
            </w:r>
          </w:p>
        </w:tc>
        <w:tc>
          <w:tcPr>
            <w:tcW w:w="1261" w:type="dxa"/>
            <w:tcBorders>
              <w:top w:val="nil"/>
              <w:bottom w:val="nil"/>
            </w:tcBorders>
          </w:tcPr>
          <w:p w:rsidR="00000000" w:rsidRDefault="00000000">
            <w:pPr>
              <w:spacing w:line="240" w:lineRule="exact"/>
              <w:ind w:left="-57" w:right="57"/>
              <w:jc w:val="right"/>
              <w:rPr>
                <w:sz w:val="20"/>
              </w:rPr>
            </w:pPr>
            <w:r>
              <w:rPr>
                <w:sz w:val="20"/>
              </w:rPr>
              <w:t>700,000</w:t>
            </w:r>
          </w:p>
        </w:tc>
        <w:tc>
          <w:tcPr>
            <w:tcW w:w="1014" w:type="dxa"/>
            <w:tcBorders>
              <w:top w:val="nil"/>
              <w:bottom w:val="nil"/>
            </w:tcBorders>
          </w:tcPr>
          <w:p w:rsidR="00000000" w:rsidRDefault="00000000">
            <w:pPr>
              <w:spacing w:line="240" w:lineRule="exact"/>
              <w:ind w:left="-57" w:right="113"/>
              <w:jc w:val="right"/>
              <w:rPr>
                <w:sz w:val="20"/>
              </w:rPr>
            </w:pPr>
            <w:r>
              <w:rPr>
                <w:sz w:val="20"/>
              </w:rPr>
              <w:t>191.67</w:t>
            </w:r>
          </w:p>
        </w:tc>
        <w:tc>
          <w:tcPr>
            <w:tcW w:w="1215" w:type="dxa"/>
            <w:tcBorders>
              <w:top w:val="nil"/>
              <w:bottom w:val="nil"/>
            </w:tcBorders>
          </w:tcPr>
          <w:p w:rsidR="00000000" w:rsidRDefault="00000000">
            <w:pPr>
              <w:spacing w:line="240" w:lineRule="exact"/>
              <w:ind w:left="-57" w:right="57"/>
              <w:jc w:val="right"/>
              <w:rPr>
                <w:sz w:val="20"/>
              </w:rPr>
            </w:pPr>
            <w:r>
              <w:rPr>
                <w:sz w:val="20"/>
              </w:rPr>
              <w:t>460,000</w:t>
            </w:r>
          </w:p>
        </w:tc>
      </w:tr>
      <w:tr w:rsidR="00000000">
        <w:tblPrEx>
          <w:tblCellMar>
            <w:top w:w="0" w:type="dxa"/>
          </w:tblCellMar>
        </w:tblPrEx>
        <w:tc>
          <w:tcPr>
            <w:tcW w:w="1690" w:type="dxa"/>
            <w:tcBorders>
              <w:top w:val="nil"/>
              <w:bottom w:val="nil"/>
            </w:tcBorders>
          </w:tcPr>
          <w:p w:rsidR="00000000" w:rsidRDefault="00000000">
            <w:pPr>
              <w:spacing w:line="240" w:lineRule="exact"/>
              <w:rPr>
                <w:rFonts w:hint="eastAsia"/>
                <w:sz w:val="20"/>
                <w:lang w:val="fr-CH"/>
              </w:rPr>
            </w:pPr>
            <w:r>
              <w:rPr>
                <w:rFonts w:hint="eastAsia"/>
                <w:sz w:val="20"/>
                <w:lang w:val="fr-CH"/>
              </w:rPr>
              <w:t>差旅费</w:t>
            </w:r>
          </w:p>
        </w:tc>
        <w:tc>
          <w:tcPr>
            <w:tcW w:w="1040" w:type="dxa"/>
            <w:tcBorders>
              <w:top w:val="nil"/>
              <w:bottom w:val="nil"/>
            </w:tcBorders>
          </w:tcPr>
          <w:p w:rsidR="00000000" w:rsidRDefault="00000000">
            <w:pPr>
              <w:spacing w:line="240" w:lineRule="exact"/>
              <w:ind w:left="-57" w:right="113"/>
              <w:jc w:val="right"/>
              <w:rPr>
                <w:sz w:val="20"/>
              </w:rPr>
            </w:pPr>
            <w:r>
              <w:rPr>
                <w:sz w:val="20"/>
              </w:rPr>
              <w:t>20,000</w:t>
            </w:r>
          </w:p>
        </w:tc>
        <w:tc>
          <w:tcPr>
            <w:tcW w:w="1040" w:type="dxa"/>
            <w:tcBorders>
              <w:top w:val="nil"/>
              <w:bottom w:val="nil"/>
            </w:tcBorders>
          </w:tcPr>
          <w:p w:rsidR="00000000" w:rsidRDefault="00000000">
            <w:pPr>
              <w:spacing w:line="240" w:lineRule="exact"/>
              <w:ind w:left="-57" w:right="113"/>
              <w:jc w:val="right"/>
              <w:rPr>
                <w:sz w:val="20"/>
              </w:rPr>
            </w:pPr>
            <w:r>
              <w:rPr>
                <w:sz w:val="20"/>
              </w:rPr>
              <w:t>32,000</w:t>
            </w:r>
          </w:p>
        </w:tc>
        <w:tc>
          <w:tcPr>
            <w:tcW w:w="1170" w:type="dxa"/>
            <w:tcBorders>
              <w:top w:val="nil"/>
              <w:bottom w:val="nil"/>
            </w:tcBorders>
          </w:tcPr>
          <w:p w:rsidR="00000000" w:rsidRDefault="00000000">
            <w:pPr>
              <w:spacing w:line="240" w:lineRule="exact"/>
              <w:ind w:left="-57" w:right="113"/>
              <w:jc w:val="right"/>
              <w:rPr>
                <w:sz w:val="20"/>
              </w:rPr>
            </w:pPr>
            <w:r>
              <w:rPr>
                <w:sz w:val="20"/>
              </w:rPr>
              <w:t>40,000</w:t>
            </w:r>
          </w:p>
        </w:tc>
        <w:tc>
          <w:tcPr>
            <w:tcW w:w="1170" w:type="dxa"/>
            <w:tcBorders>
              <w:top w:val="nil"/>
              <w:bottom w:val="nil"/>
            </w:tcBorders>
          </w:tcPr>
          <w:p w:rsidR="00000000" w:rsidRDefault="00000000">
            <w:pPr>
              <w:spacing w:line="240" w:lineRule="exact"/>
              <w:ind w:left="-57" w:right="57"/>
              <w:jc w:val="right"/>
              <w:rPr>
                <w:sz w:val="20"/>
              </w:rPr>
            </w:pPr>
            <w:r>
              <w:rPr>
                <w:sz w:val="20"/>
              </w:rPr>
              <w:t>56,000</w:t>
            </w:r>
          </w:p>
        </w:tc>
        <w:tc>
          <w:tcPr>
            <w:tcW w:w="1261" w:type="dxa"/>
            <w:tcBorders>
              <w:top w:val="nil"/>
              <w:bottom w:val="nil"/>
            </w:tcBorders>
          </w:tcPr>
          <w:p w:rsidR="00000000" w:rsidRDefault="00000000">
            <w:pPr>
              <w:spacing w:line="240" w:lineRule="exact"/>
              <w:ind w:left="-57" w:right="57"/>
              <w:jc w:val="right"/>
              <w:rPr>
                <w:sz w:val="20"/>
              </w:rPr>
            </w:pPr>
            <w:r>
              <w:rPr>
                <w:sz w:val="20"/>
              </w:rPr>
              <w:t>80,000</w:t>
            </w:r>
          </w:p>
        </w:tc>
        <w:tc>
          <w:tcPr>
            <w:tcW w:w="1014" w:type="dxa"/>
            <w:tcBorders>
              <w:top w:val="nil"/>
              <w:bottom w:val="nil"/>
            </w:tcBorders>
          </w:tcPr>
          <w:p w:rsidR="00000000" w:rsidRDefault="00000000">
            <w:pPr>
              <w:spacing w:line="240" w:lineRule="exact"/>
              <w:ind w:left="-57" w:right="113"/>
              <w:jc w:val="right"/>
              <w:rPr>
                <w:sz w:val="20"/>
              </w:rPr>
            </w:pPr>
            <w:r>
              <w:rPr>
                <w:sz w:val="20"/>
              </w:rPr>
              <w:t>300.00</w:t>
            </w:r>
          </w:p>
        </w:tc>
        <w:tc>
          <w:tcPr>
            <w:tcW w:w="1215" w:type="dxa"/>
            <w:tcBorders>
              <w:top w:val="nil"/>
              <w:bottom w:val="nil"/>
            </w:tcBorders>
          </w:tcPr>
          <w:p w:rsidR="00000000" w:rsidRDefault="00000000">
            <w:pPr>
              <w:spacing w:line="240" w:lineRule="exact"/>
              <w:ind w:left="-57" w:right="57"/>
              <w:jc w:val="right"/>
              <w:rPr>
                <w:sz w:val="20"/>
              </w:rPr>
            </w:pPr>
            <w:r>
              <w:rPr>
                <w:sz w:val="20"/>
              </w:rPr>
              <w:t>60,000</w:t>
            </w:r>
          </w:p>
        </w:tc>
      </w:tr>
      <w:tr w:rsidR="00000000">
        <w:tblPrEx>
          <w:tblCellMar>
            <w:top w:w="0" w:type="dxa"/>
          </w:tblCellMar>
        </w:tblPrEx>
        <w:tc>
          <w:tcPr>
            <w:tcW w:w="1690" w:type="dxa"/>
            <w:tcBorders>
              <w:top w:val="nil"/>
              <w:bottom w:val="nil"/>
            </w:tcBorders>
          </w:tcPr>
          <w:p w:rsidR="00000000" w:rsidRDefault="00000000">
            <w:pPr>
              <w:spacing w:line="240" w:lineRule="exact"/>
              <w:rPr>
                <w:rFonts w:hint="eastAsia"/>
                <w:sz w:val="20"/>
                <w:lang w:val="fr-CH"/>
              </w:rPr>
            </w:pPr>
            <w:r>
              <w:rPr>
                <w:rFonts w:hint="eastAsia"/>
                <w:sz w:val="20"/>
                <w:lang w:val="fr-CH"/>
              </w:rPr>
              <w:t>第</w:t>
            </w:r>
            <w:r>
              <w:rPr>
                <w:rFonts w:hint="eastAsia"/>
                <w:sz w:val="20"/>
                <w:lang w:val="fr-CH"/>
              </w:rPr>
              <w:t>16</w:t>
            </w:r>
            <w:r>
              <w:rPr>
                <w:rFonts w:hint="eastAsia"/>
                <w:sz w:val="20"/>
                <w:lang w:val="fr-CH"/>
              </w:rPr>
              <w:t>个月工资</w:t>
            </w:r>
          </w:p>
        </w:tc>
        <w:tc>
          <w:tcPr>
            <w:tcW w:w="1040" w:type="dxa"/>
            <w:tcBorders>
              <w:top w:val="nil"/>
              <w:bottom w:val="nil"/>
            </w:tcBorders>
          </w:tcPr>
          <w:p w:rsidR="00000000" w:rsidRDefault="00000000">
            <w:pPr>
              <w:spacing w:line="240" w:lineRule="exact"/>
              <w:ind w:left="-57" w:right="113"/>
              <w:jc w:val="right"/>
              <w:rPr>
                <w:sz w:val="20"/>
              </w:rPr>
            </w:pPr>
            <w:r>
              <w:rPr>
                <w:sz w:val="20"/>
              </w:rPr>
              <w:t>15,833</w:t>
            </w:r>
          </w:p>
        </w:tc>
        <w:tc>
          <w:tcPr>
            <w:tcW w:w="1040" w:type="dxa"/>
            <w:tcBorders>
              <w:top w:val="nil"/>
              <w:bottom w:val="nil"/>
            </w:tcBorders>
          </w:tcPr>
          <w:p w:rsidR="00000000" w:rsidRDefault="00000000">
            <w:pPr>
              <w:spacing w:line="240" w:lineRule="exact"/>
              <w:ind w:left="-57" w:right="113"/>
              <w:jc w:val="right"/>
              <w:rPr>
                <w:sz w:val="20"/>
              </w:rPr>
            </w:pPr>
            <w:r>
              <w:rPr>
                <w:sz w:val="20"/>
              </w:rPr>
              <w:t>15,833</w:t>
            </w:r>
          </w:p>
        </w:tc>
        <w:tc>
          <w:tcPr>
            <w:tcW w:w="1170" w:type="dxa"/>
            <w:tcBorders>
              <w:top w:val="nil"/>
              <w:bottom w:val="nil"/>
            </w:tcBorders>
          </w:tcPr>
          <w:p w:rsidR="00000000" w:rsidRDefault="00000000">
            <w:pPr>
              <w:spacing w:line="240" w:lineRule="exact"/>
              <w:ind w:left="-57" w:right="113"/>
              <w:jc w:val="right"/>
              <w:rPr>
                <w:sz w:val="20"/>
              </w:rPr>
            </w:pPr>
            <w:r>
              <w:rPr>
                <w:sz w:val="20"/>
              </w:rPr>
              <w:t>16,667</w:t>
            </w:r>
          </w:p>
        </w:tc>
        <w:tc>
          <w:tcPr>
            <w:tcW w:w="1170" w:type="dxa"/>
            <w:tcBorders>
              <w:top w:val="nil"/>
              <w:bottom w:val="nil"/>
            </w:tcBorders>
          </w:tcPr>
          <w:p w:rsidR="00000000" w:rsidRDefault="00000000">
            <w:pPr>
              <w:spacing w:line="240" w:lineRule="exact"/>
              <w:ind w:left="-57" w:right="57"/>
              <w:jc w:val="right"/>
              <w:rPr>
                <w:sz w:val="20"/>
              </w:rPr>
            </w:pPr>
            <w:r>
              <w:rPr>
                <w:sz w:val="20"/>
              </w:rPr>
              <w:t>16,667</w:t>
            </w:r>
          </w:p>
        </w:tc>
        <w:tc>
          <w:tcPr>
            <w:tcW w:w="1261" w:type="dxa"/>
            <w:tcBorders>
              <w:top w:val="nil"/>
              <w:bottom w:val="nil"/>
            </w:tcBorders>
          </w:tcPr>
          <w:p w:rsidR="00000000" w:rsidRDefault="00000000">
            <w:pPr>
              <w:spacing w:line="240" w:lineRule="exact"/>
              <w:ind w:left="-57" w:right="57"/>
              <w:jc w:val="right"/>
              <w:rPr>
                <w:sz w:val="20"/>
              </w:rPr>
            </w:pPr>
            <w:r>
              <w:rPr>
                <w:sz w:val="20"/>
              </w:rPr>
              <w:t>16,667</w:t>
            </w:r>
          </w:p>
        </w:tc>
        <w:tc>
          <w:tcPr>
            <w:tcW w:w="1014" w:type="dxa"/>
            <w:tcBorders>
              <w:top w:val="nil"/>
              <w:bottom w:val="nil"/>
            </w:tcBorders>
          </w:tcPr>
          <w:p w:rsidR="00000000" w:rsidRDefault="00000000">
            <w:pPr>
              <w:spacing w:line="240" w:lineRule="exact"/>
              <w:ind w:left="-57" w:right="113"/>
              <w:jc w:val="right"/>
              <w:rPr>
                <w:sz w:val="20"/>
              </w:rPr>
            </w:pPr>
            <w:r>
              <w:rPr>
                <w:sz w:val="20"/>
              </w:rPr>
              <w:t>5.27</w:t>
            </w:r>
          </w:p>
        </w:tc>
        <w:tc>
          <w:tcPr>
            <w:tcW w:w="1215" w:type="dxa"/>
            <w:tcBorders>
              <w:top w:val="nil"/>
              <w:bottom w:val="nil"/>
            </w:tcBorders>
          </w:tcPr>
          <w:p w:rsidR="00000000" w:rsidRDefault="00000000">
            <w:pPr>
              <w:spacing w:line="240" w:lineRule="exact"/>
              <w:ind w:left="-57" w:right="57"/>
              <w:jc w:val="right"/>
              <w:rPr>
                <w:sz w:val="20"/>
              </w:rPr>
            </w:pPr>
            <w:r>
              <w:rPr>
                <w:sz w:val="20"/>
              </w:rPr>
              <w:t>834</w:t>
            </w:r>
          </w:p>
        </w:tc>
      </w:tr>
      <w:tr w:rsidR="00000000">
        <w:tblPrEx>
          <w:tblCellMar>
            <w:top w:w="0" w:type="dxa"/>
          </w:tblCellMar>
        </w:tblPrEx>
        <w:tc>
          <w:tcPr>
            <w:tcW w:w="1690" w:type="dxa"/>
            <w:tcBorders>
              <w:top w:val="nil"/>
              <w:bottom w:val="nil"/>
            </w:tcBorders>
          </w:tcPr>
          <w:p w:rsidR="00000000" w:rsidRDefault="00000000">
            <w:pPr>
              <w:spacing w:line="240" w:lineRule="exact"/>
              <w:rPr>
                <w:rFonts w:hint="eastAsia"/>
                <w:sz w:val="20"/>
                <w:lang w:val="fr-CH"/>
              </w:rPr>
            </w:pPr>
            <w:r>
              <w:rPr>
                <w:rFonts w:hint="eastAsia"/>
                <w:sz w:val="20"/>
                <w:lang w:val="fr-CH"/>
              </w:rPr>
              <w:t>每月名义工资</w:t>
            </w:r>
          </w:p>
        </w:tc>
        <w:tc>
          <w:tcPr>
            <w:tcW w:w="1040" w:type="dxa"/>
            <w:tcBorders>
              <w:top w:val="nil"/>
              <w:bottom w:val="nil"/>
            </w:tcBorders>
          </w:tcPr>
          <w:p w:rsidR="00000000" w:rsidRDefault="00000000">
            <w:pPr>
              <w:spacing w:line="240" w:lineRule="exact"/>
              <w:ind w:left="-57" w:right="113"/>
              <w:jc w:val="right"/>
              <w:rPr>
                <w:sz w:val="20"/>
              </w:rPr>
            </w:pPr>
            <w:r>
              <w:rPr>
                <w:sz w:val="20"/>
              </w:rPr>
              <w:t>525,833</w:t>
            </w:r>
          </w:p>
        </w:tc>
        <w:tc>
          <w:tcPr>
            <w:tcW w:w="1040" w:type="dxa"/>
            <w:tcBorders>
              <w:top w:val="nil"/>
              <w:bottom w:val="nil"/>
            </w:tcBorders>
          </w:tcPr>
          <w:p w:rsidR="00000000" w:rsidRDefault="00000000">
            <w:pPr>
              <w:spacing w:line="240" w:lineRule="exact"/>
              <w:ind w:left="-57" w:right="113"/>
              <w:jc w:val="right"/>
              <w:rPr>
                <w:sz w:val="20"/>
              </w:rPr>
            </w:pPr>
            <w:r>
              <w:rPr>
                <w:sz w:val="20"/>
              </w:rPr>
              <w:t>599,833</w:t>
            </w:r>
          </w:p>
        </w:tc>
        <w:tc>
          <w:tcPr>
            <w:tcW w:w="1170" w:type="dxa"/>
            <w:tcBorders>
              <w:top w:val="nil"/>
              <w:bottom w:val="nil"/>
            </w:tcBorders>
          </w:tcPr>
          <w:p w:rsidR="00000000" w:rsidRDefault="00000000">
            <w:pPr>
              <w:spacing w:line="240" w:lineRule="exact"/>
              <w:ind w:left="-57" w:right="113"/>
              <w:jc w:val="right"/>
              <w:rPr>
                <w:sz w:val="20"/>
              </w:rPr>
            </w:pPr>
            <w:r>
              <w:rPr>
                <w:sz w:val="20"/>
              </w:rPr>
              <w:t>732,667</w:t>
            </w:r>
          </w:p>
        </w:tc>
        <w:tc>
          <w:tcPr>
            <w:tcW w:w="1170" w:type="dxa"/>
            <w:tcBorders>
              <w:top w:val="nil"/>
              <w:bottom w:val="nil"/>
            </w:tcBorders>
          </w:tcPr>
          <w:p w:rsidR="00000000" w:rsidRDefault="00000000">
            <w:pPr>
              <w:spacing w:line="240" w:lineRule="exact"/>
              <w:ind w:left="-57" w:right="57"/>
              <w:jc w:val="right"/>
              <w:rPr>
                <w:sz w:val="20"/>
              </w:rPr>
            </w:pPr>
            <w:r>
              <w:rPr>
                <w:sz w:val="20"/>
              </w:rPr>
              <w:t>1,019,067</w:t>
            </w:r>
          </w:p>
        </w:tc>
        <w:tc>
          <w:tcPr>
            <w:tcW w:w="1261" w:type="dxa"/>
            <w:tcBorders>
              <w:top w:val="nil"/>
              <w:bottom w:val="nil"/>
            </w:tcBorders>
          </w:tcPr>
          <w:p w:rsidR="00000000" w:rsidRDefault="00000000">
            <w:pPr>
              <w:spacing w:line="240" w:lineRule="exact"/>
              <w:ind w:left="-57" w:right="57"/>
              <w:jc w:val="right"/>
              <w:rPr>
                <w:sz w:val="20"/>
              </w:rPr>
            </w:pPr>
            <w:r>
              <w:rPr>
                <w:sz w:val="20"/>
              </w:rPr>
              <w:t>1,196,667</w:t>
            </w:r>
          </w:p>
        </w:tc>
        <w:tc>
          <w:tcPr>
            <w:tcW w:w="1014" w:type="dxa"/>
            <w:tcBorders>
              <w:top w:val="nil"/>
              <w:bottom w:val="nil"/>
            </w:tcBorders>
          </w:tcPr>
          <w:p w:rsidR="00000000" w:rsidRDefault="00000000">
            <w:pPr>
              <w:spacing w:line="240" w:lineRule="exact"/>
              <w:ind w:left="-57" w:right="113"/>
              <w:jc w:val="right"/>
              <w:rPr>
                <w:sz w:val="20"/>
              </w:rPr>
            </w:pPr>
            <w:r>
              <w:rPr>
                <w:sz w:val="20"/>
              </w:rPr>
              <w:t>127.58</w:t>
            </w:r>
          </w:p>
        </w:tc>
        <w:tc>
          <w:tcPr>
            <w:tcW w:w="1215" w:type="dxa"/>
            <w:tcBorders>
              <w:top w:val="nil"/>
              <w:bottom w:val="nil"/>
            </w:tcBorders>
          </w:tcPr>
          <w:p w:rsidR="00000000" w:rsidRDefault="00000000">
            <w:pPr>
              <w:spacing w:line="240" w:lineRule="exact"/>
              <w:ind w:left="-57" w:right="57"/>
              <w:jc w:val="right"/>
              <w:rPr>
                <w:sz w:val="20"/>
              </w:rPr>
            </w:pPr>
            <w:r>
              <w:rPr>
                <w:sz w:val="20"/>
              </w:rPr>
              <w:t>670,834</w:t>
            </w:r>
          </w:p>
        </w:tc>
      </w:tr>
      <w:tr w:rsidR="00000000">
        <w:tblPrEx>
          <w:tblCellMar>
            <w:top w:w="0" w:type="dxa"/>
          </w:tblCellMar>
        </w:tblPrEx>
        <w:tc>
          <w:tcPr>
            <w:tcW w:w="1690" w:type="dxa"/>
            <w:tcBorders>
              <w:top w:val="nil"/>
              <w:bottom w:val="nil"/>
            </w:tcBorders>
          </w:tcPr>
          <w:p w:rsidR="00000000" w:rsidRDefault="00000000">
            <w:pPr>
              <w:spacing w:line="240" w:lineRule="exact"/>
              <w:rPr>
                <w:rFonts w:hint="eastAsia"/>
                <w:sz w:val="20"/>
                <w:lang w:val="fr-CH"/>
              </w:rPr>
            </w:pPr>
            <w:r>
              <w:rPr>
                <w:rFonts w:hint="eastAsia"/>
                <w:sz w:val="20"/>
                <w:lang w:val="fr-CH"/>
              </w:rPr>
              <w:t>第</w:t>
            </w:r>
            <w:r>
              <w:rPr>
                <w:rFonts w:hint="eastAsia"/>
                <w:sz w:val="20"/>
                <w:lang w:val="fr-CH"/>
              </w:rPr>
              <w:t>13</w:t>
            </w:r>
            <w:r>
              <w:rPr>
                <w:rFonts w:hint="eastAsia"/>
                <w:sz w:val="20"/>
                <w:lang w:val="fr-CH"/>
              </w:rPr>
              <w:t>个月工资</w:t>
            </w:r>
          </w:p>
        </w:tc>
        <w:tc>
          <w:tcPr>
            <w:tcW w:w="1040" w:type="dxa"/>
            <w:tcBorders>
              <w:top w:val="nil"/>
              <w:bottom w:val="nil"/>
            </w:tcBorders>
          </w:tcPr>
          <w:p w:rsidR="00000000" w:rsidRDefault="00000000">
            <w:pPr>
              <w:spacing w:line="240" w:lineRule="exact"/>
              <w:ind w:left="-57" w:right="113"/>
              <w:jc w:val="right"/>
              <w:rPr>
                <w:sz w:val="20"/>
              </w:rPr>
            </w:pPr>
            <w:r>
              <w:rPr>
                <w:sz w:val="20"/>
              </w:rPr>
              <w:t>7,917</w:t>
            </w:r>
          </w:p>
        </w:tc>
        <w:tc>
          <w:tcPr>
            <w:tcW w:w="1040" w:type="dxa"/>
            <w:tcBorders>
              <w:top w:val="nil"/>
              <w:bottom w:val="nil"/>
            </w:tcBorders>
          </w:tcPr>
          <w:p w:rsidR="00000000" w:rsidRDefault="00000000">
            <w:pPr>
              <w:spacing w:line="240" w:lineRule="exact"/>
              <w:ind w:left="-57" w:right="113"/>
              <w:jc w:val="right"/>
              <w:rPr>
                <w:sz w:val="20"/>
              </w:rPr>
            </w:pPr>
            <w:r>
              <w:rPr>
                <w:sz w:val="20"/>
              </w:rPr>
              <w:t>8,090</w:t>
            </w:r>
          </w:p>
        </w:tc>
        <w:tc>
          <w:tcPr>
            <w:tcW w:w="1170" w:type="dxa"/>
            <w:tcBorders>
              <w:top w:val="nil"/>
              <w:bottom w:val="nil"/>
            </w:tcBorders>
          </w:tcPr>
          <w:p w:rsidR="00000000" w:rsidRDefault="00000000">
            <w:pPr>
              <w:spacing w:line="240" w:lineRule="exact"/>
              <w:ind w:left="-57" w:right="113"/>
              <w:jc w:val="right"/>
              <w:rPr>
                <w:sz w:val="20"/>
              </w:rPr>
            </w:pPr>
            <w:r>
              <w:rPr>
                <w:sz w:val="20"/>
              </w:rPr>
              <w:t>8,333</w:t>
            </w:r>
          </w:p>
        </w:tc>
        <w:tc>
          <w:tcPr>
            <w:tcW w:w="1170" w:type="dxa"/>
            <w:tcBorders>
              <w:top w:val="nil"/>
              <w:bottom w:val="nil"/>
            </w:tcBorders>
          </w:tcPr>
          <w:p w:rsidR="00000000" w:rsidRDefault="00000000">
            <w:pPr>
              <w:spacing w:line="240" w:lineRule="exact"/>
              <w:ind w:left="-57" w:right="57"/>
              <w:jc w:val="right"/>
              <w:rPr>
                <w:sz w:val="20"/>
              </w:rPr>
            </w:pPr>
            <w:r>
              <w:rPr>
                <w:sz w:val="20"/>
              </w:rPr>
              <w:t>8,333</w:t>
            </w:r>
          </w:p>
        </w:tc>
        <w:tc>
          <w:tcPr>
            <w:tcW w:w="1261" w:type="dxa"/>
            <w:tcBorders>
              <w:top w:val="nil"/>
              <w:bottom w:val="nil"/>
            </w:tcBorders>
          </w:tcPr>
          <w:p w:rsidR="00000000" w:rsidRDefault="00000000">
            <w:pPr>
              <w:spacing w:line="240" w:lineRule="exact"/>
              <w:ind w:left="-57" w:right="57"/>
              <w:jc w:val="right"/>
              <w:rPr>
                <w:sz w:val="20"/>
              </w:rPr>
            </w:pPr>
            <w:r>
              <w:rPr>
                <w:sz w:val="20"/>
              </w:rPr>
              <w:t>8,333</w:t>
            </w:r>
          </w:p>
        </w:tc>
        <w:tc>
          <w:tcPr>
            <w:tcW w:w="1014" w:type="dxa"/>
            <w:tcBorders>
              <w:top w:val="nil"/>
              <w:bottom w:val="nil"/>
            </w:tcBorders>
          </w:tcPr>
          <w:p w:rsidR="00000000" w:rsidRDefault="00000000">
            <w:pPr>
              <w:spacing w:line="240" w:lineRule="exact"/>
              <w:ind w:left="-57" w:right="113"/>
              <w:jc w:val="right"/>
              <w:rPr>
                <w:sz w:val="20"/>
              </w:rPr>
            </w:pPr>
            <w:r>
              <w:rPr>
                <w:sz w:val="20"/>
              </w:rPr>
              <w:t>5.26</w:t>
            </w:r>
          </w:p>
        </w:tc>
        <w:tc>
          <w:tcPr>
            <w:tcW w:w="1215" w:type="dxa"/>
            <w:tcBorders>
              <w:top w:val="nil"/>
              <w:bottom w:val="nil"/>
            </w:tcBorders>
          </w:tcPr>
          <w:p w:rsidR="00000000" w:rsidRDefault="00000000">
            <w:pPr>
              <w:spacing w:line="240" w:lineRule="exact"/>
              <w:ind w:left="-57" w:right="57"/>
              <w:jc w:val="right"/>
              <w:rPr>
                <w:sz w:val="20"/>
              </w:rPr>
            </w:pPr>
            <w:r>
              <w:rPr>
                <w:sz w:val="20"/>
              </w:rPr>
              <w:t>417</w:t>
            </w:r>
          </w:p>
        </w:tc>
      </w:tr>
      <w:tr w:rsidR="00000000">
        <w:tblPrEx>
          <w:tblCellMar>
            <w:top w:w="0" w:type="dxa"/>
          </w:tblCellMar>
        </w:tblPrEx>
        <w:tc>
          <w:tcPr>
            <w:tcW w:w="1690" w:type="dxa"/>
            <w:tcBorders>
              <w:top w:val="nil"/>
              <w:bottom w:val="nil"/>
            </w:tcBorders>
          </w:tcPr>
          <w:p w:rsidR="00000000" w:rsidRDefault="00000000">
            <w:pPr>
              <w:spacing w:line="240" w:lineRule="exact"/>
              <w:rPr>
                <w:sz w:val="20"/>
                <w:lang w:val="fr-CH"/>
              </w:rPr>
            </w:pPr>
            <w:r>
              <w:rPr>
                <w:rFonts w:hint="eastAsia"/>
                <w:sz w:val="20"/>
                <w:lang w:val="fr-CH"/>
              </w:rPr>
              <w:t>第</w:t>
            </w:r>
            <w:r>
              <w:rPr>
                <w:rFonts w:hint="eastAsia"/>
                <w:sz w:val="20"/>
                <w:lang w:val="fr-CH"/>
              </w:rPr>
              <w:t>14</w:t>
            </w:r>
            <w:r>
              <w:rPr>
                <w:rFonts w:hint="eastAsia"/>
                <w:sz w:val="20"/>
                <w:lang w:val="fr-CH"/>
              </w:rPr>
              <w:t>个月工资</w:t>
            </w:r>
          </w:p>
        </w:tc>
        <w:tc>
          <w:tcPr>
            <w:tcW w:w="1040" w:type="dxa"/>
            <w:tcBorders>
              <w:top w:val="nil"/>
              <w:bottom w:val="nil"/>
            </w:tcBorders>
          </w:tcPr>
          <w:p w:rsidR="00000000" w:rsidRDefault="00000000">
            <w:pPr>
              <w:spacing w:line="240" w:lineRule="exact"/>
              <w:ind w:left="-57" w:right="113"/>
              <w:jc w:val="right"/>
              <w:rPr>
                <w:sz w:val="20"/>
              </w:rPr>
            </w:pPr>
            <w:r>
              <w:rPr>
                <w:sz w:val="20"/>
              </w:rPr>
              <w:t>15,833</w:t>
            </w:r>
          </w:p>
        </w:tc>
        <w:tc>
          <w:tcPr>
            <w:tcW w:w="1040" w:type="dxa"/>
            <w:tcBorders>
              <w:top w:val="nil"/>
              <w:bottom w:val="nil"/>
            </w:tcBorders>
          </w:tcPr>
          <w:p w:rsidR="00000000" w:rsidRDefault="00000000">
            <w:pPr>
              <w:spacing w:line="240" w:lineRule="exact"/>
              <w:ind w:left="-57" w:right="113"/>
              <w:jc w:val="right"/>
              <w:rPr>
                <w:sz w:val="20"/>
              </w:rPr>
            </w:pPr>
            <w:r>
              <w:rPr>
                <w:sz w:val="20"/>
              </w:rPr>
              <w:t>16,667</w:t>
            </w:r>
          </w:p>
        </w:tc>
        <w:tc>
          <w:tcPr>
            <w:tcW w:w="1170" w:type="dxa"/>
            <w:tcBorders>
              <w:top w:val="nil"/>
              <w:bottom w:val="nil"/>
            </w:tcBorders>
          </w:tcPr>
          <w:p w:rsidR="00000000" w:rsidRDefault="00000000">
            <w:pPr>
              <w:spacing w:line="240" w:lineRule="exact"/>
              <w:ind w:left="-57" w:right="113"/>
              <w:jc w:val="right"/>
              <w:rPr>
                <w:sz w:val="20"/>
              </w:rPr>
            </w:pPr>
            <w:r>
              <w:rPr>
                <w:sz w:val="20"/>
              </w:rPr>
              <w:t>16,668</w:t>
            </w:r>
          </w:p>
        </w:tc>
        <w:tc>
          <w:tcPr>
            <w:tcW w:w="1170" w:type="dxa"/>
            <w:tcBorders>
              <w:top w:val="nil"/>
              <w:bottom w:val="nil"/>
            </w:tcBorders>
          </w:tcPr>
          <w:p w:rsidR="00000000" w:rsidRDefault="00000000">
            <w:pPr>
              <w:spacing w:line="240" w:lineRule="exact"/>
              <w:ind w:left="-57" w:right="57"/>
              <w:jc w:val="right"/>
              <w:rPr>
                <w:sz w:val="20"/>
              </w:rPr>
            </w:pPr>
            <w:r>
              <w:rPr>
                <w:sz w:val="20"/>
              </w:rPr>
              <w:t>16,668</w:t>
            </w:r>
          </w:p>
        </w:tc>
        <w:tc>
          <w:tcPr>
            <w:tcW w:w="1261" w:type="dxa"/>
            <w:tcBorders>
              <w:top w:val="nil"/>
              <w:bottom w:val="nil"/>
            </w:tcBorders>
          </w:tcPr>
          <w:p w:rsidR="00000000" w:rsidRDefault="00000000">
            <w:pPr>
              <w:spacing w:line="240" w:lineRule="exact"/>
              <w:ind w:left="-57" w:right="57"/>
              <w:jc w:val="right"/>
              <w:rPr>
                <w:sz w:val="20"/>
              </w:rPr>
            </w:pPr>
            <w:r>
              <w:rPr>
                <w:sz w:val="20"/>
              </w:rPr>
              <w:t>16,668</w:t>
            </w:r>
          </w:p>
        </w:tc>
        <w:tc>
          <w:tcPr>
            <w:tcW w:w="1014" w:type="dxa"/>
            <w:tcBorders>
              <w:top w:val="nil"/>
              <w:bottom w:val="nil"/>
            </w:tcBorders>
          </w:tcPr>
          <w:p w:rsidR="00000000" w:rsidRDefault="00000000">
            <w:pPr>
              <w:spacing w:line="240" w:lineRule="exact"/>
              <w:ind w:left="-57" w:right="113"/>
              <w:jc w:val="right"/>
              <w:rPr>
                <w:sz w:val="20"/>
              </w:rPr>
            </w:pPr>
            <w:r>
              <w:rPr>
                <w:sz w:val="20"/>
              </w:rPr>
              <w:t>5.27</w:t>
            </w:r>
          </w:p>
        </w:tc>
        <w:tc>
          <w:tcPr>
            <w:tcW w:w="1215" w:type="dxa"/>
            <w:tcBorders>
              <w:top w:val="nil"/>
              <w:bottom w:val="nil"/>
            </w:tcBorders>
          </w:tcPr>
          <w:p w:rsidR="00000000" w:rsidRDefault="00000000">
            <w:pPr>
              <w:spacing w:line="240" w:lineRule="exact"/>
              <w:ind w:left="-57" w:right="57"/>
              <w:jc w:val="right"/>
              <w:rPr>
                <w:sz w:val="20"/>
              </w:rPr>
            </w:pPr>
            <w:r>
              <w:rPr>
                <w:sz w:val="20"/>
              </w:rPr>
              <w:t>834</w:t>
            </w:r>
          </w:p>
        </w:tc>
      </w:tr>
      <w:tr w:rsidR="00000000">
        <w:tblPrEx>
          <w:tblCellMar>
            <w:top w:w="0" w:type="dxa"/>
          </w:tblCellMar>
        </w:tblPrEx>
        <w:tc>
          <w:tcPr>
            <w:tcW w:w="1690" w:type="dxa"/>
            <w:tcBorders>
              <w:top w:val="nil"/>
              <w:bottom w:val="nil"/>
            </w:tcBorders>
          </w:tcPr>
          <w:p w:rsidR="00000000" w:rsidRDefault="00000000">
            <w:pPr>
              <w:spacing w:line="240" w:lineRule="exact"/>
              <w:rPr>
                <w:sz w:val="20"/>
                <w:lang w:val="fr-CH"/>
              </w:rPr>
            </w:pPr>
            <w:r>
              <w:rPr>
                <w:rFonts w:hint="eastAsia"/>
                <w:sz w:val="20"/>
                <w:lang w:val="fr-CH"/>
              </w:rPr>
              <w:t>第</w:t>
            </w:r>
            <w:r>
              <w:rPr>
                <w:rFonts w:hint="eastAsia"/>
                <w:sz w:val="20"/>
                <w:lang w:val="fr-CH"/>
              </w:rPr>
              <w:t>15</w:t>
            </w:r>
            <w:r>
              <w:rPr>
                <w:rFonts w:hint="eastAsia"/>
                <w:sz w:val="20"/>
                <w:lang w:val="fr-CH"/>
              </w:rPr>
              <w:t>个月工资</w:t>
            </w:r>
          </w:p>
        </w:tc>
        <w:tc>
          <w:tcPr>
            <w:tcW w:w="1040" w:type="dxa"/>
            <w:tcBorders>
              <w:top w:val="nil"/>
              <w:bottom w:val="nil"/>
            </w:tcBorders>
          </w:tcPr>
          <w:p w:rsidR="00000000" w:rsidRDefault="00000000">
            <w:pPr>
              <w:spacing w:line="240" w:lineRule="exact"/>
              <w:ind w:left="-57" w:right="113"/>
              <w:jc w:val="right"/>
              <w:rPr>
                <w:sz w:val="20"/>
              </w:rPr>
            </w:pPr>
            <w:r>
              <w:rPr>
                <w:sz w:val="20"/>
              </w:rPr>
              <w:t>4,167</w:t>
            </w:r>
          </w:p>
        </w:tc>
        <w:tc>
          <w:tcPr>
            <w:tcW w:w="1040" w:type="dxa"/>
            <w:tcBorders>
              <w:top w:val="nil"/>
              <w:bottom w:val="nil"/>
            </w:tcBorders>
          </w:tcPr>
          <w:p w:rsidR="00000000" w:rsidRDefault="00000000">
            <w:pPr>
              <w:spacing w:line="240" w:lineRule="exact"/>
              <w:ind w:left="-57" w:right="113"/>
              <w:jc w:val="right"/>
              <w:rPr>
                <w:sz w:val="20"/>
              </w:rPr>
            </w:pPr>
            <w:r>
              <w:rPr>
                <w:sz w:val="20"/>
              </w:rPr>
              <w:t>4,167</w:t>
            </w:r>
          </w:p>
        </w:tc>
        <w:tc>
          <w:tcPr>
            <w:tcW w:w="1170" w:type="dxa"/>
            <w:tcBorders>
              <w:top w:val="nil"/>
              <w:bottom w:val="nil"/>
            </w:tcBorders>
          </w:tcPr>
          <w:p w:rsidR="00000000" w:rsidRDefault="00000000">
            <w:pPr>
              <w:spacing w:line="240" w:lineRule="exact"/>
              <w:ind w:left="-57" w:right="113"/>
              <w:jc w:val="right"/>
              <w:rPr>
                <w:sz w:val="20"/>
              </w:rPr>
            </w:pPr>
            <w:r>
              <w:rPr>
                <w:sz w:val="20"/>
              </w:rPr>
              <w:t>4,167</w:t>
            </w:r>
          </w:p>
        </w:tc>
        <w:tc>
          <w:tcPr>
            <w:tcW w:w="1170" w:type="dxa"/>
            <w:tcBorders>
              <w:top w:val="nil"/>
              <w:bottom w:val="nil"/>
            </w:tcBorders>
          </w:tcPr>
          <w:p w:rsidR="00000000" w:rsidRDefault="00000000">
            <w:pPr>
              <w:spacing w:line="240" w:lineRule="exact"/>
              <w:ind w:left="-57" w:right="57"/>
              <w:jc w:val="right"/>
              <w:rPr>
                <w:sz w:val="20"/>
              </w:rPr>
            </w:pPr>
            <w:r>
              <w:rPr>
                <w:sz w:val="20"/>
              </w:rPr>
              <w:t>4,167</w:t>
            </w:r>
          </w:p>
        </w:tc>
        <w:tc>
          <w:tcPr>
            <w:tcW w:w="1261" w:type="dxa"/>
            <w:tcBorders>
              <w:top w:val="nil"/>
              <w:bottom w:val="nil"/>
            </w:tcBorders>
          </w:tcPr>
          <w:p w:rsidR="00000000" w:rsidRDefault="00000000">
            <w:pPr>
              <w:spacing w:line="240" w:lineRule="exact"/>
              <w:ind w:left="-57" w:right="57"/>
              <w:jc w:val="right"/>
              <w:rPr>
                <w:sz w:val="20"/>
              </w:rPr>
            </w:pPr>
            <w:r>
              <w:rPr>
                <w:sz w:val="20"/>
              </w:rPr>
              <w:t>4,167</w:t>
            </w:r>
          </w:p>
        </w:tc>
        <w:tc>
          <w:tcPr>
            <w:tcW w:w="1014" w:type="dxa"/>
            <w:tcBorders>
              <w:top w:val="nil"/>
              <w:bottom w:val="nil"/>
            </w:tcBorders>
          </w:tcPr>
          <w:p w:rsidR="00000000" w:rsidRDefault="00000000">
            <w:pPr>
              <w:spacing w:line="240" w:lineRule="exact"/>
              <w:ind w:left="-57" w:right="113"/>
              <w:jc w:val="right"/>
              <w:rPr>
                <w:sz w:val="20"/>
              </w:rPr>
            </w:pPr>
            <w:r>
              <w:rPr>
                <w:sz w:val="20"/>
              </w:rPr>
              <w:t>0.00</w:t>
            </w:r>
          </w:p>
        </w:tc>
        <w:tc>
          <w:tcPr>
            <w:tcW w:w="1215" w:type="dxa"/>
            <w:tcBorders>
              <w:top w:val="nil"/>
              <w:bottom w:val="nil"/>
            </w:tcBorders>
          </w:tcPr>
          <w:p w:rsidR="00000000" w:rsidRDefault="00000000">
            <w:pPr>
              <w:spacing w:line="240" w:lineRule="exact"/>
              <w:ind w:left="-57" w:right="57"/>
              <w:jc w:val="right"/>
              <w:rPr>
                <w:sz w:val="20"/>
              </w:rPr>
            </w:pPr>
            <w:r>
              <w:rPr>
                <w:sz w:val="20"/>
              </w:rPr>
              <w:t>-</w:t>
            </w:r>
          </w:p>
        </w:tc>
      </w:tr>
      <w:tr w:rsidR="00000000">
        <w:tblPrEx>
          <w:tblCellMar>
            <w:top w:w="0" w:type="dxa"/>
          </w:tblCellMar>
        </w:tblPrEx>
        <w:tc>
          <w:tcPr>
            <w:tcW w:w="1690" w:type="dxa"/>
            <w:tcBorders>
              <w:top w:val="nil"/>
              <w:bottom w:val="single" w:sz="4" w:space="0" w:color="auto"/>
            </w:tcBorders>
          </w:tcPr>
          <w:p w:rsidR="00000000" w:rsidRDefault="00000000">
            <w:pPr>
              <w:spacing w:line="240" w:lineRule="exact"/>
              <w:rPr>
                <w:rFonts w:hint="eastAsia"/>
                <w:sz w:val="20"/>
                <w:lang w:val="fr-CH"/>
              </w:rPr>
            </w:pPr>
            <w:r>
              <w:rPr>
                <w:rFonts w:hint="eastAsia"/>
                <w:sz w:val="20"/>
                <w:lang w:val="fr-CH"/>
              </w:rPr>
              <w:t>储备基金</w:t>
            </w:r>
          </w:p>
        </w:tc>
        <w:tc>
          <w:tcPr>
            <w:tcW w:w="1040" w:type="dxa"/>
            <w:tcBorders>
              <w:top w:val="nil"/>
              <w:bottom w:val="single" w:sz="4" w:space="0" w:color="auto"/>
            </w:tcBorders>
          </w:tcPr>
          <w:p w:rsidR="00000000" w:rsidRDefault="00000000">
            <w:pPr>
              <w:spacing w:line="240" w:lineRule="exact"/>
              <w:ind w:left="-57" w:right="113"/>
              <w:jc w:val="right"/>
              <w:rPr>
                <w:sz w:val="20"/>
              </w:rPr>
            </w:pPr>
            <w:r>
              <w:rPr>
                <w:sz w:val="20"/>
              </w:rPr>
              <w:t>7,917</w:t>
            </w:r>
          </w:p>
        </w:tc>
        <w:tc>
          <w:tcPr>
            <w:tcW w:w="1040" w:type="dxa"/>
            <w:tcBorders>
              <w:top w:val="nil"/>
              <w:bottom w:val="single" w:sz="4" w:space="0" w:color="auto"/>
            </w:tcBorders>
          </w:tcPr>
          <w:p w:rsidR="00000000" w:rsidRDefault="00000000">
            <w:pPr>
              <w:spacing w:line="240" w:lineRule="exact"/>
              <w:ind w:left="-57" w:right="113"/>
              <w:jc w:val="right"/>
              <w:rPr>
                <w:sz w:val="20"/>
              </w:rPr>
            </w:pPr>
            <w:r>
              <w:rPr>
                <w:sz w:val="20"/>
              </w:rPr>
              <w:t>8,090</w:t>
            </w:r>
          </w:p>
        </w:tc>
        <w:tc>
          <w:tcPr>
            <w:tcW w:w="1170" w:type="dxa"/>
            <w:tcBorders>
              <w:top w:val="nil"/>
              <w:bottom w:val="single" w:sz="4" w:space="0" w:color="auto"/>
            </w:tcBorders>
          </w:tcPr>
          <w:p w:rsidR="00000000" w:rsidRDefault="00000000">
            <w:pPr>
              <w:spacing w:line="240" w:lineRule="exact"/>
              <w:ind w:left="-57" w:right="113"/>
              <w:jc w:val="right"/>
              <w:rPr>
                <w:sz w:val="20"/>
              </w:rPr>
            </w:pPr>
            <w:r>
              <w:rPr>
                <w:sz w:val="20"/>
              </w:rPr>
              <w:t>8,333</w:t>
            </w:r>
          </w:p>
        </w:tc>
        <w:tc>
          <w:tcPr>
            <w:tcW w:w="1170" w:type="dxa"/>
            <w:tcBorders>
              <w:top w:val="nil"/>
              <w:bottom w:val="single" w:sz="4" w:space="0" w:color="auto"/>
            </w:tcBorders>
          </w:tcPr>
          <w:p w:rsidR="00000000" w:rsidRDefault="00000000">
            <w:pPr>
              <w:spacing w:line="240" w:lineRule="exact"/>
              <w:ind w:left="-57" w:right="57"/>
              <w:jc w:val="right"/>
              <w:rPr>
                <w:sz w:val="20"/>
              </w:rPr>
            </w:pPr>
            <w:r>
              <w:rPr>
                <w:sz w:val="20"/>
              </w:rPr>
              <w:t>8,333</w:t>
            </w:r>
          </w:p>
        </w:tc>
        <w:tc>
          <w:tcPr>
            <w:tcW w:w="1261" w:type="dxa"/>
            <w:tcBorders>
              <w:top w:val="nil"/>
              <w:bottom w:val="single" w:sz="4" w:space="0" w:color="auto"/>
            </w:tcBorders>
          </w:tcPr>
          <w:p w:rsidR="00000000" w:rsidRDefault="00000000">
            <w:pPr>
              <w:spacing w:line="240" w:lineRule="exact"/>
              <w:ind w:left="-57" w:right="57"/>
              <w:jc w:val="right"/>
              <w:rPr>
                <w:sz w:val="20"/>
              </w:rPr>
            </w:pPr>
            <w:r>
              <w:rPr>
                <w:sz w:val="20"/>
              </w:rPr>
              <w:t>8,333</w:t>
            </w:r>
          </w:p>
        </w:tc>
        <w:tc>
          <w:tcPr>
            <w:tcW w:w="1014" w:type="dxa"/>
            <w:tcBorders>
              <w:top w:val="nil"/>
              <w:bottom w:val="single" w:sz="4" w:space="0" w:color="auto"/>
            </w:tcBorders>
          </w:tcPr>
          <w:p w:rsidR="00000000" w:rsidRDefault="00000000">
            <w:pPr>
              <w:spacing w:line="240" w:lineRule="exact"/>
              <w:ind w:left="-57" w:right="113"/>
              <w:jc w:val="right"/>
              <w:rPr>
                <w:sz w:val="20"/>
              </w:rPr>
            </w:pPr>
            <w:r>
              <w:rPr>
                <w:sz w:val="20"/>
              </w:rPr>
              <w:t>5.26</w:t>
            </w:r>
          </w:p>
        </w:tc>
        <w:tc>
          <w:tcPr>
            <w:tcW w:w="1215" w:type="dxa"/>
            <w:tcBorders>
              <w:top w:val="nil"/>
              <w:bottom w:val="single" w:sz="4" w:space="0" w:color="auto"/>
            </w:tcBorders>
          </w:tcPr>
          <w:p w:rsidR="00000000" w:rsidRDefault="00000000">
            <w:pPr>
              <w:spacing w:line="240" w:lineRule="exact"/>
              <w:ind w:left="-57" w:right="57"/>
              <w:jc w:val="right"/>
              <w:rPr>
                <w:sz w:val="20"/>
              </w:rPr>
            </w:pPr>
            <w:r>
              <w:rPr>
                <w:sz w:val="20"/>
              </w:rPr>
              <w:t>417</w:t>
            </w:r>
          </w:p>
        </w:tc>
      </w:tr>
      <w:tr w:rsidR="00000000">
        <w:tblPrEx>
          <w:tblCellMar>
            <w:top w:w="0" w:type="dxa"/>
          </w:tblCellMar>
        </w:tblPrEx>
        <w:tc>
          <w:tcPr>
            <w:tcW w:w="1690" w:type="dxa"/>
            <w:tcBorders>
              <w:top w:val="single" w:sz="4" w:space="0" w:color="auto"/>
            </w:tcBorders>
          </w:tcPr>
          <w:p w:rsidR="00000000" w:rsidRDefault="00000000">
            <w:pPr>
              <w:spacing w:before="60" w:line="240" w:lineRule="auto"/>
              <w:rPr>
                <w:rFonts w:hint="eastAsia"/>
                <w:sz w:val="20"/>
                <w:lang w:val="fr-CH"/>
              </w:rPr>
            </w:pPr>
            <w:r>
              <w:rPr>
                <w:rFonts w:hint="eastAsia"/>
                <w:sz w:val="20"/>
                <w:lang w:val="fr-CH"/>
              </w:rPr>
              <w:t>收入总额</w:t>
            </w:r>
          </w:p>
        </w:tc>
        <w:tc>
          <w:tcPr>
            <w:tcW w:w="1040" w:type="dxa"/>
            <w:tcBorders>
              <w:top w:val="single" w:sz="4" w:space="0" w:color="auto"/>
            </w:tcBorders>
          </w:tcPr>
          <w:p w:rsidR="00000000" w:rsidRDefault="00000000">
            <w:pPr>
              <w:spacing w:before="60" w:line="240" w:lineRule="auto"/>
              <w:ind w:left="-57" w:right="113"/>
              <w:jc w:val="right"/>
              <w:rPr>
                <w:sz w:val="20"/>
              </w:rPr>
            </w:pPr>
            <w:r>
              <w:rPr>
                <w:sz w:val="20"/>
              </w:rPr>
              <w:t>561,666</w:t>
            </w:r>
          </w:p>
        </w:tc>
        <w:tc>
          <w:tcPr>
            <w:tcW w:w="1040" w:type="dxa"/>
            <w:tcBorders>
              <w:top w:val="single" w:sz="4" w:space="0" w:color="auto"/>
            </w:tcBorders>
          </w:tcPr>
          <w:p w:rsidR="00000000" w:rsidRDefault="00000000">
            <w:pPr>
              <w:spacing w:before="60" w:line="240" w:lineRule="auto"/>
              <w:ind w:left="-57" w:right="113"/>
              <w:jc w:val="right"/>
              <w:rPr>
                <w:sz w:val="20"/>
              </w:rPr>
            </w:pPr>
            <w:r>
              <w:rPr>
                <w:sz w:val="20"/>
              </w:rPr>
              <w:t>636,847</w:t>
            </w:r>
          </w:p>
        </w:tc>
        <w:tc>
          <w:tcPr>
            <w:tcW w:w="1170" w:type="dxa"/>
            <w:tcBorders>
              <w:top w:val="single" w:sz="4" w:space="0" w:color="auto"/>
            </w:tcBorders>
          </w:tcPr>
          <w:p w:rsidR="00000000" w:rsidRDefault="00000000">
            <w:pPr>
              <w:spacing w:before="60" w:line="240" w:lineRule="auto"/>
              <w:ind w:left="-57" w:right="113"/>
              <w:jc w:val="right"/>
              <w:rPr>
                <w:sz w:val="20"/>
              </w:rPr>
            </w:pPr>
            <w:r>
              <w:rPr>
                <w:sz w:val="20"/>
              </w:rPr>
              <w:t>770,168</w:t>
            </w:r>
          </w:p>
        </w:tc>
        <w:tc>
          <w:tcPr>
            <w:tcW w:w="1170" w:type="dxa"/>
            <w:tcBorders>
              <w:top w:val="single" w:sz="4" w:space="0" w:color="auto"/>
            </w:tcBorders>
          </w:tcPr>
          <w:p w:rsidR="00000000" w:rsidRDefault="00000000">
            <w:pPr>
              <w:spacing w:before="60" w:line="240" w:lineRule="auto"/>
              <w:ind w:left="-57" w:right="57"/>
              <w:jc w:val="right"/>
              <w:rPr>
                <w:sz w:val="20"/>
              </w:rPr>
            </w:pPr>
            <w:r>
              <w:rPr>
                <w:sz w:val="20"/>
              </w:rPr>
              <w:t>1,056,568</w:t>
            </w:r>
          </w:p>
        </w:tc>
        <w:tc>
          <w:tcPr>
            <w:tcW w:w="1261" w:type="dxa"/>
            <w:tcBorders>
              <w:top w:val="single" w:sz="4" w:space="0" w:color="auto"/>
            </w:tcBorders>
          </w:tcPr>
          <w:p w:rsidR="00000000" w:rsidRDefault="00000000">
            <w:pPr>
              <w:spacing w:before="60" w:line="240" w:lineRule="auto"/>
              <w:ind w:left="-57" w:right="57"/>
              <w:jc w:val="right"/>
              <w:rPr>
                <w:sz w:val="20"/>
              </w:rPr>
            </w:pPr>
            <w:r>
              <w:rPr>
                <w:sz w:val="20"/>
              </w:rPr>
              <w:t>1,234,168</w:t>
            </w:r>
          </w:p>
        </w:tc>
        <w:tc>
          <w:tcPr>
            <w:tcW w:w="1014" w:type="dxa"/>
            <w:tcBorders>
              <w:top w:val="single" w:sz="4" w:space="0" w:color="auto"/>
            </w:tcBorders>
          </w:tcPr>
          <w:p w:rsidR="00000000" w:rsidRDefault="00000000">
            <w:pPr>
              <w:spacing w:before="60" w:line="240" w:lineRule="auto"/>
              <w:ind w:left="-57" w:right="113"/>
              <w:jc w:val="right"/>
              <w:rPr>
                <w:sz w:val="20"/>
              </w:rPr>
            </w:pPr>
            <w:r>
              <w:rPr>
                <w:sz w:val="20"/>
              </w:rPr>
              <w:t>119.73</w:t>
            </w:r>
          </w:p>
        </w:tc>
        <w:tc>
          <w:tcPr>
            <w:tcW w:w="1215" w:type="dxa"/>
            <w:tcBorders>
              <w:top w:val="single" w:sz="4" w:space="0" w:color="auto"/>
            </w:tcBorders>
          </w:tcPr>
          <w:p w:rsidR="00000000" w:rsidRDefault="00000000">
            <w:pPr>
              <w:spacing w:before="60" w:line="240" w:lineRule="auto"/>
              <w:ind w:left="-57" w:right="57"/>
              <w:jc w:val="right"/>
              <w:rPr>
                <w:sz w:val="20"/>
              </w:rPr>
            </w:pPr>
            <w:r>
              <w:rPr>
                <w:sz w:val="20"/>
              </w:rPr>
              <w:t>672,502</w:t>
            </w:r>
          </w:p>
        </w:tc>
      </w:tr>
    </w:tbl>
    <w:p w:rsidR="00000000" w:rsidRDefault="00000000"/>
    <w:p w:rsidR="00000000" w:rsidRDefault="00000000">
      <w:pPr>
        <w:pStyle w:val="Heading3"/>
        <w:spacing w:after="160"/>
        <w:rPr>
          <w:u w:val="none"/>
        </w:rPr>
      </w:pPr>
      <w:r>
        <w:rPr>
          <w:rFonts w:hint="eastAsia"/>
        </w:rPr>
        <w:t>普通工人收入总额</w:t>
      </w:r>
      <w:r>
        <w:br/>
      </w:r>
      <w:r>
        <w:rPr>
          <w:u w:val="none"/>
        </w:rPr>
        <w:t>(</w:t>
      </w:r>
      <w:r>
        <w:rPr>
          <w:rFonts w:hint="eastAsia"/>
          <w:u w:val="none"/>
        </w:rPr>
        <w:t>苏克雷</w:t>
      </w:r>
      <w:r>
        <w:rPr>
          <w:u w:val="none"/>
        </w:rPr>
        <w:t>)</w:t>
      </w:r>
    </w:p>
    <w:tbl>
      <w:tblPr>
        <w:tblW w:w="93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1560"/>
        <w:gridCol w:w="1240"/>
        <w:gridCol w:w="1170"/>
        <w:gridCol w:w="1170"/>
        <w:gridCol w:w="1430"/>
        <w:gridCol w:w="1430"/>
        <w:gridCol w:w="1321"/>
      </w:tblGrid>
      <w:tr w:rsidR="00000000">
        <w:tblPrEx>
          <w:tblCellMar>
            <w:top w:w="0" w:type="dxa"/>
          </w:tblCellMar>
        </w:tblPrEx>
        <w:trPr>
          <w:cantSplit/>
          <w:tblHeader/>
        </w:trPr>
        <w:tc>
          <w:tcPr>
            <w:tcW w:w="1560" w:type="dxa"/>
            <w:vMerge w:val="restart"/>
          </w:tcPr>
          <w:p w:rsidR="00000000" w:rsidRDefault="00000000">
            <w:pPr>
              <w:ind w:left="-57" w:right="-57"/>
              <w:jc w:val="center"/>
              <w:rPr>
                <w:sz w:val="18"/>
              </w:rPr>
            </w:pPr>
          </w:p>
        </w:tc>
        <w:tc>
          <w:tcPr>
            <w:tcW w:w="1240" w:type="dxa"/>
          </w:tcPr>
          <w:p w:rsidR="00000000" w:rsidRDefault="00000000">
            <w:pPr>
              <w:spacing w:before="60" w:line="264" w:lineRule="auto"/>
              <w:ind w:right="113"/>
              <w:jc w:val="center"/>
              <w:rPr>
                <w:sz w:val="18"/>
              </w:rPr>
            </w:pPr>
            <w:r>
              <w:rPr>
                <w:sz w:val="18"/>
              </w:rPr>
              <w:t>1990</w:t>
            </w:r>
          </w:p>
        </w:tc>
        <w:tc>
          <w:tcPr>
            <w:tcW w:w="1170" w:type="dxa"/>
          </w:tcPr>
          <w:p w:rsidR="00000000" w:rsidRDefault="00000000">
            <w:pPr>
              <w:spacing w:before="60" w:line="264" w:lineRule="auto"/>
              <w:ind w:right="113"/>
              <w:jc w:val="center"/>
              <w:rPr>
                <w:sz w:val="18"/>
              </w:rPr>
            </w:pPr>
            <w:r>
              <w:rPr>
                <w:sz w:val="18"/>
              </w:rPr>
              <w:t>1995</w:t>
            </w:r>
          </w:p>
        </w:tc>
        <w:tc>
          <w:tcPr>
            <w:tcW w:w="1170" w:type="dxa"/>
          </w:tcPr>
          <w:p w:rsidR="00000000" w:rsidRDefault="00000000">
            <w:pPr>
              <w:spacing w:before="60" w:line="264" w:lineRule="auto"/>
              <w:jc w:val="center"/>
              <w:rPr>
                <w:sz w:val="18"/>
              </w:rPr>
            </w:pPr>
            <w:r>
              <w:rPr>
                <w:sz w:val="18"/>
              </w:rPr>
              <w:t>1999</w:t>
            </w:r>
          </w:p>
        </w:tc>
        <w:tc>
          <w:tcPr>
            <w:tcW w:w="4181" w:type="dxa"/>
            <w:gridSpan w:val="3"/>
          </w:tcPr>
          <w:p w:rsidR="00000000" w:rsidRDefault="00000000">
            <w:pPr>
              <w:spacing w:before="60" w:line="264" w:lineRule="auto"/>
              <w:jc w:val="center"/>
              <w:rPr>
                <w:rFonts w:hint="eastAsia"/>
                <w:sz w:val="18"/>
              </w:rPr>
            </w:pPr>
            <w:r>
              <w:rPr>
                <w:rFonts w:hint="eastAsia"/>
                <w:sz w:val="18"/>
              </w:rPr>
              <w:t>变</w:t>
            </w:r>
            <w:r>
              <w:rPr>
                <w:rFonts w:hint="eastAsia"/>
                <w:sz w:val="18"/>
              </w:rPr>
              <w:t xml:space="preserve">  </w:t>
            </w:r>
            <w:r>
              <w:rPr>
                <w:rFonts w:hint="eastAsia"/>
                <w:sz w:val="18"/>
              </w:rPr>
              <w:t>化</w:t>
            </w:r>
          </w:p>
        </w:tc>
      </w:tr>
      <w:tr w:rsidR="00000000">
        <w:tblPrEx>
          <w:tblCellMar>
            <w:top w:w="0" w:type="dxa"/>
          </w:tblCellMar>
        </w:tblPrEx>
        <w:trPr>
          <w:cantSplit/>
          <w:tblHeader/>
        </w:trPr>
        <w:tc>
          <w:tcPr>
            <w:tcW w:w="1560" w:type="dxa"/>
            <w:vMerge/>
            <w:tcBorders>
              <w:bottom w:val="single" w:sz="4" w:space="0" w:color="auto"/>
            </w:tcBorders>
          </w:tcPr>
          <w:p w:rsidR="00000000" w:rsidRDefault="00000000">
            <w:pPr>
              <w:ind w:left="-57" w:right="-57"/>
              <w:rPr>
                <w:sz w:val="18"/>
              </w:rPr>
            </w:pPr>
          </w:p>
        </w:tc>
        <w:tc>
          <w:tcPr>
            <w:tcW w:w="1240" w:type="dxa"/>
            <w:tcBorders>
              <w:bottom w:val="single" w:sz="4" w:space="0" w:color="auto"/>
            </w:tcBorders>
          </w:tcPr>
          <w:p w:rsidR="00000000" w:rsidRDefault="00000000">
            <w:pPr>
              <w:spacing w:before="160" w:line="240" w:lineRule="auto"/>
              <w:ind w:left="-57" w:right="113"/>
              <w:jc w:val="center"/>
              <w:rPr>
                <w:rFonts w:hint="eastAsia"/>
                <w:sz w:val="18"/>
              </w:rPr>
            </w:pPr>
            <w:r>
              <w:rPr>
                <w:rFonts w:hint="eastAsia"/>
                <w:sz w:val="18"/>
              </w:rPr>
              <w:t>1</w:t>
            </w:r>
            <w:r>
              <w:rPr>
                <w:rFonts w:hint="eastAsia"/>
                <w:sz w:val="18"/>
              </w:rPr>
              <w:t>月</w:t>
            </w:r>
          </w:p>
        </w:tc>
        <w:tc>
          <w:tcPr>
            <w:tcW w:w="1170" w:type="dxa"/>
            <w:tcBorders>
              <w:bottom w:val="single" w:sz="4" w:space="0" w:color="auto"/>
            </w:tcBorders>
          </w:tcPr>
          <w:p w:rsidR="00000000" w:rsidRDefault="00000000">
            <w:pPr>
              <w:spacing w:before="160" w:line="240" w:lineRule="auto"/>
              <w:ind w:left="-57" w:right="113"/>
              <w:jc w:val="center"/>
              <w:rPr>
                <w:sz w:val="18"/>
              </w:rPr>
            </w:pPr>
            <w:r>
              <w:rPr>
                <w:rFonts w:hint="eastAsia"/>
                <w:sz w:val="18"/>
              </w:rPr>
              <w:t>2</w:t>
            </w:r>
            <w:r>
              <w:rPr>
                <w:rFonts w:hint="eastAsia"/>
                <w:sz w:val="18"/>
              </w:rPr>
              <w:t>月</w:t>
            </w:r>
          </w:p>
        </w:tc>
        <w:tc>
          <w:tcPr>
            <w:tcW w:w="1170" w:type="dxa"/>
            <w:tcBorders>
              <w:bottom w:val="single" w:sz="4" w:space="0" w:color="auto"/>
            </w:tcBorders>
          </w:tcPr>
          <w:p w:rsidR="00000000" w:rsidRDefault="00000000">
            <w:pPr>
              <w:spacing w:before="160" w:line="240" w:lineRule="auto"/>
              <w:ind w:left="-57" w:right="-57"/>
              <w:jc w:val="center"/>
              <w:rPr>
                <w:rFonts w:hint="eastAsia"/>
                <w:sz w:val="18"/>
              </w:rPr>
            </w:pPr>
            <w:r>
              <w:rPr>
                <w:rFonts w:hint="eastAsia"/>
                <w:sz w:val="18"/>
              </w:rPr>
              <w:t>12</w:t>
            </w:r>
            <w:r>
              <w:rPr>
                <w:rFonts w:hint="eastAsia"/>
                <w:sz w:val="18"/>
              </w:rPr>
              <w:t>月</w:t>
            </w:r>
          </w:p>
        </w:tc>
        <w:tc>
          <w:tcPr>
            <w:tcW w:w="1430" w:type="dxa"/>
            <w:tcBorders>
              <w:bottom w:val="single" w:sz="4" w:space="0" w:color="auto"/>
            </w:tcBorders>
          </w:tcPr>
          <w:p w:rsidR="00000000" w:rsidRDefault="00000000">
            <w:pPr>
              <w:spacing w:before="40" w:line="240" w:lineRule="auto"/>
              <w:ind w:left="-57" w:right="-57"/>
              <w:jc w:val="center"/>
              <w:rPr>
                <w:rFonts w:hint="eastAsia"/>
                <w:spacing w:val="0"/>
                <w:sz w:val="18"/>
              </w:rPr>
            </w:pPr>
            <w:r>
              <w:rPr>
                <w:spacing w:val="0"/>
                <w:sz w:val="18"/>
              </w:rPr>
              <w:t>1990</w:t>
            </w:r>
            <w:r>
              <w:rPr>
                <w:rFonts w:hint="eastAsia"/>
                <w:spacing w:val="0"/>
                <w:sz w:val="18"/>
              </w:rPr>
              <w:t>年</w:t>
            </w:r>
            <w:r>
              <w:rPr>
                <w:rFonts w:hint="eastAsia"/>
                <w:spacing w:val="0"/>
                <w:sz w:val="18"/>
              </w:rPr>
              <w:t>1</w:t>
            </w:r>
            <w:r>
              <w:rPr>
                <w:rFonts w:hint="eastAsia"/>
                <w:spacing w:val="0"/>
                <w:sz w:val="18"/>
              </w:rPr>
              <w:t>月</w:t>
            </w:r>
            <w:r>
              <w:rPr>
                <w:spacing w:val="0"/>
                <w:sz w:val="18"/>
              </w:rPr>
              <w:t>-</w:t>
            </w:r>
            <w:r>
              <w:rPr>
                <w:rFonts w:hint="eastAsia"/>
                <w:spacing w:val="0"/>
                <w:sz w:val="18"/>
              </w:rPr>
              <w:br/>
            </w:r>
            <w:r>
              <w:rPr>
                <w:spacing w:val="0"/>
                <w:sz w:val="18"/>
              </w:rPr>
              <w:t>1995</w:t>
            </w:r>
            <w:r>
              <w:rPr>
                <w:rFonts w:hint="eastAsia"/>
                <w:spacing w:val="0"/>
                <w:sz w:val="18"/>
              </w:rPr>
              <w:t>年</w:t>
            </w:r>
            <w:r>
              <w:rPr>
                <w:rFonts w:hint="eastAsia"/>
                <w:spacing w:val="0"/>
                <w:sz w:val="18"/>
              </w:rPr>
              <w:t>1</w:t>
            </w:r>
            <w:r>
              <w:rPr>
                <w:rFonts w:hint="eastAsia"/>
                <w:spacing w:val="0"/>
                <w:sz w:val="18"/>
              </w:rPr>
              <w:t>月</w:t>
            </w:r>
          </w:p>
        </w:tc>
        <w:tc>
          <w:tcPr>
            <w:tcW w:w="1430" w:type="dxa"/>
            <w:tcBorders>
              <w:bottom w:val="single" w:sz="4" w:space="0" w:color="auto"/>
            </w:tcBorders>
          </w:tcPr>
          <w:p w:rsidR="00000000" w:rsidRDefault="00000000">
            <w:pPr>
              <w:spacing w:before="40" w:line="240" w:lineRule="auto"/>
              <w:ind w:left="-57" w:right="-57"/>
              <w:jc w:val="center"/>
              <w:rPr>
                <w:rFonts w:hint="eastAsia"/>
                <w:spacing w:val="0"/>
                <w:sz w:val="18"/>
              </w:rPr>
            </w:pPr>
            <w:r>
              <w:rPr>
                <w:spacing w:val="0"/>
                <w:sz w:val="18"/>
              </w:rPr>
              <w:t>1990</w:t>
            </w:r>
            <w:r>
              <w:rPr>
                <w:rFonts w:hint="eastAsia"/>
                <w:spacing w:val="0"/>
                <w:sz w:val="18"/>
              </w:rPr>
              <w:t>年</w:t>
            </w:r>
            <w:r>
              <w:rPr>
                <w:rFonts w:hint="eastAsia"/>
                <w:spacing w:val="0"/>
                <w:sz w:val="18"/>
              </w:rPr>
              <w:t>12</w:t>
            </w:r>
            <w:r>
              <w:rPr>
                <w:rFonts w:hint="eastAsia"/>
                <w:spacing w:val="0"/>
                <w:sz w:val="18"/>
              </w:rPr>
              <w:t>月</w:t>
            </w:r>
            <w:r>
              <w:rPr>
                <w:spacing w:val="0"/>
                <w:sz w:val="18"/>
              </w:rPr>
              <w:t>-</w:t>
            </w:r>
            <w:r>
              <w:rPr>
                <w:rFonts w:hint="eastAsia"/>
                <w:spacing w:val="0"/>
                <w:sz w:val="18"/>
              </w:rPr>
              <w:br/>
            </w:r>
            <w:r>
              <w:rPr>
                <w:spacing w:val="0"/>
                <w:sz w:val="18"/>
              </w:rPr>
              <w:t>1990</w:t>
            </w:r>
            <w:r>
              <w:rPr>
                <w:rFonts w:hint="eastAsia"/>
                <w:spacing w:val="0"/>
                <w:sz w:val="18"/>
              </w:rPr>
              <w:t>年</w:t>
            </w:r>
            <w:r>
              <w:rPr>
                <w:rFonts w:hint="eastAsia"/>
                <w:spacing w:val="0"/>
                <w:sz w:val="18"/>
              </w:rPr>
              <w:t>1</w:t>
            </w:r>
            <w:r>
              <w:rPr>
                <w:rFonts w:hint="eastAsia"/>
                <w:spacing w:val="0"/>
                <w:sz w:val="18"/>
              </w:rPr>
              <w:t>月</w:t>
            </w:r>
          </w:p>
        </w:tc>
        <w:tc>
          <w:tcPr>
            <w:tcW w:w="1321" w:type="dxa"/>
            <w:tcBorders>
              <w:bottom w:val="single" w:sz="4" w:space="0" w:color="auto"/>
            </w:tcBorders>
          </w:tcPr>
          <w:p w:rsidR="00000000" w:rsidRDefault="00000000">
            <w:pPr>
              <w:spacing w:before="40" w:line="240" w:lineRule="auto"/>
              <w:ind w:left="-57" w:right="-57"/>
              <w:jc w:val="center"/>
              <w:rPr>
                <w:rFonts w:hint="eastAsia"/>
                <w:spacing w:val="0"/>
                <w:sz w:val="18"/>
              </w:rPr>
            </w:pPr>
            <w:r>
              <w:rPr>
                <w:spacing w:val="0"/>
                <w:sz w:val="18"/>
              </w:rPr>
              <w:t>1995</w:t>
            </w:r>
            <w:r>
              <w:rPr>
                <w:rFonts w:hint="eastAsia"/>
                <w:spacing w:val="0"/>
                <w:sz w:val="18"/>
              </w:rPr>
              <w:t>年</w:t>
            </w:r>
            <w:r>
              <w:rPr>
                <w:rFonts w:hint="eastAsia"/>
                <w:spacing w:val="0"/>
                <w:sz w:val="18"/>
              </w:rPr>
              <w:t>1</w:t>
            </w:r>
            <w:r>
              <w:rPr>
                <w:rFonts w:hint="eastAsia"/>
                <w:spacing w:val="0"/>
                <w:sz w:val="18"/>
              </w:rPr>
              <w:t>月</w:t>
            </w:r>
            <w:r>
              <w:rPr>
                <w:spacing w:val="0"/>
                <w:sz w:val="18"/>
              </w:rPr>
              <w:t>-</w:t>
            </w:r>
            <w:r>
              <w:rPr>
                <w:rFonts w:hint="eastAsia"/>
                <w:spacing w:val="0"/>
                <w:sz w:val="18"/>
              </w:rPr>
              <w:br/>
            </w:r>
            <w:r>
              <w:rPr>
                <w:spacing w:val="0"/>
                <w:sz w:val="18"/>
              </w:rPr>
              <w:t>1999</w:t>
            </w:r>
            <w:r>
              <w:rPr>
                <w:rFonts w:hint="eastAsia"/>
                <w:spacing w:val="0"/>
                <w:sz w:val="18"/>
              </w:rPr>
              <w:t>年</w:t>
            </w:r>
            <w:r>
              <w:rPr>
                <w:rFonts w:hint="eastAsia"/>
                <w:spacing w:val="0"/>
                <w:sz w:val="18"/>
              </w:rPr>
              <w:t>12</w:t>
            </w:r>
            <w:r>
              <w:rPr>
                <w:rFonts w:hint="eastAsia"/>
                <w:spacing w:val="0"/>
                <w:sz w:val="18"/>
              </w:rPr>
              <w:t>月</w:t>
            </w:r>
          </w:p>
        </w:tc>
      </w:tr>
      <w:tr w:rsidR="00000000">
        <w:tblPrEx>
          <w:tblCellMar>
            <w:top w:w="0" w:type="dxa"/>
          </w:tblCellMar>
        </w:tblPrEx>
        <w:tc>
          <w:tcPr>
            <w:tcW w:w="1560" w:type="dxa"/>
            <w:tcBorders>
              <w:bottom w:val="nil"/>
            </w:tcBorders>
          </w:tcPr>
          <w:p w:rsidR="00000000" w:rsidRDefault="00000000">
            <w:pPr>
              <w:spacing w:before="60" w:line="240" w:lineRule="auto"/>
              <w:rPr>
                <w:rFonts w:hint="eastAsia"/>
                <w:spacing w:val="0"/>
                <w:sz w:val="18"/>
                <w:lang w:val="fr-CH"/>
              </w:rPr>
            </w:pPr>
            <w:r>
              <w:rPr>
                <w:rFonts w:hint="eastAsia"/>
                <w:spacing w:val="0"/>
                <w:sz w:val="18"/>
                <w:lang w:val="fr-CH"/>
              </w:rPr>
              <w:t>最低生活工资</w:t>
            </w:r>
          </w:p>
        </w:tc>
        <w:tc>
          <w:tcPr>
            <w:tcW w:w="1240" w:type="dxa"/>
            <w:tcBorders>
              <w:bottom w:val="nil"/>
            </w:tcBorders>
          </w:tcPr>
          <w:p w:rsidR="00000000" w:rsidRDefault="00000000">
            <w:pPr>
              <w:spacing w:before="60" w:line="240" w:lineRule="auto"/>
              <w:ind w:right="113"/>
              <w:jc w:val="right"/>
              <w:rPr>
                <w:sz w:val="18"/>
              </w:rPr>
            </w:pPr>
            <w:r>
              <w:rPr>
                <w:sz w:val="18"/>
              </w:rPr>
              <w:t>32,000</w:t>
            </w:r>
          </w:p>
        </w:tc>
        <w:tc>
          <w:tcPr>
            <w:tcW w:w="1170" w:type="dxa"/>
            <w:tcBorders>
              <w:bottom w:val="nil"/>
            </w:tcBorders>
          </w:tcPr>
          <w:p w:rsidR="00000000" w:rsidRDefault="00000000">
            <w:pPr>
              <w:spacing w:before="60" w:line="240" w:lineRule="auto"/>
              <w:ind w:right="113"/>
              <w:jc w:val="right"/>
              <w:rPr>
                <w:sz w:val="18"/>
              </w:rPr>
            </w:pPr>
            <w:r>
              <w:rPr>
                <w:sz w:val="18"/>
              </w:rPr>
              <w:t>75,000</w:t>
            </w:r>
          </w:p>
        </w:tc>
        <w:tc>
          <w:tcPr>
            <w:tcW w:w="1170" w:type="dxa"/>
            <w:tcBorders>
              <w:bottom w:val="nil"/>
            </w:tcBorders>
          </w:tcPr>
          <w:p w:rsidR="00000000" w:rsidRDefault="00000000">
            <w:pPr>
              <w:spacing w:before="60" w:line="240" w:lineRule="auto"/>
              <w:ind w:right="57"/>
              <w:jc w:val="right"/>
              <w:rPr>
                <w:sz w:val="18"/>
              </w:rPr>
            </w:pPr>
            <w:r>
              <w:rPr>
                <w:sz w:val="18"/>
              </w:rPr>
              <w:t>100,000</w:t>
            </w:r>
          </w:p>
        </w:tc>
        <w:tc>
          <w:tcPr>
            <w:tcW w:w="1430" w:type="dxa"/>
            <w:tcBorders>
              <w:bottom w:val="nil"/>
            </w:tcBorders>
          </w:tcPr>
          <w:p w:rsidR="00000000" w:rsidRDefault="00000000">
            <w:pPr>
              <w:spacing w:before="60" w:line="240" w:lineRule="auto"/>
              <w:ind w:right="317"/>
              <w:jc w:val="right"/>
              <w:rPr>
                <w:sz w:val="18"/>
              </w:rPr>
            </w:pPr>
            <w:r>
              <w:rPr>
                <w:sz w:val="18"/>
              </w:rPr>
              <w:t>134%</w:t>
            </w:r>
          </w:p>
        </w:tc>
        <w:tc>
          <w:tcPr>
            <w:tcW w:w="1430" w:type="dxa"/>
            <w:tcBorders>
              <w:bottom w:val="nil"/>
            </w:tcBorders>
          </w:tcPr>
          <w:p w:rsidR="00000000" w:rsidRDefault="00000000">
            <w:pPr>
              <w:spacing w:before="60" w:line="240" w:lineRule="auto"/>
              <w:ind w:right="317"/>
              <w:jc w:val="right"/>
              <w:rPr>
                <w:sz w:val="18"/>
              </w:rPr>
            </w:pPr>
            <w:r>
              <w:rPr>
                <w:sz w:val="18"/>
              </w:rPr>
              <w:t>213%</w:t>
            </w:r>
          </w:p>
        </w:tc>
        <w:tc>
          <w:tcPr>
            <w:tcW w:w="1321" w:type="dxa"/>
            <w:tcBorders>
              <w:bottom w:val="nil"/>
            </w:tcBorders>
          </w:tcPr>
          <w:p w:rsidR="00000000" w:rsidRDefault="00000000">
            <w:pPr>
              <w:spacing w:before="60" w:line="240" w:lineRule="auto"/>
              <w:ind w:right="317"/>
              <w:jc w:val="right"/>
              <w:rPr>
                <w:sz w:val="18"/>
              </w:rPr>
            </w:pPr>
            <w:r>
              <w:rPr>
                <w:sz w:val="18"/>
              </w:rPr>
              <w:t>33%</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lang w:val="fr-CH"/>
              </w:rPr>
            </w:pPr>
            <w:r>
              <w:rPr>
                <w:rFonts w:hint="eastAsia"/>
                <w:spacing w:val="0"/>
                <w:sz w:val="18"/>
                <w:lang w:val="fr-CH"/>
              </w:rPr>
              <w:t>生活费用补差</w:t>
            </w:r>
          </w:p>
        </w:tc>
        <w:tc>
          <w:tcPr>
            <w:tcW w:w="1240" w:type="dxa"/>
            <w:tcBorders>
              <w:top w:val="nil"/>
              <w:bottom w:val="nil"/>
            </w:tcBorders>
          </w:tcPr>
          <w:p w:rsidR="00000000" w:rsidRDefault="00000000">
            <w:pPr>
              <w:spacing w:line="240" w:lineRule="auto"/>
              <w:ind w:right="113"/>
              <w:jc w:val="right"/>
              <w:rPr>
                <w:sz w:val="18"/>
              </w:rPr>
            </w:pPr>
            <w:r>
              <w:rPr>
                <w:sz w:val="18"/>
              </w:rPr>
              <w:t>2,500</w:t>
            </w:r>
          </w:p>
        </w:tc>
        <w:tc>
          <w:tcPr>
            <w:tcW w:w="1170" w:type="dxa"/>
            <w:tcBorders>
              <w:top w:val="nil"/>
              <w:bottom w:val="nil"/>
            </w:tcBorders>
          </w:tcPr>
          <w:p w:rsidR="00000000" w:rsidRDefault="00000000">
            <w:pPr>
              <w:spacing w:line="240" w:lineRule="auto"/>
              <w:ind w:right="113"/>
              <w:jc w:val="right"/>
              <w:rPr>
                <w:sz w:val="18"/>
              </w:rPr>
            </w:pPr>
            <w:r>
              <w:rPr>
                <w:sz w:val="18"/>
              </w:rPr>
              <w:t>125,000</w:t>
            </w:r>
          </w:p>
        </w:tc>
        <w:tc>
          <w:tcPr>
            <w:tcW w:w="1170" w:type="dxa"/>
            <w:tcBorders>
              <w:top w:val="nil"/>
              <w:bottom w:val="nil"/>
            </w:tcBorders>
          </w:tcPr>
          <w:p w:rsidR="00000000" w:rsidRDefault="00000000">
            <w:pPr>
              <w:spacing w:line="240" w:lineRule="auto"/>
              <w:ind w:right="57"/>
              <w:jc w:val="right"/>
              <w:rPr>
                <w:sz w:val="18"/>
              </w:rPr>
            </w:pPr>
            <w:r>
              <w:rPr>
                <w:sz w:val="18"/>
              </w:rPr>
              <w:t>300,000</w:t>
            </w:r>
          </w:p>
        </w:tc>
        <w:tc>
          <w:tcPr>
            <w:tcW w:w="1430" w:type="dxa"/>
            <w:tcBorders>
              <w:top w:val="nil"/>
              <w:bottom w:val="nil"/>
            </w:tcBorders>
          </w:tcPr>
          <w:p w:rsidR="00000000" w:rsidRDefault="00000000">
            <w:pPr>
              <w:spacing w:line="240" w:lineRule="auto"/>
              <w:ind w:right="317"/>
              <w:jc w:val="right"/>
              <w:rPr>
                <w:sz w:val="18"/>
              </w:rPr>
            </w:pPr>
            <w:r>
              <w:rPr>
                <w:sz w:val="18"/>
              </w:rPr>
              <w:t>4,900%</w:t>
            </w:r>
          </w:p>
        </w:tc>
        <w:tc>
          <w:tcPr>
            <w:tcW w:w="1430" w:type="dxa"/>
            <w:tcBorders>
              <w:top w:val="nil"/>
              <w:bottom w:val="nil"/>
            </w:tcBorders>
          </w:tcPr>
          <w:p w:rsidR="00000000" w:rsidRDefault="00000000">
            <w:pPr>
              <w:spacing w:line="240" w:lineRule="auto"/>
              <w:ind w:right="317"/>
              <w:jc w:val="right"/>
              <w:rPr>
                <w:sz w:val="18"/>
              </w:rPr>
            </w:pPr>
            <w:r>
              <w:rPr>
                <w:sz w:val="18"/>
              </w:rPr>
              <w:t>11,900%</w:t>
            </w:r>
          </w:p>
        </w:tc>
        <w:tc>
          <w:tcPr>
            <w:tcW w:w="1321" w:type="dxa"/>
            <w:tcBorders>
              <w:top w:val="nil"/>
              <w:bottom w:val="nil"/>
            </w:tcBorders>
          </w:tcPr>
          <w:p w:rsidR="00000000" w:rsidRDefault="00000000">
            <w:pPr>
              <w:spacing w:line="240" w:lineRule="auto"/>
              <w:ind w:right="317"/>
              <w:jc w:val="right"/>
              <w:rPr>
                <w:sz w:val="18"/>
              </w:rPr>
            </w:pPr>
            <w:r>
              <w:rPr>
                <w:sz w:val="18"/>
              </w:rPr>
              <w:t>140%</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lang w:val="fr-CH"/>
              </w:rPr>
            </w:pPr>
            <w:r>
              <w:rPr>
                <w:rFonts w:hint="eastAsia"/>
                <w:spacing w:val="0"/>
                <w:sz w:val="18"/>
                <w:lang w:val="fr-CH"/>
              </w:rPr>
              <w:t>奖金</w:t>
            </w:r>
          </w:p>
        </w:tc>
        <w:tc>
          <w:tcPr>
            <w:tcW w:w="1240" w:type="dxa"/>
            <w:tcBorders>
              <w:top w:val="nil"/>
              <w:bottom w:val="nil"/>
            </w:tcBorders>
          </w:tcPr>
          <w:p w:rsidR="00000000" w:rsidRDefault="00000000">
            <w:pPr>
              <w:spacing w:line="240" w:lineRule="auto"/>
              <w:ind w:right="113"/>
              <w:jc w:val="right"/>
              <w:rPr>
                <w:sz w:val="18"/>
              </w:rPr>
            </w:pPr>
            <w:r>
              <w:rPr>
                <w:sz w:val="18"/>
              </w:rPr>
              <w:t>1,000</w:t>
            </w:r>
          </w:p>
        </w:tc>
        <w:tc>
          <w:tcPr>
            <w:tcW w:w="1170" w:type="dxa"/>
            <w:tcBorders>
              <w:top w:val="nil"/>
              <w:bottom w:val="nil"/>
            </w:tcBorders>
          </w:tcPr>
          <w:p w:rsidR="00000000" w:rsidRDefault="00000000">
            <w:pPr>
              <w:spacing w:line="240" w:lineRule="auto"/>
              <w:ind w:right="113"/>
              <w:jc w:val="right"/>
              <w:rPr>
                <w:sz w:val="18"/>
              </w:rPr>
            </w:pPr>
            <w:r>
              <w:rPr>
                <w:sz w:val="18"/>
              </w:rPr>
              <w:t>96,000</w:t>
            </w:r>
          </w:p>
        </w:tc>
        <w:tc>
          <w:tcPr>
            <w:tcW w:w="1170" w:type="dxa"/>
            <w:tcBorders>
              <w:top w:val="nil"/>
              <w:bottom w:val="nil"/>
            </w:tcBorders>
          </w:tcPr>
          <w:p w:rsidR="00000000" w:rsidRDefault="00000000">
            <w:pPr>
              <w:spacing w:line="240" w:lineRule="auto"/>
              <w:ind w:right="57"/>
              <w:jc w:val="right"/>
              <w:rPr>
                <w:sz w:val="18"/>
              </w:rPr>
            </w:pPr>
            <w:r>
              <w:rPr>
                <w:sz w:val="18"/>
              </w:rPr>
              <w:t>700,000</w:t>
            </w:r>
          </w:p>
        </w:tc>
        <w:tc>
          <w:tcPr>
            <w:tcW w:w="1430" w:type="dxa"/>
            <w:tcBorders>
              <w:top w:val="nil"/>
              <w:bottom w:val="nil"/>
            </w:tcBorders>
          </w:tcPr>
          <w:p w:rsidR="00000000" w:rsidRDefault="00000000">
            <w:pPr>
              <w:spacing w:line="240" w:lineRule="auto"/>
              <w:ind w:right="317"/>
              <w:jc w:val="right"/>
              <w:rPr>
                <w:sz w:val="18"/>
              </w:rPr>
            </w:pPr>
            <w:r>
              <w:rPr>
                <w:sz w:val="18"/>
              </w:rPr>
              <w:t>9,500%</w:t>
            </w:r>
          </w:p>
        </w:tc>
        <w:tc>
          <w:tcPr>
            <w:tcW w:w="1430" w:type="dxa"/>
            <w:tcBorders>
              <w:top w:val="nil"/>
              <w:bottom w:val="nil"/>
            </w:tcBorders>
          </w:tcPr>
          <w:p w:rsidR="00000000" w:rsidRDefault="00000000">
            <w:pPr>
              <w:spacing w:line="240" w:lineRule="auto"/>
              <w:ind w:right="317"/>
              <w:jc w:val="right"/>
              <w:rPr>
                <w:sz w:val="18"/>
              </w:rPr>
            </w:pPr>
            <w:r>
              <w:rPr>
                <w:sz w:val="18"/>
              </w:rPr>
              <w:t>69,900%</w:t>
            </w:r>
          </w:p>
        </w:tc>
        <w:tc>
          <w:tcPr>
            <w:tcW w:w="1321" w:type="dxa"/>
            <w:tcBorders>
              <w:top w:val="nil"/>
              <w:bottom w:val="nil"/>
            </w:tcBorders>
          </w:tcPr>
          <w:p w:rsidR="00000000" w:rsidRDefault="00000000">
            <w:pPr>
              <w:spacing w:line="240" w:lineRule="auto"/>
              <w:ind w:right="317"/>
              <w:jc w:val="right"/>
              <w:rPr>
                <w:sz w:val="18"/>
              </w:rPr>
            </w:pPr>
            <w:r>
              <w:rPr>
                <w:sz w:val="18"/>
              </w:rPr>
              <w:t>629%</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lang w:val="fr-CH"/>
              </w:rPr>
            </w:pPr>
            <w:r>
              <w:rPr>
                <w:rFonts w:hint="eastAsia"/>
                <w:spacing w:val="0"/>
                <w:sz w:val="18"/>
                <w:lang w:val="fr-CH"/>
              </w:rPr>
              <w:t>差旅费</w:t>
            </w:r>
          </w:p>
        </w:tc>
        <w:tc>
          <w:tcPr>
            <w:tcW w:w="1240" w:type="dxa"/>
            <w:tcBorders>
              <w:top w:val="nil"/>
              <w:bottom w:val="nil"/>
            </w:tcBorders>
          </w:tcPr>
          <w:p w:rsidR="00000000" w:rsidRDefault="00000000">
            <w:pPr>
              <w:spacing w:line="240" w:lineRule="auto"/>
              <w:ind w:right="113"/>
              <w:jc w:val="right"/>
              <w:rPr>
                <w:sz w:val="18"/>
              </w:rPr>
            </w:pPr>
            <w:r>
              <w:rPr>
                <w:sz w:val="18"/>
              </w:rPr>
              <w:t>2,400</w:t>
            </w:r>
          </w:p>
        </w:tc>
        <w:tc>
          <w:tcPr>
            <w:tcW w:w="1170" w:type="dxa"/>
            <w:tcBorders>
              <w:top w:val="nil"/>
              <w:bottom w:val="nil"/>
            </w:tcBorders>
          </w:tcPr>
          <w:p w:rsidR="00000000" w:rsidRDefault="00000000">
            <w:pPr>
              <w:spacing w:line="240" w:lineRule="auto"/>
              <w:ind w:right="113"/>
              <w:jc w:val="right"/>
              <w:rPr>
                <w:sz w:val="18"/>
              </w:rPr>
            </w:pPr>
            <w:r>
              <w:rPr>
                <w:sz w:val="18"/>
              </w:rPr>
              <w:t>16,000</w:t>
            </w:r>
          </w:p>
        </w:tc>
        <w:tc>
          <w:tcPr>
            <w:tcW w:w="1170" w:type="dxa"/>
            <w:tcBorders>
              <w:top w:val="nil"/>
              <w:bottom w:val="nil"/>
            </w:tcBorders>
          </w:tcPr>
          <w:p w:rsidR="00000000" w:rsidRDefault="00000000">
            <w:pPr>
              <w:spacing w:line="240" w:lineRule="auto"/>
              <w:ind w:right="57"/>
              <w:jc w:val="right"/>
              <w:rPr>
                <w:sz w:val="18"/>
              </w:rPr>
            </w:pPr>
            <w:r>
              <w:rPr>
                <w:sz w:val="18"/>
              </w:rPr>
              <w:t>80,000</w:t>
            </w:r>
          </w:p>
        </w:tc>
        <w:tc>
          <w:tcPr>
            <w:tcW w:w="1430" w:type="dxa"/>
            <w:tcBorders>
              <w:top w:val="nil"/>
              <w:bottom w:val="nil"/>
            </w:tcBorders>
          </w:tcPr>
          <w:p w:rsidR="00000000" w:rsidRDefault="00000000">
            <w:pPr>
              <w:spacing w:line="240" w:lineRule="auto"/>
              <w:ind w:right="317"/>
              <w:jc w:val="right"/>
              <w:rPr>
                <w:sz w:val="18"/>
              </w:rPr>
            </w:pPr>
            <w:r>
              <w:rPr>
                <w:sz w:val="18"/>
              </w:rPr>
              <w:t>567%</w:t>
            </w:r>
          </w:p>
        </w:tc>
        <w:tc>
          <w:tcPr>
            <w:tcW w:w="1430" w:type="dxa"/>
            <w:tcBorders>
              <w:top w:val="nil"/>
              <w:bottom w:val="nil"/>
            </w:tcBorders>
          </w:tcPr>
          <w:p w:rsidR="00000000" w:rsidRDefault="00000000">
            <w:pPr>
              <w:spacing w:line="240" w:lineRule="auto"/>
              <w:ind w:right="317"/>
              <w:jc w:val="right"/>
              <w:rPr>
                <w:sz w:val="18"/>
              </w:rPr>
            </w:pPr>
            <w:r>
              <w:rPr>
                <w:sz w:val="18"/>
              </w:rPr>
              <w:t>3,233%</w:t>
            </w:r>
          </w:p>
        </w:tc>
        <w:tc>
          <w:tcPr>
            <w:tcW w:w="1321" w:type="dxa"/>
            <w:tcBorders>
              <w:top w:val="nil"/>
              <w:bottom w:val="nil"/>
            </w:tcBorders>
          </w:tcPr>
          <w:p w:rsidR="00000000" w:rsidRDefault="00000000">
            <w:pPr>
              <w:spacing w:line="240" w:lineRule="auto"/>
              <w:ind w:right="317"/>
              <w:jc w:val="right"/>
              <w:rPr>
                <w:sz w:val="18"/>
              </w:rPr>
            </w:pPr>
            <w:r>
              <w:rPr>
                <w:sz w:val="18"/>
              </w:rPr>
              <w:t>400%</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lang w:val="fr-CH"/>
              </w:rPr>
            </w:pPr>
            <w:r>
              <w:rPr>
                <w:rFonts w:hint="eastAsia"/>
                <w:spacing w:val="0"/>
                <w:sz w:val="18"/>
                <w:lang w:val="fr-CH"/>
              </w:rPr>
              <w:t>第</w:t>
            </w:r>
            <w:r>
              <w:rPr>
                <w:rFonts w:hint="eastAsia"/>
                <w:spacing w:val="0"/>
                <w:sz w:val="18"/>
                <w:lang w:val="fr-CH"/>
              </w:rPr>
              <w:t>16</w:t>
            </w:r>
            <w:r>
              <w:rPr>
                <w:rFonts w:hint="eastAsia"/>
                <w:spacing w:val="0"/>
                <w:sz w:val="18"/>
                <w:lang w:val="fr-CH"/>
              </w:rPr>
              <w:t>个月工资</w:t>
            </w:r>
          </w:p>
        </w:tc>
        <w:tc>
          <w:tcPr>
            <w:tcW w:w="1240" w:type="dxa"/>
            <w:tcBorders>
              <w:top w:val="nil"/>
              <w:bottom w:val="nil"/>
            </w:tcBorders>
          </w:tcPr>
          <w:p w:rsidR="00000000" w:rsidRDefault="00000000">
            <w:pPr>
              <w:spacing w:line="240" w:lineRule="auto"/>
              <w:ind w:right="113"/>
              <w:jc w:val="right"/>
              <w:rPr>
                <w:sz w:val="18"/>
              </w:rPr>
            </w:pPr>
          </w:p>
        </w:tc>
        <w:tc>
          <w:tcPr>
            <w:tcW w:w="1170" w:type="dxa"/>
            <w:tcBorders>
              <w:top w:val="nil"/>
              <w:bottom w:val="nil"/>
            </w:tcBorders>
          </w:tcPr>
          <w:p w:rsidR="00000000" w:rsidRDefault="00000000">
            <w:pPr>
              <w:spacing w:line="240" w:lineRule="auto"/>
              <w:ind w:right="113"/>
              <w:jc w:val="right"/>
              <w:rPr>
                <w:sz w:val="18"/>
              </w:rPr>
            </w:pPr>
            <w:r>
              <w:rPr>
                <w:sz w:val="18"/>
              </w:rPr>
              <w:t>12,500</w:t>
            </w:r>
          </w:p>
        </w:tc>
        <w:tc>
          <w:tcPr>
            <w:tcW w:w="1170" w:type="dxa"/>
            <w:tcBorders>
              <w:top w:val="nil"/>
              <w:bottom w:val="nil"/>
            </w:tcBorders>
          </w:tcPr>
          <w:p w:rsidR="00000000" w:rsidRDefault="00000000">
            <w:pPr>
              <w:spacing w:line="240" w:lineRule="auto"/>
              <w:ind w:right="57"/>
              <w:jc w:val="right"/>
              <w:rPr>
                <w:sz w:val="18"/>
              </w:rPr>
            </w:pPr>
            <w:r>
              <w:rPr>
                <w:sz w:val="18"/>
              </w:rPr>
              <w:t>16,667</w:t>
            </w:r>
          </w:p>
        </w:tc>
        <w:tc>
          <w:tcPr>
            <w:tcW w:w="1430" w:type="dxa"/>
            <w:tcBorders>
              <w:top w:val="nil"/>
              <w:bottom w:val="nil"/>
            </w:tcBorders>
          </w:tcPr>
          <w:p w:rsidR="00000000" w:rsidRDefault="00000000">
            <w:pPr>
              <w:spacing w:line="240" w:lineRule="auto"/>
              <w:ind w:right="317"/>
              <w:jc w:val="right"/>
              <w:rPr>
                <w:sz w:val="18"/>
              </w:rPr>
            </w:pPr>
          </w:p>
        </w:tc>
        <w:tc>
          <w:tcPr>
            <w:tcW w:w="1430" w:type="dxa"/>
            <w:tcBorders>
              <w:top w:val="nil"/>
              <w:bottom w:val="nil"/>
            </w:tcBorders>
          </w:tcPr>
          <w:p w:rsidR="00000000" w:rsidRDefault="00000000">
            <w:pPr>
              <w:spacing w:line="240" w:lineRule="auto"/>
              <w:ind w:right="317"/>
              <w:jc w:val="right"/>
              <w:rPr>
                <w:sz w:val="18"/>
              </w:rPr>
            </w:pPr>
          </w:p>
        </w:tc>
        <w:tc>
          <w:tcPr>
            <w:tcW w:w="1321" w:type="dxa"/>
            <w:tcBorders>
              <w:top w:val="nil"/>
              <w:bottom w:val="nil"/>
            </w:tcBorders>
          </w:tcPr>
          <w:p w:rsidR="00000000" w:rsidRDefault="00000000">
            <w:pPr>
              <w:spacing w:line="240" w:lineRule="auto"/>
              <w:ind w:right="317"/>
              <w:jc w:val="right"/>
              <w:rPr>
                <w:sz w:val="18"/>
              </w:rPr>
            </w:pPr>
            <w:r>
              <w:rPr>
                <w:sz w:val="18"/>
              </w:rPr>
              <w:t>33%</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lang w:val="fr-CH"/>
              </w:rPr>
            </w:pPr>
            <w:r>
              <w:rPr>
                <w:rFonts w:hint="eastAsia"/>
                <w:spacing w:val="0"/>
                <w:sz w:val="18"/>
                <w:lang w:val="fr-CH"/>
              </w:rPr>
              <w:t>第</w:t>
            </w:r>
            <w:r>
              <w:rPr>
                <w:rFonts w:hint="eastAsia"/>
                <w:spacing w:val="0"/>
                <w:sz w:val="18"/>
                <w:lang w:val="fr-CH"/>
              </w:rPr>
              <w:t>13</w:t>
            </w:r>
            <w:r>
              <w:rPr>
                <w:rFonts w:hint="eastAsia"/>
                <w:spacing w:val="0"/>
                <w:sz w:val="18"/>
                <w:lang w:val="fr-CH"/>
              </w:rPr>
              <w:t>个月工资</w:t>
            </w:r>
          </w:p>
        </w:tc>
        <w:tc>
          <w:tcPr>
            <w:tcW w:w="1240" w:type="dxa"/>
            <w:tcBorders>
              <w:top w:val="nil"/>
              <w:bottom w:val="nil"/>
            </w:tcBorders>
          </w:tcPr>
          <w:p w:rsidR="00000000" w:rsidRDefault="00000000">
            <w:pPr>
              <w:spacing w:line="240" w:lineRule="auto"/>
              <w:ind w:right="113"/>
              <w:jc w:val="right"/>
              <w:rPr>
                <w:sz w:val="18"/>
              </w:rPr>
            </w:pPr>
            <w:r>
              <w:rPr>
                <w:sz w:val="18"/>
              </w:rPr>
              <w:t>2,667</w:t>
            </w:r>
          </w:p>
        </w:tc>
        <w:tc>
          <w:tcPr>
            <w:tcW w:w="1170" w:type="dxa"/>
            <w:tcBorders>
              <w:top w:val="nil"/>
              <w:bottom w:val="nil"/>
            </w:tcBorders>
          </w:tcPr>
          <w:p w:rsidR="00000000" w:rsidRDefault="00000000">
            <w:pPr>
              <w:spacing w:line="240" w:lineRule="auto"/>
              <w:ind w:right="113"/>
              <w:jc w:val="right"/>
              <w:rPr>
                <w:sz w:val="18"/>
              </w:rPr>
            </w:pPr>
            <w:r>
              <w:rPr>
                <w:sz w:val="18"/>
              </w:rPr>
              <w:t>6,250</w:t>
            </w:r>
          </w:p>
        </w:tc>
        <w:tc>
          <w:tcPr>
            <w:tcW w:w="1170" w:type="dxa"/>
            <w:tcBorders>
              <w:top w:val="nil"/>
              <w:bottom w:val="nil"/>
            </w:tcBorders>
          </w:tcPr>
          <w:p w:rsidR="00000000" w:rsidRDefault="00000000">
            <w:pPr>
              <w:spacing w:line="240" w:lineRule="auto"/>
              <w:ind w:right="57"/>
              <w:jc w:val="right"/>
              <w:rPr>
                <w:sz w:val="18"/>
              </w:rPr>
            </w:pPr>
            <w:r>
              <w:rPr>
                <w:sz w:val="18"/>
              </w:rPr>
              <w:t>8,333</w:t>
            </w:r>
          </w:p>
        </w:tc>
        <w:tc>
          <w:tcPr>
            <w:tcW w:w="1430" w:type="dxa"/>
            <w:tcBorders>
              <w:top w:val="nil"/>
              <w:bottom w:val="nil"/>
            </w:tcBorders>
          </w:tcPr>
          <w:p w:rsidR="00000000" w:rsidRDefault="00000000">
            <w:pPr>
              <w:spacing w:line="240" w:lineRule="auto"/>
              <w:ind w:right="317"/>
              <w:jc w:val="right"/>
              <w:rPr>
                <w:sz w:val="18"/>
              </w:rPr>
            </w:pPr>
            <w:r>
              <w:rPr>
                <w:sz w:val="18"/>
              </w:rPr>
              <w:t>134%</w:t>
            </w:r>
          </w:p>
        </w:tc>
        <w:tc>
          <w:tcPr>
            <w:tcW w:w="1430" w:type="dxa"/>
            <w:tcBorders>
              <w:top w:val="nil"/>
              <w:bottom w:val="nil"/>
            </w:tcBorders>
          </w:tcPr>
          <w:p w:rsidR="00000000" w:rsidRDefault="00000000">
            <w:pPr>
              <w:spacing w:line="240" w:lineRule="auto"/>
              <w:ind w:right="317"/>
              <w:jc w:val="right"/>
              <w:rPr>
                <w:sz w:val="18"/>
              </w:rPr>
            </w:pPr>
            <w:r>
              <w:rPr>
                <w:sz w:val="18"/>
              </w:rPr>
              <w:t>212%</w:t>
            </w:r>
          </w:p>
        </w:tc>
        <w:tc>
          <w:tcPr>
            <w:tcW w:w="1321" w:type="dxa"/>
            <w:tcBorders>
              <w:top w:val="nil"/>
              <w:bottom w:val="nil"/>
            </w:tcBorders>
          </w:tcPr>
          <w:p w:rsidR="00000000" w:rsidRDefault="00000000">
            <w:pPr>
              <w:spacing w:line="240" w:lineRule="auto"/>
              <w:ind w:right="317"/>
              <w:jc w:val="right"/>
              <w:rPr>
                <w:sz w:val="18"/>
              </w:rPr>
            </w:pPr>
            <w:r>
              <w:rPr>
                <w:sz w:val="18"/>
              </w:rPr>
              <w:t>33%</w:t>
            </w:r>
          </w:p>
        </w:tc>
      </w:tr>
      <w:tr w:rsidR="00000000">
        <w:tblPrEx>
          <w:tblCellMar>
            <w:top w:w="0" w:type="dxa"/>
          </w:tblCellMar>
        </w:tblPrEx>
        <w:tc>
          <w:tcPr>
            <w:tcW w:w="1560" w:type="dxa"/>
            <w:tcBorders>
              <w:top w:val="nil"/>
              <w:bottom w:val="nil"/>
            </w:tcBorders>
          </w:tcPr>
          <w:p w:rsidR="00000000" w:rsidRDefault="00000000">
            <w:pPr>
              <w:spacing w:line="240" w:lineRule="auto"/>
              <w:rPr>
                <w:spacing w:val="0"/>
                <w:sz w:val="18"/>
                <w:lang w:val="fr-CH"/>
              </w:rPr>
            </w:pPr>
            <w:r>
              <w:rPr>
                <w:rFonts w:hint="eastAsia"/>
                <w:spacing w:val="0"/>
                <w:sz w:val="18"/>
                <w:lang w:val="fr-CH"/>
              </w:rPr>
              <w:t>第</w:t>
            </w:r>
            <w:r>
              <w:rPr>
                <w:rFonts w:hint="eastAsia"/>
                <w:spacing w:val="0"/>
                <w:sz w:val="18"/>
                <w:lang w:val="fr-CH"/>
              </w:rPr>
              <w:t>14</w:t>
            </w:r>
            <w:r>
              <w:rPr>
                <w:rFonts w:hint="eastAsia"/>
                <w:spacing w:val="0"/>
                <w:sz w:val="18"/>
                <w:lang w:val="fr-CH"/>
              </w:rPr>
              <w:t>个月工资</w:t>
            </w:r>
          </w:p>
        </w:tc>
        <w:tc>
          <w:tcPr>
            <w:tcW w:w="1240" w:type="dxa"/>
            <w:tcBorders>
              <w:top w:val="nil"/>
              <w:bottom w:val="nil"/>
            </w:tcBorders>
          </w:tcPr>
          <w:p w:rsidR="00000000" w:rsidRDefault="00000000">
            <w:pPr>
              <w:spacing w:line="240" w:lineRule="auto"/>
              <w:ind w:right="113"/>
              <w:jc w:val="right"/>
              <w:rPr>
                <w:sz w:val="18"/>
              </w:rPr>
            </w:pPr>
            <w:r>
              <w:rPr>
                <w:sz w:val="18"/>
              </w:rPr>
              <w:t>5,333</w:t>
            </w:r>
          </w:p>
        </w:tc>
        <w:tc>
          <w:tcPr>
            <w:tcW w:w="1170" w:type="dxa"/>
            <w:tcBorders>
              <w:top w:val="nil"/>
              <w:bottom w:val="nil"/>
            </w:tcBorders>
          </w:tcPr>
          <w:p w:rsidR="00000000" w:rsidRDefault="00000000">
            <w:pPr>
              <w:spacing w:line="240" w:lineRule="auto"/>
              <w:ind w:right="113"/>
              <w:jc w:val="right"/>
              <w:rPr>
                <w:sz w:val="18"/>
              </w:rPr>
            </w:pPr>
            <w:r>
              <w:rPr>
                <w:sz w:val="18"/>
              </w:rPr>
              <w:t>12,500</w:t>
            </w:r>
          </w:p>
        </w:tc>
        <w:tc>
          <w:tcPr>
            <w:tcW w:w="1170" w:type="dxa"/>
            <w:tcBorders>
              <w:top w:val="nil"/>
              <w:bottom w:val="nil"/>
            </w:tcBorders>
          </w:tcPr>
          <w:p w:rsidR="00000000" w:rsidRDefault="00000000">
            <w:pPr>
              <w:spacing w:line="240" w:lineRule="auto"/>
              <w:ind w:right="57"/>
              <w:jc w:val="right"/>
              <w:rPr>
                <w:sz w:val="18"/>
              </w:rPr>
            </w:pPr>
            <w:r>
              <w:rPr>
                <w:sz w:val="18"/>
              </w:rPr>
              <w:t>16,667</w:t>
            </w:r>
          </w:p>
        </w:tc>
        <w:tc>
          <w:tcPr>
            <w:tcW w:w="1430" w:type="dxa"/>
            <w:tcBorders>
              <w:top w:val="nil"/>
              <w:bottom w:val="nil"/>
            </w:tcBorders>
          </w:tcPr>
          <w:p w:rsidR="00000000" w:rsidRDefault="00000000">
            <w:pPr>
              <w:spacing w:line="240" w:lineRule="auto"/>
              <w:ind w:right="317"/>
              <w:jc w:val="right"/>
              <w:rPr>
                <w:sz w:val="18"/>
              </w:rPr>
            </w:pPr>
            <w:r>
              <w:rPr>
                <w:sz w:val="18"/>
              </w:rPr>
              <w:t>134%</w:t>
            </w:r>
          </w:p>
        </w:tc>
        <w:tc>
          <w:tcPr>
            <w:tcW w:w="1430" w:type="dxa"/>
            <w:tcBorders>
              <w:top w:val="nil"/>
              <w:bottom w:val="nil"/>
            </w:tcBorders>
          </w:tcPr>
          <w:p w:rsidR="00000000" w:rsidRDefault="00000000">
            <w:pPr>
              <w:spacing w:line="240" w:lineRule="auto"/>
              <w:ind w:right="317"/>
              <w:jc w:val="right"/>
              <w:rPr>
                <w:sz w:val="18"/>
              </w:rPr>
            </w:pPr>
            <w:r>
              <w:rPr>
                <w:sz w:val="18"/>
              </w:rPr>
              <w:t>213%</w:t>
            </w:r>
          </w:p>
        </w:tc>
        <w:tc>
          <w:tcPr>
            <w:tcW w:w="1321" w:type="dxa"/>
            <w:tcBorders>
              <w:top w:val="nil"/>
              <w:bottom w:val="nil"/>
            </w:tcBorders>
          </w:tcPr>
          <w:p w:rsidR="00000000" w:rsidRDefault="00000000">
            <w:pPr>
              <w:spacing w:line="240" w:lineRule="auto"/>
              <w:ind w:right="317"/>
              <w:jc w:val="right"/>
              <w:rPr>
                <w:sz w:val="18"/>
              </w:rPr>
            </w:pPr>
            <w:r>
              <w:rPr>
                <w:sz w:val="18"/>
              </w:rPr>
              <w:t>33%</w:t>
            </w:r>
          </w:p>
        </w:tc>
      </w:tr>
      <w:tr w:rsidR="00000000">
        <w:tblPrEx>
          <w:tblCellMar>
            <w:top w:w="0" w:type="dxa"/>
          </w:tblCellMar>
        </w:tblPrEx>
        <w:tc>
          <w:tcPr>
            <w:tcW w:w="1560" w:type="dxa"/>
            <w:tcBorders>
              <w:top w:val="nil"/>
              <w:bottom w:val="nil"/>
            </w:tcBorders>
          </w:tcPr>
          <w:p w:rsidR="00000000" w:rsidRDefault="00000000">
            <w:pPr>
              <w:spacing w:line="240" w:lineRule="auto"/>
              <w:rPr>
                <w:spacing w:val="0"/>
                <w:sz w:val="18"/>
                <w:lang w:val="fr-CH"/>
              </w:rPr>
            </w:pPr>
            <w:r>
              <w:rPr>
                <w:rFonts w:hint="eastAsia"/>
                <w:spacing w:val="0"/>
                <w:sz w:val="18"/>
                <w:lang w:val="fr-CH"/>
              </w:rPr>
              <w:t>第</w:t>
            </w:r>
            <w:r>
              <w:rPr>
                <w:rFonts w:hint="eastAsia"/>
                <w:spacing w:val="0"/>
                <w:sz w:val="18"/>
                <w:lang w:val="fr-CH"/>
              </w:rPr>
              <w:t>15</w:t>
            </w:r>
            <w:r>
              <w:rPr>
                <w:rFonts w:hint="eastAsia"/>
                <w:spacing w:val="0"/>
                <w:sz w:val="18"/>
                <w:lang w:val="fr-CH"/>
              </w:rPr>
              <w:t>个月工资</w:t>
            </w:r>
          </w:p>
        </w:tc>
        <w:tc>
          <w:tcPr>
            <w:tcW w:w="1240" w:type="dxa"/>
            <w:tcBorders>
              <w:top w:val="nil"/>
              <w:bottom w:val="nil"/>
            </w:tcBorders>
          </w:tcPr>
          <w:p w:rsidR="00000000" w:rsidRDefault="00000000">
            <w:pPr>
              <w:spacing w:line="240" w:lineRule="auto"/>
              <w:ind w:right="113"/>
              <w:jc w:val="right"/>
              <w:rPr>
                <w:sz w:val="18"/>
              </w:rPr>
            </w:pPr>
            <w:r>
              <w:rPr>
                <w:sz w:val="18"/>
              </w:rPr>
              <w:t>833</w:t>
            </w:r>
          </w:p>
        </w:tc>
        <w:tc>
          <w:tcPr>
            <w:tcW w:w="1170" w:type="dxa"/>
            <w:tcBorders>
              <w:top w:val="nil"/>
              <w:bottom w:val="nil"/>
            </w:tcBorders>
          </w:tcPr>
          <w:p w:rsidR="00000000" w:rsidRDefault="00000000">
            <w:pPr>
              <w:spacing w:line="240" w:lineRule="auto"/>
              <w:ind w:right="113"/>
              <w:jc w:val="right"/>
              <w:rPr>
                <w:sz w:val="18"/>
              </w:rPr>
            </w:pPr>
            <w:r>
              <w:rPr>
                <w:sz w:val="18"/>
              </w:rPr>
              <w:t>4,167</w:t>
            </w:r>
          </w:p>
        </w:tc>
        <w:tc>
          <w:tcPr>
            <w:tcW w:w="1170" w:type="dxa"/>
            <w:tcBorders>
              <w:top w:val="nil"/>
              <w:bottom w:val="nil"/>
            </w:tcBorders>
          </w:tcPr>
          <w:p w:rsidR="00000000" w:rsidRDefault="00000000">
            <w:pPr>
              <w:spacing w:line="240" w:lineRule="auto"/>
              <w:ind w:right="57"/>
              <w:jc w:val="right"/>
              <w:rPr>
                <w:sz w:val="18"/>
              </w:rPr>
            </w:pPr>
            <w:r>
              <w:rPr>
                <w:sz w:val="18"/>
              </w:rPr>
              <w:t>4,208</w:t>
            </w:r>
          </w:p>
        </w:tc>
        <w:tc>
          <w:tcPr>
            <w:tcW w:w="1430" w:type="dxa"/>
            <w:tcBorders>
              <w:top w:val="nil"/>
              <w:bottom w:val="nil"/>
            </w:tcBorders>
          </w:tcPr>
          <w:p w:rsidR="00000000" w:rsidRDefault="00000000">
            <w:pPr>
              <w:spacing w:line="240" w:lineRule="auto"/>
              <w:ind w:right="317"/>
              <w:jc w:val="right"/>
              <w:rPr>
                <w:sz w:val="18"/>
              </w:rPr>
            </w:pPr>
            <w:r>
              <w:rPr>
                <w:sz w:val="18"/>
              </w:rPr>
              <w:t>400%</w:t>
            </w:r>
          </w:p>
        </w:tc>
        <w:tc>
          <w:tcPr>
            <w:tcW w:w="1430" w:type="dxa"/>
            <w:tcBorders>
              <w:top w:val="nil"/>
              <w:bottom w:val="nil"/>
            </w:tcBorders>
          </w:tcPr>
          <w:p w:rsidR="00000000" w:rsidRDefault="00000000">
            <w:pPr>
              <w:spacing w:line="240" w:lineRule="auto"/>
              <w:ind w:right="317"/>
              <w:jc w:val="right"/>
              <w:rPr>
                <w:sz w:val="18"/>
              </w:rPr>
            </w:pPr>
            <w:r>
              <w:rPr>
                <w:sz w:val="18"/>
              </w:rPr>
              <w:t>405%</w:t>
            </w:r>
          </w:p>
        </w:tc>
        <w:tc>
          <w:tcPr>
            <w:tcW w:w="1321" w:type="dxa"/>
            <w:tcBorders>
              <w:top w:val="nil"/>
              <w:bottom w:val="nil"/>
            </w:tcBorders>
          </w:tcPr>
          <w:p w:rsidR="00000000" w:rsidRDefault="00000000">
            <w:pPr>
              <w:spacing w:line="240" w:lineRule="auto"/>
              <w:ind w:right="317"/>
              <w:jc w:val="right"/>
              <w:rPr>
                <w:sz w:val="18"/>
              </w:rPr>
            </w:pPr>
            <w:r>
              <w:rPr>
                <w:sz w:val="18"/>
              </w:rPr>
              <w:t>1%</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lang w:val="fr-CH"/>
              </w:rPr>
            </w:pPr>
            <w:r>
              <w:rPr>
                <w:rFonts w:hint="eastAsia"/>
                <w:spacing w:val="0"/>
                <w:sz w:val="18"/>
                <w:lang w:val="fr-CH"/>
              </w:rPr>
              <w:t>储备基金</w:t>
            </w:r>
          </w:p>
        </w:tc>
        <w:tc>
          <w:tcPr>
            <w:tcW w:w="1240" w:type="dxa"/>
            <w:tcBorders>
              <w:top w:val="nil"/>
              <w:bottom w:val="nil"/>
            </w:tcBorders>
          </w:tcPr>
          <w:p w:rsidR="00000000" w:rsidRDefault="00000000">
            <w:pPr>
              <w:spacing w:line="240" w:lineRule="auto"/>
              <w:ind w:right="113"/>
              <w:jc w:val="right"/>
              <w:rPr>
                <w:sz w:val="18"/>
              </w:rPr>
            </w:pPr>
            <w:r>
              <w:rPr>
                <w:sz w:val="18"/>
              </w:rPr>
              <w:t>2,667</w:t>
            </w:r>
          </w:p>
        </w:tc>
        <w:tc>
          <w:tcPr>
            <w:tcW w:w="1170" w:type="dxa"/>
            <w:tcBorders>
              <w:top w:val="nil"/>
              <w:bottom w:val="nil"/>
            </w:tcBorders>
          </w:tcPr>
          <w:p w:rsidR="00000000" w:rsidRDefault="00000000">
            <w:pPr>
              <w:spacing w:line="240" w:lineRule="auto"/>
              <w:ind w:right="113"/>
              <w:jc w:val="right"/>
              <w:rPr>
                <w:sz w:val="18"/>
              </w:rPr>
            </w:pPr>
            <w:r>
              <w:rPr>
                <w:sz w:val="18"/>
              </w:rPr>
              <w:t>6,250</w:t>
            </w:r>
          </w:p>
        </w:tc>
        <w:tc>
          <w:tcPr>
            <w:tcW w:w="1170" w:type="dxa"/>
            <w:tcBorders>
              <w:top w:val="nil"/>
              <w:bottom w:val="nil"/>
            </w:tcBorders>
          </w:tcPr>
          <w:p w:rsidR="00000000" w:rsidRDefault="00000000">
            <w:pPr>
              <w:spacing w:line="240" w:lineRule="auto"/>
              <w:ind w:right="57"/>
              <w:jc w:val="right"/>
              <w:rPr>
                <w:sz w:val="18"/>
              </w:rPr>
            </w:pPr>
            <w:r>
              <w:rPr>
                <w:sz w:val="18"/>
              </w:rPr>
              <w:t>8,417</w:t>
            </w:r>
          </w:p>
        </w:tc>
        <w:tc>
          <w:tcPr>
            <w:tcW w:w="1430" w:type="dxa"/>
            <w:tcBorders>
              <w:top w:val="nil"/>
              <w:bottom w:val="nil"/>
            </w:tcBorders>
          </w:tcPr>
          <w:p w:rsidR="00000000" w:rsidRDefault="00000000">
            <w:pPr>
              <w:spacing w:line="240" w:lineRule="auto"/>
              <w:ind w:right="317"/>
              <w:jc w:val="right"/>
              <w:rPr>
                <w:sz w:val="18"/>
              </w:rPr>
            </w:pPr>
            <w:r>
              <w:rPr>
                <w:sz w:val="18"/>
              </w:rPr>
              <w:t>134%</w:t>
            </w:r>
          </w:p>
        </w:tc>
        <w:tc>
          <w:tcPr>
            <w:tcW w:w="1430" w:type="dxa"/>
            <w:tcBorders>
              <w:top w:val="nil"/>
              <w:bottom w:val="nil"/>
            </w:tcBorders>
          </w:tcPr>
          <w:p w:rsidR="00000000" w:rsidRDefault="00000000">
            <w:pPr>
              <w:spacing w:line="240" w:lineRule="auto"/>
              <w:ind w:right="317"/>
              <w:jc w:val="right"/>
              <w:rPr>
                <w:sz w:val="18"/>
              </w:rPr>
            </w:pPr>
            <w:r>
              <w:rPr>
                <w:sz w:val="18"/>
              </w:rPr>
              <w:t>216%</w:t>
            </w:r>
          </w:p>
        </w:tc>
        <w:tc>
          <w:tcPr>
            <w:tcW w:w="1321" w:type="dxa"/>
            <w:tcBorders>
              <w:top w:val="nil"/>
              <w:bottom w:val="nil"/>
            </w:tcBorders>
          </w:tcPr>
          <w:p w:rsidR="00000000" w:rsidRDefault="00000000">
            <w:pPr>
              <w:spacing w:line="240" w:lineRule="auto"/>
              <w:ind w:right="317"/>
              <w:jc w:val="right"/>
              <w:rPr>
                <w:sz w:val="18"/>
              </w:rPr>
            </w:pPr>
            <w:r>
              <w:rPr>
                <w:sz w:val="18"/>
              </w:rPr>
              <w:t>35%</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lang w:val="fr-CH"/>
              </w:rPr>
            </w:pPr>
            <w:r>
              <w:rPr>
                <w:rFonts w:hint="eastAsia"/>
                <w:spacing w:val="0"/>
                <w:sz w:val="18"/>
                <w:lang w:val="fr-CH"/>
              </w:rPr>
              <w:t>名义收入总额</w:t>
            </w:r>
          </w:p>
        </w:tc>
        <w:tc>
          <w:tcPr>
            <w:tcW w:w="1240" w:type="dxa"/>
            <w:tcBorders>
              <w:top w:val="nil"/>
              <w:bottom w:val="nil"/>
            </w:tcBorders>
          </w:tcPr>
          <w:p w:rsidR="00000000" w:rsidRDefault="00000000">
            <w:pPr>
              <w:spacing w:line="240" w:lineRule="auto"/>
              <w:ind w:right="113"/>
              <w:jc w:val="right"/>
              <w:rPr>
                <w:sz w:val="18"/>
              </w:rPr>
            </w:pPr>
            <w:r>
              <w:rPr>
                <w:sz w:val="18"/>
              </w:rPr>
              <w:t>49,400</w:t>
            </w:r>
          </w:p>
        </w:tc>
        <w:tc>
          <w:tcPr>
            <w:tcW w:w="1170" w:type="dxa"/>
            <w:tcBorders>
              <w:top w:val="nil"/>
              <w:bottom w:val="nil"/>
            </w:tcBorders>
          </w:tcPr>
          <w:p w:rsidR="00000000" w:rsidRDefault="00000000">
            <w:pPr>
              <w:spacing w:line="240" w:lineRule="auto"/>
              <w:ind w:right="113"/>
              <w:jc w:val="right"/>
              <w:rPr>
                <w:sz w:val="18"/>
              </w:rPr>
            </w:pPr>
            <w:r>
              <w:rPr>
                <w:sz w:val="18"/>
              </w:rPr>
              <w:t>353,667</w:t>
            </w:r>
          </w:p>
        </w:tc>
        <w:tc>
          <w:tcPr>
            <w:tcW w:w="1170" w:type="dxa"/>
            <w:tcBorders>
              <w:top w:val="nil"/>
              <w:bottom w:val="nil"/>
            </w:tcBorders>
          </w:tcPr>
          <w:p w:rsidR="00000000" w:rsidRDefault="00000000">
            <w:pPr>
              <w:spacing w:line="240" w:lineRule="auto"/>
              <w:ind w:right="57"/>
              <w:jc w:val="right"/>
              <w:rPr>
                <w:sz w:val="18"/>
              </w:rPr>
            </w:pPr>
            <w:r>
              <w:rPr>
                <w:sz w:val="18"/>
              </w:rPr>
              <w:t>1,234,292</w:t>
            </w:r>
          </w:p>
        </w:tc>
        <w:tc>
          <w:tcPr>
            <w:tcW w:w="1430" w:type="dxa"/>
            <w:tcBorders>
              <w:top w:val="nil"/>
              <w:bottom w:val="nil"/>
            </w:tcBorders>
          </w:tcPr>
          <w:p w:rsidR="00000000" w:rsidRDefault="00000000">
            <w:pPr>
              <w:spacing w:line="240" w:lineRule="auto"/>
              <w:ind w:right="317"/>
              <w:jc w:val="right"/>
              <w:rPr>
                <w:sz w:val="18"/>
              </w:rPr>
            </w:pPr>
            <w:r>
              <w:rPr>
                <w:sz w:val="18"/>
              </w:rPr>
              <w:t>616%</w:t>
            </w:r>
          </w:p>
        </w:tc>
        <w:tc>
          <w:tcPr>
            <w:tcW w:w="1430" w:type="dxa"/>
            <w:tcBorders>
              <w:top w:val="nil"/>
              <w:bottom w:val="nil"/>
            </w:tcBorders>
          </w:tcPr>
          <w:p w:rsidR="00000000" w:rsidRDefault="00000000">
            <w:pPr>
              <w:spacing w:line="240" w:lineRule="auto"/>
              <w:ind w:right="317"/>
              <w:jc w:val="right"/>
              <w:rPr>
                <w:sz w:val="18"/>
              </w:rPr>
            </w:pPr>
            <w:r>
              <w:rPr>
                <w:sz w:val="18"/>
              </w:rPr>
              <w:t>2,399%</w:t>
            </w:r>
          </w:p>
        </w:tc>
        <w:tc>
          <w:tcPr>
            <w:tcW w:w="1321" w:type="dxa"/>
            <w:tcBorders>
              <w:top w:val="nil"/>
              <w:bottom w:val="nil"/>
            </w:tcBorders>
          </w:tcPr>
          <w:p w:rsidR="00000000" w:rsidRDefault="00000000">
            <w:pPr>
              <w:spacing w:line="240" w:lineRule="auto"/>
              <w:ind w:right="317"/>
              <w:jc w:val="right"/>
              <w:rPr>
                <w:sz w:val="18"/>
              </w:rPr>
            </w:pPr>
            <w:r>
              <w:rPr>
                <w:sz w:val="18"/>
              </w:rPr>
              <w:t>249%</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lang w:val="fr-CH"/>
              </w:rPr>
            </w:pPr>
            <w:r>
              <w:rPr>
                <w:rFonts w:hint="eastAsia"/>
                <w:spacing w:val="0"/>
                <w:sz w:val="18"/>
                <w:lang w:val="fr-CH"/>
              </w:rPr>
              <w:t>基本购物篮</w:t>
            </w:r>
          </w:p>
        </w:tc>
        <w:tc>
          <w:tcPr>
            <w:tcW w:w="1240" w:type="dxa"/>
            <w:tcBorders>
              <w:top w:val="nil"/>
              <w:bottom w:val="nil"/>
            </w:tcBorders>
          </w:tcPr>
          <w:p w:rsidR="00000000" w:rsidRDefault="00000000">
            <w:pPr>
              <w:spacing w:line="240" w:lineRule="auto"/>
              <w:ind w:right="113"/>
              <w:jc w:val="right"/>
              <w:rPr>
                <w:sz w:val="18"/>
              </w:rPr>
            </w:pPr>
            <w:r>
              <w:rPr>
                <w:sz w:val="18"/>
              </w:rPr>
              <w:t>124,785</w:t>
            </w:r>
          </w:p>
        </w:tc>
        <w:tc>
          <w:tcPr>
            <w:tcW w:w="1170" w:type="dxa"/>
            <w:tcBorders>
              <w:top w:val="nil"/>
              <w:bottom w:val="nil"/>
            </w:tcBorders>
          </w:tcPr>
          <w:p w:rsidR="00000000" w:rsidRDefault="00000000">
            <w:pPr>
              <w:spacing w:line="240" w:lineRule="auto"/>
              <w:ind w:right="113"/>
              <w:jc w:val="right"/>
              <w:rPr>
                <w:sz w:val="18"/>
              </w:rPr>
            </w:pPr>
            <w:r>
              <w:rPr>
                <w:sz w:val="18"/>
              </w:rPr>
              <w:t>858,832</w:t>
            </w:r>
          </w:p>
        </w:tc>
        <w:tc>
          <w:tcPr>
            <w:tcW w:w="1170" w:type="dxa"/>
            <w:tcBorders>
              <w:top w:val="nil"/>
              <w:bottom w:val="nil"/>
            </w:tcBorders>
          </w:tcPr>
          <w:p w:rsidR="00000000" w:rsidRDefault="00000000">
            <w:pPr>
              <w:spacing w:line="240" w:lineRule="auto"/>
              <w:ind w:right="57"/>
              <w:jc w:val="right"/>
              <w:rPr>
                <w:sz w:val="18"/>
              </w:rPr>
            </w:pPr>
            <w:r>
              <w:rPr>
                <w:sz w:val="18"/>
              </w:rPr>
              <w:t>3,990,099</w:t>
            </w:r>
          </w:p>
        </w:tc>
        <w:tc>
          <w:tcPr>
            <w:tcW w:w="1430" w:type="dxa"/>
            <w:tcBorders>
              <w:top w:val="nil"/>
              <w:bottom w:val="nil"/>
            </w:tcBorders>
          </w:tcPr>
          <w:p w:rsidR="00000000" w:rsidRDefault="00000000">
            <w:pPr>
              <w:spacing w:line="240" w:lineRule="auto"/>
              <w:ind w:right="317"/>
              <w:jc w:val="right"/>
              <w:rPr>
                <w:sz w:val="18"/>
              </w:rPr>
            </w:pPr>
            <w:r>
              <w:rPr>
                <w:sz w:val="18"/>
              </w:rPr>
              <w:t>588%</w:t>
            </w:r>
          </w:p>
        </w:tc>
        <w:tc>
          <w:tcPr>
            <w:tcW w:w="1430" w:type="dxa"/>
            <w:tcBorders>
              <w:top w:val="nil"/>
              <w:bottom w:val="nil"/>
            </w:tcBorders>
          </w:tcPr>
          <w:p w:rsidR="00000000" w:rsidRDefault="00000000">
            <w:pPr>
              <w:spacing w:line="240" w:lineRule="auto"/>
              <w:ind w:right="317"/>
              <w:jc w:val="right"/>
              <w:rPr>
                <w:sz w:val="18"/>
              </w:rPr>
            </w:pPr>
            <w:r>
              <w:rPr>
                <w:sz w:val="18"/>
              </w:rPr>
              <w:t>3,098%</w:t>
            </w:r>
          </w:p>
        </w:tc>
        <w:tc>
          <w:tcPr>
            <w:tcW w:w="1321" w:type="dxa"/>
            <w:tcBorders>
              <w:top w:val="nil"/>
              <w:bottom w:val="nil"/>
            </w:tcBorders>
          </w:tcPr>
          <w:p w:rsidR="00000000" w:rsidRDefault="00000000">
            <w:pPr>
              <w:spacing w:line="240" w:lineRule="auto"/>
              <w:ind w:right="317"/>
              <w:jc w:val="right"/>
              <w:rPr>
                <w:sz w:val="18"/>
              </w:rPr>
            </w:pPr>
            <w:r>
              <w:rPr>
                <w:sz w:val="18"/>
              </w:rPr>
              <w:t>365%</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rPr>
            </w:pPr>
            <w:r>
              <w:rPr>
                <w:rFonts w:hint="eastAsia"/>
                <w:spacing w:val="0"/>
                <w:sz w:val="18"/>
              </w:rPr>
              <w:t>消费者价格指数</w:t>
            </w:r>
          </w:p>
        </w:tc>
        <w:tc>
          <w:tcPr>
            <w:tcW w:w="1240" w:type="dxa"/>
            <w:tcBorders>
              <w:top w:val="nil"/>
              <w:bottom w:val="nil"/>
            </w:tcBorders>
          </w:tcPr>
          <w:p w:rsidR="00000000" w:rsidRDefault="00000000">
            <w:pPr>
              <w:spacing w:line="240" w:lineRule="auto"/>
              <w:ind w:right="113"/>
              <w:jc w:val="right"/>
              <w:rPr>
                <w:sz w:val="18"/>
              </w:rPr>
            </w:pPr>
            <w:r>
              <w:rPr>
                <w:sz w:val="18"/>
              </w:rPr>
              <w:t>17.1</w:t>
            </w:r>
          </w:p>
        </w:tc>
        <w:tc>
          <w:tcPr>
            <w:tcW w:w="1170" w:type="dxa"/>
            <w:tcBorders>
              <w:top w:val="nil"/>
              <w:bottom w:val="nil"/>
            </w:tcBorders>
          </w:tcPr>
          <w:p w:rsidR="00000000" w:rsidRDefault="00000000">
            <w:pPr>
              <w:spacing w:line="240" w:lineRule="auto"/>
              <w:ind w:right="113"/>
              <w:jc w:val="right"/>
              <w:rPr>
                <w:sz w:val="18"/>
              </w:rPr>
            </w:pPr>
            <w:r>
              <w:rPr>
                <w:sz w:val="18"/>
              </w:rPr>
              <w:t>99.5</w:t>
            </w:r>
          </w:p>
        </w:tc>
        <w:tc>
          <w:tcPr>
            <w:tcW w:w="1170" w:type="dxa"/>
            <w:tcBorders>
              <w:top w:val="nil"/>
              <w:bottom w:val="nil"/>
            </w:tcBorders>
          </w:tcPr>
          <w:p w:rsidR="00000000" w:rsidRDefault="00000000">
            <w:pPr>
              <w:spacing w:line="240" w:lineRule="auto"/>
              <w:ind w:right="57"/>
              <w:jc w:val="right"/>
              <w:rPr>
                <w:sz w:val="18"/>
              </w:rPr>
            </w:pPr>
            <w:r>
              <w:rPr>
                <w:sz w:val="18"/>
              </w:rPr>
              <w:t>448.7</w:t>
            </w:r>
          </w:p>
        </w:tc>
        <w:tc>
          <w:tcPr>
            <w:tcW w:w="1430" w:type="dxa"/>
            <w:tcBorders>
              <w:top w:val="nil"/>
              <w:bottom w:val="nil"/>
            </w:tcBorders>
          </w:tcPr>
          <w:p w:rsidR="00000000" w:rsidRDefault="00000000">
            <w:pPr>
              <w:spacing w:line="240" w:lineRule="auto"/>
              <w:ind w:right="317"/>
              <w:jc w:val="right"/>
              <w:rPr>
                <w:sz w:val="18"/>
              </w:rPr>
            </w:pPr>
            <w:r>
              <w:rPr>
                <w:sz w:val="18"/>
              </w:rPr>
              <w:t>4.8</w:t>
            </w:r>
          </w:p>
        </w:tc>
        <w:tc>
          <w:tcPr>
            <w:tcW w:w="1430" w:type="dxa"/>
            <w:tcBorders>
              <w:top w:val="nil"/>
              <w:bottom w:val="nil"/>
            </w:tcBorders>
          </w:tcPr>
          <w:p w:rsidR="00000000" w:rsidRDefault="00000000">
            <w:pPr>
              <w:spacing w:line="240" w:lineRule="auto"/>
              <w:ind w:right="317"/>
              <w:jc w:val="right"/>
              <w:rPr>
                <w:sz w:val="18"/>
              </w:rPr>
            </w:pPr>
            <w:r>
              <w:rPr>
                <w:sz w:val="18"/>
              </w:rPr>
              <w:t>25.2</w:t>
            </w:r>
          </w:p>
        </w:tc>
        <w:tc>
          <w:tcPr>
            <w:tcW w:w="1321" w:type="dxa"/>
            <w:tcBorders>
              <w:top w:val="nil"/>
              <w:bottom w:val="nil"/>
            </w:tcBorders>
          </w:tcPr>
          <w:p w:rsidR="00000000" w:rsidRDefault="00000000">
            <w:pPr>
              <w:spacing w:line="240" w:lineRule="auto"/>
              <w:ind w:right="317"/>
              <w:jc w:val="right"/>
              <w:rPr>
                <w:sz w:val="18"/>
              </w:rPr>
            </w:pPr>
            <w:r>
              <w:rPr>
                <w:sz w:val="18"/>
              </w:rPr>
              <w:t>3.5</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rPr>
            </w:pPr>
            <w:r>
              <w:rPr>
                <w:rFonts w:hint="eastAsia"/>
                <w:spacing w:val="0"/>
                <w:sz w:val="18"/>
              </w:rPr>
              <w:t>可用家庭收入</w:t>
            </w:r>
          </w:p>
        </w:tc>
        <w:tc>
          <w:tcPr>
            <w:tcW w:w="1240" w:type="dxa"/>
            <w:tcBorders>
              <w:top w:val="nil"/>
              <w:bottom w:val="nil"/>
            </w:tcBorders>
          </w:tcPr>
          <w:p w:rsidR="00000000" w:rsidRDefault="00000000">
            <w:pPr>
              <w:spacing w:line="240" w:lineRule="auto"/>
              <w:ind w:right="113"/>
              <w:jc w:val="right"/>
              <w:rPr>
                <w:sz w:val="18"/>
              </w:rPr>
            </w:pPr>
            <w:r>
              <w:rPr>
                <w:sz w:val="18"/>
              </w:rPr>
              <w:t>79,534</w:t>
            </w:r>
          </w:p>
        </w:tc>
        <w:tc>
          <w:tcPr>
            <w:tcW w:w="1170" w:type="dxa"/>
            <w:tcBorders>
              <w:top w:val="nil"/>
              <w:bottom w:val="nil"/>
            </w:tcBorders>
          </w:tcPr>
          <w:p w:rsidR="00000000" w:rsidRDefault="00000000">
            <w:pPr>
              <w:spacing w:line="240" w:lineRule="auto"/>
              <w:ind w:right="113"/>
              <w:jc w:val="right"/>
              <w:rPr>
                <w:sz w:val="18"/>
              </w:rPr>
            </w:pPr>
            <w:r>
              <w:rPr>
                <w:sz w:val="18"/>
              </w:rPr>
              <w:t>569,403</w:t>
            </w:r>
          </w:p>
        </w:tc>
        <w:tc>
          <w:tcPr>
            <w:tcW w:w="1170" w:type="dxa"/>
            <w:tcBorders>
              <w:top w:val="nil"/>
              <w:bottom w:val="nil"/>
            </w:tcBorders>
          </w:tcPr>
          <w:p w:rsidR="00000000" w:rsidRDefault="00000000">
            <w:pPr>
              <w:spacing w:line="240" w:lineRule="auto"/>
              <w:ind w:right="57"/>
              <w:jc w:val="right"/>
              <w:rPr>
                <w:sz w:val="18"/>
              </w:rPr>
            </w:pPr>
            <w:r>
              <w:rPr>
                <w:sz w:val="18"/>
              </w:rPr>
              <w:t>1,987,210</w:t>
            </w:r>
          </w:p>
        </w:tc>
        <w:tc>
          <w:tcPr>
            <w:tcW w:w="1430" w:type="dxa"/>
            <w:tcBorders>
              <w:top w:val="nil"/>
              <w:bottom w:val="nil"/>
            </w:tcBorders>
          </w:tcPr>
          <w:p w:rsidR="00000000" w:rsidRDefault="00000000">
            <w:pPr>
              <w:spacing w:line="240" w:lineRule="auto"/>
              <w:ind w:right="317"/>
              <w:jc w:val="right"/>
              <w:rPr>
                <w:sz w:val="18"/>
              </w:rPr>
            </w:pPr>
            <w:r>
              <w:rPr>
                <w:sz w:val="18"/>
              </w:rPr>
              <w:t>616%</w:t>
            </w:r>
          </w:p>
        </w:tc>
        <w:tc>
          <w:tcPr>
            <w:tcW w:w="1430" w:type="dxa"/>
            <w:tcBorders>
              <w:top w:val="nil"/>
              <w:bottom w:val="nil"/>
            </w:tcBorders>
          </w:tcPr>
          <w:p w:rsidR="00000000" w:rsidRDefault="00000000">
            <w:pPr>
              <w:spacing w:line="240" w:lineRule="auto"/>
              <w:ind w:right="317"/>
              <w:jc w:val="right"/>
              <w:rPr>
                <w:sz w:val="18"/>
              </w:rPr>
            </w:pPr>
            <w:r>
              <w:rPr>
                <w:sz w:val="18"/>
              </w:rPr>
              <w:t>2,399%</w:t>
            </w:r>
          </w:p>
        </w:tc>
        <w:tc>
          <w:tcPr>
            <w:tcW w:w="1321" w:type="dxa"/>
            <w:tcBorders>
              <w:top w:val="nil"/>
              <w:bottom w:val="nil"/>
            </w:tcBorders>
          </w:tcPr>
          <w:p w:rsidR="00000000" w:rsidRDefault="00000000">
            <w:pPr>
              <w:spacing w:line="240" w:lineRule="auto"/>
              <w:ind w:right="317"/>
              <w:jc w:val="right"/>
              <w:rPr>
                <w:sz w:val="18"/>
              </w:rPr>
            </w:pPr>
            <w:r>
              <w:rPr>
                <w:sz w:val="18"/>
              </w:rPr>
              <w:t>249%</w:t>
            </w:r>
          </w:p>
        </w:tc>
      </w:tr>
      <w:tr w:rsidR="00000000">
        <w:tblPrEx>
          <w:tblCellMar>
            <w:top w:w="0" w:type="dxa"/>
          </w:tblCellMar>
        </w:tblPrEx>
        <w:tc>
          <w:tcPr>
            <w:tcW w:w="1560" w:type="dxa"/>
            <w:tcBorders>
              <w:top w:val="nil"/>
              <w:bottom w:val="nil"/>
            </w:tcBorders>
          </w:tcPr>
          <w:p w:rsidR="00000000" w:rsidRDefault="00000000">
            <w:pPr>
              <w:spacing w:line="240" w:lineRule="auto"/>
              <w:rPr>
                <w:rFonts w:hint="eastAsia"/>
                <w:spacing w:val="0"/>
                <w:sz w:val="18"/>
              </w:rPr>
            </w:pPr>
            <w:r>
              <w:rPr>
                <w:rFonts w:hint="eastAsia"/>
                <w:spacing w:val="0"/>
                <w:sz w:val="18"/>
              </w:rPr>
              <w:t>实际收入总额</w:t>
            </w:r>
          </w:p>
        </w:tc>
        <w:tc>
          <w:tcPr>
            <w:tcW w:w="1240" w:type="dxa"/>
            <w:tcBorders>
              <w:top w:val="nil"/>
              <w:bottom w:val="nil"/>
            </w:tcBorders>
          </w:tcPr>
          <w:p w:rsidR="00000000" w:rsidRDefault="00000000">
            <w:pPr>
              <w:spacing w:line="240" w:lineRule="auto"/>
              <w:ind w:right="113"/>
              <w:jc w:val="right"/>
              <w:rPr>
                <w:sz w:val="18"/>
              </w:rPr>
            </w:pPr>
            <w:r>
              <w:rPr>
                <w:sz w:val="18"/>
              </w:rPr>
              <w:t>288,889</w:t>
            </w:r>
          </w:p>
        </w:tc>
        <w:tc>
          <w:tcPr>
            <w:tcW w:w="1170" w:type="dxa"/>
            <w:tcBorders>
              <w:top w:val="nil"/>
              <w:bottom w:val="nil"/>
            </w:tcBorders>
          </w:tcPr>
          <w:p w:rsidR="00000000" w:rsidRDefault="00000000">
            <w:pPr>
              <w:spacing w:line="240" w:lineRule="auto"/>
              <w:ind w:right="113"/>
              <w:jc w:val="right"/>
              <w:rPr>
                <w:sz w:val="18"/>
              </w:rPr>
            </w:pPr>
            <w:r>
              <w:rPr>
                <w:sz w:val="18"/>
              </w:rPr>
              <w:t>355,444</w:t>
            </w:r>
          </w:p>
        </w:tc>
        <w:tc>
          <w:tcPr>
            <w:tcW w:w="1170" w:type="dxa"/>
            <w:tcBorders>
              <w:top w:val="nil"/>
              <w:bottom w:val="nil"/>
            </w:tcBorders>
          </w:tcPr>
          <w:p w:rsidR="00000000" w:rsidRDefault="00000000">
            <w:pPr>
              <w:spacing w:line="240" w:lineRule="auto"/>
              <w:ind w:right="57"/>
              <w:jc w:val="right"/>
              <w:rPr>
                <w:sz w:val="18"/>
              </w:rPr>
            </w:pPr>
            <w:r>
              <w:rPr>
                <w:sz w:val="18"/>
              </w:rPr>
              <w:t>275,082</w:t>
            </w:r>
          </w:p>
        </w:tc>
        <w:tc>
          <w:tcPr>
            <w:tcW w:w="1430" w:type="dxa"/>
            <w:tcBorders>
              <w:top w:val="nil"/>
              <w:bottom w:val="nil"/>
            </w:tcBorders>
          </w:tcPr>
          <w:p w:rsidR="00000000" w:rsidRDefault="00000000">
            <w:pPr>
              <w:spacing w:line="240" w:lineRule="auto"/>
              <w:ind w:right="317"/>
              <w:jc w:val="right"/>
              <w:rPr>
                <w:sz w:val="18"/>
              </w:rPr>
            </w:pPr>
            <w:r>
              <w:rPr>
                <w:sz w:val="18"/>
              </w:rPr>
              <w:t>23%</w:t>
            </w:r>
          </w:p>
        </w:tc>
        <w:tc>
          <w:tcPr>
            <w:tcW w:w="1430" w:type="dxa"/>
            <w:tcBorders>
              <w:top w:val="nil"/>
              <w:bottom w:val="nil"/>
            </w:tcBorders>
          </w:tcPr>
          <w:p w:rsidR="00000000" w:rsidRDefault="00000000">
            <w:pPr>
              <w:spacing w:line="240" w:lineRule="auto"/>
              <w:ind w:right="317"/>
              <w:jc w:val="right"/>
              <w:rPr>
                <w:sz w:val="18"/>
              </w:rPr>
            </w:pPr>
            <w:r>
              <w:rPr>
                <w:sz w:val="18"/>
              </w:rPr>
              <w:t>-5%</w:t>
            </w:r>
          </w:p>
        </w:tc>
        <w:tc>
          <w:tcPr>
            <w:tcW w:w="1321" w:type="dxa"/>
            <w:tcBorders>
              <w:top w:val="nil"/>
              <w:bottom w:val="nil"/>
            </w:tcBorders>
          </w:tcPr>
          <w:p w:rsidR="00000000" w:rsidRDefault="00000000">
            <w:pPr>
              <w:spacing w:line="240" w:lineRule="auto"/>
              <w:ind w:right="317"/>
              <w:jc w:val="right"/>
              <w:rPr>
                <w:sz w:val="18"/>
              </w:rPr>
            </w:pPr>
            <w:r>
              <w:rPr>
                <w:sz w:val="18"/>
              </w:rPr>
              <w:t>-23%</w:t>
            </w:r>
          </w:p>
        </w:tc>
      </w:tr>
      <w:tr w:rsidR="00000000">
        <w:tblPrEx>
          <w:tblCellMar>
            <w:top w:w="0" w:type="dxa"/>
          </w:tblCellMar>
        </w:tblPrEx>
        <w:tc>
          <w:tcPr>
            <w:tcW w:w="1560" w:type="dxa"/>
            <w:tcBorders>
              <w:top w:val="nil"/>
            </w:tcBorders>
          </w:tcPr>
          <w:p w:rsidR="00000000" w:rsidRDefault="00000000">
            <w:pPr>
              <w:spacing w:line="240" w:lineRule="auto"/>
              <w:rPr>
                <w:rFonts w:hint="eastAsia"/>
                <w:spacing w:val="0"/>
                <w:sz w:val="18"/>
              </w:rPr>
            </w:pPr>
            <w:r>
              <w:rPr>
                <w:rFonts w:hint="eastAsia"/>
                <w:spacing w:val="0"/>
                <w:sz w:val="18"/>
                <w:lang w:val="fr-CH"/>
              </w:rPr>
              <w:t>基本购物篮资金</w:t>
            </w:r>
          </w:p>
        </w:tc>
        <w:tc>
          <w:tcPr>
            <w:tcW w:w="1240" w:type="dxa"/>
            <w:tcBorders>
              <w:top w:val="nil"/>
            </w:tcBorders>
          </w:tcPr>
          <w:p w:rsidR="00000000" w:rsidRDefault="00000000">
            <w:pPr>
              <w:spacing w:line="240" w:lineRule="auto"/>
              <w:ind w:right="113"/>
              <w:jc w:val="right"/>
              <w:rPr>
                <w:sz w:val="18"/>
              </w:rPr>
            </w:pPr>
            <w:r>
              <w:rPr>
                <w:sz w:val="18"/>
              </w:rPr>
              <w:t>63.7%</w:t>
            </w:r>
          </w:p>
        </w:tc>
        <w:tc>
          <w:tcPr>
            <w:tcW w:w="1170" w:type="dxa"/>
            <w:tcBorders>
              <w:top w:val="nil"/>
            </w:tcBorders>
          </w:tcPr>
          <w:p w:rsidR="00000000" w:rsidRDefault="00000000">
            <w:pPr>
              <w:spacing w:line="240" w:lineRule="auto"/>
              <w:ind w:right="113"/>
              <w:jc w:val="right"/>
              <w:rPr>
                <w:sz w:val="18"/>
              </w:rPr>
            </w:pPr>
            <w:r>
              <w:rPr>
                <w:sz w:val="18"/>
              </w:rPr>
              <w:t>66.3%</w:t>
            </w:r>
          </w:p>
        </w:tc>
        <w:tc>
          <w:tcPr>
            <w:tcW w:w="1170" w:type="dxa"/>
            <w:tcBorders>
              <w:top w:val="nil"/>
            </w:tcBorders>
          </w:tcPr>
          <w:p w:rsidR="00000000" w:rsidRDefault="00000000">
            <w:pPr>
              <w:spacing w:line="240" w:lineRule="auto"/>
              <w:ind w:right="57"/>
              <w:jc w:val="right"/>
              <w:rPr>
                <w:sz w:val="18"/>
              </w:rPr>
            </w:pPr>
            <w:r>
              <w:rPr>
                <w:sz w:val="18"/>
              </w:rPr>
              <w:t>49.8%</w:t>
            </w:r>
          </w:p>
        </w:tc>
        <w:tc>
          <w:tcPr>
            <w:tcW w:w="1430" w:type="dxa"/>
            <w:tcBorders>
              <w:top w:val="nil"/>
            </w:tcBorders>
          </w:tcPr>
          <w:p w:rsidR="00000000" w:rsidRDefault="00000000">
            <w:pPr>
              <w:spacing w:line="240" w:lineRule="auto"/>
              <w:ind w:right="317"/>
              <w:jc w:val="right"/>
              <w:rPr>
                <w:sz w:val="18"/>
              </w:rPr>
            </w:pPr>
            <w:r>
              <w:rPr>
                <w:sz w:val="18"/>
              </w:rPr>
              <w:t>4%</w:t>
            </w:r>
          </w:p>
        </w:tc>
        <w:tc>
          <w:tcPr>
            <w:tcW w:w="1430" w:type="dxa"/>
            <w:tcBorders>
              <w:top w:val="nil"/>
            </w:tcBorders>
          </w:tcPr>
          <w:p w:rsidR="00000000" w:rsidRDefault="00000000">
            <w:pPr>
              <w:spacing w:line="240" w:lineRule="auto"/>
              <w:ind w:right="317"/>
              <w:jc w:val="right"/>
              <w:rPr>
                <w:sz w:val="18"/>
              </w:rPr>
            </w:pPr>
            <w:r>
              <w:rPr>
                <w:sz w:val="18"/>
              </w:rPr>
              <w:t>-21.9%</w:t>
            </w:r>
          </w:p>
        </w:tc>
        <w:tc>
          <w:tcPr>
            <w:tcW w:w="1321" w:type="dxa"/>
            <w:tcBorders>
              <w:top w:val="nil"/>
            </w:tcBorders>
          </w:tcPr>
          <w:p w:rsidR="00000000" w:rsidRDefault="00000000">
            <w:pPr>
              <w:spacing w:line="240" w:lineRule="auto"/>
              <w:ind w:right="317"/>
              <w:jc w:val="right"/>
              <w:rPr>
                <w:sz w:val="18"/>
              </w:rPr>
            </w:pPr>
            <w:r>
              <w:rPr>
                <w:sz w:val="18"/>
              </w:rPr>
              <w:t>-24.9%</w:t>
            </w:r>
          </w:p>
        </w:tc>
      </w:tr>
    </w:tbl>
    <w:p w:rsidR="00000000" w:rsidRDefault="00000000"/>
    <w:p w:rsidR="00000000" w:rsidRDefault="00000000">
      <w:pPr>
        <w:pStyle w:val="EndnoteText"/>
        <w:rPr>
          <w:rFonts w:hint="eastAsia"/>
          <w:sz w:val="22"/>
          <w:lang w:val="fr-CH"/>
        </w:rPr>
      </w:pPr>
      <w:r>
        <w:rPr>
          <w:rFonts w:hint="eastAsia"/>
          <w:sz w:val="22"/>
          <w:u w:val="single"/>
          <w:lang w:val="fr-CH"/>
        </w:rPr>
        <w:t>资料来源</w:t>
      </w:r>
      <w:r>
        <w:rPr>
          <w:sz w:val="22"/>
          <w:lang w:val="fr-CH"/>
        </w:rPr>
        <w:t> </w:t>
      </w:r>
      <w:r>
        <w:rPr>
          <w:rFonts w:hint="eastAsia"/>
          <w:sz w:val="22"/>
          <w:lang w:val="fr-CH"/>
        </w:rPr>
        <w:t>：关于城市消费物价指数、通货膨胀和基本家庭购物篮的数据</w:t>
      </w:r>
      <w:r>
        <w:rPr>
          <w:sz w:val="22"/>
          <w:lang w:val="fr-CH"/>
        </w:rPr>
        <w:t> </w:t>
      </w:r>
      <w:r>
        <w:rPr>
          <w:rFonts w:hint="eastAsia"/>
          <w:sz w:val="22"/>
          <w:lang w:val="fr-CH"/>
        </w:rPr>
        <w:t>：来自国家统计所；关于工资的数据</w:t>
      </w:r>
      <w:r>
        <w:rPr>
          <w:sz w:val="22"/>
          <w:lang w:val="fr-CH"/>
        </w:rPr>
        <w:t> </w:t>
      </w:r>
      <w:r>
        <w:rPr>
          <w:rFonts w:hint="eastAsia"/>
          <w:sz w:val="22"/>
          <w:lang w:val="fr-CH"/>
        </w:rPr>
        <w:t>：来自劳动与人力资源部。</w:t>
      </w:r>
    </w:p>
    <w:p w:rsidR="00000000" w:rsidRDefault="00000000">
      <w:pPr>
        <w:pStyle w:val="EndnoteText"/>
        <w:rPr>
          <w:rFonts w:hint="eastAsia"/>
          <w:sz w:val="22"/>
          <w:lang w:val="fr-CH"/>
        </w:rPr>
      </w:pPr>
      <w:r>
        <w:rPr>
          <w:rFonts w:hint="eastAsia"/>
          <w:sz w:val="22"/>
          <w:u w:val="single"/>
          <w:lang w:val="fr-CH"/>
        </w:rPr>
        <w:t>说明</w:t>
      </w:r>
      <w:r>
        <w:rPr>
          <w:sz w:val="22"/>
          <w:lang w:val="fr-CH"/>
        </w:rPr>
        <w:t> </w:t>
      </w:r>
      <w:r>
        <w:rPr>
          <w:rFonts w:hint="eastAsia"/>
          <w:sz w:val="22"/>
          <w:lang w:val="fr-CH"/>
        </w:rPr>
        <w:t>：一个五口之家的基本购物篮费用。每月可用家庭收入根据每户有</w:t>
      </w:r>
      <w:r>
        <w:rPr>
          <w:rFonts w:hint="eastAsia"/>
          <w:sz w:val="22"/>
          <w:lang w:val="fr-CH"/>
        </w:rPr>
        <w:t>1.61</w:t>
      </w:r>
      <w:r>
        <w:rPr>
          <w:rFonts w:hint="eastAsia"/>
          <w:sz w:val="22"/>
          <w:lang w:val="fr-CH"/>
        </w:rPr>
        <w:t>个成员挣基本生活工资。消费物价指数</w:t>
      </w:r>
      <w:r>
        <w:rPr>
          <w:sz w:val="22"/>
          <w:lang w:val="fr-CH"/>
        </w:rPr>
        <w:t> </w:t>
      </w:r>
      <w:r>
        <w:rPr>
          <w:rFonts w:hint="eastAsia"/>
          <w:sz w:val="22"/>
          <w:lang w:val="fr-CH"/>
        </w:rPr>
        <w:t>：城市消费物价指数</w:t>
      </w:r>
      <w:r>
        <w:rPr>
          <w:rFonts w:hint="eastAsia"/>
          <w:sz w:val="22"/>
          <w:lang w:val="fr-CH"/>
        </w:rPr>
        <w:t>(</w:t>
      </w:r>
      <w:r>
        <w:rPr>
          <w:rFonts w:hint="eastAsia"/>
          <w:sz w:val="22"/>
          <w:lang w:val="fr-CH"/>
        </w:rPr>
        <w:t>国家统计所</w:t>
      </w:r>
      <w:r>
        <w:rPr>
          <w:rFonts w:hint="eastAsia"/>
          <w:sz w:val="22"/>
          <w:lang w:val="fr-CH"/>
        </w:rPr>
        <w:t>)</w:t>
      </w:r>
      <w:r>
        <w:rPr>
          <w:rFonts w:hint="eastAsia"/>
          <w:sz w:val="22"/>
          <w:lang w:val="fr-CH"/>
        </w:rPr>
        <w:t>。基本购物篮资金来源</w:t>
      </w:r>
      <w:r>
        <w:rPr>
          <w:sz w:val="22"/>
          <w:lang w:val="fr-CH"/>
        </w:rPr>
        <w:t> </w:t>
      </w:r>
      <w:r>
        <w:rPr>
          <w:rFonts w:hint="eastAsia"/>
          <w:sz w:val="22"/>
          <w:lang w:val="fr-CH"/>
        </w:rPr>
        <w:t>：家庭收入除以基本家庭购物篮的费用。</w:t>
      </w:r>
    </w:p>
    <w:p w:rsidR="00000000" w:rsidRDefault="00000000">
      <w:pPr>
        <w:rPr>
          <w:rFonts w:hint="eastAsia"/>
          <w:lang w:val="fr-CH"/>
        </w:rPr>
      </w:pPr>
    </w:p>
    <w:p w:rsidR="00000000" w:rsidRDefault="00000000">
      <w:pPr>
        <w:rPr>
          <w:rFonts w:hint="eastAsia"/>
          <w:lang w:val="fr-CH"/>
        </w:rPr>
      </w:pPr>
      <w:r>
        <w:rPr>
          <w:rFonts w:hint="eastAsia"/>
          <w:lang w:val="fr-CH"/>
        </w:rPr>
        <w:tab/>
        <w:t xml:space="preserve">104.  </w:t>
      </w:r>
      <w:r>
        <w:rPr>
          <w:rFonts w:hint="eastAsia"/>
          <w:lang w:val="fr-CH"/>
        </w:rPr>
        <w:t>一般的最低生活工资以及一般工人收入的其他法定组成部分的趋势表明，在</w:t>
      </w:r>
      <w:r>
        <w:rPr>
          <w:rFonts w:hint="eastAsia"/>
          <w:lang w:val="fr-CH"/>
        </w:rPr>
        <w:t>1995</w:t>
      </w:r>
      <w:r>
        <w:rPr>
          <w:rFonts w:hint="eastAsia"/>
          <w:lang w:val="fr-CH"/>
        </w:rPr>
        <w:t>年</w:t>
      </w:r>
      <w:r>
        <w:rPr>
          <w:rFonts w:hint="eastAsia"/>
          <w:lang w:val="fr-CH"/>
        </w:rPr>
        <w:t>1</w:t>
      </w:r>
      <w:r>
        <w:rPr>
          <w:rFonts w:hint="eastAsia"/>
          <w:lang w:val="fr-CH"/>
        </w:rPr>
        <w:t>月至</w:t>
      </w:r>
      <w:r>
        <w:rPr>
          <w:rFonts w:hint="eastAsia"/>
          <w:lang w:val="fr-CH"/>
        </w:rPr>
        <w:t>1999</w:t>
      </w:r>
      <w:r>
        <w:rPr>
          <w:rFonts w:hint="eastAsia"/>
          <w:lang w:val="fr-CH"/>
        </w:rPr>
        <w:t>年</w:t>
      </w:r>
      <w:r>
        <w:rPr>
          <w:rFonts w:hint="eastAsia"/>
          <w:lang w:val="fr-CH"/>
        </w:rPr>
        <w:t>12</w:t>
      </w:r>
      <w:r>
        <w:rPr>
          <w:rFonts w:hint="eastAsia"/>
          <w:lang w:val="fr-CH"/>
        </w:rPr>
        <w:t>月期间，总的变化幅度分别为</w:t>
      </w:r>
      <w:r>
        <w:rPr>
          <w:rFonts w:hint="eastAsia"/>
          <w:lang w:val="fr-CH"/>
        </w:rPr>
        <w:t>33%</w:t>
      </w:r>
      <w:r>
        <w:rPr>
          <w:rFonts w:hint="eastAsia"/>
          <w:lang w:val="fr-CH"/>
        </w:rPr>
        <w:t>和</w:t>
      </w:r>
      <w:r>
        <w:rPr>
          <w:rFonts w:hint="eastAsia"/>
          <w:lang w:val="fr-CH"/>
        </w:rPr>
        <w:t>249%</w:t>
      </w:r>
      <w:r>
        <w:rPr>
          <w:rFonts w:hint="eastAsia"/>
          <w:lang w:val="fr-CH"/>
        </w:rPr>
        <w:t>。消费物价指数增长</w:t>
      </w:r>
      <w:r>
        <w:rPr>
          <w:rFonts w:hint="eastAsia"/>
          <w:lang w:val="fr-CH"/>
        </w:rPr>
        <w:t>351%</w:t>
      </w:r>
      <w:r>
        <w:rPr>
          <w:rFonts w:hint="eastAsia"/>
          <w:lang w:val="fr-CH"/>
        </w:rPr>
        <w:t>，即高于名义收入的百分比增长，这意味着实际收入下降了约</w:t>
      </w:r>
      <w:r>
        <w:rPr>
          <w:rFonts w:hint="eastAsia"/>
          <w:lang w:val="fr-CH"/>
        </w:rPr>
        <w:t>23%</w:t>
      </w:r>
      <w:r>
        <w:rPr>
          <w:rFonts w:hint="eastAsia"/>
          <w:lang w:val="fr-CH"/>
        </w:rPr>
        <w:t>。</w:t>
      </w:r>
    </w:p>
    <w:p w:rsidR="00000000" w:rsidRDefault="00000000">
      <w:pPr>
        <w:rPr>
          <w:rFonts w:hint="eastAsia"/>
          <w:lang w:val="fr-CH"/>
        </w:rPr>
      </w:pPr>
      <w:r>
        <w:rPr>
          <w:rFonts w:hint="eastAsia"/>
          <w:lang w:val="fr-CH"/>
        </w:rPr>
        <w:tab/>
        <w:t xml:space="preserve">105.  </w:t>
      </w:r>
      <w:r>
        <w:rPr>
          <w:rFonts w:hint="eastAsia"/>
          <w:lang w:val="fr-CH"/>
        </w:rPr>
        <w:t>基本家庭购物篮以及贫困家庭购物篮在确定工人及其家庭的基本需求方面，是非常重要的工具。国家统计所每月根据五口之家的典型家庭进行调查，同时考虑到食品、住房、穿衣以及其他杂项。虽然第一种情况是观察中下收入的城市家庭最低需求，但第二类情况则评估最为贫困人口群体的最低生存需求。</w:t>
      </w:r>
    </w:p>
    <w:p w:rsidR="00000000" w:rsidRDefault="00000000">
      <w:pPr>
        <w:rPr>
          <w:rFonts w:hint="eastAsia"/>
          <w:lang w:val="fr-CH"/>
        </w:rPr>
      </w:pPr>
      <w:r>
        <w:rPr>
          <w:rFonts w:hint="eastAsia"/>
          <w:lang w:val="fr-CH"/>
        </w:rPr>
        <w:tab/>
        <w:t xml:space="preserve">106.  </w:t>
      </w:r>
      <w:r>
        <w:rPr>
          <w:rFonts w:hint="eastAsia"/>
          <w:lang w:val="fr-CH"/>
        </w:rPr>
        <w:t>家庭的收入是根据每户有</w:t>
      </w:r>
      <w:r>
        <w:rPr>
          <w:rFonts w:hint="eastAsia"/>
          <w:lang w:val="fr-CH"/>
        </w:rPr>
        <w:t>1.61</w:t>
      </w:r>
      <w:r>
        <w:rPr>
          <w:rFonts w:hint="eastAsia"/>
          <w:lang w:val="fr-CH"/>
        </w:rPr>
        <w:t>个人挣最低生活工资为基础来计算的。将这一数据与相关家庭购物篮的费用相比较，便可以确定家庭消费的保障或短缺情况。</w:t>
      </w:r>
    </w:p>
    <w:p w:rsidR="00000000" w:rsidRDefault="00000000">
      <w:pPr>
        <w:spacing w:after="320"/>
        <w:rPr>
          <w:rFonts w:hint="eastAsia"/>
          <w:lang w:val="fr-CH"/>
        </w:rPr>
      </w:pPr>
      <w:r>
        <w:rPr>
          <w:rFonts w:hint="eastAsia"/>
          <w:lang w:val="fr-CH"/>
        </w:rPr>
        <w:tab/>
        <w:t xml:space="preserve">107.  </w:t>
      </w:r>
      <w:r>
        <w:rPr>
          <w:rFonts w:hint="eastAsia"/>
          <w:lang w:val="fr-CH"/>
        </w:rPr>
        <w:t>购物篮费用方面的趋势如下</w:t>
      </w:r>
      <w:r>
        <w:rPr>
          <w:rFonts w:hint="eastAsia"/>
          <w:lang w:val="fr-CH"/>
        </w:rPr>
        <w:t> </w:t>
      </w:r>
      <w:r>
        <w:rPr>
          <w:rFonts w:hint="eastAsia"/>
          <w:lang w:val="fr-CH"/>
        </w:rPr>
        <w:t>：</w:t>
      </w:r>
      <w:r>
        <w:rPr>
          <w:rFonts w:hint="eastAsia"/>
          <w:lang w:val="fr-CH"/>
        </w:rPr>
        <w:t>1995</w:t>
      </w:r>
      <w:r>
        <w:rPr>
          <w:rFonts w:hint="eastAsia"/>
          <w:lang w:val="fr-CH"/>
        </w:rPr>
        <w:t>年</w:t>
      </w:r>
      <w:r>
        <w:rPr>
          <w:rFonts w:hint="eastAsia"/>
          <w:lang w:val="fr-CH"/>
        </w:rPr>
        <w:t>1</w:t>
      </w:r>
      <w:r>
        <w:rPr>
          <w:rFonts w:hint="eastAsia"/>
          <w:lang w:val="fr-CH"/>
        </w:rPr>
        <w:t>月，购物篮费用价值为</w:t>
      </w:r>
      <w:r>
        <w:rPr>
          <w:rFonts w:hint="eastAsia"/>
          <w:lang w:val="fr-CH"/>
        </w:rPr>
        <w:t>858,832</w:t>
      </w:r>
      <w:r>
        <w:rPr>
          <w:rFonts w:hint="eastAsia"/>
          <w:lang w:val="fr-CH"/>
        </w:rPr>
        <w:t>苏克雷</w:t>
      </w:r>
      <w:r>
        <w:rPr>
          <w:rFonts w:hint="eastAsia"/>
          <w:lang w:val="fr-CH"/>
        </w:rPr>
        <w:t> </w:t>
      </w:r>
      <w:r>
        <w:rPr>
          <w:rFonts w:hint="eastAsia"/>
          <w:lang w:val="fr-CH"/>
        </w:rPr>
        <w:t>；到</w:t>
      </w:r>
      <w:r>
        <w:rPr>
          <w:rFonts w:hint="eastAsia"/>
          <w:lang w:val="fr-CH"/>
        </w:rPr>
        <w:t>1999</w:t>
      </w:r>
      <w:r>
        <w:rPr>
          <w:rFonts w:hint="eastAsia"/>
          <w:lang w:val="fr-CH"/>
        </w:rPr>
        <w:t>年</w:t>
      </w:r>
      <w:r>
        <w:rPr>
          <w:rFonts w:hint="eastAsia"/>
          <w:lang w:val="fr-CH"/>
        </w:rPr>
        <w:t>12</w:t>
      </w:r>
      <w:r>
        <w:rPr>
          <w:rFonts w:hint="eastAsia"/>
          <w:lang w:val="fr-CH"/>
        </w:rPr>
        <w:t>月，该数字增长到</w:t>
      </w:r>
      <w:r>
        <w:rPr>
          <w:rFonts w:hint="eastAsia"/>
          <w:lang w:val="fr-CH"/>
        </w:rPr>
        <w:t>3,990,099</w:t>
      </w:r>
      <w:r>
        <w:rPr>
          <w:rFonts w:hint="eastAsia"/>
          <w:lang w:val="fr-CH"/>
        </w:rPr>
        <w:t>苏克雷，即全面增长了</w:t>
      </w:r>
      <w:r>
        <w:rPr>
          <w:rFonts w:hint="eastAsia"/>
          <w:lang w:val="fr-CH"/>
        </w:rPr>
        <w:t>365%</w:t>
      </w:r>
      <w:r>
        <w:rPr>
          <w:rFonts w:hint="eastAsia"/>
          <w:lang w:val="fr-CH"/>
        </w:rPr>
        <w:t>。因此，虽然</w:t>
      </w:r>
      <w:r>
        <w:rPr>
          <w:rFonts w:hint="eastAsia"/>
          <w:lang w:val="fr-CH"/>
        </w:rPr>
        <w:t>1995</w:t>
      </w:r>
      <w:r>
        <w:rPr>
          <w:rFonts w:hint="eastAsia"/>
          <w:lang w:val="fr-CH"/>
        </w:rPr>
        <w:t>年</w:t>
      </w:r>
      <w:r>
        <w:rPr>
          <w:rFonts w:hint="eastAsia"/>
          <w:lang w:val="fr-CH"/>
        </w:rPr>
        <w:t>1</w:t>
      </w:r>
      <w:r>
        <w:rPr>
          <w:rFonts w:hint="eastAsia"/>
          <w:lang w:val="fr-CH"/>
        </w:rPr>
        <w:t>月的保障水平为</w:t>
      </w:r>
      <w:r>
        <w:rPr>
          <w:rFonts w:hint="eastAsia"/>
          <w:lang w:val="fr-CH"/>
        </w:rPr>
        <w:t>66.3%</w:t>
      </w:r>
      <w:r>
        <w:rPr>
          <w:rFonts w:hint="eastAsia"/>
          <w:lang w:val="fr-CH"/>
        </w:rPr>
        <w:t>，到</w:t>
      </w:r>
      <w:r>
        <w:rPr>
          <w:rFonts w:hint="eastAsia"/>
          <w:lang w:val="fr-CH"/>
        </w:rPr>
        <w:t>1999</w:t>
      </w:r>
      <w:r>
        <w:rPr>
          <w:rFonts w:hint="eastAsia"/>
          <w:lang w:val="fr-CH"/>
        </w:rPr>
        <w:t>年</w:t>
      </w:r>
      <w:r>
        <w:rPr>
          <w:rFonts w:hint="eastAsia"/>
          <w:lang w:val="fr-CH"/>
        </w:rPr>
        <w:t>12</w:t>
      </w:r>
      <w:r>
        <w:rPr>
          <w:rFonts w:hint="eastAsia"/>
          <w:lang w:val="fr-CH"/>
        </w:rPr>
        <w:t>月则为</w:t>
      </w:r>
      <w:r>
        <w:rPr>
          <w:rFonts w:hint="eastAsia"/>
          <w:lang w:val="fr-CH"/>
        </w:rPr>
        <w:t>49.8%</w:t>
      </w:r>
      <w:r>
        <w:rPr>
          <w:rFonts w:hint="eastAsia"/>
          <w:lang w:val="fr-CH"/>
        </w:rPr>
        <w:t>，即在同一时期消费降低了</w:t>
      </w:r>
      <w:r>
        <w:rPr>
          <w:rFonts w:hint="eastAsia"/>
          <w:lang w:val="fr-CH"/>
        </w:rPr>
        <w:t>25%</w:t>
      </w:r>
      <w:r>
        <w:rPr>
          <w:rFonts w:hint="eastAsia"/>
          <w:lang w:val="fr-CH"/>
        </w:rPr>
        <w:t>。</w:t>
      </w:r>
    </w:p>
    <w:p w:rsidR="00000000" w:rsidRDefault="00000000">
      <w:pPr>
        <w:pStyle w:val="Heading4"/>
        <w:rPr>
          <w:rFonts w:eastAsia="KaiTi_GB2312" w:hint="eastAsia"/>
          <w:spacing w:val="0"/>
          <w:u w:val="none"/>
          <w:lang w:val="fr-CH"/>
        </w:rPr>
      </w:pPr>
      <w:r>
        <w:rPr>
          <w:rFonts w:eastAsia="KaiTi_GB2312" w:hint="eastAsia"/>
          <w:spacing w:val="0"/>
          <w:u w:val="none"/>
          <w:lang w:val="fr-CH"/>
        </w:rPr>
        <w:t>工资监测机制</w:t>
      </w:r>
    </w:p>
    <w:p w:rsidR="00000000" w:rsidRDefault="00000000">
      <w:pPr>
        <w:rPr>
          <w:rFonts w:hint="eastAsia"/>
          <w:lang w:val="fr-CH"/>
        </w:rPr>
      </w:pPr>
      <w:r>
        <w:rPr>
          <w:rFonts w:hint="eastAsia"/>
          <w:lang w:val="fr-CH"/>
        </w:rPr>
        <w:tab/>
        <w:t xml:space="preserve">108.  </w:t>
      </w:r>
      <w:r>
        <w:rPr>
          <w:rFonts w:hint="eastAsia"/>
          <w:lang w:val="fr-CH"/>
        </w:rPr>
        <w:t>工资和薪金是根据法律的规定予以制定的。然而，近年来由于预算方面的限制因素，很难监测实施情况。尽管如此，如果工人或雇主投诉，便会通过劳工检查员进行必要的调查。</w:t>
      </w:r>
    </w:p>
    <w:p w:rsidR="00000000" w:rsidRDefault="00000000">
      <w:pPr>
        <w:spacing w:after="320"/>
        <w:rPr>
          <w:rFonts w:hint="eastAsia"/>
          <w:lang w:val="fr-CH"/>
        </w:rPr>
      </w:pPr>
      <w:r>
        <w:rPr>
          <w:rFonts w:hint="eastAsia"/>
          <w:lang w:val="fr-CH"/>
        </w:rPr>
        <w:tab/>
        <w:t xml:space="preserve">109.  </w:t>
      </w:r>
      <w:r>
        <w:rPr>
          <w:rFonts w:hint="eastAsia"/>
          <w:lang w:val="fr-CH"/>
        </w:rPr>
        <w:t>监测工作是由劳动和人力资源部检查员进行的，他们负责确保并要求完全遵守法律规定。最低生活工资每</w:t>
      </w:r>
      <w:r>
        <w:rPr>
          <w:rFonts w:hint="eastAsia"/>
          <w:lang w:val="fr-CH"/>
        </w:rPr>
        <w:t>6</w:t>
      </w:r>
      <w:r>
        <w:rPr>
          <w:rFonts w:hint="eastAsia"/>
          <w:lang w:val="fr-CH"/>
        </w:rPr>
        <w:t>个月调整一次</w:t>
      </w:r>
      <w:r>
        <w:rPr>
          <w:rFonts w:hint="eastAsia"/>
          <w:lang w:val="fr-CH"/>
        </w:rPr>
        <w:t> </w:t>
      </w:r>
      <w:r>
        <w:rPr>
          <w:rFonts w:hint="eastAsia"/>
          <w:lang w:val="fr-CH"/>
        </w:rPr>
        <w:t>；工资、薪金和最低部门工资费率则每年调整一次。</w:t>
      </w:r>
    </w:p>
    <w:p w:rsidR="00000000" w:rsidRDefault="00000000">
      <w:pPr>
        <w:pStyle w:val="Heading4"/>
        <w:rPr>
          <w:rFonts w:eastAsia="KaiTi_GB2312" w:hint="eastAsia"/>
          <w:spacing w:val="0"/>
          <w:u w:val="none"/>
          <w:lang w:val="fr-CH"/>
        </w:rPr>
      </w:pPr>
      <w:r>
        <w:rPr>
          <w:rFonts w:eastAsia="KaiTi_GB2312" w:hint="eastAsia"/>
          <w:spacing w:val="0"/>
          <w:u w:val="none"/>
          <w:lang w:val="fr-CH"/>
        </w:rPr>
        <w:t>同工同酬</w:t>
      </w:r>
    </w:p>
    <w:p w:rsidR="00000000" w:rsidRDefault="00000000">
      <w:pPr>
        <w:rPr>
          <w:rFonts w:hint="eastAsia"/>
          <w:lang w:val="fr-CH"/>
        </w:rPr>
      </w:pPr>
      <w:r>
        <w:rPr>
          <w:rFonts w:hint="eastAsia"/>
          <w:lang w:val="fr-CH"/>
        </w:rPr>
        <w:tab/>
        <w:t xml:space="preserve">110.  </w:t>
      </w:r>
      <w:r>
        <w:rPr>
          <w:rFonts w:hint="eastAsia"/>
          <w:lang w:val="fr-CH"/>
        </w:rPr>
        <w:t>厄瓜多尔尚不适应解决不平等现象，但目前正在建立机制和技术手段来在经济的所有部门实行《宪法》以及国际文书所保障的各项权利，以将其作为现代化基础的社会资本之一部分。</w:t>
      </w:r>
    </w:p>
    <w:p w:rsidR="00000000" w:rsidRDefault="00000000">
      <w:pPr>
        <w:rPr>
          <w:rFonts w:hint="eastAsia"/>
          <w:lang w:val="fr-CH"/>
        </w:rPr>
      </w:pPr>
      <w:r>
        <w:rPr>
          <w:rFonts w:hint="eastAsia"/>
          <w:lang w:val="fr-CH"/>
        </w:rPr>
        <w:tab/>
        <w:t xml:space="preserve">111.  </w:t>
      </w:r>
      <w:r>
        <w:rPr>
          <w:rFonts w:hint="eastAsia"/>
          <w:lang w:val="fr-CH"/>
        </w:rPr>
        <w:t>《宪法》促进妇女在平等权利和机会的基础上进行有报酬的工作，并保障同工同酬。《宪法》还承认没有报酬的家务劳动也是生产性劳动。</w:t>
      </w:r>
    </w:p>
    <w:p w:rsidR="00000000" w:rsidRDefault="00000000">
      <w:pPr>
        <w:rPr>
          <w:rFonts w:hint="eastAsia"/>
          <w:lang w:val="fr-CH"/>
        </w:rPr>
      </w:pPr>
      <w:r>
        <w:rPr>
          <w:rFonts w:hint="eastAsia"/>
          <w:lang w:val="fr-CH"/>
        </w:rPr>
        <w:tab/>
        <w:t xml:space="preserve">112.  </w:t>
      </w:r>
      <w:r>
        <w:rPr>
          <w:rFonts w:hint="eastAsia"/>
          <w:lang w:val="fr-CH"/>
        </w:rPr>
        <w:t>公营部门实行男女相似岗位或进行相似工作应当得到同等报酬的政策。在此方面发现的差异主要是由于管理层职位主要是由于男性担当。在公营部门机构之间的比较，也可以发现差异，而且可以发现工资级别差异很大。</w:t>
      </w:r>
    </w:p>
    <w:p w:rsidR="00000000" w:rsidRDefault="00000000">
      <w:pPr>
        <w:rPr>
          <w:rFonts w:hint="eastAsia"/>
          <w:lang w:val="fr-CH"/>
        </w:rPr>
      </w:pPr>
      <w:r>
        <w:rPr>
          <w:rFonts w:hint="eastAsia"/>
          <w:lang w:val="fr-CH"/>
        </w:rPr>
        <w:tab/>
        <w:t xml:space="preserve">113.  </w:t>
      </w:r>
      <w:r>
        <w:rPr>
          <w:rFonts w:hint="eastAsia"/>
          <w:lang w:val="fr-CH"/>
        </w:rPr>
        <w:t>对工作给予公正报酬是不容任何歧视的一种权利。为在全国一级由《劳动法》所保护的工人所建立的工资规定对男女都一样实行。此外，部门委员会还确保根据工人所完成的任务给予报酬，因此在每个活动领域都有不同的职业结构。</w:t>
      </w:r>
    </w:p>
    <w:p w:rsidR="00000000" w:rsidRDefault="00000000">
      <w:pPr>
        <w:rPr>
          <w:rFonts w:hint="eastAsia"/>
          <w:lang w:val="fr-CH"/>
        </w:rPr>
      </w:pPr>
      <w:r>
        <w:rPr>
          <w:rFonts w:hint="eastAsia"/>
          <w:lang w:val="fr-CH"/>
        </w:rPr>
        <w:tab/>
        <w:t xml:space="preserve">114.  </w:t>
      </w:r>
      <w:r>
        <w:rPr>
          <w:rFonts w:hint="eastAsia"/>
          <w:lang w:val="fr-CH"/>
        </w:rPr>
        <w:t>尽管工资和最低部门工资费率是在没有任何性别歧视的基础上制定的，但是全国妇女理事会所进行的调查表明，对在非正规部门工作的妇女存在着不公正现象。</w:t>
      </w:r>
    </w:p>
    <w:p w:rsidR="00000000" w:rsidRDefault="00000000">
      <w:pPr>
        <w:rPr>
          <w:rFonts w:hint="eastAsia"/>
          <w:lang w:val="fr-CH"/>
        </w:rPr>
      </w:pPr>
      <w:r>
        <w:rPr>
          <w:rFonts w:hint="eastAsia"/>
          <w:lang w:val="fr-CH"/>
        </w:rPr>
        <w:tab/>
        <w:t xml:space="preserve">115.  </w:t>
      </w:r>
      <w:r>
        <w:rPr>
          <w:rFonts w:hint="eastAsia"/>
          <w:lang w:val="fr-CH"/>
        </w:rPr>
        <w:t>关于在同工同酬方面防止对妇女歧视所采取的措施，</w:t>
      </w:r>
      <w:r>
        <w:rPr>
          <w:rFonts w:hint="eastAsia"/>
          <w:lang w:val="fr-CH"/>
        </w:rPr>
        <w:t>1997</w:t>
      </w:r>
      <w:r>
        <w:rPr>
          <w:rFonts w:hint="eastAsia"/>
          <w:lang w:val="fr-CH"/>
        </w:rPr>
        <w:t>年</w:t>
      </w:r>
      <w:r>
        <w:rPr>
          <w:rFonts w:hint="eastAsia"/>
          <w:lang w:val="fr-CH"/>
        </w:rPr>
        <w:t>1</w:t>
      </w:r>
      <w:r>
        <w:rPr>
          <w:rFonts w:hint="eastAsia"/>
          <w:lang w:val="fr-CH"/>
        </w:rPr>
        <w:t>月</w:t>
      </w:r>
      <w:r>
        <w:rPr>
          <w:rFonts w:hint="eastAsia"/>
          <w:lang w:val="fr-CH"/>
        </w:rPr>
        <w:t>16</w:t>
      </w:r>
      <w:r>
        <w:rPr>
          <w:rFonts w:hint="eastAsia"/>
          <w:lang w:val="fr-CH"/>
        </w:rPr>
        <w:t>日通过的《妇女就业保护法》第</w:t>
      </w:r>
      <w:r>
        <w:rPr>
          <w:rFonts w:hint="eastAsia"/>
          <w:lang w:val="fr-CH"/>
        </w:rPr>
        <w:t>1</w:t>
      </w:r>
      <w:r>
        <w:rPr>
          <w:rFonts w:hint="eastAsia"/>
          <w:lang w:val="fr-CH"/>
        </w:rPr>
        <w:t>条规定，应当实行女工最低配额。</w:t>
      </w:r>
    </w:p>
    <w:p w:rsidR="00000000" w:rsidRDefault="00000000">
      <w:pPr>
        <w:rPr>
          <w:rFonts w:hint="eastAsia"/>
          <w:lang w:val="fr-CH"/>
        </w:rPr>
      </w:pPr>
      <w:r>
        <w:rPr>
          <w:rFonts w:hint="eastAsia"/>
          <w:lang w:val="fr-CH"/>
        </w:rPr>
        <w:tab/>
        <w:t xml:space="preserve">116.  </w:t>
      </w:r>
      <w:r>
        <w:rPr>
          <w:rFonts w:hint="eastAsia"/>
          <w:lang w:val="fr-CH"/>
        </w:rPr>
        <w:t>全国妇女理事会与劳动与人力资源部所签署的协定规定，双方在共同关心的问题方面进行协调活动，以实施男女平等的原则、支持妇女进入劳动市场以及缩小男女在收入方面的差距。</w:t>
      </w:r>
    </w:p>
    <w:p w:rsidR="00000000" w:rsidRDefault="00000000">
      <w:pPr>
        <w:rPr>
          <w:rFonts w:hint="eastAsia"/>
          <w:lang w:val="fr-CH"/>
        </w:rPr>
      </w:pPr>
      <w:r>
        <w:rPr>
          <w:rFonts w:hint="eastAsia"/>
          <w:lang w:val="fr-CH"/>
        </w:rPr>
        <w:tab/>
        <w:t xml:space="preserve">117.  </w:t>
      </w:r>
      <w:r>
        <w:rPr>
          <w:rFonts w:hint="eastAsia"/>
          <w:lang w:val="fr-CH"/>
        </w:rPr>
        <w:t>劳动与人力资源部所承诺的职责之一是编纂、公布并更新有关妇女进入就业和工资的统计资料。因此，将对该部的统计资料进行处理，以就经济活动每一领域的就业和工资方面得到妇女状况的完整情况。在此方面，正在确定各种参考数据，以便该项目能够在规定的时间之内顺利完成。</w:t>
      </w:r>
    </w:p>
    <w:p w:rsidR="00000000" w:rsidRDefault="00000000">
      <w:pPr>
        <w:rPr>
          <w:rFonts w:hint="eastAsia"/>
          <w:lang w:val="fr-CH"/>
        </w:rPr>
      </w:pPr>
      <w:r>
        <w:rPr>
          <w:rFonts w:hint="eastAsia"/>
          <w:lang w:val="fr-CH"/>
        </w:rPr>
        <w:tab/>
        <w:t xml:space="preserve">118.  </w:t>
      </w:r>
      <w:r>
        <w:rPr>
          <w:rFonts w:hint="eastAsia"/>
          <w:lang w:val="fr-CH"/>
        </w:rPr>
        <w:t>处理上述资料而得到的数据结果的分析，将成为在此方面实施《妇女劳动保护法》的起点。</w:t>
      </w:r>
    </w:p>
    <w:p w:rsidR="00000000" w:rsidRDefault="00000000">
      <w:pPr>
        <w:rPr>
          <w:rFonts w:hint="eastAsia"/>
          <w:lang w:val="fr-CH"/>
        </w:rPr>
      </w:pPr>
      <w:r>
        <w:rPr>
          <w:rFonts w:hint="eastAsia"/>
          <w:lang w:val="fr-CH"/>
        </w:rPr>
        <w:tab/>
        <w:t xml:space="preserve">119.  </w:t>
      </w:r>
      <w:r>
        <w:rPr>
          <w:rFonts w:hint="eastAsia"/>
          <w:lang w:val="fr-CH"/>
        </w:rPr>
        <w:t>劳动与人力资源部所举办的专门就业项目在促进向最贫困人口再分配资源以及帮助减少从农村流入城市的移民的同时，提供新的长期工作并改进现有工作，提高生活水平和收入水平。</w:t>
      </w:r>
    </w:p>
    <w:p w:rsidR="00000000" w:rsidRDefault="00000000">
      <w:pPr>
        <w:rPr>
          <w:rFonts w:hint="eastAsia"/>
          <w:lang w:val="fr-CH"/>
        </w:rPr>
      </w:pPr>
      <w:r>
        <w:rPr>
          <w:rFonts w:hint="eastAsia"/>
          <w:lang w:val="fr-CH"/>
        </w:rPr>
        <w:tab/>
        <w:t xml:space="preserve">120.  </w:t>
      </w:r>
      <w:r>
        <w:rPr>
          <w:rFonts w:hint="eastAsia"/>
          <w:lang w:val="fr-CH"/>
        </w:rPr>
        <w:t>为此目的，正在制订监测、后续活动以及评估程序，以衡量上述各个项目的设计中所包括的目的与目标方面的影响和有效性、以及直接和间接受益人的数目。还设计了工具以完成这些程序。</w:t>
      </w:r>
    </w:p>
    <w:p w:rsidR="00000000" w:rsidRDefault="00000000">
      <w:pPr>
        <w:spacing w:after="320"/>
        <w:rPr>
          <w:rFonts w:hint="eastAsia"/>
          <w:lang w:val="fr-CH"/>
        </w:rPr>
      </w:pPr>
      <w:r>
        <w:rPr>
          <w:rFonts w:hint="eastAsia"/>
          <w:lang w:val="fr-CH"/>
        </w:rPr>
        <w:tab/>
        <w:t xml:space="preserve">121.  </w:t>
      </w:r>
      <w:r>
        <w:rPr>
          <w:rFonts w:hint="eastAsia"/>
          <w:lang w:val="fr-CH"/>
        </w:rPr>
        <w:t>劳动与人力资源部还充当求职者和雇主之间的中间人。在进行此类帮助之后，定期进行评估活动，以评估在适应工作方面的满意程度，并就根据供求关系而找到工作的人百分比作出统计概算。</w:t>
      </w:r>
    </w:p>
    <w:p w:rsidR="00000000" w:rsidRDefault="00000000">
      <w:pPr>
        <w:pStyle w:val="Heading4"/>
        <w:rPr>
          <w:rFonts w:eastAsia="KaiTi_GB2312" w:hint="eastAsia"/>
          <w:spacing w:val="0"/>
          <w:u w:val="none"/>
          <w:lang w:val="fr-CH"/>
        </w:rPr>
      </w:pPr>
      <w:r>
        <w:rPr>
          <w:rFonts w:eastAsia="KaiTi_GB2312" w:hint="eastAsia"/>
          <w:spacing w:val="0"/>
          <w:u w:val="none"/>
          <w:lang w:val="fr-CH"/>
        </w:rPr>
        <w:t>公营部门和私营部门</w:t>
      </w:r>
    </w:p>
    <w:p w:rsidR="00000000" w:rsidRDefault="00000000">
      <w:pPr>
        <w:rPr>
          <w:rFonts w:hint="eastAsia"/>
          <w:lang w:val="fr-CH"/>
        </w:rPr>
      </w:pPr>
      <w:r>
        <w:rPr>
          <w:rFonts w:hint="eastAsia"/>
          <w:lang w:val="fr-CH"/>
        </w:rPr>
        <w:tab/>
        <w:t xml:space="preserve">122.  </w:t>
      </w:r>
      <w:r>
        <w:rPr>
          <w:rFonts w:hint="eastAsia"/>
          <w:lang w:val="fr-CH"/>
        </w:rPr>
        <w:t>受到《劳动法》保护的工人之最低生活工资和部门最低工资在全国范围内对公营部门和私营部门全面实施。但是，在各个部门，视公司的财政资源或政府预算情况而定，还会提供货币或其他形式的额外福利。</w:t>
      </w:r>
    </w:p>
    <w:p w:rsidR="00000000" w:rsidRDefault="00000000">
      <w:pPr>
        <w:rPr>
          <w:rFonts w:hint="eastAsia"/>
          <w:lang w:val="fr-CH"/>
        </w:rPr>
      </w:pPr>
      <w:r>
        <w:rPr>
          <w:rFonts w:hint="eastAsia"/>
          <w:lang w:val="fr-CH"/>
        </w:rPr>
        <w:tab/>
        <w:t xml:space="preserve">123.  </w:t>
      </w:r>
      <w:r>
        <w:rPr>
          <w:rFonts w:hint="eastAsia"/>
          <w:lang w:val="fr-CH"/>
        </w:rPr>
        <w:t>根据法律，《劳动法》所保护的公营部门和私营部门工人的总收入有以下各个因素组成</w:t>
      </w:r>
      <w:r>
        <w:rPr>
          <w:lang w:val="fr-CH"/>
        </w:rPr>
        <w:t> </w:t>
      </w:r>
      <w:r>
        <w:rPr>
          <w:rFonts w:hint="eastAsia"/>
          <w:lang w:val="fr-CH"/>
        </w:rPr>
        <w:t>：</w:t>
      </w:r>
    </w:p>
    <w:p w:rsidR="00000000" w:rsidRDefault="00000000">
      <w:pPr>
        <w:numPr>
          <w:ilvl w:val="0"/>
          <w:numId w:val="147"/>
        </w:numPr>
        <w:rPr>
          <w:rFonts w:hint="eastAsia"/>
          <w:lang w:val="fr-CH"/>
        </w:rPr>
      </w:pPr>
      <w:r>
        <w:rPr>
          <w:rFonts w:hint="eastAsia"/>
          <w:lang w:val="fr-CH"/>
        </w:rPr>
        <w:t>基本工资或薪金</w:t>
      </w:r>
      <w:r>
        <w:rPr>
          <w:lang w:val="fr-CH"/>
        </w:rPr>
        <w:t> </w:t>
      </w:r>
      <w:r>
        <w:rPr>
          <w:rFonts w:hint="eastAsia"/>
          <w:lang w:val="fr-CH"/>
        </w:rPr>
        <w:t>：根据《劳动法》第</w:t>
      </w:r>
      <w:r>
        <w:rPr>
          <w:rFonts w:hint="eastAsia"/>
          <w:lang w:val="fr-CH"/>
        </w:rPr>
        <w:t>133</w:t>
      </w:r>
      <w:r>
        <w:rPr>
          <w:rFonts w:hint="eastAsia"/>
          <w:lang w:val="fr-CH"/>
        </w:rPr>
        <w:t>和</w:t>
      </w:r>
      <w:r>
        <w:rPr>
          <w:rFonts w:hint="eastAsia"/>
          <w:lang w:val="fr-CH"/>
        </w:rPr>
        <w:t>119</w:t>
      </w:r>
      <w:r>
        <w:rPr>
          <w:rFonts w:hint="eastAsia"/>
          <w:lang w:val="fr-CH"/>
        </w:rPr>
        <w:t>条规定，国家通过主管机构保障最低生活工资以及在各个活动领域中工人的工资、薪金或最低部门工资费率</w:t>
      </w:r>
      <w:r>
        <w:rPr>
          <w:lang w:val="fr-CH"/>
        </w:rPr>
        <w:t> </w:t>
      </w:r>
      <w:r>
        <w:rPr>
          <w:rFonts w:hint="eastAsia"/>
          <w:lang w:val="fr-CH"/>
        </w:rPr>
        <w:t>；</w:t>
      </w:r>
    </w:p>
    <w:p w:rsidR="00000000" w:rsidRDefault="00000000">
      <w:pPr>
        <w:numPr>
          <w:ilvl w:val="0"/>
          <w:numId w:val="147"/>
        </w:numPr>
        <w:rPr>
          <w:rFonts w:hint="eastAsia"/>
          <w:lang w:val="fr-CH"/>
        </w:rPr>
      </w:pPr>
      <w:r>
        <w:rPr>
          <w:rFonts w:hint="eastAsia"/>
          <w:lang w:val="fr-CH"/>
        </w:rPr>
        <w:t>生活费用补差：基本工资在</w:t>
      </w:r>
      <w:r>
        <w:rPr>
          <w:rFonts w:hint="eastAsia"/>
          <w:lang w:val="fr-CH"/>
        </w:rPr>
        <w:t>600,000</w:t>
      </w:r>
      <w:r>
        <w:rPr>
          <w:rFonts w:hint="eastAsia"/>
          <w:lang w:val="fr-CH"/>
        </w:rPr>
        <w:t>苏克雷以下的工人有权享受。如果收入超出这一数额，则每月提供</w:t>
      </w:r>
      <w:r>
        <w:rPr>
          <w:rFonts w:hint="eastAsia"/>
          <w:lang w:val="fr-CH"/>
        </w:rPr>
        <w:t>205,000</w:t>
      </w:r>
      <w:r>
        <w:rPr>
          <w:rFonts w:hint="eastAsia"/>
          <w:lang w:val="fr-CH"/>
        </w:rPr>
        <w:t>苏克雷的补差；</w:t>
      </w:r>
    </w:p>
    <w:p w:rsidR="00000000" w:rsidRDefault="00000000">
      <w:pPr>
        <w:numPr>
          <w:ilvl w:val="0"/>
          <w:numId w:val="147"/>
        </w:numPr>
        <w:rPr>
          <w:rFonts w:hint="eastAsia"/>
          <w:lang w:val="fr-CH"/>
        </w:rPr>
      </w:pPr>
      <w:r>
        <w:rPr>
          <w:rFonts w:hint="eastAsia"/>
          <w:lang w:val="fr-CH"/>
        </w:rPr>
        <w:t>奖金</w:t>
      </w:r>
      <w:r>
        <w:rPr>
          <w:lang w:val="fr-CH"/>
        </w:rPr>
        <w:t> </w:t>
      </w:r>
      <w:r>
        <w:rPr>
          <w:rFonts w:hint="eastAsia"/>
          <w:lang w:val="fr-CH"/>
        </w:rPr>
        <w:t>：每年奖金额为</w:t>
      </w:r>
      <w:r>
        <w:rPr>
          <w:rFonts w:hint="eastAsia"/>
          <w:lang w:val="fr-CH"/>
        </w:rPr>
        <w:t>700</w:t>
      </w:r>
      <w:r>
        <w:rPr>
          <w:rFonts w:hint="eastAsia"/>
          <w:lang w:val="fr-CH"/>
        </w:rPr>
        <w:t>万苏克雷，分</w:t>
      </w:r>
      <w:r>
        <w:rPr>
          <w:rFonts w:hint="eastAsia"/>
          <w:lang w:val="fr-CH"/>
        </w:rPr>
        <w:t>10</w:t>
      </w:r>
      <w:r>
        <w:rPr>
          <w:rFonts w:hint="eastAsia"/>
          <w:lang w:val="fr-CH"/>
        </w:rPr>
        <w:t>平均次支付，除</w:t>
      </w:r>
      <w:r>
        <w:rPr>
          <w:rFonts w:hint="eastAsia"/>
          <w:lang w:val="fr-CH"/>
        </w:rPr>
        <w:t>9</w:t>
      </w:r>
      <w:r>
        <w:rPr>
          <w:rFonts w:hint="eastAsia"/>
          <w:lang w:val="fr-CH"/>
        </w:rPr>
        <w:t>月和</w:t>
      </w:r>
      <w:r>
        <w:rPr>
          <w:rFonts w:hint="eastAsia"/>
          <w:lang w:val="fr-CH"/>
        </w:rPr>
        <w:t>12</w:t>
      </w:r>
      <w:r>
        <w:rPr>
          <w:rFonts w:hint="eastAsia"/>
          <w:lang w:val="fr-CH"/>
        </w:rPr>
        <w:t>月之外，随每月月底的工资或薪金支付</w:t>
      </w:r>
      <w:r>
        <w:rPr>
          <w:rFonts w:hint="eastAsia"/>
          <w:lang w:val="fr-CH"/>
        </w:rPr>
        <w:t>(</w:t>
      </w:r>
      <w:r>
        <w:rPr>
          <w:rFonts w:hint="eastAsia"/>
          <w:lang w:val="fr-CH"/>
        </w:rPr>
        <w:t>《劳动法》第</w:t>
      </w:r>
      <w:r>
        <w:rPr>
          <w:rFonts w:hint="eastAsia"/>
          <w:lang w:val="fr-CH"/>
        </w:rPr>
        <w:t>115-118</w:t>
      </w:r>
      <w:r>
        <w:rPr>
          <w:rFonts w:hint="eastAsia"/>
          <w:lang w:val="fr-CH"/>
        </w:rPr>
        <w:t>条</w:t>
      </w:r>
      <w:r>
        <w:rPr>
          <w:rFonts w:hint="eastAsia"/>
          <w:lang w:val="fr-CH"/>
        </w:rPr>
        <w:t>)</w:t>
      </w:r>
      <w:r>
        <w:rPr>
          <w:lang w:val="fr-CH"/>
        </w:rPr>
        <w:t> </w:t>
      </w:r>
      <w:r>
        <w:rPr>
          <w:rFonts w:hint="eastAsia"/>
          <w:lang w:val="fr-CH"/>
        </w:rPr>
        <w:t>；</w:t>
      </w:r>
    </w:p>
    <w:p w:rsidR="00000000" w:rsidRDefault="00000000">
      <w:pPr>
        <w:numPr>
          <w:ilvl w:val="0"/>
          <w:numId w:val="147"/>
        </w:numPr>
        <w:rPr>
          <w:rFonts w:hint="eastAsia"/>
          <w:lang w:val="fr-CH"/>
        </w:rPr>
      </w:pPr>
      <w:r>
        <w:rPr>
          <w:rFonts w:hint="eastAsia"/>
          <w:lang w:val="fr-CH"/>
        </w:rPr>
        <w:t>第</w:t>
      </w:r>
      <w:r>
        <w:rPr>
          <w:rFonts w:hint="eastAsia"/>
          <w:lang w:val="fr-CH"/>
        </w:rPr>
        <w:t>16</w:t>
      </w:r>
      <w:r>
        <w:rPr>
          <w:rFonts w:hint="eastAsia"/>
          <w:lang w:val="fr-CH"/>
        </w:rPr>
        <w:t>个月工资</w:t>
      </w:r>
      <w:r>
        <w:rPr>
          <w:lang w:val="fr-CH"/>
        </w:rPr>
        <w:t> </w:t>
      </w:r>
      <w:r>
        <w:rPr>
          <w:rFonts w:hint="eastAsia"/>
          <w:lang w:val="fr-CH"/>
        </w:rPr>
        <w:t>：</w:t>
      </w:r>
      <w:r>
        <w:rPr>
          <w:rFonts w:hint="eastAsia"/>
          <w:lang w:val="fr-CH"/>
        </w:rPr>
        <w:t>1992</w:t>
      </w:r>
      <w:r>
        <w:rPr>
          <w:rFonts w:hint="eastAsia"/>
          <w:lang w:val="fr-CH"/>
        </w:rPr>
        <w:t>年</w:t>
      </w:r>
      <w:r>
        <w:rPr>
          <w:rFonts w:hint="eastAsia"/>
          <w:lang w:val="fr-CH"/>
        </w:rPr>
        <w:t>12</w:t>
      </w:r>
      <w:r>
        <w:rPr>
          <w:rFonts w:hint="eastAsia"/>
          <w:lang w:val="fr-CH"/>
        </w:rPr>
        <w:t>月</w:t>
      </w:r>
      <w:r>
        <w:rPr>
          <w:rFonts w:hint="eastAsia"/>
          <w:lang w:val="fr-CH"/>
        </w:rPr>
        <w:t>18</w:t>
      </w:r>
      <w:r>
        <w:rPr>
          <w:rFonts w:hint="eastAsia"/>
          <w:lang w:val="fr-CH"/>
        </w:rPr>
        <w:t>日公布于《公告》第</w:t>
      </w:r>
      <w:r>
        <w:rPr>
          <w:rFonts w:hint="eastAsia"/>
          <w:lang w:val="fr-CH"/>
        </w:rPr>
        <w:t>90</w:t>
      </w:r>
      <w:r>
        <w:rPr>
          <w:rFonts w:hint="eastAsia"/>
          <w:lang w:val="fr-CH"/>
        </w:rPr>
        <w:t>号的第</w:t>
      </w:r>
      <w:r>
        <w:rPr>
          <w:rFonts w:hint="eastAsia"/>
          <w:lang w:val="fr-CH"/>
        </w:rPr>
        <w:t>19</w:t>
      </w:r>
      <w:r>
        <w:rPr>
          <w:rFonts w:hint="eastAsia"/>
          <w:lang w:val="fr-CH"/>
        </w:rPr>
        <w:t>号法令所建立。金额同等于基本工资的八分之一，但所付金额不得少于现有一般最低生活工资两个单位的十二分之一、并不得多于一般最低工资的一个单位</w:t>
      </w:r>
      <w:r>
        <w:rPr>
          <w:lang w:val="fr-CH"/>
        </w:rPr>
        <w:t> </w:t>
      </w:r>
      <w:r>
        <w:rPr>
          <w:rFonts w:hint="eastAsia"/>
          <w:lang w:val="fr-CH"/>
        </w:rPr>
        <w:t>；</w:t>
      </w:r>
    </w:p>
    <w:p w:rsidR="00000000" w:rsidRDefault="00000000">
      <w:pPr>
        <w:numPr>
          <w:ilvl w:val="0"/>
          <w:numId w:val="147"/>
        </w:numPr>
        <w:rPr>
          <w:rFonts w:hint="eastAsia"/>
          <w:lang w:val="fr-CH"/>
        </w:rPr>
      </w:pPr>
      <w:r>
        <w:rPr>
          <w:rFonts w:hint="eastAsia"/>
          <w:lang w:val="fr-CH"/>
        </w:rPr>
        <w:t>差旅补贴</w:t>
      </w:r>
      <w:r>
        <w:rPr>
          <w:lang w:val="fr-CH"/>
        </w:rPr>
        <w:t> </w:t>
      </w:r>
      <w:r>
        <w:rPr>
          <w:rFonts w:hint="eastAsia"/>
          <w:lang w:val="fr-CH"/>
        </w:rPr>
        <w:t>：对于没有提供交通便利的人，可以领取补贴，作为其基本工资的一部分，其金额为目前一般最低生活工资的两个单位，但是条件是他们必须住在工作场所的</w:t>
      </w:r>
      <w:r>
        <w:rPr>
          <w:rFonts w:hint="eastAsia"/>
          <w:lang w:val="fr-CH"/>
        </w:rPr>
        <w:t>1</w:t>
      </w:r>
      <w:r>
        <w:rPr>
          <w:rFonts w:hint="eastAsia"/>
          <w:lang w:val="fr-CH"/>
        </w:rPr>
        <w:t>公里半径之内。该补贴是通过下述方法计算的</w:t>
      </w:r>
      <w:r>
        <w:rPr>
          <w:lang w:val="fr-CH"/>
        </w:rPr>
        <w:t> </w:t>
      </w:r>
      <w:r>
        <w:rPr>
          <w:rFonts w:hint="eastAsia"/>
          <w:lang w:val="fr-CH"/>
        </w:rPr>
        <w:t>：每月</w:t>
      </w:r>
      <w:r>
        <w:rPr>
          <w:rFonts w:hint="eastAsia"/>
          <w:lang w:val="fr-CH"/>
        </w:rPr>
        <w:t>20</w:t>
      </w:r>
      <w:r>
        <w:rPr>
          <w:rFonts w:hint="eastAsia"/>
          <w:lang w:val="fr-CH"/>
        </w:rPr>
        <w:t>个工作日、每天乘车</w:t>
      </w:r>
      <w:r>
        <w:rPr>
          <w:rFonts w:hint="eastAsia"/>
          <w:lang w:val="fr-CH"/>
        </w:rPr>
        <w:t>4</w:t>
      </w:r>
      <w:r>
        <w:rPr>
          <w:rFonts w:hint="eastAsia"/>
          <w:lang w:val="fr-CH"/>
        </w:rPr>
        <w:t>趟，乘以国家运输署所规定的城市公共汽车费</w:t>
      </w:r>
      <w:r>
        <w:rPr>
          <w:lang w:val="fr-CH"/>
        </w:rPr>
        <w:t> </w:t>
      </w:r>
      <w:r>
        <w:rPr>
          <w:rFonts w:hint="eastAsia"/>
          <w:lang w:val="fr-CH"/>
        </w:rPr>
        <w:t>；</w:t>
      </w:r>
    </w:p>
    <w:p w:rsidR="00000000" w:rsidRDefault="00000000">
      <w:pPr>
        <w:numPr>
          <w:ilvl w:val="0"/>
          <w:numId w:val="147"/>
        </w:numPr>
        <w:rPr>
          <w:rFonts w:hint="eastAsia"/>
          <w:lang w:val="fr-CH"/>
        </w:rPr>
      </w:pPr>
      <w:r>
        <w:rPr>
          <w:rFonts w:hint="eastAsia"/>
          <w:lang w:val="fr-CH"/>
        </w:rPr>
        <w:t>第</w:t>
      </w:r>
      <w:r>
        <w:rPr>
          <w:rFonts w:hint="eastAsia"/>
          <w:lang w:val="fr-CH"/>
        </w:rPr>
        <w:t>13</w:t>
      </w:r>
      <w:r>
        <w:rPr>
          <w:rFonts w:hint="eastAsia"/>
          <w:lang w:val="fr-CH"/>
        </w:rPr>
        <w:t>个月工资</w:t>
      </w:r>
      <w:r>
        <w:rPr>
          <w:lang w:val="fr-CH"/>
        </w:rPr>
        <w:t> </w:t>
      </w:r>
      <w:r>
        <w:rPr>
          <w:rFonts w:hint="eastAsia"/>
          <w:lang w:val="fr-CH"/>
        </w:rPr>
        <w:t>：该金额相当于前一年</w:t>
      </w:r>
      <w:r>
        <w:rPr>
          <w:rFonts w:hint="eastAsia"/>
          <w:lang w:val="fr-CH"/>
        </w:rPr>
        <w:t>12</w:t>
      </w:r>
      <w:r>
        <w:rPr>
          <w:rFonts w:hint="eastAsia"/>
          <w:lang w:val="fr-CH"/>
        </w:rPr>
        <w:t>月</w:t>
      </w:r>
      <w:r>
        <w:rPr>
          <w:rFonts w:hint="eastAsia"/>
          <w:lang w:val="fr-CH"/>
        </w:rPr>
        <w:t>1</w:t>
      </w:r>
      <w:r>
        <w:rPr>
          <w:rFonts w:hint="eastAsia"/>
          <w:lang w:val="fr-CH"/>
        </w:rPr>
        <w:t>日到当年</w:t>
      </w:r>
      <w:r>
        <w:rPr>
          <w:rFonts w:hint="eastAsia"/>
          <w:lang w:val="fr-CH"/>
        </w:rPr>
        <w:t>11</w:t>
      </w:r>
      <w:r>
        <w:rPr>
          <w:rFonts w:hint="eastAsia"/>
          <w:lang w:val="fr-CH"/>
        </w:rPr>
        <w:t>月</w:t>
      </w:r>
      <w:r>
        <w:rPr>
          <w:rFonts w:hint="eastAsia"/>
          <w:lang w:val="fr-CH"/>
        </w:rPr>
        <w:t>30</w:t>
      </w:r>
      <w:r>
        <w:rPr>
          <w:rFonts w:hint="eastAsia"/>
          <w:lang w:val="fr-CH"/>
        </w:rPr>
        <w:t>日期间收入的十二分之一，计算标准是基本工资、加班费、超时工作费、佣金等</w:t>
      </w:r>
      <w:r>
        <w:rPr>
          <w:rFonts w:hint="eastAsia"/>
          <w:lang w:val="fr-CH"/>
        </w:rPr>
        <w:t>(</w:t>
      </w:r>
      <w:r>
        <w:rPr>
          <w:rFonts w:hint="eastAsia"/>
          <w:lang w:val="fr-CH"/>
        </w:rPr>
        <w:t>《劳动法》，第</w:t>
      </w:r>
      <w:r>
        <w:rPr>
          <w:rFonts w:hint="eastAsia"/>
          <w:lang w:val="fr-CH"/>
        </w:rPr>
        <w:t>95</w:t>
      </w:r>
      <w:r>
        <w:rPr>
          <w:rFonts w:hint="eastAsia"/>
          <w:lang w:val="fr-CH"/>
        </w:rPr>
        <w:t>、</w:t>
      </w:r>
      <w:r>
        <w:rPr>
          <w:rFonts w:hint="eastAsia"/>
          <w:lang w:val="fr-CH"/>
        </w:rPr>
        <w:t>111</w:t>
      </w:r>
      <w:r>
        <w:rPr>
          <w:rFonts w:hint="eastAsia"/>
          <w:lang w:val="fr-CH"/>
        </w:rPr>
        <w:t>和</w:t>
      </w:r>
      <w:r>
        <w:rPr>
          <w:rFonts w:hint="eastAsia"/>
          <w:lang w:val="fr-CH"/>
        </w:rPr>
        <w:t>112</w:t>
      </w:r>
      <w:r>
        <w:rPr>
          <w:rFonts w:hint="eastAsia"/>
          <w:lang w:val="fr-CH"/>
        </w:rPr>
        <w:t>条</w:t>
      </w:r>
      <w:r>
        <w:rPr>
          <w:rFonts w:hint="eastAsia"/>
          <w:lang w:val="fr-CH"/>
        </w:rPr>
        <w:t>)</w:t>
      </w:r>
      <w:r>
        <w:rPr>
          <w:rFonts w:hint="eastAsia"/>
          <w:lang w:val="fr-CH"/>
        </w:rPr>
        <w:t>。在</w:t>
      </w:r>
      <w:r>
        <w:rPr>
          <w:rFonts w:hint="eastAsia"/>
          <w:lang w:val="fr-CH"/>
        </w:rPr>
        <w:t>12</w:t>
      </w:r>
      <w:r>
        <w:rPr>
          <w:rFonts w:hint="eastAsia"/>
          <w:lang w:val="fr-CH"/>
        </w:rPr>
        <w:t>月</w:t>
      </w:r>
      <w:r>
        <w:rPr>
          <w:rFonts w:hint="eastAsia"/>
          <w:lang w:val="fr-CH"/>
        </w:rPr>
        <w:t>24</w:t>
      </w:r>
      <w:r>
        <w:rPr>
          <w:rFonts w:hint="eastAsia"/>
          <w:lang w:val="fr-CH"/>
        </w:rPr>
        <w:t>日之前支付；</w:t>
      </w:r>
    </w:p>
    <w:p w:rsidR="00000000" w:rsidRDefault="00000000">
      <w:pPr>
        <w:numPr>
          <w:ilvl w:val="0"/>
          <w:numId w:val="147"/>
        </w:numPr>
        <w:rPr>
          <w:rFonts w:hint="eastAsia"/>
          <w:lang w:val="fr-CH"/>
        </w:rPr>
      </w:pPr>
      <w:r>
        <w:rPr>
          <w:rFonts w:hint="eastAsia"/>
          <w:lang w:val="fr-CH"/>
        </w:rPr>
        <w:t>第</w:t>
      </w:r>
      <w:r>
        <w:rPr>
          <w:rFonts w:hint="eastAsia"/>
          <w:lang w:val="fr-CH"/>
        </w:rPr>
        <w:t>14</w:t>
      </w:r>
      <w:r>
        <w:rPr>
          <w:rFonts w:hint="eastAsia"/>
          <w:lang w:val="fr-CH"/>
        </w:rPr>
        <w:t>个月工资</w:t>
      </w:r>
      <w:r>
        <w:rPr>
          <w:lang w:val="fr-CH"/>
        </w:rPr>
        <w:t> </w:t>
      </w:r>
      <w:r>
        <w:rPr>
          <w:rFonts w:hint="eastAsia"/>
          <w:lang w:val="fr-CH"/>
        </w:rPr>
        <w:t>：金额相当于目前一般最低生活工资的两个单位，在前一年的</w:t>
      </w:r>
      <w:r>
        <w:rPr>
          <w:rFonts w:hint="eastAsia"/>
          <w:lang w:val="fr-CH"/>
        </w:rPr>
        <w:t>9</w:t>
      </w:r>
      <w:r>
        <w:rPr>
          <w:rFonts w:hint="eastAsia"/>
          <w:lang w:val="fr-CH"/>
        </w:rPr>
        <w:t>月</w:t>
      </w:r>
      <w:r>
        <w:rPr>
          <w:rFonts w:hint="eastAsia"/>
          <w:lang w:val="fr-CH"/>
        </w:rPr>
        <w:t>1</w:t>
      </w:r>
      <w:r>
        <w:rPr>
          <w:rFonts w:hint="eastAsia"/>
          <w:lang w:val="fr-CH"/>
        </w:rPr>
        <w:t>日到当年</w:t>
      </w:r>
      <w:r>
        <w:rPr>
          <w:rFonts w:hint="eastAsia"/>
          <w:lang w:val="fr-CH"/>
        </w:rPr>
        <w:t>8</w:t>
      </w:r>
      <w:r>
        <w:rPr>
          <w:rFonts w:hint="eastAsia"/>
          <w:lang w:val="fr-CH"/>
        </w:rPr>
        <w:t>月</w:t>
      </w:r>
      <w:r>
        <w:rPr>
          <w:rFonts w:hint="eastAsia"/>
          <w:lang w:val="fr-CH"/>
        </w:rPr>
        <w:t>31</w:t>
      </w:r>
      <w:r>
        <w:rPr>
          <w:rFonts w:hint="eastAsia"/>
          <w:lang w:val="fr-CH"/>
        </w:rPr>
        <w:t>日之间计算，在</w:t>
      </w:r>
      <w:r>
        <w:rPr>
          <w:rFonts w:hint="eastAsia"/>
          <w:lang w:val="fr-CH"/>
        </w:rPr>
        <w:t>9</w:t>
      </w:r>
      <w:r>
        <w:rPr>
          <w:rFonts w:hint="eastAsia"/>
          <w:lang w:val="fr-CH"/>
        </w:rPr>
        <w:t>月</w:t>
      </w:r>
      <w:r>
        <w:rPr>
          <w:rFonts w:hint="eastAsia"/>
          <w:lang w:val="fr-CH"/>
        </w:rPr>
        <w:t>15</w:t>
      </w:r>
      <w:r>
        <w:rPr>
          <w:rFonts w:hint="eastAsia"/>
          <w:lang w:val="fr-CH"/>
        </w:rPr>
        <w:t>日之前支付</w:t>
      </w:r>
      <w:r>
        <w:rPr>
          <w:rFonts w:hint="eastAsia"/>
          <w:lang w:val="fr-CH"/>
        </w:rPr>
        <w:t>(</w:t>
      </w:r>
      <w:r>
        <w:rPr>
          <w:rFonts w:hint="eastAsia"/>
          <w:lang w:val="fr-CH"/>
        </w:rPr>
        <w:t>《劳动法》，第</w:t>
      </w:r>
      <w:r>
        <w:rPr>
          <w:rFonts w:hint="eastAsia"/>
          <w:lang w:val="fr-CH"/>
        </w:rPr>
        <w:t>113</w:t>
      </w:r>
      <w:r>
        <w:rPr>
          <w:rFonts w:hint="eastAsia"/>
          <w:lang w:val="fr-CH"/>
        </w:rPr>
        <w:t>和</w:t>
      </w:r>
      <w:r>
        <w:rPr>
          <w:rFonts w:hint="eastAsia"/>
          <w:lang w:val="fr-CH"/>
        </w:rPr>
        <w:t>114</w:t>
      </w:r>
      <w:r>
        <w:rPr>
          <w:rFonts w:hint="eastAsia"/>
          <w:lang w:val="fr-CH"/>
        </w:rPr>
        <w:t>条</w:t>
      </w:r>
      <w:r>
        <w:rPr>
          <w:rFonts w:hint="eastAsia"/>
          <w:lang w:val="fr-CH"/>
        </w:rPr>
        <w:t>)</w:t>
      </w:r>
      <w:r>
        <w:rPr>
          <w:lang w:val="fr-CH"/>
        </w:rPr>
        <w:t> </w:t>
      </w:r>
      <w:r>
        <w:rPr>
          <w:rFonts w:hint="eastAsia"/>
          <w:lang w:val="fr-CH"/>
        </w:rPr>
        <w:t>；</w:t>
      </w:r>
    </w:p>
    <w:p w:rsidR="00000000" w:rsidRDefault="00000000">
      <w:pPr>
        <w:numPr>
          <w:ilvl w:val="0"/>
          <w:numId w:val="147"/>
        </w:numPr>
        <w:rPr>
          <w:rFonts w:hint="eastAsia"/>
          <w:lang w:val="fr-CH"/>
        </w:rPr>
      </w:pPr>
      <w:r>
        <w:rPr>
          <w:rFonts w:hint="eastAsia"/>
          <w:lang w:val="fr-CH"/>
        </w:rPr>
        <w:t>第</w:t>
      </w:r>
      <w:r>
        <w:rPr>
          <w:rFonts w:hint="eastAsia"/>
          <w:lang w:val="fr-CH"/>
        </w:rPr>
        <w:t>15</w:t>
      </w:r>
      <w:r>
        <w:rPr>
          <w:rFonts w:hint="eastAsia"/>
          <w:lang w:val="fr-CH"/>
        </w:rPr>
        <w:t>个月工资</w:t>
      </w:r>
      <w:r>
        <w:rPr>
          <w:lang w:val="fr-CH"/>
        </w:rPr>
        <w:t> </w:t>
      </w:r>
      <w:r>
        <w:rPr>
          <w:rFonts w:hint="eastAsia"/>
          <w:lang w:val="fr-CH"/>
        </w:rPr>
        <w:t>：金额为</w:t>
      </w:r>
      <w:r>
        <w:rPr>
          <w:rFonts w:hint="eastAsia"/>
          <w:lang w:val="fr-CH"/>
        </w:rPr>
        <w:t>50,000</w:t>
      </w:r>
      <w:r>
        <w:rPr>
          <w:rFonts w:hint="eastAsia"/>
          <w:lang w:val="fr-CH"/>
        </w:rPr>
        <w:t>苏克雷，涉及期间为前一年的</w:t>
      </w:r>
      <w:r>
        <w:rPr>
          <w:rFonts w:hint="eastAsia"/>
          <w:lang w:val="fr-CH"/>
        </w:rPr>
        <w:t>2</w:t>
      </w:r>
      <w:r>
        <w:rPr>
          <w:rFonts w:hint="eastAsia"/>
          <w:lang w:val="fr-CH"/>
        </w:rPr>
        <w:t>月</w:t>
      </w:r>
      <w:r>
        <w:rPr>
          <w:rFonts w:hint="eastAsia"/>
          <w:lang w:val="fr-CH"/>
        </w:rPr>
        <w:t>1</w:t>
      </w:r>
      <w:r>
        <w:rPr>
          <w:rFonts w:hint="eastAsia"/>
          <w:lang w:val="fr-CH"/>
        </w:rPr>
        <w:t>日至当年的</w:t>
      </w:r>
      <w:r>
        <w:rPr>
          <w:rFonts w:hint="eastAsia"/>
          <w:lang w:val="fr-CH"/>
        </w:rPr>
        <w:t>1</w:t>
      </w:r>
      <w:r>
        <w:rPr>
          <w:rFonts w:hint="eastAsia"/>
          <w:lang w:val="fr-CH"/>
        </w:rPr>
        <w:t>月</w:t>
      </w:r>
      <w:r>
        <w:rPr>
          <w:rFonts w:hint="eastAsia"/>
          <w:lang w:val="fr-CH"/>
        </w:rPr>
        <w:t>31</w:t>
      </w:r>
      <w:r>
        <w:rPr>
          <w:rFonts w:hint="eastAsia"/>
          <w:lang w:val="fr-CH"/>
        </w:rPr>
        <w:t>日之间，并在</w:t>
      </w:r>
      <w:r>
        <w:rPr>
          <w:rFonts w:hint="eastAsia"/>
          <w:lang w:val="fr-CH"/>
        </w:rPr>
        <w:t>2</w:t>
      </w:r>
      <w:r>
        <w:rPr>
          <w:rFonts w:hint="eastAsia"/>
          <w:lang w:val="fr-CH"/>
        </w:rPr>
        <w:t>月、</w:t>
      </w:r>
      <w:r>
        <w:rPr>
          <w:rFonts w:hint="eastAsia"/>
          <w:lang w:val="fr-CH"/>
        </w:rPr>
        <w:t>4</w:t>
      </w:r>
      <w:r>
        <w:rPr>
          <w:rFonts w:hint="eastAsia"/>
          <w:lang w:val="fr-CH"/>
        </w:rPr>
        <w:t>月、</w:t>
      </w:r>
      <w:r>
        <w:rPr>
          <w:rFonts w:hint="eastAsia"/>
          <w:lang w:val="fr-CH"/>
        </w:rPr>
        <w:t>6</w:t>
      </w:r>
      <w:r>
        <w:rPr>
          <w:rFonts w:hint="eastAsia"/>
          <w:lang w:val="fr-CH"/>
        </w:rPr>
        <w:t>月、</w:t>
      </w:r>
      <w:r>
        <w:rPr>
          <w:rFonts w:hint="eastAsia"/>
          <w:lang w:val="fr-CH"/>
        </w:rPr>
        <w:t>8</w:t>
      </w:r>
      <w:r>
        <w:rPr>
          <w:rFonts w:hint="eastAsia"/>
          <w:lang w:val="fr-CH"/>
        </w:rPr>
        <w:t>月和</w:t>
      </w:r>
      <w:r>
        <w:rPr>
          <w:rFonts w:hint="eastAsia"/>
          <w:lang w:val="fr-CH"/>
        </w:rPr>
        <w:t>10</w:t>
      </w:r>
      <w:r>
        <w:rPr>
          <w:rFonts w:hint="eastAsia"/>
          <w:lang w:val="fr-CH"/>
        </w:rPr>
        <w:t>月的头七天之内分五次支付，每次</w:t>
      </w:r>
      <w:r>
        <w:rPr>
          <w:rFonts w:hint="eastAsia"/>
          <w:lang w:val="fr-CH"/>
        </w:rPr>
        <w:t>10,000</w:t>
      </w:r>
      <w:r>
        <w:rPr>
          <w:rFonts w:hint="eastAsia"/>
          <w:lang w:val="fr-CH"/>
        </w:rPr>
        <w:t>苏克雷</w:t>
      </w:r>
      <w:r>
        <w:rPr>
          <w:rFonts w:hint="eastAsia"/>
          <w:lang w:val="fr-CH"/>
        </w:rPr>
        <w:t>(1990</w:t>
      </w:r>
      <w:r>
        <w:rPr>
          <w:rFonts w:hint="eastAsia"/>
          <w:lang w:val="fr-CH"/>
        </w:rPr>
        <w:t>年</w:t>
      </w:r>
      <w:r>
        <w:rPr>
          <w:rFonts w:hint="eastAsia"/>
          <w:lang w:val="fr-CH"/>
        </w:rPr>
        <w:t>6</w:t>
      </w:r>
      <w:r>
        <w:rPr>
          <w:rFonts w:hint="eastAsia"/>
          <w:lang w:val="fr-CH"/>
        </w:rPr>
        <w:t>月</w:t>
      </w:r>
      <w:r>
        <w:rPr>
          <w:rFonts w:hint="eastAsia"/>
          <w:lang w:val="fr-CH"/>
        </w:rPr>
        <w:t>22</w:t>
      </w:r>
      <w:r>
        <w:rPr>
          <w:rFonts w:hint="eastAsia"/>
          <w:lang w:val="fr-CH"/>
        </w:rPr>
        <w:t>日公布于《公告》第</w:t>
      </w:r>
      <w:r>
        <w:rPr>
          <w:rFonts w:hint="eastAsia"/>
          <w:lang w:val="fr-CH"/>
        </w:rPr>
        <w:t>464</w:t>
      </w:r>
      <w:r>
        <w:rPr>
          <w:rFonts w:hint="eastAsia"/>
          <w:lang w:val="fr-CH"/>
        </w:rPr>
        <w:t>号的第</w:t>
      </w:r>
      <w:r>
        <w:rPr>
          <w:rFonts w:hint="eastAsia"/>
          <w:lang w:val="fr-CH"/>
        </w:rPr>
        <w:t>79</w:t>
      </w:r>
      <w:r>
        <w:rPr>
          <w:rFonts w:hint="eastAsia"/>
          <w:lang w:val="fr-CH"/>
        </w:rPr>
        <w:t>号法令</w:t>
      </w:r>
      <w:r>
        <w:rPr>
          <w:rFonts w:hint="eastAsia"/>
          <w:lang w:val="fr-CH"/>
        </w:rPr>
        <w:t>)</w:t>
      </w:r>
      <w:r>
        <w:rPr>
          <w:lang w:val="fr-CH"/>
        </w:rPr>
        <w:t> </w:t>
      </w:r>
      <w:r>
        <w:rPr>
          <w:rFonts w:hint="eastAsia"/>
          <w:lang w:val="fr-CH"/>
        </w:rPr>
        <w:t>；</w:t>
      </w:r>
    </w:p>
    <w:p w:rsidR="00000000" w:rsidRDefault="00000000">
      <w:pPr>
        <w:numPr>
          <w:ilvl w:val="0"/>
          <w:numId w:val="147"/>
        </w:numPr>
        <w:rPr>
          <w:rFonts w:hint="eastAsia"/>
          <w:lang w:val="fr-CH"/>
        </w:rPr>
      </w:pPr>
      <w:r>
        <w:rPr>
          <w:rFonts w:hint="eastAsia"/>
          <w:lang w:val="fr-CH"/>
        </w:rPr>
        <w:t>储备基金</w:t>
      </w:r>
      <w:r>
        <w:rPr>
          <w:lang w:val="fr-CH"/>
        </w:rPr>
        <w:t> </w:t>
      </w:r>
      <w:r>
        <w:rPr>
          <w:rFonts w:hint="eastAsia"/>
          <w:lang w:val="fr-CH"/>
        </w:rPr>
        <w:t>：计算方法与第</w:t>
      </w:r>
      <w:r>
        <w:rPr>
          <w:rFonts w:hint="eastAsia"/>
          <w:lang w:val="fr-CH"/>
        </w:rPr>
        <w:t>13</w:t>
      </w:r>
      <w:r>
        <w:rPr>
          <w:rFonts w:hint="eastAsia"/>
          <w:lang w:val="fr-CH"/>
        </w:rPr>
        <w:t>个月工资的计算方法类似，但是实际期间则取决于加入日期。在工作第二年结束之后方有权领取；该金额由雇主存放于社会保障所</w:t>
      </w:r>
      <w:r>
        <w:rPr>
          <w:rFonts w:hint="eastAsia"/>
          <w:lang w:val="fr-CH"/>
        </w:rPr>
        <w:t>(</w:t>
      </w:r>
      <w:r>
        <w:rPr>
          <w:rFonts w:hint="eastAsia"/>
          <w:lang w:val="fr-CH"/>
        </w:rPr>
        <w:t>《劳动法》第</w:t>
      </w:r>
      <w:r>
        <w:rPr>
          <w:rFonts w:hint="eastAsia"/>
          <w:lang w:val="fr-CH"/>
        </w:rPr>
        <w:t>196</w:t>
      </w:r>
      <w:r>
        <w:rPr>
          <w:rFonts w:hint="eastAsia"/>
          <w:lang w:val="fr-CH"/>
        </w:rPr>
        <w:t>和</w:t>
      </w:r>
      <w:r>
        <w:rPr>
          <w:rFonts w:hint="eastAsia"/>
          <w:lang w:val="fr-CH"/>
        </w:rPr>
        <w:t>201</w:t>
      </w:r>
      <w:r>
        <w:rPr>
          <w:rFonts w:hint="eastAsia"/>
          <w:lang w:val="fr-CH"/>
        </w:rPr>
        <w:t>条</w:t>
      </w:r>
      <w:r>
        <w:rPr>
          <w:rFonts w:hint="eastAsia"/>
          <w:lang w:val="fr-CH"/>
        </w:rPr>
        <w:t>)</w:t>
      </w:r>
      <w:r>
        <w:rPr>
          <w:rFonts w:hint="eastAsia"/>
          <w:lang w:val="fr-CH"/>
        </w:rPr>
        <w:t>；</w:t>
      </w:r>
    </w:p>
    <w:p w:rsidR="00000000" w:rsidRDefault="00000000">
      <w:pPr>
        <w:numPr>
          <w:ilvl w:val="0"/>
          <w:numId w:val="147"/>
        </w:numPr>
        <w:spacing w:after="320"/>
        <w:rPr>
          <w:rFonts w:hint="eastAsia"/>
          <w:lang w:val="fr-CH"/>
        </w:rPr>
      </w:pPr>
      <w:r>
        <w:rPr>
          <w:rFonts w:hint="eastAsia"/>
          <w:lang w:val="fr-CH"/>
        </w:rPr>
        <w:t>分享利润</w:t>
      </w:r>
      <w:r>
        <w:rPr>
          <w:lang w:val="fr-CH"/>
        </w:rPr>
        <w:t> </w:t>
      </w:r>
      <w:r>
        <w:rPr>
          <w:rFonts w:hint="eastAsia"/>
          <w:lang w:val="fr-CH"/>
        </w:rPr>
        <w:t>：私营部门的工人有权享受公司的年度利润，计算方法是根据所得税帐单或确定通知</w:t>
      </w:r>
      <w:r>
        <w:rPr>
          <w:rFonts w:hint="eastAsia"/>
          <w:lang w:val="fr-CH"/>
        </w:rPr>
        <w:t>(</w:t>
      </w:r>
      <w:r>
        <w:rPr>
          <w:rFonts w:hint="eastAsia"/>
          <w:lang w:val="fr-CH"/>
        </w:rPr>
        <w:t>《劳动法》第</w:t>
      </w:r>
      <w:r>
        <w:rPr>
          <w:rFonts w:hint="eastAsia"/>
          <w:lang w:val="fr-CH"/>
        </w:rPr>
        <w:t>97-110</w:t>
      </w:r>
      <w:r>
        <w:rPr>
          <w:rFonts w:hint="eastAsia"/>
          <w:lang w:val="fr-CH"/>
        </w:rPr>
        <w:t>条，以及</w:t>
      </w:r>
      <w:r>
        <w:rPr>
          <w:rFonts w:hint="eastAsia"/>
          <w:lang w:val="fr-CH"/>
        </w:rPr>
        <w:t>1995</w:t>
      </w:r>
      <w:r>
        <w:rPr>
          <w:rFonts w:hint="eastAsia"/>
          <w:lang w:val="fr-CH"/>
        </w:rPr>
        <w:t>年</w:t>
      </w:r>
      <w:r>
        <w:rPr>
          <w:rFonts w:hint="eastAsia"/>
          <w:lang w:val="fr-CH"/>
        </w:rPr>
        <w:t>4</w:t>
      </w:r>
      <w:r>
        <w:rPr>
          <w:rFonts w:hint="eastAsia"/>
          <w:lang w:val="fr-CH"/>
        </w:rPr>
        <w:t>月公布于《官方公告》第</w:t>
      </w:r>
      <w:r>
        <w:rPr>
          <w:rFonts w:hint="eastAsia"/>
          <w:lang w:val="fr-CH"/>
        </w:rPr>
        <w:t>672</w:t>
      </w:r>
      <w:r>
        <w:rPr>
          <w:rFonts w:hint="eastAsia"/>
          <w:lang w:val="fr-CH"/>
        </w:rPr>
        <w:t>号的第</w:t>
      </w:r>
      <w:r>
        <w:rPr>
          <w:rFonts w:hint="eastAsia"/>
          <w:lang w:val="fr-CH"/>
        </w:rPr>
        <w:t>85</w:t>
      </w:r>
      <w:r>
        <w:rPr>
          <w:rFonts w:hint="eastAsia"/>
          <w:lang w:val="fr-CH"/>
        </w:rPr>
        <w:t>号法令所作的相关修改</w:t>
      </w:r>
      <w:r>
        <w:rPr>
          <w:rFonts w:hint="eastAsia"/>
          <w:lang w:val="fr-CH"/>
        </w:rPr>
        <w:t>)</w:t>
      </w:r>
      <w:r>
        <w:rPr>
          <w:rFonts w:hint="eastAsia"/>
          <w:lang w:val="fr-CH"/>
        </w:rPr>
        <w:t>。相关期间为</w:t>
      </w:r>
      <w:r>
        <w:rPr>
          <w:rFonts w:hint="eastAsia"/>
          <w:lang w:val="fr-CH"/>
        </w:rPr>
        <w:t>1</w:t>
      </w:r>
      <w:r>
        <w:rPr>
          <w:rFonts w:hint="eastAsia"/>
          <w:lang w:val="fr-CH"/>
        </w:rPr>
        <w:t>月</w:t>
      </w:r>
      <w:r>
        <w:rPr>
          <w:rFonts w:hint="eastAsia"/>
          <w:lang w:val="fr-CH"/>
        </w:rPr>
        <w:t>1</w:t>
      </w:r>
      <w:r>
        <w:rPr>
          <w:rFonts w:hint="eastAsia"/>
          <w:lang w:val="fr-CH"/>
        </w:rPr>
        <w:t>日到</w:t>
      </w:r>
      <w:r>
        <w:rPr>
          <w:rFonts w:hint="eastAsia"/>
          <w:lang w:val="fr-CH"/>
        </w:rPr>
        <w:t>12</w:t>
      </w:r>
      <w:r>
        <w:rPr>
          <w:rFonts w:hint="eastAsia"/>
          <w:lang w:val="fr-CH"/>
        </w:rPr>
        <w:t>月</w:t>
      </w:r>
      <w:r>
        <w:rPr>
          <w:rFonts w:hint="eastAsia"/>
          <w:lang w:val="fr-CH"/>
        </w:rPr>
        <w:t>31</w:t>
      </w:r>
      <w:r>
        <w:rPr>
          <w:rFonts w:hint="eastAsia"/>
          <w:lang w:val="fr-CH"/>
        </w:rPr>
        <w:t>日，在次年的</w:t>
      </w:r>
      <w:r>
        <w:rPr>
          <w:rFonts w:hint="eastAsia"/>
          <w:lang w:val="fr-CH"/>
        </w:rPr>
        <w:t>4</w:t>
      </w:r>
      <w:r>
        <w:rPr>
          <w:rFonts w:hint="eastAsia"/>
          <w:lang w:val="fr-CH"/>
        </w:rPr>
        <w:t>月</w:t>
      </w:r>
      <w:r>
        <w:rPr>
          <w:rFonts w:hint="eastAsia"/>
          <w:lang w:val="fr-CH"/>
        </w:rPr>
        <w:t>15</w:t>
      </w:r>
      <w:r>
        <w:rPr>
          <w:rFonts w:hint="eastAsia"/>
          <w:lang w:val="fr-CH"/>
        </w:rPr>
        <w:t>日之前支付。</w:t>
      </w:r>
    </w:p>
    <w:p w:rsidR="00000000" w:rsidRDefault="00000000">
      <w:pPr>
        <w:pStyle w:val="Heading4"/>
        <w:rPr>
          <w:rFonts w:eastAsia="KaiTi_GB2312" w:hint="eastAsia"/>
          <w:snapToGrid/>
          <w:spacing w:val="0"/>
          <w:u w:val="none"/>
          <w:lang w:val="fr-CH"/>
        </w:rPr>
      </w:pPr>
      <w:r>
        <w:rPr>
          <w:rFonts w:eastAsia="KaiTi_GB2312" w:hint="eastAsia"/>
          <w:snapToGrid/>
          <w:spacing w:val="0"/>
          <w:u w:val="none"/>
          <w:lang w:val="fr-CH"/>
        </w:rPr>
        <w:t>工作场所健康与安全</w:t>
      </w:r>
    </w:p>
    <w:p w:rsidR="00000000" w:rsidRDefault="00000000">
      <w:pPr>
        <w:rPr>
          <w:rFonts w:hint="eastAsia"/>
          <w:lang w:val="fr-CH"/>
        </w:rPr>
      </w:pPr>
      <w:r>
        <w:rPr>
          <w:rFonts w:hint="eastAsia"/>
          <w:lang w:val="fr-CH"/>
        </w:rPr>
        <w:tab/>
        <w:t xml:space="preserve">124.  </w:t>
      </w:r>
      <w:r>
        <w:rPr>
          <w:rFonts w:hint="eastAsia"/>
          <w:lang w:val="fr-CH"/>
        </w:rPr>
        <w:t>劳动与人力资源部通过劳动局或其下属办事处，通过卫生与工作安全处及其劳工巡视员，有权监督并监测厄瓜多尔工人遵守有关工作场所健康与安全的现行法律规定。</w:t>
      </w:r>
    </w:p>
    <w:p w:rsidR="00000000" w:rsidRDefault="00000000">
      <w:pPr>
        <w:rPr>
          <w:rFonts w:hint="eastAsia"/>
          <w:lang w:val="fr-CH"/>
        </w:rPr>
      </w:pPr>
      <w:r>
        <w:rPr>
          <w:rFonts w:hint="eastAsia"/>
          <w:lang w:val="fr-CH"/>
        </w:rPr>
        <w:tab/>
        <w:t xml:space="preserve">125.  </w:t>
      </w:r>
      <w:r>
        <w:rPr>
          <w:rFonts w:hint="eastAsia"/>
          <w:lang w:val="fr-CH"/>
        </w:rPr>
        <w:t>目前的法律依据是《劳动法》第四部分“工作场所的危险”第</w:t>
      </w:r>
      <w:r>
        <w:rPr>
          <w:rFonts w:hint="eastAsia"/>
          <w:lang w:val="fr-CH"/>
        </w:rPr>
        <w:t>416</w:t>
      </w:r>
      <w:r>
        <w:rPr>
          <w:rFonts w:hint="eastAsia"/>
          <w:lang w:val="fr-CH"/>
        </w:rPr>
        <w:t>条，它规定雇主和工人预防危险的责任</w:t>
      </w:r>
      <w:r>
        <w:rPr>
          <w:lang w:val="fr-CH"/>
        </w:rPr>
        <w:t> </w:t>
      </w:r>
      <w:r>
        <w:rPr>
          <w:rFonts w:hint="eastAsia"/>
          <w:lang w:val="fr-CH"/>
        </w:rPr>
        <w:t>：“雇主有义务确保其雇员的工作条件不致于使其健康或生命蒙受危险。工人有义务遵守法规和雇主所规定的预防措施、安全措施和健康措施。如有违背，便可中止其工作合同。”</w:t>
      </w:r>
    </w:p>
    <w:p w:rsidR="00000000" w:rsidRDefault="00000000">
      <w:pPr>
        <w:rPr>
          <w:rFonts w:hint="eastAsia"/>
        </w:rPr>
      </w:pPr>
      <w:r>
        <w:rPr>
          <w:rFonts w:hint="eastAsia"/>
          <w:lang w:val="fr-CH"/>
        </w:rPr>
        <w:tab/>
        <w:t xml:space="preserve">126.  </w:t>
      </w:r>
      <w:r>
        <w:rPr>
          <w:rFonts w:hint="eastAsia"/>
          <w:lang w:val="fr-CH"/>
        </w:rPr>
        <w:t>工作场所健康与安全处及其劳工巡视员有义务要求</w:t>
      </w:r>
      <w:r>
        <w:rPr>
          <w:rFonts w:hint="eastAsia"/>
        </w:rPr>
        <w:t>作坊、工厂或其他工作场所的业主遵守有关工作场所健康与安全的最低条件的相关法规，以确保有充足的条件使雇主和工人履行其工作。</w:t>
      </w:r>
    </w:p>
    <w:p w:rsidR="00000000" w:rsidRDefault="00000000">
      <w:pPr>
        <w:rPr>
          <w:rFonts w:hint="eastAsia"/>
        </w:rPr>
      </w:pPr>
      <w:r>
        <w:rPr>
          <w:rFonts w:hint="eastAsia"/>
        </w:rPr>
        <w:tab/>
        <w:t xml:space="preserve">127.  </w:t>
      </w:r>
      <w:r>
        <w:rPr>
          <w:rFonts w:hint="eastAsia"/>
        </w:rPr>
        <w:t>劳动局及其下属办事处颁布有关法规，规定旨在各个工业部门必须实施的措施，以防止工作方面的危险，并监测旨在保护工人健康和安全的预防性措施的实施情况。</w:t>
      </w:r>
    </w:p>
    <w:p w:rsidR="00000000" w:rsidRDefault="00000000">
      <w:pPr>
        <w:rPr>
          <w:rFonts w:hint="eastAsia"/>
        </w:rPr>
      </w:pPr>
      <w:r>
        <w:rPr>
          <w:rFonts w:hint="eastAsia"/>
        </w:rPr>
        <w:tab/>
        <w:t xml:space="preserve">128.  </w:t>
      </w:r>
      <w:r>
        <w:rPr>
          <w:rFonts w:hint="eastAsia"/>
        </w:rPr>
        <w:t>在那些存在工作场所危险机制的公司，除了要遵守《劳动法》所规定的防止危险规定，还必须实施社会保障所颁布的规定与标准</w:t>
      </w:r>
      <w:r>
        <w:rPr>
          <w:rFonts w:hint="eastAsia"/>
        </w:rPr>
        <w:t>(</w:t>
      </w:r>
      <w:r>
        <w:rPr>
          <w:rFonts w:hint="eastAsia"/>
        </w:rPr>
        <w:t>《劳动法》第</w:t>
      </w:r>
      <w:r>
        <w:rPr>
          <w:rFonts w:hint="eastAsia"/>
        </w:rPr>
        <w:t>418</w:t>
      </w:r>
      <w:r>
        <w:rPr>
          <w:rFonts w:hint="eastAsia"/>
        </w:rPr>
        <w:t>、</w:t>
      </w:r>
      <w:r>
        <w:rPr>
          <w:rFonts w:hint="eastAsia"/>
        </w:rPr>
        <w:t>434</w:t>
      </w:r>
      <w:r>
        <w:rPr>
          <w:rFonts w:hint="eastAsia"/>
        </w:rPr>
        <w:t>和</w:t>
      </w:r>
      <w:r>
        <w:rPr>
          <w:rFonts w:hint="eastAsia"/>
        </w:rPr>
        <w:t>438</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129.  </w:t>
      </w:r>
      <w:r>
        <w:rPr>
          <w:rFonts w:hint="eastAsia"/>
        </w:rPr>
        <w:t>根据《劳动法》第</w:t>
      </w:r>
      <w:r>
        <w:rPr>
          <w:rFonts w:hint="eastAsia"/>
        </w:rPr>
        <w:t>443</w:t>
      </w:r>
      <w:r>
        <w:rPr>
          <w:rFonts w:hint="eastAsia"/>
        </w:rPr>
        <w:t>条的规定，劳动与人力资源部有权“如果工作场所或合作社的工人健康与安全受到危险或遭到损害、或法定的健康与安全措施被违反，则可暂停其活动或将其关闭，而不妨碍采取进一步的法律惩罚措施。采取这项决定之前，需要事先征求工作场所健康与安全处领导的意见。”</w:t>
      </w:r>
    </w:p>
    <w:p w:rsidR="00000000" w:rsidRDefault="00000000">
      <w:pPr>
        <w:rPr>
          <w:rFonts w:hint="eastAsia"/>
        </w:rPr>
      </w:pPr>
      <w:r>
        <w:rPr>
          <w:rFonts w:hint="eastAsia"/>
        </w:rPr>
        <w:tab/>
        <w:t xml:space="preserve">130.  </w:t>
      </w:r>
      <w:r>
        <w:rPr>
          <w:rFonts w:hint="eastAsia"/>
        </w:rPr>
        <w:t>有关工作场所安全的所有现行法规如下：</w:t>
      </w:r>
    </w:p>
    <w:p w:rsidR="00000000" w:rsidRDefault="00000000">
      <w:pPr>
        <w:numPr>
          <w:ilvl w:val="0"/>
          <w:numId w:val="148"/>
        </w:numPr>
        <w:rPr>
          <w:rFonts w:hint="eastAsia"/>
        </w:rPr>
      </w:pPr>
      <w:r>
        <w:rPr>
          <w:rFonts w:hint="eastAsia"/>
        </w:rPr>
        <w:t>关于公司医疗服务的规定；</w:t>
      </w:r>
    </w:p>
    <w:p w:rsidR="00000000" w:rsidRDefault="00000000">
      <w:pPr>
        <w:numPr>
          <w:ilvl w:val="0"/>
          <w:numId w:val="148"/>
        </w:numPr>
        <w:rPr>
          <w:rFonts w:hint="eastAsia"/>
        </w:rPr>
      </w:pPr>
      <w:r>
        <w:rPr>
          <w:rFonts w:hint="eastAsia"/>
        </w:rPr>
        <w:t>关于工人健康与安全以及改进工作场所环境的规定，</w:t>
      </w:r>
      <w:r>
        <w:rPr>
          <w:rFonts w:hint="eastAsia"/>
        </w:rPr>
        <w:t>1986</w:t>
      </w:r>
      <w:r>
        <w:rPr>
          <w:rFonts w:hint="eastAsia"/>
        </w:rPr>
        <w:t>年</w:t>
      </w:r>
      <w:r>
        <w:rPr>
          <w:rFonts w:hint="eastAsia"/>
        </w:rPr>
        <w:t>11</w:t>
      </w:r>
      <w:r>
        <w:rPr>
          <w:rFonts w:hint="eastAsia"/>
        </w:rPr>
        <w:t>月</w:t>
      </w:r>
      <w:r>
        <w:rPr>
          <w:rFonts w:hint="eastAsia"/>
        </w:rPr>
        <w:t>17</w:t>
      </w:r>
      <w:r>
        <w:rPr>
          <w:rFonts w:hint="eastAsia"/>
        </w:rPr>
        <w:t>日发表于《官方公告》第</w:t>
      </w:r>
      <w:r>
        <w:rPr>
          <w:rFonts w:hint="eastAsia"/>
        </w:rPr>
        <w:t>565</w:t>
      </w:r>
      <w:r>
        <w:rPr>
          <w:rFonts w:hint="eastAsia"/>
        </w:rPr>
        <w:t>号，而后经过修改</w:t>
      </w:r>
      <w:r>
        <w:rPr>
          <w:rFonts w:hint="eastAsia"/>
        </w:rPr>
        <w:t>(1988</w:t>
      </w:r>
      <w:r>
        <w:rPr>
          <w:rFonts w:hint="eastAsia"/>
        </w:rPr>
        <w:t>年</w:t>
      </w:r>
      <w:r>
        <w:rPr>
          <w:rFonts w:hint="eastAsia"/>
        </w:rPr>
        <w:t>8</w:t>
      </w:r>
      <w:r>
        <w:rPr>
          <w:rFonts w:hint="eastAsia"/>
        </w:rPr>
        <w:t>月</w:t>
      </w:r>
      <w:r>
        <w:rPr>
          <w:rFonts w:hint="eastAsia"/>
        </w:rPr>
        <w:t>10</w:t>
      </w:r>
      <w:r>
        <w:rPr>
          <w:rFonts w:hint="eastAsia"/>
        </w:rPr>
        <w:t>日《官方公告》第</w:t>
      </w:r>
      <w:r>
        <w:rPr>
          <w:rFonts w:hint="eastAsia"/>
        </w:rPr>
        <w:t>997</w:t>
      </w:r>
      <w:r>
        <w:rPr>
          <w:rFonts w:hint="eastAsia"/>
        </w:rPr>
        <w:t>号</w:t>
      </w:r>
      <w:r>
        <w:rPr>
          <w:rFonts w:hint="eastAsia"/>
        </w:rPr>
        <w:t>)</w:t>
      </w:r>
      <w:r>
        <w:rPr>
          <w:rFonts w:hint="eastAsia"/>
        </w:rPr>
        <w:t>；</w:t>
      </w:r>
    </w:p>
    <w:p w:rsidR="00000000" w:rsidRDefault="00000000">
      <w:pPr>
        <w:numPr>
          <w:ilvl w:val="0"/>
          <w:numId w:val="148"/>
        </w:numPr>
        <w:rPr>
          <w:rFonts w:hint="eastAsia"/>
        </w:rPr>
      </w:pPr>
      <w:r>
        <w:rPr>
          <w:rFonts w:hint="eastAsia"/>
        </w:rPr>
        <w:t>矿井安全规定，</w:t>
      </w:r>
      <w:r>
        <w:rPr>
          <w:rFonts w:hint="eastAsia"/>
        </w:rPr>
        <w:t>1986</w:t>
      </w:r>
      <w:r>
        <w:rPr>
          <w:rFonts w:hint="eastAsia"/>
        </w:rPr>
        <w:t>年</w:t>
      </w:r>
      <w:r>
        <w:rPr>
          <w:rFonts w:hint="eastAsia"/>
        </w:rPr>
        <w:t>7</w:t>
      </w:r>
      <w:r>
        <w:rPr>
          <w:rFonts w:hint="eastAsia"/>
        </w:rPr>
        <w:t>月</w:t>
      </w:r>
      <w:r>
        <w:rPr>
          <w:rFonts w:hint="eastAsia"/>
        </w:rPr>
        <w:t>30</w:t>
      </w:r>
      <w:r>
        <w:rPr>
          <w:rFonts w:hint="eastAsia"/>
        </w:rPr>
        <w:t>日公布于《公告》第</w:t>
      </w:r>
      <w:r>
        <w:rPr>
          <w:rFonts w:hint="eastAsia"/>
        </w:rPr>
        <w:t>999</w:t>
      </w:r>
      <w:r>
        <w:rPr>
          <w:rFonts w:hint="eastAsia"/>
        </w:rPr>
        <w:t>号；</w:t>
      </w:r>
    </w:p>
    <w:p w:rsidR="00000000" w:rsidRDefault="00000000">
      <w:pPr>
        <w:numPr>
          <w:ilvl w:val="0"/>
          <w:numId w:val="148"/>
        </w:numPr>
        <w:rPr>
          <w:rFonts w:hint="eastAsia"/>
        </w:rPr>
      </w:pPr>
      <w:r>
        <w:rPr>
          <w:rFonts w:hint="eastAsia"/>
        </w:rPr>
        <w:t>关于在电力设施中的工作场所安全与防止事故的规定，</w:t>
      </w:r>
      <w:r>
        <w:rPr>
          <w:rFonts w:hint="eastAsia"/>
        </w:rPr>
        <w:t>1999</w:t>
      </w:r>
      <w:r>
        <w:rPr>
          <w:rFonts w:hint="eastAsia"/>
        </w:rPr>
        <w:t>年</w:t>
      </w:r>
      <w:r>
        <w:rPr>
          <w:rFonts w:hint="eastAsia"/>
        </w:rPr>
        <w:t>2</w:t>
      </w:r>
      <w:r>
        <w:rPr>
          <w:rFonts w:hint="eastAsia"/>
        </w:rPr>
        <w:t>月</w:t>
      </w:r>
      <w:r>
        <w:rPr>
          <w:rFonts w:hint="eastAsia"/>
        </w:rPr>
        <w:t>3</w:t>
      </w:r>
      <w:r>
        <w:rPr>
          <w:rFonts w:hint="eastAsia"/>
        </w:rPr>
        <w:t>日公布于《官方公告》第</w:t>
      </w:r>
      <w:r>
        <w:rPr>
          <w:rFonts w:hint="eastAsia"/>
        </w:rPr>
        <w:t>249</w:t>
      </w:r>
      <w:r>
        <w:rPr>
          <w:rFonts w:hint="eastAsia"/>
        </w:rPr>
        <w:t>号；</w:t>
      </w:r>
    </w:p>
    <w:p w:rsidR="00000000" w:rsidRDefault="00000000">
      <w:pPr>
        <w:numPr>
          <w:ilvl w:val="0"/>
          <w:numId w:val="148"/>
        </w:numPr>
        <w:rPr>
          <w:rFonts w:hint="eastAsia"/>
        </w:rPr>
      </w:pPr>
      <w:r>
        <w:rPr>
          <w:rFonts w:hint="eastAsia"/>
        </w:rPr>
        <w:t>公共部门建筑项目安全的规定，</w:t>
      </w:r>
      <w:r>
        <w:rPr>
          <w:rFonts w:hint="eastAsia"/>
        </w:rPr>
        <w:t>1999</w:t>
      </w:r>
      <w:r>
        <w:rPr>
          <w:rFonts w:hint="eastAsia"/>
        </w:rPr>
        <w:t>年</w:t>
      </w:r>
      <w:r>
        <w:rPr>
          <w:rFonts w:hint="eastAsia"/>
        </w:rPr>
        <w:t>2</w:t>
      </w:r>
      <w:r>
        <w:rPr>
          <w:rFonts w:hint="eastAsia"/>
        </w:rPr>
        <w:t>月</w:t>
      </w:r>
      <w:r>
        <w:rPr>
          <w:rFonts w:hint="eastAsia"/>
        </w:rPr>
        <w:t>9</w:t>
      </w:r>
      <w:r>
        <w:rPr>
          <w:rFonts w:hint="eastAsia"/>
        </w:rPr>
        <w:t>日发表于《官方公告》第</w:t>
      </w:r>
      <w:r>
        <w:rPr>
          <w:rFonts w:hint="eastAsia"/>
        </w:rPr>
        <w:t>253</w:t>
      </w:r>
      <w:r>
        <w:rPr>
          <w:rFonts w:hint="eastAsia"/>
        </w:rPr>
        <w:t>号。</w:t>
      </w:r>
    </w:p>
    <w:p w:rsidR="00000000" w:rsidRDefault="00000000">
      <w:pPr>
        <w:rPr>
          <w:rFonts w:hint="eastAsia"/>
        </w:rPr>
      </w:pPr>
      <w:r>
        <w:rPr>
          <w:rFonts w:hint="eastAsia"/>
        </w:rPr>
        <w:tab/>
        <w:t xml:space="preserve">131.  </w:t>
      </w:r>
      <w:r>
        <w:rPr>
          <w:rFonts w:hint="eastAsia"/>
        </w:rPr>
        <w:t>所采取的行政措施必须服从相关法律规定和条例。</w:t>
      </w:r>
    </w:p>
    <w:p w:rsidR="00000000" w:rsidRDefault="00000000">
      <w:pPr>
        <w:spacing w:after="320"/>
        <w:rPr>
          <w:rFonts w:hint="eastAsia"/>
        </w:rPr>
      </w:pPr>
      <w:r>
        <w:rPr>
          <w:rFonts w:hint="eastAsia"/>
        </w:rPr>
        <w:tab/>
        <w:t xml:space="preserve">132.  </w:t>
      </w:r>
      <w:r>
        <w:rPr>
          <w:rFonts w:hint="eastAsia"/>
        </w:rPr>
        <w:t>监测上述标准实施的机制与程序包括劳动与人力资源部计划与项目，以及工人、工会或工作委员会有关违反规定的投诉。厄瓜多尔关于工作场所健康与安全的标准并不排除任何一类工人，这些标准适用于全体工人。</w:t>
      </w:r>
    </w:p>
    <w:p w:rsidR="00000000" w:rsidRDefault="00000000">
      <w:pPr>
        <w:pStyle w:val="Heading3"/>
        <w:spacing w:after="160"/>
        <w:rPr>
          <w:rFonts w:hint="eastAsia"/>
        </w:rPr>
      </w:pPr>
      <w:r>
        <w:rPr>
          <w:rFonts w:hint="eastAsia"/>
        </w:rPr>
        <w:t>工作场所事故与工伤疾病的统计数字</w:t>
      </w:r>
    </w:p>
    <w:p w:rsidR="00000000" w:rsidRDefault="00000000">
      <w:pPr>
        <w:pStyle w:val="Heading3"/>
        <w:spacing w:after="160"/>
        <w:rPr>
          <w:rFonts w:hint="eastAsia"/>
        </w:rPr>
      </w:pPr>
      <w:r>
        <w:rPr>
          <w:rFonts w:hint="eastAsia"/>
        </w:rPr>
        <w:t>工作场所事故与工伤疾病的数量</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87"/>
        <w:gridCol w:w="1595"/>
        <w:gridCol w:w="1468"/>
        <w:gridCol w:w="1560"/>
        <w:gridCol w:w="1560"/>
        <w:gridCol w:w="1686"/>
      </w:tblGrid>
      <w:tr w:rsidR="00000000">
        <w:tblPrEx>
          <w:tblCellMar>
            <w:top w:w="0" w:type="dxa"/>
            <w:bottom w:w="0" w:type="dxa"/>
          </w:tblCellMar>
        </w:tblPrEx>
        <w:trPr>
          <w:cantSplit/>
        </w:trPr>
        <w:tc>
          <w:tcPr>
            <w:tcW w:w="1487" w:type="dxa"/>
            <w:vMerge w:val="restart"/>
            <w:vAlign w:val="center"/>
          </w:tcPr>
          <w:p w:rsidR="00000000" w:rsidRDefault="00000000">
            <w:pPr>
              <w:pStyle w:val="a2"/>
              <w:jc w:val="center"/>
              <w:rPr>
                <w:rFonts w:hint="eastAsia"/>
              </w:rPr>
            </w:pPr>
            <w:r>
              <w:rPr>
                <w:rFonts w:hint="eastAsia"/>
              </w:rPr>
              <w:t>年</w:t>
            </w:r>
            <w:r>
              <w:rPr>
                <w:rFonts w:hint="eastAsia"/>
              </w:rPr>
              <w:t xml:space="preserve">  </w:t>
            </w:r>
            <w:r>
              <w:rPr>
                <w:rFonts w:hint="eastAsia"/>
              </w:rPr>
              <w:t>度</w:t>
            </w:r>
          </w:p>
        </w:tc>
        <w:tc>
          <w:tcPr>
            <w:tcW w:w="4623" w:type="dxa"/>
            <w:gridSpan w:val="3"/>
            <w:tcBorders>
              <w:top w:val="single" w:sz="4" w:space="0" w:color="auto"/>
              <w:bottom w:val="single" w:sz="4" w:space="0" w:color="auto"/>
            </w:tcBorders>
          </w:tcPr>
          <w:p w:rsidR="00000000" w:rsidRDefault="00000000">
            <w:pPr>
              <w:pStyle w:val="a2"/>
              <w:jc w:val="center"/>
              <w:rPr>
                <w:rFonts w:hint="eastAsia"/>
              </w:rPr>
            </w:pPr>
            <w:r>
              <w:rPr>
                <w:rFonts w:hint="eastAsia"/>
              </w:rPr>
              <w:t>丧失能力种类</w:t>
            </w:r>
          </w:p>
        </w:tc>
        <w:tc>
          <w:tcPr>
            <w:tcW w:w="1560" w:type="dxa"/>
            <w:vMerge w:val="restart"/>
            <w:vAlign w:val="center"/>
          </w:tcPr>
          <w:p w:rsidR="00000000" w:rsidRDefault="00000000">
            <w:pPr>
              <w:pStyle w:val="a2"/>
              <w:jc w:val="center"/>
              <w:rPr>
                <w:rFonts w:hint="eastAsia"/>
              </w:rPr>
            </w:pPr>
            <w:r>
              <w:rPr>
                <w:rFonts w:hint="eastAsia"/>
              </w:rPr>
              <w:t>总</w:t>
            </w:r>
            <w:r>
              <w:rPr>
                <w:rFonts w:hint="eastAsia"/>
              </w:rPr>
              <w:t xml:space="preserve">  </w:t>
            </w:r>
            <w:r>
              <w:rPr>
                <w:rFonts w:hint="eastAsia"/>
              </w:rPr>
              <w:t>计</w:t>
            </w:r>
          </w:p>
        </w:tc>
        <w:tc>
          <w:tcPr>
            <w:tcW w:w="1686" w:type="dxa"/>
            <w:vMerge w:val="restart"/>
            <w:vAlign w:val="center"/>
          </w:tcPr>
          <w:p w:rsidR="00000000" w:rsidRDefault="00000000">
            <w:pPr>
              <w:pStyle w:val="a2"/>
              <w:jc w:val="center"/>
              <w:rPr>
                <w:rFonts w:hint="eastAsia"/>
              </w:rPr>
            </w:pPr>
            <w:r>
              <w:rPr>
                <w:rFonts w:hint="eastAsia"/>
              </w:rPr>
              <w:t>成员数量</w:t>
            </w:r>
          </w:p>
        </w:tc>
      </w:tr>
      <w:tr w:rsidR="00000000">
        <w:tblPrEx>
          <w:tblCellMar>
            <w:top w:w="0" w:type="dxa"/>
            <w:bottom w:w="0" w:type="dxa"/>
          </w:tblCellMar>
        </w:tblPrEx>
        <w:trPr>
          <w:cantSplit/>
        </w:trPr>
        <w:tc>
          <w:tcPr>
            <w:tcW w:w="1487" w:type="dxa"/>
            <w:vMerge/>
            <w:tcBorders>
              <w:bottom w:val="single" w:sz="4" w:space="0" w:color="auto"/>
            </w:tcBorders>
          </w:tcPr>
          <w:p w:rsidR="00000000" w:rsidRDefault="00000000">
            <w:pPr>
              <w:pStyle w:val="a2"/>
            </w:pPr>
          </w:p>
        </w:tc>
        <w:tc>
          <w:tcPr>
            <w:tcW w:w="1595" w:type="dxa"/>
            <w:tcBorders>
              <w:top w:val="single" w:sz="4" w:space="0" w:color="auto"/>
              <w:bottom w:val="single" w:sz="4" w:space="0" w:color="auto"/>
            </w:tcBorders>
          </w:tcPr>
          <w:p w:rsidR="00000000" w:rsidRDefault="00000000">
            <w:pPr>
              <w:pStyle w:val="a2"/>
              <w:jc w:val="center"/>
              <w:rPr>
                <w:rFonts w:hint="eastAsia"/>
              </w:rPr>
            </w:pPr>
            <w:r>
              <w:rPr>
                <w:rFonts w:hint="eastAsia"/>
              </w:rPr>
              <w:t>暂</w:t>
            </w:r>
            <w:r>
              <w:rPr>
                <w:rFonts w:hint="eastAsia"/>
              </w:rPr>
              <w:t xml:space="preserve">  </w:t>
            </w:r>
            <w:r>
              <w:rPr>
                <w:rFonts w:hint="eastAsia"/>
              </w:rPr>
              <w:t>时</w:t>
            </w:r>
          </w:p>
        </w:tc>
        <w:tc>
          <w:tcPr>
            <w:tcW w:w="1468" w:type="dxa"/>
            <w:tcBorders>
              <w:top w:val="single" w:sz="4" w:space="0" w:color="auto"/>
              <w:bottom w:val="single" w:sz="4" w:space="0" w:color="auto"/>
            </w:tcBorders>
          </w:tcPr>
          <w:p w:rsidR="00000000" w:rsidRDefault="00000000">
            <w:pPr>
              <w:pStyle w:val="a2"/>
              <w:jc w:val="center"/>
              <w:rPr>
                <w:rFonts w:hint="eastAsia"/>
              </w:rPr>
            </w:pPr>
            <w:r>
              <w:rPr>
                <w:rFonts w:hint="eastAsia"/>
              </w:rPr>
              <w:t>永</w:t>
            </w:r>
            <w:r>
              <w:rPr>
                <w:rFonts w:hint="eastAsia"/>
              </w:rPr>
              <w:t xml:space="preserve">  </w:t>
            </w:r>
            <w:r>
              <w:rPr>
                <w:rFonts w:hint="eastAsia"/>
              </w:rPr>
              <w:t>久</w:t>
            </w:r>
          </w:p>
        </w:tc>
        <w:tc>
          <w:tcPr>
            <w:tcW w:w="1560" w:type="dxa"/>
            <w:tcBorders>
              <w:top w:val="single" w:sz="4" w:space="0" w:color="auto"/>
              <w:bottom w:val="single" w:sz="4" w:space="0" w:color="auto"/>
            </w:tcBorders>
          </w:tcPr>
          <w:p w:rsidR="00000000" w:rsidRDefault="00000000">
            <w:pPr>
              <w:pStyle w:val="a2"/>
              <w:jc w:val="center"/>
              <w:rPr>
                <w:rFonts w:hint="eastAsia"/>
              </w:rPr>
            </w:pPr>
            <w:r>
              <w:rPr>
                <w:rFonts w:hint="eastAsia"/>
              </w:rPr>
              <w:t>死</w:t>
            </w:r>
            <w:r>
              <w:rPr>
                <w:rFonts w:hint="eastAsia"/>
              </w:rPr>
              <w:t xml:space="preserve">  </w:t>
            </w:r>
            <w:r>
              <w:rPr>
                <w:rFonts w:hint="eastAsia"/>
              </w:rPr>
              <w:t>亡</w:t>
            </w:r>
          </w:p>
        </w:tc>
        <w:tc>
          <w:tcPr>
            <w:tcW w:w="1560" w:type="dxa"/>
            <w:vMerge/>
            <w:tcBorders>
              <w:bottom w:val="single" w:sz="4" w:space="0" w:color="auto"/>
            </w:tcBorders>
          </w:tcPr>
          <w:p w:rsidR="00000000" w:rsidRDefault="00000000">
            <w:pPr>
              <w:pStyle w:val="a2"/>
            </w:pPr>
          </w:p>
        </w:tc>
        <w:tc>
          <w:tcPr>
            <w:tcW w:w="1686" w:type="dxa"/>
            <w:vMerge/>
            <w:tcBorders>
              <w:bottom w:val="single" w:sz="4" w:space="0" w:color="auto"/>
            </w:tcBorders>
          </w:tcPr>
          <w:p w:rsidR="00000000" w:rsidRDefault="00000000">
            <w:pPr>
              <w:pStyle w:val="a2"/>
            </w:pPr>
          </w:p>
        </w:tc>
      </w:tr>
      <w:tr w:rsidR="00000000">
        <w:tblPrEx>
          <w:tblCellMar>
            <w:top w:w="0" w:type="dxa"/>
            <w:bottom w:w="0" w:type="dxa"/>
          </w:tblCellMar>
        </w:tblPrEx>
        <w:tc>
          <w:tcPr>
            <w:tcW w:w="1487" w:type="dxa"/>
            <w:tcBorders>
              <w:top w:val="single" w:sz="4" w:space="0" w:color="auto"/>
              <w:bottom w:val="nil"/>
            </w:tcBorders>
          </w:tcPr>
          <w:p w:rsidR="00000000" w:rsidRDefault="00000000">
            <w:pPr>
              <w:pStyle w:val="a2"/>
              <w:jc w:val="center"/>
            </w:pPr>
            <w:r>
              <w:t>1990</w:t>
            </w:r>
          </w:p>
        </w:tc>
        <w:tc>
          <w:tcPr>
            <w:tcW w:w="1595" w:type="dxa"/>
            <w:tcBorders>
              <w:top w:val="single" w:sz="4" w:space="0" w:color="auto"/>
              <w:bottom w:val="nil"/>
            </w:tcBorders>
          </w:tcPr>
          <w:p w:rsidR="00000000" w:rsidRDefault="00000000">
            <w:pPr>
              <w:pStyle w:val="a2"/>
              <w:ind w:right="397"/>
              <w:jc w:val="right"/>
            </w:pPr>
            <w:r>
              <w:t>4,185</w:t>
            </w:r>
          </w:p>
        </w:tc>
        <w:tc>
          <w:tcPr>
            <w:tcW w:w="1468" w:type="dxa"/>
            <w:tcBorders>
              <w:top w:val="single" w:sz="4" w:space="0" w:color="auto"/>
              <w:bottom w:val="nil"/>
            </w:tcBorders>
          </w:tcPr>
          <w:p w:rsidR="00000000" w:rsidRDefault="00000000">
            <w:pPr>
              <w:pStyle w:val="a2"/>
              <w:ind w:right="454"/>
              <w:jc w:val="right"/>
            </w:pPr>
            <w:r>
              <w:t>224</w:t>
            </w:r>
          </w:p>
        </w:tc>
        <w:tc>
          <w:tcPr>
            <w:tcW w:w="1560" w:type="dxa"/>
            <w:tcBorders>
              <w:top w:val="single" w:sz="4" w:space="0" w:color="auto"/>
              <w:bottom w:val="nil"/>
            </w:tcBorders>
          </w:tcPr>
          <w:p w:rsidR="00000000" w:rsidRDefault="00000000">
            <w:pPr>
              <w:pStyle w:val="a2"/>
              <w:ind w:right="510"/>
              <w:jc w:val="right"/>
            </w:pPr>
            <w:r>
              <w:t>192</w:t>
            </w:r>
          </w:p>
        </w:tc>
        <w:tc>
          <w:tcPr>
            <w:tcW w:w="1560" w:type="dxa"/>
            <w:tcBorders>
              <w:top w:val="single" w:sz="4" w:space="0" w:color="auto"/>
              <w:bottom w:val="nil"/>
            </w:tcBorders>
          </w:tcPr>
          <w:p w:rsidR="00000000" w:rsidRDefault="00000000">
            <w:pPr>
              <w:pStyle w:val="a2"/>
              <w:ind w:right="397"/>
              <w:jc w:val="right"/>
            </w:pPr>
            <w:r>
              <w:t>4,601</w:t>
            </w:r>
          </w:p>
        </w:tc>
        <w:tc>
          <w:tcPr>
            <w:tcW w:w="1686" w:type="dxa"/>
            <w:tcBorders>
              <w:top w:val="single" w:sz="4" w:space="0" w:color="auto"/>
              <w:bottom w:val="nil"/>
            </w:tcBorders>
          </w:tcPr>
          <w:p w:rsidR="00000000" w:rsidRDefault="00000000">
            <w:pPr>
              <w:pStyle w:val="a2"/>
              <w:ind w:right="284"/>
              <w:jc w:val="right"/>
            </w:pPr>
            <w:r>
              <w:t>802,140</w:t>
            </w:r>
          </w:p>
        </w:tc>
      </w:tr>
      <w:tr w:rsidR="00000000">
        <w:tblPrEx>
          <w:tblCellMar>
            <w:top w:w="0" w:type="dxa"/>
            <w:bottom w:w="0" w:type="dxa"/>
          </w:tblCellMar>
        </w:tblPrEx>
        <w:tc>
          <w:tcPr>
            <w:tcW w:w="1487" w:type="dxa"/>
            <w:tcBorders>
              <w:top w:val="nil"/>
            </w:tcBorders>
          </w:tcPr>
          <w:p w:rsidR="00000000" w:rsidRDefault="00000000">
            <w:pPr>
              <w:pStyle w:val="a2"/>
              <w:jc w:val="center"/>
            </w:pPr>
            <w:r>
              <w:t>1991</w:t>
            </w:r>
          </w:p>
        </w:tc>
        <w:tc>
          <w:tcPr>
            <w:tcW w:w="1595" w:type="dxa"/>
            <w:tcBorders>
              <w:top w:val="nil"/>
            </w:tcBorders>
          </w:tcPr>
          <w:p w:rsidR="00000000" w:rsidRDefault="00000000">
            <w:pPr>
              <w:pStyle w:val="a2"/>
              <w:ind w:right="397"/>
              <w:jc w:val="right"/>
            </w:pPr>
            <w:r>
              <w:t>4,216</w:t>
            </w:r>
          </w:p>
        </w:tc>
        <w:tc>
          <w:tcPr>
            <w:tcW w:w="1468" w:type="dxa"/>
            <w:tcBorders>
              <w:top w:val="nil"/>
            </w:tcBorders>
          </w:tcPr>
          <w:p w:rsidR="00000000" w:rsidRDefault="00000000">
            <w:pPr>
              <w:pStyle w:val="a2"/>
              <w:ind w:right="454"/>
              <w:jc w:val="right"/>
            </w:pPr>
            <w:r>
              <w:t>330</w:t>
            </w:r>
          </w:p>
        </w:tc>
        <w:tc>
          <w:tcPr>
            <w:tcW w:w="1560" w:type="dxa"/>
            <w:tcBorders>
              <w:top w:val="nil"/>
            </w:tcBorders>
          </w:tcPr>
          <w:p w:rsidR="00000000" w:rsidRDefault="00000000">
            <w:pPr>
              <w:pStyle w:val="a2"/>
              <w:ind w:right="510"/>
              <w:jc w:val="right"/>
            </w:pPr>
            <w:r>
              <w:t>162</w:t>
            </w:r>
          </w:p>
        </w:tc>
        <w:tc>
          <w:tcPr>
            <w:tcW w:w="1560" w:type="dxa"/>
            <w:tcBorders>
              <w:top w:val="nil"/>
            </w:tcBorders>
          </w:tcPr>
          <w:p w:rsidR="00000000" w:rsidRDefault="00000000">
            <w:pPr>
              <w:pStyle w:val="a2"/>
              <w:ind w:right="397"/>
              <w:jc w:val="right"/>
            </w:pPr>
            <w:r>
              <w:t>4,708</w:t>
            </w:r>
          </w:p>
        </w:tc>
        <w:tc>
          <w:tcPr>
            <w:tcW w:w="1686" w:type="dxa"/>
            <w:tcBorders>
              <w:top w:val="nil"/>
            </w:tcBorders>
          </w:tcPr>
          <w:p w:rsidR="00000000" w:rsidRDefault="00000000">
            <w:pPr>
              <w:pStyle w:val="a2"/>
              <w:ind w:right="284"/>
              <w:jc w:val="right"/>
            </w:pPr>
            <w:r>
              <w:t>866,018</w:t>
            </w:r>
          </w:p>
        </w:tc>
      </w:tr>
      <w:tr w:rsidR="00000000">
        <w:tblPrEx>
          <w:tblCellMar>
            <w:top w:w="0" w:type="dxa"/>
            <w:bottom w:w="0" w:type="dxa"/>
          </w:tblCellMar>
        </w:tblPrEx>
        <w:tc>
          <w:tcPr>
            <w:tcW w:w="1487" w:type="dxa"/>
          </w:tcPr>
          <w:p w:rsidR="00000000" w:rsidRDefault="00000000">
            <w:pPr>
              <w:pStyle w:val="a2"/>
              <w:jc w:val="center"/>
            </w:pPr>
            <w:r>
              <w:t>1992</w:t>
            </w:r>
          </w:p>
        </w:tc>
        <w:tc>
          <w:tcPr>
            <w:tcW w:w="1595" w:type="dxa"/>
          </w:tcPr>
          <w:p w:rsidR="00000000" w:rsidRDefault="00000000">
            <w:pPr>
              <w:pStyle w:val="a2"/>
              <w:ind w:right="397"/>
              <w:jc w:val="right"/>
            </w:pPr>
            <w:r>
              <w:t>3,333</w:t>
            </w:r>
          </w:p>
        </w:tc>
        <w:tc>
          <w:tcPr>
            <w:tcW w:w="1468" w:type="dxa"/>
          </w:tcPr>
          <w:p w:rsidR="00000000" w:rsidRDefault="00000000">
            <w:pPr>
              <w:pStyle w:val="a2"/>
              <w:ind w:right="454"/>
              <w:jc w:val="right"/>
            </w:pPr>
            <w:r>
              <w:t>290</w:t>
            </w:r>
          </w:p>
        </w:tc>
        <w:tc>
          <w:tcPr>
            <w:tcW w:w="1560" w:type="dxa"/>
          </w:tcPr>
          <w:p w:rsidR="00000000" w:rsidRDefault="00000000">
            <w:pPr>
              <w:pStyle w:val="a2"/>
              <w:ind w:right="510"/>
              <w:jc w:val="right"/>
            </w:pPr>
            <w:r>
              <w:t>157</w:t>
            </w:r>
          </w:p>
        </w:tc>
        <w:tc>
          <w:tcPr>
            <w:tcW w:w="1560" w:type="dxa"/>
          </w:tcPr>
          <w:p w:rsidR="00000000" w:rsidRDefault="00000000">
            <w:pPr>
              <w:pStyle w:val="a2"/>
              <w:ind w:right="397"/>
              <w:jc w:val="right"/>
            </w:pPr>
            <w:r>
              <w:t>3,780</w:t>
            </w:r>
          </w:p>
        </w:tc>
        <w:tc>
          <w:tcPr>
            <w:tcW w:w="1686" w:type="dxa"/>
          </w:tcPr>
          <w:p w:rsidR="00000000" w:rsidRDefault="00000000">
            <w:pPr>
              <w:pStyle w:val="a2"/>
              <w:ind w:right="284"/>
              <w:jc w:val="right"/>
            </w:pPr>
            <w:r>
              <w:t>984,596</w:t>
            </w:r>
          </w:p>
        </w:tc>
      </w:tr>
      <w:tr w:rsidR="00000000">
        <w:tblPrEx>
          <w:tblCellMar>
            <w:top w:w="0" w:type="dxa"/>
            <w:bottom w:w="0" w:type="dxa"/>
          </w:tblCellMar>
        </w:tblPrEx>
        <w:tc>
          <w:tcPr>
            <w:tcW w:w="1487" w:type="dxa"/>
          </w:tcPr>
          <w:p w:rsidR="00000000" w:rsidRDefault="00000000">
            <w:pPr>
              <w:pStyle w:val="a2"/>
              <w:jc w:val="center"/>
            </w:pPr>
            <w:r>
              <w:t>1993</w:t>
            </w:r>
          </w:p>
        </w:tc>
        <w:tc>
          <w:tcPr>
            <w:tcW w:w="1595" w:type="dxa"/>
          </w:tcPr>
          <w:p w:rsidR="00000000" w:rsidRDefault="00000000">
            <w:pPr>
              <w:pStyle w:val="a2"/>
              <w:ind w:right="397"/>
              <w:jc w:val="right"/>
            </w:pPr>
            <w:r>
              <w:t>4,337</w:t>
            </w:r>
          </w:p>
        </w:tc>
        <w:tc>
          <w:tcPr>
            <w:tcW w:w="1468" w:type="dxa"/>
          </w:tcPr>
          <w:p w:rsidR="00000000" w:rsidRDefault="00000000">
            <w:pPr>
              <w:pStyle w:val="a2"/>
              <w:ind w:right="454"/>
              <w:jc w:val="right"/>
            </w:pPr>
            <w:r>
              <w:t>343</w:t>
            </w:r>
          </w:p>
        </w:tc>
        <w:tc>
          <w:tcPr>
            <w:tcW w:w="1560" w:type="dxa"/>
          </w:tcPr>
          <w:p w:rsidR="00000000" w:rsidRDefault="00000000">
            <w:pPr>
              <w:pStyle w:val="a2"/>
              <w:ind w:right="510"/>
              <w:jc w:val="right"/>
            </w:pPr>
            <w:r>
              <w:t>167</w:t>
            </w:r>
          </w:p>
        </w:tc>
        <w:tc>
          <w:tcPr>
            <w:tcW w:w="1560" w:type="dxa"/>
          </w:tcPr>
          <w:p w:rsidR="00000000" w:rsidRDefault="00000000">
            <w:pPr>
              <w:pStyle w:val="a2"/>
              <w:ind w:right="397"/>
              <w:jc w:val="right"/>
            </w:pPr>
            <w:r>
              <w:t>4,847</w:t>
            </w:r>
          </w:p>
        </w:tc>
        <w:tc>
          <w:tcPr>
            <w:tcW w:w="1686" w:type="dxa"/>
          </w:tcPr>
          <w:p w:rsidR="00000000" w:rsidRDefault="00000000">
            <w:pPr>
              <w:pStyle w:val="a2"/>
              <w:ind w:right="284"/>
              <w:jc w:val="right"/>
            </w:pPr>
            <w:r>
              <w:t>1,056,198</w:t>
            </w:r>
          </w:p>
        </w:tc>
      </w:tr>
      <w:tr w:rsidR="00000000">
        <w:tblPrEx>
          <w:tblCellMar>
            <w:top w:w="0" w:type="dxa"/>
            <w:bottom w:w="0" w:type="dxa"/>
          </w:tblCellMar>
        </w:tblPrEx>
        <w:tc>
          <w:tcPr>
            <w:tcW w:w="1487" w:type="dxa"/>
            <w:tcBorders>
              <w:bottom w:val="single" w:sz="4" w:space="0" w:color="auto"/>
            </w:tcBorders>
          </w:tcPr>
          <w:p w:rsidR="00000000" w:rsidRDefault="00000000">
            <w:pPr>
              <w:pStyle w:val="a2"/>
              <w:jc w:val="center"/>
            </w:pPr>
            <w:r>
              <w:t>1994</w:t>
            </w:r>
          </w:p>
        </w:tc>
        <w:tc>
          <w:tcPr>
            <w:tcW w:w="1595" w:type="dxa"/>
            <w:tcBorders>
              <w:bottom w:val="single" w:sz="4" w:space="0" w:color="auto"/>
            </w:tcBorders>
          </w:tcPr>
          <w:p w:rsidR="00000000" w:rsidRDefault="00000000">
            <w:pPr>
              <w:pStyle w:val="a2"/>
              <w:ind w:right="397"/>
              <w:jc w:val="right"/>
            </w:pPr>
            <w:r>
              <w:t>4,014</w:t>
            </w:r>
          </w:p>
        </w:tc>
        <w:tc>
          <w:tcPr>
            <w:tcW w:w="1468" w:type="dxa"/>
            <w:tcBorders>
              <w:bottom w:val="single" w:sz="4" w:space="0" w:color="auto"/>
            </w:tcBorders>
          </w:tcPr>
          <w:p w:rsidR="00000000" w:rsidRDefault="00000000">
            <w:pPr>
              <w:pStyle w:val="a2"/>
              <w:ind w:right="454"/>
              <w:jc w:val="right"/>
            </w:pPr>
            <w:r>
              <w:t>368</w:t>
            </w:r>
          </w:p>
        </w:tc>
        <w:tc>
          <w:tcPr>
            <w:tcW w:w="1560" w:type="dxa"/>
            <w:tcBorders>
              <w:bottom w:val="single" w:sz="4" w:space="0" w:color="auto"/>
            </w:tcBorders>
          </w:tcPr>
          <w:p w:rsidR="00000000" w:rsidRDefault="00000000">
            <w:pPr>
              <w:pStyle w:val="a2"/>
              <w:ind w:right="510"/>
              <w:jc w:val="right"/>
            </w:pPr>
            <w:r>
              <w:t>170</w:t>
            </w:r>
          </w:p>
        </w:tc>
        <w:tc>
          <w:tcPr>
            <w:tcW w:w="1560" w:type="dxa"/>
            <w:tcBorders>
              <w:bottom w:val="single" w:sz="4" w:space="0" w:color="auto"/>
            </w:tcBorders>
          </w:tcPr>
          <w:p w:rsidR="00000000" w:rsidRDefault="00000000">
            <w:pPr>
              <w:pStyle w:val="a2"/>
              <w:ind w:right="397"/>
              <w:jc w:val="right"/>
            </w:pPr>
            <w:r>
              <w:t>4,552</w:t>
            </w:r>
          </w:p>
        </w:tc>
        <w:tc>
          <w:tcPr>
            <w:tcW w:w="1686" w:type="dxa"/>
            <w:tcBorders>
              <w:bottom w:val="single" w:sz="4" w:space="0" w:color="auto"/>
            </w:tcBorders>
          </w:tcPr>
          <w:p w:rsidR="00000000" w:rsidRDefault="00000000">
            <w:pPr>
              <w:pStyle w:val="a2"/>
              <w:ind w:right="284"/>
              <w:jc w:val="right"/>
            </w:pPr>
            <w:r>
              <w:t>1,060,750</w:t>
            </w:r>
          </w:p>
        </w:tc>
      </w:tr>
      <w:tr w:rsidR="00000000">
        <w:tblPrEx>
          <w:tblCellMar>
            <w:top w:w="0" w:type="dxa"/>
            <w:bottom w:w="0" w:type="dxa"/>
          </w:tblCellMar>
        </w:tblPrEx>
        <w:tc>
          <w:tcPr>
            <w:tcW w:w="1487" w:type="dxa"/>
            <w:tcBorders>
              <w:top w:val="single" w:sz="4" w:space="0" w:color="auto"/>
              <w:bottom w:val="single" w:sz="4" w:space="0" w:color="auto"/>
            </w:tcBorders>
          </w:tcPr>
          <w:p w:rsidR="00000000" w:rsidRDefault="00000000">
            <w:pPr>
              <w:pStyle w:val="a2"/>
              <w:rPr>
                <w:rFonts w:hint="eastAsia"/>
              </w:rPr>
            </w:pPr>
            <w:r>
              <w:t xml:space="preserve">   </w:t>
            </w:r>
            <w:r>
              <w:rPr>
                <w:rFonts w:hint="eastAsia"/>
              </w:rPr>
              <w:t>总计</w:t>
            </w:r>
          </w:p>
        </w:tc>
        <w:tc>
          <w:tcPr>
            <w:tcW w:w="1595" w:type="dxa"/>
            <w:tcBorders>
              <w:top w:val="single" w:sz="4" w:space="0" w:color="auto"/>
              <w:bottom w:val="single" w:sz="4" w:space="0" w:color="auto"/>
            </w:tcBorders>
          </w:tcPr>
          <w:p w:rsidR="00000000" w:rsidRDefault="00000000">
            <w:pPr>
              <w:pStyle w:val="a2"/>
              <w:ind w:right="397"/>
              <w:jc w:val="right"/>
            </w:pPr>
            <w:r>
              <w:t>20,085</w:t>
            </w:r>
          </w:p>
        </w:tc>
        <w:tc>
          <w:tcPr>
            <w:tcW w:w="1468" w:type="dxa"/>
            <w:tcBorders>
              <w:top w:val="single" w:sz="4" w:space="0" w:color="auto"/>
              <w:bottom w:val="single" w:sz="4" w:space="0" w:color="auto"/>
            </w:tcBorders>
          </w:tcPr>
          <w:p w:rsidR="00000000" w:rsidRDefault="00000000">
            <w:pPr>
              <w:pStyle w:val="a2"/>
              <w:ind w:right="454"/>
              <w:jc w:val="right"/>
            </w:pPr>
            <w:r>
              <w:t>1,555</w:t>
            </w:r>
          </w:p>
        </w:tc>
        <w:tc>
          <w:tcPr>
            <w:tcW w:w="1560" w:type="dxa"/>
            <w:tcBorders>
              <w:top w:val="single" w:sz="4" w:space="0" w:color="auto"/>
              <w:bottom w:val="single" w:sz="4" w:space="0" w:color="auto"/>
            </w:tcBorders>
          </w:tcPr>
          <w:p w:rsidR="00000000" w:rsidRDefault="00000000">
            <w:pPr>
              <w:pStyle w:val="a2"/>
              <w:ind w:right="510"/>
              <w:jc w:val="right"/>
            </w:pPr>
            <w:r>
              <w:t>848</w:t>
            </w:r>
          </w:p>
        </w:tc>
        <w:tc>
          <w:tcPr>
            <w:tcW w:w="1560" w:type="dxa"/>
            <w:tcBorders>
              <w:top w:val="single" w:sz="4" w:space="0" w:color="auto"/>
              <w:bottom w:val="single" w:sz="4" w:space="0" w:color="auto"/>
            </w:tcBorders>
          </w:tcPr>
          <w:p w:rsidR="00000000" w:rsidRDefault="00000000">
            <w:pPr>
              <w:pStyle w:val="a2"/>
              <w:ind w:right="397"/>
              <w:jc w:val="right"/>
            </w:pPr>
            <w:r>
              <w:t>22,488</w:t>
            </w:r>
          </w:p>
        </w:tc>
        <w:tc>
          <w:tcPr>
            <w:tcW w:w="1686" w:type="dxa"/>
            <w:tcBorders>
              <w:top w:val="single" w:sz="4" w:space="0" w:color="auto"/>
              <w:bottom w:val="single" w:sz="4" w:space="0" w:color="auto"/>
            </w:tcBorders>
          </w:tcPr>
          <w:p w:rsidR="00000000" w:rsidRDefault="00000000">
            <w:pPr>
              <w:pStyle w:val="a2"/>
              <w:ind w:right="284"/>
              <w:jc w:val="right"/>
            </w:pPr>
          </w:p>
        </w:tc>
      </w:tr>
    </w:tbl>
    <w:p w:rsidR="00000000" w:rsidRDefault="00000000">
      <w:pPr>
        <w:rPr>
          <w:rFonts w:hint="eastAsia"/>
        </w:rPr>
      </w:pPr>
    </w:p>
    <w:p w:rsidR="00000000" w:rsidRDefault="00000000">
      <w:pPr>
        <w:pStyle w:val="EndnoteText"/>
        <w:rPr>
          <w:rFonts w:hint="eastAsia"/>
        </w:rPr>
      </w:pPr>
      <w:r>
        <w:rPr>
          <w:rFonts w:hint="eastAsia"/>
          <w:u w:val="single"/>
        </w:rPr>
        <w:t>资料来源</w:t>
      </w:r>
      <w:r>
        <w:rPr>
          <w:rFonts w:hint="eastAsia"/>
        </w:rPr>
        <w:t>：国家统计所社会保障所。</w:t>
      </w:r>
    </w:p>
    <w:p w:rsidR="00000000" w:rsidRDefault="00000000">
      <w:pPr>
        <w:pStyle w:val="Heading3"/>
        <w:spacing w:after="160"/>
        <w:rPr>
          <w:rFonts w:hint="eastAsia"/>
          <w:u w:val="none"/>
        </w:rPr>
      </w:pPr>
      <w:r>
        <w:br w:type="page"/>
      </w:r>
      <w:r>
        <w:rPr>
          <w:rFonts w:hint="eastAsia"/>
        </w:rPr>
        <w:t>工作场所事故与工伤疾病的类别</w:t>
      </w:r>
      <w:r>
        <w:br/>
      </w:r>
      <w:r>
        <w:rPr>
          <w:rFonts w:hint="eastAsia"/>
          <w:u w:val="none"/>
        </w:rPr>
        <w:t>(1989-1992)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0"/>
        <w:gridCol w:w="915"/>
        <w:gridCol w:w="1425"/>
        <w:gridCol w:w="1040"/>
        <w:gridCol w:w="1040"/>
        <w:gridCol w:w="1170"/>
        <w:gridCol w:w="1040"/>
        <w:gridCol w:w="931"/>
      </w:tblGrid>
      <w:tr w:rsidR="00000000">
        <w:tblPrEx>
          <w:tblCellMar>
            <w:top w:w="0" w:type="dxa"/>
            <w:bottom w:w="0" w:type="dxa"/>
          </w:tblCellMar>
        </w:tblPrEx>
        <w:trPr>
          <w:cantSplit/>
        </w:trPr>
        <w:tc>
          <w:tcPr>
            <w:tcW w:w="1760" w:type="dxa"/>
            <w:vMerge w:val="restart"/>
            <w:vAlign w:val="center"/>
          </w:tcPr>
          <w:p w:rsidR="00000000" w:rsidRDefault="00000000">
            <w:pPr>
              <w:pStyle w:val="a2"/>
              <w:jc w:val="center"/>
              <w:rPr>
                <w:rFonts w:hint="eastAsia"/>
                <w:spacing w:val="0"/>
                <w:sz w:val="20"/>
              </w:rPr>
            </w:pPr>
            <w:r>
              <w:rPr>
                <w:rFonts w:hint="eastAsia"/>
                <w:spacing w:val="0"/>
                <w:sz w:val="20"/>
              </w:rPr>
              <w:t>伤害种类</w:t>
            </w:r>
          </w:p>
        </w:tc>
        <w:tc>
          <w:tcPr>
            <w:tcW w:w="5590" w:type="dxa"/>
            <w:gridSpan w:val="5"/>
          </w:tcPr>
          <w:p w:rsidR="00000000" w:rsidRDefault="00000000">
            <w:pPr>
              <w:pStyle w:val="a2"/>
              <w:jc w:val="center"/>
              <w:rPr>
                <w:spacing w:val="0"/>
                <w:sz w:val="20"/>
              </w:rPr>
            </w:pPr>
            <w:r>
              <w:rPr>
                <w:rFonts w:hint="eastAsia"/>
                <w:spacing w:val="0"/>
                <w:sz w:val="20"/>
              </w:rPr>
              <w:t>丧失能力种类</w:t>
            </w:r>
          </w:p>
        </w:tc>
        <w:tc>
          <w:tcPr>
            <w:tcW w:w="1971" w:type="dxa"/>
            <w:gridSpan w:val="2"/>
          </w:tcPr>
          <w:p w:rsidR="00000000" w:rsidRDefault="00000000">
            <w:pPr>
              <w:pStyle w:val="a2"/>
              <w:jc w:val="center"/>
              <w:rPr>
                <w:rFonts w:hint="eastAsia"/>
                <w:spacing w:val="0"/>
                <w:sz w:val="20"/>
              </w:rPr>
            </w:pPr>
            <w:r>
              <w:rPr>
                <w:rFonts w:hint="eastAsia"/>
                <w:spacing w:val="0"/>
                <w:sz w:val="20"/>
              </w:rPr>
              <w:t>总</w:t>
            </w:r>
            <w:r>
              <w:rPr>
                <w:rFonts w:hint="eastAsia"/>
                <w:spacing w:val="0"/>
                <w:sz w:val="20"/>
              </w:rPr>
              <w:t xml:space="preserve">  </w:t>
            </w:r>
            <w:r>
              <w:rPr>
                <w:rFonts w:hint="eastAsia"/>
                <w:spacing w:val="0"/>
                <w:sz w:val="20"/>
              </w:rPr>
              <w:t>计</w:t>
            </w:r>
          </w:p>
        </w:tc>
      </w:tr>
      <w:tr w:rsidR="00000000">
        <w:tblPrEx>
          <w:tblCellMar>
            <w:top w:w="0" w:type="dxa"/>
            <w:bottom w:w="0" w:type="dxa"/>
          </w:tblCellMar>
        </w:tblPrEx>
        <w:trPr>
          <w:cantSplit/>
        </w:trPr>
        <w:tc>
          <w:tcPr>
            <w:tcW w:w="1760" w:type="dxa"/>
            <w:vMerge/>
            <w:tcBorders>
              <w:bottom w:val="single" w:sz="4" w:space="0" w:color="auto"/>
            </w:tcBorders>
          </w:tcPr>
          <w:p w:rsidR="00000000" w:rsidRDefault="00000000">
            <w:pPr>
              <w:pStyle w:val="a2"/>
              <w:rPr>
                <w:spacing w:val="0"/>
                <w:sz w:val="20"/>
              </w:rPr>
            </w:pPr>
          </w:p>
        </w:tc>
        <w:tc>
          <w:tcPr>
            <w:tcW w:w="915" w:type="dxa"/>
            <w:tcBorders>
              <w:bottom w:val="single" w:sz="4" w:space="0" w:color="auto"/>
            </w:tcBorders>
          </w:tcPr>
          <w:p w:rsidR="00000000" w:rsidRDefault="00000000">
            <w:pPr>
              <w:pStyle w:val="a2"/>
              <w:rPr>
                <w:rFonts w:hint="eastAsia"/>
                <w:spacing w:val="0"/>
                <w:sz w:val="20"/>
              </w:rPr>
            </w:pPr>
            <w:r>
              <w:rPr>
                <w:rFonts w:hint="eastAsia"/>
                <w:spacing w:val="0"/>
                <w:sz w:val="20"/>
              </w:rPr>
              <w:t>死</w:t>
            </w:r>
            <w:r>
              <w:rPr>
                <w:rFonts w:hint="eastAsia"/>
                <w:spacing w:val="0"/>
                <w:sz w:val="20"/>
              </w:rPr>
              <w:t xml:space="preserve">  </w:t>
            </w:r>
            <w:r>
              <w:rPr>
                <w:rFonts w:hint="eastAsia"/>
                <w:spacing w:val="0"/>
                <w:sz w:val="20"/>
              </w:rPr>
              <w:t>亡</w:t>
            </w:r>
          </w:p>
        </w:tc>
        <w:tc>
          <w:tcPr>
            <w:tcW w:w="1425" w:type="dxa"/>
            <w:tcBorders>
              <w:bottom w:val="single" w:sz="4" w:space="0" w:color="auto"/>
            </w:tcBorders>
          </w:tcPr>
          <w:p w:rsidR="00000000" w:rsidRDefault="00000000">
            <w:pPr>
              <w:pStyle w:val="a2"/>
              <w:rPr>
                <w:rFonts w:hint="eastAsia"/>
                <w:spacing w:val="0"/>
                <w:sz w:val="20"/>
              </w:rPr>
            </w:pPr>
            <w:r>
              <w:rPr>
                <w:rFonts w:hint="eastAsia"/>
                <w:spacing w:val="0"/>
                <w:sz w:val="20"/>
              </w:rPr>
              <w:t>永久绝对数字</w:t>
            </w:r>
          </w:p>
        </w:tc>
        <w:tc>
          <w:tcPr>
            <w:tcW w:w="1040" w:type="dxa"/>
            <w:tcBorders>
              <w:bottom w:val="single" w:sz="4" w:space="0" w:color="auto"/>
            </w:tcBorders>
          </w:tcPr>
          <w:p w:rsidR="00000000" w:rsidRDefault="00000000">
            <w:pPr>
              <w:pStyle w:val="a2"/>
              <w:rPr>
                <w:rFonts w:hint="eastAsia"/>
                <w:spacing w:val="0"/>
                <w:sz w:val="20"/>
              </w:rPr>
            </w:pPr>
            <w:r>
              <w:rPr>
                <w:rFonts w:hint="eastAsia"/>
                <w:spacing w:val="0"/>
                <w:sz w:val="20"/>
              </w:rPr>
              <w:t>永久总数</w:t>
            </w:r>
          </w:p>
        </w:tc>
        <w:tc>
          <w:tcPr>
            <w:tcW w:w="1040" w:type="dxa"/>
            <w:tcBorders>
              <w:bottom w:val="single" w:sz="4" w:space="0" w:color="auto"/>
            </w:tcBorders>
          </w:tcPr>
          <w:p w:rsidR="00000000" w:rsidRDefault="00000000">
            <w:pPr>
              <w:pStyle w:val="a2"/>
              <w:rPr>
                <w:rFonts w:hint="eastAsia"/>
                <w:spacing w:val="0"/>
                <w:sz w:val="20"/>
              </w:rPr>
            </w:pPr>
            <w:r>
              <w:rPr>
                <w:rFonts w:hint="eastAsia"/>
                <w:spacing w:val="0"/>
                <w:sz w:val="20"/>
              </w:rPr>
              <w:t>永久部分</w:t>
            </w:r>
          </w:p>
        </w:tc>
        <w:tc>
          <w:tcPr>
            <w:tcW w:w="1170" w:type="dxa"/>
            <w:tcBorders>
              <w:bottom w:val="single" w:sz="4" w:space="0" w:color="auto"/>
            </w:tcBorders>
          </w:tcPr>
          <w:p w:rsidR="00000000" w:rsidRDefault="00000000">
            <w:pPr>
              <w:pStyle w:val="a2"/>
              <w:jc w:val="center"/>
              <w:rPr>
                <w:rFonts w:hint="eastAsia"/>
                <w:spacing w:val="0"/>
                <w:sz w:val="20"/>
              </w:rPr>
            </w:pPr>
            <w:r>
              <w:rPr>
                <w:rFonts w:hint="eastAsia"/>
                <w:spacing w:val="0"/>
                <w:sz w:val="20"/>
              </w:rPr>
              <w:t>暂</w:t>
            </w:r>
            <w:r>
              <w:rPr>
                <w:rFonts w:hint="eastAsia"/>
                <w:spacing w:val="0"/>
                <w:sz w:val="20"/>
              </w:rPr>
              <w:t xml:space="preserve">  </w:t>
            </w:r>
            <w:r>
              <w:rPr>
                <w:rFonts w:hint="eastAsia"/>
                <w:spacing w:val="0"/>
                <w:sz w:val="20"/>
              </w:rPr>
              <w:t>时</w:t>
            </w:r>
          </w:p>
        </w:tc>
        <w:tc>
          <w:tcPr>
            <w:tcW w:w="1040" w:type="dxa"/>
            <w:tcBorders>
              <w:bottom w:val="single" w:sz="4" w:space="0" w:color="auto"/>
            </w:tcBorders>
          </w:tcPr>
          <w:p w:rsidR="00000000" w:rsidRDefault="00000000">
            <w:pPr>
              <w:pStyle w:val="a2"/>
              <w:jc w:val="center"/>
              <w:rPr>
                <w:rFonts w:hint="eastAsia"/>
                <w:spacing w:val="0"/>
                <w:sz w:val="20"/>
              </w:rPr>
            </w:pPr>
            <w:r>
              <w:rPr>
                <w:rFonts w:hint="eastAsia"/>
                <w:spacing w:val="0"/>
                <w:sz w:val="20"/>
              </w:rPr>
              <w:t>数</w:t>
            </w:r>
            <w:r>
              <w:rPr>
                <w:rFonts w:hint="eastAsia"/>
                <w:spacing w:val="0"/>
                <w:sz w:val="20"/>
              </w:rPr>
              <w:t xml:space="preserve">  </w:t>
            </w:r>
            <w:r>
              <w:rPr>
                <w:rFonts w:hint="eastAsia"/>
                <w:spacing w:val="0"/>
                <w:sz w:val="20"/>
              </w:rPr>
              <w:t>字</w:t>
            </w:r>
          </w:p>
        </w:tc>
        <w:tc>
          <w:tcPr>
            <w:tcW w:w="931" w:type="dxa"/>
            <w:tcBorders>
              <w:bottom w:val="single" w:sz="4" w:space="0" w:color="auto"/>
            </w:tcBorders>
          </w:tcPr>
          <w:p w:rsidR="00000000" w:rsidRDefault="00000000">
            <w:pPr>
              <w:pStyle w:val="a2"/>
              <w:jc w:val="center"/>
              <w:rPr>
                <w:rFonts w:hint="eastAsia"/>
                <w:spacing w:val="0"/>
                <w:sz w:val="20"/>
              </w:rPr>
            </w:pPr>
            <w:r>
              <w:rPr>
                <w:rFonts w:hint="eastAsia"/>
                <w:spacing w:val="0"/>
                <w:sz w:val="20"/>
              </w:rPr>
              <w:t>百分比</w:t>
            </w:r>
          </w:p>
        </w:tc>
      </w:tr>
      <w:tr w:rsidR="00000000">
        <w:tblPrEx>
          <w:tblCellMar>
            <w:top w:w="0" w:type="dxa"/>
            <w:bottom w:w="0" w:type="dxa"/>
          </w:tblCellMar>
        </w:tblPrEx>
        <w:tc>
          <w:tcPr>
            <w:tcW w:w="1760" w:type="dxa"/>
            <w:tcBorders>
              <w:bottom w:val="nil"/>
            </w:tcBorders>
          </w:tcPr>
          <w:p w:rsidR="00000000" w:rsidRDefault="00000000">
            <w:pPr>
              <w:pStyle w:val="a2"/>
              <w:spacing w:line="240" w:lineRule="auto"/>
              <w:rPr>
                <w:rFonts w:hint="eastAsia"/>
                <w:sz w:val="20"/>
              </w:rPr>
            </w:pPr>
            <w:r>
              <w:rPr>
                <w:rFonts w:hint="eastAsia"/>
                <w:sz w:val="20"/>
              </w:rPr>
              <w:t>骨折</w:t>
            </w:r>
          </w:p>
        </w:tc>
        <w:tc>
          <w:tcPr>
            <w:tcW w:w="915" w:type="dxa"/>
            <w:tcBorders>
              <w:bottom w:val="nil"/>
            </w:tcBorders>
          </w:tcPr>
          <w:p w:rsidR="00000000" w:rsidRDefault="00000000">
            <w:pPr>
              <w:pStyle w:val="a2"/>
              <w:spacing w:line="240" w:lineRule="auto"/>
              <w:ind w:right="170"/>
              <w:jc w:val="right"/>
              <w:rPr>
                <w:sz w:val="20"/>
              </w:rPr>
            </w:pPr>
            <w:r>
              <w:rPr>
                <w:sz w:val="20"/>
              </w:rPr>
              <w:t>157</w:t>
            </w:r>
          </w:p>
        </w:tc>
        <w:tc>
          <w:tcPr>
            <w:tcW w:w="1425" w:type="dxa"/>
            <w:tcBorders>
              <w:bottom w:val="nil"/>
            </w:tcBorders>
          </w:tcPr>
          <w:p w:rsidR="00000000" w:rsidRDefault="00000000">
            <w:pPr>
              <w:pStyle w:val="a2"/>
              <w:spacing w:line="240" w:lineRule="auto"/>
              <w:ind w:right="510"/>
              <w:jc w:val="right"/>
              <w:rPr>
                <w:sz w:val="20"/>
              </w:rPr>
            </w:pPr>
            <w:r>
              <w:rPr>
                <w:sz w:val="20"/>
              </w:rPr>
              <w:t>17</w:t>
            </w:r>
          </w:p>
        </w:tc>
        <w:tc>
          <w:tcPr>
            <w:tcW w:w="1040" w:type="dxa"/>
            <w:tcBorders>
              <w:bottom w:val="nil"/>
            </w:tcBorders>
          </w:tcPr>
          <w:p w:rsidR="00000000" w:rsidRDefault="00000000">
            <w:pPr>
              <w:pStyle w:val="a2"/>
              <w:spacing w:line="240" w:lineRule="auto"/>
              <w:ind w:right="284"/>
              <w:jc w:val="right"/>
              <w:rPr>
                <w:sz w:val="20"/>
              </w:rPr>
            </w:pPr>
            <w:r>
              <w:rPr>
                <w:sz w:val="20"/>
              </w:rPr>
              <w:t>4</w:t>
            </w:r>
          </w:p>
        </w:tc>
        <w:tc>
          <w:tcPr>
            <w:tcW w:w="1040" w:type="dxa"/>
            <w:tcBorders>
              <w:bottom w:val="nil"/>
            </w:tcBorders>
          </w:tcPr>
          <w:p w:rsidR="00000000" w:rsidRDefault="00000000">
            <w:pPr>
              <w:pStyle w:val="a2"/>
              <w:spacing w:line="240" w:lineRule="auto"/>
              <w:ind w:right="227"/>
              <w:jc w:val="right"/>
              <w:rPr>
                <w:sz w:val="20"/>
              </w:rPr>
            </w:pPr>
            <w:r>
              <w:rPr>
                <w:sz w:val="20"/>
              </w:rPr>
              <w:t>103</w:t>
            </w:r>
          </w:p>
        </w:tc>
        <w:tc>
          <w:tcPr>
            <w:tcW w:w="1170" w:type="dxa"/>
            <w:tcBorders>
              <w:bottom w:val="nil"/>
            </w:tcBorders>
          </w:tcPr>
          <w:p w:rsidR="00000000" w:rsidRDefault="00000000">
            <w:pPr>
              <w:pStyle w:val="a2"/>
              <w:spacing w:line="240" w:lineRule="auto"/>
              <w:ind w:right="170"/>
              <w:jc w:val="right"/>
              <w:rPr>
                <w:sz w:val="20"/>
              </w:rPr>
            </w:pPr>
            <w:r>
              <w:rPr>
                <w:sz w:val="20"/>
              </w:rPr>
              <w:t>2,811</w:t>
            </w:r>
          </w:p>
        </w:tc>
        <w:tc>
          <w:tcPr>
            <w:tcW w:w="1040" w:type="dxa"/>
            <w:tcBorders>
              <w:bottom w:val="nil"/>
            </w:tcBorders>
          </w:tcPr>
          <w:p w:rsidR="00000000" w:rsidRDefault="00000000">
            <w:pPr>
              <w:pStyle w:val="a2"/>
              <w:spacing w:line="240" w:lineRule="auto"/>
              <w:ind w:right="170"/>
              <w:jc w:val="right"/>
              <w:rPr>
                <w:sz w:val="20"/>
              </w:rPr>
            </w:pPr>
            <w:r>
              <w:rPr>
                <w:sz w:val="20"/>
              </w:rPr>
              <w:t>3,092</w:t>
            </w:r>
          </w:p>
        </w:tc>
        <w:tc>
          <w:tcPr>
            <w:tcW w:w="931" w:type="dxa"/>
            <w:tcBorders>
              <w:bottom w:val="nil"/>
            </w:tcBorders>
          </w:tcPr>
          <w:p w:rsidR="00000000" w:rsidRDefault="00000000">
            <w:pPr>
              <w:pStyle w:val="a2"/>
              <w:spacing w:line="240" w:lineRule="auto"/>
              <w:jc w:val="right"/>
              <w:rPr>
                <w:sz w:val="20"/>
              </w:rPr>
            </w:pPr>
            <w:r>
              <w:rPr>
                <w:sz w:val="20"/>
              </w:rPr>
              <w:t>0.00</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sz w:val="20"/>
              </w:rPr>
            </w:pPr>
            <w:r>
              <w:rPr>
                <w:rFonts w:hint="eastAsia"/>
                <w:sz w:val="20"/>
              </w:rPr>
              <w:t>脱臼</w:t>
            </w:r>
          </w:p>
        </w:tc>
        <w:tc>
          <w:tcPr>
            <w:tcW w:w="915" w:type="dxa"/>
            <w:tcBorders>
              <w:top w:val="nil"/>
              <w:bottom w:val="nil"/>
            </w:tcBorders>
          </w:tcPr>
          <w:p w:rsidR="00000000" w:rsidRDefault="00000000">
            <w:pPr>
              <w:pStyle w:val="a2"/>
              <w:spacing w:line="240" w:lineRule="auto"/>
              <w:ind w:right="170"/>
              <w:jc w:val="right"/>
              <w:rPr>
                <w:sz w:val="20"/>
              </w:rPr>
            </w:pPr>
            <w:r>
              <w:rPr>
                <w:sz w:val="20"/>
              </w:rPr>
              <w:t>0</w:t>
            </w:r>
          </w:p>
        </w:tc>
        <w:tc>
          <w:tcPr>
            <w:tcW w:w="1425" w:type="dxa"/>
            <w:tcBorders>
              <w:top w:val="nil"/>
              <w:bottom w:val="nil"/>
            </w:tcBorders>
          </w:tcPr>
          <w:p w:rsidR="00000000" w:rsidRDefault="00000000">
            <w:pPr>
              <w:pStyle w:val="a2"/>
              <w:spacing w:line="240" w:lineRule="auto"/>
              <w:ind w:right="510"/>
              <w:jc w:val="right"/>
              <w:rPr>
                <w:sz w:val="20"/>
              </w:rPr>
            </w:pPr>
            <w:r>
              <w:rPr>
                <w:sz w:val="20"/>
              </w:rPr>
              <w:t>0</w:t>
            </w:r>
          </w:p>
        </w:tc>
        <w:tc>
          <w:tcPr>
            <w:tcW w:w="1040" w:type="dxa"/>
            <w:tcBorders>
              <w:top w:val="nil"/>
              <w:bottom w:val="nil"/>
            </w:tcBorders>
          </w:tcPr>
          <w:p w:rsidR="00000000" w:rsidRDefault="00000000">
            <w:pPr>
              <w:pStyle w:val="a2"/>
              <w:spacing w:line="240" w:lineRule="auto"/>
              <w:ind w:right="284"/>
              <w:jc w:val="right"/>
              <w:rPr>
                <w:sz w:val="20"/>
              </w:rPr>
            </w:pPr>
            <w:r>
              <w:rPr>
                <w:sz w:val="20"/>
              </w:rPr>
              <w:t>0</w:t>
            </w:r>
          </w:p>
        </w:tc>
        <w:tc>
          <w:tcPr>
            <w:tcW w:w="1040" w:type="dxa"/>
            <w:tcBorders>
              <w:top w:val="nil"/>
              <w:bottom w:val="nil"/>
            </w:tcBorders>
          </w:tcPr>
          <w:p w:rsidR="00000000" w:rsidRDefault="00000000">
            <w:pPr>
              <w:pStyle w:val="a2"/>
              <w:spacing w:line="240" w:lineRule="auto"/>
              <w:ind w:right="227"/>
              <w:jc w:val="right"/>
              <w:rPr>
                <w:sz w:val="20"/>
              </w:rPr>
            </w:pPr>
            <w:r>
              <w:rPr>
                <w:sz w:val="20"/>
              </w:rPr>
              <w:t>6</w:t>
            </w:r>
          </w:p>
        </w:tc>
        <w:tc>
          <w:tcPr>
            <w:tcW w:w="1170" w:type="dxa"/>
            <w:tcBorders>
              <w:top w:val="nil"/>
              <w:bottom w:val="nil"/>
            </w:tcBorders>
          </w:tcPr>
          <w:p w:rsidR="00000000" w:rsidRDefault="00000000">
            <w:pPr>
              <w:pStyle w:val="a2"/>
              <w:spacing w:line="240" w:lineRule="auto"/>
              <w:ind w:right="170"/>
              <w:jc w:val="right"/>
              <w:rPr>
                <w:sz w:val="20"/>
              </w:rPr>
            </w:pPr>
            <w:r>
              <w:rPr>
                <w:sz w:val="20"/>
              </w:rPr>
              <w:t>248</w:t>
            </w:r>
          </w:p>
        </w:tc>
        <w:tc>
          <w:tcPr>
            <w:tcW w:w="1040" w:type="dxa"/>
            <w:tcBorders>
              <w:top w:val="nil"/>
              <w:bottom w:val="nil"/>
            </w:tcBorders>
          </w:tcPr>
          <w:p w:rsidR="00000000" w:rsidRDefault="00000000">
            <w:pPr>
              <w:pStyle w:val="a2"/>
              <w:spacing w:line="240" w:lineRule="auto"/>
              <w:ind w:right="170"/>
              <w:jc w:val="right"/>
              <w:rPr>
                <w:sz w:val="20"/>
              </w:rPr>
            </w:pPr>
            <w:r>
              <w:rPr>
                <w:sz w:val="20"/>
              </w:rPr>
              <w:t>254</w:t>
            </w:r>
          </w:p>
        </w:tc>
        <w:tc>
          <w:tcPr>
            <w:tcW w:w="931" w:type="dxa"/>
            <w:tcBorders>
              <w:top w:val="nil"/>
              <w:bottom w:val="nil"/>
            </w:tcBorders>
          </w:tcPr>
          <w:p w:rsidR="00000000" w:rsidRDefault="00000000">
            <w:pPr>
              <w:pStyle w:val="a2"/>
              <w:spacing w:line="240" w:lineRule="auto"/>
              <w:jc w:val="right"/>
              <w:rPr>
                <w:sz w:val="20"/>
              </w:rPr>
            </w:pPr>
            <w:r>
              <w:rPr>
                <w:sz w:val="20"/>
              </w:rPr>
              <w:t>1.38</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sz w:val="20"/>
              </w:rPr>
            </w:pPr>
            <w:r>
              <w:rPr>
                <w:rFonts w:hint="eastAsia"/>
                <w:sz w:val="20"/>
              </w:rPr>
              <w:t>扭伤</w:t>
            </w:r>
          </w:p>
        </w:tc>
        <w:tc>
          <w:tcPr>
            <w:tcW w:w="915" w:type="dxa"/>
            <w:tcBorders>
              <w:top w:val="nil"/>
              <w:bottom w:val="nil"/>
            </w:tcBorders>
          </w:tcPr>
          <w:p w:rsidR="00000000" w:rsidRDefault="00000000">
            <w:pPr>
              <w:pStyle w:val="a2"/>
              <w:spacing w:line="240" w:lineRule="auto"/>
              <w:ind w:right="170"/>
              <w:jc w:val="right"/>
              <w:rPr>
                <w:sz w:val="20"/>
              </w:rPr>
            </w:pPr>
            <w:r>
              <w:rPr>
                <w:sz w:val="20"/>
              </w:rPr>
              <w:t>0</w:t>
            </w:r>
          </w:p>
        </w:tc>
        <w:tc>
          <w:tcPr>
            <w:tcW w:w="1425" w:type="dxa"/>
            <w:tcBorders>
              <w:top w:val="nil"/>
              <w:bottom w:val="nil"/>
            </w:tcBorders>
          </w:tcPr>
          <w:p w:rsidR="00000000" w:rsidRDefault="00000000">
            <w:pPr>
              <w:pStyle w:val="a2"/>
              <w:spacing w:line="240" w:lineRule="auto"/>
              <w:ind w:right="510"/>
              <w:jc w:val="right"/>
              <w:rPr>
                <w:sz w:val="20"/>
              </w:rPr>
            </w:pPr>
            <w:r>
              <w:rPr>
                <w:sz w:val="20"/>
              </w:rPr>
              <w:t>0</w:t>
            </w:r>
          </w:p>
        </w:tc>
        <w:tc>
          <w:tcPr>
            <w:tcW w:w="1040" w:type="dxa"/>
            <w:tcBorders>
              <w:top w:val="nil"/>
              <w:bottom w:val="nil"/>
            </w:tcBorders>
          </w:tcPr>
          <w:p w:rsidR="00000000" w:rsidRDefault="00000000">
            <w:pPr>
              <w:pStyle w:val="a2"/>
              <w:spacing w:line="240" w:lineRule="auto"/>
              <w:ind w:right="284"/>
              <w:jc w:val="right"/>
              <w:rPr>
                <w:sz w:val="20"/>
              </w:rPr>
            </w:pPr>
            <w:r>
              <w:rPr>
                <w:sz w:val="20"/>
              </w:rPr>
              <w:t>1</w:t>
            </w:r>
          </w:p>
        </w:tc>
        <w:tc>
          <w:tcPr>
            <w:tcW w:w="1040" w:type="dxa"/>
            <w:tcBorders>
              <w:top w:val="nil"/>
              <w:bottom w:val="nil"/>
            </w:tcBorders>
          </w:tcPr>
          <w:p w:rsidR="00000000" w:rsidRDefault="00000000">
            <w:pPr>
              <w:pStyle w:val="a2"/>
              <w:spacing w:line="240" w:lineRule="auto"/>
              <w:ind w:right="227"/>
              <w:jc w:val="right"/>
              <w:rPr>
                <w:sz w:val="20"/>
              </w:rPr>
            </w:pPr>
            <w:r>
              <w:rPr>
                <w:sz w:val="20"/>
              </w:rPr>
              <w:t>5</w:t>
            </w:r>
          </w:p>
        </w:tc>
        <w:tc>
          <w:tcPr>
            <w:tcW w:w="1170" w:type="dxa"/>
            <w:tcBorders>
              <w:top w:val="nil"/>
              <w:bottom w:val="nil"/>
            </w:tcBorders>
          </w:tcPr>
          <w:p w:rsidR="00000000" w:rsidRDefault="00000000">
            <w:pPr>
              <w:pStyle w:val="a2"/>
              <w:spacing w:line="240" w:lineRule="auto"/>
              <w:ind w:right="170"/>
              <w:jc w:val="right"/>
              <w:rPr>
                <w:sz w:val="20"/>
              </w:rPr>
            </w:pPr>
            <w:r>
              <w:rPr>
                <w:sz w:val="20"/>
              </w:rPr>
              <w:t>1,127</w:t>
            </w:r>
          </w:p>
        </w:tc>
        <w:tc>
          <w:tcPr>
            <w:tcW w:w="1040" w:type="dxa"/>
            <w:tcBorders>
              <w:top w:val="nil"/>
              <w:bottom w:val="nil"/>
            </w:tcBorders>
          </w:tcPr>
          <w:p w:rsidR="00000000" w:rsidRDefault="00000000">
            <w:pPr>
              <w:pStyle w:val="a2"/>
              <w:spacing w:line="240" w:lineRule="auto"/>
              <w:ind w:right="170"/>
              <w:jc w:val="right"/>
              <w:rPr>
                <w:sz w:val="20"/>
              </w:rPr>
            </w:pPr>
            <w:r>
              <w:rPr>
                <w:sz w:val="20"/>
              </w:rPr>
              <w:t>1,133</w:t>
            </w:r>
          </w:p>
        </w:tc>
        <w:tc>
          <w:tcPr>
            <w:tcW w:w="931" w:type="dxa"/>
            <w:tcBorders>
              <w:top w:val="nil"/>
              <w:bottom w:val="nil"/>
            </w:tcBorders>
          </w:tcPr>
          <w:p w:rsidR="00000000" w:rsidRDefault="00000000">
            <w:pPr>
              <w:pStyle w:val="a2"/>
              <w:spacing w:line="240" w:lineRule="auto"/>
              <w:jc w:val="right"/>
              <w:rPr>
                <w:sz w:val="20"/>
              </w:rPr>
            </w:pPr>
            <w:r>
              <w:rPr>
                <w:sz w:val="20"/>
              </w:rPr>
              <w:t>6.14</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rFonts w:hint="eastAsia"/>
                <w:sz w:val="20"/>
              </w:rPr>
            </w:pPr>
            <w:r>
              <w:rPr>
                <w:rFonts w:hint="eastAsia"/>
                <w:sz w:val="20"/>
              </w:rPr>
              <w:t>脑震荡，内伤</w:t>
            </w:r>
            <w:r>
              <w:rPr>
                <w:sz w:val="20"/>
              </w:rPr>
              <w:t xml:space="preserve"> </w:t>
            </w:r>
          </w:p>
        </w:tc>
        <w:tc>
          <w:tcPr>
            <w:tcW w:w="915" w:type="dxa"/>
            <w:tcBorders>
              <w:top w:val="nil"/>
              <w:bottom w:val="nil"/>
            </w:tcBorders>
            <w:vAlign w:val="bottom"/>
          </w:tcPr>
          <w:p w:rsidR="00000000" w:rsidRDefault="00000000">
            <w:pPr>
              <w:pStyle w:val="a2"/>
              <w:spacing w:line="240" w:lineRule="auto"/>
              <w:ind w:right="170"/>
              <w:jc w:val="right"/>
              <w:rPr>
                <w:sz w:val="20"/>
              </w:rPr>
            </w:pPr>
            <w:r>
              <w:rPr>
                <w:sz w:val="20"/>
              </w:rPr>
              <w:t>349</w:t>
            </w:r>
          </w:p>
        </w:tc>
        <w:tc>
          <w:tcPr>
            <w:tcW w:w="1425" w:type="dxa"/>
            <w:tcBorders>
              <w:top w:val="nil"/>
              <w:bottom w:val="nil"/>
            </w:tcBorders>
            <w:vAlign w:val="bottom"/>
          </w:tcPr>
          <w:p w:rsidR="00000000" w:rsidRDefault="00000000">
            <w:pPr>
              <w:pStyle w:val="a2"/>
              <w:spacing w:line="240" w:lineRule="auto"/>
              <w:ind w:right="510"/>
              <w:jc w:val="right"/>
              <w:rPr>
                <w:sz w:val="20"/>
              </w:rPr>
            </w:pPr>
            <w:r>
              <w:rPr>
                <w:sz w:val="20"/>
              </w:rPr>
              <w:t>20</w:t>
            </w:r>
          </w:p>
        </w:tc>
        <w:tc>
          <w:tcPr>
            <w:tcW w:w="1040" w:type="dxa"/>
            <w:tcBorders>
              <w:top w:val="nil"/>
              <w:bottom w:val="nil"/>
            </w:tcBorders>
            <w:vAlign w:val="bottom"/>
          </w:tcPr>
          <w:p w:rsidR="00000000" w:rsidRDefault="00000000">
            <w:pPr>
              <w:pStyle w:val="a2"/>
              <w:spacing w:line="240" w:lineRule="auto"/>
              <w:ind w:right="284"/>
              <w:jc w:val="right"/>
              <w:rPr>
                <w:sz w:val="20"/>
              </w:rPr>
            </w:pPr>
            <w:r>
              <w:rPr>
                <w:sz w:val="20"/>
              </w:rPr>
              <w:t>22</w:t>
            </w:r>
          </w:p>
        </w:tc>
        <w:tc>
          <w:tcPr>
            <w:tcW w:w="1040" w:type="dxa"/>
            <w:tcBorders>
              <w:top w:val="nil"/>
              <w:bottom w:val="nil"/>
            </w:tcBorders>
            <w:vAlign w:val="bottom"/>
          </w:tcPr>
          <w:p w:rsidR="00000000" w:rsidRDefault="00000000">
            <w:pPr>
              <w:pStyle w:val="a2"/>
              <w:spacing w:line="240" w:lineRule="auto"/>
              <w:ind w:right="227"/>
              <w:jc w:val="right"/>
              <w:rPr>
                <w:sz w:val="20"/>
              </w:rPr>
            </w:pPr>
            <w:r>
              <w:rPr>
                <w:sz w:val="20"/>
              </w:rPr>
              <w:t>111</w:t>
            </w:r>
          </w:p>
        </w:tc>
        <w:tc>
          <w:tcPr>
            <w:tcW w:w="1170" w:type="dxa"/>
            <w:tcBorders>
              <w:top w:val="nil"/>
              <w:bottom w:val="nil"/>
            </w:tcBorders>
            <w:vAlign w:val="bottom"/>
          </w:tcPr>
          <w:p w:rsidR="00000000" w:rsidRDefault="00000000">
            <w:pPr>
              <w:pStyle w:val="a2"/>
              <w:spacing w:line="240" w:lineRule="auto"/>
              <w:ind w:right="170"/>
              <w:jc w:val="right"/>
              <w:rPr>
                <w:sz w:val="20"/>
              </w:rPr>
            </w:pPr>
            <w:r>
              <w:rPr>
                <w:sz w:val="20"/>
              </w:rPr>
              <w:t>225</w:t>
            </w:r>
          </w:p>
        </w:tc>
        <w:tc>
          <w:tcPr>
            <w:tcW w:w="1040" w:type="dxa"/>
            <w:tcBorders>
              <w:top w:val="nil"/>
              <w:bottom w:val="nil"/>
            </w:tcBorders>
            <w:vAlign w:val="bottom"/>
          </w:tcPr>
          <w:p w:rsidR="00000000" w:rsidRDefault="00000000">
            <w:pPr>
              <w:pStyle w:val="a2"/>
              <w:spacing w:line="240" w:lineRule="auto"/>
              <w:ind w:right="170"/>
              <w:jc w:val="right"/>
              <w:rPr>
                <w:sz w:val="20"/>
              </w:rPr>
            </w:pPr>
            <w:r>
              <w:rPr>
                <w:sz w:val="20"/>
              </w:rPr>
              <w:t>727</w:t>
            </w:r>
          </w:p>
        </w:tc>
        <w:tc>
          <w:tcPr>
            <w:tcW w:w="931" w:type="dxa"/>
            <w:tcBorders>
              <w:top w:val="nil"/>
              <w:bottom w:val="nil"/>
            </w:tcBorders>
            <w:vAlign w:val="bottom"/>
          </w:tcPr>
          <w:p w:rsidR="00000000" w:rsidRDefault="00000000">
            <w:pPr>
              <w:pStyle w:val="a2"/>
              <w:spacing w:line="240" w:lineRule="auto"/>
              <w:jc w:val="right"/>
              <w:rPr>
                <w:sz w:val="20"/>
              </w:rPr>
            </w:pPr>
            <w:r>
              <w:rPr>
                <w:sz w:val="20"/>
              </w:rPr>
              <w:t>3.94</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rFonts w:hint="eastAsia"/>
                <w:sz w:val="20"/>
              </w:rPr>
            </w:pPr>
            <w:r>
              <w:rPr>
                <w:rFonts w:hint="eastAsia"/>
                <w:sz w:val="20"/>
              </w:rPr>
              <w:t>截肢，摘除</w:t>
            </w:r>
          </w:p>
        </w:tc>
        <w:tc>
          <w:tcPr>
            <w:tcW w:w="915" w:type="dxa"/>
            <w:tcBorders>
              <w:top w:val="nil"/>
              <w:bottom w:val="nil"/>
            </w:tcBorders>
            <w:vAlign w:val="bottom"/>
          </w:tcPr>
          <w:p w:rsidR="00000000" w:rsidRDefault="00000000">
            <w:pPr>
              <w:pStyle w:val="a2"/>
              <w:spacing w:line="240" w:lineRule="auto"/>
              <w:ind w:right="170"/>
              <w:jc w:val="right"/>
              <w:rPr>
                <w:sz w:val="20"/>
              </w:rPr>
            </w:pPr>
            <w:r>
              <w:rPr>
                <w:sz w:val="20"/>
              </w:rPr>
              <w:t>2</w:t>
            </w:r>
          </w:p>
        </w:tc>
        <w:tc>
          <w:tcPr>
            <w:tcW w:w="1425" w:type="dxa"/>
            <w:tcBorders>
              <w:top w:val="nil"/>
              <w:bottom w:val="nil"/>
            </w:tcBorders>
            <w:vAlign w:val="bottom"/>
          </w:tcPr>
          <w:p w:rsidR="00000000" w:rsidRDefault="00000000">
            <w:pPr>
              <w:pStyle w:val="a2"/>
              <w:spacing w:line="240" w:lineRule="auto"/>
              <w:ind w:right="510"/>
              <w:jc w:val="right"/>
              <w:rPr>
                <w:sz w:val="20"/>
              </w:rPr>
            </w:pPr>
            <w:r>
              <w:rPr>
                <w:sz w:val="20"/>
              </w:rPr>
              <w:t>4</w:t>
            </w:r>
          </w:p>
        </w:tc>
        <w:tc>
          <w:tcPr>
            <w:tcW w:w="1040" w:type="dxa"/>
            <w:tcBorders>
              <w:top w:val="nil"/>
              <w:bottom w:val="nil"/>
            </w:tcBorders>
            <w:vAlign w:val="bottom"/>
          </w:tcPr>
          <w:p w:rsidR="00000000" w:rsidRDefault="00000000">
            <w:pPr>
              <w:pStyle w:val="a2"/>
              <w:spacing w:line="240" w:lineRule="auto"/>
              <w:ind w:right="284"/>
              <w:jc w:val="right"/>
              <w:rPr>
                <w:sz w:val="20"/>
              </w:rPr>
            </w:pPr>
            <w:r>
              <w:rPr>
                <w:sz w:val="20"/>
              </w:rPr>
              <w:t>38</w:t>
            </w:r>
          </w:p>
        </w:tc>
        <w:tc>
          <w:tcPr>
            <w:tcW w:w="1040" w:type="dxa"/>
            <w:tcBorders>
              <w:top w:val="nil"/>
              <w:bottom w:val="nil"/>
            </w:tcBorders>
            <w:vAlign w:val="bottom"/>
          </w:tcPr>
          <w:p w:rsidR="00000000" w:rsidRDefault="00000000">
            <w:pPr>
              <w:pStyle w:val="a2"/>
              <w:spacing w:line="240" w:lineRule="auto"/>
              <w:ind w:right="227"/>
              <w:jc w:val="right"/>
              <w:rPr>
                <w:sz w:val="20"/>
              </w:rPr>
            </w:pPr>
            <w:r>
              <w:rPr>
                <w:sz w:val="20"/>
              </w:rPr>
              <w:t>508</w:t>
            </w:r>
          </w:p>
        </w:tc>
        <w:tc>
          <w:tcPr>
            <w:tcW w:w="1170" w:type="dxa"/>
            <w:tcBorders>
              <w:top w:val="nil"/>
              <w:bottom w:val="nil"/>
            </w:tcBorders>
            <w:vAlign w:val="bottom"/>
          </w:tcPr>
          <w:p w:rsidR="00000000" w:rsidRDefault="00000000">
            <w:pPr>
              <w:pStyle w:val="a2"/>
              <w:spacing w:line="240" w:lineRule="auto"/>
              <w:ind w:right="170"/>
              <w:jc w:val="right"/>
              <w:rPr>
                <w:sz w:val="20"/>
              </w:rPr>
            </w:pPr>
            <w:r>
              <w:rPr>
                <w:sz w:val="20"/>
              </w:rPr>
              <w:t>106</w:t>
            </w:r>
          </w:p>
        </w:tc>
        <w:tc>
          <w:tcPr>
            <w:tcW w:w="1040" w:type="dxa"/>
            <w:tcBorders>
              <w:top w:val="nil"/>
              <w:bottom w:val="nil"/>
            </w:tcBorders>
            <w:vAlign w:val="bottom"/>
          </w:tcPr>
          <w:p w:rsidR="00000000" w:rsidRDefault="00000000">
            <w:pPr>
              <w:pStyle w:val="a2"/>
              <w:spacing w:line="240" w:lineRule="auto"/>
              <w:ind w:right="170"/>
              <w:jc w:val="right"/>
              <w:rPr>
                <w:sz w:val="20"/>
              </w:rPr>
            </w:pPr>
            <w:r>
              <w:rPr>
                <w:sz w:val="20"/>
              </w:rPr>
              <w:t>658</w:t>
            </w:r>
          </w:p>
        </w:tc>
        <w:tc>
          <w:tcPr>
            <w:tcW w:w="931" w:type="dxa"/>
            <w:tcBorders>
              <w:top w:val="nil"/>
              <w:bottom w:val="nil"/>
            </w:tcBorders>
            <w:vAlign w:val="bottom"/>
          </w:tcPr>
          <w:p w:rsidR="00000000" w:rsidRDefault="00000000">
            <w:pPr>
              <w:pStyle w:val="a2"/>
              <w:spacing w:line="240" w:lineRule="auto"/>
              <w:jc w:val="right"/>
              <w:rPr>
                <w:sz w:val="20"/>
              </w:rPr>
            </w:pPr>
            <w:r>
              <w:rPr>
                <w:sz w:val="20"/>
              </w:rPr>
              <w:t>3.57</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rFonts w:hint="eastAsia"/>
                <w:sz w:val="20"/>
              </w:rPr>
            </w:pPr>
            <w:r>
              <w:rPr>
                <w:rFonts w:hint="eastAsia"/>
                <w:sz w:val="20"/>
              </w:rPr>
              <w:t>其他伤害</w:t>
            </w:r>
          </w:p>
        </w:tc>
        <w:tc>
          <w:tcPr>
            <w:tcW w:w="915" w:type="dxa"/>
            <w:tcBorders>
              <w:top w:val="nil"/>
              <w:bottom w:val="nil"/>
            </w:tcBorders>
          </w:tcPr>
          <w:p w:rsidR="00000000" w:rsidRDefault="00000000">
            <w:pPr>
              <w:pStyle w:val="a2"/>
              <w:spacing w:line="240" w:lineRule="auto"/>
              <w:ind w:right="170"/>
              <w:jc w:val="right"/>
              <w:rPr>
                <w:sz w:val="20"/>
              </w:rPr>
            </w:pPr>
            <w:r>
              <w:rPr>
                <w:sz w:val="20"/>
              </w:rPr>
              <w:t>4</w:t>
            </w:r>
          </w:p>
        </w:tc>
        <w:tc>
          <w:tcPr>
            <w:tcW w:w="1425" w:type="dxa"/>
            <w:tcBorders>
              <w:top w:val="nil"/>
              <w:bottom w:val="nil"/>
            </w:tcBorders>
          </w:tcPr>
          <w:p w:rsidR="00000000" w:rsidRDefault="00000000">
            <w:pPr>
              <w:pStyle w:val="a2"/>
              <w:spacing w:line="240" w:lineRule="auto"/>
              <w:ind w:right="510"/>
              <w:jc w:val="right"/>
              <w:rPr>
                <w:sz w:val="20"/>
              </w:rPr>
            </w:pPr>
            <w:r>
              <w:rPr>
                <w:sz w:val="20"/>
              </w:rPr>
              <w:t>12</w:t>
            </w:r>
          </w:p>
        </w:tc>
        <w:tc>
          <w:tcPr>
            <w:tcW w:w="1040" w:type="dxa"/>
            <w:tcBorders>
              <w:top w:val="nil"/>
              <w:bottom w:val="nil"/>
            </w:tcBorders>
          </w:tcPr>
          <w:p w:rsidR="00000000" w:rsidRDefault="00000000">
            <w:pPr>
              <w:pStyle w:val="a2"/>
              <w:spacing w:line="240" w:lineRule="auto"/>
              <w:ind w:right="284"/>
              <w:jc w:val="right"/>
              <w:rPr>
                <w:sz w:val="20"/>
              </w:rPr>
            </w:pPr>
            <w:r>
              <w:rPr>
                <w:sz w:val="20"/>
              </w:rPr>
              <w:t>1</w:t>
            </w:r>
          </w:p>
        </w:tc>
        <w:tc>
          <w:tcPr>
            <w:tcW w:w="1040" w:type="dxa"/>
            <w:tcBorders>
              <w:top w:val="nil"/>
              <w:bottom w:val="nil"/>
            </w:tcBorders>
          </w:tcPr>
          <w:p w:rsidR="00000000" w:rsidRDefault="00000000">
            <w:pPr>
              <w:pStyle w:val="a2"/>
              <w:spacing w:line="240" w:lineRule="auto"/>
              <w:ind w:right="227"/>
              <w:jc w:val="right"/>
              <w:rPr>
                <w:sz w:val="20"/>
              </w:rPr>
            </w:pPr>
            <w:r>
              <w:rPr>
                <w:sz w:val="20"/>
              </w:rPr>
              <w:t>23</w:t>
            </w:r>
          </w:p>
        </w:tc>
        <w:tc>
          <w:tcPr>
            <w:tcW w:w="1170" w:type="dxa"/>
            <w:tcBorders>
              <w:top w:val="nil"/>
              <w:bottom w:val="nil"/>
            </w:tcBorders>
          </w:tcPr>
          <w:p w:rsidR="00000000" w:rsidRDefault="00000000">
            <w:pPr>
              <w:pStyle w:val="a2"/>
              <w:spacing w:line="240" w:lineRule="auto"/>
              <w:ind w:right="170"/>
              <w:jc w:val="right"/>
              <w:rPr>
                <w:sz w:val="20"/>
              </w:rPr>
            </w:pPr>
            <w:r>
              <w:rPr>
                <w:sz w:val="20"/>
              </w:rPr>
              <w:t>4,572</w:t>
            </w:r>
          </w:p>
        </w:tc>
        <w:tc>
          <w:tcPr>
            <w:tcW w:w="1040" w:type="dxa"/>
            <w:tcBorders>
              <w:top w:val="nil"/>
              <w:bottom w:val="nil"/>
            </w:tcBorders>
          </w:tcPr>
          <w:p w:rsidR="00000000" w:rsidRDefault="00000000">
            <w:pPr>
              <w:pStyle w:val="a2"/>
              <w:spacing w:line="240" w:lineRule="auto"/>
              <w:ind w:right="170"/>
              <w:jc w:val="right"/>
              <w:rPr>
                <w:sz w:val="20"/>
              </w:rPr>
            </w:pPr>
            <w:r>
              <w:rPr>
                <w:sz w:val="20"/>
              </w:rPr>
              <w:t>4,612</w:t>
            </w:r>
          </w:p>
        </w:tc>
        <w:tc>
          <w:tcPr>
            <w:tcW w:w="931" w:type="dxa"/>
            <w:tcBorders>
              <w:top w:val="nil"/>
              <w:bottom w:val="nil"/>
            </w:tcBorders>
          </w:tcPr>
          <w:p w:rsidR="00000000" w:rsidRDefault="00000000">
            <w:pPr>
              <w:pStyle w:val="a2"/>
              <w:spacing w:line="240" w:lineRule="auto"/>
              <w:jc w:val="right"/>
              <w:rPr>
                <w:sz w:val="20"/>
              </w:rPr>
            </w:pPr>
            <w:r>
              <w:rPr>
                <w:sz w:val="20"/>
              </w:rPr>
              <w:t>24.99</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sz w:val="20"/>
              </w:rPr>
            </w:pPr>
            <w:r>
              <w:rPr>
                <w:rFonts w:hint="eastAsia"/>
                <w:sz w:val="20"/>
              </w:rPr>
              <w:t>表皮伤害</w:t>
            </w:r>
          </w:p>
        </w:tc>
        <w:tc>
          <w:tcPr>
            <w:tcW w:w="915" w:type="dxa"/>
            <w:tcBorders>
              <w:top w:val="nil"/>
              <w:bottom w:val="nil"/>
            </w:tcBorders>
          </w:tcPr>
          <w:p w:rsidR="00000000" w:rsidRDefault="00000000">
            <w:pPr>
              <w:pStyle w:val="a2"/>
              <w:spacing w:line="240" w:lineRule="auto"/>
              <w:ind w:right="170"/>
              <w:jc w:val="right"/>
              <w:rPr>
                <w:sz w:val="20"/>
              </w:rPr>
            </w:pPr>
            <w:r>
              <w:rPr>
                <w:sz w:val="20"/>
              </w:rPr>
              <w:t>0</w:t>
            </w:r>
          </w:p>
        </w:tc>
        <w:tc>
          <w:tcPr>
            <w:tcW w:w="1425" w:type="dxa"/>
            <w:tcBorders>
              <w:top w:val="nil"/>
              <w:bottom w:val="nil"/>
            </w:tcBorders>
          </w:tcPr>
          <w:p w:rsidR="00000000" w:rsidRDefault="00000000">
            <w:pPr>
              <w:pStyle w:val="a2"/>
              <w:spacing w:line="240" w:lineRule="auto"/>
              <w:ind w:right="510"/>
              <w:jc w:val="right"/>
              <w:rPr>
                <w:sz w:val="20"/>
              </w:rPr>
            </w:pPr>
            <w:r>
              <w:rPr>
                <w:sz w:val="20"/>
              </w:rPr>
              <w:t>2</w:t>
            </w:r>
          </w:p>
        </w:tc>
        <w:tc>
          <w:tcPr>
            <w:tcW w:w="1040" w:type="dxa"/>
            <w:tcBorders>
              <w:top w:val="nil"/>
              <w:bottom w:val="nil"/>
            </w:tcBorders>
          </w:tcPr>
          <w:p w:rsidR="00000000" w:rsidRDefault="00000000">
            <w:pPr>
              <w:pStyle w:val="a2"/>
              <w:spacing w:line="240" w:lineRule="auto"/>
              <w:ind w:right="284"/>
              <w:jc w:val="right"/>
              <w:rPr>
                <w:sz w:val="20"/>
              </w:rPr>
            </w:pPr>
            <w:r>
              <w:rPr>
                <w:sz w:val="20"/>
              </w:rPr>
              <w:t>1</w:t>
            </w:r>
          </w:p>
        </w:tc>
        <w:tc>
          <w:tcPr>
            <w:tcW w:w="1040" w:type="dxa"/>
            <w:tcBorders>
              <w:top w:val="nil"/>
              <w:bottom w:val="nil"/>
            </w:tcBorders>
          </w:tcPr>
          <w:p w:rsidR="00000000" w:rsidRDefault="00000000">
            <w:pPr>
              <w:pStyle w:val="a2"/>
              <w:spacing w:line="240" w:lineRule="auto"/>
              <w:ind w:right="227"/>
              <w:jc w:val="right"/>
              <w:rPr>
                <w:sz w:val="20"/>
              </w:rPr>
            </w:pPr>
            <w:r>
              <w:rPr>
                <w:sz w:val="20"/>
              </w:rPr>
              <w:t>26</w:t>
            </w:r>
          </w:p>
        </w:tc>
        <w:tc>
          <w:tcPr>
            <w:tcW w:w="1170" w:type="dxa"/>
            <w:tcBorders>
              <w:top w:val="nil"/>
              <w:bottom w:val="nil"/>
            </w:tcBorders>
          </w:tcPr>
          <w:p w:rsidR="00000000" w:rsidRDefault="00000000">
            <w:pPr>
              <w:pStyle w:val="a2"/>
              <w:spacing w:line="240" w:lineRule="auto"/>
              <w:ind w:right="170"/>
              <w:jc w:val="right"/>
              <w:rPr>
                <w:sz w:val="20"/>
              </w:rPr>
            </w:pPr>
            <w:r>
              <w:rPr>
                <w:sz w:val="20"/>
              </w:rPr>
              <w:t>2,490</w:t>
            </w:r>
          </w:p>
        </w:tc>
        <w:tc>
          <w:tcPr>
            <w:tcW w:w="1040" w:type="dxa"/>
            <w:tcBorders>
              <w:top w:val="nil"/>
              <w:bottom w:val="nil"/>
            </w:tcBorders>
          </w:tcPr>
          <w:p w:rsidR="00000000" w:rsidRDefault="00000000">
            <w:pPr>
              <w:pStyle w:val="a2"/>
              <w:spacing w:line="240" w:lineRule="auto"/>
              <w:ind w:right="170"/>
              <w:jc w:val="right"/>
              <w:rPr>
                <w:sz w:val="20"/>
              </w:rPr>
            </w:pPr>
            <w:r>
              <w:rPr>
                <w:sz w:val="20"/>
              </w:rPr>
              <w:t>2,519</w:t>
            </w:r>
          </w:p>
        </w:tc>
        <w:tc>
          <w:tcPr>
            <w:tcW w:w="931" w:type="dxa"/>
            <w:tcBorders>
              <w:top w:val="nil"/>
              <w:bottom w:val="nil"/>
            </w:tcBorders>
          </w:tcPr>
          <w:p w:rsidR="00000000" w:rsidRDefault="00000000">
            <w:pPr>
              <w:pStyle w:val="a2"/>
              <w:spacing w:line="240" w:lineRule="auto"/>
              <w:jc w:val="right"/>
              <w:rPr>
                <w:sz w:val="20"/>
              </w:rPr>
            </w:pPr>
            <w:r>
              <w:rPr>
                <w:sz w:val="20"/>
              </w:rPr>
              <w:t>13.65</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sz w:val="20"/>
              </w:rPr>
            </w:pPr>
            <w:r>
              <w:rPr>
                <w:rFonts w:hint="eastAsia"/>
                <w:sz w:val="20"/>
              </w:rPr>
              <w:t>青肿，撞压</w:t>
            </w:r>
          </w:p>
        </w:tc>
        <w:tc>
          <w:tcPr>
            <w:tcW w:w="915" w:type="dxa"/>
            <w:tcBorders>
              <w:top w:val="nil"/>
              <w:bottom w:val="nil"/>
            </w:tcBorders>
          </w:tcPr>
          <w:p w:rsidR="00000000" w:rsidRDefault="00000000">
            <w:pPr>
              <w:pStyle w:val="a2"/>
              <w:spacing w:line="240" w:lineRule="auto"/>
              <w:ind w:right="170"/>
              <w:jc w:val="right"/>
              <w:rPr>
                <w:sz w:val="20"/>
              </w:rPr>
            </w:pPr>
            <w:r>
              <w:rPr>
                <w:sz w:val="20"/>
              </w:rPr>
              <w:t>56</w:t>
            </w:r>
          </w:p>
        </w:tc>
        <w:tc>
          <w:tcPr>
            <w:tcW w:w="1425" w:type="dxa"/>
            <w:tcBorders>
              <w:top w:val="nil"/>
              <w:bottom w:val="nil"/>
            </w:tcBorders>
          </w:tcPr>
          <w:p w:rsidR="00000000" w:rsidRDefault="00000000">
            <w:pPr>
              <w:pStyle w:val="a2"/>
              <w:spacing w:line="240" w:lineRule="auto"/>
              <w:ind w:right="510"/>
              <w:jc w:val="right"/>
              <w:rPr>
                <w:sz w:val="20"/>
              </w:rPr>
            </w:pPr>
            <w:r>
              <w:rPr>
                <w:sz w:val="20"/>
              </w:rPr>
              <w:t>7</w:t>
            </w:r>
          </w:p>
        </w:tc>
        <w:tc>
          <w:tcPr>
            <w:tcW w:w="1040" w:type="dxa"/>
            <w:tcBorders>
              <w:top w:val="nil"/>
              <w:bottom w:val="nil"/>
            </w:tcBorders>
          </w:tcPr>
          <w:p w:rsidR="00000000" w:rsidRDefault="00000000">
            <w:pPr>
              <w:pStyle w:val="a2"/>
              <w:spacing w:line="240" w:lineRule="auto"/>
              <w:ind w:right="284"/>
              <w:jc w:val="right"/>
              <w:rPr>
                <w:sz w:val="20"/>
              </w:rPr>
            </w:pPr>
            <w:r>
              <w:rPr>
                <w:sz w:val="20"/>
              </w:rPr>
              <w:t>6</w:t>
            </w:r>
          </w:p>
        </w:tc>
        <w:tc>
          <w:tcPr>
            <w:tcW w:w="1040" w:type="dxa"/>
            <w:tcBorders>
              <w:top w:val="nil"/>
              <w:bottom w:val="nil"/>
            </w:tcBorders>
          </w:tcPr>
          <w:p w:rsidR="00000000" w:rsidRDefault="00000000">
            <w:pPr>
              <w:pStyle w:val="a2"/>
              <w:spacing w:line="240" w:lineRule="auto"/>
              <w:ind w:right="227"/>
              <w:jc w:val="right"/>
              <w:rPr>
                <w:sz w:val="20"/>
              </w:rPr>
            </w:pPr>
            <w:r>
              <w:rPr>
                <w:sz w:val="20"/>
              </w:rPr>
              <w:t>86</w:t>
            </w:r>
          </w:p>
        </w:tc>
        <w:tc>
          <w:tcPr>
            <w:tcW w:w="1170" w:type="dxa"/>
            <w:tcBorders>
              <w:top w:val="nil"/>
              <w:bottom w:val="nil"/>
            </w:tcBorders>
          </w:tcPr>
          <w:p w:rsidR="00000000" w:rsidRDefault="00000000">
            <w:pPr>
              <w:pStyle w:val="a2"/>
              <w:spacing w:line="240" w:lineRule="auto"/>
              <w:ind w:right="170"/>
              <w:jc w:val="right"/>
              <w:rPr>
                <w:sz w:val="20"/>
              </w:rPr>
            </w:pPr>
            <w:r>
              <w:rPr>
                <w:sz w:val="20"/>
              </w:rPr>
              <w:t>3,993</w:t>
            </w:r>
          </w:p>
        </w:tc>
        <w:tc>
          <w:tcPr>
            <w:tcW w:w="1040" w:type="dxa"/>
            <w:tcBorders>
              <w:top w:val="nil"/>
              <w:bottom w:val="nil"/>
            </w:tcBorders>
          </w:tcPr>
          <w:p w:rsidR="00000000" w:rsidRDefault="00000000">
            <w:pPr>
              <w:pStyle w:val="a2"/>
              <w:spacing w:line="240" w:lineRule="auto"/>
              <w:ind w:right="170"/>
              <w:jc w:val="right"/>
              <w:rPr>
                <w:sz w:val="20"/>
              </w:rPr>
            </w:pPr>
            <w:r>
              <w:rPr>
                <w:sz w:val="20"/>
              </w:rPr>
              <w:t>4,148</w:t>
            </w:r>
          </w:p>
        </w:tc>
        <w:tc>
          <w:tcPr>
            <w:tcW w:w="931" w:type="dxa"/>
            <w:tcBorders>
              <w:top w:val="nil"/>
              <w:bottom w:val="nil"/>
            </w:tcBorders>
          </w:tcPr>
          <w:p w:rsidR="00000000" w:rsidRDefault="00000000">
            <w:pPr>
              <w:pStyle w:val="a2"/>
              <w:spacing w:line="240" w:lineRule="auto"/>
              <w:jc w:val="right"/>
              <w:rPr>
                <w:sz w:val="20"/>
              </w:rPr>
            </w:pPr>
            <w:r>
              <w:rPr>
                <w:sz w:val="20"/>
              </w:rPr>
              <w:t>22.48</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rFonts w:hint="eastAsia"/>
                <w:sz w:val="20"/>
              </w:rPr>
            </w:pPr>
            <w:r>
              <w:rPr>
                <w:rFonts w:hint="eastAsia"/>
                <w:sz w:val="20"/>
              </w:rPr>
              <w:t>烫伤</w:t>
            </w:r>
          </w:p>
        </w:tc>
        <w:tc>
          <w:tcPr>
            <w:tcW w:w="915" w:type="dxa"/>
            <w:tcBorders>
              <w:top w:val="nil"/>
              <w:bottom w:val="nil"/>
            </w:tcBorders>
          </w:tcPr>
          <w:p w:rsidR="00000000" w:rsidRDefault="00000000">
            <w:pPr>
              <w:pStyle w:val="a2"/>
              <w:spacing w:line="240" w:lineRule="auto"/>
              <w:ind w:right="170"/>
              <w:jc w:val="right"/>
              <w:rPr>
                <w:sz w:val="20"/>
              </w:rPr>
            </w:pPr>
            <w:r>
              <w:rPr>
                <w:sz w:val="20"/>
              </w:rPr>
              <w:t>13</w:t>
            </w:r>
          </w:p>
        </w:tc>
        <w:tc>
          <w:tcPr>
            <w:tcW w:w="1425" w:type="dxa"/>
            <w:tcBorders>
              <w:top w:val="nil"/>
              <w:bottom w:val="nil"/>
            </w:tcBorders>
          </w:tcPr>
          <w:p w:rsidR="00000000" w:rsidRDefault="00000000">
            <w:pPr>
              <w:pStyle w:val="a2"/>
              <w:spacing w:line="240" w:lineRule="auto"/>
              <w:ind w:right="510"/>
              <w:jc w:val="right"/>
              <w:rPr>
                <w:sz w:val="20"/>
              </w:rPr>
            </w:pPr>
            <w:r>
              <w:rPr>
                <w:sz w:val="20"/>
              </w:rPr>
              <w:t>2</w:t>
            </w:r>
          </w:p>
        </w:tc>
        <w:tc>
          <w:tcPr>
            <w:tcW w:w="1040" w:type="dxa"/>
            <w:tcBorders>
              <w:top w:val="nil"/>
              <w:bottom w:val="nil"/>
            </w:tcBorders>
          </w:tcPr>
          <w:p w:rsidR="00000000" w:rsidRDefault="00000000">
            <w:pPr>
              <w:pStyle w:val="a2"/>
              <w:spacing w:line="240" w:lineRule="auto"/>
              <w:ind w:right="284"/>
              <w:jc w:val="right"/>
              <w:rPr>
                <w:sz w:val="20"/>
              </w:rPr>
            </w:pPr>
            <w:r>
              <w:rPr>
                <w:sz w:val="20"/>
              </w:rPr>
              <w:t>0</w:t>
            </w:r>
          </w:p>
        </w:tc>
        <w:tc>
          <w:tcPr>
            <w:tcW w:w="1040" w:type="dxa"/>
            <w:tcBorders>
              <w:top w:val="nil"/>
              <w:bottom w:val="nil"/>
            </w:tcBorders>
          </w:tcPr>
          <w:p w:rsidR="00000000" w:rsidRDefault="00000000">
            <w:pPr>
              <w:pStyle w:val="a2"/>
              <w:spacing w:line="240" w:lineRule="auto"/>
              <w:ind w:right="227"/>
              <w:jc w:val="right"/>
              <w:rPr>
                <w:sz w:val="20"/>
              </w:rPr>
            </w:pPr>
            <w:r>
              <w:rPr>
                <w:sz w:val="20"/>
              </w:rPr>
              <w:t>25</w:t>
            </w:r>
          </w:p>
        </w:tc>
        <w:tc>
          <w:tcPr>
            <w:tcW w:w="1170" w:type="dxa"/>
            <w:tcBorders>
              <w:top w:val="nil"/>
              <w:bottom w:val="nil"/>
            </w:tcBorders>
          </w:tcPr>
          <w:p w:rsidR="00000000" w:rsidRDefault="00000000">
            <w:pPr>
              <w:pStyle w:val="a2"/>
              <w:spacing w:line="240" w:lineRule="auto"/>
              <w:ind w:right="170"/>
              <w:jc w:val="right"/>
              <w:rPr>
                <w:sz w:val="20"/>
              </w:rPr>
            </w:pPr>
            <w:r>
              <w:rPr>
                <w:sz w:val="20"/>
              </w:rPr>
              <w:t>865</w:t>
            </w:r>
          </w:p>
        </w:tc>
        <w:tc>
          <w:tcPr>
            <w:tcW w:w="1040" w:type="dxa"/>
            <w:tcBorders>
              <w:top w:val="nil"/>
              <w:bottom w:val="nil"/>
            </w:tcBorders>
          </w:tcPr>
          <w:p w:rsidR="00000000" w:rsidRDefault="00000000">
            <w:pPr>
              <w:pStyle w:val="a2"/>
              <w:spacing w:line="240" w:lineRule="auto"/>
              <w:ind w:right="170"/>
              <w:jc w:val="right"/>
              <w:rPr>
                <w:sz w:val="20"/>
              </w:rPr>
            </w:pPr>
            <w:r>
              <w:rPr>
                <w:sz w:val="20"/>
              </w:rPr>
              <w:t>905</w:t>
            </w:r>
          </w:p>
        </w:tc>
        <w:tc>
          <w:tcPr>
            <w:tcW w:w="931" w:type="dxa"/>
            <w:tcBorders>
              <w:top w:val="nil"/>
              <w:bottom w:val="nil"/>
            </w:tcBorders>
          </w:tcPr>
          <w:p w:rsidR="00000000" w:rsidRDefault="00000000">
            <w:pPr>
              <w:pStyle w:val="a2"/>
              <w:spacing w:line="240" w:lineRule="auto"/>
              <w:jc w:val="right"/>
              <w:rPr>
                <w:sz w:val="20"/>
              </w:rPr>
            </w:pPr>
            <w:r>
              <w:rPr>
                <w:sz w:val="20"/>
              </w:rPr>
              <w:t>4.90</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sz w:val="20"/>
              </w:rPr>
            </w:pPr>
            <w:r>
              <w:rPr>
                <w:rFonts w:hint="eastAsia"/>
                <w:sz w:val="20"/>
              </w:rPr>
              <w:t>中毒，急性中毒</w:t>
            </w:r>
          </w:p>
        </w:tc>
        <w:tc>
          <w:tcPr>
            <w:tcW w:w="915" w:type="dxa"/>
            <w:tcBorders>
              <w:top w:val="nil"/>
              <w:bottom w:val="nil"/>
            </w:tcBorders>
            <w:vAlign w:val="bottom"/>
          </w:tcPr>
          <w:p w:rsidR="00000000" w:rsidRDefault="00000000">
            <w:pPr>
              <w:pStyle w:val="a2"/>
              <w:spacing w:line="240" w:lineRule="auto"/>
              <w:ind w:right="170"/>
              <w:jc w:val="right"/>
              <w:rPr>
                <w:sz w:val="20"/>
              </w:rPr>
            </w:pPr>
            <w:r>
              <w:rPr>
                <w:sz w:val="20"/>
              </w:rPr>
              <w:t>0</w:t>
            </w:r>
          </w:p>
        </w:tc>
        <w:tc>
          <w:tcPr>
            <w:tcW w:w="1425" w:type="dxa"/>
            <w:tcBorders>
              <w:top w:val="nil"/>
              <w:bottom w:val="nil"/>
            </w:tcBorders>
            <w:vAlign w:val="bottom"/>
          </w:tcPr>
          <w:p w:rsidR="00000000" w:rsidRDefault="00000000">
            <w:pPr>
              <w:pStyle w:val="a2"/>
              <w:spacing w:line="240" w:lineRule="auto"/>
              <w:ind w:right="510"/>
              <w:jc w:val="right"/>
              <w:rPr>
                <w:sz w:val="20"/>
              </w:rPr>
            </w:pPr>
            <w:r>
              <w:rPr>
                <w:sz w:val="20"/>
              </w:rPr>
              <w:t>0</w:t>
            </w:r>
          </w:p>
        </w:tc>
        <w:tc>
          <w:tcPr>
            <w:tcW w:w="1040" w:type="dxa"/>
            <w:tcBorders>
              <w:top w:val="nil"/>
              <w:bottom w:val="nil"/>
            </w:tcBorders>
            <w:vAlign w:val="bottom"/>
          </w:tcPr>
          <w:p w:rsidR="00000000" w:rsidRDefault="00000000">
            <w:pPr>
              <w:pStyle w:val="a2"/>
              <w:spacing w:line="240" w:lineRule="auto"/>
              <w:ind w:right="284"/>
              <w:jc w:val="right"/>
              <w:rPr>
                <w:sz w:val="20"/>
              </w:rPr>
            </w:pPr>
            <w:r>
              <w:rPr>
                <w:sz w:val="20"/>
              </w:rPr>
              <w:t>0</w:t>
            </w:r>
          </w:p>
        </w:tc>
        <w:tc>
          <w:tcPr>
            <w:tcW w:w="1040" w:type="dxa"/>
            <w:tcBorders>
              <w:top w:val="nil"/>
              <w:bottom w:val="nil"/>
            </w:tcBorders>
            <w:vAlign w:val="bottom"/>
          </w:tcPr>
          <w:p w:rsidR="00000000" w:rsidRDefault="00000000">
            <w:pPr>
              <w:pStyle w:val="a2"/>
              <w:spacing w:line="240" w:lineRule="auto"/>
              <w:ind w:right="227"/>
              <w:jc w:val="right"/>
              <w:rPr>
                <w:sz w:val="20"/>
              </w:rPr>
            </w:pPr>
            <w:r>
              <w:rPr>
                <w:sz w:val="20"/>
              </w:rPr>
              <w:t>1</w:t>
            </w:r>
          </w:p>
        </w:tc>
        <w:tc>
          <w:tcPr>
            <w:tcW w:w="1170" w:type="dxa"/>
            <w:tcBorders>
              <w:top w:val="nil"/>
              <w:bottom w:val="nil"/>
            </w:tcBorders>
            <w:vAlign w:val="bottom"/>
          </w:tcPr>
          <w:p w:rsidR="00000000" w:rsidRDefault="00000000">
            <w:pPr>
              <w:pStyle w:val="a2"/>
              <w:spacing w:line="240" w:lineRule="auto"/>
              <w:ind w:right="170"/>
              <w:jc w:val="right"/>
              <w:rPr>
                <w:sz w:val="20"/>
              </w:rPr>
            </w:pPr>
            <w:r>
              <w:rPr>
                <w:sz w:val="20"/>
              </w:rPr>
              <w:t>7</w:t>
            </w:r>
          </w:p>
        </w:tc>
        <w:tc>
          <w:tcPr>
            <w:tcW w:w="1040" w:type="dxa"/>
            <w:tcBorders>
              <w:top w:val="nil"/>
              <w:bottom w:val="nil"/>
            </w:tcBorders>
            <w:vAlign w:val="bottom"/>
          </w:tcPr>
          <w:p w:rsidR="00000000" w:rsidRDefault="00000000">
            <w:pPr>
              <w:pStyle w:val="a2"/>
              <w:spacing w:line="240" w:lineRule="auto"/>
              <w:ind w:right="170"/>
              <w:jc w:val="right"/>
              <w:rPr>
                <w:sz w:val="20"/>
              </w:rPr>
            </w:pPr>
            <w:r>
              <w:rPr>
                <w:sz w:val="20"/>
              </w:rPr>
              <w:t>8</w:t>
            </w:r>
          </w:p>
        </w:tc>
        <w:tc>
          <w:tcPr>
            <w:tcW w:w="931" w:type="dxa"/>
            <w:tcBorders>
              <w:top w:val="nil"/>
              <w:bottom w:val="nil"/>
            </w:tcBorders>
            <w:vAlign w:val="bottom"/>
          </w:tcPr>
          <w:p w:rsidR="00000000" w:rsidRDefault="00000000">
            <w:pPr>
              <w:pStyle w:val="a2"/>
              <w:spacing w:line="240" w:lineRule="auto"/>
              <w:jc w:val="right"/>
              <w:rPr>
                <w:sz w:val="20"/>
              </w:rPr>
            </w:pPr>
            <w:r>
              <w:rPr>
                <w:sz w:val="20"/>
              </w:rPr>
              <w:t>0.04</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rFonts w:hint="eastAsia"/>
                <w:sz w:val="20"/>
              </w:rPr>
            </w:pPr>
            <w:r>
              <w:rPr>
                <w:rFonts w:hint="eastAsia"/>
                <w:sz w:val="20"/>
              </w:rPr>
              <w:t>感冒后遗症等</w:t>
            </w:r>
          </w:p>
        </w:tc>
        <w:tc>
          <w:tcPr>
            <w:tcW w:w="915" w:type="dxa"/>
            <w:tcBorders>
              <w:top w:val="nil"/>
              <w:bottom w:val="nil"/>
            </w:tcBorders>
          </w:tcPr>
          <w:p w:rsidR="00000000" w:rsidRDefault="00000000">
            <w:pPr>
              <w:pStyle w:val="a2"/>
              <w:spacing w:line="240" w:lineRule="auto"/>
              <w:ind w:right="170"/>
              <w:jc w:val="right"/>
              <w:rPr>
                <w:sz w:val="20"/>
              </w:rPr>
            </w:pPr>
            <w:r>
              <w:rPr>
                <w:sz w:val="20"/>
              </w:rPr>
              <w:t>0</w:t>
            </w:r>
          </w:p>
        </w:tc>
        <w:tc>
          <w:tcPr>
            <w:tcW w:w="1425" w:type="dxa"/>
            <w:tcBorders>
              <w:top w:val="nil"/>
              <w:bottom w:val="nil"/>
            </w:tcBorders>
          </w:tcPr>
          <w:p w:rsidR="00000000" w:rsidRDefault="00000000">
            <w:pPr>
              <w:pStyle w:val="a2"/>
              <w:spacing w:line="240" w:lineRule="auto"/>
              <w:ind w:right="510"/>
              <w:jc w:val="right"/>
              <w:rPr>
                <w:sz w:val="20"/>
              </w:rPr>
            </w:pPr>
            <w:r>
              <w:rPr>
                <w:sz w:val="20"/>
              </w:rPr>
              <w:t>0</w:t>
            </w:r>
          </w:p>
        </w:tc>
        <w:tc>
          <w:tcPr>
            <w:tcW w:w="1040" w:type="dxa"/>
            <w:tcBorders>
              <w:top w:val="nil"/>
              <w:bottom w:val="nil"/>
            </w:tcBorders>
          </w:tcPr>
          <w:p w:rsidR="00000000" w:rsidRDefault="00000000">
            <w:pPr>
              <w:pStyle w:val="a2"/>
              <w:spacing w:line="240" w:lineRule="auto"/>
              <w:ind w:right="284"/>
              <w:jc w:val="right"/>
              <w:rPr>
                <w:sz w:val="20"/>
              </w:rPr>
            </w:pPr>
            <w:r>
              <w:rPr>
                <w:sz w:val="20"/>
              </w:rPr>
              <w:t>0</w:t>
            </w:r>
          </w:p>
        </w:tc>
        <w:tc>
          <w:tcPr>
            <w:tcW w:w="1040" w:type="dxa"/>
            <w:tcBorders>
              <w:top w:val="nil"/>
              <w:bottom w:val="nil"/>
            </w:tcBorders>
          </w:tcPr>
          <w:p w:rsidR="00000000" w:rsidRDefault="00000000">
            <w:pPr>
              <w:pStyle w:val="a2"/>
              <w:spacing w:line="240" w:lineRule="auto"/>
              <w:ind w:right="227"/>
              <w:jc w:val="right"/>
              <w:rPr>
                <w:sz w:val="20"/>
              </w:rPr>
            </w:pPr>
            <w:r>
              <w:rPr>
                <w:sz w:val="20"/>
              </w:rPr>
              <w:t>0</w:t>
            </w:r>
          </w:p>
        </w:tc>
        <w:tc>
          <w:tcPr>
            <w:tcW w:w="1170" w:type="dxa"/>
            <w:tcBorders>
              <w:top w:val="nil"/>
              <w:bottom w:val="nil"/>
            </w:tcBorders>
          </w:tcPr>
          <w:p w:rsidR="00000000" w:rsidRDefault="00000000">
            <w:pPr>
              <w:pStyle w:val="a2"/>
              <w:spacing w:line="240" w:lineRule="auto"/>
              <w:ind w:right="170"/>
              <w:jc w:val="right"/>
              <w:rPr>
                <w:sz w:val="20"/>
              </w:rPr>
            </w:pPr>
            <w:r>
              <w:rPr>
                <w:sz w:val="20"/>
              </w:rPr>
              <w:t>2</w:t>
            </w:r>
          </w:p>
        </w:tc>
        <w:tc>
          <w:tcPr>
            <w:tcW w:w="1040" w:type="dxa"/>
            <w:tcBorders>
              <w:top w:val="nil"/>
              <w:bottom w:val="nil"/>
            </w:tcBorders>
          </w:tcPr>
          <w:p w:rsidR="00000000" w:rsidRDefault="00000000">
            <w:pPr>
              <w:pStyle w:val="a2"/>
              <w:spacing w:line="240" w:lineRule="auto"/>
              <w:ind w:right="170"/>
              <w:jc w:val="right"/>
              <w:rPr>
                <w:sz w:val="20"/>
              </w:rPr>
            </w:pPr>
            <w:r>
              <w:rPr>
                <w:sz w:val="20"/>
              </w:rPr>
              <w:t>2</w:t>
            </w:r>
          </w:p>
        </w:tc>
        <w:tc>
          <w:tcPr>
            <w:tcW w:w="931" w:type="dxa"/>
            <w:tcBorders>
              <w:top w:val="nil"/>
              <w:bottom w:val="nil"/>
            </w:tcBorders>
          </w:tcPr>
          <w:p w:rsidR="00000000" w:rsidRDefault="00000000">
            <w:pPr>
              <w:pStyle w:val="a2"/>
              <w:spacing w:line="240" w:lineRule="auto"/>
              <w:jc w:val="right"/>
              <w:rPr>
                <w:sz w:val="20"/>
              </w:rPr>
            </w:pPr>
            <w:r>
              <w:rPr>
                <w:sz w:val="20"/>
              </w:rPr>
              <w:t>0.01</w:t>
            </w:r>
          </w:p>
        </w:tc>
      </w:tr>
      <w:tr w:rsidR="00000000">
        <w:tblPrEx>
          <w:tblCellMar>
            <w:top w:w="0" w:type="dxa"/>
            <w:bottom w:w="0" w:type="dxa"/>
          </w:tblCellMar>
        </w:tblPrEx>
        <w:tc>
          <w:tcPr>
            <w:tcW w:w="1760" w:type="dxa"/>
            <w:tcBorders>
              <w:top w:val="nil"/>
              <w:bottom w:val="nil"/>
            </w:tcBorders>
          </w:tcPr>
          <w:p w:rsidR="00000000" w:rsidRDefault="00000000">
            <w:pPr>
              <w:pStyle w:val="a2"/>
              <w:spacing w:line="240" w:lineRule="auto"/>
              <w:rPr>
                <w:rFonts w:hint="eastAsia"/>
                <w:sz w:val="20"/>
              </w:rPr>
            </w:pPr>
            <w:r>
              <w:rPr>
                <w:rFonts w:hint="eastAsia"/>
                <w:sz w:val="20"/>
              </w:rPr>
              <w:t>窒息</w:t>
            </w:r>
          </w:p>
        </w:tc>
        <w:tc>
          <w:tcPr>
            <w:tcW w:w="915" w:type="dxa"/>
            <w:tcBorders>
              <w:top w:val="nil"/>
              <w:bottom w:val="nil"/>
            </w:tcBorders>
          </w:tcPr>
          <w:p w:rsidR="00000000" w:rsidRDefault="00000000">
            <w:pPr>
              <w:pStyle w:val="a2"/>
              <w:spacing w:line="240" w:lineRule="auto"/>
              <w:ind w:right="170"/>
              <w:jc w:val="right"/>
              <w:rPr>
                <w:sz w:val="20"/>
              </w:rPr>
            </w:pPr>
            <w:r>
              <w:rPr>
                <w:sz w:val="20"/>
              </w:rPr>
              <w:t>39</w:t>
            </w:r>
          </w:p>
        </w:tc>
        <w:tc>
          <w:tcPr>
            <w:tcW w:w="1425" w:type="dxa"/>
            <w:tcBorders>
              <w:top w:val="nil"/>
              <w:bottom w:val="nil"/>
            </w:tcBorders>
          </w:tcPr>
          <w:p w:rsidR="00000000" w:rsidRDefault="00000000">
            <w:pPr>
              <w:pStyle w:val="a2"/>
              <w:spacing w:line="240" w:lineRule="auto"/>
              <w:ind w:right="510"/>
              <w:jc w:val="right"/>
              <w:rPr>
                <w:sz w:val="20"/>
              </w:rPr>
            </w:pPr>
            <w:r>
              <w:rPr>
                <w:sz w:val="20"/>
              </w:rPr>
              <w:t>4</w:t>
            </w:r>
          </w:p>
        </w:tc>
        <w:tc>
          <w:tcPr>
            <w:tcW w:w="1040" w:type="dxa"/>
            <w:tcBorders>
              <w:top w:val="nil"/>
              <w:bottom w:val="nil"/>
            </w:tcBorders>
          </w:tcPr>
          <w:p w:rsidR="00000000" w:rsidRDefault="00000000">
            <w:pPr>
              <w:pStyle w:val="a2"/>
              <w:spacing w:line="240" w:lineRule="auto"/>
              <w:ind w:right="284"/>
              <w:jc w:val="right"/>
              <w:rPr>
                <w:sz w:val="20"/>
              </w:rPr>
            </w:pPr>
            <w:r>
              <w:rPr>
                <w:sz w:val="20"/>
              </w:rPr>
              <w:t>5</w:t>
            </w:r>
          </w:p>
        </w:tc>
        <w:tc>
          <w:tcPr>
            <w:tcW w:w="1040" w:type="dxa"/>
            <w:tcBorders>
              <w:top w:val="nil"/>
              <w:bottom w:val="nil"/>
            </w:tcBorders>
          </w:tcPr>
          <w:p w:rsidR="00000000" w:rsidRDefault="00000000">
            <w:pPr>
              <w:pStyle w:val="a2"/>
              <w:spacing w:line="240" w:lineRule="auto"/>
              <w:ind w:right="227"/>
              <w:jc w:val="right"/>
              <w:rPr>
                <w:sz w:val="20"/>
              </w:rPr>
            </w:pPr>
            <w:r>
              <w:rPr>
                <w:sz w:val="20"/>
              </w:rPr>
              <w:t>0</w:t>
            </w:r>
          </w:p>
        </w:tc>
        <w:tc>
          <w:tcPr>
            <w:tcW w:w="1170" w:type="dxa"/>
            <w:tcBorders>
              <w:top w:val="nil"/>
              <w:bottom w:val="nil"/>
            </w:tcBorders>
          </w:tcPr>
          <w:p w:rsidR="00000000" w:rsidRDefault="00000000">
            <w:pPr>
              <w:pStyle w:val="a2"/>
              <w:spacing w:line="240" w:lineRule="auto"/>
              <w:ind w:right="170"/>
              <w:jc w:val="right"/>
              <w:rPr>
                <w:sz w:val="20"/>
              </w:rPr>
            </w:pPr>
            <w:r>
              <w:rPr>
                <w:sz w:val="20"/>
              </w:rPr>
              <w:t>36</w:t>
            </w:r>
          </w:p>
        </w:tc>
        <w:tc>
          <w:tcPr>
            <w:tcW w:w="1040" w:type="dxa"/>
            <w:tcBorders>
              <w:top w:val="nil"/>
              <w:bottom w:val="nil"/>
            </w:tcBorders>
          </w:tcPr>
          <w:p w:rsidR="00000000" w:rsidRDefault="00000000">
            <w:pPr>
              <w:pStyle w:val="a2"/>
              <w:spacing w:line="240" w:lineRule="auto"/>
              <w:ind w:right="170"/>
              <w:jc w:val="right"/>
              <w:rPr>
                <w:sz w:val="20"/>
              </w:rPr>
            </w:pPr>
            <w:r>
              <w:rPr>
                <w:sz w:val="20"/>
              </w:rPr>
              <w:t>84</w:t>
            </w:r>
          </w:p>
        </w:tc>
        <w:tc>
          <w:tcPr>
            <w:tcW w:w="931" w:type="dxa"/>
            <w:tcBorders>
              <w:top w:val="nil"/>
              <w:bottom w:val="nil"/>
            </w:tcBorders>
          </w:tcPr>
          <w:p w:rsidR="00000000" w:rsidRDefault="00000000">
            <w:pPr>
              <w:pStyle w:val="a2"/>
              <w:spacing w:line="240" w:lineRule="auto"/>
              <w:jc w:val="right"/>
              <w:rPr>
                <w:sz w:val="20"/>
              </w:rPr>
            </w:pPr>
            <w:r>
              <w:rPr>
                <w:sz w:val="20"/>
              </w:rPr>
              <w:t>0.46</w:t>
            </w:r>
          </w:p>
        </w:tc>
      </w:tr>
      <w:tr w:rsidR="00000000">
        <w:tblPrEx>
          <w:tblCellMar>
            <w:top w:w="0" w:type="dxa"/>
            <w:bottom w:w="0" w:type="dxa"/>
          </w:tblCellMar>
        </w:tblPrEx>
        <w:tc>
          <w:tcPr>
            <w:tcW w:w="1760" w:type="dxa"/>
            <w:tcBorders>
              <w:top w:val="nil"/>
            </w:tcBorders>
          </w:tcPr>
          <w:p w:rsidR="00000000" w:rsidRDefault="00000000">
            <w:pPr>
              <w:pStyle w:val="a2"/>
              <w:spacing w:line="240" w:lineRule="auto"/>
              <w:rPr>
                <w:rFonts w:hint="eastAsia"/>
                <w:sz w:val="20"/>
              </w:rPr>
            </w:pPr>
            <w:r>
              <w:rPr>
                <w:rFonts w:hint="eastAsia"/>
                <w:sz w:val="20"/>
              </w:rPr>
              <w:t>触电</w:t>
            </w:r>
          </w:p>
        </w:tc>
        <w:tc>
          <w:tcPr>
            <w:tcW w:w="915" w:type="dxa"/>
            <w:tcBorders>
              <w:top w:val="nil"/>
            </w:tcBorders>
          </w:tcPr>
          <w:p w:rsidR="00000000" w:rsidRDefault="00000000">
            <w:pPr>
              <w:pStyle w:val="a2"/>
              <w:spacing w:line="240" w:lineRule="auto"/>
              <w:ind w:right="170"/>
              <w:jc w:val="right"/>
              <w:rPr>
                <w:sz w:val="20"/>
              </w:rPr>
            </w:pPr>
            <w:r>
              <w:rPr>
                <w:sz w:val="20"/>
              </w:rPr>
              <w:t>18</w:t>
            </w:r>
          </w:p>
        </w:tc>
        <w:tc>
          <w:tcPr>
            <w:tcW w:w="1425" w:type="dxa"/>
            <w:tcBorders>
              <w:top w:val="nil"/>
            </w:tcBorders>
          </w:tcPr>
          <w:p w:rsidR="00000000" w:rsidRDefault="00000000">
            <w:pPr>
              <w:pStyle w:val="a2"/>
              <w:spacing w:line="240" w:lineRule="auto"/>
              <w:ind w:right="510"/>
              <w:jc w:val="right"/>
              <w:rPr>
                <w:sz w:val="20"/>
              </w:rPr>
            </w:pPr>
            <w:r>
              <w:rPr>
                <w:sz w:val="20"/>
              </w:rPr>
              <w:t>1</w:t>
            </w:r>
          </w:p>
        </w:tc>
        <w:tc>
          <w:tcPr>
            <w:tcW w:w="1040" w:type="dxa"/>
            <w:tcBorders>
              <w:top w:val="nil"/>
            </w:tcBorders>
          </w:tcPr>
          <w:p w:rsidR="00000000" w:rsidRDefault="00000000">
            <w:pPr>
              <w:pStyle w:val="a2"/>
              <w:spacing w:line="240" w:lineRule="auto"/>
              <w:ind w:right="284"/>
              <w:jc w:val="right"/>
              <w:rPr>
                <w:sz w:val="20"/>
              </w:rPr>
            </w:pPr>
            <w:r>
              <w:rPr>
                <w:sz w:val="20"/>
              </w:rPr>
              <w:t>2</w:t>
            </w:r>
          </w:p>
        </w:tc>
        <w:tc>
          <w:tcPr>
            <w:tcW w:w="1040" w:type="dxa"/>
            <w:tcBorders>
              <w:top w:val="nil"/>
            </w:tcBorders>
          </w:tcPr>
          <w:p w:rsidR="00000000" w:rsidRDefault="00000000">
            <w:pPr>
              <w:pStyle w:val="a2"/>
              <w:spacing w:line="240" w:lineRule="auto"/>
              <w:ind w:right="227"/>
              <w:jc w:val="right"/>
              <w:rPr>
                <w:sz w:val="20"/>
              </w:rPr>
            </w:pPr>
            <w:r>
              <w:rPr>
                <w:sz w:val="20"/>
              </w:rPr>
              <w:t>16</w:t>
            </w:r>
          </w:p>
        </w:tc>
        <w:tc>
          <w:tcPr>
            <w:tcW w:w="1170" w:type="dxa"/>
            <w:tcBorders>
              <w:top w:val="nil"/>
            </w:tcBorders>
          </w:tcPr>
          <w:p w:rsidR="00000000" w:rsidRDefault="00000000">
            <w:pPr>
              <w:pStyle w:val="a2"/>
              <w:spacing w:line="240" w:lineRule="auto"/>
              <w:ind w:right="170"/>
              <w:jc w:val="right"/>
              <w:rPr>
                <w:sz w:val="20"/>
              </w:rPr>
            </w:pPr>
            <w:r>
              <w:rPr>
                <w:sz w:val="20"/>
              </w:rPr>
              <w:t>276</w:t>
            </w:r>
          </w:p>
        </w:tc>
        <w:tc>
          <w:tcPr>
            <w:tcW w:w="1040" w:type="dxa"/>
            <w:tcBorders>
              <w:top w:val="nil"/>
            </w:tcBorders>
          </w:tcPr>
          <w:p w:rsidR="00000000" w:rsidRDefault="00000000">
            <w:pPr>
              <w:pStyle w:val="a2"/>
              <w:spacing w:line="240" w:lineRule="auto"/>
              <w:ind w:right="170"/>
              <w:jc w:val="right"/>
              <w:rPr>
                <w:sz w:val="20"/>
              </w:rPr>
            </w:pPr>
            <w:r>
              <w:rPr>
                <w:sz w:val="20"/>
              </w:rPr>
              <w:t>313</w:t>
            </w:r>
          </w:p>
        </w:tc>
        <w:tc>
          <w:tcPr>
            <w:tcW w:w="931" w:type="dxa"/>
            <w:tcBorders>
              <w:top w:val="nil"/>
            </w:tcBorders>
          </w:tcPr>
          <w:p w:rsidR="00000000" w:rsidRDefault="00000000">
            <w:pPr>
              <w:pStyle w:val="a2"/>
              <w:spacing w:line="240" w:lineRule="auto"/>
              <w:jc w:val="right"/>
              <w:rPr>
                <w:sz w:val="20"/>
              </w:rPr>
            </w:pPr>
            <w:r>
              <w:rPr>
                <w:sz w:val="20"/>
              </w:rPr>
              <w:t>1.70</w:t>
            </w:r>
          </w:p>
        </w:tc>
      </w:tr>
      <w:tr w:rsidR="00000000">
        <w:tblPrEx>
          <w:tblCellMar>
            <w:top w:w="0" w:type="dxa"/>
            <w:bottom w:w="0" w:type="dxa"/>
          </w:tblCellMar>
        </w:tblPrEx>
        <w:tc>
          <w:tcPr>
            <w:tcW w:w="1760" w:type="dxa"/>
          </w:tcPr>
          <w:p w:rsidR="00000000" w:rsidRDefault="00000000">
            <w:pPr>
              <w:pStyle w:val="a2"/>
              <w:spacing w:line="240" w:lineRule="auto"/>
              <w:rPr>
                <w:rFonts w:hint="eastAsia"/>
                <w:sz w:val="20"/>
              </w:rPr>
            </w:pPr>
            <w:r>
              <w:rPr>
                <w:rFonts w:hint="eastAsia"/>
                <w:sz w:val="20"/>
              </w:rPr>
              <w:t>总</w:t>
            </w:r>
            <w:r>
              <w:rPr>
                <w:rFonts w:hint="eastAsia"/>
                <w:sz w:val="20"/>
              </w:rPr>
              <w:t xml:space="preserve">  </w:t>
            </w:r>
            <w:r>
              <w:rPr>
                <w:rFonts w:hint="eastAsia"/>
                <w:sz w:val="20"/>
              </w:rPr>
              <w:t>计</w:t>
            </w:r>
          </w:p>
        </w:tc>
        <w:tc>
          <w:tcPr>
            <w:tcW w:w="915" w:type="dxa"/>
          </w:tcPr>
          <w:p w:rsidR="00000000" w:rsidRDefault="00000000">
            <w:pPr>
              <w:pStyle w:val="a2"/>
              <w:spacing w:line="240" w:lineRule="auto"/>
              <w:ind w:right="170"/>
              <w:jc w:val="right"/>
              <w:rPr>
                <w:sz w:val="20"/>
              </w:rPr>
            </w:pPr>
            <w:r>
              <w:rPr>
                <w:sz w:val="20"/>
              </w:rPr>
              <w:t>638</w:t>
            </w:r>
          </w:p>
        </w:tc>
        <w:tc>
          <w:tcPr>
            <w:tcW w:w="1425" w:type="dxa"/>
          </w:tcPr>
          <w:p w:rsidR="00000000" w:rsidRDefault="00000000">
            <w:pPr>
              <w:pStyle w:val="a2"/>
              <w:spacing w:line="240" w:lineRule="auto"/>
              <w:ind w:right="510"/>
              <w:jc w:val="right"/>
              <w:rPr>
                <w:sz w:val="20"/>
              </w:rPr>
            </w:pPr>
            <w:r>
              <w:rPr>
                <w:sz w:val="20"/>
              </w:rPr>
              <w:t>69</w:t>
            </w:r>
          </w:p>
        </w:tc>
        <w:tc>
          <w:tcPr>
            <w:tcW w:w="1040" w:type="dxa"/>
          </w:tcPr>
          <w:p w:rsidR="00000000" w:rsidRDefault="00000000">
            <w:pPr>
              <w:pStyle w:val="a2"/>
              <w:spacing w:line="240" w:lineRule="auto"/>
              <w:ind w:right="284"/>
              <w:jc w:val="right"/>
              <w:rPr>
                <w:sz w:val="20"/>
              </w:rPr>
            </w:pPr>
            <w:r>
              <w:rPr>
                <w:sz w:val="20"/>
              </w:rPr>
              <w:t>80</w:t>
            </w:r>
          </w:p>
        </w:tc>
        <w:tc>
          <w:tcPr>
            <w:tcW w:w="1040" w:type="dxa"/>
          </w:tcPr>
          <w:p w:rsidR="00000000" w:rsidRDefault="00000000">
            <w:pPr>
              <w:pStyle w:val="a2"/>
              <w:spacing w:line="240" w:lineRule="auto"/>
              <w:ind w:right="227"/>
              <w:jc w:val="right"/>
              <w:rPr>
                <w:sz w:val="20"/>
              </w:rPr>
            </w:pPr>
            <w:r>
              <w:rPr>
                <w:sz w:val="20"/>
              </w:rPr>
              <w:t>910</w:t>
            </w:r>
          </w:p>
        </w:tc>
        <w:tc>
          <w:tcPr>
            <w:tcW w:w="1170" w:type="dxa"/>
          </w:tcPr>
          <w:p w:rsidR="00000000" w:rsidRDefault="00000000">
            <w:pPr>
              <w:pStyle w:val="a2"/>
              <w:spacing w:line="240" w:lineRule="auto"/>
              <w:ind w:right="170"/>
              <w:jc w:val="right"/>
              <w:rPr>
                <w:sz w:val="20"/>
              </w:rPr>
            </w:pPr>
            <w:r>
              <w:rPr>
                <w:sz w:val="20"/>
              </w:rPr>
              <w:t>16,758</w:t>
            </w:r>
          </w:p>
        </w:tc>
        <w:tc>
          <w:tcPr>
            <w:tcW w:w="1040" w:type="dxa"/>
          </w:tcPr>
          <w:p w:rsidR="00000000" w:rsidRDefault="00000000">
            <w:pPr>
              <w:pStyle w:val="a2"/>
              <w:spacing w:line="240" w:lineRule="auto"/>
              <w:ind w:right="170"/>
              <w:jc w:val="right"/>
              <w:rPr>
                <w:sz w:val="20"/>
              </w:rPr>
            </w:pPr>
            <w:r>
              <w:rPr>
                <w:sz w:val="20"/>
              </w:rPr>
              <w:t>18,455</w:t>
            </w:r>
          </w:p>
        </w:tc>
        <w:tc>
          <w:tcPr>
            <w:tcW w:w="931" w:type="dxa"/>
          </w:tcPr>
          <w:p w:rsidR="00000000" w:rsidRDefault="00000000">
            <w:pPr>
              <w:pStyle w:val="a2"/>
              <w:spacing w:line="240" w:lineRule="auto"/>
              <w:jc w:val="right"/>
              <w:rPr>
                <w:sz w:val="20"/>
              </w:rPr>
            </w:pPr>
            <w:r>
              <w:rPr>
                <w:sz w:val="20"/>
              </w:rPr>
              <w:t>100.00</w:t>
            </w:r>
          </w:p>
        </w:tc>
      </w:tr>
    </w:tbl>
    <w:p w:rsidR="00000000" w:rsidRDefault="00000000">
      <w:pPr>
        <w:rPr>
          <w:rFonts w:hint="eastAsia"/>
          <w:sz w:val="20"/>
        </w:rPr>
      </w:pPr>
    </w:p>
    <w:p w:rsidR="00000000" w:rsidRDefault="00000000">
      <w:pPr>
        <w:pStyle w:val="Heading3"/>
        <w:spacing w:after="0"/>
        <w:rPr>
          <w:rFonts w:hint="eastAsia"/>
        </w:rPr>
      </w:pPr>
      <w:r>
        <w:rPr>
          <w:rFonts w:hint="eastAsia"/>
        </w:rPr>
        <w:t>工伤事故的趋势</w:t>
      </w:r>
    </w:p>
    <w:p w:rsidR="00000000" w:rsidRDefault="00000000">
      <w:pPr>
        <w:pStyle w:val="Heading3"/>
        <w:spacing w:after="160"/>
        <w:rPr>
          <w:rFonts w:hint="eastAsia"/>
        </w:rPr>
      </w:pPr>
      <w:r>
        <w:rPr>
          <w:rFonts w:hint="eastAsia"/>
        </w:rPr>
        <w:t>厄瓜多尔安全指数</w:t>
      </w:r>
      <w:r>
        <w:rPr>
          <w:rFonts w:hint="eastAsia"/>
        </w:rPr>
        <w:t>(</w:t>
      </w:r>
      <w:r>
        <w:rPr>
          <w:rFonts w:hint="eastAsia"/>
        </w:rPr>
        <w:t>社会保障所成员</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pStyle w:val="a2"/>
              <w:spacing w:before="60" w:after="20" w:line="288" w:lineRule="auto"/>
              <w:jc w:val="center"/>
              <w:rPr>
                <w:rFonts w:hint="eastAsia"/>
              </w:rPr>
            </w:pPr>
            <w:r>
              <w:rPr>
                <w:rFonts w:hint="eastAsia"/>
              </w:rPr>
              <w:t>年</w:t>
            </w:r>
            <w:r>
              <w:rPr>
                <w:rFonts w:hint="eastAsia"/>
              </w:rPr>
              <w:t xml:space="preserve">  </w:t>
            </w:r>
            <w:r>
              <w:rPr>
                <w:rFonts w:hint="eastAsia"/>
              </w:rPr>
              <w:t>度</w:t>
            </w:r>
          </w:p>
        </w:tc>
        <w:tc>
          <w:tcPr>
            <w:tcW w:w="2393" w:type="dxa"/>
            <w:tcBorders>
              <w:bottom w:val="single" w:sz="4" w:space="0" w:color="auto"/>
            </w:tcBorders>
          </w:tcPr>
          <w:p w:rsidR="00000000" w:rsidRDefault="00000000">
            <w:pPr>
              <w:pStyle w:val="a2"/>
              <w:spacing w:before="60" w:after="20" w:line="288" w:lineRule="auto"/>
              <w:jc w:val="center"/>
              <w:rPr>
                <w:rFonts w:hint="eastAsia"/>
              </w:rPr>
            </w:pPr>
            <w:r>
              <w:rPr>
                <w:rFonts w:hint="eastAsia"/>
              </w:rPr>
              <w:t>发生频率指数</w:t>
            </w:r>
          </w:p>
        </w:tc>
        <w:tc>
          <w:tcPr>
            <w:tcW w:w="2393" w:type="dxa"/>
            <w:tcBorders>
              <w:bottom w:val="single" w:sz="4" w:space="0" w:color="auto"/>
            </w:tcBorders>
          </w:tcPr>
          <w:p w:rsidR="00000000" w:rsidRDefault="00000000">
            <w:pPr>
              <w:pStyle w:val="a2"/>
              <w:spacing w:before="60" w:after="20" w:line="288" w:lineRule="auto"/>
              <w:jc w:val="center"/>
              <w:rPr>
                <w:rFonts w:hint="eastAsia"/>
              </w:rPr>
            </w:pPr>
            <w:r>
              <w:rPr>
                <w:rFonts w:hint="eastAsia"/>
              </w:rPr>
              <w:t>严重程度率</w:t>
            </w:r>
          </w:p>
        </w:tc>
        <w:tc>
          <w:tcPr>
            <w:tcW w:w="2286" w:type="dxa"/>
            <w:tcBorders>
              <w:bottom w:val="single" w:sz="4" w:space="0" w:color="auto"/>
            </w:tcBorders>
          </w:tcPr>
          <w:p w:rsidR="00000000" w:rsidRDefault="00000000">
            <w:pPr>
              <w:pStyle w:val="a2"/>
              <w:spacing w:before="60" w:after="20" w:line="288" w:lineRule="auto"/>
              <w:jc w:val="center"/>
              <w:rPr>
                <w:rFonts w:hint="eastAsia"/>
              </w:rPr>
            </w:pPr>
            <w:r>
              <w:rPr>
                <w:rFonts w:hint="eastAsia"/>
              </w:rPr>
              <w:t>风</w:t>
            </w:r>
            <w:r>
              <w:rPr>
                <w:rFonts w:hint="eastAsia"/>
              </w:rPr>
              <w:t xml:space="preserve"> </w:t>
            </w:r>
            <w:r>
              <w:rPr>
                <w:rFonts w:hint="eastAsia"/>
              </w:rPr>
              <w:t>险</w:t>
            </w:r>
            <w:r>
              <w:rPr>
                <w:rFonts w:hint="eastAsia"/>
              </w:rPr>
              <w:t xml:space="preserve"> </w:t>
            </w:r>
            <w:r>
              <w:rPr>
                <w:rFonts w:hint="eastAsia"/>
              </w:rPr>
              <w:t>率</w:t>
            </w:r>
          </w:p>
        </w:tc>
      </w:tr>
      <w:tr w:rsidR="00000000">
        <w:tblPrEx>
          <w:tblCellMar>
            <w:top w:w="0" w:type="dxa"/>
            <w:bottom w:w="0" w:type="dxa"/>
          </w:tblCellMar>
        </w:tblPrEx>
        <w:tc>
          <w:tcPr>
            <w:tcW w:w="2284" w:type="dxa"/>
            <w:tcBorders>
              <w:bottom w:val="nil"/>
            </w:tcBorders>
          </w:tcPr>
          <w:p w:rsidR="00000000" w:rsidRDefault="00000000">
            <w:pPr>
              <w:pStyle w:val="a2"/>
              <w:jc w:val="center"/>
            </w:pPr>
            <w:r>
              <w:t>1988</w:t>
            </w:r>
          </w:p>
        </w:tc>
        <w:tc>
          <w:tcPr>
            <w:tcW w:w="2393" w:type="dxa"/>
            <w:tcBorders>
              <w:bottom w:val="nil"/>
            </w:tcBorders>
          </w:tcPr>
          <w:p w:rsidR="00000000" w:rsidRDefault="00000000">
            <w:pPr>
              <w:pStyle w:val="a2"/>
              <w:ind w:right="737"/>
              <w:jc w:val="right"/>
            </w:pPr>
            <w:r>
              <w:t>2.90</w:t>
            </w:r>
          </w:p>
        </w:tc>
        <w:tc>
          <w:tcPr>
            <w:tcW w:w="2393" w:type="dxa"/>
            <w:tcBorders>
              <w:bottom w:val="nil"/>
            </w:tcBorders>
          </w:tcPr>
          <w:p w:rsidR="00000000" w:rsidRDefault="00000000">
            <w:pPr>
              <w:pStyle w:val="a2"/>
              <w:ind w:right="737"/>
              <w:jc w:val="right"/>
            </w:pPr>
            <w:r>
              <w:t>670.00</w:t>
            </w:r>
          </w:p>
        </w:tc>
        <w:tc>
          <w:tcPr>
            <w:tcW w:w="2286" w:type="dxa"/>
            <w:tcBorders>
              <w:bottom w:val="nil"/>
            </w:tcBorders>
          </w:tcPr>
          <w:p w:rsidR="00000000" w:rsidRDefault="00000000">
            <w:pPr>
              <w:pStyle w:val="a2"/>
              <w:ind w:right="737"/>
              <w:jc w:val="right"/>
            </w:pPr>
            <w:r>
              <w:t>231.30</w:t>
            </w:r>
          </w:p>
        </w:tc>
      </w:tr>
      <w:tr w:rsidR="00000000">
        <w:tblPrEx>
          <w:tblCellMar>
            <w:top w:w="0" w:type="dxa"/>
            <w:bottom w:w="0" w:type="dxa"/>
          </w:tblCellMar>
        </w:tblPrEx>
        <w:tc>
          <w:tcPr>
            <w:tcW w:w="2284" w:type="dxa"/>
            <w:tcBorders>
              <w:top w:val="nil"/>
              <w:bottom w:val="nil"/>
            </w:tcBorders>
          </w:tcPr>
          <w:p w:rsidR="00000000" w:rsidRDefault="00000000">
            <w:pPr>
              <w:pStyle w:val="a2"/>
              <w:jc w:val="center"/>
            </w:pPr>
            <w:r>
              <w:t>1989</w:t>
            </w:r>
          </w:p>
        </w:tc>
        <w:tc>
          <w:tcPr>
            <w:tcW w:w="2393" w:type="dxa"/>
            <w:tcBorders>
              <w:top w:val="nil"/>
              <w:bottom w:val="nil"/>
            </w:tcBorders>
          </w:tcPr>
          <w:p w:rsidR="00000000" w:rsidRDefault="00000000">
            <w:pPr>
              <w:pStyle w:val="a2"/>
              <w:ind w:right="737"/>
              <w:jc w:val="right"/>
            </w:pPr>
            <w:r>
              <w:t>3.45</w:t>
            </w:r>
          </w:p>
        </w:tc>
        <w:tc>
          <w:tcPr>
            <w:tcW w:w="2393" w:type="dxa"/>
            <w:tcBorders>
              <w:top w:val="nil"/>
              <w:bottom w:val="nil"/>
            </w:tcBorders>
          </w:tcPr>
          <w:p w:rsidR="00000000" w:rsidRDefault="00000000">
            <w:pPr>
              <w:pStyle w:val="a2"/>
              <w:ind w:right="737"/>
              <w:jc w:val="right"/>
            </w:pPr>
            <w:r>
              <w:t>735.96</w:t>
            </w:r>
          </w:p>
        </w:tc>
        <w:tc>
          <w:tcPr>
            <w:tcW w:w="2286" w:type="dxa"/>
            <w:tcBorders>
              <w:top w:val="nil"/>
              <w:bottom w:val="nil"/>
            </w:tcBorders>
          </w:tcPr>
          <w:p w:rsidR="00000000" w:rsidRDefault="00000000">
            <w:pPr>
              <w:pStyle w:val="a2"/>
              <w:ind w:right="737"/>
              <w:jc w:val="right"/>
            </w:pPr>
            <w:r>
              <w:t>210.27</w:t>
            </w:r>
          </w:p>
        </w:tc>
      </w:tr>
      <w:tr w:rsidR="00000000">
        <w:tblPrEx>
          <w:tblCellMar>
            <w:top w:w="0" w:type="dxa"/>
            <w:bottom w:w="0" w:type="dxa"/>
          </w:tblCellMar>
        </w:tblPrEx>
        <w:tc>
          <w:tcPr>
            <w:tcW w:w="2284" w:type="dxa"/>
            <w:tcBorders>
              <w:top w:val="nil"/>
              <w:bottom w:val="nil"/>
            </w:tcBorders>
          </w:tcPr>
          <w:p w:rsidR="00000000" w:rsidRDefault="00000000">
            <w:pPr>
              <w:pStyle w:val="a2"/>
              <w:jc w:val="center"/>
            </w:pPr>
            <w:r>
              <w:t>1990</w:t>
            </w:r>
          </w:p>
        </w:tc>
        <w:tc>
          <w:tcPr>
            <w:tcW w:w="2393" w:type="dxa"/>
            <w:tcBorders>
              <w:top w:val="nil"/>
              <w:bottom w:val="nil"/>
            </w:tcBorders>
          </w:tcPr>
          <w:p w:rsidR="00000000" w:rsidRDefault="00000000">
            <w:pPr>
              <w:pStyle w:val="a2"/>
              <w:ind w:right="737"/>
              <w:jc w:val="right"/>
            </w:pPr>
            <w:r>
              <w:t>2.86</w:t>
            </w:r>
          </w:p>
        </w:tc>
        <w:tc>
          <w:tcPr>
            <w:tcW w:w="2393" w:type="dxa"/>
            <w:tcBorders>
              <w:top w:val="nil"/>
              <w:bottom w:val="nil"/>
            </w:tcBorders>
          </w:tcPr>
          <w:p w:rsidR="00000000" w:rsidRDefault="00000000">
            <w:pPr>
              <w:pStyle w:val="a2"/>
              <w:ind w:right="737"/>
              <w:jc w:val="right"/>
            </w:pPr>
            <w:r>
              <w:t>913.34</w:t>
            </w:r>
          </w:p>
        </w:tc>
        <w:tc>
          <w:tcPr>
            <w:tcW w:w="2286" w:type="dxa"/>
            <w:tcBorders>
              <w:top w:val="nil"/>
              <w:bottom w:val="nil"/>
            </w:tcBorders>
          </w:tcPr>
          <w:p w:rsidR="00000000" w:rsidRDefault="00000000">
            <w:pPr>
              <w:pStyle w:val="a2"/>
              <w:ind w:right="737"/>
              <w:jc w:val="right"/>
            </w:pPr>
            <w:r>
              <w:t>319.34</w:t>
            </w:r>
          </w:p>
        </w:tc>
      </w:tr>
      <w:tr w:rsidR="00000000">
        <w:tblPrEx>
          <w:tblCellMar>
            <w:top w:w="0" w:type="dxa"/>
            <w:bottom w:w="0" w:type="dxa"/>
          </w:tblCellMar>
        </w:tblPrEx>
        <w:tc>
          <w:tcPr>
            <w:tcW w:w="2284" w:type="dxa"/>
            <w:tcBorders>
              <w:top w:val="nil"/>
              <w:bottom w:val="nil"/>
            </w:tcBorders>
          </w:tcPr>
          <w:p w:rsidR="00000000" w:rsidRDefault="00000000">
            <w:pPr>
              <w:pStyle w:val="a2"/>
              <w:jc w:val="center"/>
            </w:pPr>
            <w:r>
              <w:t>1991</w:t>
            </w:r>
          </w:p>
        </w:tc>
        <w:tc>
          <w:tcPr>
            <w:tcW w:w="2393" w:type="dxa"/>
            <w:tcBorders>
              <w:top w:val="nil"/>
              <w:bottom w:val="nil"/>
            </w:tcBorders>
          </w:tcPr>
          <w:p w:rsidR="00000000" w:rsidRDefault="00000000">
            <w:pPr>
              <w:pStyle w:val="a2"/>
              <w:ind w:right="737"/>
              <w:jc w:val="right"/>
            </w:pPr>
            <w:r>
              <w:t>2.71</w:t>
            </w:r>
          </w:p>
        </w:tc>
        <w:tc>
          <w:tcPr>
            <w:tcW w:w="2393" w:type="dxa"/>
            <w:tcBorders>
              <w:top w:val="nil"/>
              <w:bottom w:val="nil"/>
            </w:tcBorders>
          </w:tcPr>
          <w:p w:rsidR="00000000" w:rsidRDefault="00000000">
            <w:pPr>
              <w:pStyle w:val="a2"/>
              <w:ind w:right="737"/>
              <w:jc w:val="right"/>
            </w:pPr>
            <w:r>
              <w:t>766.91</w:t>
            </w:r>
          </w:p>
        </w:tc>
        <w:tc>
          <w:tcPr>
            <w:tcW w:w="2286" w:type="dxa"/>
            <w:tcBorders>
              <w:top w:val="nil"/>
              <w:bottom w:val="nil"/>
            </w:tcBorders>
          </w:tcPr>
          <w:p w:rsidR="00000000" w:rsidRDefault="00000000">
            <w:pPr>
              <w:pStyle w:val="a2"/>
              <w:ind w:right="737"/>
              <w:jc w:val="right"/>
            </w:pPr>
            <w:r>
              <w:t>282.99</w:t>
            </w:r>
          </w:p>
        </w:tc>
      </w:tr>
      <w:tr w:rsidR="00000000">
        <w:tblPrEx>
          <w:tblCellMar>
            <w:top w:w="0" w:type="dxa"/>
            <w:bottom w:w="0" w:type="dxa"/>
          </w:tblCellMar>
        </w:tblPrEx>
        <w:tc>
          <w:tcPr>
            <w:tcW w:w="2284" w:type="dxa"/>
            <w:tcBorders>
              <w:top w:val="nil"/>
            </w:tcBorders>
          </w:tcPr>
          <w:p w:rsidR="00000000" w:rsidRDefault="00000000">
            <w:pPr>
              <w:pStyle w:val="a2"/>
              <w:jc w:val="center"/>
            </w:pPr>
            <w:r>
              <w:t>1992</w:t>
            </w:r>
          </w:p>
        </w:tc>
        <w:tc>
          <w:tcPr>
            <w:tcW w:w="2393" w:type="dxa"/>
            <w:tcBorders>
              <w:top w:val="nil"/>
            </w:tcBorders>
          </w:tcPr>
          <w:p w:rsidR="00000000" w:rsidRDefault="00000000">
            <w:pPr>
              <w:pStyle w:val="a2"/>
              <w:ind w:right="737"/>
              <w:jc w:val="right"/>
            </w:pPr>
            <w:r>
              <w:t>1.92</w:t>
            </w:r>
          </w:p>
        </w:tc>
        <w:tc>
          <w:tcPr>
            <w:tcW w:w="2393" w:type="dxa"/>
            <w:tcBorders>
              <w:top w:val="nil"/>
            </w:tcBorders>
          </w:tcPr>
          <w:p w:rsidR="00000000" w:rsidRDefault="00000000">
            <w:pPr>
              <w:pStyle w:val="a2"/>
              <w:ind w:right="737"/>
              <w:jc w:val="right"/>
            </w:pPr>
            <w:r>
              <w:t>594.87</w:t>
            </w:r>
          </w:p>
        </w:tc>
        <w:tc>
          <w:tcPr>
            <w:tcW w:w="2286" w:type="dxa"/>
            <w:tcBorders>
              <w:top w:val="nil"/>
            </w:tcBorders>
          </w:tcPr>
          <w:p w:rsidR="00000000" w:rsidRDefault="00000000">
            <w:pPr>
              <w:pStyle w:val="a2"/>
              <w:ind w:right="737"/>
              <w:jc w:val="right"/>
            </w:pPr>
            <w:r>
              <w:t>309.82</w:t>
            </w:r>
          </w:p>
        </w:tc>
      </w:tr>
    </w:tbl>
    <w:p w:rsidR="00000000" w:rsidRDefault="00000000"/>
    <w:tbl>
      <w:tblPr>
        <w:tblW w:w="0" w:type="auto"/>
        <w:tblInd w:w="959" w:type="dxa"/>
        <w:tblBorders>
          <w:insideH w:val="single" w:sz="4" w:space="0" w:color="auto"/>
          <w:insideV w:val="single" w:sz="4" w:space="0" w:color="auto"/>
        </w:tblBorders>
        <w:tblLook w:val="0000" w:firstRow="0" w:lastRow="0" w:firstColumn="0" w:lastColumn="0" w:noHBand="0" w:noVBand="0"/>
      </w:tblPr>
      <w:tblGrid>
        <w:gridCol w:w="1984"/>
        <w:gridCol w:w="5245"/>
      </w:tblGrid>
      <w:tr w:rsidR="00000000">
        <w:tblPrEx>
          <w:tblCellMar>
            <w:top w:w="0" w:type="dxa"/>
            <w:bottom w:w="0" w:type="dxa"/>
          </w:tblCellMar>
        </w:tblPrEx>
        <w:trPr>
          <w:cantSplit/>
          <w:trHeight w:val="343"/>
        </w:trPr>
        <w:tc>
          <w:tcPr>
            <w:tcW w:w="1984" w:type="dxa"/>
            <w:vMerge w:val="restart"/>
            <w:tcBorders>
              <w:top w:val="nil"/>
              <w:right w:val="nil"/>
            </w:tcBorders>
          </w:tcPr>
          <w:p w:rsidR="00000000" w:rsidRDefault="00000000">
            <w:pPr>
              <w:spacing w:line="240" w:lineRule="auto"/>
              <w:rPr>
                <w:sz w:val="22"/>
              </w:rPr>
            </w:pPr>
            <w:r>
              <w:rPr>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53"/>
            </w:tblGrid>
            <w:tr w:rsidR="00000000">
              <w:tblPrEx>
                <w:tblCellMar>
                  <w:top w:w="0" w:type="dxa"/>
                  <w:bottom w:w="0" w:type="dxa"/>
                </w:tblCellMar>
              </w:tblPrEx>
              <w:tc>
                <w:tcPr>
                  <w:tcW w:w="1753" w:type="dxa"/>
                  <w:tcBorders>
                    <w:top w:val="nil"/>
                    <w:left w:val="nil"/>
                    <w:bottom w:val="nil"/>
                    <w:right w:val="nil"/>
                  </w:tcBorders>
                </w:tcPr>
                <w:tbl>
                  <w:tblPr>
                    <w:tblW w:w="0" w:type="auto"/>
                    <w:tblCellMar>
                      <w:left w:w="28" w:type="dxa"/>
                      <w:right w:w="28" w:type="dxa"/>
                    </w:tblCellMar>
                    <w:tblLook w:val="0000" w:firstRow="0" w:lastRow="0" w:firstColumn="0" w:lastColumn="0" w:noHBand="0" w:noVBand="0"/>
                  </w:tblPr>
                  <w:tblGrid>
                    <w:gridCol w:w="1681"/>
                  </w:tblGrid>
                  <w:tr w:rsidR="00000000">
                    <w:tblPrEx>
                      <w:tblCellMar>
                        <w:top w:w="0" w:type="dxa"/>
                        <w:bottom w:w="0" w:type="dxa"/>
                      </w:tblCellMar>
                    </w:tblPrEx>
                    <w:tc>
                      <w:tcPr>
                        <w:tcW w:w="1681" w:type="dxa"/>
                      </w:tcPr>
                      <w:p w:rsidR="00000000" w:rsidRDefault="00000000">
                        <w:pPr>
                          <w:spacing w:line="240" w:lineRule="auto"/>
                          <w:rPr>
                            <w:rFonts w:hint="eastAsia"/>
                            <w:sz w:val="22"/>
                          </w:rPr>
                        </w:pPr>
                        <w:r>
                          <w:rPr>
                            <w:rFonts w:hint="eastAsia"/>
                            <w:sz w:val="22"/>
                          </w:rPr>
                          <w:t>发生频率指数：</w:t>
                        </w:r>
                      </w:p>
                    </w:tc>
                  </w:tr>
                </w:tbl>
                <w:p w:rsidR="00000000" w:rsidRDefault="00000000">
                  <w:pPr>
                    <w:spacing w:line="240" w:lineRule="auto"/>
                    <w:rPr>
                      <w:rFonts w:hint="eastAsia"/>
                      <w:sz w:val="22"/>
                    </w:rPr>
                  </w:pPr>
                </w:p>
              </w:tc>
            </w:tr>
          </w:tbl>
          <w:p w:rsidR="00000000" w:rsidRDefault="00000000">
            <w:pPr>
              <w:spacing w:line="240" w:lineRule="auto"/>
              <w:rPr>
                <w:sz w:val="22"/>
              </w:rPr>
            </w:pPr>
          </w:p>
        </w:tc>
        <w:tc>
          <w:tcPr>
            <w:tcW w:w="5245" w:type="dxa"/>
            <w:tcBorders>
              <w:left w:val="nil"/>
            </w:tcBorders>
          </w:tcPr>
          <w:p w:rsidR="00000000" w:rsidRDefault="00000000">
            <w:pPr>
              <w:spacing w:line="240" w:lineRule="auto"/>
              <w:ind w:left="-113" w:right="-170"/>
              <w:jc w:val="center"/>
              <w:rPr>
                <w:sz w:val="22"/>
                <w:szCs w:val="18"/>
                <w:u w:val="single"/>
                <w:vertAlign w:val="subscript"/>
              </w:rPr>
            </w:pPr>
            <w:r>
              <w:rPr>
                <w:sz w:val="22"/>
              </w:rPr>
              <w:t xml:space="preserve">FI = </w:t>
            </w:r>
            <w:r>
              <w:rPr>
                <w:rFonts w:hint="eastAsia"/>
                <w:sz w:val="22"/>
              </w:rPr>
              <w:t>导致病假的事故数量</w:t>
            </w:r>
            <w:r>
              <w:rPr>
                <w:sz w:val="22"/>
              </w:rPr>
              <w:t>*</w:t>
            </w:r>
            <w:r>
              <w:rPr>
                <w:sz w:val="22"/>
                <w:szCs w:val="18"/>
              </w:rPr>
              <w:t>10</w:t>
            </w:r>
            <w:r>
              <w:rPr>
                <w:sz w:val="22"/>
                <w:szCs w:val="18"/>
                <w:vertAlign w:val="subscript"/>
              </w:rPr>
              <w:t>6</w:t>
            </w:r>
          </w:p>
        </w:tc>
      </w:tr>
      <w:tr w:rsidR="00000000">
        <w:tblPrEx>
          <w:tblCellMar>
            <w:top w:w="0" w:type="dxa"/>
            <w:bottom w:w="0" w:type="dxa"/>
          </w:tblCellMar>
        </w:tblPrEx>
        <w:trPr>
          <w:cantSplit/>
        </w:trPr>
        <w:tc>
          <w:tcPr>
            <w:tcW w:w="1984" w:type="dxa"/>
            <w:vMerge/>
            <w:tcBorders>
              <w:bottom w:val="nil"/>
              <w:right w:val="nil"/>
            </w:tcBorders>
          </w:tcPr>
          <w:p w:rsidR="00000000" w:rsidRDefault="00000000">
            <w:pPr>
              <w:spacing w:line="240" w:lineRule="auto"/>
              <w:rPr>
                <w:sz w:val="22"/>
                <w:vertAlign w:val="subscript"/>
              </w:rPr>
            </w:pPr>
          </w:p>
        </w:tc>
        <w:tc>
          <w:tcPr>
            <w:tcW w:w="5245" w:type="dxa"/>
            <w:tcBorders>
              <w:left w:val="nil"/>
            </w:tcBorders>
          </w:tcPr>
          <w:p w:rsidR="00000000" w:rsidRDefault="00000000">
            <w:pPr>
              <w:spacing w:line="240" w:lineRule="auto"/>
              <w:ind w:left="-113" w:right="-170"/>
              <w:jc w:val="center"/>
              <w:rPr>
                <w:rFonts w:hint="eastAsia"/>
                <w:sz w:val="22"/>
              </w:rPr>
            </w:pPr>
            <w:r>
              <w:rPr>
                <w:rFonts w:hint="eastAsia"/>
                <w:sz w:val="22"/>
              </w:rPr>
              <w:t>工作小时数</w:t>
            </w:r>
          </w:p>
        </w:tc>
      </w:tr>
    </w:tbl>
    <w:p w:rsidR="00000000" w:rsidRDefault="00000000">
      <w:pPr>
        <w:rPr>
          <w:rFonts w:hint="eastAsia"/>
        </w:rPr>
      </w:pPr>
    </w:p>
    <w:p w:rsidR="00000000" w:rsidRDefault="00000000">
      <w:pPr>
        <w:pStyle w:val="Heading3"/>
        <w:spacing w:after="240"/>
        <w:rPr>
          <w:rFonts w:hint="eastAsia"/>
        </w:rPr>
      </w:pPr>
      <w:r>
        <w:rPr>
          <w:rFonts w:hint="eastAsia"/>
        </w:rPr>
        <w:t>事故指数</w:t>
      </w:r>
      <w:r>
        <w:rPr>
          <w:rFonts w:hint="eastAsia"/>
        </w:rPr>
        <w:t>(</w:t>
      </w:r>
      <w:r>
        <w:rPr>
          <w:rFonts w:hint="eastAsia"/>
        </w:rPr>
        <w:t>厄瓜多尔，社会保障所成员</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7"/>
        <w:gridCol w:w="1531"/>
        <w:gridCol w:w="1532"/>
        <w:gridCol w:w="1532"/>
        <w:gridCol w:w="1532"/>
        <w:gridCol w:w="1532"/>
      </w:tblGrid>
      <w:tr w:rsidR="00000000">
        <w:tblPrEx>
          <w:tblCellMar>
            <w:top w:w="0" w:type="dxa"/>
            <w:bottom w:w="0" w:type="dxa"/>
          </w:tblCellMar>
        </w:tblPrEx>
        <w:tc>
          <w:tcPr>
            <w:tcW w:w="1697" w:type="dxa"/>
          </w:tcPr>
          <w:p w:rsidR="00000000" w:rsidRDefault="00000000">
            <w:pPr>
              <w:spacing w:before="40" w:after="20"/>
              <w:jc w:val="center"/>
              <w:rPr>
                <w:rFonts w:hint="eastAsia"/>
                <w:sz w:val="21"/>
              </w:rPr>
            </w:pPr>
            <w:r>
              <w:rPr>
                <w:rFonts w:hint="eastAsia"/>
                <w:sz w:val="21"/>
              </w:rPr>
              <w:t>年</w:t>
            </w:r>
            <w:r>
              <w:rPr>
                <w:rFonts w:hint="eastAsia"/>
                <w:sz w:val="21"/>
              </w:rPr>
              <w:t xml:space="preserve">  </w:t>
            </w:r>
            <w:r>
              <w:rPr>
                <w:rFonts w:hint="eastAsia"/>
                <w:sz w:val="21"/>
              </w:rPr>
              <w:t>度</w:t>
            </w:r>
          </w:p>
        </w:tc>
        <w:tc>
          <w:tcPr>
            <w:tcW w:w="1531" w:type="dxa"/>
          </w:tcPr>
          <w:p w:rsidR="00000000" w:rsidRDefault="00000000">
            <w:pPr>
              <w:spacing w:before="40" w:after="20"/>
              <w:jc w:val="center"/>
              <w:rPr>
                <w:sz w:val="21"/>
              </w:rPr>
            </w:pPr>
            <w:r>
              <w:rPr>
                <w:sz w:val="21"/>
              </w:rPr>
              <w:t>1988</w:t>
            </w:r>
          </w:p>
        </w:tc>
        <w:tc>
          <w:tcPr>
            <w:tcW w:w="1532" w:type="dxa"/>
          </w:tcPr>
          <w:p w:rsidR="00000000" w:rsidRDefault="00000000">
            <w:pPr>
              <w:spacing w:before="40" w:after="20"/>
              <w:jc w:val="center"/>
              <w:rPr>
                <w:sz w:val="21"/>
              </w:rPr>
            </w:pPr>
            <w:r>
              <w:rPr>
                <w:sz w:val="21"/>
              </w:rPr>
              <w:t>1989</w:t>
            </w:r>
          </w:p>
        </w:tc>
        <w:tc>
          <w:tcPr>
            <w:tcW w:w="1532" w:type="dxa"/>
          </w:tcPr>
          <w:p w:rsidR="00000000" w:rsidRDefault="00000000">
            <w:pPr>
              <w:spacing w:before="40" w:after="20"/>
              <w:jc w:val="center"/>
              <w:rPr>
                <w:sz w:val="21"/>
              </w:rPr>
            </w:pPr>
            <w:r>
              <w:rPr>
                <w:sz w:val="21"/>
              </w:rPr>
              <w:t>1990</w:t>
            </w:r>
          </w:p>
        </w:tc>
        <w:tc>
          <w:tcPr>
            <w:tcW w:w="1532" w:type="dxa"/>
          </w:tcPr>
          <w:p w:rsidR="00000000" w:rsidRDefault="00000000">
            <w:pPr>
              <w:spacing w:before="40" w:after="20"/>
              <w:jc w:val="center"/>
              <w:rPr>
                <w:sz w:val="21"/>
              </w:rPr>
            </w:pPr>
            <w:r>
              <w:rPr>
                <w:sz w:val="21"/>
              </w:rPr>
              <w:t>1991</w:t>
            </w:r>
          </w:p>
        </w:tc>
        <w:tc>
          <w:tcPr>
            <w:tcW w:w="1532" w:type="dxa"/>
          </w:tcPr>
          <w:p w:rsidR="00000000" w:rsidRDefault="00000000">
            <w:pPr>
              <w:spacing w:before="40" w:after="20"/>
              <w:jc w:val="center"/>
              <w:rPr>
                <w:sz w:val="21"/>
              </w:rPr>
            </w:pPr>
            <w:r>
              <w:rPr>
                <w:sz w:val="21"/>
              </w:rPr>
              <w:t>1992</w:t>
            </w:r>
          </w:p>
        </w:tc>
      </w:tr>
      <w:tr w:rsidR="00000000">
        <w:tblPrEx>
          <w:tblCellMar>
            <w:top w:w="0" w:type="dxa"/>
            <w:bottom w:w="0" w:type="dxa"/>
          </w:tblCellMar>
        </w:tblPrEx>
        <w:tc>
          <w:tcPr>
            <w:tcW w:w="1697" w:type="dxa"/>
          </w:tcPr>
          <w:p w:rsidR="00000000" w:rsidRDefault="00000000">
            <w:pPr>
              <w:spacing w:before="40" w:after="20"/>
              <w:rPr>
                <w:rFonts w:hint="eastAsia"/>
                <w:sz w:val="21"/>
              </w:rPr>
            </w:pPr>
            <w:r>
              <w:rPr>
                <w:rFonts w:hint="eastAsia"/>
                <w:sz w:val="21"/>
              </w:rPr>
              <w:t>事故指数</w:t>
            </w:r>
          </w:p>
        </w:tc>
        <w:tc>
          <w:tcPr>
            <w:tcW w:w="1531" w:type="dxa"/>
          </w:tcPr>
          <w:p w:rsidR="00000000" w:rsidRDefault="00000000">
            <w:pPr>
              <w:spacing w:before="40" w:after="20"/>
              <w:jc w:val="center"/>
              <w:rPr>
                <w:sz w:val="21"/>
              </w:rPr>
            </w:pPr>
            <w:r>
              <w:rPr>
                <w:sz w:val="21"/>
              </w:rPr>
              <w:t>0.58</w:t>
            </w:r>
          </w:p>
        </w:tc>
        <w:tc>
          <w:tcPr>
            <w:tcW w:w="1532" w:type="dxa"/>
          </w:tcPr>
          <w:p w:rsidR="00000000" w:rsidRDefault="00000000">
            <w:pPr>
              <w:spacing w:before="40" w:after="20"/>
              <w:jc w:val="center"/>
              <w:rPr>
                <w:sz w:val="21"/>
              </w:rPr>
            </w:pPr>
            <w:r>
              <w:rPr>
                <w:sz w:val="21"/>
              </w:rPr>
              <w:t>0.69</w:t>
            </w:r>
          </w:p>
        </w:tc>
        <w:tc>
          <w:tcPr>
            <w:tcW w:w="1532" w:type="dxa"/>
          </w:tcPr>
          <w:p w:rsidR="00000000" w:rsidRDefault="00000000">
            <w:pPr>
              <w:spacing w:before="40" w:after="20"/>
              <w:jc w:val="center"/>
              <w:rPr>
                <w:sz w:val="21"/>
              </w:rPr>
            </w:pPr>
            <w:r>
              <w:rPr>
                <w:sz w:val="21"/>
              </w:rPr>
              <w:t>0.57</w:t>
            </w:r>
          </w:p>
        </w:tc>
        <w:tc>
          <w:tcPr>
            <w:tcW w:w="1532" w:type="dxa"/>
          </w:tcPr>
          <w:p w:rsidR="00000000" w:rsidRDefault="00000000">
            <w:pPr>
              <w:spacing w:before="40" w:after="20"/>
              <w:jc w:val="center"/>
              <w:rPr>
                <w:sz w:val="21"/>
              </w:rPr>
            </w:pPr>
            <w:r>
              <w:rPr>
                <w:sz w:val="21"/>
              </w:rPr>
              <w:t>0.54</w:t>
            </w:r>
          </w:p>
        </w:tc>
        <w:tc>
          <w:tcPr>
            <w:tcW w:w="1532" w:type="dxa"/>
          </w:tcPr>
          <w:p w:rsidR="00000000" w:rsidRDefault="00000000">
            <w:pPr>
              <w:spacing w:before="40" w:after="20"/>
              <w:jc w:val="center"/>
              <w:rPr>
                <w:sz w:val="21"/>
              </w:rPr>
            </w:pPr>
            <w:r>
              <w:rPr>
                <w:sz w:val="21"/>
              </w:rPr>
              <w:t>0.38</w:t>
            </w:r>
          </w:p>
        </w:tc>
      </w:tr>
    </w:tbl>
    <w:p w:rsidR="00000000" w:rsidRDefault="00000000">
      <w:pPr>
        <w:tabs>
          <w:tab w:val="left" w:pos="1805"/>
          <w:tab w:val="left" w:pos="3336"/>
          <w:tab w:val="left" w:pos="4868"/>
          <w:tab w:val="left" w:pos="6400"/>
          <w:tab w:val="left" w:pos="7932"/>
          <w:tab w:val="left" w:pos="9464"/>
        </w:tabs>
        <w:spacing w:before="40" w:after="20" w:line="240" w:lineRule="auto"/>
        <w:ind w:left="108"/>
        <w:jc w:val="left"/>
        <w:rPr>
          <w:sz w:val="21"/>
        </w:rPr>
      </w:pPr>
    </w:p>
    <w:tbl>
      <w:tblPr>
        <w:tblW w:w="0" w:type="auto"/>
        <w:tblInd w:w="2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3969"/>
      </w:tblGrid>
      <w:tr w:rsidR="00000000">
        <w:tblPrEx>
          <w:tblCellMar>
            <w:top w:w="0" w:type="dxa"/>
            <w:bottom w:w="0" w:type="dxa"/>
          </w:tblCellMar>
        </w:tblPrEx>
        <w:trPr>
          <w:cantSplit/>
          <w:trHeight w:val="170"/>
        </w:trPr>
        <w:tc>
          <w:tcPr>
            <w:tcW w:w="2126" w:type="dxa"/>
            <w:vMerge w:val="restart"/>
            <w:tcBorders>
              <w:top w:val="nil"/>
              <w:left w:val="nil"/>
              <w:right w:val="nil"/>
            </w:tcBorders>
          </w:tcPr>
          <w:p w:rsidR="00000000" w:rsidRDefault="00000000">
            <w:pPr>
              <w:spacing w:before="120"/>
              <w:jc w:val="right"/>
              <w:rPr>
                <w:sz w:val="22"/>
              </w:rPr>
            </w:pPr>
            <w:r>
              <w:rPr>
                <w:rFonts w:hint="eastAsia"/>
                <w:sz w:val="22"/>
              </w:rPr>
              <w:t>严重程度率：</w:t>
            </w:r>
          </w:p>
        </w:tc>
        <w:tc>
          <w:tcPr>
            <w:tcW w:w="3969" w:type="dxa"/>
            <w:tcBorders>
              <w:top w:val="nil"/>
              <w:left w:val="nil"/>
              <w:right w:val="nil"/>
            </w:tcBorders>
          </w:tcPr>
          <w:p w:rsidR="00000000" w:rsidRDefault="00000000">
            <w:pPr>
              <w:spacing w:line="240" w:lineRule="auto"/>
              <w:ind w:left="-113" w:right="-113"/>
              <w:jc w:val="center"/>
              <w:rPr>
                <w:sz w:val="22"/>
                <w:szCs w:val="18"/>
                <w:u w:val="single"/>
                <w:vertAlign w:val="subscript"/>
              </w:rPr>
            </w:pPr>
            <w:r>
              <w:rPr>
                <w:sz w:val="22"/>
              </w:rPr>
              <w:t xml:space="preserve">SR = </w:t>
            </w:r>
            <w:r>
              <w:rPr>
                <w:rFonts w:hint="eastAsia"/>
                <w:sz w:val="22"/>
              </w:rPr>
              <w:t>事故受害者损失的时间</w:t>
            </w:r>
            <w:r>
              <w:rPr>
                <w:sz w:val="22"/>
              </w:rPr>
              <w:t>*</w:t>
            </w:r>
            <w:r>
              <w:rPr>
                <w:sz w:val="22"/>
                <w:szCs w:val="18"/>
              </w:rPr>
              <w:t>10</w:t>
            </w:r>
            <w:r>
              <w:rPr>
                <w:sz w:val="22"/>
                <w:szCs w:val="18"/>
                <w:vertAlign w:val="subscript"/>
              </w:rPr>
              <w:t>6</w:t>
            </w:r>
          </w:p>
        </w:tc>
      </w:tr>
      <w:tr w:rsidR="00000000">
        <w:tblPrEx>
          <w:tblCellMar>
            <w:top w:w="0" w:type="dxa"/>
            <w:bottom w:w="0" w:type="dxa"/>
          </w:tblCellMar>
        </w:tblPrEx>
        <w:trPr>
          <w:cantSplit/>
        </w:trPr>
        <w:tc>
          <w:tcPr>
            <w:tcW w:w="2126" w:type="dxa"/>
            <w:vMerge/>
            <w:tcBorders>
              <w:left w:val="nil"/>
              <w:bottom w:val="nil"/>
              <w:right w:val="nil"/>
            </w:tcBorders>
          </w:tcPr>
          <w:p w:rsidR="00000000" w:rsidRDefault="00000000">
            <w:pPr>
              <w:rPr>
                <w:sz w:val="22"/>
              </w:rPr>
            </w:pPr>
          </w:p>
        </w:tc>
        <w:tc>
          <w:tcPr>
            <w:tcW w:w="3969" w:type="dxa"/>
            <w:tcBorders>
              <w:left w:val="nil"/>
              <w:bottom w:val="nil"/>
              <w:right w:val="nil"/>
            </w:tcBorders>
          </w:tcPr>
          <w:p w:rsidR="00000000" w:rsidRDefault="00000000">
            <w:pPr>
              <w:spacing w:line="240" w:lineRule="auto"/>
              <w:ind w:left="-113" w:right="-170"/>
              <w:jc w:val="center"/>
              <w:rPr>
                <w:rFonts w:hint="eastAsia"/>
                <w:sz w:val="22"/>
              </w:rPr>
            </w:pPr>
            <w:r>
              <w:rPr>
                <w:rFonts w:hint="eastAsia"/>
                <w:sz w:val="22"/>
              </w:rPr>
              <w:t>工作小时数</w:t>
            </w:r>
          </w:p>
        </w:tc>
      </w:tr>
    </w:tbl>
    <w:p w:rsidR="00000000" w:rsidRDefault="00000000">
      <w:pPr>
        <w:rPr>
          <w:rFonts w:hint="eastAsia"/>
        </w:rPr>
      </w:pPr>
    </w:p>
    <w:p w:rsidR="00000000" w:rsidRDefault="00000000">
      <w:pPr>
        <w:pStyle w:val="Heading3"/>
        <w:rPr>
          <w:rFonts w:hint="eastAsia"/>
        </w:rPr>
      </w:pPr>
      <w:r>
        <w:rPr>
          <w:rFonts w:hint="eastAsia"/>
        </w:rPr>
        <w:t>恶性伤亡率</w:t>
      </w:r>
      <w:r>
        <w:rPr>
          <w:rFonts w:hint="eastAsia"/>
        </w:rPr>
        <w:t>(</w:t>
      </w:r>
      <w:r>
        <w:rPr>
          <w:rFonts w:hint="eastAsia"/>
        </w:rPr>
        <w:t>厄瓜多尔，社会保障所</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502"/>
        <w:gridCol w:w="1503"/>
        <w:gridCol w:w="1502"/>
        <w:gridCol w:w="1503"/>
        <w:gridCol w:w="1503"/>
      </w:tblGrid>
      <w:tr w:rsidR="00000000">
        <w:tblPrEx>
          <w:tblCellMar>
            <w:top w:w="0" w:type="dxa"/>
            <w:bottom w:w="0" w:type="dxa"/>
          </w:tblCellMar>
        </w:tblPrEx>
        <w:tc>
          <w:tcPr>
            <w:tcW w:w="1843" w:type="dxa"/>
          </w:tcPr>
          <w:p w:rsidR="00000000" w:rsidRDefault="00000000">
            <w:pPr>
              <w:spacing w:before="60" w:after="20"/>
              <w:jc w:val="center"/>
              <w:rPr>
                <w:rFonts w:hint="eastAsia"/>
                <w:sz w:val="21"/>
              </w:rPr>
            </w:pPr>
            <w:r>
              <w:rPr>
                <w:rFonts w:hint="eastAsia"/>
                <w:sz w:val="21"/>
              </w:rPr>
              <w:t>年</w:t>
            </w:r>
            <w:r>
              <w:rPr>
                <w:rFonts w:hint="eastAsia"/>
                <w:sz w:val="21"/>
              </w:rPr>
              <w:t xml:space="preserve">  </w:t>
            </w:r>
            <w:r>
              <w:rPr>
                <w:rFonts w:hint="eastAsia"/>
                <w:sz w:val="21"/>
              </w:rPr>
              <w:t>度</w:t>
            </w:r>
          </w:p>
        </w:tc>
        <w:tc>
          <w:tcPr>
            <w:tcW w:w="1502" w:type="dxa"/>
          </w:tcPr>
          <w:p w:rsidR="00000000" w:rsidRDefault="00000000">
            <w:pPr>
              <w:spacing w:before="60" w:after="20"/>
              <w:jc w:val="center"/>
              <w:rPr>
                <w:sz w:val="21"/>
              </w:rPr>
            </w:pPr>
            <w:r>
              <w:rPr>
                <w:sz w:val="21"/>
              </w:rPr>
              <w:t>1988</w:t>
            </w:r>
          </w:p>
        </w:tc>
        <w:tc>
          <w:tcPr>
            <w:tcW w:w="1503" w:type="dxa"/>
          </w:tcPr>
          <w:p w:rsidR="00000000" w:rsidRDefault="00000000">
            <w:pPr>
              <w:spacing w:before="60" w:after="20"/>
              <w:jc w:val="center"/>
              <w:rPr>
                <w:sz w:val="21"/>
              </w:rPr>
            </w:pPr>
            <w:r>
              <w:rPr>
                <w:sz w:val="21"/>
              </w:rPr>
              <w:t>1989</w:t>
            </w:r>
          </w:p>
        </w:tc>
        <w:tc>
          <w:tcPr>
            <w:tcW w:w="1502" w:type="dxa"/>
          </w:tcPr>
          <w:p w:rsidR="00000000" w:rsidRDefault="00000000">
            <w:pPr>
              <w:spacing w:before="60" w:after="20"/>
              <w:jc w:val="center"/>
              <w:rPr>
                <w:sz w:val="21"/>
              </w:rPr>
            </w:pPr>
            <w:r>
              <w:rPr>
                <w:sz w:val="21"/>
              </w:rPr>
              <w:t>1990</w:t>
            </w:r>
          </w:p>
        </w:tc>
        <w:tc>
          <w:tcPr>
            <w:tcW w:w="1503" w:type="dxa"/>
          </w:tcPr>
          <w:p w:rsidR="00000000" w:rsidRDefault="00000000">
            <w:pPr>
              <w:spacing w:before="60" w:after="20"/>
              <w:jc w:val="center"/>
              <w:rPr>
                <w:sz w:val="21"/>
              </w:rPr>
            </w:pPr>
            <w:r>
              <w:rPr>
                <w:sz w:val="21"/>
              </w:rPr>
              <w:t>1991</w:t>
            </w:r>
          </w:p>
        </w:tc>
        <w:tc>
          <w:tcPr>
            <w:tcW w:w="1503" w:type="dxa"/>
          </w:tcPr>
          <w:p w:rsidR="00000000" w:rsidRDefault="00000000">
            <w:pPr>
              <w:spacing w:before="60" w:after="20"/>
              <w:jc w:val="center"/>
              <w:rPr>
                <w:sz w:val="21"/>
              </w:rPr>
            </w:pPr>
            <w:r>
              <w:rPr>
                <w:sz w:val="21"/>
              </w:rPr>
              <w:t>1992</w:t>
            </w:r>
          </w:p>
        </w:tc>
      </w:tr>
      <w:tr w:rsidR="00000000">
        <w:tblPrEx>
          <w:tblCellMar>
            <w:top w:w="0" w:type="dxa"/>
            <w:bottom w:w="0" w:type="dxa"/>
          </w:tblCellMar>
        </w:tblPrEx>
        <w:tc>
          <w:tcPr>
            <w:tcW w:w="1843" w:type="dxa"/>
          </w:tcPr>
          <w:p w:rsidR="00000000" w:rsidRDefault="00000000">
            <w:pPr>
              <w:spacing w:before="60" w:after="20"/>
              <w:rPr>
                <w:rFonts w:hint="eastAsia"/>
                <w:sz w:val="21"/>
              </w:rPr>
            </w:pPr>
            <w:r>
              <w:rPr>
                <w:rFonts w:hint="eastAsia"/>
                <w:sz w:val="21"/>
              </w:rPr>
              <w:t>恶性伤亡率</w:t>
            </w:r>
          </w:p>
        </w:tc>
        <w:tc>
          <w:tcPr>
            <w:tcW w:w="1502" w:type="dxa"/>
          </w:tcPr>
          <w:p w:rsidR="00000000" w:rsidRDefault="00000000">
            <w:pPr>
              <w:spacing w:before="60" w:after="20"/>
              <w:jc w:val="center"/>
              <w:rPr>
                <w:sz w:val="21"/>
              </w:rPr>
            </w:pPr>
            <w:r>
              <w:rPr>
                <w:sz w:val="21"/>
              </w:rPr>
              <w:t>0.081</w:t>
            </w:r>
          </w:p>
        </w:tc>
        <w:tc>
          <w:tcPr>
            <w:tcW w:w="1503" w:type="dxa"/>
          </w:tcPr>
          <w:p w:rsidR="00000000" w:rsidRDefault="00000000">
            <w:pPr>
              <w:spacing w:before="60" w:after="20"/>
              <w:jc w:val="center"/>
              <w:rPr>
                <w:sz w:val="21"/>
              </w:rPr>
            </w:pPr>
            <w:r>
              <w:rPr>
                <w:sz w:val="21"/>
              </w:rPr>
              <w:t>0.098</w:t>
            </w:r>
          </w:p>
        </w:tc>
        <w:tc>
          <w:tcPr>
            <w:tcW w:w="1502" w:type="dxa"/>
          </w:tcPr>
          <w:p w:rsidR="00000000" w:rsidRDefault="00000000">
            <w:pPr>
              <w:spacing w:before="60" w:after="20"/>
              <w:jc w:val="center"/>
              <w:rPr>
                <w:sz w:val="21"/>
              </w:rPr>
            </w:pPr>
            <w:r>
              <w:rPr>
                <w:sz w:val="21"/>
              </w:rPr>
              <w:t>0.119</w:t>
            </w:r>
          </w:p>
        </w:tc>
        <w:tc>
          <w:tcPr>
            <w:tcW w:w="1503" w:type="dxa"/>
          </w:tcPr>
          <w:p w:rsidR="00000000" w:rsidRDefault="00000000">
            <w:pPr>
              <w:spacing w:before="60" w:after="20"/>
              <w:jc w:val="center"/>
              <w:rPr>
                <w:sz w:val="21"/>
              </w:rPr>
            </w:pPr>
            <w:r>
              <w:rPr>
                <w:sz w:val="21"/>
              </w:rPr>
              <w:t>0.093</w:t>
            </w:r>
          </w:p>
        </w:tc>
        <w:tc>
          <w:tcPr>
            <w:tcW w:w="1503" w:type="dxa"/>
          </w:tcPr>
          <w:p w:rsidR="00000000" w:rsidRDefault="00000000">
            <w:pPr>
              <w:spacing w:before="60" w:after="20"/>
              <w:jc w:val="center"/>
              <w:rPr>
                <w:sz w:val="21"/>
              </w:rPr>
            </w:pPr>
            <w:r>
              <w:rPr>
                <w:sz w:val="21"/>
              </w:rPr>
              <w:t>0.079</w:t>
            </w:r>
          </w:p>
        </w:tc>
      </w:tr>
    </w:tbl>
    <w:p w:rsidR="00000000" w:rsidRDefault="00000000"/>
    <w:tbl>
      <w:tblPr>
        <w:tblW w:w="0" w:type="auto"/>
        <w:tblInd w:w="1668" w:type="dxa"/>
        <w:tblBorders>
          <w:insideH w:val="single" w:sz="4" w:space="0" w:color="auto"/>
          <w:insideV w:val="single" w:sz="4" w:space="0" w:color="auto"/>
        </w:tblBorders>
        <w:tblLook w:val="0000" w:firstRow="0" w:lastRow="0" w:firstColumn="0" w:lastColumn="0" w:noHBand="0" w:noVBand="0"/>
      </w:tblPr>
      <w:tblGrid>
        <w:gridCol w:w="1275"/>
        <w:gridCol w:w="3119"/>
      </w:tblGrid>
      <w:tr w:rsidR="00000000">
        <w:tblPrEx>
          <w:tblCellMar>
            <w:top w:w="0" w:type="dxa"/>
            <w:bottom w:w="0" w:type="dxa"/>
          </w:tblCellMar>
        </w:tblPrEx>
        <w:trPr>
          <w:cantSplit/>
          <w:trHeight w:val="353"/>
        </w:trPr>
        <w:tc>
          <w:tcPr>
            <w:tcW w:w="1275" w:type="dxa"/>
            <w:vMerge w:val="restart"/>
            <w:tcBorders>
              <w:top w:val="nil"/>
              <w:left w:val="nil"/>
              <w:right w:val="nil"/>
            </w:tcBorders>
          </w:tcPr>
          <w:p w:rsidR="00000000" w:rsidRDefault="00000000">
            <w:pPr>
              <w:spacing w:before="220"/>
              <w:rPr>
                <w:sz w:val="22"/>
              </w:rPr>
            </w:pPr>
            <w:r>
              <w:rPr>
                <w:rFonts w:hint="eastAsia"/>
                <w:sz w:val="22"/>
              </w:rPr>
              <w:t>风险率：</w:t>
            </w:r>
            <w:r>
              <w:rPr>
                <w:sz w:val="22"/>
              </w:rPr>
              <w:t xml:space="preserve">  </w:t>
            </w:r>
          </w:p>
        </w:tc>
        <w:tc>
          <w:tcPr>
            <w:tcW w:w="3119" w:type="dxa"/>
            <w:tcBorders>
              <w:left w:val="nil"/>
            </w:tcBorders>
          </w:tcPr>
          <w:p w:rsidR="00000000" w:rsidRDefault="00000000">
            <w:pPr>
              <w:spacing w:line="240" w:lineRule="auto"/>
              <w:ind w:left="-113"/>
              <w:jc w:val="center"/>
              <w:rPr>
                <w:sz w:val="22"/>
              </w:rPr>
            </w:pPr>
            <w:r>
              <w:rPr>
                <w:sz w:val="22"/>
              </w:rPr>
              <w:t xml:space="preserve">RR = </w:t>
            </w:r>
            <w:r>
              <w:rPr>
                <w:rFonts w:hint="eastAsia"/>
                <w:sz w:val="22"/>
              </w:rPr>
              <w:t>失去的天数</w:t>
            </w:r>
            <w:r>
              <w:rPr>
                <w:sz w:val="22"/>
              </w:rPr>
              <w:t>*</w:t>
            </w:r>
            <w:r>
              <w:rPr>
                <w:sz w:val="22"/>
                <w:szCs w:val="18"/>
              </w:rPr>
              <w:t>10</w:t>
            </w:r>
            <w:r>
              <w:rPr>
                <w:sz w:val="22"/>
                <w:szCs w:val="18"/>
                <w:vertAlign w:val="subscript"/>
              </w:rPr>
              <w:t>6</w:t>
            </w:r>
          </w:p>
        </w:tc>
      </w:tr>
      <w:tr w:rsidR="00000000">
        <w:tblPrEx>
          <w:tblCellMar>
            <w:top w:w="0" w:type="dxa"/>
            <w:bottom w:w="0" w:type="dxa"/>
          </w:tblCellMar>
        </w:tblPrEx>
        <w:trPr>
          <w:cantSplit/>
        </w:trPr>
        <w:tc>
          <w:tcPr>
            <w:tcW w:w="1275" w:type="dxa"/>
            <w:vMerge/>
            <w:tcBorders>
              <w:left w:val="nil"/>
              <w:bottom w:val="nil"/>
              <w:right w:val="nil"/>
            </w:tcBorders>
          </w:tcPr>
          <w:p w:rsidR="00000000" w:rsidRDefault="00000000">
            <w:pPr>
              <w:rPr>
                <w:sz w:val="22"/>
              </w:rPr>
            </w:pPr>
          </w:p>
        </w:tc>
        <w:tc>
          <w:tcPr>
            <w:tcW w:w="3119" w:type="dxa"/>
            <w:tcBorders>
              <w:left w:val="nil"/>
            </w:tcBorders>
          </w:tcPr>
          <w:p w:rsidR="00000000" w:rsidRDefault="00000000">
            <w:pPr>
              <w:spacing w:line="240" w:lineRule="auto"/>
              <w:ind w:left="-113"/>
              <w:jc w:val="center"/>
              <w:rPr>
                <w:sz w:val="22"/>
              </w:rPr>
            </w:pPr>
            <w:r>
              <w:rPr>
                <w:rFonts w:hint="eastAsia"/>
                <w:sz w:val="22"/>
              </w:rPr>
              <w:t>事故数量</w:t>
            </w:r>
          </w:p>
        </w:tc>
      </w:tr>
    </w:tbl>
    <w:p w:rsidR="00000000" w:rsidRDefault="00000000">
      <w:pPr>
        <w:pStyle w:val="EndnoteText"/>
        <w:spacing w:before="160" w:after="320"/>
        <w:rPr>
          <w:rFonts w:hint="eastAsia"/>
        </w:rPr>
      </w:pPr>
      <w:r>
        <w:rPr>
          <w:rFonts w:hint="eastAsia"/>
          <w:u w:val="single"/>
        </w:rPr>
        <w:t>资料来源</w:t>
      </w:r>
      <w:r>
        <w:rPr>
          <w:rFonts w:hint="eastAsia"/>
        </w:rPr>
        <w:t>：</w:t>
      </w:r>
      <w:r>
        <w:rPr>
          <w:rFonts w:hint="eastAsia"/>
        </w:rPr>
        <w:t>B</w:t>
      </w:r>
      <w:r>
        <w:t xml:space="preserve">oletín Estadístico de </w:t>
      </w:r>
      <w:r>
        <w:rPr>
          <w:rFonts w:hint="eastAsia"/>
        </w:rPr>
        <w:t>A</w:t>
      </w:r>
      <w:r>
        <w:t>ccidentes de Trabajo</w:t>
      </w:r>
      <w:r>
        <w:rPr>
          <w:rFonts w:hint="eastAsia"/>
        </w:rPr>
        <w:t>(</w:t>
      </w:r>
      <w:r>
        <w:rPr>
          <w:rFonts w:hint="eastAsia"/>
        </w:rPr>
        <w:t>工作事故：统计公报</w:t>
      </w:r>
      <w:r>
        <w:rPr>
          <w:rFonts w:hint="eastAsia"/>
        </w:rPr>
        <w:t>)</w:t>
      </w:r>
      <w:r>
        <w:rPr>
          <w:rFonts w:hint="eastAsia"/>
        </w:rPr>
        <w:t>。</w:t>
      </w:r>
    </w:p>
    <w:p w:rsidR="00000000" w:rsidRDefault="00000000">
      <w:pPr>
        <w:pStyle w:val="Heading4"/>
        <w:rPr>
          <w:rFonts w:eastAsia="KaiTi_GB2312" w:hint="eastAsia"/>
          <w:snapToGrid/>
          <w:spacing w:val="0"/>
          <w:u w:val="none"/>
        </w:rPr>
      </w:pPr>
      <w:r>
        <w:rPr>
          <w:rFonts w:eastAsia="KaiTi_GB2312" w:hint="eastAsia"/>
          <w:snapToGrid/>
          <w:spacing w:val="0"/>
          <w:u w:val="none"/>
        </w:rPr>
        <w:t>机会均等</w:t>
      </w:r>
    </w:p>
    <w:p w:rsidR="00000000" w:rsidRDefault="00000000">
      <w:pPr>
        <w:rPr>
          <w:rFonts w:hint="eastAsia"/>
        </w:rPr>
      </w:pPr>
      <w:r>
        <w:rPr>
          <w:rFonts w:hint="eastAsia"/>
        </w:rPr>
        <w:tab/>
        <w:t xml:space="preserve">133.  </w:t>
      </w:r>
      <w:r>
        <w:rPr>
          <w:rFonts w:hint="eastAsia"/>
        </w:rPr>
        <w:t>根据《宪法》第一百二十四条，进入行政机构和公共管理机构并在其中提升都根据功绩和竞争而确定的。仅仅在特别的情况下，才会实行自由任命或提升公共官员。这一规定适用于所有公务员，无论是男是女。公务员与机构开发办公室</w:t>
      </w:r>
      <w:r>
        <w:rPr>
          <w:rFonts w:hint="eastAsia"/>
        </w:rPr>
        <w:t>(</w:t>
      </w:r>
      <w:r>
        <w:rPr>
          <w:rFonts w:hint="eastAsia"/>
        </w:rPr>
        <w:t>公务员办公室</w:t>
      </w:r>
      <w:r>
        <w:rPr>
          <w:rFonts w:hint="eastAsia"/>
        </w:rPr>
        <w:t>)</w:t>
      </w:r>
      <w:r>
        <w:rPr>
          <w:rFonts w:hint="eastAsia"/>
        </w:rPr>
        <w:t>就实行这一条规定颁发了标准和政策。根据国家《财政</w:t>
      </w:r>
      <w:r>
        <w:rPr>
          <w:rFonts w:hint="eastAsia"/>
        </w:rPr>
        <w:t>(</w:t>
      </w:r>
      <w:r>
        <w:rPr>
          <w:rFonts w:hint="eastAsia"/>
        </w:rPr>
        <w:t>改革</w:t>
      </w:r>
      <w:r>
        <w:rPr>
          <w:rFonts w:hint="eastAsia"/>
        </w:rPr>
        <w:t>)</w:t>
      </w:r>
      <w:r>
        <w:rPr>
          <w:rFonts w:hint="eastAsia"/>
        </w:rPr>
        <w:t>法》第</w:t>
      </w:r>
      <w:r>
        <w:rPr>
          <w:rFonts w:hint="eastAsia"/>
        </w:rPr>
        <w:t>57</w:t>
      </w:r>
      <w:r>
        <w:rPr>
          <w:rFonts w:hint="eastAsia"/>
        </w:rPr>
        <w:t>条，劳动与人力资源部对公共部门官员和工人进行分类，以确定他们中间哪些人属于《公务员和公共管理机关法》范围、哪些属于《劳动法》的范围。全国妇女理事会也制订了平权措施，以确保在厄瓜多尔的政策中使性别占领主流；为充分实现国家的现代化，必须创造条件，以根据教育和培训机会平等的原则并且通过消除歧视待遇使个人得到发展。男女机会平等是一项人权，是实现社会正义和发展的一项基本先决条件。</w:t>
      </w:r>
    </w:p>
    <w:p w:rsidR="00000000" w:rsidRDefault="00000000">
      <w:pPr>
        <w:rPr>
          <w:rFonts w:hint="eastAsia"/>
        </w:rPr>
      </w:pPr>
      <w:r>
        <w:rPr>
          <w:rFonts w:hint="eastAsia"/>
        </w:rPr>
        <w:tab/>
        <w:t xml:space="preserve">134.  </w:t>
      </w:r>
      <w:r>
        <w:rPr>
          <w:rFonts w:hint="eastAsia"/>
        </w:rPr>
        <w:t>如果要改进工作平等，就必须进行教育和培训。厄瓜多尔进行职业培训的一个主要机构便是国家培训所，尽管其方案仍然没有纳入性别观点。教育制度作为进入社会的一种途径，发挥有效作用，帮助人们实现有关收入和</w:t>
      </w:r>
      <w:r>
        <w:rPr>
          <w:rFonts w:hint="eastAsia"/>
        </w:rPr>
        <w:t>/</w:t>
      </w:r>
      <w:r>
        <w:rPr>
          <w:rFonts w:hint="eastAsia"/>
        </w:rPr>
        <w:t>或地位方面的期望，并在厄瓜多尔经济与社会结构中倡导变革。</w:t>
      </w:r>
    </w:p>
    <w:p w:rsidR="00000000" w:rsidRDefault="00000000">
      <w:pPr>
        <w:spacing w:after="320"/>
        <w:rPr>
          <w:rFonts w:hint="eastAsia"/>
        </w:rPr>
      </w:pPr>
      <w:r>
        <w:rPr>
          <w:rFonts w:hint="eastAsia"/>
        </w:rPr>
        <w:tab/>
        <w:t xml:space="preserve">135.  </w:t>
      </w:r>
      <w:r>
        <w:rPr>
          <w:rFonts w:hint="eastAsia"/>
        </w:rPr>
        <w:t>国家培训所是劳动与人力资源部下属的一个政府专门技术机构，它在行政和财政上自主，有其自己的资产与资金，其主要职责便是向工业、商业和服务部门的中层管理人员提供强度培训和速成训练。国家培训所拥有经验丰富的技术与行政工作人员，以进行这一专业和职业培训。它的教员既有厄瓜多尔人也有外国人，都高度称职。其中厄瓜多尔教员通过许多国家提供的奖学金和实习机会在国外得到资格认证。在许多业务中心工作的外国工作人员是根据国家培训所签署的国际技术合作协定而工作的。国家培训所的课程有长有短，从而便利人们获得工作资格。某一课程的长短取决于培训的方式以及主题。例如，技能培训，面向目前已经有工作的工人，复盖所有工业、商业和服务专业。课程时间从</w:t>
      </w:r>
      <w:r>
        <w:rPr>
          <w:rFonts w:hint="eastAsia"/>
        </w:rPr>
        <w:t>20</w:t>
      </w:r>
      <w:r>
        <w:rPr>
          <w:rFonts w:hint="eastAsia"/>
        </w:rPr>
        <w:t>到</w:t>
      </w:r>
      <w:r>
        <w:rPr>
          <w:rFonts w:hint="eastAsia"/>
        </w:rPr>
        <w:t>240</w:t>
      </w:r>
      <w:r>
        <w:rPr>
          <w:rFonts w:hint="eastAsia"/>
        </w:rPr>
        <w:t>个小时不等，其目的是提高工人的知识、能力和技能。</w:t>
      </w:r>
    </w:p>
    <w:p w:rsidR="00000000" w:rsidRDefault="00000000">
      <w:pPr>
        <w:pStyle w:val="Heading4"/>
        <w:rPr>
          <w:rFonts w:eastAsia="KaiTi_GB2312" w:hint="eastAsia"/>
          <w:snapToGrid/>
          <w:spacing w:val="0"/>
          <w:u w:val="none"/>
        </w:rPr>
      </w:pPr>
      <w:r>
        <w:rPr>
          <w:rFonts w:eastAsia="KaiTi_GB2312" w:hint="eastAsia"/>
          <w:snapToGrid/>
          <w:spacing w:val="0"/>
          <w:u w:val="none"/>
        </w:rPr>
        <w:t>强制性假期</w:t>
      </w:r>
    </w:p>
    <w:p w:rsidR="00000000" w:rsidRDefault="00000000">
      <w:pPr>
        <w:rPr>
          <w:rFonts w:hint="eastAsia"/>
        </w:rPr>
      </w:pPr>
      <w:r>
        <w:rPr>
          <w:rFonts w:hint="eastAsia"/>
        </w:rPr>
        <w:tab/>
        <w:t xml:space="preserve">136.  </w:t>
      </w:r>
      <w:r>
        <w:rPr>
          <w:rFonts w:hint="eastAsia"/>
        </w:rPr>
        <w:t>“受《劳动法》保护的工人有权享受每年</w:t>
      </w:r>
      <w:r>
        <w:rPr>
          <w:rFonts w:hint="eastAsia"/>
        </w:rPr>
        <w:t>15</w:t>
      </w:r>
      <w:r>
        <w:rPr>
          <w:rFonts w:hint="eastAsia"/>
        </w:rPr>
        <w:t>天的强制性假期，服务满</w:t>
      </w:r>
      <w:r>
        <w:rPr>
          <w:rFonts w:hint="eastAsia"/>
        </w:rPr>
        <w:t>5</w:t>
      </w:r>
      <w:r>
        <w:rPr>
          <w:rFonts w:hint="eastAsia"/>
        </w:rPr>
        <w:t>年之后再加一天。如果不休假就应当给予支付工资，其金额应当为该日历年收入总额</w:t>
      </w:r>
      <w:r>
        <w:rPr>
          <w:rFonts w:hint="eastAsia"/>
        </w:rPr>
        <w:t>(</w:t>
      </w:r>
      <w:r>
        <w:rPr>
          <w:rFonts w:hint="eastAsia"/>
        </w:rPr>
        <w:t>包括基本工资、加班费和超时费、佣金等</w:t>
      </w:r>
      <w:r>
        <w:rPr>
          <w:rFonts w:hint="eastAsia"/>
        </w:rPr>
        <w:t>)</w:t>
      </w:r>
      <w:r>
        <w:rPr>
          <w:rFonts w:hint="eastAsia"/>
        </w:rPr>
        <w:t>的二十四分之一</w:t>
      </w:r>
      <w:r>
        <w:rPr>
          <w:rFonts w:hint="eastAsia"/>
        </w:rPr>
        <w:t>(</w:t>
      </w:r>
      <w:r>
        <w:rPr>
          <w:rFonts w:hint="eastAsia"/>
        </w:rPr>
        <w:t>《劳动法》第</w:t>
      </w:r>
      <w:r>
        <w:rPr>
          <w:rFonts w:hint="eastAsia"/>
        </w:rPr>
        <w:t>69</w:t>
      </w:r>
      <w:r>
        <w:rPr>
          <w:rFonts w:hint="eastAsia"/>
        </w:rPr>
        <w:t>、</w:t>
      </w:r>
      <w:r>
        <w:rPr>
          <w:rFonts w:hint="eastAsia"/>
        </w:rPr>
        <w:t>78</w:t>
      </w:r>
      <w:r>
        <w:rPr>
          <w:rFonts w:hint="eastAsia"/>
        </w:rPr>
        <w:t>和</w:t>
      </w:r>
      <w:r>
        <w:rPr>
          <w:rFonts w:hint="eastAsia"/>
        </w:rPr>
        <w:t>95</w:t>
      </w:r>
      <w:r>
        <w:rPr>
          <w:rFonts w:hint="eastAsia"/>
        </w:rPr>
        <w:t>条</w:t>
      </w:r>
      <w:r>
        <w:rPr>
          <w:rFonts w:hint="eastAsia"/>
        </w:rPr>
        <w:t>)</w:t>
      </w:r>
      <w:r>
        <w:rPr>
          <w:rFonts w:hint="eastAsia"/>
        </w:rPr>
        <w:t>。属于《公务员和公共管理法》范围的工人在某一机构连续工作</w:t>
      </w:r>
      <w:r>
        <w:rPr>
          <w:rFonts w:hint="eastAsia"/>
        </w:rPr>
        <w:t>11</w:t>
      </w:r>
      <w:r>
        <w:rPr>
          <w:rFonts w:hint="eastAsia"/>
        </w:rPr>
        <w:t>个月，便有权得到每年</w:t>
      </w:r>
      <w:r>
        <w:rPr>
          <w:rFonts w:hint="eastAsia"/>
        </w:rPr>
        <w:t>30</w:t>
      </w:r>
      <w:r>
        <w:rPr>
          <w:rFonts w:hint="eastAsia"/>
        </w:rPr>
        <w:t>天的强制性假期。每个工作日的最长时间为</w:t>
      </w:r>
      <w:r>
        <w:rPr>
          <w:rFonts w:hint="eastAsia"/>
        </w:rPr>
        <w:t>8</w:t>
      </w:r>
      <w:r>
        <w:rPr>
          <w:rFonts w:hint="eastAsia"/>
        </w:rPr>
        <w:t>小时，每周最多为</w:t>
      </w:r>
      <w:r>
        <w:rPr>
          <w:rFonts w:hint="eastAsia"/>
        </w:rPr>
        <w:t>40</w:t>
      </w:r>
      <w:r>
        <w:rPr>
          <w:rFonts w:hint="eastAsia"/>
        </w:rPr>
        <w:t>小时。星期六和星期天为强制性休息日，如果因任何原因不能在这两天中止工作，那么应当在雇主和工人协商之下，在一周的其他时间指定同等天数的休息时间”</w:t>
      </w:r>
      <w:r>
        <w:rPr>
          <w:rStyle w:val="EndnoteReference"/>
        </w:rPr>
        <w:endnoteReference w:id="21"/>
      </w:r>
      <w:r>
        <w:rPr>
          <w:rFonts w:hint="eastAsia"/>
        </w:rPr>
        <w:t xml:space="preserve"> [</w:t>
      </w:r>
      <w:r>
        <w:rPr>
          <w:rFonts w:hint="eastAsia"/>
        </w:rPr>
        <w:t>……</w:t>
      </w:r>
      <w:r>
        <w:rPr>
          <w:rFonts w:hint="eastAsia"/>
        </w:rPr>
        <w:t>]</w:t>
      </w:r>
      <w:r>
        <w:rPr>
          <w:rFonts w:hint="eastAsia"/>
        </w:rPr>
        <w:t>“每周的强制性休息日应当按照全额支付，即根据工作种类支付两天的工资”。</w:t>
      </w:r>
      <w:r>
        <w:rPr>
          <w:rStyle w:val="EndnoteReference"/>
        </w:rPr>
        <w:endnoteReference w:id="22"/>
      </w:r>
    </w:p>
    <w:p w:rsidR="00000000" w:rsidRDefault="00000000">
      <w:pPr>
        <w:rPr>
          <w:rFonts w:hint="eastAsia"/>
        </w:rPr>
      </w:pPr>
      <w:r>
        <w:rPr>
          <w:rFonts w:hint="eastAsia"/>
        </w:rPr>
        <w:tab/>
        <w:t xml:space="preserve">137.  </w:t>
      </w:r>
      <w:r>
        <w:rPr>
          <w:rFonts w:hint="eastAsia"/>
        </w:rPr>
        <w:t>除星期六和星期天之外，法律还可规定其他的强制性休息日。对工作给予公平报酬是一项权利，不容任何歧视。受国家一级《劳动法》保护的工人的相关工资条例男女都适用。部门委员会致力于确保根据工人所完成的工作而给予报酬，因而在每一项活动领域中都会有不同的职业结构。</w:t>
      </w:r>
    </w:p>
    <w:p w:rsidR="00000000" w:rsidRDefault="00000000">
      <w:pPr>
        <w:spacing w:after="320"/>
        <w:rPr>
          <w:rFonts w:hint="eastAsia"/>
        </w:rPr>
      </w:pPr>
      <w:r>
        <w:rPr>
          <w:rFonts w:hint="eastAsia"/>
        </w:rPr>
        <w:tab/>
        <w:t xml:space="preserve">138.  </w:t>
      </w:r>
      <w:r>
        <w:rPr>
          <w:rFonts w:hint="eastAsia"/>
        </w:rPr>
        <w:t>政府的目标之一是通过促进工人工资增长、试图减缓通货膨胀来提高各个阶层人民的生活水平，以真正恢复购买力。</w:t>
      </w:r>
    </w:p>
    <w:p w:rsidR="00000000" w:rsidRDefault="00000000">
      <w:pPr>
        <w:pStyle w:val="Heading3"/>
        <w:rPr>
          <w:rFonts w:hint="eastAsia"/>
        </w:rPr>
      </w:pPr>
      <w:r>
        <w:rPr>
          <w:rFonts w:hint="eastAsia"/>
        </w:rPr>
        <w:t>第</w:t>
      </w:r>
      <w:r>
        <w:t xml:space="preserve"> </w:t>
      </w:r>
      <w:r>
        <w:rPr>
          <w:rFonts w:hint="eastAsia"/>
        </w:rPr>
        <w:t>八</w:t>
      </w:r>
      <w:r>
        <w:t xml:space="preserve"> </w:t>
      </w:r>
      <w:r>
        <w:rPr>
          <w:rFonts w:hint="eastAsia"/>
        </w:rPr>
        <w:t>条</w:t>
      </w:r>
    </w:p>
    <w:p w:rsidR="00000000" w:rsidRDefault="00000000">
      <w:pPr>
        <w:pStyle w:val="Heading4"/>
        <w:rPr>
          <w:rFonts w:hint="eastAsia"/>
        </w:rPr>
      </w:pPr>
      <w:r>
        <w:rPr>
          <w:rFonts w:hint="eastAsia"/>
        </w:rPr>
        <w:t>自由结社权</w:t>
      </w:r>
    </w:p>
    <w:p w:rsidR="00000000" w:rsidRDefault="00000000">
      <w:pPr>
        <w:rPr>
          <w:rFonts w:hint="eastAsia"/>
        </w:rPr>
      </w:pPr>
      <w:r>
        <w:rPr>
          <w:rFonts w:hint="eastAsia"/>
        </w:rPr>
        <w:tab/>
        <w:t xml:space="preserve">139.  </w:t>
      </w:r>
      <w:r>
        <w:rPr>
          <w:rFonts w:hint="eastAsia"/>
        </w:rPr>
        <w:t>在《宪法》关于公民权利的第三篇第二章中，第二十三条承认和保障“为和平目的的结社和集会自由”。</w:t>
      </w:r>
    </w:p>
    <w:p w:rsidR="00000000" w:rsidRDefault="00000000">
      <w:pPr>
        <w:rPr>
          <w:rFonts w:hint="eastAsia"/>
        </w:rPr>
      </w:pPr>
      <w:r>
        <w:rPr>
          <w:rFonts w:hint="eastAsia"/>
        </w:rPr>
        <w:tab/>
        <w:t xml:space="preserve">140.  </w:t>
      </w:r>
      <w:r>
        <w:rPr>
          <w:rFonts w:hint="eastAsia"/>
        </w:rPr>
        <w:t>一般而言，并特别对工人和雇主而言，第</w:t>
      </w:r>
      <w:r>
        <w:rPr>
          <w:rFonts w:hint="eastAsia"/>
        </w:rPr>
        <w:t>35</w:t>
      </w:r>
      <w:r>
        <w:rPr>
          <w:rFonts w:hint="eastAsia"/>
        </w:rPr>
        <w:t>条规定了不经事先允许即可组织工会的权利，但无论在任何情况下均应遵守法律要求。除《宪法》规定的这一权利与自由之外，《劳动法》还特别为工人及其雇主规定了结社自由或者被称为组织工会的权利</w:t>
      </w:r>
      <w:r>
        <w:rPr>
          <w:rFonts w:hint="eastAsia"/>
        </w:rPr>
        <w:t>(</w:t>
      </w:r>
      <w:r>
        <w:rPr>
          <w:rFonts w:hint="eastAsia"/>
        </w:rPr>
        <w:t>《劳动法》的所有原则，如同其条文所规定的，仅限于雇主－雇员关系中的各当事方</w:t>
      </w:r>
      <w:r>
        <w:rPr>
          <w:rFonts w:hint="eastAsia"/>
        </w:rPr>
        <w:t>)</w:t>
      </w:r>
      <w:r>
        <w:rPr>
          <w:rFonts w:hint="eastAsia"/>
        </w:rPr>
        <w:t>。其他工作人员</w:t>
      </w:r>
      <w:r>
        <w:rPr>
          <w:rFonts w:hint="eastAsia"/>
        </w:rPr>
        <w:t>(</w:t>
      </w:r>
      <w:r>
        <w:rPr>
          <w:rFonts w:hint="eastAsia"/>
        </w:rPr>
        <w:t>即该术语的一般意义，并非其严格的法律定义</w:t>
      </w:r>
      <w:r>
        <w:rPr>
          <w:rFonts w:hint="eastAsia"/>
        </w:rPr>
        <w:t>)</w:t>
      </w:r>
      <w:r>
        <w:rPr>
          <w:rFonts w:hint="eastAsia"/>
        </w:rPr>
        <w:t>，与公务员等其他人员一样，可依照厄瓜多尔立法</w:t>
      </w:r>
      <w:r>
        <w:rPr>
          <w:rFonts w:hint="eastAsia"/>
        </w:rPr>
        <w:t>(</w:t>
      </w:r>
      <w:r>
        <w:rPr>
          <w:rFonts w:hint="eastAsia"/>
        </w:rPr>
        <w:t>例如《民法》、《公司法》及《技工保护法》</w:t>
      </w:r>
      <w:r>
        <w:rPr>
          <w:rFonts w:hint="eastAsia"/>
        </w:rPr>
        <w:t>)</w:t>
      </w:r>
      <w:r>
        <w:rPr>
          <w:rFonts w:hint="eastAsia"/>
        </w:rPr>
        <w:t>从事公民和</w:t>
      </w:r>
      <w:r>
        <w:t>/</w:t>
      </w:r>
      <w:r>
        <w:rPr>
          <w:rFonts w:hint="eastAsia"/>
        </w:rPr>
        <w:t>或商业结社。</w:t>
      </w:r>
    </w:p>
    <w:p w:rsidR="00000000" w:rsidRDefault="00000000">
      <w:pPr>
        <w:rPr>
          <w:rFonts w:hint="eastAsia"/>
        </w:rPr>
      </w:pPr>
      <w:r>
        <w:rPr>
          <w:rFonts w:hint="eastAsia"/>
        </w:rPr>
        <w:tab/>
        <w:t xml:space="preserve">141.  </w:t>
      </w:r>
      <w:r>
        <w:rPr>
          <w:rFonts w:hint="eastAsia"/>
        </w:rPr>
        <w:t>《劳动法》第</w:t>
      </w:r>
      <w:r>
        <w:rPr>
          <w:rFonts w:hint="eastAsia"/>
        </w:rPr>
        <w:t>447</w:t>
      </w:r>
      <w:r>
        <w:rPr>
          <w:rFonts w:hint="eastAsia"/>
        </w:rPr>
        <w:t>条有关自由结社规定：“工人和雇主根据法律和有关协会</w:t>
      </w:r>
      <w:r>
        <w:t>[……]</w:t>
      </w:r>
      <w:r>
        <w:rPr>
          <w:rFonts w:hint="eastAsia"/>
        </w:rPr>
        <w:t>的规章，毫无区别地且不需事先批准即有权组建其认为适当的行业协会或工会，有权参加这些协会或工会或从中退出。行业协会或工会有权组建联盟，联合会或任何其它工会团体，并有权参加或退出上述组织或从国际工人或雇主组织中退出。满</w:t>
      </w:r>
      <w:r>
        <w:rPr>
          <w:rFonts w:hint="eastAsia"/>
        </w:rPr>
        <w:t>14</w:t>
      </w:r>
      <w:r>
        <w:rPr>
          <w:rFonts w:hint="eastAsia"/>
        </w:rPr>
        <w:t>岁的所有工人可归属某个行业协会或工会</w:t>
      </w:r>
      <w:r>
        <w:t>[……]</w:t>
      </w:r>
      <w:r>
        <w:rPr>
          <w:rFonts w:hint="eastAsia"/>
        </w:rPr>
        <w:t>。工人组织只能因劳资纠纷法庭的司法程序而被中止或被解散。只要雇主或公司在不同省份建立了办事处或分公司，各处的工人即可组建工会，行业协会或工人理事会。在各办事处或分公司，应就人员数目及法律方面的其它要求作出规定。</w:t>
      </w:r>
    </w:p>
    <w:p w:rsidR="00000000" w:rsidRDefault="00000000">
      <w:pPr>
        <w:rPr>
          <w:rFonts w:hint="eastAsia"/>
        </w:rPr>
      </w:pPr>
      <w:r>
        <w:rPr>
          <w:rFonts w:hint="eastAsia"/>
        </w:rPr>
        <w:tab/>
        <w:t xml:space="preserve">142.  </w:t>
      </w:r>
      <w:r>
        <w:rPr>
          <w:rFonts w:hint="eastAsia"/>
        </w:rPr>
        <w:t>根据《劳动法》第</w:t>
      </w:r>
      <w:r>
        <w:rPr>
          <w:rFonts w:hint="eastAsia"/>
        </w:rPr>
        <w:t>448</w:t>
      </w:r>
      <w:r>
        <w:rPr>
          <w:rFonts w:hint="eastAsia"/>
        </w:rPr>
        <w:t>条：</w:t>
      </w:r>
    </w:p>
    <w:p w:rsidR="00000000" w:rsidRDefault="00000000">
      <w:pPr>
        <w:pStyle w:val="ad"/>
        <w:rPr>
          <w:rFonts w:hint="eastAsia"/>
        </w:rPr>
      </w:pPr>
      <w:r>
        <w:rPr>
          <w:rFonts w:hint="eastAsia"/>
        </w:rPr>
        <w:t>“各类‘工人’协会只要追求以下任意一目标，即应受到国家保护：</w:t>
      </w:r>
    </w:p>
    <w:p w:rsidR="00000000" w:rsidRDefault="00000000">
      <w:pPr>
        <w:numPr>
          <w:ilvl w:val="0"/>
          <w:numId w:val="149"/>
        </w:numPr>
        <w:rPr>
          <w:rFonts w:hint="eastAsia"/>
        </w:rPr>
      </w:pPr>
      <w:r>
        <w:rPr>
          <w:rFonts w:hint="eastAsia"/>
        </w:rPr>
        <w:t>职业培训；</w:t>
      </w:r>
    </w:p>
    <w:p w:rsidR="00000000" w:rsidRDefault="00000000">
      <w:pPr>
        <w:numPr>
          <w:ilvl w:val="0"/>
          <w:numId w:val="149"/>
        </w:numPr>
        <w:rPr>
          <w:rFonts w:hint="eastAsia"/>
        </w:rPr>
      </w:pPr>
      <w:r>
        <w:rPr>
          <w:rFonts w:hint="eastAsia"/>
        </w:rPr>
        <w:t>一般性质的或适用于相关行业的文化与教育活动；</w:t>
      </w:r>
    </w:p>
    <w:p w:rsidR="00000000" w:rsidRDefault="00000000">
      <w:pPr>
        <w:numPr>
          <w:ilvl w:val="0"/>
          <w:numId w:val="149"/>
        </w:numPr>
        <w:rPr>
          <w:rFonts w:hint="eastAsia"/>
        </w:rPr>
      </w:pPr>
      <w:r>
        <w:rPr>
          <w:rFonts w:hint="eastAsia"/>
        </w:rPr>
        <w:t>通过成立合作社或储蓄银行的方式进行互助；</w:t>
      </w:r>
    </w:p>
    <w:p w:rsidR="00000000" w:rsidRDefault="00000000">
      <w:pPr>
        <w:numPr>
          <w:ilvl w:val="0"/>
          <w:numId w:val="149"/>
        </w:numPr>
        <w:rPr>
          <w:rFonts w:hint="eastAsia"/>
        </w:rPr>
      </w:pPr>
      <w:r>
        <w:rPr>
          <w:rFonts w:hint="eastAsia"/>
        </w:rPr>
        <w:t>涉及提高工人经济或社会地位和保护其阶级利益的其它目标。”</w:t>
      </w:r>
    </w:p>
    <w:p w:rsidR="00000000" w:rsidRDefault="00000000">
      <w:pPr>
        <w:rPr>
          <w:rFonts w:hint="eastAsia"/>
        </w:rPr>
      </w:pPr>
      <w:r>
        <w:rPr>
          <w:rFonts w:hint="eastAsia"/>
        </w:rPr>
        <w:tab/>
        <w:t xml:space="preserve">143.  </w:t>
      </w:r>
      <w:r>
        <w:rPr>
          <w:rFonts w:hint="eastAsia"/>
        </w:rPr>
        <w:t>劳动方面的立法对依法组建并在劳动与人力资源部劳动司正式登记在册的组织的合法地位予以承认。《劳动法》第五篇第一章中只有两款规定，第一款中载有可一律适用于所谓的“行业协会”、工会、联盟、联合会等一般规则；对于行业协会一词，未作出法律定义，但从理论上来说，行业协会是指从事相同专业、行业或活动的工人协会。</w:t>
      </w:r>
    </w:p>
    <w:p w:rsidR="00000000" w:rsidRDefault="00000000">
      <w:pPr>
        <w:rPr>
          <w:rFonts w:hint="eastAsia"/>
        </w:rPr>
      </w:pPr>
      <w:r>
        <w:rPr>
          <w:rFonts w:hint="eastAsia"/>
        </w:rPr>
        <w:tab/>
        <w:t xml:space="preserve">144.  </w:t>
      </w:r>
      <w:r>
        <w:rPr>
          <w:rFonts w:hint="eastAsia"/>
        </w:rPr>
        <w:t>“工会”</w:t>
      </w:r>
      <w:r>
        <w:rPr>
          <w:rFonts w:hint="eastAsia"/>
        </w:rPr>
        <w:t>(</w:t>
      </w:r>
      <w:r>
        <w:rPr>
          <w:rFonts w:hint="eastAsia"/>
        </w:rPr>
        <w:t>“</w:t>
      </w:r>
      <w:r>
        <w:rPr>
          <w:rFonts w:hint="eastAsia"/>
        </w:rPr>
        <w:t>S</w:t>
      </w:r>
      <w:r>
        <w:t>indicato”</w:t>
      </w:r>
      <w:r>
        <w:rPr>
          <w:rFonts w:hint="eastAsia"/>
        </w:rPr>
        <w:t>)</w:t>
      </w:r>
      <w:r>
        <w:rPr>
          <w:rFonts w:hint="eastAsia"/>
        </w:rPr>
        <w:t>是一个用来指无论是工人还是雇主的行业组织的通用词，而不问职业，也无论作为会员的工人有一个还是多个雇主。但我国的《劳动法》中基本上没有使用“工会”一词</w:t>
      </w:r>
      <w:r>
        <w:rPr>
          <w:rFonts w:hint="eastAsia"/>
        </w:rPr>
        <w:t>(</w:t>
      </w:r>
      <w:r>
        <w:rPr>
          <w:rFonts w:hint="eastAsia"/>
        </w:rPr>
        <w:t>而在实践中该词是最常用的</w:t>
      </w:r>
      <w:r>
        <w:rPr>
          <w:rFonts w:hint="eastAsia"/>
        </w:rPr>
        <w:t>)</w:t>
      </w:r>
      <w:r>
        <w:rPr>
          <w:rFonts w:hint="eastAsia"/>
        </w:rPr>
        <w:t>。</w:t>
      </w:r>
    </w:p>
    <w:p w:rsidR="00000000" w:rsidRDefault="00000000">
      <w:pPr>
        <w:rPr>
          <w:rFonts w:hint="eastAsia"/>
        </w:rPr>
      </w:pPr>
      <w:r>
        <w:rPr>
          <w:rFonts w:hint="eastAsia"/>
        </w:rPr>
        <w:tab/>
        <w:t xml:space="preserve">145.  </w:t>
      </w:r>
      <w:r>
        <w:rPr>
          <w:rFonts w:hint="eastAsia"/>
        </w:rPr>
        <w:t>联盟属于二层组织，由一层组织组成；联合会是指联盟的结合，因此属于三层组织；已成立的工人和雇主组织均完全有权成立二层或三层组织，即联盟和联合会，并有权加入这些组织。第二款中载有关于被称为工作委员会的精英公司工会，这些工作委员会在法律上具有代表的性质。这些组织的成员当然全部是工人，而且是为同一个雇主提供服务的工人，而无论其职业、行业或具体活动如何。</w:t>
      </w:r>
    </w:p>
    <w:p w:rsidR="00000000" w:rsidRDefault="00000000">
      <w:pPr>
        <w:spacing w:after="320"/>
        <w:rPr>
          <w:rFonts w:hint="eastAsia"/>
        </w:rPr>
      </w:pPr>
      <w:r>
        <w:rPr>
          <w:rFonts w:hint="eastAsia"/>
        </w:rPr>
        <w:tab/>
        <w:t xml:space="preserve">146.  </w:t>
      </w:r>
      <w:r>
        <w:rPr>
          <w:rFonts w:hint="eastAsia"/>
        </w:rPr>
        <w:t>厄瓜多尔立法中没有关于按工人类别建立工会的规定。然而，如果工人愿意按类别组织工会，只要遵守现行规定，即可自由组建此类工会。实际上已存在若干类别</w:t>
      </w:r>
      <w:r>
        <w:rPr>
          <w:rFonts w:hint="eastAsia"/>
          <w:spacing w:val="-50"/>
        </w:rPr>
        <w:t>―</w:t>
      </w:r>
      <w:r>
        <w:rPr>
          <w:rFonts w:hint="eastAsia"/>
        </w:rPr>
        <w:t>―工作组织和行业协会、雇员协会、纯工人组织和雇主组织、按具体活动成立的组织等。</w:t>
      </w:r>
    </w:p>
    <w:p w:rsidR="00000000" w:rsidRDefault="00000000">
      <w:pPr>
        <w:pStyle w:val="Heading4"/>
        <w:rPr>
          <w:rFonts w:hint="eastAsia"/>
        </w:rPr>
      </w:pPr>
      <w:r>
        <w:rPr>
          <w:rFonts w:hint="eastAsia"/>
        </w:rPr>
        <w:t>劳动组织</w:t>
      </w:r>
    </w:p>
    <w:p w:rsidR="00000000" w:rsidRDefault="00000000">
      <w:pPr>
        <w:rPr>
          <w:rFonts w:hint="eastAsia"/>
        </w:rPr>
      </w:pPr>
      <w:r>
        <w:rPr>
          <w:rFonts w:hint="eastAsia"/>
        </w:rPr>
        <w:tab/>
        <w:t xml:space="preserve">147.  </w:t>
      </w:r>
      <w:r>
        <w:rPr>
          <w:rFonts w:hint="eastAsia"/>
        </w:rPr>
        <w:t>国家不干涉劳动组织的事务；当局尽量不干涉也不阻止工人行使权利</w:t>
      </w:r>
      <w:r>
        <w:rPr>
          <w:rFonts w:hint="eastAsia"/>
        </w:rPr>
        <w:t>(</w:t>
      </w:r>
      <w:r>
        <w:rPr>
          <w:rFonts w:hint="eastAsia"/>
        </w:rPr>
        <w:t>除须按法律规定进行登记和批准章程外</w:t>
      </w:r>
      <w:r>
        <w:rPr>
          <w:rFonts w:hint="eastAsia"/>
        </w:rPr>
        <w:t>)</w:t>
      </w:r>
      <w:r>
        <w:rPr>
          <w:rFonts w:hint="eastAsia"/>
        </w:rPr>
        <w:t>。雇主和工人有权制定各自组织的章程和条例，享有选举其代表的完全自由，安排行政事务和开展活动，并制定本组织的行动方案。劳动与人力资源部劳工组织司表示，没有任何实际机制可查实目前是工会成员的工人人数，虽然在一个组织组建时，需要进行审查，以确认其至少</w:t>
      </w:r>
      <w:r>
        <w:rPr>
          <w:rFonts w:hint="eastAsia"/>
        </w:rPr>
        <w:t>30</w:t>
      </w:r>
      <w:r>
        <w:rPr>
          <w:rFonts w:hint="eastAsia"/>
        </w:rPr>
        <w:t>个创始成员。这一数字可能每天都在变，也就是说即使我们提及每一组织有多少工人为其成员，该数字与目前的情况也可能会毫无关联。此外，同一工人可以是几个组织的成员。</w:t>
      </w:r>
    </w:p>
    <w:p w:rsidR="00000000" w:rsidRDefault="00000000">
      <w:pPr>
        <w:rPr>
          <w:rFonts w:hint="eastAsia"/>
        </w:rPr>
      </w:pPr>
      <w:r>
        <w:rPr>
          <w:rFonts w:hint="eastAsia"/>
        </w:rPr>
        <w:tab/>
        <w:t xml:space="preserve">148.  </w:t>
      </w:r>
      <w:r>
        <w:rPr>
          <w:rFonts w:hint="eastAsia"/>
        </w:rPr>
        <w:t>工人的劳动关系由《劳动法》和《公务员与公共管理法》加以规定。公共部门的一些工人属于这一法律的范围，而其他一些工人和私营部门的工人一起，属于《劳动法》的范围。《公共财政</w:t>
      </w:r>
      <w:r>
        <w:rPr>
          <w:rFonts w:hint="eastAsia"/>
        </w:rPr>
        <w:t>(</w:t>
      </w:r>
      <w:r>
        <w:rPr>
          <w:rFonts w:hint="eastAsia"/>
        </w:rPr>
        <w:t>改革</w:t>
      </w:r>
      <w:r>
        <w:rPr>
          <w:rFonts w:hint="eastAsia"/>
        </w:rPr>
        <w:t>)</w:t>
      </w:r>
      <w:r>
        <w:rPr>
          <w:rFonts w:hint="eastAsia"/>
        </w:rPr>
        <w:t>法》颁布后劳动与人力资源部正在划分公共部门官员和工人的类别，以确定哪些人受《公务员与公共管理法》约束，哪些人受《劳动法》约束。</w:t>
      </w:r>
    </w:p>
    <w:p w:rsidR="00000000" w:rsidRDefault="00000000">
      <w:pPr>
        <w:spacing w:after="320"/>
        <w:rPr>
          <w:rFonts w:hint="eastAsia"/>
        </w:rPr>
      </w:pPr>
      <w:r>
        <w:rPr>
          <w:rFonts w:hint="eastAsia"/>
        </w:rPr>
        <w:tab/>
        <w:t xml:space="preserve">149.  </w:t>
      </w:r>
      <w:r>
        <w:rPr>
          <w:rFonts w:hint="eastAsia"/>
        </w:rPr>
        <w:t>受《劳动法》约束的工人和雇主，无论是公共部门还是私营部门的工人，均可成立劳工组织；受《公务员与公共管理法》约束的公务员，该法第</w:t>
      </w:r>
      <w:r>
        <w:rPr>
          <w:rFonts w:hint="eastAsia"/>
        </w:rPr>
        <w:t>60</w:t>
      </w:r>
      <w:r>
        <w:rPr>
          <w:rFonts w:hint="eastAsia"/>
        </w:rPr>
        <w:t>条</w:t>
      </w:r>
      <w:r>
        <w:t>(g)</w:t>
      </w:r>
      <w:r>
        <w:rPr>
          <w:rFonts w:hint="eastAsia"/>
        </w:rPr>
        <w:t>款的明确规定，不得成立工会，但该条规定并未禁止公务员成立公民协会。工人成立的协会会员不得少于</w:t>
      </w:r>
      <w:r>
        <w:rPr>
          <w:rFonts w:hint="eastAsia"/>
        </w:rPr>
        <w:t>30</w:t>
      </w:r>
      <w:r>
        <w:rPr>
          <w:rFonts w:hint="eastAsia"/>
        </w:rPr>
        <w:t>人。</w:t>
      </w:r>
    </w:p>
    <w:p w:rsidR="00000000" w:rsidRDefault="00000000">
      <w:pPr>
        <w:pStyle w:val="Heading4"/>
        <w:rPr>
          <w:rFonts w:hint="eastAsia"/>
        </w:rPr>
      </w:pPr>
      <w:r>
        <w:rPr>
          <w:rFonts w:hint="eastAsia"/>
        </w:rPr>
        <w:t>罢工的权利</w:t>
      </w:r>
    </w:p>
    <w:p w:rsidR="00000000" w:rsidRDefault="00000000">
      <w:pPr>
        <w:rPr>
          <w:rFonts w:hint="eastAsia"/>
        </w:rPr>
      </w:pPr>
      <w:r>
        <w:rPr>
          <w:rFonts w:hint="eastAsia"/>
        </w:rPr>
        <w:tab/>
        <w:t xml:space="preserve">150.  </w:t>
      </w:r>
      <w:r>
        <w:rPr>
          <w:rFonts w:hint="eastAsia"/>
        </w:rPr>
        <w:t>厄瓜多尔《宪法》第三十五条“依法承认并保障工人罢工的权利和雇主闭厂的权利。禁止以任何借口损害公共服务的行为，尤其是损害卫生、教育、司法与社会保障、电力、饮用水与污水、燃料加工、交通与流通、公共交通和电信服务的行为。法律应规定相应的处罚措施”。</w:t>
      </w:r>
    </w:p>
    <w:p w:rsidR="00000000" w:rsidRDefault="00000000">
      <w:pPr>
        <w:rPr>
          <w:rFonts w:hint="eastAsia"/>
        </w:rPr>
      </w:pPr>
      <w:r>
        <w:rPr>
          <w:rFonts w:hint="eastAsia"/>
        </w:rPr>
        <w:tab/>
        <w:t xml:space="preserve">151.  </w:t>
      </w:r>
      <w:r>
        <w:rPr>
          <w:rFonts w:hint="eastAsia"/>
        </w:rPr>
        <w:t>《劳动法》第</w:t>
      </w:r>
      <w:r>
        <w:rPr>
          <w:rFonts w:hint="eastAsia"/>
        </w:rPr>
        <w:t>474</w:t>
      </w:r>
      <w:r>
        <w:rPr>
          <w:rFonts w:hint="eastAsia"/>
        </w:rPr>
        <w:t>条规定：“法律承认工人有罢工的权利，但罢工必须遵守法律规定的要求。罢工是指工人同僚集体停工的行为。”</w:t>
      </w:r>
    </w:p>
    <w:p w:rsidR="00000000" w:rsidRDefault="00000000">
      <w:pPr>
        <w:spacing w:after="320"/>
        <w:rPr>
          <w:rFonts w:hint="eastAsia"/>
        </w:rPr>
      </w:pPr>
      <w:r>
        <w:rPr>
          <w:rFonts w:hint="eastAsia"/>
        </w:rPr>
        <w:tab/>
        <w:t xml:space="preserve">152.  </w:t>
      </w:r>
      <w:r>
        <w:rPr>
          <w:rFonts w:hint="eastAsia"/>
        </w:rPr>
        <w:t>《劳动法》第</w:t>
      </w:r>
      <w:r>
        <w:rPr>
          <w:rFonts w:hint="eastAsia"/>
        </w:rPr>
        <w:t>502</w:t>
      </w:r>
      <w:r>
        <w:rPr>
          <w:rFonts w:hint="eastAsia"/>
        </w:rPr>
        <w:t>条对非法罢工问题作出了规定：“如果罢工被宣布为非法，雇主有权解雇罢工者。只有在罢工者从事对个人采取暴力行为或对财产造成严重损害时，才应认为罢工非法。”</w:t>
      </w:r>
    </w:p>
    <w:p w:rsidR="00000000" w:rsidRDefault="00000000">
      <w:pPr>
        <w:pStyle w:val="a3"/>
        <w:rPr>
          <w:rFonts w:ascii="Time New Roman" w:hAnsi="Time New Roman" w:hint="eastAsia"/>
          <w:b/>
          <w:bCs/>
        </w:rPr>
      </w:pPr>
      <w:r>
        <w:rPr>
          <w:rFonts w:hint="eastAsia"/>
        </w:rPr>
        <w:t>集体冲突</w:t>
      </w:r>
      <w:r>
        <w:br/>
      </w:r>
      <w:r>
        <w:rPr>
          <w:rFonts w:ascii="Time New Roman" w:hAnsi="Time New Roman"/>
          <w:b/>
        </w:rPr>
        <w:t>1988</w:t>
      </w:r>
      <w:r>
        <w:rPr>
          <w:rFonts w:ascii="Time New Roman" w:hAnsi="Time New Roman"/>
        </w:rPr>
        <w:t>-</w:t>
      </w:r>
      <w:r>
        <w:rPr>
          <w:rFonts w:ascii="Time New Roman" w:hAnsi="Time New Roman"/>
          <w:b/>
        </w:rPr>
        <w:t>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8"/>
        <w:gridCol w:w="1832"/>
        <w:gridCol w:w="1832"/>
        <w:gridCol w:w="2030"/>
        <w:gridCol w:w="1922"/>
      </w:tblGrid>
      <w:tr w:rsidR="00000000">
        <w:tblPrEx>
          <w:tblCellMar>
            <w:top w:w="0" w:type="dxa"/>
            <w:bottom w:w="0" w:type="dxa"/>
          </w:tblCellMar>
        </w:tblPrEx>
        <w:trPr>
          <w:cantSplit/>
          <w:jc w:val="center"/>
        </w:trPr>
        <w:tc>
          <w:tcPr>
            <w:tcW w:w="989"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年份</w:t>
            </w:r>
          </w:p>
        </w:tc>
        <w:tc>
          <w:tcPr>
            <w:tcW w:w="965"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冲突次数</w:t>
            </w:r>
          </w:p>
        </w:tc>
        <w:tc>
          <w:tcPr>
            <w:tcW w:w="965"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百分比</w:t>
            </w:r>
          </w:p>
        </w:tc>
        <w:tc>
          <w:tcPr>
            <w:tcW w:w="1069"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与上一年相对的变化</w:t>
            </w:r>
          </w:p>
        </w:tc>
        <w:tc>
          <w:tcPr>
            <w:tcW w:w="1012"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百分比</w:t>
            </w:r>
          </w:p>
        </w:tc>
      </w:tr>
      <w:tr w:rsidR="00000000">
        <w:tblPrEx>
          <w:tblCellMar>
            <w:top w:w="0" w:type="dxa"/>
            <w:bottom w:w="0" w:type="dxa"/>
          </w:tblCellMar>
        </w:tblPrEx>
        <w:trPr>
          <w:jc w:val="center"/>
        </w:trPr>
        <w:tc>
          <w:tcPr>
            <w:tcW w:w="989" w:type="pct"/>
            <w:tcBorders>
              <w:bottom w:val="nil"/>
            </w:tcBorders>
            <w:shd w:val="clear" w:color="auto" w:fill="FFFFFF"/>
          </w:tcPr>
          <w:p w:rsidR="00000000" w:rsidRDefault="00000000">
            <w:pPr>
              <w:pStyle w:val="a2"/>
              <w:jc w:val="center"/>
            </w:pPr>
            <w:r>
              <w:t>1988</w:t>
            </w:r>
          </w:p>
        </w:tc>
        <w:tc>
          <w:tcPr>
            <w:tcW w:w="965" w:type="pct"/>
            <w:tcBorders>
              <w:bottom w:val="nil"/>
            </w:tcBorders>
            <w:shd w:val="clear" w:color="auto" w:fill="FFFFFF"/>
          </w:tcPr>
          <w:p w:rsidR="00000000" w:rsidRDefault="00000000">
            <w:pPr>
              <w:pStyle w:val="a2"/>
              <w:tabs>
                <w:tab w:val="decimal" w:pos="1248"/>
              </w:tabs>
            </w:pPr>
            <w:r>
              <w:t>397</w:t>
            </w:r>
          </w:p>
        </w:tc>
        <w:tc>
          <w:tcPr>
            <w:tcW w:w="965" w:type="pct"/>
            <w:tcBorders>
              <w:bottom w:val="nil"/>
            </w:tcBorders>
            <w:shd w:val="clear" w:color="auto" w:fill="FFFFFF"/>
          </w:tcPr>
          <w:p w:rsidR="00000000" w:rsidRDefault="00000000">
            <w:pPr>
              <w:pStyle w:val="a2"/>
              <w:tabs>
                <w:tab w:val="decimal" w:pos="1248"/>
              </w:tabs>
            </w:pPr>
            <w:r>
              <w:t>16.70</w:t>
            </w:r>
          </w:p>
        </w:tc>
        <w:tc>
          <w:tcPr>
            <w:tcW w:w="1069" w:type="pct"/>
            <w:tcBorders>
              <w:bottom w:val="nil"/>
            </w:tcBorders>
            <w:shd w:val="clear" w:color="auto" w:fill="FFFFFF"/>
          </w:tcPr>
          <w:p w:rsidR="00000000" w:rsidRDefault="00000000">
            <w:pPr>
              <w:pStyle w:val="a2"/>
              <w:tabs>
                <w:tab w:val="decimal" w:pos="1248"/>
              </w:tabs>
            </w:pPr>
            <w:r>
              <w:t>-</w:t>
            </w:r>
          </w:p>
        </w:tc>
        <w:tc>
          <w:tcPr>
            <w:tcW w:w="1012" w:type="pct"/>
            <w:tcBorders>
              <w:bottom w:val="nil"/>
            </w:tcBorders>
            <w:shd w:val="clear" w:color="auto" w:fill="FFFFFF"/>
          </w:tcPr>
          <w:p w:rsidR="00000000" w:rsidRDefault="00000000">
            <w:pPr>
              <w:pStyle w:val="a2"/>
              <w:tabs>
                <w:tab w:val="decimal" w:pos="1248"/>
              </w:tabs>
            </w:pPr>
            <w:r>
              <w:t>-</w:t>
            </w:r>
          </w:p>
        </w:tc>
      </w:tr>
      <w:tr w:rsidR="00000000">
        <w:tblPrEx>
          <w:tblCellMar>
            <w:top w:w="0" w:type="dxa"/>
            <w:bottom w:w="0" w:type="dxa"/>
          </w:tblCellMar>
        </w:tblPrEx>
        <w:trPr>
          <w:trHeight w:val="311"/>
          <w:jc w:val="center"/>
        </w:trPr>
        <w:tc>
          <w:tcPr>
            <w:tcW w:w="989" w:type="pct"/>
            <w:tcBorders>
              <w:top w:val="nil"/>
              <w:bottom w:val="nil"/>
            </w:tcBorders>
            <w:shd w:val="clear" w:color="auto" w:fill="FFFFFF"/>
          </w:tcPr>
          <w:p w:rsidR="00000000" w:rsidRDefault="00000000">
            <w:pPr>
              <w:pStyle w:val="a2"/>
              <w:jc w:val="center"/>
            </w:pPr>
            <w:r>
              <w:t>1989</w:t>
            </w:r>
          </w:p>
        </w:tc>
        <w:tc>
          <w:tcPr>
            <w:tcW w:w="965" w:type="pct"/>
            <w:tcBorders>
              <w:top w:val="nil"/>
              <w:bottom w:val="nil"/>
            </w:tcBorders>
            <w:shd w:val="clear" w:color="auto" w:fill="FFFFFF"/>
          </w:tcPr>
          <w:p w:rsidR="00000000" w:rsidRDefault="00000000">
            <w:pPr>
              <w:pStyle w:val="a2"/>
              <w:tabs>
                <w:tab w:val="decimal" w:pos="1248"/>
              </w:tabs>
            </w:pPr>
            <w:r>
              <w:t>362</w:t>
            </w:r>
          </w:p>
        </w:tc>
        <w:tc>
          <w:tcPr>
            <w:tcW w:w="965" w:type="pct"/>
            <w:tcBorders>
              <w:top w:val="nil"/>
              <w:bottom w:val="nil"/>
            </w:tcBorders>
            <w:shd w:val="clear" w:color="auto" w:fill="FFFFFF"/>
          </w:tcPr>
          <w:p w:rsidR="00000000" w:rsidRDefault="00000000">
            <w:pPr>
              <w:pStyle w:val="a2"/>
              <w:tabs>
                <w:tab w:val="decimal" w:pos="1248"/>
              </w:tabs>
            </w:pPr>
            <w:r>
              <w:t>15.23</w:t>
            </w:r>
          </w:p>
        </w:tc>
        <w:tc>
          <w:tcPr>
            <w:tcW w:w="1069" w:type="pct"/>
            <w:tcBorders>
              <w:top w:val="nil"/>
              <w:bottom w:val="nil"/>
            </w:tcBorders>
            <w:shd w:val="clear" w:color="auto" w:fill="FFFFFF"/>
          </w:tcPr>
          <w:p w:rsidR="00000000" w:rsidRDefault="00000000">
            <w:pPr>
              <w:pStyle w:val="a2"/>
              <w:tabs>
                <w:tab w:val="decimal" w:pos="1248"/>
              </w:tabs>
            </w:pPr>
            <w:r>
              <w:t>-35</w:t>
            </w:r>
          </w:p>
        </w:tc>
        <w:tc>
          <w:tcPr>
            <w:tcW w:w="1012" w:type="pct"/>
            <w:tcBorders>
              <w:top w:val="nil"/>
              <w:bottom w:val="nil"/>
            </w:tcBorders>
            <w:shd w:val="clear" w:color="auto" w:fill="FFFFFF"/>
          </w:tcPr>
          <w:p w:rsidR="00000000" w:rsidRDefault="00000000">
            <w:pPr>
              <w:pStyle w:val="a2"/>
              <w:tabs>
                <w:tab w:val="decimal" w:pos="1248"/>
              </w:tabs>
            </w:pPr>
            <w:r>
              <w:t>-8.82</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1990</w:t>
            </w:r>
          </w:p>
        </w:tc>
        <w:tc>
          <w:tcPr>
            <w:tcW w:w="965" w:type="pct"/>
            <w:tcBorders>
              <w:top w:val="nil"/>
              <w:bottom w:val="nil"/>
            </w:tcBorders>
            <w:shd w:val="clear" w:color="auto" w:fill="FFFFFF"/>
          </w:tcPr>
          <w:p w:rsidR="00000000" w:rsidRDefault="00000000">
            <w:pPr>
              <w:pStyle w:val="a2"/>
              <w:tabs>
                <w:tab w:val="decimal" w:pos="1248"/>
              </w:tabs>
            </w:pPr>
            <w:r>
              <w:t>339</w:t>
            </w:r>
          </w:p>
        </w:tc>
        <w:tc>
          <w:tcPr>
            <w:tcW w:w="965" w:type="pct"/>
            <w:tcBorders>
              <w:top w:val="nil"/>
              <w:bottom w:val="nil"/>
            </w:tcBorders>
            <w:shd w:val="clear" w:color="auto" w:fill="FFFFFF"/>
          </w:tcPr>
          <w:p w:rsidR="00000000" w:rsidRDefault="00000000">
            <w:pPr>
              <w:pStyle w:val="a2"/>
              <w:tabs>
                <w:tab w:val="decimal" w:pos="1248"/>
              </w:tabs>
            </w:pPr>
            <w:r>
              <w:t>14.26</w:t>
            </w:r>
          </w:p>
        </w:tc>
        <w:tc>
          <w:tcPr>
            <w:tcW w:w="1069" w:type="pct"/>
            <w:tcBorders>
              <w:top w:val="nil"/>
              <w:bottom w:val="nil"/>
            </w:tcBorders>
            <w:shd w:val="clear" w:color="auto" w:fill="FFFFFF"/>
          </w:tcPr>
          <w:p w:rsidR="00000000" w:rsidRDefault="00000000">
            <w:pPr>
              <w:pStyle w:val="a2"/>
              <w:tabs>
                <w:tab w:val="decimal" w:pos="1248"/>
              </w:tabs>
            </w:pPr>
            <w:r>
              <w:t>-23</w:t>
            </w:r>
          </w:p>
        </w:tc>
        <w:tc>
          <w:tcPr>
            <w:tcW w:w="1012" w:type="pct"/>
            <w:tcBorders>
              <w:top w:val="nil"/>
              <w:bottom w:val="nil"/>
            </w:tcBorders>
            <w:shd w:val="clear" w:color="auto" w:fill="FFFFFF"/>
          </w:tcPr>
          <w:p w:rsidR="00000000" w:rsidRDefault="00000000">
            <w:pPr>
              <w:pStyle w:val="a2"/>
              <w:tabs>
                <w:tab w:val="decimal" w:pos="1248"/>
              </w:tabs>
            </w:pPr>
            <w:r>
              <w:t>-6.35</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1991</w:t>
            </w:r>
          </w:p>
        </w:tc>
        <w:tc>
          <w:tcPr>
            <w:tcW w:w="965" w:type="pct"/>
            <w:tcBorders>
              <w:top w:val="nil"/>
              <w:bottom w:val="nil"/>
            </w:tcBorders>
            <w:shd w:val="clear" w:color="auto" w:fill="FFFFFF"/>
          </w:tcPr>
          <w:p w:rsidR="00000000" w:rsidRDefault="00000000">
            <w:pPr>
              <w:pStyle w:val="a2"/>
              <w:tabs>
                <w:tab w:val="decimal" w:pos="1248"/>
              </w:tabs>
            </w:pPr>
            <w:r>
              <w:t>290</w:t>
            </w:r>
          </w:p>
        </w:tc>
        <w:tc>
          <w:tcPr>
            <w:tcW w:w="965" w:type="pct"/>
            <w:tcBorders>
              <w:top w:val="nil"/>
              <w:bottom w:val="nil"/>
            </w:tcBorders>
            <w:shd w:val="clear" w:color="auto" w:fill="FFFFFF"/>
          </w:tcPr>
          <w:p w:rsidR="00000000" w:rsidRDefault="00000000">
            <w:pPr>
              <w:pStyle w:val="a2"/>
              <w:tabs>
                <w:tab w:val="decimal" w:pos="1248"/>
              </w:tabs>
            </w:pPr>
            <w:r>
              <w:t>12.20</w:t>
            </w:r>
          </w:p>
        </w:tc>
        <w:tc>
          <w:tcPr>
            <w:tcW w:w="1069" w:type="pct"/>
            <w:tcBorders>
              <w:top w:val="nil"/>
              <w:bottom w:val="nil"/>
            </w:tcBorders>
            <w:shd w:val="clear" w:color="auto" w:fill="FFFFFF"/>
          </w:tcPr>
          <w:p w:rsidR="00000000" w:rsidRDefault="00000000">
            <w:pPr>
              <w:pStyle w:val="a2"/>
              <w:tabs>
                <w:tab w:val="decimal" w:pos="1248"/>
              </w:tabs>
            </w:pPr>
            <w:r>
              <w:t>-49</w:t>
            </w:r>
          </w:p>
        </w:tc>
        <w:tc>
          <w:tcPr>
            <w:tcW w:w="1012" w:type="pct"/>
            <w:tcBorders>
              <w:top w:val="nil"/>
              <w:bottom w:val="nil"/>
            </w:tcBorders>
            <w:shd w:val="clear" w:color="auto" w:fill="FFFFFF"/>
          </w:tcPr>
          <w:p w:rsidR="00000000" w:rsidRDefault="00000000">
            <w:pPr>
              <w:pStyle w:val="a2"/>
              <w:tabs>
                <w:tab w:val="decimal" w:pos="1248"/>
              </w:tabs>
            </w:pPr>
            <w:r>
              <w:t>-14.45</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1992</w:t>
            </w:r>
          </w:p>
        </w:tc>
        <w:tc>
          <w:tcPr>
            <w:tcW w:w="965" w:type="pct"/>
            <w:tcBorders>
              <w:top w:val="nil"/>
              <w:bottom w:val="nil"/>
            </w:tcBorders>
            <w:shd w:val="clear" w:color="auto" w:fill="FFFFFF"/>
          </w:tcPr>
          <w:p w:rsidR="00000000" w:rsidRDefault="00000000">
            <w:pPr>
              <w:pStyle w:val="a2"/>
              <w:tabs>
                <w:tab w:val="decimal" w:pos="1248"/>
              </w:tabs>
            </w:pPr>
            <w:r>
              <w:t>186</w:t>
            </w:r>
          </w:p>
        </w:tc>
        <w:tc>
          <w:tcPr>
            <w:tcW w:w="965" w:type="pct"/>
            <w:tcBorders>
              <w:top w:val="nil"/>
              <w:bottom w:val="nil"/>
            </w:tcBorders>
            <w:shd w:val="clear" w:color="auto" w:fill="FFFFFF"/>
          </w:tcPr>
          <w:p w:rsidR="00000000" w:rsidRDefault="00000000">
            <w:pPr>
              <w:pStyle w:val="a2"/>
              <w:tabs>
                <w:tab w:val="decimal" w:pos="1248"/>
              </w:tabs>
            </w:pPr>
            <w:r>
              <w:t>7.82</w:t>
            </w:r>
          </w:p>
        </w:tc>
        <w:tc>
          <w:tcPr>
            <w:tcW w:w="1069" w:type="pct"/>
            <w:tcBorders>
              <w:top w:val="nil"/>
              <w:bottom w:val="nil"/>
            </w:tcBorders>
            <w:shd w:val="clear" w:color="auto" w:fill="FFFFFF"/>
          </w:tcPr>
          <w:p w:rsidR="00000000" w:rsidRDefault="00000000">
            <w:pPr>
              <w:pStyle w:val="a2"/>
              <w:tabs>
                <w:tab w:val="decimal" w:pos="1248"/>
              </w:tabs>
            </w:pPr>
            <w:r>
              <w:t>-104</w:t>
            </w:r>
          </w:p>
        </w:tc>
        <w:tc>
          <w:tcPr>
            <w:tcW w:w="1012" w:type="pct"/>
            <w:tcBorders>
              <w:top w:val="nil"/>
              <w:bottom w:val="nil"/>
            </w:tcBorders>
            <w:shd w:val="clear" w:color="auto" w:fill="FFFFFF"/>
          </w:tcPr>
          <w:p w:rsidR="00000000" w:rsidRDefault="00000000">
            <w:pPr>
              <w:pStyle w:val="a2"/>
              <w:tabs>
                <w:tab w:val="decimal" w:pos="1248"/>
              </w:tabs>
            </w:pPr>
            <w:r>
              <w:t>-35.86</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1993</w:t>
            </w:r>
          </w:p>
        </w:tc>
        <w:tc>
          <w:tcPr>
            <w:tcW w:w="965" w:type="pct"/>
            <w:tcBorders>
              <w:top w:val="nil"/>
              <w:bottom w:val="nil"/>
            </w:tcBorders>
            <w:shd w:val="clear" w:color="auto" w:fill="FFFFFF"/>
          </w:tcPr>
          <w:p w:rsidR="00000000" w:rsidRDefault="00000000">
            <w:pPr>
              <w:pStyle w:val="a2"/>
              <w:tabs>
                <w:tab w:val="decimal" w:pos="1248"/>
              </w:tabs>
            </w:pPr>
            <w:r>
              <w:t>134</w:t>
            </w:r>
          </w:p>
        </w:tc>
        <w:tc>
          <w:tcPr>
            <w:tcW w:w="965" w:type="pct"/>
            <w:tcBorders>
              <w:top w:val="nil"/>
              <w:bottom w:val="nil"/>
            </w:tcBorders>
            <w:shd w:val="clear" w:color="auto" w:fill="FFFFFF"/>
          </w:tcPr>
          <w:p w:rsidR="00000000" w:rsidRDefault="00000000">
            <w:pPr>
              <w:pStyle w:val="a2"/>
              <w:tabs>
                <w:tab w:val="decimal" w:pos="1248"/>
              </w:tabs>
            </w:pPr>
            <w:r>
              <w:t>5.64</w:t>
            </w:r>
          </w:p>
        </w:tc>
        <w:tc>
          <w:tcPr>
            <w:tcW w:w="1069" w:type="pct"/>
            <w:tcBorders>
              <w:top w:val="nil"/>
              <w:bottom w:val="nil"/>
            </w:tcBorders>
            <w:shd w:val="clear" w:color="auto" w:fill="FFFFFF"/>
          </w:tcPr>
          <w:p w:rsidR="00000000" w:rsidRDefault="00000000">
            <w:pPr>
              <w:pStyle w:val="a2"/>
              <w:tabs>
                <w:tab w:val="decimal" w:pos="1248"/>
              </w:tabs>
            </w:pPr>
            <w:r>
              <w:t>-52</w:t>
            </w:r>
          </w:p>
        </w:tc>
        <w:tc>
          <w:tcPr>
            <w:tcW w:w="1012" w:type="pct"/>
            <w:tcBorders>
              <w:top w:val="nil"/>
              <w:bottom w:val="nil"/>
            </w:tcBorders>
            <w:shd w:val="clear" w:color="auto" w:fill="FFFFFF"/>
          </w:tcPr>
          <w:p w:rsidR="00000000" w:rsidRDefault="00000000">
            <w:pPr>
              <w:pStyle w:val="a2"/>
              <w:tabs>
                <w:tab w:val="decimal" w:pos="1248"/>
              </w:tabs>
            </w:pPr>
            <w:r>
              <w:t>-27.96</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1994</w:t>
            </w:r>
          </w:p>
        </w:tc>
        <w:tc>
          <w:tcPr>
            <w:tcW w:w="965" w:type="pct"/>
            <w:tcBorders>
              <w:top w:val="nil"/>
              <w:bottom w:val="nil"/>
            </w:tcBorders>
            <w:shd w:val="clear" w:color="auto" w:fill="FFFFFF"/>
          </w:tcPr>
          <w:p w:rsidR="00000000" w:rsidRDefault="00000000">
            <w:pPr>
              <w:pStyle w:val="a2"/>
              <w:tabs>
                <w:tab w:val="decimal" w:pos="1248"/>
              </w:tabs>
            </w:pPr>
            <w:r>
              <w:t>104</w:t>
            </w:r>
          </w:p>
        </w:tc>
        <w:tc>
          <w:tcPr>
            <w:tcW w:w="965" w:type="pct"/>
            <w:tcBorders>
              <w:top w:val="nil"/>
              <w:bottom w:val="nil"/>
            </w:tcBorders>
            <w:shd w:val="clear" w:color="auto" w:fill="FFFFFF"/>
          </w:tcPr>
          <w:p w:rsidR="00000000" w:rsidRDefault="00000000">
            <w:pPr>
              <w:pStyle w:val="a2"/>
              <w:tabs>
                <w:tab w:val="decimal" w:pos="1248"/>
              </w:tabs>
            </w:pPr>
            <w:r>
              <w:t>4.38</w:t>
            </w:r>
          </w:p>
        </w:tc>
        <w:tc>
          <w:tcPr>
            <w:tcW w:w="1069" w:type="pct"/>
            <w:tcBorders>
              <w:top w:val="nil"/>
              <w:bottom w:val="nil"/>
            </w:tcBorders>
            <w:shd w:val="clear" w:color="auto" w:fill="FFFFFF"/>
          </w:tcPr>
          <w:p w:rsidR="00000000" w:rsidRDefault="00000000">
            <w:pPr>
              <w:pStyle w:val="a2"/>
              <w:tabs>
                <w:tab w:val="decimal" w:pos="1248"/>
              </w:tabs>
            </w:pPr>
            <w:r>
              <w:t>-30</w:t>
            </w:r>
          </w:p>
        </w:tc>
        <w:tc>
          <w:tcPr>
            <w:tcW w:w="1012" w:type="pct"/>
            <w:tcBorders>
              <w:top w:val="nil"/>
              <w:bottom w:val="nil"/>
            </w:tcBorders>
            <w:shd w:val="clear" w:color="auto" w:fill="FFFFFF"/>
          </w:tcPr>
          <w:p w:rsidR="00000000" w:rsidRDefault="00000000">
            <w:pPr>
              <w:pStyle w:val="a2"/>
              <w:tabs>
                <w:tab w:val="decimal" w:pos="1248"/>
              </w:tabs>
            </w:pPr>
            <w:r>
              <w:t>-22.39</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1995</w:t>
            </w:r>
          </w:p>
        </w:tc>
        <w:tc>
          <w:tcPr>
            <w:tcW w:w="965" w:type="pct"/>
            <w:tcBorders>
              <w:top w:val="nil"/>
              <w:bottom w:val="nil"/>
            </w:tcBorders>
            <w:shd w:val="clear" w:color="auto" w:fill="FFFFFF"/>
          </w:tcPr>
          <w:p w:rsidR="00000000" w:rsidRDefault="00000000">
            <w:pPr>
              <w:pStyle w:val="a2"/>
              <w:tabs>
                <w:tab w:val="decimal" w:pos="1248"/>
              </w:tabs>
            </w:pPr>
            <w:r>
              <w:t>93</w:t>
            </w:r>
          </w:p>
        </w:tc>
        <w:tc>
          <w:tcPr>
            <w:tcW w:w="965" w:type="pct"/>
            <w:tcBorders>
              <w:top w:val="nil"/>
              <w:bottom w:val="nil"/>
            </w:tcBorders>
            <w:shd w:val="clear" w:color="auto" w:fill="FFFFFF"/>
          </w:tcPr>
          <w:p w:rsidR="00000000" w:rsidRDefault="00000000">
            <w:pPr>
              <w:pStyle w:val="a2"/>
              <w:tabs>
                <w:tab w:val="decimal" w:pos="1248"/>
              </w:tabs>
            </w:pPr>
            <w:r>
              <w:t>3.91</w:t>
            </w:r>
          </w:p>
        </w:tc>
        <w:tc>
          <w:tcPr>
            <w:tcW w:w="1069" w:type="pct"/>
            <w:tcBorders>
              <w:top w:val="nil"/>
              <w:bottom w:val="nil"/>
            </w:tcBorders>
            <w:shd w:val="clear" w:color="auto" w:fill="FFFFFF"/>
          </w:tcPr>
          <w:p w:rsidR="00000000" w:rsidRDefault="00000000">
            <w:pPr>
              <w:pStyle w:val="a2"/>
              <w:tabs>
                <w:tab w:val="decimal" w:pos="1248"/>
              </w:tabs>
            </w:pPr>
            <w:r>
              <w:t>-11</w:t>
            </w:r>
          </w:p>
        </w:tc>
        <w:tc>
          <w:tcPr>
            <w:tcW w:w="1012" w:type="pct"/>
            <w:tcBorders>
              <w:top w:val="nil"/>
              <w:bottom w:val="nil"/>
            </w:tcBorders>
            <w:shd w:val="clear" w:color="auto" w:fill="FFFFFF"/>
          </w:tcPr>
          <w:p w:rsidR="00000000" w:rsidRDefault="00000000">
            <w:pPr>
              <w:pStyle w:val="a2"/>
              <w:tabs>
                <w:tab w:val="decimal" w:pos="1248"/>
              </w:tabs>
            </w:pPr>
            <w:r>
              <w:t>-10.58</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1996</w:t>
            </w:r>
          </w:p>
        </w:tc>
        <w:tc>
          <w:tcPr>
            <w:tcW w:w="965" w:type="pct"/>
            <w:tcBorders>
              <w:top w:val="nil"/>
              <w:bottom w:val="nil"/>
            </w:tcBorders>
            <w:shd w:val="clear" w:color="auto" w:fill="FFFFFF"/>
          </w:tcPr>
          <w:p w:rsidR="00000000" w:rsidRDefault="00000000">
            <w:pPr>
              <w:pStyle w:val="a2"/>
              <w:tabs>
                <w:tab w:val="decimal" w:pos="1248"/>
              </w:tabs>
            </w:pPr>
            <w:r>
              <w:t>108</w:t>
            </w:r>
          </w:p>
        </w:tc>
        <w:tc>
          <w:tcPr>
            <w:tcW w:w="965" w:type="pct"/>
            <w:tcBorders>
              <w:top w:val="nil"/>
              <w:bottom w:val="nil"/>
            </w:tcBorders>
            <w:shd w:val="clear" w:color="auto" w:fill="FFFFFF"/>
          </w:tcPr>
          <w:p w:rsidR="00000000" w:rsidRDefault="00000000">
            <w:pPr>
              <w:pStyle w:val="a2"/>
              <w:tabs>
                <w:tab w:val="decimal" w:pos="1248"/>
              </w:tabs>
            </w:pPr>
            <w:r>
              <w:t>4.54</w:t>
            </w:r>
          </w:p>
        </w:tc>
        <w:tc>
          <w:tcPr>
            <w:tcW w:w="1069" w:type="pct"/>
            <w:tcBorders>
              <w:top w:val="nil"/>
              <w:bottom w:val="nil"/>
            </w:tcBorders>
            <w:shd w:val="clear" w:color="auto" w:fill="FFFFFF"/>
          </w:tcPr>
          <w:p w:rsidR="00000000" w:rsidRDefault="00000000">
            <w:pPr>
              <w:pStyle w:val="a2"/>
              <w:tabs>
                <w:tab w:val="decimal" w:pos="1248"/>
              </w:tabs>
            </w:pPr>
            <w:r>
              <w:t>15</w:t>
            </w:r>
          </w:p>
        </w:tc>
        <w:tc>
          <w:tcPr>
            <w:tcW w:w="1012" w:type="pct"/>
            <w:tcBorders>
              <w:top w:val="nil"/>
              <w:bottom w:val="nil"/>
            </w:tcBorders>
            <w:shd w:val="clear" w:color="auto" w:fill="FFFFFF"/>
          </w:tcPr>
          <w:p w:rsidR="00000000" w:rsidRDefault="00000000">
            <w:pPr>
              <w:pStyle w:val="a2"/>
              <w:tabs>
                <w:tab w:val="decimal" w:pos="1248"/>
              </w:tabs>
            </w:pPr>
            <w:r>
              <w:t>16.13</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1997</w:t>
            </w:r>
          </w:p>
        </w:tc>
        <w:tc>
          <w:tcPr>
            <w:tcW w:w="965" w:type="pct"/>
            <w:tcBorders>
              <w:top w:val="nil"/>
              <w:bottom w:val="nil"/>
            </w:tcBorders>
            <w:shd w:val="clear" w:color="auto" w:fill="FFFFFF"/>
          </w:tcPr>
          <w:p w:rsidR="00000000" w:rsidRDefault="00000000">
            <w:pPr>
              <w:pStyle w:val="a2"/>
              <w:tabs>
                <w:tab w:val="decimal" w:pos="1248"/>
              </w:tabs>
            </w:pPr>
            <w:r>
              <w:t>85</w:t>
            </w:r>
          </w:p>
        </w:tc>
        <w:tc>
          <w:tcPr>
            <w:tcW w:w="965" w:type="pct"/>
            <w:tcBorders>
              <w:top w:val="nil"/>
              <w:bottom w:val="nil"/>
            </w:tcBorders>
            <w:shd w:val="clear" w:color="auto" w:fill="FFFFFF"/>
          </w:tcPr>
          <w:p w:rsidR="00000000" w:rsidRDefault="00000000">
            <w:pPr>
              <w:pStyle w:val="a2"/>
              <w:tabs>
                <w:tab w:val="decimal" w:pos="1248"/>
              </w:tabs>
            </w:pPr>
            <w:r>
              <w:t>3.58</w:t>
            </w:r>
          </w:p>
        </w:tc>
        <w:tc>
          <w:tcPr>
            <w:tcW w:w="1069" w:type="pct"/>
            <w:tcBorders>
              <w:top w:val="nil"/>
              <w:bottom w:val="nil"/>
            </w:tcBorders>
            <w:shd w:val="clear" w:color="auto" w:fill="FFFFFF"/>
          </w:tcPr>
          <w:p w:rsidR="00000000" w:rsidRDefault="00000000">
            <w:pPr>
              <w:pStyle w:val="a2"/>
              <w:tabs>
                <w:tab w:val="decimal" w:pos="1248"/>
              </w:tabs>
            </w:pPr>
            <w:r>
              <w:t>-23</w:t>
            </w:r>
          </w:p>
        </w:tc>
        <w:tc>
          <w:tcPr>
            <w:tcW w:w="1012" w:type="pct"/>
            <w:tcBorders>
              <w:top w:val="nil"/>
              <w:bottom w:val="nil"/>
            </w:tcBorders>
            <w:shd w:val="clear" w:color="auto" w:fill="FFFFFF"/>
          </w:tcPr>
          <w:p w:rsidR="00000000" w:rsidRDefault="00000000">
            <w:pPr>
              <w:pStyle w:val="a2"/>
              <w:tabs>
                <w:tab w:val="decimal" w:pos="1248"/>
              </w:tabs>
            </w:pPr>
            <w:r>
              <w:t>-21.30</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1998</w:t>
            </w:r>
          </w:p>
        </w:tc>
        <w:tc>
          <w:tcPr>
            <w:tcW w:w="965" w:type="pct"/>
            <w:tcBorders>
              <w:top w:val="nil"/>
              <w:bottom w:val="nil"/>
            </w:tcBorders>
            <w:shd w:val="clear" w:color="auto" w:fill="FFFFFF"/>
          </w:tcPr>
          <w:p w:rsidR="00000000" w:rsidRDefault="00000000">
            <w:pPr>
              <w:pStyle w:val="a2"/>
              <w:tabs>
                <w:tab w:val="decimal" w:pos="1248"/>
              </w:tabs>
            </w:pPr>
            <w:r>
              <w:t>103</w:t>
            </w:r>
          </w:p>
        </w:tc>
        <w:tc>
          <w:tcPr>
            <w:tcW w:w="965" w:type="pct"/>
            <w:tcBorders>
              <w:top w:val="nil"/>
              <w:bottom w:val="nil"/>
            </w:tcBorders>
            <w:shd w:val="clear" w:color="auto" w:fill="FFFFFF"/>
          </w:tcPr>
          <w:p w:rsidR="00000000" w:rsidRDefault="00000000">
            <w:pPr>
              <w:pStyle w:val="a2"/>
              <w:tabs>
                <w:tab w:val="decimal" w:pos="1248"/>
              </w:tabs>
            </w:pPr>
            <w:r>
              <w:t>4.33</w:t>
            </w:r>
          </w:p>
        </w:tc>
        <w:tc>
          <w:tcPr>
            <w:tcW w:w="1069" w:type="pct"/>
            <w:tcBorders>
              <w:top w:val="nil"/>
              <w:bottom w:val="nil"/>
            </w:tcBorders>
            <w:shd w:val="clear" w:color="auto" w:fill="FFFFFF"/>
          </w:tcPr>
          <w:p w:rsidR="00000000" w:rsidRDefault="00000000">
            <w:pPr>
              <w:pStyle w:val="a2"/>
              <w:tabs>
                <w:tab w:val="decimal" w:pos="1248"/>
              </w:tabs>
            </w:pPr>
            <w:r>
              <w:t>18</w:t>
            </w:r>
          </w:p>
        </w:tc>
        <w:tc>
          <w:tcPr>
            <w:tcW w:w="1012" w:type="pct"/>
            <w:tcBorders>
              <w:top w:val="nil"/>
              <w:bottom w:val="nil"/>
            </w:tcBorders>
            <w:shd w:val="clear" w:color="auto" w:fill="FFFFFF"/>
          </w:tcPr>
          <w:p w:rsidR="00000000" w:rsidRDefault="00000000">
            <w:pPr>
              <w:pStyle w:val="a2"/>
              <w:tabs>
                <w:tab w:val="decimal" w:pos="1248"/>
              </w:tabs>
            </w:pPr>
            <w:r>
              <w:t>21.18</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1999</w:t>
            </w:r>
          </w:p>
        </w:tc>
        <w:tc>
          <w:tcPr>
            <w:tcW w:w="965" w:type="pct"/>
            <w:tcBorders>
              <w:top w:val="nil"/>
              <w:bottom w:val="nil"/>
            </w:tcBorders>
            <w:shd w:val="clear" w:color="auto" w:fill="FFFFFF"/>
          </w:tcPr>
          <w:p w:rsidR="00000000" w:rsidRDefault="00000000">
            <w:pPr>
              <w:pStyle w:val="a2"/>
              <w:tabs>
                <w:tab w:val="decimal" w:pos="1248"/>
              </w:tabs>
            </w:pPr>
            <w:r>
              <w:t>72</w:t>
            </w:r>
          </w:p>
        </w:tc>
        <w:tc>
          <w:tcPr>
            <w:tcW w:w="965" w:type="pct"/>
            <w:tcBorders>
              <w:top w:val="nil"/>
              <w:bottom w:val="nil"/>
            </w:tcBorders>
            <w:shd w:val="clear" w:color="auto" w:fill="FFFFFF"/>
          </w:tcPr>
          <w:p w:rsidR="00000000" w:rsidRDefault="00000000">
            <w:pPr>
              <w:pStyle w:val="a2"/>
              <w:tabs>
                <w:tab w:val="decimal" w:pos="1248"/>
              </w:tabs>
            </w:pPr>
            <w:r>
              <w:t>3.03</w:t>
            </w:r>
          </w:p>
        </w:tc>
        <w:tc>
          <w:tcPr>
            <w:tcW w:w="1069" w:type="pct"/>
            <w:tcBorders>
              <w:top w:val="nil"/>
              <w:bottom w:val="nil"/>
            </w:tcBorders>
            <w:shd w:val="clear" w:color="auto" w:fill="FFFFFF"/>
          </w:tcPr>
          <w:p w:rsidR="00000000" w:rsidRDefault="00000000">
            <w:pPr>
              <w:pStyle w:val="a2"/>
              <w:tabs>
                <w:tab w:val="decimal" w:pos="1248"/>
              </w:tabs>
            </w:pPr>
            <w:r>
              <w:t>-31</w:t>
            </w:r>
          </w:p>
        </w:tc>
        <w:tc>
          <w:tcPr>
            <w:tcW w:w="1012" w:type="pct"/>
            <w:tcBorders>
              <w:top w:val="nil"/>
              <w:bottom w:val="nil"/>
            </w:tcBorders>
            <w:shd w:val="clear" w:color="auto" w:fill="FFFFFF"/>
          </w:tcPr>
          <w:p w:rsidR="00000000" w:rsidRDefault="00000000">
            <w:pPr>
              <w:pStyle w:val="a2"/>
              <w:tabs>
                <w:tab w:val="decimal" w:pos="1248"/>
              </w:tabs>
            </w:pPr>
            <w:r>
              <w:t>-30.10</w:t>
            </w:r>
          </w:p>
        </w:tc>
      </w:tr>
      <w:tr w:rsidR="00000000">
        <w:tblPrEx>
          <w:tblCellMar>
            <w:top w:w="0" w:type="dxa"/>
            <w:bottom w:w="0" w:type="dxa"/>
          </w:tblCellMar>
        </w:tblPrEx>
        <w:trPr>
          <w:jc w:val="center"/>
        </w:trPr>
        <w:tc>
          <w:tcPr>
            <w:tcW w:w="989" w:type="pct"/>
            <w:tcBorders>
              <w:top w:val="nil"/>
              <w:bottom w:val="nil"/>
            </w:tcBorders>
            <w:shd w:val="clear" w:color="auto" w:fill="FFFFFF"/>
          </w:tcPr>
          <w:p w:rsidR="00000000" w:rsidRDefault="00000000">
            <w:pPr>
              <w:pStyle w:val="a2"/>
              <w:jc w:val="center"/>
            </w:pPr>
            <w:r>
              <w:t>2000</w:t>
            </w:r>
          </w:p>
        </w:tc>
        <w:tc>
          <w:tcPr>
            <w:tcW w:w="965" w:type="pct"/>
            <w:tcBorders>
              <w:top w:val="nil"/>
              <w:bottom w:val="nil"/>
            </w:tcBorders>
            <w:shd w:val="clear" w:color="auto" w:fill="FFFFFF"/>
          </w:tcPr>
          <w:p w:rsidR="00000000" w:rsidRDefault="00000000">
            <w:pPr>
              <w:pStyle w:val="a2"/>
              <w:tabs>
                <w:tab w:val="decimal" w:pos="1248"/>
              </w:tabs>
            </w:pPr>
            <w:r>
              <w:t>51</w:t>
            </w:r>
          </w:p>
        </w:tc>
        <w:tc>
          <w:tcPr>
            <w:tcW w:w="965" w:type="pct"/>
            <w:tcBorders>
              <w:top w:val="nil"/>
              <w:bottom w:val="nil"/>
            </w:tcBorders>
            <w:shd w:val="clear" w:color="auto" w:fill="FFFFFF"/>
          </w:tcPr>
          <w:p w:rsidR="00000000" w:rsidRDefault="00000000">
            <w:pPr>
              <w:pStyle w:val="a2"/>
              <w:tabs>
                <w:tab w:val="decimal" w:pos="1248"/>
              </w:tabs>
            </w:pPr>
            <w:r>
              <w:t>2.15</w:t>
            </w:r>
          </w:p>
        </w:tc>
        <w:tc>
          <w:tcPr>
            <w:tcW w:w="1069" w:type="pct"/>
            <w:tcBorders>
              <w:top w:val="nil"/>
              <w:bottom w:val="nil"/>
            </w:tcBorders>
            <w:shd w:val="clear" w:color="auto" w:fill="FFFFFF"/>
          </w:tcPr>
          <w:p w:rsidR="00000000" w:rsidRDefault="00000000">
            <w:pPr>
              <w:pStyle w:val="a2"/>
              <w:tabs>
                <w:tab w:val="decimal" w:pos="1248"/>
              </w:tabs>
            </w:pPr>
            <w:r>
              <w:t>-21</w:t>
            </w:r>
          </w:p>
        </w:tc>
        <w:tc>
          <w:tcPr>
            <w:tcW w:w="1012" w:type="pct"/>
            <w:tcBorders>
              <w:top w:val="nil"/>
              <w:bottom w:val="nil"/>
            </w:tcBorders>
            <w:shd w:val="clear" w:color="auto" w:fill="FFFFFF"/>
          </w:tcPr>
          <w:p w:rsidR="00000000" w:rsidRDefault="00000000">
            <w:pPr>
              <w:pStyle w:val="a2"/>
              <w:tabs>
                <w:tab w:val="decimal" w:pos="1248"/>
              </w:tabs>
            </w:pPr>
            <w:r>
              <w:t>-29.17</w:t>
            </w:r>
          </w:p>
        </w:tc>
      </w:tr>
      <w:tr w:rsidR="00000000">
        <w:tblPrEx>
          <w:tblCellMar>
            <w:top w:w="0" w:type="dxa"/>
            <w:bottom w:w="0" w:type="dxa"/>
          </w:tblCellMar>
        </w:tblPrEx>
        <w:trPr>
          <w:jc w:val="center"/>
        </w:trPr>
        <w:tc>
          <w:tcPr>
            <w:tcW w:w="989" w:type="pct"/>
            <w:tcBorders>
              <w:top w:val="nil"/>
            </w:tcBorders>
            <w:shd w:val="clear" w:color="auto" w:fill="FFFFFF"/>
          </w:tcPr>
          <w:p w:rsidR="00000000" w:rsidRDefault="00000000">
            <w:pPr>
              <w:pStyle w:val="a2"/>
              <w:jc w:val="center"/>
            </w:pPr>
            <w:r>
              <w:t>2001</w:t>
            </w:r>
          </w:p>
        </w:tc>
        <w:tc>
          <w:tcPr>
            <w:tcW w:w="965" w:type="pct"/>
            <w:tcBorders>
              <w:top w:val="nil"/>
            </w:tcBorders>
            <w:shd w:val="clear" w:color="auto" w:fill="FFFFFF"/>
          </w:tcPr>
          <w:p w:rsidR="00000000" w:rsidRDefault="00000000">
            <w:pPr>
              <w:pStyle w:val="a2"/>
              <w:tabs>
                <w:tab w:val="decimal" w:pos="1248"/>
              </w:tabs>
            </w:pPr>
            <w:r>
              <w:t>53</w:t>
            </w:r>
          </w:p>
        </w:tc>
        <w:tc>
          <w:tcPr>
            <w:tcW w:w="965" w:type="pct"/>
            <w:tcBorders>
              <w:top w:val="nil"/>
            </w:tcBorders>
            <w:shd w:val="clear" w:color="auto" w:fill="FFFFFF"/>
          </w:tcPr>
          <w:p w:rsidR="00000000" w:rsidRDefault="00000000">
            <w:pPr>
              <w:pStyle w:val="a2"/>
              <w:tabs>
                <w:tab w:val="decimal" w:pos="1248"/>
              </w:tabs>
            </w:pPr>
            <w:r>
              <w:t>2.23</w:t>
            </w:r>
          </w:p>
        </w:tc>
        <w:tc>
          <w:tcPr>
            <w:tcW w:w="1069" w:type="pct"/>
            <w:tcBorders>
              <w:top w:val="nil"/>
            </w:tcBorders>
            <w:shd w:val="clear" w:color="auto" w:fill="FFFFFF"/>
          </w:tcPr>
          <w:p w:rsidR="00000000" w:rsidRDefault="00000000">
            <w:pPr>
              <w:pStyle w:val="a2"/>
              <w:tabs>
                <w:tab w:val="decimal" w:pos="1248"/>
              </w:tabs>
            </w:pPr>
            <w:r>
              <w:t>2</w:t>
            </w:r>
          </w:p>
        </w:tc>
        <w:tc>
          <w:tcPr>
            <w:tcW w:w="1012" w:type="pct"/>
            <w:tcBorders>
              <w:top w:val="nil"/>
            </w:tcBorders>
            <w:shd w:val="clear" w:color="auto" w:fill="FFFFFF"/>
          </w:tcPr>
          <w:p w:rsidR="00000000" w:rsidRDefault="00000000">
            <w:pPr>
              <w:pStyle w:val="a2"/>
              <w:tabs>
                <w:tab w:val="decimal" w:pos="1248"/>
              </w:tabs>
            </w:pPr>
            <w:r>
              <w:t>3.92</w:t>
            </w:r>
          </w:p>
        </w:tc>
      </w:tr>
      <w:tr w:rsidR="00000000">
        <w:tblPrEx>
          <w:tblCellMar>
            <w:top w:w="0" w:type="dxa"/>
            <w:bottom w:w="0" w:type="dxa"/>
          </w:tblCellMar>
        </w:tblPrEx>
        <w:trPr>
          <w:jc w:val="center"/>
        </w:trPr>
        <w:tc>
          <w:tcPr>
            <w:tcW w:w="989" w:type="pct"/>
            <w:shd w:val="clear" w:color="auto" w:fill="FFFFFF"/>
          </w:tcPr>
          <w:p w:rsidR="00000000" w:rsidRDefault="00000000">
            <w:pPr>
              <w:pStyle w:val="a2"/>
              <w:jc w:val="center"/>
              <w:rPr>
                <w:rFonts w:hint="eastAsia"/>
              </w:rPr>
            </w:pPr>
            <w:r>
              <w:rPr>
                <w:rFonts w:hint="eastAsia"/>
              </w:rPr>
              <w:t>总</w:t>
            </w:r>
            <w:r>
              <w:rPr>
                <w:rFonts w:hint="eastAsia"/>
              </w:rPr>
              <w:t xml:space="preserve">  </w:t>
            </w:r>
            <w:r>
              <w:rPr>
                <w:rFonts w:hint="eastAsia"/>
              </w:rPr>
              <w:t>计</w:t>
            </w:r>
          </w:p>
        </w:tc>
        <w:tc>
          <w:tcPr>
            <w:tcW w:w="965" w:type="pct"/>
            <w:shd w:val="clear" w:color="auto" w:fill="FFFFFF"/>
          </w:tcPr>
          <w:p w:rsidR="00000000" w:rsidRDefault="00000000">
            <w:pPr>
              <w:pStyle w:val="a2"/>
              <w:tabs>
                <w:tab w:val="decimal" w:pos="1248"/>
              </w:tabs>
            </w:pPr>
            <w:r>
              <w:t>2,377</w:t>
            </w:r>
          </w:p>
        </w:tc>
        <w:tc>
          <w:tcPr>
            <w:tcW w:w="965" w:type="pct"/>
            <w:shd w:val="clear" w:color="auto" w:fill="FFFFFF"/>
          </w:tcPr>
          <w:p w:rsidR="00000000" w:rsidRDefault="00000000">
            <w:pPr>
              <w:pStyle w:val="a2"/>
              <w:tabs>
                <w:tab w:val="decimal" w:pos="1248"/>
              </w:tabs>
            </w:pPr>
            <w:r>
              <w:t>100.00</w:t>
            </w:r>
          </w:p>
        </w:tc>
        <w:tc>
          <w:tcPr>
            <w:tcW w:w="1069" w:type="pct"/>
            <w:shd w:val="clear" w:color="auto" w:fill="FFFFFF"/>
          </w:tcPr>
          <w:p w:rsidR="00000000" w:rsidRDefault="00000000">
            <w:pPr>
              <w:pStyle w:val="a2"/>
              <w:tabs>
                <w:tab w:val="decimal" w:pos="1248"/>
              </w:tabs>
            </w:pPr>
            <w:r>
              <w:t>2,324</w:t>
            </w:r>
          </w:p>
        </w:tc>
        <w:tc>
          <w:tcPr>
            <w:tcW w:w="1012" w:type="pct"/>
            <w:shd w:val="clear" w:color="auto" w:fill="FFFFFF"/>
          </w:tcPr>
          <w:p w:rsidR="00000000" w:rsidRDefault="00000000">
            <w:pPr>
              <w:pStyle w:val="a2"/>
              <w:tabs>
                <w:tab w:val="decimal" w:pos="1248"/>
              </w:tabs>
            </w:pPr>
            <w:r>
              <w:t>4,384.91</w:t>
            </w:r>
          </w:p>
        </w:tc>
      </w:tr>
    </w:tbl>
    <w:p w:rsidR="00000000" w:rsidRDefault="00000000">
      <w:pPr>
        <w:rPr>
          <w:rFonts w:hint="eastAsia"/>
          <w:u w:val="single"/>
        </w:rPr>
      </w:pPr>
    </w:p>
    <w:p w:rsidR="00000000" w:rsidRDefault="00000000">
      <w:pPr>
        <w:ind w:left="416"/>
        <w:rPr>
          <w:rFonts w:hint="eastAsia"/>
          <w:sz w:val="22"/>
        </w:rPr>
      </w:pPr>
      <w:r>
        <w:rPr>
          <w:rFonts w:eastAsia="KaiTi_GB2312" w:hint="eastAsia"/>
          <w:spacing w:val="0"/>
          <w:sz w:val="22"/>
          <w:u w:val="single"/>
        </w:rPr>
        <w:t>资料来源</w:t>
      </w:r>
      <w:r>
        <w:rPr>
          <w:rFonts w:eastAsia="KaiTi_GB2312"/>
          <w:spacing w:val="0"/>
          <w:sz w:val="22"/>
        </w:rPr>
        <w:t>：</w:t>
      </w:r>
      <w:r>
        <w:rPr>
          <w:rFonts w:eastAsia="KaiTi_GB2312" w:hint="eastAsia"/>
          <w:spacing w:val="0"/>
          <w:sz w:val="22"/>
        </w:rPr>
        <w:t>《统计公报》，劳动与人力资源部</w:t>
      </w:r>
    </w:p>
    <w:p w:rsidR="00000000" w:rsidRDefault="00000000">
      <w:pPr>
        <w:rPr>
          <w:rFonts w:hint="eastAsia"/>
        </w:rPr>
      </w:pPr>
    </w:p>
    <w:p w:rsidR="00000000" w:rsidRDefault="00000000">
      <w:pPr>
        <w:pStyle w:val="a3"/>
      </w:pPr>
      <w:r>
        <w:rPr>
          <w:rFonts w:hint="eastAsia"/>
        </w:rPr>
        <w:t>罢</w:t>
      </w:r>
      <w:r>
        <w:rPr>
          <w:rFonts w:hint="eastAsia"/>
        </w:rPr>
        <w:t xml:space="preserve">  </w:t>
      </w:r>
      <w:r>
        <w:rPr>
          <w:rFonts w:hint="eastAsia"/>
        </w:rPr>
        <w:t>工</w:t>
      </w:r>
      <w:r>
        <w:br/>
      </w:r>
      <w:r>
        <w:rPr>
          <w:rFonts w:ascii="Time New Roman" w:hAnsi="Time New Roman"/>
          <w:b/>
        </w:rPr>
        <w:t>1988</w:t>
      </w:r>
      <w:r>
        <w:rPr>
          <w:rFonts w:ascii="Time New Roman" w:hAnsi="Time New Roman"/>
        </w:rPr>
        <w:t>-</w:t>
      </w:r>
      <w:r>
        <w:rPr>
          <w:rFonts w:ascii="Time New Roman" w:hAnsi="Time New Roman"/>
          <w:b/>
        </w:rPr>
        <w:t>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2"/>
        <w:gridCol w:w="1836"/>
        <w:gridCol w:w="1836"/>
        <w:gridCol w:w="2034"/>
        <w:gridCol w:w="1916"/>
      </w:tblGrid>
      <w:tr w:rsidR="00000000">
        <w:tblPrEx>
          <w:tblCellMar>
            <w:top w:w="0" w:type="dxa"/>
            <w:bottom w:w="0" w:type="dxa"/>
          </w:tblCellMar>
        </w:tblPrEx>
        <w:trPr>
          <w:jc w:val="center"/>
        </w:trPr>
        <w:tc>
          <w:tcPr>
            <w:tcW w:w="986"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967"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罢工次数</w:t>
            </w:r>
          </w:p>
        </w:tc>
        <w:tc>
          <w:tcPr>
            <w:tcW w:w="967"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百分比</w:t>
            </w:r>
          </w:p>
        </w:tc>
        <w:tc>
          <w:tcPr>
            <w:tcW w:w="1071" w:type="pct"/>
            <w:shd w:val="clear" w:color="auto" w:fill="FFFFFF"/>
          </w:tcPr>
          <w:p w:rsidR="00000000" w:rsidRDefault="00000000">
            <w:pPr>
              <w:pStyle w:val="a2"/>
              <w:spacing w:before="40" w:after="40"/>
              <w:jc w:val="center"/>
              <w:rPr>
                <w:rFonts w:ascii="Time New Roman" w:eastAsia="SimHei" w:hAnsi="Time New Roman" w:hint="eastAsia"/>
              </w:rPr>
            </w:pPr>
            <w:r>
              <w:rPr>
                <w:rFonts w:ascii="Time New Roman" w:eastAsia="SimHei" w:hAnsi="Time New Roman" w:hint="eastAsia"/>
              </w:rPr>
              <w:t>与上一年相对的变化</w:t>
            </w:r>
          </w:p>
        </w:tc>
        <w:tc>
          <w:tcPr>
            <w:tcW w:w="1009" w:type="pct"/>
            <w:shd w:val="clear" w:color="auto" w:fill="FFFFFF"/>
          </w:tcPr>
          <w:p w:rsidR="00000000" w:rsidRDefault="00000000">
            <w:pPr>
              <w:pStyle w:val="a2"/>
              <w:tabs>
                <w:tab w:val="decimal" w:pos="1137"/>
              </w:tabs>
              <w:spacing w:before="40" w:after="40"/>
              <w:rPr>
                <w:rFonts w:ascii="Time New Roman" w:eastAsia="SimHei" w:hAnsi="Time New Roman" w:hint="eastAsia"/>
              </w:rPr>
            </w:pPr>
            <w:r>
              <w:rPr>
                <w:rFonts w:ascii="Time New Roman" w:eastAsia="SimHei" w:hAnsi="Time New Roman" w:hint="eastAsia"/>
              </w:rPr>
              <w:t>百分比</w:t>
            </w:r>
          </w:p>
        </w:tc>
      </w:tr>
      <w:tr w:rsidR="00000000">
        <w:tblPrEx>
          <w:tblCellMar>
            <w:top w:w="0" w:type="dxa"/>
            <w:bottom w:w="0" w:type="dxa"/>
          </w:tblCellMar>
        </w:tblPrEx>
        <w:trPr>
          <w:jc w:val="center"/>
        </w:trPr>
        <w:tc>
          <w:tcPr>
            <w:tcW w:w="986" w:type="pct"/>
            <w:tcBorders>
              <w:bottom w:val="nil"/>
            </w:tcBorders>
            <w:shd w:val="clear" w:color="auto" w:fill="FFFFFF"/>
          </w:tcPr>
          <w:p w:rsidR="00000000" w:rsidRDefault="00000000">
            <w:pPr>
              <w:pStyle w:val="a2"/>
              <w:jc w:val="center"/>
            </w:pPr>
            <w:r>
              <w:t>1988</w:t>
            </w:r>
          </w:p>
        </w:tc>
        <w:tc>
          <w:tcPr>
            <w:tcW w:w="967" w:type="pct"/>
            <w:tcBorders>
              <w:bottom w:val="nil"/>
            </w:tcBorders>
            <w:shd w:val="clear" w:color="auto" w:fill="FFFFFF"/>
          </w:tcPr>
          <w:p w:rsidR="00000000" w:rsidRDefault="00000000">
            <w:pPr>
              <w:pStyle w:val="a2"/>
              <w:tabs>
                <w:tab w:val="decimal" w:pos="1137"/>
              </w:tabs>
            </w:pPr>
            <w:r>
              <w:t>126</w:t>
            </w:r>
          </w:p>
        </w:tc>
        <w:tc>
          <w:tcPr>
            <w:tcW w:w="967" w:type="pct"/>
            <w:tcBorders>
              <w:bottom w:val="nil"/>
            </w:tcBorders>
            <w:shd w:val="clear" w:color="auto" w:fill="FFFFFF"/>
          </w:tcPr>
          <w:p w:rsidR="00000000" w:rsidRDefault="00000000">
            <w:pPr>
              <w:pStyle w:val="a2"/>
              <w:tabs>
                <w:tab w:val="decimal" w:pos="1137"/>
              </w:tabs>
            </w:pPr>
            <w:r>
              <w:t>18.45</w:t>
            </w:r>
          </w:p>
        </w:tc>
        <w:tc>
          <w:tcPr>
            <w:tcW w:w="1071" w:type="pct"/>
            <w:tcBorders>
              <w:bottom w:val="nil"/>
            </w:tcBorders>
            <w:shd w:val="clear" w:color="auto" w:fill="FFFFFF"/>
          </w:tcPr>
          <w:p w:rsidR="00000000" w:rsidRDefault="00000000">
            <w:pPr>
              <w:pStyle w:val="a2"/>
              <w:tabs>
                <w:tab w:val="decimal" w:pos="1137"/>
              </w:tabs>
            </w:pPr>
            <w:r>
              <w:t>-</w:t>
            </w:r>
          </w:p>
        </w:tc>
        <w:tc>
          <w:tcPr>
            <w:tcW w:w="1009" w:type="pct"/>
            <w:tcBorders>
              <w:bottom w:val="nil"/>
            </w:tcBorders>
            <w:shd w:val="clear" w:color="auto" w:fill="FFFFFF"/>
          </w:tcPr>
          <w:p w:rsidR="00000000" w:rsidRDefault="00000000">
            <w:pPr>
              <w:pStyle w:val="a2"/>
              <w:tabs>
                <w:tab w:val="decimal" w:pos="1137"/>
              </w:tabs>
            </w:pPr>
            <w:r>
              <w:t>-</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1989</w:t>
            </w:r>
          </w:p>
        </w:tc>
        <w:tc>
          <w:tcPr>
            <w:tcW w:w="967" w:type="pct"/>
            <w:tcBorders>
              <w:top w:val="nil"/>
              <w:bottom w:val="nil"/>
            </w:tcBorders>
            <w:shd w:val="clear" w:color="auto" w:fill="FFFFFF"/>
          </w:tcPr>
          <w:p w:rsidR="00000000" w:rsidRDefault="00000000">
            <w:pPr>
              <w:pStyle w:val="a2"/>
              <w:tabs>
                <w:tab w:val="decimal" w:pos="1137"/>
              </w:tabs>
            </w:pPr>
            <w:r>
              <w:t>167</w:t>
            </w:r>
          </w:p>
        </w:tc>
        <w:tc>
          <w:tcPr>
            <w:tcW w:w="967" w:type="pct"/>
            <w:tcBorders>
              <w:top w:val="nil"/>
              <w:bottom w:val="nil"/>
            </w:tcBorders>
            <w:shd w:val="clear" w:color="auto" w:fill="FFFFFF"/>
          </w:tcPr>
          <w:p w:rsidR="00000000" w:rsidRDefault="00000000">
            <w:pPr>
              <w:pStyle w:val="a2"/>
              <w:tabs>
                <w:tab w:val="decimal" w:pos="1137"/>
              </w:tabs>
            </w:pPr>
            <w:r>
              <w:t>24.45</w:t>
            </w:r>
          </w:p>
        </w:tc>
        <w:tc>
          <w:tcPr>
            <w:tcW w:w="1071" w:type="pct"/>
            <w:tcBorders>
              <w:top w:val="nil"/>
              <w:bottom w:val="nil"/>
            </w:tcBorders>
            <w:shd w:val="clear" w:color="auto" w:fill="FFFFFF"/>
          </w:tcPr>
          <w:p w:rsidR="00000000" w:rsidRDefault="00000000">
            <w:pPr>
              <w:pStyle w:val="a2"/>
              <w:tabs>
                <w:tab w:val="decimal" w:pos="1137"/>
              </w:tabs>
            </w:pPr>
            <w:r>
              <w:t>41</w:t>
            </w:r>
          </w:p>
        </w:tc>
        <w:tc>
          <w:tcPr>
            <w:tcW w:w="1009" w:type="pct"/>
            <w:tcBorders>
              <w:top w:val="nil"/>
              <w:bottom w:val="nil"/>
            </w:tcBorders>
            <w:shd w:val="clear" w:color="auto" w:fill="FFFFFF"/>
          </w:tcPr>
          <w:p w:rsidR="00000000" w:rsidRDefault="00000000">
            <w:pPr>
              <w:pStyle w:val="a2"/>
              <w:tabs>
                <w:tab w:val="decimal" w:pos="1137"/>
              </w:tabs>
            </w:pPr>
            <w:r>
              <w:t>32.54</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1990</w:t>
            </w:r>
          </w:p>
        </w:tc>
        <w:tc>
          <w:tcPr>
            <w:tcW w:w="967" w:type="pct"/>
            <w:tcBorders>
              <w:top w:val="nil"/>
              <w:bottom w:val="nil"/>
            </w:tcBorders>
            <w:shd w:val="clear" w:color="auto" w:fill="FFFFFF"/>
          </w:tcPr>
          <w:p w:rsidR="00000000" w:rsidRDefault="00000000">
            <w:pPr>
              <w:pStyle w:val="a2"/>
              <w:tabs>
                <w:tab w:val="decimal" w:pos="1137"/>
              </w:tabs>
            </w:pPr>
            <w:r>
              <w:t>140</w:t>
            </w:r>
          </w:p>
        </w:tc>
        <w:tc>
          <w:tcPr>
            <w:tcW w:w="967" w:type="pct"/>
            <w:tcBorders>
              <w:top w:val="nil"/>
              <w:bottom w:val="nil"/>
            </w:tcBorders>
            <w:shd w:val="clear" w:color="auto" w:fill="FFFFFF"/>
          </w:tcPr>
          <w:p w:rsidR="00000000" w:rsidRDefault="00000000">
            <w:pPr>
              <w:pStyle w:val="a2"/>
              <w:tabs>
                <w:tab w:val="decimal" w:pos="1137"/>
              </w:tabs>
            </w:pPr>
            <w:r>
              <w:t>20.50</w:t>
            </w:r>
          </w:p>
        </w:tc>
        <w:tc>
          <w:tcPr>
            <w:tcW w:w="1071" w:type="pct"/>
            <w:tcBorders>
              <w:top w:val="nil"/>
              <w:bottom w:val="nil"/>
            </w:tcBorders>
            <w:shd w:val="clear" w:color="auto" w:fill="FFFFFF"/>
          </w:tcPr>
          <w:p w:rsidR="00000000" w:rsidRDefault="00000000">
            <w:pPr>
              <w:pStyle w:val="a2"/>
              <w:tabs>
                <w:tab w:val="decimal" w:pos="1137"/>
              </w:tabs>
            </w:pPr>
            <w:r>
              <w:t>-27</w:t>
            </w:r>
          </w:p>
        </w:tc>
        <w:tc>
          <w:tcPr>
            <w:tcW w:w="1009" w:type="pct"/>
            <w:tcBorders>
              <w:top w:val="nil"/>
              <w:bottom w:val="nil"/>
            </w:tcBorders>
            <w:shd w:val="clear" w:color="auto" w:fill="FFFFFF"/>
          </w:tcPr>
          <w:p w:rsidR="00000000" w:rsidRDefault="00000000">
            <w:pPr>
              <w:pStyle w:val="a2"/>
              <w:tabs>
                <w:tab w:val="decimal" w:pos="1137"/>
              </w:tabs>
            </w:pPr>
            <w:r>
              <w:t>-16.17</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1991</w:t>
            </w:r>
          </w:p>
        </w:tc>
        <w:tc>
          <w:tcPr>
            <w:tcW w:w="967" w:type="pct"/>
            <w:tcBorders>
              <w:top w:val="nil"/>
              <w:bottom w:val="nil"/>
            </w:tcBorders>
            <w:shd w:val="clear" w:color="auto" w:fill="FFFFFF"/>
          </w:tcPr>
          <w:p w:rsidR="00000000" w:rsidRDefault="00000000">
            <w:pPr>
              <w:pStyle w:val="a2"/>
              <w:tabs>
                <w:tab w:val="decimal" w:pos="1137"/>
              </w:tabs>
            </w:pPr>
            <w:r>
              <w:t>87</w:t>
            </w:r>
          </w:p>
        </w:tc>
        <w:tc>
          <w:tcPr>
            <w:tcW w:w="967" w:type="pct"/>
            <w:tcBorders>
              <w:top w:val="nil"/>
              <w:bottom w:val="nil"/>
            </w:tcBorders>
            <w:shd w:val="clear" w:color="auto" w:fill="FFFFFF"/>
          </w:tcPr>
          <w:p w:rsidR="00000000" w:rsidRDefault="00000000">
            <w:pPr>
              <w:pStyle w:val="a2"/>
              <w:tabs>
                <w:tab w:val="decimal" w:pos="1137"/>
              </w:tabs>
            </w:pPr>
            <w:r>
              <w:t>12.74</w:t>
            </w:r>
          </w:p>
        </w:tc>
        <w:tc>
          <w:tcPr>
            <w:tcW w:w="1071" w:type="pct"/>
            <w:tcBorders>
              <w:top w:val="nil"/>
              <w:bottom w:val="nil"/>
            </w:tcBorders>
            <w:shd w:val="clear" w:color="auto" w:fill="FFFFFF"/>
          </w:tcPr>
          <w:p w:rsidR="00000000" w:rsidRDefault="00000000">
            <w:pPr>
              <w:pStyle w:val="a2"/>
              <w:tabs>
                <w:tab w:val="decimal" w:pos="1137"/>
              </w:tabs>
            </w:pPr>
            <w:r>
              <w:t>-53</w:t>
            </w:r>
          </w:p>
        </w:tc>
        <w:tc>
          <w:tcPr>
            <w:tcW w:w="1009" w:type="pct"/>
            <w:tcBorders>
              <w:top w:val="nil"/>
              <w:bottom w:val="nil"/>
            </w:tcBorders>
            <w:shd w:val="clear" w:color="auto" w:fill="FFFFFF"/>
          </w:tcPr>
          <w:p w:rsidR="00000000" w:rsidRDefault="00000000">
            <w:pPr>
              <w:pStyle w:val="a2"/>
              <w:tabs>
                <w:tab w:val="decimal" w:pos="1137"/>
              </w:tabs>
            </w:pPr>
            <w:r>
              <w:t>-37.86</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1992</w:t>
            </w:r>
          </w:p>
        </w:tc>
        <w:tc>
          <w:tcPr>
            <w:tcW w:w="967" w:type="pct"/>
            <w:tcBorders>
              <w:top w:val="nil"/>
              <w:bottom w:val="nil"/>
            </w:tcBorders>
            <w:shd w:val="clear" w:color="auto" w:fill="FFFFFF"/>
          </w:tcPr>
          <w:p w:rsidR="00000000" w:rsidRDefault="00000000">
            <w:pPr>
              <w:pStyle w:val="a2"/>
              <w:tabs>
                <w:tab w:val="decimal" w:pos="1137"/>
              </w:tabs>
            </w:pPr>
            <w:r>
              <w:t>47</w:t>
            </w:r>
          </w:p>
        </w:tc>
        <w:tc>
          <w:tcPr>
            <w:tcW w:w="967" w:type="pct"/>
            <w:tcBorders>
              <w:top w:val="nil"/>
              <w:bottom w:val="nil"/>
            </w:tcBorders>
            <w:shd w:val="clear" w:color="auto" w:fill="FFFFFF"/>
          </w:tcPr>
          <w:p w:rsidR="00000000" w:rsidRDefault="00000000">
            <w:pPr>
              <w:pStyle w:val="a2"/>
              <w:tabs>
                <w:tab w:val="decimal" w:pos="1137"/>
              </w:tabs>
            </w:pPr>
            <w:r>
              <w:t>6.88</w:t>
            </w:r>
          </w:p>
        </w:tc>
        <w:tc>
          <w:tcPr>
            <w:tcW w:w="1071" w:type="pct"/>
            <w:tcBorders>
              <w:top w:val="nil"/>
              <w:bottom w:val="nil"/>
            </w:tcBorders>
            <w:shd w:val="clear" w:color="auto" w:fill="FFFFFF"/>
          </w:tcPr>
          <w:p w:rsidR="00000000" w:rsidRDefault="00000000">
            <w:pPr>
              <w:pStyle w:val="a2"/>
              <w:tabs>
                <w:tab w:val="decimal" w:pos="1137"/>
              </w:tabs>
            </w:pPr>
            <w:r>
              <w:t>-40</w:t>
            </w:r>
          </w:p>
        </w:tc>
        <w:tc>
          <w:tcPr>
            <w:tcW w:w="1009" w:type="pct"/>
            <w:tcBorders>
              <w:top w:val="nil"/>
              <w:bottom w:val="nil"/>
            </w:tcBorders>
            <w:shd w:val="clear" w:color="auto" w:fill="FFFFFF"/>
          </w:tcPr>
          <w:p w:rsidR="00000000" w:rsidRDefault="00000000">
            <w:pPr>
              <w:pStyle w:val="a2"/>
              <w:tabs>
                <w:tab w:val="decimal" w:pos="1137"/>
              </w:tabs>
            </w:pPr>
            <w:r>
              <w:t>-45.98</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1993</w:t>
            </w:r>
          </w:p>
        </w:tc>
        <w:tc>
          <w:tcPr>
            <w:tcW w:w="967" w:type="pct"/>
            <w:tcBorders>
              <w:top w:val="nil"/>
              <w:bottom w:val="nil"/>
            </w:tcBorders>
            <w:shd w:val="clear" w:color="auto" w:fill="FFFFFF"/>
          </w:tcPr>
          <w:p w:rsidR="00000000" w:rsidRDefault="00000000">
            <w:pPr>
              <w:pStyle w:val="a2"/>
              <w:tabs>
                <w:tab w:val="decimal" w:pos="1137"/>
              </w:tabs>
            </w:pPr>
            <w:r>
              <w:t>28</w:t>
            </w:r>
          </w:p>
        </w:tc>
        <w:tc>
          <w:tcPr>
            <w:tcW w:w="967" w:type="pct"/>
            <w:tcBorders>
              <w:top w:val="nil"/>
              <w:bottom w:val="nil"/>
            </w:tcBorders>
            <w:shd w:val="clear" w:color="auto" w:fill="FFFFFF"/>
          </w:tcPr>
          <w:p w:rsidR="00000000" w:rsidRDefault="00000000">
            <w:pPr>
              <w:pStyle w:val="a2"/>
              <w:tabs>
                <w:tab w:val="decimal" w:pos="1137"/>
              </w:tabs>
            </w:pPr>
            <w:r>
              <w:t>4.10</w:t>
            </w:r>
          </w:p>
        </w:tc>
        <w:tc>
          <w:tcPr>
            <w:tcW w:w="1071" w:type="pct"/>
            <w:tcBorders>
              <w:top w:val="nil"/>
              <w:bottom w:val="nil"/>
            </w:tcBorders>
            <w:shd w:val="clear" w:color="auto" w:fill="FFFFFF"/>
          </w:tcPr>
          <w:p w:rsidR="00000000" w:rsidRDefault="00000000">
            <w:pPr>
              <w:pStyle w:val="a2"/>
              <w:tabs>
                <w:tab w:val="decimal" w:pos="1137"/>
              </w:tabs>
            </w:pPr>
            <w:r>
              <w:t>-19</w:t>
            </w:r>
          </w:p>
        </w:tc>
        <w:tc>
          <w:tcPr>
            <w:tcW w:w="1009" w:type="pct"/>
            <w:tcBorders>
              <w:top w:val="nil"/>
              <w:bottom w:val="nil"/>
            </w:tcBorders>
            <w:shd w:val="clear" w:color="auto" w:fill="FFFFFF"/>
          </w:tcPr>
          <w:p w:rsidR="00000000" w:rsidRDefault="00000000">
            <w:pPr>
              <w:pStyle w:val="a2"/>
              <w:tabs>
                <w:tab w:val="decimal" w:pos="1137"/>
              </w:tabs>
            </w:pPr>
            <w:r>
              <w:t>-40.43</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1994</w:t>
            </w:r>
          </w:p>
        </w:tc>
        <w:tc>
          <w:tcPr>
            <w:tcW w:w="967" w:type="pct"/>
            <w:tcBorders>
              <w:top w:val="nil"/>
              <w:bottom w:val="nil"/>
            </w:tcBorders>
            <w:shd w:val="clear" w:color="auto" w:fill="FFFFFF"/>
          </w:tcPr>
          <w:p w:rsidR="00000000" w:rsidRDefault="00000000">
            <w:pPr>
              <w:pStyle w:val="a2"/>
              <w:tabs>
                <w:tab w:val="decimal" w:pos="1137"/>
              </w:tabs>
            </w:pPr>
            <w:r>
              <w:t>12</w:t>
            </w:r>
          </w:p>
        </w:tc>
        <w:tc>
          <w:tcPr>
            <w:tcW w:w="967" w:type="pct"/>
            <w:tcBorders>
              <w:top w:val="nil"/>
              <w:bottom w:val="nil"/>
            </w:tcBorders>
            <w:shd w:val="clear" w:color="auto" w:fill="FFFFFF"/>
          </w:tcPr>
          <w:p w:rsidR="00000000" w:rsidRDefault="00000000">
            <w:pPr>
              <w:pStyle w:val="a2"/>
              <w:tabs>
                <w:tab w:val="decimal" w:pos="1137"/>
              </w:tabs>
            </w:pPr>
            <w:r>
              <w:t>1.76</w:t>
            </w:r>
          </w:p>
        </w:tc>
        <w:tc>
          <w:tcPr>
            <w:tcW w:w="1071" w:type="pct"/>
            <w:tcBorders>
              <w:top w:val="nil"/>
              <w:bottom w:val="nil"/>
            </w:tcBorders>
            <w:shd w:val="clear" w:color="auto" w:fill="FFFFFF"/>
          </w:tcPr>
          <w:p w:rsidR="00000000" w:rsidRDefault="00000000">
            <w:pPr>
              <w:pStyle w:val="a2"/>
              <w:tabs>
                <w:tab w:val="decimal" w:pos="1137"/>
              </w:tabs>
            </w:pPr>
            <w:r>
              <w:t>-16</w:t>
            </w:r>
          </w:p>
        </w:tc>
        <w:tc>
          <w:tcPr>
            <w:tcW w:w="1009" w:type="pct"/>
            <w:tcBorders>
              <w:top w:val="nil"/>
              <w:bottom w:val="nil"/>
            </w:tcBorders>
            <w:shd w:val="clear" w:color="auto" w:fill="FFFFFF"/>
          </w:tcPr>
          <w:p w:rsidR="00000000" w:rsidRDefault="00000000">
            <w:pPr>
              <w:pStyle w:val="a2"/>
              <w:tabs>
                <w:tab w:val="decimal" w:pos="1137"/>
              </w:tabs>
            </w:pPr>
            <w:r>
              <w:t>-57.14</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1995</w:t>
            </w:r>
          </w:p>
        </w:tc>
        <w:tc>
          <w:tcPr>
            <w:tcW w:w="967" w:type="pct"/>
            <w:tcBorders>
              <w:top w:val="nil"/>
              <w:bottom w:val="nil"/>
            </w:tcBorders>
            <w:shd w:val="clear" w:color="auto" w:fill="FFFFFF"/>
          </w:tcPr>
          <w:p w:rsidR="00000000" w:rsidRDefault="00000000">
            <w:pPr>
              <w:pStyle w:val="a2"/>
              <w:tabs>
                <w:tab w:val="decimal" w:pos="1137"/>
              </w:tabs>
            </w:pPr>
            <w:r>
              <w:t>7</w:t>
            </w:r>
          </w:p>
        </w:tc>
        <w:tc>
          <w:tcPr>
            <w:tcW w:w="967" w:type="pct"/>
            <w:tcBorders>
              <w:top w:val="nil"/>
              <w:bottom w:val="nil"/>
            </w:tcBorders>
            <w:shd w:val="clear" w:color="auto" w:fill="FFFFFF"/>
          </w:tcPr>
          <w:p w:rsidR="00000000" w:rsidRDefault="00000000">
            <w:pPr>
              <w:pStyle w:val="a2"/>
              <w:tabs>
                <w:tab w:val="decimal" w:pos="1137"/>
              </w:tabs>
            </w:pPr>
            <w:r>
              <w:t>1.02</w:t>
            </w:r>
          </w:p>
        </w:tc>
        <w:tc>
          <w:tcPr>
            <w:tcW w:w="1071" w:type="pct"/>
            <w:tcBorders>
              <w:top w:val="nil"/>
              <w:bottom w:val="nil"/>
            </w:tcBorders>
            <w:shd w:val="clear" w:color="auto" w:fill="FFFFFF"/>
          </w:tcPr>
          <w:p w:rsidR="00000000" w:rsidRDefault="00000000">
            <w:pPr>
              <w:pStyle w:val="a2"/>
              <w:tabs>
                <w:tab w:val="decimal" w:pos="1137"/>
              </w:tabs>
            </w:pPr>
            <w:r>
              <w:t>-5</w:t>
            </w:r>
          </w:p>
        </w:tc>
        <w:tc>
          <w:tcPr>
            <w:tcW w:w="1009" w:type="pct"/>
            <w:tcBorders>
              <w:top w:val="nil"/>
              <w:bottom w:val="nil"/>
            </w:tcBorders>
            <w:shd w:val="clear" w:color="auto" w:fill="FFFFFF"/>
          </w:tcPr>
          <w:p w:rsidR="00000000" w:rsidRDefault="00000000">
            <w:pPr>
              <w:pStyle w:val="a2"/>
              <w:tabs>
                <w:tab w:val="decimal" w:pos="1137"/>
              </w:tabs>
            </w:pPr>
            <w:r>
              <w:t>-41.67</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1996</w:t>
            </w:r>
          </w:p>
        </w:tc>
        <w:tc>
          <w:tcPr>
            <w:tcW w:w="967" w:type="pct"/>
            <w:tcBorders>
              <w:top w:val="nil"/>
              <w:bottom w:val="nil"/>
            </w:tcBorders>
            <w:shd w:val="clear" w:color="auto" w:fill="FFFFFF"/>
          </w:tcPr>
          <w:p w:rsidR="00000000" w:rsidRDefault="00000000">
            <w:pPr>
              <w:pStyle w:val="a2"/>
              <w:tabs>
                <w:tab w:val="decimal" w:pos="1137"/>
              </w:tabs>
            </w:pPr>
            <w:r>
              <w:t>11</w:t>
            </w:r>
          </w:p>
        </w:tc>
        <w:tc>
          <w:tcPr>
            <w:tcW w:w="967" w:type="pct"/>
            <w:tcBorders>
              <w:top w:val="nil"/>
              <w:bottom w:val="nil"/>
            </w:tcBorders>
            <w:shd w:val="clear" w:color="auto" w:fill="FFFFFF"/>
          </w:tcPr>
          <w:p w:rsidR="00000000" w:rsidRDefault="00000000">
            <w:pPr>
              <w:pStyle w:val="a2"/>
              <w:tabs>
                <w:tab w:val="decimal" w:pos="1137"/>
              </w:tabs>
            </w:pPr>
            <w:r>
              <w:t>1.61</w:t>
            </w:r>
          </w:p>
        </w:tc>
        <w:tc>
          <w:tcPr>
            <w:tcW w:w="1071" w:type="pct"/>
            <w:tcBorders>
              <w:top w:val="nil"/>
              <w:bottom w:val="nil"/>
            </w:tcBorders>
            <w:shd w:val="clear" w:color="auto" w:fill="FFFFFF"/>
          </w:tcPr>
          <w:p w:rsidR="00000000" w:rsidRDefault="00000000">
            <w:pPr>
              <w:pStyle w:val="a2"/>
              <w:tabs>
                <w:tab w:val="decimal" w:pos="1137"/>
              </w:tabs>
            </w:pPr>
            <w:r>
              <w:t>4</w:t>
            </w:r>
          </w:p>
        </w:tc>
        <w:tc>
          <w:tcPr>
            <w:tcW w:w="1009" w:type="pct"/>
            <w:tcBorders>
              <w:top w:val="nil"/>
              <w:bottom w:val="nil"/>
            </w:tcBorders>
            <w:shd w:val="clear" w:color="auto" w:fill="FFFFFF"/>
          </w:tcPr>
          <w:p w:rsidR="00000000" w:rsidRDefault="00000000">
            <w:pPr>
              <w:pStyle w:val="a2"/>
              <w:tabs>
                <w:tab w:val="decimal" w:pos="1137"/>
              </w:tabs>
            </w:pPr>
            <w:r>
              <w:t>57.14</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1997</w:t>
            </w:r>
          </w:p>
        </w:tc>
        <w:tc>
          <w:tcPr>
            <w:tcW w:w="967" w:type="pct"/>
            <w:tcBorders>
              <w:top w:val="nil"/>
              <w:bottom w:val="nil"/>
            </w:tcBorders>
            <w:shd w:val="clear" w:color="auto" w:fill="FFFFFF"/>
          </w:tcPr>
          <w:p w:rsidR="00000000" w:rsidRDefault="00000000">
            <w:pPr>
              <w:pStyle w:val="a2"/>
              <w:tabs>
                <w:tab w:val="decimal" w:pos="1137"/>
              </w:tabs>
            </w:pPr>
            <w:r>
              <w:t>18</w:t>
            </w:r>
          </w:p>
        </w:tc>
        <w:tc>
          <w:tcPr>
            <w:tcW w:w="967" w:type="pct"/>
            <w:tcBorders>
              <w:top w:val="nil"/>
              <w:bottom w:val="nil"/>
            </w:tcBorders>
            <w:shd w:val="clear" w:color="auto" w:fill="FFFFFF"/>
          </w:tcPr>
          <w:p w:rsidR="00000000" w:rsidRDefault="00000000">
            <w:pPr>
              <w:pStyle w:val="a2"/>
              <w:tabs>
                <w:tab w:val="decimal" w:pos="1137"/>
              </w:tabs>
            </w:pPr>
            <w:r>
              <w:t>2.64</w:t>
            </w:r>
          </w:p>
        </w:tc>
        <w:tc>
          <w:tcPr>
            <w:tcW w:w="1071" w:type="pct"/>
            <w:tcBorders>
              <w:top w:val="nil"/>
              <w:bottom w:val="nil"/>
            </w:tcBorders>
            <w:shd w:val="clear" w:color="auto" w:fill="FFFFFF"/>
          </w:tcPr>
          <w:p w:rsidR="00000000" w:rsidRDefault="00000000">
            <w:pPr>
              <w:pStyle w:val="a2"/>
              <w:tabs>
                <w:tab w:val="decimal" w:pos="1137"/>
              </w:tabs>
            </w:pPr>
            <w:r>
              <w:t>7</w:t>
            </w:r>
          </w:p>
        </w:tc>
        <w:tc>
          <w:tcPr>
            <w:tcW w:w="1009" w:type="pct"/>
            <w:tcBorders>
              <w:top w:val="nil"/>
              <w:bottom w:val="nil"/>
            </w:tcBorders>
            <w:shd w:val="clear" w:color="auto" w:fill="FFFFFF"/>
          </w:tcPr>
          <w:p w:rsidR="00000000" w:rsidRDefault="00000000">
            <w:pPr>
              <w:pStyle w:val="a2"/>
              <w:tabs>
                <w:tab w:val="decimal" w:pos="1137"/>
              </w:tabs>
            </w:pPr>
            <w:r>
              <w:t>63.64</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1998</w:t>
            </w:r>
          </w:p>
        </w:tc>
        <w:tc>
          <w:tcPr>
            <w:tcW w:w="967" w:type="pct"/>
            <w:tcBorders>
              <w:top w:val="nil"/>
              <w:bottom w:val="nil"/>
            </w:tcBorders>
            <w:shd w:val="clear" w:color="auto" w:fill="FFFFFF"/>
          </w:tcPr>
          <w:p w:rsidR="00000000" w:rsidRDefault="00000000">
            <w:pPr>
              <w:pStyle w:val="a2"/>
              <w:tabs>
                <w:tab w:val="decimal" w:pos="1137"/>
              </w:tabs>
            </w:pPr>
            <w:r>
              <w:t>17</w:t>
            </w:r>
          </w:p>
        </w:tc>
        <w:tc>
          <w:tcPr>
            <w:tcW w:w="967" w:type="pct"/>
            <w:tcBorders>
              <w:top w:val="nil"/>
              <w:bottom w:val="nil"/>
            </w:tcBorders>
            <w:shd w:val="clear" w:color="auto" w:fill="FFFFFF"/>
          </w:tcPr>
          <w:p w:rsidR="00000000" w:rsidRDefault="00000000">
            <w:pPr>
              <w:pStyle w:val="a2"/>
              <w:tabs>
                <w:tab w:val="decimal" w:pos="1137"/>
              </w:tabs>
            </w:pPr>
            <w:r>
              <w:t>2.49</w:t>
            </w:r>
          </w:p>
        </w:tc>
        <w:tc>
          <w:tcPr>
            <w:tcW w:w="1071" w:type="pct"/>
            <w:tcBorders>
              <w:top w:val="nil"/>
              <w:bottom w:val="nil"/>
            </w:tcBorders>
            <w:shd w:val="clear" w:color="auto" w:fill="FFFFFF"/>
          </w:tcPr>
          <w:p w:rsidR="00000000" w:rsidRDefault="00000000">
            <w:pPr>
              <w:pStyle w:val="a2"/>
              <w:tabs>
                <w:tab w:val="decimal" w:pos="1137"/>
              </w:tabs>
            </w:pPr>
            <w:r>
              <w:t>-1</w:t>
            </w:r>
          </w:p>
        </w:tc>
        <w:tc>
          <w:tcPr>
            <w:tcW w:w="1009" w:type="pct"/>
            <w:tcBorders>
              <w:top w:val="nil"/>
              <w:bottom w:val="nil"/>
            </w:tcBorders>
            <w:shd w:val="clear" w:color="auto" w:fill="FFFFFF"/>
          </w:tcPr>
          <w:p w:rsidR="00000000" w:rsidRDefault="00000000">
            <w:pPr>
              <w:pStyle w:val="a2"/>
              <w:tabs>
                <w:tab w:val="decimal" w:pos="1137"/>
              </w:tabs>
            </w:pPr>
            <w:r>
              <w:t>-5.56</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1999</w:t>
            </w:r>
          </w:p>
        </w:tc>
        <w:tc>
          <w:tcPr>
            <w:tcW w:w="967" w:type="pct"/>
            <w:tcBorders>
              <w:top w:val="nil"/>
              <w:bottom w:val="nil"/>
            </w:tcBorders>
            <w:shd w:val="clear" w:color="auto" w:fill="FFFFFF"/>
          </w:tcPr>
          <w:p w:rsidR="00000000" w:rsidRDefault="00000000">
            <w:pPr>
              <w:pStyle w:val="a2"/>
              <w:tabs>
                <w:tab w:val="decimal" w:pos="1137"/>
              </w:tabs>
            </w:pPr>
            <w:r>
              <w:t>8</w:t>
            </w:r>
          </w:p>
        </w:tc>
        <w:tc>
          <w:tcPr>
            <w:tcW w:w="967" w:type="pct"/>
            <w:tcBorders>
              <w:top w:val="nil"/>
              <w:bottom w:val="nil"/>
            </w:tcBorders>
            <w:shd w:val="clear" w:color="auto" w:fill="FFFFFF"/>
          </w:tcPr>
          <w:p w:rsidR="00000000" w:rsidRDefault="00000000">
            <w:pPr>
              <w:pStyle w:val="a2"/>
              <w:tabs>
                <w:tab w:val="decimal" w:pos="1137"/>
              </w:tabs>
            </w:pPr>
            <w:r>
              <w:t>1.17</w:t>
            </w:r>
          </w:p>
        </w:tc>
        <w:tc>
          <w:tcPr>
            <w:tcW w:w="1071" w:type="pct"/>
            <w:tcBorders>
              <w:top w:val="nil"/>
              <w:bottom w:val="nil"/>
            </w:tcBorders>
            <w:shd w:val="clear" w:color="auto" w:fill="FFFFFF"/>
          </w:tcPr>
          <w:p w:rsidR="00000000" w:rsidRDefault="00000000">
            <w:pPr>
              <w:pStyle w:val="a2"/>
              <w:tabs>
                <w:tab w:val="decimal" w:pos="1137"/>
              </w:tabs>
            </w:pPr>
            <w:r>
              <w:t>-9</w:t>
            </w:r>
          </w:p>
        </w:tc>
        <w:tc>
          <w:tcPr>
            <w:tcW w:w="1009" w:type="pct"/>
            <w:tcBorders>
              <w:top w:val="nil"/>
              <w:bottom w:val="nil"/>
            </w:tcBorders>
            <w:shd w:val="clear" w:color="auto" w:fill="FFFFFF"/>
          </w:tcPr>
          <w:p w:rsidR="00000000" w:rsidRDefault="00000000">
            <w:pPr>
              <w:pStyle w:val="a2"/>
              <w:tabs>
                <w:tab w:val="decimal" w:pos="1137"/>
              </w:tabs>
            </w:pPr>
            <w:r>
              <w:t>-52.94</w:t>
            </w:r>
          </w:p>
        </w:tc>
      </w:tr>
      <w:tr w:rsidR="00000000">
        <w:tblPrEx>
          <w:tblCellMar>
            <w:top w:w="0" w:type="dxa"/>
            <w:bottom w:w="0" w:type="dxa"/>
          </w:tblCellMar>
        </w:tblPrEx>
        <w:trPr>
          <w:jc w:val="center"/>
        </w:trPr>
        <w:tc>
          <w:tcPr>
            <w:tcW w:w="986" w:type="pct"/>
            <w:tcBorders>
              <w:top w:val="nil"/>
              <w:bottom w:val="nil"/>
            </w:tcBorders>
            <w:shd w:val="clear" w:color="auto" w:fill="FFFFFF"/>
          </w:tcPr>
          <w:p w:rsidR="00000000" w:rsidRDefault="00000000">
            <w:pPr>
              <w:pStyle w:val="a2"/>
              <w:jc w:val="center"/>
            </w:pPr>
            <w:r>
              <w:t>2000</w:t>
            </w:r>
          </w:p>
        </w:tc>
        <w:tc>
          <w:tcPr>
            <w:tcW w:w="967" w:type="pct"/>
            <w:tcBorders>
              <w:top w:val="nil"/>
              <w:bottom w:val="nil"/>
            </w:tcBorders>
            <w:shd w:val="clear" w:color="auto" w:fill="FFFFFF"/>
          </w:tcPr>
          <w:p w:rsidR="00000000" w:rsidRDefault="00000000">
            <w:pPr>
              <w:pStyle w:val="a2"/>
              <w:tabs>
                <w:tab w:val="decimal" w:pos="1137"/>
              </w:tabs>
            </w:pPr>
            <w:r>
              <w:t>11</w:t>
            </w:r>
          </w:p>
        </w:tc>
        <w:tc>
          <w:tcPr>
            <w:tcW w:w="967" w:type="pct"/>
            <w:tcBorders>
              <w:top w:val="nil"/>
              <w:bottom w:val="nil"/>
            </w:tcBorders>
            <w:shd w:val="clear" w:color="auto" w:fill="FFFFFF"/>
          </w:tcPr>
          <w:p w:rsidR="00000000" w:rsidRDefault="00000000">
            <w:pPr>
              <w:pStyle w:val="a2"/>
              <w:tabs>
                <w:tab w:val="decimal" w:pos="1137"/>
              </w:tabs>
            </w:pPr>
            <w:r>
              <w:t>1.61</w:t>
            </w:r>
          </w:p>
        </w:tc>
        <w:tc>
          <w:tcPr>
            <w:tcW w:w="1071" w:type="pct"/>
            <w:tcBorders>
              <w:top w:val="nil"/>
              <w:bottom w:val="nil"/>
            </w:tcBorders>
            <w:shd w:val="clear" w:color="auto" w:fill="FFFFFF"/>
          </w:tcPr>
          <w:p w:rsidR="00000000" w:rsidRDefault="00000000">
            <w:pPr>
              <w:pStyle w:val="a2"/>
              <w:tabs>
                <w:tab w:val="decimal" w:pos="1137"/>
              </w:tabs>
            </w:pPr>
            <w:r>
              <w:t>3</w:t>
            </w:r>
          </w:p>
        </w:tc>
        <w:tc>
          <w:tcPr>
            <w:tcW w:w="1009" w:type="pct"/>
            <w:tcBorders>
              <w:top w:val="nil"/>
              <w:bottom w:val="nil"/>
            </w:tcBorders>
            <w:shd w:val="clear" w:color="auto" w:fill="FFFFFF"/>
          </w:tcPr>
          <w:p w:rsidR="00000000" w:rsidRDefault="00000000">
            <w:pPr>
              <w:pStyle w:val="a2"/>
              <w:tabs>
                <w:tab w:val="decimal" w:pos="1137"/>
              </w:tabs>
            </w:pPr>
            <w:r>
              <w:t>37.50</w:t>
            </w:r>
          </w:p>
        </w:tc>
      </w:tr>
      <w:tr w:rsidR="00000000">
        <w:tblPrEx>
          <w:tblCellMar>
            <w:top w:w="0" w:type="dxa"/>
            <w:bottom w:w="0" w:type="dxa"/>
          </w:tblCellMar>
        </w:tblPrEx>
        <w:trPr>
          <w:jc w:val="center"/>
        </w:trPr>
        <w:tc>
          <w:tcPr>
            <w:tcW w:w="986" w:type="pct"/>
            <w:tcBorders>
              <w:top w:val="nil"/>
            </w:tcBorders>
            <w:shd w:val="clear" w:color="auto" w:fill="FFFFFF"/>
          </w:tcPr>
          <w:p w:rsidR="00000000" w:rsidRDefault="00000000">
            <w:pPr>
              <w:pStyle w:val="a2"/>
              <w:jc w:val="center"/>
            </w:pPr>
            <w:r>
              <w:t>2001</w:t>
            </w:r>
          </w:p>
        </w:tc>
        <w:tc>
          <w:tcPr>
            <w:tcW w:w="967" w:type="pct"/>
            <w:tcBorders>
              <w:top w:val="nil"/>
            </w:tcBorders>
            <w:shd w:val="clear" w:color="auto" w:fill="FFFFFF"/>
          </w:tcPr>
          <w:p w:rsidR="00000000" w:rsidRDefault="00000000">
            <w:pPr>
              <w:pStyle w:val="a2"/>
              <w:tabs>
                <w:tab w:val="decimal" w:pos="1137"/>
              </w:tabs>
            </w:pPr>
            <w:r>
              <w:t>4</w:t>
            </w:r>
          </w:p>
        </w:tc>
        <w:tc>
          <w:tcPr>
            <w:tcW w:w="967" w:type="pct"/>
            <w:tcBorders>
              <w:top w:val="nil"/>
            </w:tcBorders>
            <w:shd w:val="clear" w:color="auto" w:fill="FFFFFF"/>
          </w:tcPr>
          <w:p w:rsidR="00000000" w:rsidRDefault="00000000">
            <w:pPr>
              <w:pStyle w:val="a2"/>
              <w:tabs>
                <w:tab w:val="decimal" w:pos="1137"/>
              </w:tabs>
            </w:pPr>
            <w:r>
              <w:t>0.59</w:t>
            </w:r>
          </w:p>
        </w:tc>
        <w:tc>
          <w:tcPr>
            <w:tcW w:w="1071" w:type="pct"/>
            <w:tcBorders>
              <w:top w:val="nil"/>
            </w:tcBorders>
            <w:shd w:val="clear" w:color="auto" w:fill="FFFFFF"/>
          </w:tcPr>
          <w:p w:rsidR="00000000" w:rsidRDefault="00000000">
            <w:pPr>
              <w:pStyle w:val="a2"/>
              <w:tabs>
                <w:tab w:val="decimal" w:pos="1137"/>
              </w:tabs>
            </w:pPr>
            <w:r>
              <w:t>-7</w:t>
            </w:r>
          </w:p>
        </w:tc>
        <w:tc>
          <w:tcPr>
            <w:tcW w:w="1009" w:type="pct"/>
            <w:tcBorders>
              <w:top w:val="nil"/>
            </w:tcBorders>
            <w:shd w:val="clear" w:color="auto" w:fill="FFFFFF"/>
          </w:tcPr>
          <w:p w:rsidR="00000000" w:rsidRDefault="00000000">
            <w:pPr>
              <w:pStyle w:val="a2"/>
              <w:tabs>
                <w:tab w:val="decimal" w:pos="1137"/>
              </w:tabs>
            </w:pPr>
            <w:r>
              <w:t>-63.64</w:t>
            </w:r>
          </w:p>
        </w:tc>
      </w:tr>
      <w:tr w:rsidR="00000000">
        <w:tblPrEx>
          <w:tblCellMar>
            <w:top w:w="0" w:type="dxa"/>
            <w:bottom w:w="0" w:type="dxa"/>
          </w:tblCellMar>
        </w:tblPrEx>
        <w:trPr>
          <w:jc w:val="center"/>
        </w:trPr>
        <w:tc>
          <w:tcPr>
            <w:tcW w:w="986" w:type="pct"/>
            <w:shd w:val="clear" w:color="auto" w:fill="FFFFFF"/>
          </w:tcPr>
          <w:p w:rsidR="00000000" w:rsidRDefault="00000000">
            <w:pPr>
              <w:pStyle w:val="a2"/>
              <w:jc w:val="center"/>
              <w:rPr>
                <w:rFonts w:hint="eastAsia"/>
              </w:rPr>
            </w:pPr>
            <w:r>
              <w:rPr>
                <w:rFonts w:hint="eastAsia"/>
              </w:rPr>
              <w:t>总</w:t>
            </w:r>
            <w:r>
              <w:t xml:space="preserve">  </w:t>
            </w:r>
            <w:r>
              <w:rPr>
                <w:rFonts w:hint="eastAsia"/>
              </w:rPr>
              <w:t>计</w:t>
            </w:r>
          </w:p>
        </w:tc>
        <w:tc>
          <w:tcPr>
            <w:tcW w:w="967" w:type="pct"/>
            <w:shd w:val="clear" w:color="auto" w:fill="FFFFFF"/>
          </w:tcPr>
          <w:p w:rsidR="00000000" w:rsidRDefault="00000000">
            <w:pPr>
              <w:pStyle w:val="a2"/>
              <w:tabs>
                <w:tab w:val="decimal" w:pos="1137"/>
              </w:tabs>
            </w:pPr>
            <w:r>
              <w:t>683</w:t>
            </w:r>
          </w:p>
        </w:tc>
        <w:tc>
          <w:tcPr>
            <w:tcW w:w="967" w:type="pct"/>
            <w:shd w:val="clear" w:color="auto" w:fill="FFFFFF"/>
          </w:tcPr>
          <w:p w:rsidR="00000000" w:rsidRDefault="00000000">
            <w:pPr>
              <w:pStyle w:val="a2"/>
              <w:tabs>
                <w:tab w:val="decimal" w:pos="1137"/>
              </w:tabs>
            </w:pPr>
            <w:r>
              <w:t>100.00</w:t>
            </w:r>
          </w:p>
        </w:tc>
        <w:tc>
          <w:tcPr>
            <w:tcW w:w="1071" w:type="pct"/>
            <w:shd w:val="clear" w:color="auto" w:fill="FFFFFF"/>
          </w:tcPr>
          <w:p w:rsidR="00000000" w:rsidRDefault="00000000">
            <w:pPr>
              <w:pStyle w:val="a2"/>
              <w:tabs>
                <w:tab w:val="decimal" w:pos="1137"/>
              </w:tabs>
            </w:pPr>
            <w:r>
              <w:t>679</w:t>
            </w:r>
          </w:p>
        </w:tc>
        <w:tc>
          <w:tcPr>
            <w:tcW w:w="1009" w:type="pct"/>
            <w:shd w:val="clear" w:color="auto" w:fill="FFFFFF"/>
          </w:tcPr>
          <w:p w:rsidR="00000000" w:rsidRDefault="00000000">
            <w:pPr>
              <w:pStyle w:val="a2"/>
              <w:tabs>
                <w:tab w:val="decimal" w:pos="1137"/>
              </w:tabs>
            </w:pPr>
            <w:r>
              <w:t>16,975.00</w:t>
            </w:r>
          </w:p>
        </w:tc>
      </w:tr>
    </w:tbl>
    <w:p w:rsidR="00000000" w:rsidRDefault="00000000">
      <w:pPr>
        <w:pStyle w:val="a2"/>
      </w:pPr>
    </w:p>
    <w:p w:rsidR="00000000" w:rsidRDefault="00000000">
      <w:pPr>
        <w:pStyle w:val="a2"/>
        <w:ind w:left="510"/>
        <w:rPr>
          <w:rFonts w:eastAsia="KaiTi_GB2312" w:hint="eastAsia"/>
          <w:snapToGrid/>
          <w:sz w:val="22"/>
        </w:rPr>
      </w:pPr>
      <w:r>
        <w:rPr>
          <w:rFonts w:eastAsia="KaiTi_GB2312" w:hint="eastAsia"/>
          <w:snapToGrid/>
          <w:sz w:val="22"/>
          <w:u w:val="single"/>
        </w:rPr>
        <w:t>资料来源</w:t>
      </w:r>
      <w:r>
        <w:rPr>
          <w:rFonts w:eastAsia="KaiTi_GB2312" w:hint="eastAsia"/>
          <w:snapToGrid/>
          <w:sz w:val="22"/>
        </w:rPr>
        <w:t>：《统计公报》，劳动与人力资源部。</w:t>
      </w:r>
    </w:p>
    <w:p w:rsidR="00000000" w:rsidRDefault="00000000">
      <w:pPr>
        <w:rPr>
          <w:rFonts w:hint="eastAsia"/>
        </w:rPr>
      </w:pPr>
    </w:p>
    <w:p w:rsidR="00000000" w:rsidRDefault="00000000">
      <w:pPr>
        <w:pStyle w:val="Heading4"/>
        <w:rPr>
          <w:rFonts w:hint="eastAsia"/>
        </w:rPr>
      </w:pPr>
      <w:r>
        <w:rPr>
          <w:rFonts w:hint="eastAsia"/>
        </w:rPr>
        <w:t>工会的权利</w:t>
      </w:r>
    </w:p>
    <w:p w:rsidR="00000000" w:rsidRDefault="00000000">
      <w:pPr>
        <w:rPr>
          <w:rFonts w:hint="eastAsia"/>
        </w:rPr>
      </w:pPr>
      <w:r>
        <w:rPr>
          <w:rFonts w:hint="eastAsia"/>
        </w:rPr>
        <w:tab/>
        <w:t xml:space="preserve">153.  </w:t>
      </w:r>
      <w:r>
        <w:rPr>
          <w:rFonts w:hint="eastAsia"/>
        </w:rPr>
        <w:t>厄瓜多尔自由工会联合会</w:t>
      </w:r>
      <w:r>
        <w:rPr>
          <w:rFonts w:hint="eastAsia"/>
        </w:rPr>
        <w:t>(</w:t>
      </w:r>
      <w:r>
        <w:rPr>
          <w:rFonts w:hint="eastAsia"/>
        </w:rPr>
        <w:t>自工联</w:t>
      </w:r>
      <w:r>
        <w:rPr>
          <w:rFonts w:hint="eastAsia"/>
        </w:rPr>
        <w:t>)</w:t>
      </w:r>
      <w:r>
        <w:rPr>
          <w:rFonts w:hint="eastAsia"/>
        </w:rPr>
        <w:t>称，自《公共财政</w:t>
      </w:r>
      <w:r>
        <w:rPr>
          <w:rFonts w:hint="eastAsia"/>
        </w:rPr>
        <w:t>(</w:t>
      </w:r>
      <w:r>
        <w:rPr>
          <w:rFonts w:hint="eastAsia"/>
        </w:rPr>
        <w:t>改革</w:t>
      </w:r>
      <w:r>
        <w:rPr>
          <w:rFonts w:hint="eastAsia"/>
        </w:rPr>
        <w:t>)</w:t>
      </w:r>
      <w:r>
        <w:rPr>
          <w:rFonts w:hint="eastAsia"/>
        </w:rPr>
        <w:t>法》</w:t>
      </w:r>
      <w:r>
        <w:rPr>
          <w:rFonts w:hint="eastAsia"/>
        </w:rPr>
        <w:t>(1999</w:t>
      </w:r>
      <w:r>
        <w:rPr>
          <w:rFonts w:hint="eastAsia"/>
        </w:rPr>
        <w:t>年</w:t>
      </w:r>
      <w:r>
        <w:rPr>
          <w:rFonts w:hint="eastAsia"/>
        </w:rPr>
        <w:t>4</w:t>
      </w:r>
      <w:r>
        <w:rPr>
          <w:rFonts w:hint="eastAsia"/>
        </w:rPr>
        <w:t>月</w:t>
      </w:r>
      <w:r>
        <w:rPr>
          <w:rFonts w:hint="eastAsia"/>
        </w:rPr>
        <w:t>30</w:t>
      </w:r>
      <w:r>
        <w:rPr>
          <w:rFonts w:hint="eastAsia"/>
        </w:rPr>
        <w:t>日起生效</w:t>
      </w:r>
      <w:r>
        <w:rPr>
          <w:rFonts w:hint="eastAsia"/>
        </w:rPr>
        <w:t>)</w:t>
      </w:r>
      <w:r>
        <w:rPr>
          <w:rFonts w:hint="eastAsia"/>
        </w:rPr>
        <w:t>颁布以来，劳动管理当局开始对受《公务员与公共管理法》约束和属于《劳动法》范围的工人进行分类；并称这将让大量工人失去劳动法律的保护，明确违反了《宪法》第三十五条第</w:t>
      </w:r>
      <w:r>
        <w:rPr>
          <w:rFonts w:hint="eastAsia"/>
        </w:rPr>
        <w:t>9</w:t>
      </w:r>
      <w:r>
        <w:rPr>
          <w:rFonts w:hint="eastAsia"/>
        </w:rPr>
        <w:t>款第</w:t>
      </w:r>
      <w:r>
        <w:rPr>
          <w:rFonts w:hint="eastAsia"/>
        </w:rPr>
        <w:t>4</w:t>
      </w:r>
      <w:r>
        <w:rPr>
          <w:rFonts w:hint="eastAsia"/>
        </w:rPr>
        <w:t>项的规定：“工人和雇主不须事先批准依法自由组织工会和要求提高自身地位的权利，应予保障。为所有涉及国家机构中的劳资关系的目的，劳方应由一个单一的机构代表。”根据《公务员与公共管理法》，受该法约束的工人无权加入工会。</w:t>
      </w:r>
    </w:p>
    <w:p w:rsidR="00000000" w:rsidRDefault="00000000">
      <w:pPr>
        <w:rPr>
          <w:rFonts w:hint="eastAsia"/>
        </w:rPr>
      </w:pPr>
      <w:r>
        <w:rPr>
          <w:rFonts w:hint="eastAsia"/>
        </w:rPr>
        <w:tab/>
        <w:t xml:space="preserve">154.  </w:t>
      </w:r>
      <w:r>
        <w:rPr>
          <w:rFonts w:hint="eastAsia"/>
        </w:rPr>
        <w:t>自工联表示，根据《宪法》中关于属于《劳动法》范围的公共机构中的劳方必须由一个单一组织来代表的规定，目前正在努力取消对公共部门中具有这一性质的其他组织享有的工会权利所给予的保障。</w:t>
      </w:r>
    </w:p>
    <w:p w:rsidR="00000000" w:rsidRDefault="00000000">
      <w:pPr>
        <w:rPr>
          <w:rFonts w:hint="eastAsia"/>
        </w:rPr>
      </w:pPr>
      <w:r>
        <w:rPr>
          <w:rFonts w:hint="eastAsia"/>
        </w:rPr>
        <w:tab/>
        <w:t xml:space="preserve">155.  </w:t>
      </w:r>
      <w:r>
        <w:rPr>
          <w:rFonts w:hint="eastAsia"/>
        </w:rPr>
        <w:t>自工联指出，有越来越多的安排起到逐渐限制和防止私营部门成立工会组织的作用。这些安排是，通过中介组织来招聘工人从事本公司的正常工作；工人受雇于中介公司，但为第三方提供服务，而中介公司却不为其所聘用的工人提供任何行使结社权利的机会。</w:t>
      </w:r>
    </w:p>
    <w:p w:rsidR="00000000" w:rsidRDefault="00000000">
      <w:pPr>
        <w:rPr>
          <w:rFonts w:hint="eastAsia"/>
        </w:rPr>
      </w:pPr>
      <w:r>
        <w:rPr>
          <w:rFonts w:hint="eastAsia"/>
        </w:rPr>
        <w:tab/>
        <w:t xml:space="preserve">156.  </w:t>
      </w:r>
      <w:r>
        <w:rPr>
          <w:rFonts w:hint="eastAsia"/>
        </w:rPr>
        <w:t>自工联共有</w:t>
      </w:r>
      <w:r>
        <w:rPr>
          <w:rFonts w:hint="eastAsia"/>
        </w:rPr>
        <w:t>800</w:t>
      </w:r>
      <w:r>
        <w:rPr>
          <w:rFonts w:hint="eastAsia"/>
        </w:rPr>
        <w:t>个加盟组织，这些加盟组织的成员约有</w:t>
      </w:r>
      <w:r>
        <w:rPr>
          <w:rFonts w:hint="eastAsia"/>
        </w:rPr>
        <w:t>15</w:t>
      </w:r>
      <w:r>
        <w:rPr>
          <w:rFonts w:hint="eastAsia"/>
        </w:rPr>
        <w:t>万名工人。</w:t>
      </w:r>
    </w:p>
    <w:p w:rsidR="00000000" w:rsidRDefault="00000000">
      <w:pPr>
        <w:rPr>
          <w:rFonts w:hint="eastAsia"/>
        </w:rPr>
      </w:pPr>
      <w:r>
        <w:rPr>
          <w:rFonts w:hint="eastAsia"/>
        </w:rPr>
        <w:tab/>
        <w:t xml:space="preserve">157.  </w:t>
      </w:r>
      <w:r>
        <w:rPr>
          <w:rFonts w:hint="eastAsia"/>
        </w:rPr>
        <w:t>自工联认为从《宪法》中对自由组织工会的权利产生影响的规定而引伸出来的限制，是直接或间接限制这一权利的立法得以制定的根源；而当局所采取的立场，通过行政程序或不遵守其保护组织工会权的义务，则使这一权利的行使受到限制。</w:t>
      </w:r>
    </w:p>
    <w:p w:rsidR="00000000" w:rsidRDefault="00000000">
      <w:pPr>
        <w:spacing w:after="320"/>
        <w:rPr>
          <w:rFonts w:hint="eastAsia"/>
        </w:rPr>
      </w:pPr>
      <w:r>
        <w:rPr>
          <w:rFonts w:hint="eastAsia"/>
        </w:rPr>
        <w:tab/>
        <w:t xml:space="preserve">158.  </w:t>
      </w:r>
      <w:r>
        <w:rPr>
          <w:rFonts w:hint="eastAsia"/>
        </w:rPr>
        <w:t>我们无任何资料来断言武装部队或警察有意介入，阻止行使第</w:t>
      </w:r>
      <w:r>
        <w:rPr>
          <w:rFonts w:hint="eastAsia"/>
        </w:rPr>
        <w:t>2</w:t>
      </w:r>
      <w:r>
        <w:rPr>
          <w:rFonts w:hint="eastAsia"/>
        </w:rPr>
        <w:t>款和第</w:t>
      </w:r>
      <w:r>
        <w:rPr>
          <w:rFonts w:hint="eastAsia"/>
        </w:rPr>
        <w:t>3</w:t>
      </w:r>
      <w:r>
        <w:rPr>
          <w:rFonts w:hint="eastAsia"/>
        </w:rPr>
        <w:t>款所规定的权利。</w:t>
      </w:r>
    </w:p>
    <w:p w:rsidR="00000000" w:rsidRDefault="00000000">
      <w:pPr>
        <w:pStyle w:val="Heading3"/>
        <w:rPr>
          <w:rFonts w:hint="eastAsia"/>
        </w:rPr>
      </w:pPr>
      <w:r>
        <w:rPr>
          <w:rFonts w:hint="eastAsia"/>
        </w:rPr>
        <w:t>第</w:t>
      </w:r>
      <w:r>
        <w:t xml:space="preserve"> </w:t>
      </w:r>
      <w:r>
        <w:rPr>
          <w:rFonts w:hint="eastAsia"/>
        </w:rPr>
        <w:t>九</w:t>
      </w:r>
      <w:r>
        <w:t xml:space="preserve"> </w:t>
      </w:r>
      <w:r>
        <w:rPr>
          <w:rFonts w:hint="eastAsia"/>
        </w:rPr>
        <w:t>条</w:t>
      </w:r>
    </w:p>
    <w:p w:rsidR="00000000" w:rsidRDefault="00000000">
      <w:pPr>
        <w:pStyle w:val="Heading4"/>
        <w:rPr>
          <w:rFonts w:hint="eastAsia"/>
        </w:rPr>
      </w:pPr>
      <w:r>
        <w:rPr>
          <w:rFonts w:hint="eastAsia"/>
        </w:rPr>
        <w:t>获得社会保障的权利</w:t>
      </w:r>
    </w:p>
    <w:p w:rsidR="00000000" w:rsidRDefault="00000000">
      <w:pPr>
        <w:rPr>
          <w:rFonts w:hint="eastAsia"/>
        </w:rPr>
      </w:pPr>
      <w:r>
        <w:rPr>
          <w:rFonts w:hint="eastAsia"/>
        </w:rPr>
        <w:tab/>
        <w:t xml:space="preserve">159.  </w:t>
      </w:r>
      <w:r>
        <w:rPr>
          <w:rFonts w:hint="eastAsia"/>
        </w:rPr>
        <w:t>《宪法》第四篇第五十五条第</w:t>
      </w:r>
      <w:r>
        <w:rPr>
          <w:rFonts w:hint="eastAsia"/>
        </w:rPr>
        <w:t>6</w:t>
      </w:r>
      <w:r>
        <w:rPr>
          <w:rFonts w:hint="eastAsia"/>
        </w:rPr>
        <w:t>款规定：“实行社会保险是国家的责任，是所有居民的不可撤消的权利。社会保险应依法提供，并由公共和私营部门参加。”</w:t>
      </w:r>
    </w:p>
    <w:p w:rsidR="00000000" w:rsidRDefault="00000000">
      <w:pPr>
        <w:rPr>
          <w:rFonts w:hint="eastAsia"/>
        </w:rPr>
      </w:pPr>
      <w:r>
        <w:rPr>
          <w:rFonts w:hint="eastAsia"/>
        </w:rPr>
        <w:tab/>
        <w:t xml:space="preserve">160.  </w:t>
      </w:r>
      <w:r>
        <w:rPr>
          <w:rFonts w:hint="eastAsia"/>
        </w:rPr>
        <w:t>提供社会保险的任务专属厄瓜多尔社会保险局</w:t>
      </w:r>
      <w:r>
        <w:rPr>
          <w:rFonts w:hint="eastAsia"/>
        </w:rPr>
        <w:t>(</w:t>
      </w:r>
      <w:r>
        <w:rPr>
          <w:rFonts w:hint="eastAsia"/>
        </w:rPr>
        <w:t>社保局</w:t>
      </w:r>
      <w:r>
        <w:rPr>
          <w:rFonts w:hint="eastAsia"/>
        </w:rPr>
        <w:t>)</w:t>
      </w:r>
      <w:r>
        <w:rPr>
          <w:rFonts w:hint="eastAsia"/>
        </w:rPr>
        <w:t>，社保局于</w:t>
      </w:r>
      <w:r>
        <w:rPr>
          <w:rFonts w:hint="eastAsia"/>
        </w:rPr>
        <w:t>1928</w:t>
      </w:r>
      <w:r>
        <w:rPr>
          <w:rFonts w:hint="eastAsia"/>
        </w:rPr>
        <w:t>年《强制性社会保险法》通过时设立。该法于</w:t>
      </w:r>
      <w:r>
        <w:rPr>
          <w:rFonts w:hint="eastAsia"/>
        </w:rPr>
        <w:t>1935</w:t>
      </w:r>
      <w:r>
        <w:rPr>
          <w:rFonts w:hint="eastAsia"/>
        </w:rPr>
        <w:t>年得到批准，并于</w:t>
      </w:r>
      <w:r>
        <w:rPr>
          <w:rFonts w:hint="eastAsia"/>
        </w:rPr>
        <w:t>1942</w:t>
      </w:r>
      <w:r>
        <w:rPr>
          <w:rFonts w:hint="eastAsia"/>
        </w:rPr>
        <w:t>年更新。目前，社保局受</w:t>
      </w:r>
      <w:r>
        <w:rPr>
          <w:rFonts w:hint="eastAsia"/>
        </w:rPr>
        <w:t>1988</w:t>
      </w:r>
      <w:r>
        <w:rPr>
          <w:rFonts w:hint="eastAsia"/>
        </w:rPr>
        <w:t>年法律的约束。</w:t>
      </w:r>
    </w:p>
    <w:p w:rsidR="00000000" w:rsidRDefault="00000000">
      <w:pPr>
        <w:rPr>
          <w:rFonts w:hint="eastAsia"/>
        </w:rPr>
      </w:pPr>
      <w:r>
        <w:rPr>
          <w:rFonts w:hint="eastAsia"/>
        </w:rPr>
        <w:tab/>
        <w:t xml:space="preserve">161.  </w:t>
      </w:r>
      <w:r>
        <w:rPr>
          <w:rFonts w:hint="eastAsia"/>
        </w:rPr>
        <w:t>受社保局保护的人包括其成员和养恤金领取者，成员是指被保险人，包括交纳保险金者和不交纳保险金者</w:t>
      </w:r>
      <w:r>
        <w:rPr>
          <w:rFonts w:hint="eastAsia"/>
        </w:rPr>
        <w:t>(</w:t>
      </w:r>
      <w:r>
        <w:rPr>
          <w:rFonts w:hint="eastAsia"/>
        </w:rPr>
        <w:t>农村劳动人口</w:t>
      </w:r>
      <w:r>
        <w:rPr>
          <w:rFonts w:hint="eastAsia"/>
        </w:rPr>
        <w:t>)</w:t>
      </w:r>
      <w:r>
        <w:rPr>
          <w:rFonts w:hint="eastAsia"/>
        </w:rPr>
        <w:t>。养恤金领取者是指领取老年、残疾或公伤养恤金的人，以及领取寡妇和孤儿养恤金的人。</w:t>
      </w:r>
    </w:p>
    <w:p w:rsidR="00000000" w:rsidRDefault="00000000">
      <w:pPr>
        <w:rPr>
          <w:rFonts w:hint="eastAsia"/>
        </w:rPr>
      </w:pPr>
      <w:r>
        <w:rPr>
          <w:rFonts w:hint="eastAsia"/>
        </w:rPr>
        <w:tab/>
        <w:t>162.  1998</w:t>
      </w:r>
      <w:r>
        <w:rPr>
          <w:rFonts w:hint="eastAsia"/>
        </w:rPr>
        <w:t>年，在社保局投保的人共有</w:t>
      </w:r>
      <w:r>
        <w:rPr>
          <w:rFonts w:hint="eastAsia"/>
        </w:rPr>
        <w:t>2,075,910</w:t>
      </w:r>
      <w:r>
        <w:rPr>
          <w:rFonts w:hint="eastAsia"/>
        </w:rPr>
        <w:t>人，其中</w:t>
      </w:r>
      <w:r>
        <w:rPr>
          <w:rFonts w:hint="eastAsia"/>
        </w:rPr>
        <w:t>1,097,716</w:t>
      </w:r>
      <w:r>
        <w:rPr>
          <w:rFonts w:hint="eastAsia"/>
        </w:rPr>
        <w:t>人属于普通保险系统，</w:t>
      </w:r>
      <w:r>
        <w:rPr>
          <w:rFonts w:hint="eastAsia"/>
        </w:rPr>
        <w:t>978,194</w:t>
      </w:r>
      <w:r>
        <w:rPr>
          <w:rFonts w:hint="eastAsia"/>
        </w:rPr>
        <w:t>人属于农村社会保险系统，共占厄瓜多尔总人口的</w:t>
      </w:r>
      <w:r>
        <w:rPr>
          <w:rFonts w:hint="eastAsia"/>
        </w:rPr>
        <w:t>17%</w:t>
      </w:r>
      <w:r>
        <w:rPr>
          <w:rFonts w:hint="eastAsia"/>
        </w:rPr>
        <w:t>；加上养恤金领取者，刚够</w:t>
      </w:r>
      <w:r>
        <w:rPr>
          <w:rFonts w:hint="eastAsia"/>
        </w:rPr>
        <w:t>19%</w:t>
      </w:r>
      <w:r>
        <w:rPr>
          <w:rFonts w:hint="eastAsia"/>
        </w:rPr>
        <w:t>。因此，只有这刚够</w:t>
      </w:r>
      <w:r>
        <w:rPr>
          <w:rFonts w:hint="eastAsia"/>
        </w:rPr>
        <w:t>19%</w:t>
      </w:r>
      <w:r>
        <w:rPr>
          <w:rFonts w:hint="eastAsia"/>
        </w:rPr>
        <w:t>的厄瓜多尔人可以选择使用社保局的服务，而且更严重的是，享受社保局福利的只有投保人本人，不包括其子女或配偶。所以，每</w:t>
      </w:r>
      <w:r>
        <w:rPr>
          <w:rFonts w:hint="eastAsia"/>
        </w:rPr>
        <w:t>10</w:t>
      </w:r>
      <w:r>
        <w:rPr>
          <w:rFonts w:hint="eastAsia"/>
        </w:rPr>
        <w:t>名厄瓜多尔人中只有</w:t>
      </w:r>
      <w:r>
        <w:rPr>
          <w:rFonts w:hint="eastAsia"/>
        </w:rPr>
        <w:t>2</w:t>
      </w:r>
      <w:r>
        <w:rPr>
          <w:rFonts w:hint="eastAsia"/>
        </w:rPr>
        <w:t>名享有疾病和生育保险。</w:t>
      </w:r>
    </w:p>
    <w:p w:rsidR="00000000" w:rsidRDefault="00000000">
      <w:pPr>
        <w:rPr>
          <w:rFonts w:hint="eastAsia"/>
        </w:rPr>
      </w:pPr>
      <w:r>
        <w:rPr>
          <w:rFonts w:hint="eastAsia"/>
        </w:rPr>
        <w:tab/>
        <w:t xml:space="preserve">163.  </w:t>
      </w:r>
      <w:r>
        <w:rPr>
          <w:rFonts w:hint="eastAsia"/>
        </w:rPr>
        <w:t>社保局的统计数据表明，</w:t>
      </w:r>
      <w:r>
        <w:rPr>
          <w:rFonts w:hint="eastAsia"/>
        </w:rPr>
        <w:t>1998</w:t>
      </w:r>
      <w:r>
        <w:rPr>
          <w:rFonts w:hint="eastAsia"/>
        </w:rPr>
        <w:t>年在社保局投保的大部分人</w:t>
      </w:r>
      <w:r>
        <w:rPr>
          <w:rFonts w:hint="eastAsia"/>
          <w:spacing w:val="-50"/>
        </w:rPr>
        <w:t>―</w:t>
      </w:r>
      <w:r>
        <w:rPr>
          <w:rFonts w:hint="eastAsia"/>
        </w:rPr>
        <w:t>―</w:t>
      </w:r>
      <w:r>
        <w:rPr>
          <w:rFonts w:hint="eastAsia"/>
        </w:rPr>
        <w:t>88.4%</w:t>
      </w:r>
      <w:r>
        <w:rPr>
          <w:rFonts w:hint="eastAsia"/>
          <w:spacing w:val="-50"/>
        </w:rPr>
        <w:t>―</w:t>
      </w:r>
      <w:r>
        <w:rPr>
          <w:rFonts w:hint="eastAsia"/>
        </w:rPr>
        <w:t>―年龄在</w:t>
      </w:r>
      <w:r>
        <w:rPr>
          <w:rFonts w:hint="eastAsia"/>
        </w:rPr>
        <w:t>44</w:t>
      </w:r>
      <w:r>
        <w:rPr>
          <w:rFonts w:hint="eastAsia"/>
        </w:rPr>
        <w:t>到</w:t>
      </w:r>
      <w:r>
        <w:rPr>
          <w:rFonts w:hint="eastAsia"/>
        </w:rPr>
        <w:t>54</w:t>
      </w:r>
      <w:r>
        <w:rPr>
          <w:rFonts w:hint="eastAsia"/>
        </w:rPr>
        <w:t>岁之间，</w:t>
      </w:r>
      <w:r>
        <w:rPr>
          <w:rFonts w:hint="eastAsia"/>
        </w:rPr>
        <w:t>34</w:t>
      </w:r>
      <w:r>
        <w:rPr>
          <w:rFonts w:hint="eastAsia"/>
        </w:rPr>
        <w:t>岁以下的年轻人占</w:t>
      </w:r>
      <w:r>
        <w:rPr>
          <w:rFonts w:hint="eastAsia"/>
        </w:rPr>
        <w:t>48.</w:t>
      </w:r>
      <w:r>
        <w:t>4%</w:t>
      </w:r>
      <w:r>
        <w:rPr>
          <w:rFonts w:hint="eastAsia"/>
        </w:rPr>
        <w:t>。养恤金领取者人数的增长速度要快于新参加社保局保险计划的工人的增长速度，以致于短期内从交纳保险费所得的资源将不足以支付社保局提供的福利。</w:t>
      </w:r>
    </w:p>
    <w:p w:rsidR="00000000" w:rsidRDefault="00000000">
      <w:pPr>
        <w:rPr>
          <w:rFonts w:hint="eastAsia"/>
        </w:rPr>
      </w:pPr>
      <w:r>
        <w:rPr>
          <w:rFonts w:hint="eastAsia"/>
        </w:rPr>
        <w:tab/>
        <w:t xml:space="preserve">164.  </w:t>
      </w:r>
      <w:r>
        <w:rPr>
          <w:rFonts w:hint="eastAsia"/>
        </w:rPr>
        <w:t>社会保险由强制社会保险系统和自愿保险系统构成。根据强制社会保险系统保险的人如下：按劳动合同或被指派提供服务或开展工作的人，即：私人雇员，工人和公务员；有大学或理工院校学历自谋职业不受聘于人的专业人员；公证人、财产经纪人和商人；教区教士；手工艺者、手工艺师和独立手工艺者、体力劳动者和学徒；契约学徒、试用工人、临时工、在家里工作的人、建筑工人以及专门法律和法令中提及的其他人；职业艺术家；身为某组织独立成员的专业司机；个体工人，某些协会、工会和行业协会的主要会员</w:t>
      </w:r>
      <w:r>
        <w:rPr>
          <w:rFonts w:hint="eastAsia"/>
        </w:rPr>
        <w:t>(</w:t>
      </w:r>
      <w:r>
        <w:rPr>
          <w:rFonts w:hint="eastAsia"/>
        </w:rPr>
        <w:t>一般涉及由以本职工作为身计但无雇主－雇员关系的人所从事的经济活动</w:t>
      </w:r>
      <w:r>
        <w:rPr>
          <w:rFonts w:hint="eastAsia"/>
        </w:rPr>
        <w:t>)</w:t>
      </w:r>
      <w:r>
        <w:rPr>
          <w:rFonts w:hint="eastAsia"/>
        </w:rPr>
        <w:t>；农业劳动者和自愿劳动者以及专门法律和法令中提及的其他人；职业足球运动员。</w:t>
      </w:r>
    </w:p>
    <w:p w:rsidR="00000000" w:rsidRDefault="00000000">
      <w:pPr>
        <w:rPr>
          <w:rFonts w:hint="eastAsia"/>
        </w:rPr>
      </w:pPr>
      <w:r>
        <w:rPr>
          <w:rFonts w:hint="eastAsia"/>
        </w:rPr>
        <w:tab/>
        <w:t xml:space="preserve">165.  </w:t>
      </w:r>
      <w:r>
        <w:rPr>
          <w:rFonts w:hint="eastAsia"/>
        </w:rPr>
        <w:t>《劳动法》第</w:t>
      </w:r>
      <w:r>
        <w:rPr>
          <w:rFonts w:hint="eastAsia"/>
        </w:rPr>
        <w:t>42</w:t>
      </w:r>
      <w:r>
        <w:rPr>
          <w:rFonts w:hint="eastAsia"/>
        </w:rPr>
        <w:t>条第</w:t>
      </w:r>
      <w:r>
        <w:rPr>
          <w:rFonts w:hint="eastAsia"/>
        </w:rPr>
        <w:t>31</w:t>
      </w:r>
      <w:r>
        <w:rPr>
          <w:rFonts w:hint="eastAsia"/>
        </w:rPr>
        <w:t>款规定，雇主有义务“从工作第一天起即向社保局为其工人投保，在</w:t>
      </w:r>
      <w:r>
        <w:rPr>
          <w:rFonts w:hint="eastAsia"/>
        </w:rPr>
        <w:t>15</w:t>
      </w:r>
      <w:r>
        <w:rPr>
          <w:rFonts w:hint="eastAsia"/>
        </w:rPr>
        <w:t>日内就工作起始时间作出通知，在出现离职、工资和报酬变化、工伤和职业病的情况时作出通知，并履行社会保险法所规定的其他义务”。</w:t>
      </w:r>
    </w:p>
    <w:p w:rsidR="00000000" w:rsidRDefault="00000000">
      <w:pPr>
        <w:rPr>
          <w:rFonts w:hint="eastAsia"/>
        </w:rPr>
      </w:pPr>
      <w:r>
        <w:rPr>
          <w:rFonts w:hint="eastAsia"/>
        </w:rPr>
        <w:tab/>
        <w:t xml:space="preserve">166.  </w:t>
      </w:r>
      <w:r>
        <w:rPr>
          <w:rFonts w:hint="eastAsia"/>
        </w:rPr>
        <w:t>加入社会保险只对受雇的工人才属于强制性，对独立工人没有什么吸引力。这就是说只有很少一部份自谋职业的工人参加了社会保险系统。</w:t>
      </w:r>
    </w:p>
    <w:p w:rsidR="00000000" w:rsidRDefault="00000000">
      <w:pPr>
        <w:rPr>
          <w:rFonts w:hint="eastAsia"/>
        </w:rPr>
      </w:pPr>
      <w:r>
        <w:rPr>
          <w:rFonts w:hint="eastAsia"/>
        </w:rPr>
        <w:tab/>
        <w:t xml:space="preserve">167.  </w:t>
      </w:r>
      <w:r>
        <w:rPr>
          <w:rFonts w:hint="eastAsia"/>
        </w:rPr>
        <w:t>对于未向任何社会保险系统交纳保险金并表示愿意加入自愿保险系统的任何成年人，社保局应接受其加入自愿保险系统。这一系统的保险费等于为确定成员资格的目的计算的收入的</w:t>
      </w:r>
      <w:r>
        <w:rPr>
          <w:rFonts w:hint="eastAsia"/>
        </w:rPr>
        <w:t>18.</w:t>
      </w:r>
      <w:r>
        <w:t>8%</w:t>
      </w:r>
      <w:r>
        <w:rPr>
          <w:rFonts w:hint="eastAsia"/>
        </w:rPr>
        <w:t>，加入后即有权获得疾病、生育、残疾、工伤和人寿保险等福利，丧葬费用基金的津贴，残疾或老年养恤金，以及符合社保局要求的，享受特别减免待遇。</w:t>
      </w:r>
    </w:p>
    <w:p w:rsidR="00000000" w:rsidRDefault="00000000">
      <w:pPr>
        <w:rPr>
          <w:rFonts w:hint="eastAsia"/>
        </w:rPr>
      </w:pPr>
      <w:r>
        <w:rPr>
          <w:rFonts w:hint="eastAsia"/>
        </w:rPr>
        <w:tab/>
        <w:t xml:space="preserve">168.  </w:t>
      </w:r>
      <w:r>
        <w:rPr>
          <w:rFonts w:hint="eastAsia"/>
        </w:rPr>
        <w:t>新《宪法》第五十六条规定设立国家社会保险制度，并规定该制度“应遵守团结、强制入保、普遍性、公正、高效率、具有补贴性质和足以满足个人和集体的需求等原则，以实现共同福利”。</w:t>
      </w:r>
    </w:p>
    <w:p w:rsidR="00000000" w:rsidRDefault="00000000">
      <w:pPr>
        <w:spacing w:after="320"/>
        <w:rPr>
          <w:rFonts w:hint="eastAsia"/>
        </w:rPr>
      </w:pPr>
      <w:r>
        <w:rPr>
          <w:rFonts w:hint="eastAsia"/>
        </w:rPr>
        <w:tab/>
        <w:t xml:space="preserve">169.  </w:t>
      </w:r>
      <w:r>
        <w:rPr>
          <w:rFonts w:hint="eastAsia"/>
        </w:rPr>
        <w:t>现行社会保险制度通过规定强制性普通保险，涵盖疾病、生育、工伤、失业、老年、残疾和死亡方面的保险。</w:t>
      </w:r>
    </w:p>
    <w:p w:rsidR="00000000" w:rsidRDefault="00000000">
      <w:pPr>
        <w:pStyle w:val="Heading4"/>
        <w:rPr>
          <w:rFonts w:eastAsia="KaiTi_GB2312" w:hint="eastAsia"/>
          <w:snapToGrid/>
          <w:spacing w:val="0"/>
          <w:u w:val="none"/>
        </w:rPr>
      </w:pPr>
      <w:r>
        <w:rPr>
          <w:rFonts w:eastAsia="KaiTi_GB2312" w:hint="eastAsia"/>
          <w:snapToGrid/>
          <w:spacing w:val="0"/>
          <w:u w:val="none"/>
        </w:rPr>
        <w:t>疾病方面的福利</w:t>
      </w:r>
    </w:p>
    <w:p w:rsidR="00000000" w:rsidRDefault="00000000">
      <w:pPr>
        <w:rPr>
          <w:rFonts w:hint="eastAsia"/>
        </w:rPr>
      </w:pPr>
      <w:r>
        <w:rPr>
          <w:rFonts w:hint="eastAsia"/>
        </w:rPr>
        <w:tab/>
        <w:t xml:space="preserve">170.  </w:t>
      </w:r>
      <w:r>
        <w:rPr>
          <w:rFonts w:hint="eastAsia"/>
        </w:rPr>
        <w:t>向社保局投保者可获得普通疾病保险，保险范围如下：</w:t>
      </w:r>
    </w:p>
    <w:p w:rsidR="00000000" w:rsidRDefault="00000000">
      <w:pPr>
        <w:numPr>
          <w:ilvl w:val="0"/>
          <w:numId w:val="150"/>
        </w:numPr>
        <w:rPr>
          <w:rFonts w:hint="eastAsia"/>
        </w:rPr>
      </w:pPr>
      <w:r>
        <w:rPr>
          <w:rFonts w:hint="eastAsia"/>
        </w:rPr>
        <w:t>医疗、外科和牙科保健以及药品；</w:t>
      </w:r>
    </w:p>
    <w:p w:rsidR="00000000" w:rsidRDefault="00000000">
      <w:pPr>
        <w:numPr>
          <w:ilvl w:val="0"/>
          <w:numId w:val="150"/>
        </w:numPr>
        <w:rPr>
          <w:rFonts w:hint="eastAsia"/>
        </w:rPr>
      </w:pPr>
      <w:r>
        <w:rPr>
          <w:rFonts w:hint="eastAsia"/>
        </w:rPr>
        <w:t>因病丧失工作能力时的现金福利。</w:t>
      </w:r>
    </w:p>
    <w:p w:rsidR="00000000" w:rsidRDefault="00000000">
      <w:pPr>
        <w:rPr>
          <w:rFonts w:hint="eastAsia"/>
        </w:rPr>
      </w:pPr>
      <w:r>
        <w:rPr>
          <w:rFonts w:hint="eastAsia"/>
        </w:rPr>
        <w:tab/>
        <w:t xml:space="preserve">171.  </w:t>
      </w:r>
      <w:r>
        <w:rPr>
          <w:rFonts w:hint="eastAsia"/>
        </w:rPr>
        <w:t>为了得到这一权利，投保人必须交满</w:t>
      </w:r>
      <w:r>
        <w:rPr>
          <w:rFonts w:hint="eastAsia"/>
        </w:rPr>
        <w:t>6</w:t>
      </w:r>
      <w:r>
        <w:rPr>
          <w:rFonts w:hint="eastAsia"/>
        </w:rPr>
        <w:t>个月保险费，而且在生病前</w:t>
      </w:r>
      <w:r>
        <w:rPr>
          <w:rFonts w:hint="eastAsia"/>
        </w:rPr>
        <w:t>6</w:t>
      </w:r>
      <w:r>
        <w:rPr>
          <w:rFonts w:hint="eastAsia"/>
        </w:rPr>
        <w:t>个月内至少交满</w:t>
      </w:r>
      <w:r>
        <w:rPr>
          <w:rFonts w:hint="eastAsia"/>
        </w:rPr>
        <w:t>2</w:t>
      </w:r>
      <w:r>
        <w:rPr>
          <w:rFonts w:hint="eastAsia"/>
        </w:rPr>
        <w:t>个月保险费。老年或残疾养恤金领取者从领取养恤金之时起有权享有这一权利。从人寿和工伤保险领取寡妇津贴的人可以获得疾病保险福利，但不能获得生育福利。</w:t>
      </w:r>
    </w:p>
    <w:p w:rsidR="00000000" w:rsidRDefault="00000000">
      <w:pPr>
        <w:rPr>
          <w:rFonts w:hint="eastAsia"/>
        </w:rPr>
      </w:pPr>
      <w:r>
        <w:rPr>
          <w:rFonts w:hint="eastAsia"/>
        </w:rPr>
        <w:tab/>
        <w:t xml:space="preserve">172.  </w:t>
      </w:r>
      <w:r>
        <w:rPr>
          <w:rFonts w:hint="eastAsia"/>
        </w:rPr>
        <w:t>投保者因病丧失工作能力时必须获得现金福利，其计算方法如下：头</w:t>
      </w:r>
      <w:r>
        <w:rPr>
          <w:rFonts w:hint="eastAsia"/>
        </w:rPr>
        <w:t>3</w:t>
      </w:r>
      <w:r>
        <w:rPr>
          <w:rFonts w:hint="eastAsia"/>
        </w:rPr>
        <w:t>天由雇主支付</w:t>
      </w:r>
      <w:r>
        <w:rPr>
          <w:rFonts w:hint="eastAsia"/>
        </w:rPr>
        <w:t>50%</w:t>
      </w:r>
      <w:r>
        <w:rPr>
          <w:rFonts w:hint="eastAsia"/>
        </w:rPr>
        <w:t>的日工资或薪金以及</w:t>
      </w:r>
      <w:r>
        <w:rPr>
          <w:rFonts w:hint="eastAsia"/>
        </w:rPr>
        <w:t>100%</w:t>
      </w:r>
      <w:r>
        <w:rPr>
          <w:rFonts w:hint="eastAsia"/>
        </w:rPr>
        <w:t>的保险费；从第</w:t>
      </w:r>
      <w:r>
        <w:rPr>
          <w:rFonts w:hint="eastAsia"/>
        </w:rPr>
        <w:t>4</w:t>
      </w:r>
      <w:r>
        <w:rPr>
          <w:rFonts w:hint="eastAsia"/>
        </w:rPr>
        <w:t>天起为期</w:t>
      </w:r>
      <w:r>
        <w:rPr>
          <w:rFonts w:hint="eastAsia"/>
        </w:rPr>
        <w:t>26</w:t>
      </w:r>
      <w:r>
        <w:rPr>
          <w:rFonts w:hint="eastAsia"/>
        </w:rPr>
        <w:t>周</w:t>
      </w:r>
      <w:r>
        <w:rPr>
          <w:rFonts w:hint="eastAsia"/>
        </w:rPr>
        <w:t>(6</w:t>
      </w:r>
      <w:r>
        <w:rPr>
          <w:rFonts w:hint="eastAsia"/>
        </w:rPr>
        <w:t>个月</w:t>
      </w:r>
      <w:r>
        <w:rPr>
          <w:rFonts w:hint="eastAsia"/>
        </w:rPr>
        <w:t>)</w:t>
      </w:r>
      <w:r>
        <w:rPr>
          <w:rFonts w:hint="eastAsia"/>
        </w:rPr>
        <w:t>，投保人将从社保局领取如下津贴；丧失工作能力的头</w:t>
      </w:r>
      <w:r>
        <w:rPr>
          <w:rFonts w:hint="eastAsia"/>
        </w:rPr>
        <w:t>70</w:t>
      </w:r>
      <w:r>
        <w:rPr>
          <w:rFonts w:hint="eastAsia"/>
        </w:rPr>
        <w:t>天，可领取丧失工作能力的月份之前</w:t>
      </w:r>
      <w:r>
        <w:rPr>
          <w:rFonts w:hint="eastAsia"/>
        </w:rPr>
        <w:t>90</w:t>
      </w:r>
      <w:r>
        <w:rPr>
          <w:rFonts w:hint="eastAsia"/>
        </w:rPr>
        <w:t>天的平均日工资或薪水的</w:t>
      </w:r>
      <w:r>
        <w:rPr>
          <w:rFonts w:hint="eastAsia"/>
        </w:rPr>
        <w:t>75%</w:t>
      </w:r>
      <w:r>
        <w:rPr>
          <w:rFonts w:hint="eastAsia"/>
        </w:rPr>
        <w:t>；剩余时间领取这一平均工资或薪金的</w:t>
      </w:r>
      <w:r>
        <w:rPr>
          <w:rFonts w:hint="eastAsia"/>
        </w:rPr>
        <w:t>66%</w:t>
      </w:r>
      <w:r>
        <w:rPr>
          <w:rFonts w:hint="eastAsia"/>
        </w:rPr>
        <w:t>，直至</w:t>
      </w:r>
      <w:r>
        <w:rPr>
          <w:rFonts w:hint="eastAsia"/>
        </w:rPr>
        <w:t>6</w:t>
      </w:r>
      <w:r>
        <w:rPr>
          <w:rFonts w:hint="eastAsia"/>
        </w:rPr>
        <w:t>个月期限结束。</w:t>
      </w:r>
    </w:p>
    <w:p w:rsidR="00000000" w:rsidRDefault="00000000">
      <w:pPr>
        <w:rPr>
          <w:rFonts w:hint="eastAsia"/>
        </w:rPr>
      </w:pPr>
      <w:r>
        <w:rPr>
          <w:rFonts w:hint="eastAsia"/>
        </w:rPr>
        <w:tab/>
        <w:t xml:space="preserve">173.  </w:t>
      </w:r>
      <w:r>
        <w:rPr>
          <w:rFonts w:hint="eastAsia"/>
        </w:rPr>
        <w:t>公务员在《公务员与公共管理法》规定的带薪假期结束时可获此项福利，期限为</w:t>
      </w:r>
      <w:r>
        <w:rPr>
          <w:rFonts w:hint="eastAsia"/>
        </w:rPr>
        <w:t>6</w:t>
      </w:r>
      <w:r>
        <w:rPr>
          <w:rFonts w:hint="eastAsia"/>
        </w:rPr>
        <w:t>个月，其中包括带薪病假的时间。在享受该项福利期间，由社保局承担</w:t>
      </w:r>
      <w:r>
        <w:rPr>
          <w:rFonts w:hint="eastAsia"/>
        </w:rPr>
        <w:t>100%</w:t>
      </w:r>
      <w:r>
        <w:rPr>
          <w:rFonts w:hint="eastAsia"/>
        </w:rPr>
        <w:t>的保险费。</w:t>
      </w:r>
    </w:p>
    <w:p w:rsidR="00000000" w:rsidRDefault="00000000">
      <w:pPr>
        <w:rPr>
          <w:rFonts w:hint="eastAsia"/>
        </w:rPr>
      </w:pPr>
      <w:r>
        <w:rPr>
          <w:rFonts w:hint="eastAsia"/>
        </w:rPr>
        <w:tab/>
        <w:t xml:space="preserve">174.  </w:t>
      </w:r>
      <w:r>
        <w:rPr>
          <w:rFonts w:hint="eastAsia"/>
        </w:rPr>
        <w:t>为了使这项从丧失工作能力的第四天起为常见疾病支付的现金福利有足够的资金，国家机构和私营公司每月额外向社保局交纳相当于其工人工资和薪金</w:t>
      </w:r>
      <w:r>
        <w:rPr>
          <w:rFonts w:hint="eastAsia"/>
        </w:rPr>
        <w:t>1%</w:t>
      </w:r>
      <w:r>
        <w:rPr>
          <w:rFonts w:hint="eastAsia"/>
        </w:rPr>
        <w:t>的保险费。</w:t>
      </w:r>
    </w:p>
    <w:p w:rsidR="00000000" w:rsidRDefault="00000000">
      <w:pPr>
        <w:rPr>
          <w:rFonts w:hint="eastAsia"/>
        </w:rPr>
      </w:pPr>
      <w:r>
        <w:rPr>
          <w:rFonts w:hint="eastAsia"/>
        </w:rPr>
        <w:tab/>
        <w:t xml:space="preserve">175.  </w:t>
      </w:r>
      <w:r>
        <w:rPr>
          <w:rFonts w:hint="eastAsia"/>
        </w:rPr>
        <w:t>享受这项津贴的受益人为普通保险制度的投保人，其中包括建筑工人、农业劳动者、社区教士、糖业工人和教会工作者；以及向自愿保险系统、自愿延长系统、针对大学或理工院校学历的专业人员及职业艺术家与个体和独立劳动者的系统等投保并额外交纳</w:t>
      </w:r>
      <w:r>
        <w:rPr>
          <w:rFonts w:hint="eastAsia"/>
        </w:rPr>
        <w:t>1%</w:t>
      </w:r>
      <w:r>
        <w:rPr>
          <w:rFonts w:hint="eastAsia"/>
        </w:rPr>
        <w:t>的保险费的人，以及由雇主交纳</w:t>
      </w:r>
      <w:r>
        <w:rPr>
          <w:rFonts w:hint="eastAsia"/>
        </w:rPr>
        <w:t>1%</w:t>
      </w:r>
      <w:r>
        <w:rPr>
          <w:rFonts w:hint="eastAsia"/>
        </w:rPr>
        <w:t>的保险费的佣人和领工资的农业劳动者。</w:t>
      </w:r>
    </w:p>
    <w:p w:rsidR="00000000" w:rsidRDefault="00000000">
      <w:pPr>
        <w:rPr>
          <w:rFonts w:hint="eastAsia"/>
        </w:rPr>
      </w:pPr>
      <w:r>
        <w:rPr>
          <w:rFonts w:hint="eastAsia"/>
        </w:rPr>
        <w:tab/>
        <w:t xml:space="preserve">176.  </w:t>
      </w:r>
      <w:r>
        <w:rPr>
          <w:rFonts w:hint="eastAsia"/>
        </w:rPr>
        <w:t>生育保险为被保险人在怀孕期间以及临产和产后提供如下产科方面的福利：</w:t>
      </w:r>
    </w:p>
    <w:p w:rsidR="00000000" w:rsidRDefault="00000000">
      <w:pPr>
        <w:numPr>
          <w:ilvl w:val="0"/>
          <w:numId w:val="151"/>
        </w:numPr>
        <w:rPr>
          <w:rFonts w:hint="eastAsia"/>
        </w:rPr>
      </w:pPr>
      <w:r>
        <w:rPr>
          <w:rFonts w:hint="eastAsia"/>
        </w:rPr>
        <w:t>产前、临产和产后的产科护理；</w:t>
      </w:r>
    </w:p>
    <w:p w:rsidR="00000000" w:rsidRDefault="00000000">
      <w:pPr>
        <w:numPr>
          <w:ilvl w:val="0"/>
          <w:numId w:val="151"/>
        </w:numPr>
        <w:rPr>
          <w:rFonts w:hint="eastAsia"/>
        </w:rPr>
      </w:pPr>
      <w:r>
        <w:rPr>
          <w:rFonts w:hint="eastAsia"/>
        </w:rPr>
        <w:t>12</w:t>
      </w:r>
      <w:r>
        <w:rPr>
          <w:rFonts w:hint="eastAsia"/>
        </w:rPr>
        <w:t>个星期的现金津贴</w:t>
      </w:r>
      <w:r>
        <w:rPr>
          <w:rFonts w:hint="eastAsia"/>
          <w:spacing w:val="-50"/>
        </w:rPr>
        <w:t>―</w:t>
      </w:r>
      <w:r>
        <w:rPr>
          <w:rFonts w:hint="eastAsia"/>
        </w:rPr>
        <w:t>―产前</w:t>
      </w:r>
      <w:r>
        <w:rPr>
          <w:rFonts w:hint="eastAsia"/>
        </w:rPr>
        <w:t>2</w:t>
      </w:r>
      <w:r>
        <w:rPr>
          <w:rFonts w:hint="eastAsia"/>
        </w:rPr>
        <w:t>个星期，产后</w:t>
      </w:r>
      <w:r>
        <w:rPr>
          <w:rFonts w:hint="eastAsia"/>
        </w:rPr>
        <w:t>10</w:t>
      </w:r>
      <w:r>
        <w:rPr>
          <w:rFonts w:hint="eastAsia"/>
        </w:rPr>
        <w:t>个星期；</w:t>
      </w:r>
    </w:p>
    <w:p w:rsidR="00000000" w:rsidRDefault="00000000">
      <w:pPr>
        <w:numPr>
          <w:ilvl w:val="0"/>
          <w:numId w:val="151"/>
        </w:numPr>
        <w:rPr>
          <w:rFonts w:hint="eastAsia"/>
        </w:rPr>
      </w:pPr>
      <w:r>
        <w:rPr>
          <w:rFonts w:hint="eastAsia"/>
        </w:rPr>
        <w:t>被保险人一岁之内的所有儿科医疗保健，包括药理服务和住院。</w:t>
      </w:r>
    </w:p>
    <w:p w:rsidR="00000000" w:rsidRDefault="00000000">
      <w:pPr>
        <w:rPr>
          <w:rFonts w:hint="eastAsia"/>
        </w:rPr>
      </w:pPr>
      <w:r>
        <w:rPr>
          <w:rFonts w:hint="eastAsia"/>
        </w:rPr>
        <w:tab/>
        <w:t xml:space="preserve">177.  </w:t>
      </w:r>
      <w:r>
        <w:rPr>
          <w:rFonts w:hint="eastAsia"/>
        </w:rPr>
        <w:t>获得产科医疗保险的被保险人必须在生产之前一年中交满</w:t>
      </w:r>
      <w:r>
        <w:rPr>
          <w:rFonts w:hint="eastAsia"/>
        </w:rPr>
        <w:t>6</w:t>
      </w:r>
      <w:r>
        <w:rPr>
          <w:rFonts w:hint="eastAsia"/>
        </w:rPr>
        <w:t>个月强制保险费，而向自愿保险系统投保的人必须交满一年保险费，才有权得到疾病和生育保险津贴。</w:t>
      </w:r>
    </w:p>
    <w:p w:rsidR="00000000" w:rsidRDefault="00000000">
      <w:pPr>
        <w:rPr>
          <w:rFonts w:hint="eastAsia"/>
        </w:rPr>
      </w:pPr>
      <w:r>
        <w:rPr>
          <w:rFonts w:hint="eastAsia"/>
        </w:rPr>
        <w:tab/>
        <w:t xml:space="preserve">178.  </w:t>
      </w:r>
      <w:r>
        <w:rPr>
          <w:rFonts w:hint="eastAsia"/>
        </w:rPr>
        <w:t>社保局为产前</w:t>
      </w:r>
      <w:r>
        <w:rPr>
          <w:rFonts w:hint="eastAsia"/>
        </w:rPr>
        <w:t>2</w:t>
      </w:r>
      <w:r>
        <w:rPr>
          <w:rFonts w:hint="eastAsia"/>
        </w:rPr>
        <w:t>个星期，产后</w:t>
      </w:r>
      <w:r>
        <w:rPr>
          <w:rFonts w:hint="eastAsia"/>
        </w:rPr>
        <w:t>10</w:t>
      </w:r>
      <w:r>
        <w:rPr>
          <w:rFonts w:hint="eastAsia"/>
        </w:rPr>
        <w:t>个星期提供生育现金津贴；必须要有私人医生或社保局医务工作人员为被保险人出具的产前和产后休息时间的证明。该项津贴数额为被保险人最近工资的</w:t>
      </w:r>
      <w:r>
        <w:rPr>
          <w:rFonts w:hint="eastAsia"/>
        </w:rPr>
        <w:t>75%</w:t>
      </w:r>
      <w:r>
        <w:rPr>
          <w:rFonts w:hint="eastAsia"/>
        </w:rPr>
        <w:t>。</w:t>
      </w:r>
    </w:p>
    <w:p w:rsidR="00000000" w:rsidRDefault="00000000">
      <w:pPr>
        <w:spacing w:line="360" w:lineRule="auto"/>
        <w:rPr>
          <w:rFonts w:hint="eastAsia"/>
        </w:rPr>
      </w:pPr>
      <w:r>
        <w:rPr>
          <w:rFonts w:hint="eastAsia"/>
        </w:rPr>
        <w:tab/>
        <w:t xml:space="preserve">179.  </w:t>
      </w:r>
      <w:r>
        <w:rPr>
          <w:rFonts w:hint="eastAsia"/>
        </w:rPr>
        <w:t>在工伤保险方面，社保局认为工伤事故是指因从事工作时或其后果，或由第三方而造成工人身体受伤或功能障碍或者当场立即或随后死亡的意外突发性事件。该项保险的费用为工人工资或薪金的</w:t>
      </w:r>
      <w:r>
        <w:rPr>
          <w:rFonts w:hint="eastAsia"/>
        </w:rPr>
        <w:t>1.</w:t>
      </w:r>
      <w:r>
        <w:t>5</w:t>
      </w:r>
      <w:r>
        <w:rPr>
          <w:rFonts w:hint="eastAsia"/>
        </w:rPr>
        <w:t>%</w:t>
      </w:r>
      <w:r>
        <w:rPr>
          <w:rFonts w:hint="eastAsia"/>
        </w:rPr>
        <w:t>，由公共和私人雇主或由自愿投保人自己支付。</w:t>
      </w:r>
    </w:p>
    <w:p w:rsidR="00000000" w:rsidRDefault="00000000">
      <w:pPr>
        <w:spacing w:line="360" w:lineRule="auto"/>
        <w:rPr>
          <w:rFonts w:hint="eastAsia"/>
        </w:rPr>
      </w:pPr>
      <w:r>
        <w:rPr>
          <w:rFonts w:hint="eastAsia"/>
        </w:rPr>
        <w:tab/>
        <w:t xml:space="preserve">180.  </w:t>
      </w:r>
      <w:r>
        <w:rPr>
          <w:rFonts w:hint="eastAsia"/>
        </w:rPr>
        <w:t>被保险人从家中直接来上班或下班直接回家途中所发生的事故，也被认为属于工伤事故。对于个体劳动者而言，在上段中情形下发生的事故被认为属于工伤事故，但不存在雇主－雇员关系的情况除外。这一处于后一情况的劳动者，社保局将在接受投保前对工伤保险所涵盖的活动进行评估。这项保险的承保范围如下：</w:t>
      </w:r>
    </w:p>
    <w:p w:rsidR="00000000" w:rsidRDefault="00000000">
      <w:pPr>
        <w:numPr>
          <w:ilvl w:val="0"/>
          <w:numId w:val="161"/>
        </w:numPr>
        <w:rPr>
          <w:rFonts w:hint="eastAsia"/>
        </w:rPr>
      </w:pPr>
      <w:r>
        <w:rPr>
          <w:rFonts w:hint="eastAsia"/>
        </w:rPr>
        <w:t>工作事故；</w:t>
      </w:r>
    </w:p>
    <w:p w:rsidR="00000000" w:rsidRDefault="00000000">
      <w:pPr>
        <w:numPr>
          <w:ilvl w:val="0"/>
          <w:numId w:val="161"/>
        </w:numPr>
        <w:rPr>
          <w:rFonts w:hint="eastAsia"/>
        </w:rPr>
      </w:pPr>
      <w:r>
        <w:rPr>
          <w:rFonts w:hint="eastAsia"/>
        </w:rPr>
        <w:t>职业病。</w:t>
      </w:r>
    </w:p>
    <w:p w:rsidR="00000000" w:rsidRDefault="00000000">
      <w:pPr>
        <w:rPr>
          <w:rFonts w:hint="eastAsia"/>
        </w:rPr>
      </w:pPr>
      <w:r>
        <w:rPr>
          <w:rFonts w:hint="eastAsia"/>
        </w:rPr>
        <w:tab/>
        <w:t xml:space="preserve">181.  </w:t>
      </w:r>
      <w:r>
        <w:rPr>
          <w:rFonts w:hint="eastAsia"/>
        </w:rPr>
        <w:t>工作事故造成的后果有：暂时丧失工作能力；永久部分丧失工作能力；永久全部丧失正常工作能力；永久完全丧失工作能力；以及死亡。</w:t>
      </w:r>
    </w:p>
    <w:p w:rsidR="00000000" w:rsidRDefault="00000000">
      <w:pPr>
        <w:rPr>
          <w:rFonts w:hint="eastAsia"/>
        </w:rPr>
      </w:pPr>
      <w:r>
        <w:rPr>
          <w:rFonts w:hint="eastAsia"/>
        </w:rPr>
        <w:tab/>
        <w:t xml:space="preserve">182.  </w:t>
      </w:r>
      <w:r>
        <w:rPr>
          <w:rFonts w:hint="eastAsia"/>
        </w:rPr>
        <w:t>职业病是指因投保人从事的职业或工作而直接引起并致使工作能力丧失的急性或慢性疾病。</w:t>
      </w:r>
    </w:p>
    <w:p w:rsidR="00000000" w:rsidRDefault="00000000">
      <w:pPr>
        <w:rPr>
          <w:rFonts w:hint="eastAsia"/>
        </w:rPr>
      </w:pPr>
      <w:r>
        <w:rPr>
          <w:rFonts w:hint="eastAsia"/>
        </w:rPr>
        <w:tab/>
        <w:t xml:space="preserve">183.  </w:t>
      </w:r>
      <w:r>
        <w:rPr>
          <w:rFonts w:hint="eastAsia"/>
        </w:rPr>
        <w:t>社保局有义务及时提供必要的医疗服务，保护被保险人的身体健康。在社保单位无法为其病人提供医疗保健的情况下，社会医疗系统必须为因急症而被迫在非社保局系统的单位接受医疗的投保人或受益人以及寡妇养恤金领取者支付医疗费。急诊被认为是指需要立即进行医疗救护的突发和</w:t>
      </w:r>
      <w:r>
        <w:t>/</w:t>
      </w:r>
      <w:r>
        <w:rPr>
          <w:rFonts w:hint="eastAsia"/>
        </w:rPr>
        <w:t>或严重病理状况和事故，如不及时治疗可能危及生命，或产生损害被保险人的功能或器官完整的后果。</w:t>
      </w:r>
    </w:p>
    <w:p w:rsidR="00000000" w:rsidRDefault="00000000">
      <w:pPr>
        <w:rPr>
          <w:rFonts w:hint="eastAsia"/>
        </w:rPr>
      </w:pPr>
      <w:r>
        <w:rPr>
          <w:rFonts w:hint="eastAsia"/>
        </w:rPr>
        <w:tab/>
        <w:t xml:space="preserve">184.  </w:t>
      </w:r>
      <w:r>
        <w:rPr>
          <w:rFonts w:hint="eastAsia"/>
        </w:rPr>
        <w:t>退休是指已交纳所需期限的社会保险费并已达到领取月现金收入的年龄之后，自愿退出工作。现有养老、残疾或特殊减免养恤金计划，每一计划均有一套关于支付金额、保险费交纳期限、年龄或资格要求等方面的不同规则。</w:t>
      </w:r>
    </w:p>
    <w:p w:rsidR="00000000" w:rsidRDefault="00000000">
      <w:pPr>
        <w:rPr>
          <w:rFonts w:hint="eastAsia"/>
        </w:rPr>
      </w:pPr>
      <w:r>
        <w:rPr>
          <w:rFonts w:hint="eastAsia"/>
        </w:rPr>
        <w:tab/>
        <w:t xml:space="preserve">185.  </w:t>
      </w:r>
      <w:r>
        <w:rPr>
          <w:rFonts w:hint="eastAsia"/>
        </w:rPr>
        <w:t>失业保险是一种在停止工作时支付的强制性互助保险。其所采取的形式是支付金额与被保险人的工作年限和保险费直接挂钩。</w:t>
      </w:r>
    </w:p>
    <w:p w:rsidR="00000000" w:rsidRDefault="00000000">
      <w:pPr>
        <w:rPr>
          <w:rFonts w:hint="eastAsia"/>
        </w:rPr>
      </w:pPr>
      <w:r>
        <w:rPr>
          <w:rFonts w:hint="eastAsia"/>
        </w:rPr>
        <w:tab/>
        <w:t xml:space="preserve">186.  </w:t>
      </w:r>
      <w:r>
        <w:rPr>
          <w:rFonts w:hint="eastAsia"/>
        </w:rPr>
        <w:t>未亡人或寡妇和孤儿保险是指每月向投保人或退休人员的最直接的亲属支付的养恤金。该项养恤金从被保险人死亡之日起支付。</w:t>
      </w:r>
    </w:p>
    <w:p w:rsidR="00000000" w:rsidRDefault="00000000">
      <w:pPr>
        <w:spacing w:after="320"/>
        <w:rPr>
          <w:rFonts w:hint="eastAsia"/>
        </w:rPr>
      </w:pPr>
      <w:r>
        <w:rPr>
          <w:rFonts w:hint="eastAsia"/>
        </w:rPr>
        <w:tab/>
        <w:t xml:space="preserve">187.  </w:t>
      </w:r>
      <w:r>
        <w:rPr>
          <w:rFonts w:hint="eastAsia"/>
        </w:rPr>
        <w:t>就丧葬费用而言，社保局向死亡的退休人员或投保人最直接的亲属支付一笔金额，从而通过提供类似于人寿保险的津贴来补充寡妇和孤儿保险。</w:t>
      </w:r>
    </w:p>
    <w:p w:rsidR="00000000" w:rsidRDefault="00000000">
      <w:pPr>
        <w:pStyle w:val="Heading4"/>
        <w:rPr>
          <w:rFonts w:eastAsia="KaiTi_GB2312" w:hint="eastAsia"/>
          <w:snapToGrid/>
          <w:spacing w:val="0"/>
          <w:u w:val="none"/>
        </w:rPr>
      </w:pPr>
      <w:r>
        <w:rPr>
          <w:rFonts w:eastAsia="KaiTi_GB2312" w:hint="eastAsia"/>
          <w:snapToGrid/>
          <w:spacing w:val="0"/>
          <w:u w:val="none"/>
        </w:rPr>
        <w:t>社会保险管理</w:t>
      </w:r>
    </w:p>
    <w:p w:rsidR="00000000" w:rsidRDefault="00000000">
      <w:pPr>
        <w:rPr>
          <w:rFonts w:hint="eastAsia"/>
        </w:rPr>
      </w:pPr>
      <w:r>
        <w:rPr>
          <w:rFonts w:hint="eastAsia"/>
        </w:rPr>
        <w:tab/>
        <w:t xml:space="preserve">188.  </w:t>
      </w:r>
      <w:r>
        <w:rPr>
          <w:rFonts w:hint="eastAsia"/>
        </w:rPr>
        <w:t>《宪法》第五十八条规定：“强制性普通保险应由厄瓜多尔社会保险局负责提供，该局系一独立机构，由专业行政管理部门牵头，由投保人、雇主和国家三方的同等人数的代表组成，代表依法任命。该局的组织和管理应以效率、分权和多样性为标准，并应提供及时、充分、高质量的服务。该局可建立或促进建立资源管理机构，以加强社会保险系统，改善投保人及其家人的医疗保健。武装部队和警察可设立社会保险单位”。</w:t>
      </w:r>
    </w:p>
    <w:p w:rsidR="00000000" w:rsidRDefault="00000000">
      <w:pPr>
        <w:rPr>
          <w:rFonts w:hint="eastAsia"/>
        </w:rPr>
      </w:pPr>
      <w:r>
        <w:rPr>
          <w:rFonts w:hint="eastAsia"/>
        </w:rPr>
        <w:tab/>
        <w:t xml:space="preserve">189.  </w:t>
      </w:r>
      <w:r>
        <w:rPr>
          <w:rFonts w:hint="eastAsia"/>
        </w:rPr>
        <w:t>在强制性退休保险以外，还有各种形式的私营性质的退休和失业保险计划可由劳动者选用。这类安排严格属于私营性质，自行决定其保险的形式和条件。</w:t>
      </w:r>
    </w:p>
    <w:p w:rsidR="00000000" w:rsidRDefault="00000000">
      <w:pPr>
        <w:spacing w:after="320"/>
        <w:rPr>
          <w:rFonts w:hint="eastAsia"/>
        </w:rPr>
      </w:pPr>
      <w:r>
        <w:rPr>
          <w:rFonts w:hint="eastAsia"/>
        </w:rPr>
        <w:tab/>
        <w:t xml:space="preserve">190.  </w:t>
      </w:r>
      <w:r>
        <w:rPr>
          <w:rFonts w:hint="eastAsia"/>
        </w:rPr>
        <w:t>一些机构</w:t>
      </w:r>
      <w:r>
        <w:rPr>
          <w:rFonts w:hint="eastAsia"/>
        </w:rPr>
        <w:t>(</w:t>
      </w:r>
      <w:r>
        <w:rPr>
          <w:rFonts w:hint="eastAsia"/>
        </w:rPr>
        <w:t>一般为公共机构</w:t>
      </w:r>
      <w:r>
        <w:rPr>
          <w:rFonts w:hint="eastAsia"/>
        </w:rPr>
        <w:t>)</w:t>
      </w:r>
      <w:r>
        <w:rPr>
          <w:rFonts w:hint="eastAsia"/>
        </w:rPr>
        <w:t>还可以根据其与本机构工作人员达成的协议，额外建立退休保险计划。这类计划的资金来自参与各方的保险费。</w:t>
      </w:r>
    </w:p>
    <w:p w:rsidR="00000000" w:rsidRDefault="00000000">
      <w:pPr>
        <w:pStyle w:val="Heading4"/>
        <w:rPr>
          <w:rFonts w:hint="eastAsia"/>
        </w:rPr>
      </w:pPr>
      <w:r>
        <w:rPr>
          <w:rFonts w:hint="eastAsia"/>
        </w:rPr>
        <w:t>社会保险改革</w:t>
      </w:r>
    </w:p>
    <w:p w:rsidR="00000000" w:rsidRDefault="00000000">
      <w:pPr>
        <w:rPr>
          <w:rFonts w:hint="eastAsia"/>
        </w:rPr>
      </w:pPr>
      <w:r>
        <w:rPr>
          <w:rFonts w:hint="eastAsia"/>
        </w:rPr>
        <w:tab/>
        <w:t>191.  1998</w:t>
      </w:r>
      <w:r>
        <w:rPr>
          <w:rFonts w:hint="eastAsia"/>
        </w:rPr>
        <w:t>年</w:t>
      </w:r>
      <w:r>
        <w:rPr>
          <w:rFonts w:hint="eastAsia"/>
        </w:rPr>
        <w:t>12</w:t>
      </w:r>
      <w:r>
        <w:rPr>
          <w:rFonts w:hint="eastAsia"/>
        </w:rPr>
        <w:t>月，负责对社保局进行改革的政府委员会向国会提交了一份载有《强制社会保险法》修正案的法案。该提案是依据</w:t>
      </w:r>
      <w:r>
        <w:rPr>
          <w:rFonts w:hint="eastAsia"/>
        </w:rPr>
        <w:t>1998</w:t>
      </w:r>
      <w:r>
        <w:rPr>
          <w:rFonts w:hint="eastAsia"/>
        </w:rPr>
        <w:t>年</w:t>
      </w:r>
      <w:r>
        <w:rPr>
          <w:rFonts w:hint="eastAsia"/>
        </w:rPr>
        <w:t>8</w:t>
      </w:r>
      <w:r>
        <w:rPr>
          <w:rFonts w:hint="eastAsia"/>
        </w:rPr>
        <w:t>月</w:t>
      </w:r>
      <w:r>
        <w:rPr>
          <w:rFonts w:hint="eastAsia"/>
        </w:rPr>
        <w:t>10</w:t>
      </w:r>
      <w:r>
        <w:rPr>
          <w:rFonts w:hint="eastAsia"/>
        </w:rPr>
        <w:t>日起生效的《宪法》所规定的原则提出的。</w:t>
      </w:r>
    </w:p>
    <w:p w:rsidR="00000000" w:rsidRDefault="00000000">
      <w:pPr>
        <w:rPr>
          <w:rFonts w:hint="eastAsia"/>
        </w:rPr>
      </w:pPr>
      <w:r>
        <w:rPr>
          <w:rFonts w:hint="eastAsia"/>
        </w:rPr>
        <w:tab/>
        <w:t xml:space="preserve">192.  </w:t>
      </w:r>
      <w:r>
        <w:rPr>
          <w:rFonts w:hint="eastAsia"/>
        </w:rPr>
        <w:t>拟议的改革包括两项基本原则：</w:t>
      </w:r>
    </w:p>
    <w:p w:rsidR="00000000" w:rsidRDefault="00000000">
      <w:pPr>
        <w:numPr>
          <w:ilvl w:val="0"/>
          <w:numId w:val="153"/>
        </w:numPr>
        <w:rPr>
          <w:rFonts w:hint="eastAsia"/>
        </w:rPr>
      </w:pPr>
      <w:r>
        <w:rPr>
          <w:rFonts w:hint="eastAsia"/>
        </w:rPr>
        <w:t>互助原则：将根据为所有投保人支付基本养恤金的原则运作，将由改革后的社保局负责管理；</w:t>
      </w:r>
    </w:p>
    <w:p w:rsidR="00000000" w:rsidRDefault="00000000">
      <w:pPr>
        <w:numPr>
          <w:ilvl w:val="0"/>
          <w:numId w:val="153"/>
        </w:numPr>
        <w:rPr>
          <w:rFonts w:hint="eastAsia"/>
        </w:rPr>
      </w:pPr>
      <w:r>
        <w:rPr>
          <w:rFonts w:hint="eastAsia"/>
        </w:rPr>
        <w:t>个人帐户资本化原则：将由属于私营性质的退休储蓄基金机构等专业机构负责管理，从而为现有的社保局设立自己的机构提供可能性。</w:t>
      </w:r>
    </w:p>
    <w:p w:rsidR="00000000" w:rsidRDefault="00000000">
      <w:pPr>
        <w:rPr>
          <w:rFonts w:hint="eastAsia"/>
        </w:rPr>
      </w:pPr>
      <w:r>
        <w:rPr>
          <w:rFonts w:hint="eastAsia"/>
        </w:rPr>
        <w:tab/>
        <w:t xml:space="preserve">193.  </w:t>
      </w:r>
      <w:r>
        <w:rPr>
          <w:rFonts w:hint="eastAsia"/>
        </w:rPr>
        <w:t>规定保险费时将考虑投保人的工资情况，其中直接包括第</w:t>
      </w:r>
      <w:r>
        <w:rPr>
          <w:rFonts w:hint="eastAsia"/>
        </w:rPr>
        <w:t>15</w:t>
      </w:r>
      <w:r>
        <w:rPr>
          <w:rFonts w:hint="eastAsia"/>
        </w:rPr>
        <w:t>个月和第</w:t>
      </w:r>
      <w:r>
        <w:rPr>
          <w:rFonts w:hint="eastAsia"/>
        </w:rPr>
        <w:t>16</w:t>
      </w:r>
      <w:r>
        <w:rPr>
          <w:rFonts w:hint="eastAsia"/>
        </w:rPr>
        <w:t>个月工资以及累进补偿生活费的情况。</w:t>
      </w:r>
    </w:p>
    <w:p w:rsidR="00000000" w:rsidRDefault="00000000">
      <w:pPr>
        <w:rPr>
          <w:rFonts w:hint="eastAsia"/>
        </w:rPr>
      </w:pPr>
      <w:r>
        <w:rPr>
          <w:rFonts w:hint="eastAsia"/>
        </w:rPr>
        <w:tab/>
        <w:t xml:space="preserve">194.  </w:t>
      </w:r>
      <w:r>
        <w:rPr>
          <w:rFonts w:hint="eastAsia"/>
        </w:rPr>
        <w:t>该法案中提到修改养恤金制度的问题，提出采用行政管理、融资和投保人福利方面的混合制度。</w:t>
      </w:r>
    </w:p>
    <w:p w:rsidR="00000000" w:rsidRDefault="00000000">
      <w:pPr>
        <w:rPr>
          <w:rFonts w:hint="eastAsia"/>
        </w:rPr>
      </w:pPr>
      <w:r>
        <w:rPr>
          <w:rFonts w:hint="eastAsia"/>
        </w:rPr>
        <w:tab/>
        <w:t xml:space="preserve">195.  </w:t>
      </w:r>
      <w:r>
        <w:rPr>
          <w:rFonts w:hint="eastAsia"/>
        </w:rPr>
        <w:t>该法案将“世代团结计划”和“强制个人储蓄”这两种支付养恤金的办法结合起来：</w:t>
      </w:r>
    </w:p>
    <w:p w:rsidR="00000000" w:rsidRDefault="00000000">
      <w:pPr>
        <w:numPr>
          <w:ilvl w:val="0"/>
          <w:numId w:val="154"/>
        </w:numPr>
        <w:rPr>
          <w:rFonts w:hint="eastAsia"/>
        </w:rPr>
      </w:pPr>
      <w:r>
        <w:rPr>
          <w:rFonts w:hint="eastAsia"/>
        </w:rPr>
        <w:t>以在职劳动者缴纳的保险费、雇主缴纳的保险费和国家财政支援供资的世代团结福利为基础的养恤金计划；</w:t>
      </w:r>
    </w:p>
    <w:p w:rsidR="00000000" w:rsidRDefault="00000000">
      <w:pPr>
        <w:numPr>
          <w:ilvl w:val="0"/>
          <w:numId w:val="154"/>
        </w:numPr>
        <w:rPr>
          <w:rFonts w:hint="eastAsia"/>
        </w:rPr>
      </w:pPr>
      <w:r>
        <w:rPr>
          <w:rFonts w:hint="eastAsia"/>
        </w:rPr>
        <w:t>以强制个人储蓄为基础的养恤金计划：其福利资金来自在职工作者在工作年限期间的“个人帐户”缴款以及投保人的自愿存款。</w:t>
      </w:r>
    </w:p>
    <w:p w:rsidR="00000000" w:rsidRDefault="00000000">
      <w:pPr>
        <w:rPr>
          <w:rFonts w:hint="eastAsia"/>
        </w:rPr>
      </w:pPr>
      <w:r>
        <w:rPr>
          <w:rFonts w:hint="eastAsia"/>
        </w:rPr>
        <w:tab/>
        <w:t xml:space="preserve">196.  </w:t>
      </w:r>
      <w:r>
        <w:rPr>
          <w:rFonts w:hint="eastAsia"/>
        </w:rPr>
        <w:t>养恤金计划的种类如下：</w:t>
      </w:r>
    </w:p>
    <w:p w:rsidR="00000000" w:rsidRDefault="00000000">
      <w:pPr>
        <w:numPr>
          <w:ilvl w:val="0"/>
          <w:numId w:val="155"/>
        </w:numPr>
        <w:rPr>
          <w:rFonts w:hint="eastAsia"/>
        </w:rPr>
      </w:pPr>
      <w:r>
        <w:rPr>
          <w:rFonts w:hint="eastAsia"/>
        </w:rPr>
        <w:t>普通养恤金计划，一经法律批准，即将自</w:t>
      </w:r>
      <w:r>
        <w:rPr>
          <w:rFonts w:hint="eastAsia"/>
        </w:rPr>
        <w:t>2000</w:t>
      </w:r>
      <w:r>
        <w:rPr>
          <w:rFonts w:hint="eastAsia"/>
        </w:rPr>
        <w:t>年起适用于年满</w:t>
      </w:r>
      <w:r>
        <w:rPr>
          <w:rFonts w:hint="eastAsia"/>
        </w:rPr>
        <w:t>60</w:t>
      </w:r>
      <w:r>
        <w:rPr>
          <w:rFonts w:hint="eastAsia"/>
        </w:rPr>
        <w:t>岁、已交满</w:t>
      </w:r>
      <w:r>
        <w:rPr>
          <w:rFonts w:hint="eastAsia"/>
        </w:rPr>
        <w:t>30</w:t>
      </w:r>
      <w:r>
        <w:rPr>
          <w:rFonts w:hint="eastAsia"/>
        </w:rPr>
        <w:t>年保险费或缴纳</w:t>
      </w:r>
      <w:r>
        <w:rPr>
          <w:rFonts w:hint="eastAsia"/>
        </w:rPr>
        <w:t>40</w:t>
      </w:r>
      <w:r>
        <w:rPr>
          <w:rFonts w:hint="eastAsia"/>
        </w:rPr>
        <w:t>年保险费不限年龄的投保人；</w:t>
      </w:r>
    </w:p>
    <w:p w:rsidR="00000000" w:rsidRDefault="00000000">
      <w:pPr>
        <w:numPr>
          <w:ilvl w:val="0"/>
          <w:numId w:val="155"/>
        </w:numPr>
        <w:rPr>
          <w:rFonts w:hint="eastAsia"/>
        </w:rPr>
      </w:pPr>
      <w:r>
        <w:rPr>
          <w:rFonts w:hint="eastAsia"/>
        </w:rPr>
        <w:t>残疾保险金计划，将为全部或永久丧失工作能力者提供残疾养恤金；</w:t>
      </w:r>
    </w:p>
    <w:p w:rsidR="00000000" w:rsidRDefault="00000000">
      <w:pPr>
        <w:numPr>
          <w:ilvl w:val="0"/>
          <w:numId w:val="155"/>
        </w:numPr>
        <w:rPr>
          <w:rFonts w:hint="eastAsia"/>
        </w:rPr>
      </w:pPr>
      <w:r>
        <w:rPr>
          <w:rFonts w:hint="eastAsia"/>
        </w:rPr>
        <w:t>养老金计划，根据该计划，投保人如至少缴纳</w:t>
      </w:r>
      <w:r>
        <w:rPr>
          <w:rFonts w:hint="eastAsia"/>
        </w:rPr>
        <w:t>15</w:t>
      </w:r>
      <w:r>
        <w:rPr>
          <w:rFonts w:hint="eastAsia"/>
        </w:rPr>
        <w:t>年保险费，可在</w:t>
      </w:r>
      <w:r>
        <w:rPr>
          <w:rFonts w:hint="eastAsia"/>
        </w:rPr>
        <w:t>70</w:t>
      </w:r>
      <w:r>
        <w:rPr>
          <w:rFonts w:hint="eastAsia"/>
        </w:rPr>
        <w:t>岁退休。缴纳</w:t>
      </w:r>
      <w:r>
        <w:rPr>
          <w:rFonts w:hint="eastAsia"/>
        </w:rPr>
        <w:t>20</w:t>
      </w:r>
      <w:r>
        <w:rPr>
          <w:rFonts w:hint="eastAsia"/>
        </w:rPr>
        <w:t>年保险费的投保人，只要可以证明其连续失业</w:t>
      </w:r>
      <w:r>
        <w:rPr>
          <w:rFonts w:hint="eastAsia"/>
        </w:rPr>
        <w:t>180</w:t>
      </w:r>
      <w:r>
        <w:rPr>
          <w:rFonts w:hint="eastAsia"/>
        </w:rPr>
        <w:t>天，亦可在</w:t>
      </w:r>
      <w:r>
        <w:rPr>
          <w:rFonts w:hint="eastAsia"/>
        </w:rPr>
        <w:t>65</w:t>
      </w:r>
      <w:r>
        <w:rPr>
          <w:rFonts w:hint="eastAsia"/>
        </w:rPr>
        <w:t>岁退休。</w:t>
      </w:r>
    </w:p>
    <w:p w:rsidR="00000000" w:rsidRDefault="00000000">
      <w:pPr>
        <w:rPr>
          <w:rFonts w:hint="eastAsia"/>
          <w:vertAlign w:val="superscript"/>
        </w:rPr>
      </w:pPr>
      <w:r>
        <w:rPr>
          <w:rFonts w:hint="eastAsia"/>
        </w:rPr>
        <w:tab/>
        <w:t xml:space="preserve">197.  </w:t>
      </w:r>
      <w:r>
        <w:rPr>
          <w:rFonts w:hint="eastAsia"/>
        </w:rPr>
        <w:t>在卫生方面，“根据《宪法》中所确立的社会保障制度的原则，卫生服务必须向全民提供，而且投保人及其亲属或随后加入本计划的其他受益人必须一视同仁。因此，个人和家庭普通健康保险的宗旨将是，在互助和公正的基础上提供社会福利，确保资金流动平衡，确保不象过去那样再出现亏损。”</w:t>
      </w:r>
      <w:r>
        <w:rPr>
          <w:rFonts w:hint="eastAsia"/>
          <w:b/>
          <w:vertAlign w:val="superscript"/>
        </w:rPr>
        <w:t>23</w:t>
      </w:r>
    </w:p>
    <w:p w:rsidR="00000000" w:rsidRDefault="00000000">
      <w:pPr>
        <w:rPr>
          <w:rFonts w:hint="eastAsia"/>
        </w:rPr>
      </w:pPr>
      <w:r>
        <w:rPr>
          <w:rFonts w:hint="eastAsia"/>
        </w:rPr>
        <w:tab/>
        <w:t xml:space="preserve">198.  </w:t>
      </w:r>
      <w:r>
        <w:rPr>
          <w:rFonts w:hint="eastAsia"/>
        </w:rPr>
        <w:t>根据这一提案，一揽子卫生福利将是社保局目前提供的福利：预防、医疗和生育方面的援助，慢性变性疾病的治疗和预防性牙科治疗；具体形式将按保险管理部门所核准的协议加以确定。</w:t>
      </w:r>
    </w:p>
    <w:p w:rsidR="00000000" w:rsidRDefault="00000000">
      <w:pPr>
        <w:rPr>
          <w:rFonts w:hint="eastAsia"/>
        </w:rPr>
      </w:pPr>
      <w:r>
        <w:rPr>
          <w:rFonts w:hint="eastAsia"/>
        </w:rPr>
        <w:tab/>
        <w:t xml:space="preserve">199.  </w:t>
      </w:r>
      <w:r>
        <w:rPr>
          <w:rFonts w:hint="eastAsia"/>
        </w:rPr>
        <w:t>团结原则体现在所有可能生病的投保人均交纳保险费，从而为实际生病的投保人提供福利。社保局普通健康保险的这一新管理模式要得以实行，一个基本的要求就是将保险职能与服务的购买和分配分开。只有明确界定各种互不相同的职能，才能使卫生系统和社保局自身的各个不同部门做到专业化，并使现代化卫生系统的目标及其预期成果得以实现。</w:t>
      </w:r>
    </w:p>
    <w:p w:rsidR="00000000" w:rsidRDefault="00000000">
      <w:pPr>
        <w:rPr>
          <w:rFonts w:hint="eastAsia"/>
        </w:rPr>
      </w:pPr>
      <w:r>
        <w:rPr>
          <w:rFonts w:hint="eastAsia"/>
        </w:rPr>
        <w:tab/>
        <w:t xml:space="preserve">200.  </w:t>
      </w:r>
      <w:r>
        <w:rPr>
          <w:rFonts w:hint="eastAsia"/>
        </w:rPr>
        <w:t>农村社会保险这一建立在团结基础上的补贴制度将继续根据集体原则来运作，采用通过财政支持提供财政拨款的办法，提供的福利类似于参加强制普通保险以及由投保人自己交纳保险费的保险的其他投保人的福利。目前，该项保险的受益人共有</w:t>
      </w:r>
      <w:r>
        <w:rPr>
          <w:rFonts w:hint="eastAsia"/>
        </w:rPr>
        <w:t>996,896</w:t>
      </w:r>
      <w:r>
        <w:rPr>
          <w:rFonts w:hint="eastAsia"/>
        </w:rPr>
        <w:t>人。</w:t>
      </w:r>
    </w:p>
    <w:p w:rsidR="00000000" w:rsidRDefault="00000000">
      <w:pPr>
        <w:rPr>
          <w:rFonts w:hint="eastAsia"/>
        </w:rPr>
      </w:pPr>
      <w:r>
        <w:rPr>
          <w:rFonts w:hint="eastAsia"/>
        </w:rPr>
        <w:tab/>
        <w:t xml:space="preserve">201.  </w:t>
      </w:r>
      <w:r>
        <w:rPr>
          <w:rFonts w:hint="eastAsia"/>
        </w:rPr>
        <w:t>根据第</w:t>
      </w:r>
      <w:r>
        <w:rPr>
          <w:rFonts w:hint="eastAsia"/>
        </w:rPr>
        <w:t>081</w:t>
      </w:r>
      <w:r>
        <w:rPr>
          <w:rFonts w:hint="eastAsia"/>
        </w:rPr>
        <w:t>号法案第</w:t>
      </w:r>
      <w:r>
        <w:rPr>
          <w:rFonts w:hint="eastAsia"/>
        </w:rPr>
        <w:t>6</w:t>
      </w:r>
      <w:r>
        <w:rPr>
          <w:rFonts w:hint="eastAsia"/>
        </w:rPr>
        <w:t>条，农村社会保险的资金来源是：现行最低生活工资的</w:t>
      </w:r>
      <w:r>
        <w:rPr>
          <w:rFonts w:hint="eastAsia"/>
        </w:rPr>
        <w:t>1%</w:t>
      </w:r>
      <w:r>
        <w:rPr>
          <w:rFonts w:hint="eastAsia"/>
        </w:rPr>
        <w:t>，细分如下：</w:t>
      </w:r>
      <w:r>
        <w:rPr>
          <w:rFonts w:hint="eastAsia"/>
        </w:rPr>
        <w:t>0.3%</w:t>
      </w:r>
      <w:r>
        <w:rPr>
          <w:rFonts w:hint="eastAsia"/>
        </w:rPr>
        <w:t>由国家负担，</w:t>
      </w:r>
      <w:r>
        <w:rPr>
          <w:rFonts w:hint="eastAsia"/>
        </w:rPr>
        <w:t>0.35%</w:t>
      </w:r>
      <w:r>
        <w:rPr>
          <w:rFonts w:hint="eastAsia"/>
        </w:rPr>
        <w:t>由雇主负担，</w:t>
      </w:r>
      <w:r>
        <w:rPr>
          <w:rFonts w:hint="eastAsia"/>
        </w:rPr>
        <w:t>0.35%</w:t>
      </w:r>
      <w:r>
        <w:rPr>
          <w:rFonts w:hint="eastAsia"/>
        </w:rPr>
        <w:t>由劳动者交给社保局；此外，户主还需交纳最低生活工资的</w:t>
      </w:r>
      <w:r>
        <w:rPr>
          <w:rFonts w:hint="eastAsia"/>
        </w:rPr>
        <w:t>1%</w:t>
      </w:r>
      <w:r>
        <w:rPr>
          <w:rFonts w:hint="eastAsia"/>
        </w:rPr>
        <w:t>。</w:t>
      </w:r>
    </w:p>
    <w:p w:rsidR="00000000" w:rsidRDefault="00000000">
      <w:pPr>
        <w:rPr>
          <w:rFonts w:hint="eastAsia"/>
        </w:rPr>
      </w:pPr>
      <w:r>
        <w:rPr>
          <w:rFonts w:hint="eastAsia"/>
        </w:rPr>
        <w:tab/>
        <w:t xml:space="preserve">202.  </w:t>
      </w:r>
      <w:r>
        <w:rPr>
          <w:rFonts w:hint="eastAsia"/>
        </w:rPr>
        <w:t>这一特殊系统的保护对象是社区、合作社、协会、委员会或任何其他形式类似的农村人民组织所属的家庭的所有成员，以及不属于任何形式的人民组织，但希望参加农村社会保险计划的家庭的所有成员。该计划允许自愿参加。</w:t>
      </w:r>
    </w:p>
    <w:p w:rsidR="00000000" w:rsidRDefault="00000000">
      <w:pPr>
        <w:rPr>
          <w:rFonts w:hint="eastAsia"/>
        </w:rPr>
      </w:pPr>
      <w:r>
        <w:rPr>
          <w:rFonts w:hint="eastAsia"/>
        </w:rPr>
        <w:tab/>
        <w:t xml:space="preserve">203.  </w:t>
      </w:r>
      <w:r>
        <w:rPr>
          <w:rFonts w:hint="eastAsia"/>
        </w:rPr>
        <w:t>农村社会保险计划为投保家庭的所有成员提供如下福利：</w:t>
      </w:r>
    </w:p>
    <w:p w:rsidR="00000000" w:rsidRDefault="00000000">
      <w:pPr>
        <w:numPr>
          <w:ilvl w:val="0"/>
          <w:numId w:val="156"/>
        </w:numPr>
        <w:rPr>
          <w:rFonts w:hint="eastAsia"/>
        </w:rPr>
      </w:pPr>
      <w:r>
        <w:rPr>
          <w:rFonts w:hint="eastAsia"/>
        </w:rPr>
        <w:t>疾病：</w:t>
      </w:r>
    </w:p>
    <w:p w:rsidR="00000000" w:rsidRDefault="00000000">
      <w:pPr>
        <w:pStyle w:val="a0"/>
        <w:tabs>
          <w:tab w:val="num" w:pos="2070"/>
        </w:tabs>
        <w:ind w:left="2070"/>
        <w:rPr>
          <w:rFonts w:hint="eastAsia"/>
        </w:rPr>
      </w:pPr>
      <w:r>
        <w:rPr>
          <w:rFonts w:hint="eastAsia"/>
        </w:rPr>
        <w:t>医疗和药品；</w:t>
      </w:r>
    </w:p>
    <w:p w:rsidR="00000000" w:rsidRDefault="00000000">
      <w:pPr>
        <w:pStyle w:val="a0"/>
        <w:tabs>
          <w:tab w:val="num" w:pos="2070"/>
        </w:tabs>
        <w:ind w:left="2070"/>
        <w:rPr>
          <w:rFonts w:hint="eastAsia"/>
        </w:rPr>
      </w:pPr>
      <w:r>
        <w:rPr>
          <w:rFonts w:hint="eastAsia"/>
        </w:rPr>
        <w:t>手术；</w:t>
      </w:r>
    </w:p>
    <w:p w:rsidR="00000000" w:rsidRDefault="00000000">
      <w:pPr>
        <w:pStyle w:val="a0"/>
        <w:tabs>
          <w:tab w:val="num" w:pos="2070"/>
        </w:tabs>
        <w:ind w:left="2070"/>
        <w:rPr>
          <w:rFonts w:hint="eastAsia"/>
        </w:rPr>
      </w:pPr>
      <w:r>
        <w:rPr>
          <w:rFonts w:hint="eastAsia"/>
        </w:rPr>
        <w:t>住院；</w:t>
      </w:r>
    </w:p>
    <w:p w:rsidR="00000000" w:rsidRDefault="00000000">
      <w:pPr>
        <w:pStyle w:val="ac"/>
        <w:rPr>
          <w:rFonts w:hint="eastAsia"/>
        </w:rPr>
      </w:pPr>
      <w:r>
        <w:t>(b)</w:t>
      </w:r>
      <w:r>
        <w:tab/>
      </w:r>
      <w:r>
        <w:rPr>
          <w:rFonts w:hint="eastAsia"/>
        </w:rPr>
        <w:t>生育：</w:t>
      </w:r>
    </w:p>
    <w:p w:rsidR="00000000" w:rsidRDefault="00000000">
      <w:pPr>
        <w:pStyle w:val="a0"/>
        <w:tabs>
          <w:tab w:val="num" w:pos="2070"/>
        </w:tabs>
        <w:ind w:left="2070"/>
        <w:rPr>
          <w:rFonts w:hint="eastAsia"/>
        </w:rPr>
      </w:pPr>
      <w:r>
        <w:rPr>
          <w:rFonts w:hint="eastAsia"/>
        </w:rPr>
        <w:t>产科援助，包括产前、临产或产后护理；</w:t>
      </w:r>
    </w:p>
    <w:p w:rsidR="00000000" w:rsidRDefault="00000000">
      <w:pPr>
        <w:pStyle w:val="a0"/>
        <w:tabs>
          <w:tab w:val="num" w:pos="2070"/>
        </w:tabs>
        <w:ind w:left="2070"/>
        <w:rPr>
          <w:rFonts w:hint="eastAsia"/>
        </w:rPr>
      </w:pPr>
      <w:r>
        <w:rPr>
          <w:rFonts w:hint="eastAsia"/>
        </w:rPr>
        <w:t>投保人的新生儿头一岁的医疗保健；</w:t>
      </w:r>
    </w:p>
    <w:p w:rsidR="00000000" w:rsidRDefault="00000000">
      <w:pPr>
        <w:pStyle w:val="ac"/>
        <w:rPr>
          <w:rFonts w:hint="eastAsia"/>
        </w:rPr>
      </w:pPr>
      <w:r>
        <w:t>(c)</w:t>
      </w:r>
      <w:r>
        <w:tab/>
      </w:r>
      <w:r>
        <w:rPr>
          <w:rFonts w:hint="eastAsia"/>
        </w:rPr>
        <w:t>牙科保健：</w:t>
      </w:r>
    </w:p>
    <w:p w:rsidR="00000000" w:rsidRDefault="00000000">
      <w:pPr>
        <w:pStyle w:val="a0"/>
        <w:tabs>
          <w:tab w:val="num" w:pos="2070"/>
        </w:tabs>
        <w:ind w:left="2070"/>
        <w:rPr>
          <w:rFonts w:hint="eastAsia"/>
        </w:rPr>
      </w:pPr>
      <w:r>
        <w:rPr>
          <w:rFonts w:hint="eastAsia"/>
        </w:rPr>
        <w:t>口腔检查；</w:t>
      </w:r>
    </w:p>
    <w:p w:rsidR="00000000" w:rsidRDefault="00000000">
      <w:pPr>
        <w:pStyle w:val="a0"/>
        <w:tabs>
          <w:tab w:val="num" w:pos="2070"/>
        </w:tabs>
        <w:ind w:left="2070"/>
        <w:rPr>
          <w:rFonts w:hint="eastAsia"/>
        </w:rPr>
      </w:pPr>
      <w:r>
        <w:rPr>
          <w:rFonts w:hint="eastAsia"/>
        </w:rPr>
        <w:t>预防性护理；</w:t>
      </w:r>
    </w:p>
    <w:p w:rsidR="00000000" w:rsidRDefault="00000000">
      <w:pPr>
        <w:pStyle w:val="a0"/>
        <w:tabs>
          <w:tab w:val="num" w:pos="2070"/>
        </w:tabs>
        <w:ind w:left="2070"/>
        <w:rPr>
          <w:rFonts w:hint="eastAsia"/>
        </w:rPr>
      </w:pPr>
      <w:r>
        <w:rPr>
          <w:rFonts w:hint="eastAsia"/>
        </w:rPr>
        <w:t>拔牙；</w:t>
      </w:r>
    </w:p>
    <w:p w:rsidR="00000000" w:rsidRDefault="00000000">
      <w:pPr>
        <w:pStyle w:val="a0"/>
        <w:tabs>
          <w:tab w:val="num" w:pos="2070"/>
        </w:tabs>
        <w:ind w:left="2070"/>
        <w:rPr>
          <w:rFonts w:hint="eastAsia"/>
        </w:rPr>
      </w:pPr>
      <w:r>
        <w:rPr>
          <w:rFonts w:hint="eastAsia"/>
        </w:rPr>
        <w:t>治牙。</w:t>
      </w:r>
    </w:p>
    <w:p w:rsidR="00000000" w:rsidRDefault="00000000">
      <w:pPr>
        <w:rPr>
          <w:rFonts w:hint="eastAsia"/>
        </w:rPr>
      </w:pPr>
      <w:r>
        <w:rPr>
          <w:rFonts w:hint="eastAsia"/>
        </w:rPr>
        <w:tab/>
        <w:t xml:space="preserve">204.  </w:t>
      </w:r>
      <w:r>
        <w:rPr>
          <w:rFonts w:hint="eastAsia"/>
        </w:rPr>
        <w:t>投保资格：凡在农村地区居住和劳动，明确表示愿意投保，而且在法律上不能参加另一保险计划或成为永久雇主的人，均可参加农村社会保险计划。</w:t>
      </w:r>
    </w:p>
    <w:p w:rsidR="00000000" w:rsidRDefault="00000000">
      <w:pPr>
        <w:rPr>
          <w:rFonts w:hint="eastAsia"/>
        </w:rPr>
      </w:pPr>
      <w:r>
        <w:rPr>
          <w:rFonts w:hint="eastAsia"/>
        </w:rPr>
        <w:tab/>
        <w:t xml:space="preserve">205.  </w:t>
      </w:r>
      <w:r>
        <w:rPr>
          <w:rFonts w:hint="eastAsia"/>
        </w:rPr>
        <w:t>根据《行政和政治区划法》，农村地区是指位于主要城区和教区中心以外的地区。这包括如果大多数人的主要活动是农业生产，则亦属于农村地区。</w:t>
      </w:r>
    </w:p>
    <w:p w:rsidR="00000000" w:rsidRDefault="00000000">
      <w:pPr>
        <w:rPr>
          <w:rFonts w:hint="eastAsia"/>
        </w:rPr>
      </w:pPr>
      <w:r>
        <w:rPr>
          <w:rFonts w:hint="eastAsia"/>
        </w:rPr>
        <w:tab/>
        <w:t xml:space="preserve">206.  </w:t>
      </w:r>
      <w:r>
        <w:rPr>
          <w:rFonts w:hint="eastAsia"/>
        </w:rPr>
        <w:t>农村家庭是指通过血缘关系或亲戚关系相联的一群人，或指相互之间虽然没有亲属关系但被视为有此种关系，而且共有相同家长和收入的人。</w:t>
      </w:r>
    </w:p>
    <w:p w:rsidR="00000000" w:rsidRDefault="00000000">
      <w:pPr>
        <w:rPr>
          <w:rFonts w:hint="eastAsia"/>
        </w:rPr>
      </w:pPr>
      <w:r>
        <w:rPr>
          <w:rFonts w:hint="eastAsia"/>
        </w:rPr>
        <w:tab/>
        <w:t xml:space="preserve">207.  </w:t>
      </w:r>
      <w:r>
        <w:rPr>
          <w:rFonts w:hint="eastAsia"/>
        </w:rPr>
        <w:t>投保家庭的户主是指负责养家，被家中其他人视为一家之主，而且其所从事的主要活动是农业生产或农村社区的第二产业或第三产业的人。</w:t>
      </w:r>
    </w:p>
    <w:p w:rsidR="00000000" w:rsidRDefault="00000000">
      <w:pPr>
        <w:rPr>
          <w:rFonts w:hint="eastAsia"/>
        </w:rPr>
      </w:pPr>
      <w:r>
        <w:rPr>
          <w:rFonts w:hint="eastAsia"/>
        </w:rPr>
        <w:tab/>
        <w:t xml:space="preserve">208.  </w:t>
      </w:r>
      <w:r>
        <w:rPr>
          <w:rFonts w:hint="eastAsia"/>
        </w:rPr>
        <w:t>工伤保险改革：工伤保险属于强制普通保险，承保范围包括工伤事故或职业病等风险，提供的福利有：预防、医疗、丧失工作能力津贴、补偿、残疾津贴和扶养人津贴。根据这一定义，工伤保险可以提供三种保险项目，即：预防、包括津贴在内的卫生福利以及现金福利。</w:t>
      </w:r>
    </w:p>
    <w:p w:rsidR="00000000" w:rsidRDefault="00000000">
      <w:pPr>
        <w:spacing w:after="320"/>
        <w:rPr>
          <w:rFonts w:hint="eastAsia"/>
        </w:rPr>
      </w:pPr>
      <w:r>
        <w:rPr>
          <w:rFonts w:hint="eastAsia"/>
        </w:rPr>
        <w:tab/>
        <w:t xml:space="preserve">209.  </w:t>
      </w:r>
      <w:r>
        <w:rPr>
          <w:rFonts w:hint="eastAsia"/>
        </w:rPr>
        <w:t>这些保险项目每一项均由不同的专门部门提供。卫生福利由社保局的医疗单位提供，现金福利属于养恤金的范围，预防则归工伤部门负责。考虑到在管理这一保险时主要精力是放在预防方面，因此研究报告中建议应成立一个业务部门，采用与其他保险相同的原则，负责通过购买市场上的保险单，进行保险、购买医疗服务和提供现金福利，提供保护防止事故和职业病的发生，并提供诸如部分或全部残疾时的收入以及家属养恤金等福利。</w:t>
      </w:r>
    </w:p>
    <w:p w:rsidR="00000000" w:rsidRDefault="00000000">
      <w:pPr>
        <w:pStyle w:val="Heading3"/>
        <w:spacing w:after="160"/>
        <w:rPr>
          <w:rFonts w:hint="eastAsia"/>
        </w:rPr>
      </w:pPr>
      <w:r>
        <w:rPr>
          <w:rFonts w:hint="eastAsia"/>
        </w:rPr>
        <w:t>第</w:t>
      </w:r>
      <w:r>
        <w:rPr>
          <w:rFonts w:hint="eastAsia"/>
        </w:rPr>
        <w:t xml:space="preserve"> </w:t>
      </w:r>
      <w:r>
        <w:rPr>
          <w:rFonts w:hint="eastAsia"/>
        </w:rPr>
        <w:t>十</w:t>
      </w:r>
      <w:r>
        <w:rPr>
          <w:rFonts w:hint="eastAsia"/>
        </w:rPr>
        <w:t xml:space="preserve"> </w:t>
      </w:r>
      <w:r>
        <w:rPr>
          <w:rFonts w:hint="eastAsia"/>
        </w:rPr>
        <w:t>条</w:t>
      </w:r>
    </w:p>
    <w:p w:rsidR="00000000" w:rsidRDefault="00000000">
      <w:pPr>
        <w:pStyle w:val="Heading4"/>
        <w:spacing w:after="160"/>
        <w:rPr>
          <w:rFonts w:hint="eastAsia"/>
        </w:rPr>
      </w:pPr>
      <w:r>
        <w:rPr>
          <w:rFonts w:hint="eastAsia"/>
        </w:rPr>
        <w:t>对家庭的保护</w:t>
      </w:r>
    </w:p>
    <w:p w:rsidR="00000000" w:rsidRDefault="00000000">
      <w:pPr>
        <w:rPr>
          <w:rFonts w:hint="eastAsia"/>
        </w:rPr>
      </w:pPr>
      <w:r>
        <w:rPr>
          <w:rFonts w:hint="eastAsia"/>
        </w:rPr>
        <w:tab/>
        <w:t>210.  1998</w:t>
      </w:r>
      <w:r>
        <w:rPr>
          <w:rFonts w:hint="eastAsia"/>
        </w:rPr>
        <w:t>年立宪大会的成就之一是，确保儿童和青少年的公民权在新《宪法》第六条中得到承认：</w:t>
      </w:r>
    </w:p>
    <w:p w:rsidR="00000000" w:rsidRDefault="00000000">
      <w:pPr>
        <w:pStyle w:val="ad"/>
        <w:rPr>
          <w:rFonts w:hint="eastAsia"/>
        </w:rPr>
      </w:pPr>
      <w:r>
        <w:rPr>
          <w:rFonts w:hint="eastAsia"/>
        </w:rPr>
        <w:t>“所有厄瓜多尔人都是公民，而且作为公民享有本《宪法》中所规定的权利，并在法律规定的情况下根据法律规定的要求行使这些权利。”</w:t>
      </w:r>
    </w:p>
    <w:p w:rsidR="00000000" w:rsidRDefault="00000000">
      <w:pPr>
        <w:rPr>
          <w:rFonts w:hint="eastAsia"/>
        </w:rPr>
      </w:pPr>
      <w:r>
        <w:rPr>
          <w:rFonts w:hint="eastAsia"/>
        </w:rPr>
        <w:tab/>
        <w:t xml:space="preserve">211.  </w:t>
      </w:r>
      <w:r>
        <w:rPr>
          <w:rFonts w:hint="eastAsia"/>
        </w:rPr>
        <w:t>因此，法律面前人人平等的原则得到保证。所有人都被认为是平等的，并享有同等的权利、自由和机会，不得因出身、年龄、性别、民族或肤色而受到歧视；以实行全面保护的政策为依据建立法律和体制框架，让所有的儿童和青年人均成为法律保护的对象，这补充了现行《儿童法》的不足；现行《儿童法》以旧的在出现非正常情况时提供援助的政策为依据，认为儿童受国家的保护，重点是各类问题儿童</w:t>
      </w:r>
      <w:r>
        <w:rPr>
          <w:rFonts w:hint="eastAsia"/>
        </w:rPr>
        <w:t>(</w:t>
      </w:r>
      <w:r>
        <w:rPr>
          <w:rFonts w:hint="eastAsia"/>
        </w:rPr>
        <w:t>被遗弃儿童或贫困儿童、犯罪儿童或有反社会行为表现的儿童</w:t>
      </w:r>
      <w:r>
        <w:rPr>
          <w:rFonts w:hint="eastAsia"/>
        </w:rPr>
        <w:t>)</w:t>
      </w:r>
      <w:r>
        <w:rPr>
          <w:rFonts w:hint="eastAsia"/>
        </w:rPr>
        <w:t>。</w:t>
      </w:r>
    </w:p>
    <w:p w:rsidR="00000000" w:rsidRDefault="00000000">
      <w:pPr>
        <w:rPr>
          <w:rFonts w:hint="eastAsia"/>
        </w:rPr>
      </w:pPr>
      <w:r>
        <w:rPr>
          <w:rFonts w:hint="eastAsia"/>
        </w:rPr>
        <w:tab/>
        <w:t xml:space="preserve">212.  </w:t>
      </w:r>
      <w:r>
        <w:rPr>
          <w:rFonts w:hint="eastAsia"/>
        </w:rPr>
        <w:t>立宪会议在修改《宪法》时，将妇女、儿童和家庭的权利和法律保护合并在一起。这一新的法典对家庭权利和保障作出了规定。第三十七条规定：</w:t>
      </w:r>
    </w:p>
    <w:p w:rsidR="00000000" w:rsidRDefault="00000000">
      <w:pPr>
        <w:pStyle w:val="ad"/>
        <w:spacing w:after="320"/>
        <w:rPr>
          <w:rFonts w:hint="eastAsia"/>
        </w:rPr>
      </w:pPr>
      <w:r>
        <w:rPr>
          <w:rFonts w:hint="eastAsia"/>
        </w:rPr>
        <w:t>“国家承认并保护作为社会基本单位的家庭，并应保证为促进全面实现其目标提供条件。”</w:t>
      </w:r>
    </w:p>
    <w:p w:rsidR="00000000" w:rsidRDefault="00000000">
      <w:pPr>
        <w:pStyle w:val="Heading4"/>
        <w:rPr>
          <w:rFonts w:eastAsia="KaiTi_GB2312" w:hint="eastAsia"/>
          <w:snapToGrid/>
          <w:spacing w:val="0"/>
          <w:u w:val="none"/>
        </w:rPr>
      </w:pPr>
      <w:r>
        <w:rPr>
          <w:rFonts w:eastAsia="KaiTi_GB2312" w:hint="eastAsia"/>
          <w:snapToGrid/>
          <w:spacing w:val="0"/>
          <w:u w:val="none"/>
        </w:rPr>
        <w:t>家庭的概念</w:t>
      </w:r>
    </w:p>
    <w:p w:rsidR="00000000" w:rsidRDefault="00000000">
      <w:pPr>
        <w:rPr>
          <w:rFonts w:hint="eastAsia"/>
        </w:rPr>
      </w:pPr>
      <w:r>
        <w:rPr>
          <w:rFonts w:hint="eastAsia"/>
        </w:rPr>
        <w:tab/>
        <w:t xml:space="preserve">213.  </w:t>
      </w:r>
      <w:r>
        <w:rPr>
          <w:rFonts w:hint="eastAsia"/>
        </w:rPr>
        <w:t>“国家承认并保护作为社会基本单位的家庭，并应通过建立在家庭成员权利平等和机会均等基础上的法律和事实上的约束，保证为促进全面实现其目标提供条件。”</w:t>
      </w:r>
      <w:r>
        <w:rPr>
          <w:rFonts w:hint="eastAsia"/>
          <w:b/>
          <w:vertAlign w:val="superscript"/>
        </w:rPr>
        <w:t>24</w:t>
      </w:r>
    </w:p>
    <w:p w:rsidR="00000000" w:rsidRDefault="00000000">
      <w:pPr>
        <w:rPr>
          <w:rFonts w:hint="eastAsia"/>
        </w:rPr>
      </w:pPr>
      <w:r>
        <w:rPr>
          <w:rFonts w:hint="eastAsia"/>
        </w:rPr>
        <w:tab/>
        <w:t xml:space="preserve">214.  </w:t>
      </w:r>
      <w:r>
        <w:rPr>
          <w:rFonts w:hint="eastAsia"/>
        </w:rPr>
        <w:t>家庭是通过亲属关系实现社会日复一日世代延续的基本社会核心。</w:t>
      </w:r>
    </w:p>
    <w:p w:rsidR="00000000" w:rsidRDefault="00000000">
      <w:pPr>
        <w:rPr>
          <w:rFonts w:hint="eastAsia"/>
        </w:rPr>
      </w:pPr>
      <w:r>
        <w:rPr>
          <w:rFonts w:hint="eastAsia"/>
        </w:rPr>
        <w:tab/>
        <w:t xml:space="preserve">215. </w:t>
      </w:r>
      <w:r>
        <w:rPr>
          <w:rFonts w:hint="eastAsia"/>
        </w:rPr>
        <w:t>同宗关系与法律上的亲属关系密切相关，并涉及权利和履行义务的行使。</w:t>
      </w:r>
    </w:p>
    <w:p w:rsidR="00000000" w:rsidRDefault="00000000">
      <w:pPr>
        <w:rPr>
          <w:rFonts w:hint="eastAsia"/>
        </w:rPr>
      </w:pPr>
      <w:r>
        <w:rPr>
          <w:rFonts w:hint="eastAsia"/>
        </w:rPr>
        <w:tab/>
        <w:t xml:space="preserve">216.  </w:t>
      </w:r>
      <w:r>
        <w:rPr>
          <w:rFonts w:hint="eastAsia"/>
        </w:rPr>
        <w:t>日复一日延续是指每日照料儿童、做饭以及消费粮食、教育和住房等商品和服务等任务。</w:t>
      </w:r>
    </w:p>
    <w:p w:rsidR="00000000" w:rsidRDefault="00000000">
      <w:pPr>
        <w:rPr>
          <w:rFonts w:hint="eastAsia"/>
        </w:rPr>
      </w:pPr>
      <w:r>
        <w:rPr>
          <w:rFonts w:hint="eastAsia"/>
        </w:rPr>
        <w:tab/>
        <w:t xml:space="preserve">217.  </w:t>
      </w:r>
      <w:r>
        <w:rPr>
          <w:rFonts w:hint="eastAsia"/>
        </w:rPr>
        <w:t>世代延续是指生物繁衍，即：受孕、怀孕、生、死。</w:t>
      </w:r>
    </w:p>
    <w:p w:rsidR="00000000" w:rsidRDefault="00000000">
      <w:pPr>
        <w:spacing w:after="320"/>
        <w:rPr>
          <w:rFonts w:hint="eastAsia"/>
        </w:rPr>
      </w:pPr>
      <w:r>
        <w:rPr>
          <w:rFonts w:hint="eastAsia"/>
        </w:rPr>
        <w:tab/>
        <w:t xml:space="preserve">218.  </w:t>
      </w:r>
      <w:r>
        <w:rPr>
          <w:rFonts w:hint="eastAsia"/>
        </w:rPr>
        <w:t>家庭也被界定为进行抚养和社会化活动的任何自然群体，该群体为儿童的全面发展提供支持，尤其是个性和自尊心这些并非自然而然而是靠儿童生活所在的家庭环境造就的特性方面。</w:t>
      </w:r>
    </w:p>
    <w:p w:rsidR="00000000" w:rsidRDefault="00000000">
      <w:pPr>
        <w:pStyle w:val="Heading4"/>
        <w:rPr>
          <w:rFonts w:eastAsia="KaiTi_GB2312" w:hint="eastAsia"/>
          <w:snapToGrid/>
          <w:spacing w:val="0"/>
          <w:u w:val="none"/>
        </w:rPr>
      </w:pPr>
      <w:r>
        <w:rPr>
          <w:rFonts w:eastAsia="KaiTi_GB2312" w:hint="eastAsia"/>
          <w:snapToGrid/>
          <w:spacing w:val="0"/>
          <w:u w:val="none"/>
        </w:rPr>
        <w:t>法定成年人年龄</w:t>
      </w:r>
    </w:p>
    <w:p w:rsidR="00000000" w:rsidRDefault="00000000">
      <w:pPr>
        <w:rPr>
          <w:rFonts w:hint="eastAsia"/>
        </w:rPr>
      </w:pPr>
      <w:r>
        <w:rPr>
          <w:rFonts w:hint="eastAsia"/>
        </w:rPr>
        <w:tab/>
        <w:t xml:space="preserve">219.  </w:t>
      </w:r>
      <w:r>
        <w:rPr>
          <w:rFonts w:hint="eastAsia"/>
        </w:rPr>
        <w:t>儿童和未满</w:t>
      </w:r>
      <w:r>
        <w:rPr>
          <w:rFonts w:hint="eastAsia"/>
        </w:rPr>
        <w:t>18</w:t>
      </w:r>
      <w:r>
        <w:rPr>
          <w:rFonts w:hint="eastAsia"/>
        </w:rPr>
        <w:t>岁的青年人有通过儿童立法、《儿童法》及相关法规得到符合宪法的保障的权利。为各种不同的法律和社会目的，</w:t>
      </w:r>
      <w:r>
        <w:rPr>
          <w:rFonts w:hint="eastAsia"/>
        </w:rPr>
        <w:t>14</w:t>
      </w:r>
      <w:r>
        <w:rPr>
          <w:rFonts w:hint="eastAsia"/>
        </w:rPr>
        <w:t>至</w:t>
      </w:r>
      <w:r>
        <w:rPr>
          <w:rFonts w:hint="eastAsia"/>
        </w:rPr>
        <w:t>17</w:t>
      </w:r>
      <w:r>
        <w:rPr>
          <w:rFonts w:hint="eastAsia"/>
        </w:rPr>
        <w:t>岁的儿童被视为成年人。《民法》第</w:t>
      </w:r>
      <w:r>
        <w:rPr>
          <w:rFonts w:hint="eastAsia"/>
        </w:rPr>
        <w:t>21</w:t>
      </w:r>
      <w:r>
        <w:rPr>
          <w:rFonts w:hint="eastAsia"/>
        </w:rPr>
        <w:t>条规定：“幼儿是指未满</w:t>
      </w:r>
      <w:r>
        <w:rPr>
          <w:rFonts w:hint="eastAsia"/>
        </w:rPr>
        <w:t>7</w:t>
      </w:r>
      <w:r>
        <w:rPr>
          <w:rFonts w:hint="eastAsia"/>
        </w:rPr>
        <w:t>岁的人；未发育儿童是指未满</w:t>
      </w:r>
      <w:r>
        <w:rPr>
          <w:rFonts w:hint="eastAsia"/>
        </w:rPr>
        <w:t>14</w:t>
      </w:r>
      <w:r>
        <w:rPr>
          <w:rFonts w:hint="eastAsia"/>
        </w:rPr>
        <w:t>岁的男孩和未满</w:t>
      </w:r>
      <w:r>
        <w:rPr>
          <w:rFonts w:hint="eastAsia"/>
        </w:rPr>
        <w:t>12</w:t>
      </w:r>
      <w:r>
        <w:rPr>
          <w:rFonts w:hint="eastAsia"/>
        </w:rPr>
        <w:t>岁的女孩；青年成年人是指不再处于未发育期的人；成年是指年满</w:t>
      </w:r>
      <w:r>
        <w:rPr>
          <w:rFonts w:hint="eastAsia"/>
        </w:rPr>
        <w:t>18</w:t>
      </w:r>
      <w:r>
        <w:rPr>
          <w:rFonts w:hint="eastAsia"/>
        </w:rPr>
        <w:t>岁的人；儿童或未成年人是指未满</w:t>
      </w:r>
      <w:r>
        <w:rPr>
          <w:rFonts w:hint="eastAsia"/>
        </w:rPr>
        <w:t>18</w:t>
      </w:r>
      <w:r>
        <w:rPr>
          <w:rFonts w:hint="eastAsia"/>
        </w:rPr>
        <w:t>岁的人。”</w:t>
      </w:r>
    </w:p>
    <w:p w:rsidR="00000000" w:rsidRDefault="00000000">
      <w:pPr>
        <w:rPr>
          <w:rFonts w:hint="eastAsia"/>
        </w:rPr>
      </w:pPr>
      <w:r>
        <w:rPr>
          <w:rFonts w:hint="eastAsia"/>
        </w:rPr>
        <w:tab/>
        <w:t xml:space="preserve">220.  </w:t>
      </w:r>
      <w:r>
        <w:rPr>
          <w:rFonts w:hint="eastAsia"/>
        </w:rPr>
        <w:t>在厄瓜多尔，男女有结婚的自由，最低年龄为</w:t>
      </w:r>
      <w:r>
        <w:rPr>
          <w:rFonts w:hint="eastAsia"/>
        </w:rPr>
        <w:t>18</w:t>
      </w:r>
      <w:r>
        <w:rPr>
          <w:rFonts w:hint="eastAsia"/>
        </w:rPr>
        <w:t>岁。未成年人必须要得到家长的同意。关于结婚、结婚的义务和权利及其最低年龄的规定载于《民法》和《民事诉讼法》中。</w:t>
      </w:r>
    </w:p>
    <w:p w:rsidR="00000000" w:rsidRDefault="00000000">
      <w:pPr>
        <w:spacing w:after="320"/>
        <w:rPr>
          <w:rFonts w:hint="eastAsia"/>
        </w:rPr>
      </w:pPr>
      <w:r>
        <w:rPr>
          <w:rFonts w:hint="eastAsia"/>
        </w:rPr>
        <w:tab/>
        <w:t xml:space="preserve">221.  </w:t>
      </w:r>
      <w:r>
        <w:rPr>
          <w:rFonts w:hint="eastAsia"/>
        </w:rPr>
        <w:t>《宪法》承认并保护依法成立的家庭或建立在伴侣双方自愿同意而且双方具有平等权利、义务和法律能力基础上的事实结合。在事实结合方面，《宪法》第三十八条规定：“与他人无任何婚姻关系并建立事实家庭的男女之间，在法律规定的期限并根据法律规定的条件和情况下，以一夫一妻的方式稳定结合的，应产生与通过结婚组建家庭者相同的权利和义务，包括法律推定父亲身份和共同财产方面。”</w:t>
      </w:r>
    </w:p>
    <w:p w:rsidR="00000000" w:rsidRDefault="00000000">
      <w:pPr>
        <w:pStyle w:val="Heading4"/>
        <w:rPr>
          <w:rFonts w:eastAsia="KaiTi_GB2312" w:hint="eastAsia"/>
          <w:snapToGrid/>
          <w:spacing w:val="0"/>
          <w:u w:val="none"/>
        </w:rPr>
      </w:pPr>
      <w:r>
        <w:rPr>
          <w:rFonts w:eastAsia="KaiTi_GB2312" w:hint="eastAsia"/>
          <w:snapToGrid/>
          <w:spacing w:val="0"/>
          <w:u w:val="none"/>
        </w:rPr>
        <w:t>对家庭的保护</w:t>
      </w:r>
    </w:p>
    <w:p w:rsidR="00000000" w:rsidRDefault="00000000">
      <w:pPr>
        <w:rPr>
          <w:rFonts w:hint="eastAsia"/>
        </w:rPr>
      </w:pPr>
      <w:r>
        <w:rPr>
          <w:rFonts w:hint="eastAsia"/>
        </w:rPr>
        <w:tab/>
        <w:t xml:space="preserve">222.  </w:t>
      </w:r>
      <w:r>
        <w:rPr>
          <w:rFonts w:hint="eastAsia"/>
        </w:rPr>
        <w:t>《宪法》规定国家应对家庭予以保护：“应鼓励母亲和父亲负起责任。国家应保障个人决定其希望生育、领养、抚养和教育的子女的数目的权利。”</w:t>
      </w:r>
      <w:r>
        <w:rPr>
          <w:rFonts w:hint="eastAsia"/>
          <w:b/>
          <w:vertAlign w:val="superscript"/>
        </w:rPr>
        <w:t>25</w:t>
      </w:r>
    </w:p>
    <w:p w:rsidR="00000000" w:rsidRDefault="00000000">
      <w:pPr>
        <w:rPr>
          <w:rFonts w:hint="eastAsia"/>
        </w:rPr>
      </w:pPr>
      <w:r>
        <w:rPr>
          <w:rFonts w:hint="eastAsia"/>
        </w:rPr>
        <w:tab/>
        <w:t xml:space="preserve">223.  </w:t>
      </w:r>
      <w:r>
        <w:rPr>
          <w:rFonts w:hint="eastAsia"/>
        </w:rPr>
        <w:t>根据《宪法》第四十条：“国家应保护母亲、父亲和所有家长履行自己的责任。国家提倡父亲和母亲责任同等，并关心父母和子女履行和行使对等的义务和权利的情况。子女无论亲生或领养，一律享有同等权利。在进行出生登记时，不得要求表明是否亲生，身份证上亦不得提及是否亲生。</w:t>
      </w:r>
    </w:p>
    <w:p w:rsidR="00000000" w:rsidRDefault="00000000">
      <w:pPr>
        <w:rPr>
          <w:rFonts w:hint="eastAsia"/>
        </w:rPr>
      </w:pPr>
      <w:r>
        <w:rPr>
          <w:rFonts w:hint="eastAsia"/>
        </w:rPr>
        <w:tab/>
        <w:t xml:space="preserve">224.  </w:t>
      </w:r>
      <w:r>
        <w:rPr>
          <w:rFonts w:hint="eastAsia"/>
        </w:rPr>
        <w:t>社会福利部通过儿童保护司正在执行一系列方案，根据符合《儿童法》的指导方针和关于全面保护儿童和青年人的法规，保护和强化家庭；这些方案得到了血亲家庭或寄养家庭和民间社会的支持和参与。</w:t>
      </w:r>
    </w:p>
    <w:p w:rsidR="00000000" w:rsidRDefault="00000000">
      <w:pPr>
        <w:rPr>
          <w:rFonts w:hint="eastAsia"/>
        </w:rPr>
      </w:pPr>
      <w:r>
        <w:rPr>
          <w:rFonts w:hint="eastAsia"/>
        </w:rPr>
        <w:tab/>
        <w:t xml:space="preserve">225.  </w:t>
      </w:r>
      <w:r>
        <w:rPr>
          <w:rFonts w:hint="eastAsia"/>
        </w:rPr>
        <w:t>家庭教育方案是专为儿童中心设计的，旨在支持那些有未满</w:t>
      </w:r>
      <w:r>
        <w:rPr>
          <w:rFonts w:hint="eastAsia"/>
        </w:rPr>
        <w:t>5</w:t>
      </w:r>
      <w:r>
        <w:rPr>
          <w:rFonts w:hint="eastAsia"/>
        </w:rPr>
        <w:t>岁子女的家庭发挥作用，提高其履行职责的能力；并为参加儿童中心的儿童提供支持，以避免成长和发展中的困难。该方案还试图加强家庭的教育职能，鼓励所有家庭成员参与，促进儿童的发展，并建立由儿童中心、家庭和儿童组成的教育环境。</w:t>
      </w:r>
    </w:p>
    <w:p w:rsidR="00000000" w:rsidRDefault="00000000">
      <w:pPr>
        <w:rPr>
          <w:rFonts w:hint="eastAsia"/>
        </w:rPr>
      </w:pPr>
      <w:r>
        <w:rPr>
          <w:rFonts w:hint="eastAsia"/>
        </w:rPr>
        <w:tab/>
        <w:t xml:space="preserve">226.  </w:t>
      </w:r>
      <w:r>
        <w:rPr>
          <w:rFonts w:hint="eastAsia"/>
        </w:rPr>
        <w:t>家庭教育方案可以产生扩散的效果，因为儿童中心的工作人员先接受培训，然后在各儿童中心再传播给家长。</w:t>
      </w:r>
    </w:p>
    <w:p w:rsidR="00000000" w:rsidRDefault="00000000">
      <w:pPr>
        <w:rPr>
          <w:rFonts w:hint="eastAsia"/>
        </w:rPr>
      </w:pPr>
      <w:r>
        <w:rPr>
          <w:rFonts w:hint="eastAsia"/>
        </w:rPr>
        <w:tab/>
        <w:t xml:space="preserve">227.  </w:t>
      </w:r>
      <w:r>
        <w:rPr>
          <w:rFonts w:hint="eastAsia"/>
        </w:rPr>
        <w:t>授课者和受过培训的人具有辅助手册，其内容和主题都与这些中心的机构框架及其为</w:t>
      </w:r>
      <w:r>
        <w:rPr>
          <w:rFonts w:hint="eastAsia"/>
        </w:rPr>
        <w:t>5</w:t>
      </w:r>
      <w:r>
        <w:rPr>
          <w:rFonts w:hint="eastAsia"/>
        </w:rPr>
        <w:t>岁以下的儿童所作工作密切相关。</w:t>
      </w:r>
    </w:p>
    <w:p w:rsidR="00000000" w:rsidRDefault="00000000">
      <w:pPr>
        <w:rPr>
          <w:rFonts w:hint="eastAsia"/>
        </w:rPr>
      </w:pPr>
      <w:r>
        <w:rPr>
          <w:rFonts w:hint="eastAsia"/>
        </w:rPr>
        <w:tab/>
        <w:t xml:space="preserve">228.  </w:t>
      </w:r>
      <w:r>
        <w:rPr>
          <w:rFonts w:hint="eastAsia"/>
        </w:rPr>
        <w:t>儿童保护司儿童保护办公室所办收容院执行的政策是加强和促进家庭完整。</w:t>
      </w:r>
    </w:p>
    <w:p w:rsidR="00000000" w:rsidRDefault="00000000">
      <w:pPr>
        <w:rPr>
          <w:rFonts w:hint="eastAsia"/>
        </w:rPr>
      </w:pPr>
      <w:r>
        <w:rPr>
          <w:rFonts w:hint="eastAsia"/>
        </w:rPr>
        <w:tab/>
        <w:t xml:space="preserve">229.  </w:t>
      </w:r>
      <w:r>
        <w:rPr>
          <w:rFonts w:hint="eastAsia"/>
        </w:rPr>
        <w:t>主要活动领域有：</w:t>
      </w:r>
    </w:p>
    <w:p w:rsidR="00000000" w:rsidRDefault="00000000">
      <w:pPr>
        <w:numPr>
          <w:ilvl w:val="0"/>
          <w:numId w:val="157"/>
        </w:numPr>
        <w:rPr>
          <w:rFonts w:hint="eastAsia"/>
        </w:rPr>
      </w:pPr>
      <w:r>
        <w:rPr>
          <w:rFonts w:hint="eastAsia"/>
        </w:rPr>
        <w:t>制定旨在精确阐明儿童和青年人的社会和法律地位的方案；</w:t>
      </w:r>
    </w:p>
    <w:p w:rsidR="00000000" w:rsidRDefault="00000000">
      <w:pPr>
        <w:numPr>
          <w:ilvl w:val="0"/>
          <w:numId w:val="157"/>
        </w:numPr>
        <w:rPr>
          <w:rFonts w:hint="eastAsia"/>
        </w:rPr>
      </w:pPr>
      <w:r>
        <w:rPr>
          <w:rFonts w:hint="eastAsia"/>
        </w:rPr>
        <w:t>执行教育津贴方案，意在为在收容院的儿童和社区提供财政支助，从而保障受教育的权利；</w:t>
      </w:r>
    </w:p>
    <w:p w:rsidR="00000000" w:rsidRDefault="00000000">
      <w:pPr>
        <w:numPr>
          <w:ilvl w:val="0"/>
          <w:numId w:val="157"/>
        </w:numPr>
        <w:rPr>
          <w:rFonts w:hint="eastAsia"/>
        </w:rPr>
      </w:pPr>
      <w:r>
        <w:rPr>
          <w:rFonts w:hint="eastAsia"/>
        </w:rPr>
        <w:t>专业人士在儿童保护司的工作单位</w:t>
      </w:r>
      <w:r>
        <w:rPr>
          <w:rFonts w:hint="eastAsia"/>
        </w:rPr>
        <w:t>(</w:t>
      </w:r>
      <w:r>
        <w:rPr>
          <w:rFonts w:hint="eastAsia"/>
        </w:rPr>
        <w:t>儿童日托中心、幼儿和儿童收容所和康复单位</w:t>
      </w:r>
      <w:r>
        <w:rPr>
          <w:rFonts w:hint="eastAsia"/>
        </w:rPr>
        <w:t>)</w:t>
      </w:r>
      <w:r>
        <w:rPr>
          <w:rFonts w:hint="eastAsia"/>
        </w:rPr>
        <w:t>为儿童和家庭提供社会、法律和心理帮助，目的是：</w:t>
      </w:r>
    </w:p>
    <w:p w:rsidR="00000000" w:rsidRDefault="00000000">
      <w:pPr>
        <w:pStyle w:val="ac"/>
        <w:numPr>
          <w:ilvl w:val="1"/>
          <w:numId w:val="157"/>
        </w:numPr>
        <w:ind w:left="2210"/>
        <w:rPr>
          <w:rFonts w:hint="eastAsia"/>
        </w:rPr>
      </w:pPr>
      <w:r>
        <w:rPr>
          <w:rFonts w:hint="eastAsia"/>
        </w:rPr>
        <w:t>为住在福利房的家庭提供援助；</w:t>
      </w:r>
    </w:p>
    <w:p w:rsidR="00000000" w:rsidRDefault="00000000">
      <w:pPr>
        <w:pStyle w:val="ac"/>
        <w:numPr>
          <w:ilvl w:val="1"/>
          <w:numId w:val="157"/>
        </w:numPr>
        <w:ind w:left="2210"/>
        <w:rPr>
          <w:rFonts w:hint="eastAsia"/>
        </w:rPr>
      </w:pPr>
      <w:r>
        <w:rPr>
          <w:rFonts w:hint="eastAsia"/>
        </w:rPr>
        <w:t>为家庭制定方案恢复其自尊和信心；</w:t>
      </w:r>
    </w:p>
    <w:p w:rsidR="00000000" w:rsidRDefault="00000000">
      <w:pPr>
        <w:pStyle w:val="ac"/>
        <w:numPr>
          <w:ilvl w:val="1"/>
          <w:numId w:val="157"/>
        </w:numPr>
        <w:ind w:left="2210"/>
        <w:rPr>
          <w:rFonts w:hint="eastAsia"/>
        </w:rPr>
      </w:pPr>
      <w:r>
        <w:rPr>
          <w:rFonts w:hint="eastAsia"/>
        </w:rPr>
        <w:t>为有类似问题的家庭之间交流经验和相互支持创造机会</w:t>
      </w:r>
      <w:r>
        <w:rPr>
          <w:rFonts w:hint="eastAsia"/>
        </w:rPr>
        <w:t>(</w:t>
      </w:r>
      <w:r>
        <w:rPr>
          <w:rFonts w:hint="eastAsia"/>
        </w:rPr>
        <w:t>家长学校</w:t>
      </w:r>
      <w:r>
        <w:rPr>
          <w:rFonts w:hint="eastAsia"/>
        </w:rPr>
        <w:t>)</w:t>
      </w:r>
      <w:r>
        <w:rPr>
          <w:rFonts w:hint="eastAsia"/>
        </w:rPr>
        <w:t>；</w:t>
      </w:r>
    </w:p>
    <w:p w:rsidR="00000000" w:rsidRDefault="00000000">
      <w:pPr>
        <w:pStyle w:val="ac"/>
        <w:numPr>
          <w:ilvl w:val="1"/>
          <w:numId w:val="157"/>
        </w:numPr>
        <w:ind w:left="2210"/>
        <w:rPr>
          <w:rFonts w:hint="eastAsia"/>
        </w:rPr>
      </w:pPr>
      <w:r>
        <w:rPr>
          <w:rFonts w:hint="eastAsia"/>
        </w:rPr>
        <w:t>传播关于权利、义务、政府和私营部门支助的相关和必要信息；</w:t>
      </w:r>
    </w:p>
    <w:p w:rsidR="00000000" w:rsidRDefault="00000000">
      <w:pPr>
        <w:pStyle w:val="ac"/>
        <w:numPr>
          <w:ilvl w:val="1"/>
          <w:numId w:val="157"/>
        </w:numPr>
        <w:ind w:left="2210"/>
        <w:rPr>
          <w:rFonts w:hint="eastAsia"/>
        </w:rPr>
      </w:pPr>
      <w:r>
        <w:rPr>
          <w:rFonts w:hint="eastAsia"/>
        </w:rPr>
        <w:t>为娱乐和社交创造机会；</w:t>
      </w:r>
    </w:p>
    <w:p w:rsidR="00000000" w:rsidRDefault="00000000">
      <w:pPr>
        <w:pStyle w:val="ac"/>
        <w:numPr>
          <w:ilvl w:val="1"/>
          <w:numId w:val="157"/>
        </w:numPr>
        <w:ind w:left="2210"/>
        <w:rPr>
          <w:rFonts w:hint="eastAsia"/>
        </w:rPr>
      </w:pPr>
      <w:r>
        <w:rPr>
          <w:rFonts w:hint="eastAsia"/>
        </w:rPr>
        <w:t>向犯罪青年及其家庭提供重新融入社会和全面发展的选择机会，促进个人、家庭和社会改变态度，以及培养教育习惯；</w:t>
      </w:r>
    </w:p>
    <w:p w:rsidR="00000000" w:rsidRDefault="00000000">
      <w:pPr>
        <w:pStyle w:val="ac"/>
        <w:numPr>
          <w:ilvl w:val="1"/>
          <w:numId w:val="157"/>
        </w:numPr>
        <w:ind w:left="2211"/>
        <w:rPr>
          <w:rFonts w:hint="eastAsia"/>
        </w:rPr>
      </w:pPr>
      <w:r>
        <w:rPr>
          <w:rFonts w:hint="eastAsia"/>
        </w:rPr>
        <w:t>为家庭提供指导、咨询和治疗，以克服个人、社会和法律上的困难。</w:t>
      </w:r>
    </w:p>
    <w:p w:rsidR="00000000" w:rsidRDefault="00000000">
      <w:pPr>
        <w:spacing w:after="320"/>
        <w:rPr>
          <w:rFonts w:hint="eastAsia"/>
        </w:rPr>
      </w:pPr>
      <w:r>
        <w:rPr>
          <w:rFonts w:hint="eastAsia"/>
        </w:rPr>
        <w:tab/>
        <w:t xml:space="preserve">230.   </w:t>
      </w:r>
      <w:r>
        <w:rPr>
          <w:rFonts w:hint="eastAsia"/>
        </w:rPr>
        <w:t>《宪法》第四十三条规定：“公共卫生方案和活动人人免费。公共卫生保健服务对有需求的人免费。国营或私营机构不得以任何理由拒绝提供紧急护理。”</w:t>
      </w:r>
    </w:p>
    <w:p w:rsidR="00000000" w:rsidRDefault="00000000">
      <w:pPr>
        <w:pStyle w:val="Heading4"/>
        <w:rPr>
          <w:rFonts w:eastAsia="KaiTi_GB2312" w:hint="eastAsia"/>
          <w:snapToGrid/>
          <w:spacing w:val="0"/>
          <w:u w:val="none"/>
        </w:rPr>
      </w:pPr>
      <w:r>
        <w:rPr>
          <w:rFonts w:eastAsia="KaiTi_GB2312" w:hint="eastAsia"/>
          <w:snapToGrid/>
          <w:spacing w:val="0"/>
          <w:u w:val="none"/>
        </w:rPr>
        <w:t>产妇保护制度</w:t>
      </w:r>
    </w:p>
    <w:p w:rsidR="00000000" w:rsidRDefault="00000000">
      <w:pPr>
        <w:rPr>
          <w:rFonts w:hint="eastAsia"/>
        </w:rPr>
      </w:pPr>
      <w:r>
        <w:rPr>
          <w:rFonts w:hint="eastAsia"/>
        </w:rPr>
        <w:tab/>
        <w:t xml:space="preserve">231.  </w:t>
      </w:r>
      <w:r>
        <w:rPr>
          <w:rFonts w:hint="eastAsia"/>
        </w:rPr>
        <w:t>《免费母婴护理法》在第</w:t>
      </w:r>
      <w:r>
        <w:rPr>
          <w:rFonts w:hint="eastAsia"/>
        </w:rPr>
        <w:t>1</w:t>
      </w:r>
      <w:r>
        <w:rPr>
          <w:rFonts w:hint="eastAsia"/>
        </w:rPr>
        <w:t>条中保证厄瓜多尔妇女在怀孕期间享受免费保健服务：“厄瓜多尔所有妇女均有权在怀孕、生产和产褥期间免费享受高质量的保健，并可享用性和生殖健康方案。同样，作为一项国家提供的公共卫生服务，应向新生儿和未满</w:t>
      </w:r>
      <w:r>
        <w:rPr>
          <w:rFonts w:hint="eastAsia"/>
        </w:rPr>
        <w:t>5</w:t>
      </w:r>
      <w:r>
        <w:rPr>
          <w:rFonts w:hint="eastAsia"/>
        </w:rPr>
        <w:t>岁的儿童提供免费保健。”</w:t>
      </w:r>
    </w:p>
    <w:p w:rsidR="00000000" w:rsidRDefault="00000000">
      <w:pPr>
        <w:rPr>
          <w:rFonts w:hint="eastAsia"/>
        </w:rPr>
      </w:pPr>
      <w:r>
        <w:rPr>
          <w:rFonts w:hint="eastAsia"/>
        </w:rPr>
        <w:tab/>
        <w:t xml:space="preserve">232.  </w:t>
      </w:r>
      <w:r>
        <w:rPr>
          <w:rFonts w:hint="eastAsia"/>
        </w:rPr>
        <w:t>根据《劳动法》第</w:t>
      </w:r>
      <w:r>
        <w:rPr>
          <w:rFonts w:hint="eastAsia"/>
        </w:rPr>
        <w:t>153</w:t>
      </w:r>
      <w:r>
        <w:rPr>
          <w:rFonts w:hint="eastAsia"/>
        </w:rPr>
        <w:t>条，厄瓜多尔妇女有权在生产前休两周，生产后休十周法定的产假。</w:t>
      </w:r>
    </w:p>
    <w:p w:rsidR="00000000" w:rsidRDefault="00000000">
      <w:pPr>
        <w:rPr>
          <w:rFonts w:hint="eastAsia"/>
        </w:rPr>
      </w:pPr>
      <w:r>
        <w:rPr>
          <w:rFonts w:hint="eastAsia"/>
        </w:rPr>
        <w:tab/>
        <w:t xml:space="preserve">233.  </w:t>
      </w:r>
      <w:r>
        <w:rPr>
          <w:rFonts w:hint="eastAsia"/>
        </w:rPr>
        <w:t>社会保险福利由社保局负责管理。社保局为投保人提供怀孕、生产和产褥期间的产妇福利，其中包括以下产科福利：</w:t>
      </w:r>
    </w:p>
    <w:p w:rsidR="00000000" w:rsidRDefault="00000000">
      <w:pPr>
        <w:pStyle w:val="ac"/>
        <w:rPr>
          <w:rFonts w:hint="eastAsia"/>
        </w:rPr>
      </w:pPr>
      <w:r>
        <w:t>(d)</w:t>
      </w:r>
      <w:r>
        <w:rPr>
          <w:rFonts w:hint="eastAsia"/>
        </w:rPr>
        <w:tab/>
      </w:r>
      <w:r>
        <w:rPr>
          <w:rFonts w:hint="eastAsia"/>
        </w:rPr>
        <w:t>产前、临产和产后产科护理；</w:t>
      </w:r>
    </w:p>
    <w:p w:rsidR="00000000" w:rsidRDefault="00000000">
      <w:pPr>
        <w:pStyle w:val="ac"/>
        <w:rPr>
          <w:rFonts w:hint="eastAsia"/>
        </w:rPr>
      </w:pPr>
      <w:r>
        <w:t>(e)</w:t>
      </w:r>
      <w:r>
        <w:rPr>
          <w:rFonts w:hint="eastAsia"/>
        </w:rPr>
        <w:tab/>
        <w:t>12</w:t>
      </w:r>
      <w:r>
        <w:rPr>
          <w:rFonts w:hint="eastAsia"/>
        </w:rPr>
        <w:t>周的现金福利：生产前</w:t>
      </w:r>
      <w:r>
        <w:rPr>
          <w:rFonts w:hint="eastAsia"/>
        </w:rPr>
        <w:t>2</w:t>
      </w:r>
      <w:r>
        <w:rPr>
          <w:rFonts w:hint="eastAsia"/>
        </w:rPr>
        <w:t>周，生产后</w:t>
      </w:r>
      <w:r>
        <w:rPr>
          <w:rFonts w:hint="eastAsia"/>
        </w:rPr>
        <w:t>10</w:t>
      </w:r>
      <w:r>
        <w:rPr>
          <w:rFonts w:hint="eastAsia"/>
        </w:rPr>
        <w:t>周；</w:t>
      </w:r>
    </w:p>
    <w:p w:rsidR="00000000" w:rsidRDefault="00000000">
      <w:pPr>
        <w:pStyle w:val="ac"/>
        <w:rPr>
          <w:rFonts w:hint="eastAsia"/>
        </w:rPr>
      </w:pPr>
      <w:r>
        <w:t>(f)</w:t>
      </w:r>
      <w:r>
        <w:rPr>
          <w:rFonts w:hint="eastAsia"/>
        </w:rPr>
        <w:tab/>
      </w:r>
      <w:r>
        <w:rPr>
          <w:rFonts w:hint="eastAsia"/>
        </w:rPr>
        <w:t>被保险人的新生儿头</w:t>
      </w:r>
      <w:r>
        <w:rPr>
          <w:rFonts w:hint="eastAsia"/>
        </w:rPr>
        <w:t>1</w:t>
      </w:r>
      <w:r>
        <w:rPr>
          <w:rFonts w:hint="eastAsia"/>
        </w:rPr>
        <w:t>岁的全面儿科保健，其中包括药理服务和住院。</w:t>
      </w:r>
    </w:p>
    <w:p w:rsidR="00000000" w:rsidRDefault="00000000">
      <w:pPr>
        <w:rPr>
          <w:rFonts w:hint="eastAsia"/>
        </w:rPr>
      </w:pPr>
      <w:r>
        <w:rPr>
          <w:rFonts w:hint="eastAsia"/>
        </w:rPr>
        <w:tab/>
        <w:t xml:space="preserve">234.  </w:t>
      </w:r>
      <w:r>
        <w:rPr>
          <w:rFonts w:hint="eastAsia"/>
        </w:rPr>
        <w:t>被保险人凡在生产前的当年交满</w:t>
      </w:r>
      <w:r>
        <w:rPr>
          <w:rFonts w:hint="eastAsia"/>
        </w:rPr>
        <w:t>6</w:t>
      </w:r>
      <w:r>
        <w:rPr>
          <w:rFonts w:hint="eastAsia"/>
        </w:rPr>
        <w:t>个月强制性保险费，即可享受产科护理，但自愿投保者除外，自愿投保者必须交满一年保险费，才有权享受疾病和产妇保险福利。</w:t>
      </w:r>
    </w:p>
    <w:p w:rsidR="00000000" w:rsidRDefault="00000000">
      <w:pPr>
        <w:rPr>
          <w:rFonts w:hint="eastAsia"/>
        </w:rPr>
      </w:pPr>
      <w:r>
        <w:rPr>
          <w:rFonts w:hint="eastAsia"/>
        </w:rPr>
        <w:tab/>
        <w:t xml:space="preserve">235.  </w:t>
      </w:r>
      <w:r>
        <w:rPr>
          <w:rFonts w:hint="eastAsia"/>
        </w:rPr>
        <w:t>社保局支付产前</w:t>
      </w:r>
      <w:r>
        <w:rPr>
          <w:rFonts w:hint="eastAsia"/>
        </w:rPr>
        <w:t>2</w:t>
      </w:r>
      <w:r>
        <w:rPr>
          <w:rFonts w:hint="eastAsia"/>
        </w:rPr>
        <w:t>周产后</w:t>
      </w:r>
      <w:r>
        <w:rPr>
          <w:rFonts w:hint="eastAsia"/>
        </w:rPr>
        <w:t>10</w:t>
      </w:r>
      <w:r>
        <w:rPr>
          <w:rFonts w:hint="eastAsia"/>
        </w:rPr>
        <w:t>周的产妇津贴；但必须要有私人医生或社保局医务人员出具产前和产后休假证明。该项津贴定为被保险人的最近工资的</w:t>
      </w:r>
      <w:r>
        <w:rPr>
          <w:rFonts w:hint="eastAsia"/>
        </w:rPr>
        <w:t>75%</w:t>
      </w:r>
      <w:r>
        <w:rPr>
          <w:rFonts w:hint="eastAsia"/>
        </w:rPr>
        <w:t>。</w:t>
      </w:r>
    </w:p>
    <w:p w:rsidR="00000000" w:rsidRDefault="00000000">
      <w:pPr>
        <w:rPr>
          <w:rFonts w:hint="eastAsia"/>
        </w:rPr>
      </w:pPr>
      <w:r>
        <w:rPr>
          <w:rFonts w:hint="eastAsia"/>
        </w:rPr>
        <w:tab/>
        <w:t xml:space="preserve">236.  </w:t>
      </w:r>
      <w:r>
        <w:rPr>
          <w:rFonts w:hint="eastAsia"/>
        </w:rPr>
        <w:t>最近，孕妇获得所需医疗服务的机会有所提高。例如，</w:t>
      </w:r>
      <w:r>
        <w:rPr>
          <w:rFonts w:hint="eastAsia"/>
        </w:rPr>
        <w:t>1990</w:t>
      </w:r>
      <w:r>
        <w:rPr>
          <w:rFonts w:hint="eastAsia"/>
        </w:rPr>
        <w:t>年每</w:t>
      </w:r>
      <w:r>
        <w:rPr>
          <w:rFonts w:hint="eastAsia"/>
        </w:rPr>
        <w:t>10</w:t>
      </w:r>
      <w:r>
        <w:rPr>
          <w:rFonts w:hint="eastAsia"/>
        </w:rPr>
        <w:t>人分娩中有</w:t>
      </w:r>
      <w:r>
        <w:rPr>
          <w:rFonts w:hint="eastAsia"/>
        </w:rPr>
        <w:t>4</w:t>
      </w:r>
      <w:r>
        <w:rPr>
          <w:rFonts w:hint="eastAsia"/>
        </w:rPr>
        <w:t>人</w:t>
      </w:r>
      <w:r>
        <w:rPr>
          <w:rFonts w:hint="eastAsia"/>
        </w:rPr>
        <w:t>(38%)</w:t>
      </w:r>
      <w:r>
        <w:rPr>
          <w:rFonts w:hint="eastAsia"/>
        </w:rPr>
        <w:t>是在有医疗设施的情况下助产的；</w:t>
      </w:r>
      <w:r>
        <w:rPr>
          <w:rFonts w:hint="eastAsia"/>
        </w:rPr>
        <w:t>1998</w:t>
      </w:r>
      <w:r>
        <w:rPr>
          <w:rFonts w:hint="eastAsia"/>
        </w:rPr>
        <w:t>年助产比例翻了一番</w:t>
      </w:r>
      <w:r>
        <w:rPr>
          <w:rFonts w:hint="eastAsia"/>
        </w:rPr>
        <w:t>(77%)</w:t>
      </w:r>
      <w:r>
        <w:rPr>
          <w:rFonts w:hint="eastAsia"/>
        </w:rPr>
        <w:t>。然而，农村和城市妇女生产时所得到的助产类型仍有差异。</w:t>
      </w:r>
      <w:r>
        <w:rPr>
          <w:rFonts w:hint="eastAsia"/>
        </w:rPr>
        <w:t>1998</w:t>
      </w:r>
      <w:r>
        <w:rPr>
          <w:rFonts w:hint="eastAsia"/>
        </w:rPr>
        <w:t>年，城市地区几乎所有生产</w:t>
      </w:r>
      <w:r>
        <w:rPr>
          <w:rFonts w:hint="eastAsia"/>
        </w:rPr>
        <w:t>(98%)</w:t>
      </w:r>
      <w:r>
        <w:rPr>
          <w:rFonts w:hint="eastAsia"/>
        </w:rPr>
        <w:t>都是由专业人员或训练有素的人员组成的，而农村地区每</w:t>
      </w:r>
      <w:r>
        <w:rPr>
          <w:rFonts w:hint="eastAsia"/>
        </w:rPr>
        <w:t>10</w:t>
      </w:r>
      <w:r>
        <w:rPr>
          <w:rFonts w:hint="eastAsia"/>
        </w:rPr>
        <w:t>人分娩只有</w:t>
      </w:r>
      <w:r>
        <w:rPr>
          <w:rFonts w:hint="eastAsia"/>
        </w:rPr>
        <w:t>8</w:t>
      </w:r>
      <w:r>
        <w:rPr>
          <w:rFonts w:hint="eastAsia"/>
        </w:rPr>
        <w:t>人</w:t>
      </w:r>
      <w:r>
        <w:rPr>
          <w:rFonts w:hint="eastAsia"/>
        </w:rPr>
        <w:t>(82%)</w:t>
      </w:r>
      <w:r>
        <w:rPr>
          <w:rFonts w:hint="eastAsia"/>
        </w:rPr>
        <w:t>是由这些人员助产的。</w:t>
      </w:r>
      <w:r>
        <w:rPr>
          <w:rFonts w:hint="eastAsia"/>
          <w:b/>
          <w:vertAlign w:val="superscript"/>
        </w:rPr>
        <w:t>26</w:t>
      </w:r>
    </w:p>
    <w:p w:rsidR="00000000" w:rsidRDefault="00000000">
      <w:pPr>
        <w:rPr>
          <w:rFonts w:hint="eastAsia"/>
        </w:rPr>
      </w:pPr>
      <w:r>
        <w:rPr>
          <w:rFonts w:hint="eastAsia"/>
        </w:rPr>
        <w:tab/>
        <w:t xml:space="preserve">237.  </w:t>
      </w:r>
      <w:r>
        <w:rPr>
          <w:rFonts w:hint="eastAsia"/>
        </w:rPr>
        <w:t>令人不安的是，过去</w:t>
      </w:r>
      <w:r>
        <w:rPr>
          <w:rFonts w:hint="eastAsia"/>
        </w:rPr>
        <w:t>10</w:t>
      </w:r>
      <w:r>
        <w:rPr>
          <w:rFonts w:hint="eastAsia"/>
        </w:rPr>
        <w:t>年中，孕妇的保健没有改善。厄瓜多尔妇女怀孕所得到的医疗检查基本不够，而且</w:t>
      </w:r>
      <w:r>
        <w:rPr>
          <w:rFonts w:hint="eastAsia"/>
        </w:rPr>
        <w:t>1995</w:t>
      </w:r>
      <w:r>
        <w:rPr>
          <w:rFonts w:hint="eastAsia"/>
        </w:rPr>
        <w:t>年至</w:t>
      </w:r>
      <w:r>
        <w:rPr>
          <w:rFonts w:hint="eastAsia"/>
        </w:rPr>
        <w:t>1998</w:t>
      </w:r>
      <w:r>
        <w:rPr>
          <w:rFonts w:hint="eastAsia"/>
        </w:rPr>
        <w:t>年之间情况没有任何改变，妇女怀孕期间接受检查的次数平均为</w:t>
      </w:r>
      <w:r>
        <w:rPr>
          <w:rFonts w:hint="eastAsia"/>
        </w:rPr>
        <w:t>5</w:t>
      </w:r>
      <w:r>
        <w:rPr>
          <w:rFonts w:hint="eastAsia"/>
        </w:rPr>
        <w:t>次。城市妇女的平均体检次数为</w:t>
      </w:r>
      <w:r>
        <w:rPr>
          <w:rFonts w:hint="eastAsia"/>
        </w:rPr>
        <w:t>6</w:t>
      </w:r>
      <w:r>
        <w:rPr>
          <w:rFonts w:hint="eastAsia"/>
        </w:rPr>
        <w:t>次；农村地区妇女平均勉强达到</w:t>
      </w:r>
      <w:r>
        <w:rPr>
          <w:rFonts w:hint="eastAsia"/>
        </w:rPr>
        <w:t>4</w:t>
      </w:r>
      <w:r>
        <w:rPr>
          <w:rFonts w:hint="eastAsia"/>
        </w:rPr>
        <w:t>次。</w:t>
      </w:r>
    </w:p>
    <w:p w:rsidR="00000000" w:rsidRDefault="00000000">
      <w:pPr>
        <w:rPr>
          <w:rFonts w:hint="eastAsia"/>
        </w:rPr>
      </w:pPr>
      <w:r>
        <w:rPr>
          <w:rFonts w:hint="eastAsia"/>
        </w:rPr>
        <w:tab/>
        <w:t xml:space="preserve">238.  </w:t>
      </w:r>
      <w:r>
        <w:rPr>
          <w:rFonts w:hint="eastAsia"/>
        </w:rPr>
        <w:t>土著妇女保健次数更少，产前检查平均只有</w:t>
      </w:r>
      <w:r>
        <w:rPr>
          <w:rFonts w:hint="eastAsia"/>
        </w:rPr>
        <w:t>2</w:t>
      </w:r>
      <w:r>
        <w:rPr>
          <w:rFonts w:hint="eastAsia"/>
        </w:rPr>
        <w:t>次。</w:t>
      </w:r>
      <w:r>
        <w:rPr>
          <w:rFonts w:hint="eastAsia"/>
        </w:rPr>
        <w:t>1995</w:t>
      </w:r>
      <w:r>
        <w:rPr>
          <w:rFonts w:hint="eastAsia"/>
        </w:rPr>
        <w:t>年，</w:t>
      </w:r>
      <w:r>
        <w:rPr>
          <w:rFonts w:hint="eastAsia"/>
        </w:rPr>
        <w:t>42%</w:t>
      </w:r>
      <w:r>
        <w:rPr>
          <w:rFonts w:hint="eastAsia"/>
        </w:rPr>
        <w:t>的土著妇女根本没有任何产前检查。</w:t>
      </w:r>
      <w:r>
        <w:rPr>
          <w:rFonts w:hint="eastAsia"/>
          <w:b/>
          <w:vertAlign w:val="superscript"/>
        </w:rPr>
        <w:t>27</w:t>
      </w:r>
    </w:p>
    <w:p w:rsidR="00000000" w:rsidRDefault="00000000">
      <w:pPr>
        <w:spacing w:after="320"/>
        <w:rPr>
          <w:rFonts w:hint="eastAsia"/>
        </w:rPr>
      </w:pPr>
      <w:r>
        <w:rPr>
          <w:rFonts w:hint="eastAsia"/>
        </w:rPr>
        <w:tab/>
        <w:t xml:space="preserve">239.  </w:t>
      </w:r>
      <w:r>
        <w:rPr>
          <w:rFonts w:hint="eastAsia"/>
        </w:rPr>
        <w:t>最后，另一个目标是要提高获得信息、接受教育和得到计划生育服务的机会。</w:t>
      </w:r>
      <w:r>
        <w:rPr>
          <w:rFonts w:hint="eastAsia"/>
        </w:rPr>
        <w:t>1994</w:t>
      </w:r>
      <w:r>
        <w:rPr>
          <w:rFonts w:hint="eastAsia"/>
        </w:rPr>
        <w:t>年，绝大多数厄瓜多尔妇女</w:t>
      </w:r>
      <w:r>
        <w:rPr>
          <w:rFonts w:hint="eastAsia"/>
        </w:rPr>
        <w:t>(92%)</w:t>
      </w:r>
      <w:r>
        <w:rPr>
          <w:rFonts w:hint="eastAsia"/>
        </w:rPr>
        <w:t>了解一种或多种现代避孕办法。但农村地区的妇女了解的人数少一些</w:t>
      </w:r>
      <w:r>
        <w:rPr>
          <w:rFonts w:hint="eastAsia"/>
        </w:rPr>
        <w:t>(85%)</w:t>
      </w:r>
      <w:r>
        <w:rPr>
          <w:rFonts w:hint="eastAsia"/>
        </w:rPr>
        <w:t>。农村和城市地区实行避孕的人数持续增多。</w:t>
      </w:r>
      <w:r>
        <w:rPr>
          <w:rFonts w:hint="eastAsia"/>
        </w:rPr>
        <w:t>1994</w:t>
      </w:r>
      <w:r>
        <w:rPr>
          <w:rFonts w:hint="eastAsia"/>
        </w:rPr>
        <w:t>年，已婚妇女中一半以上实行避孕</w:t>
      </w:r>
      <w:r>
        <w:rPr>
          <w:rFonts w:hint="eastAsia"/>
        </w:rPr>
        <w:t>(</w:t>
      </w:r>
      <w:r>
        <w:rPr>
          <w:rFonts w:hint="eastAsia"/>
        </w:rPr>
        <w:t>城市</w:t>
      </w:r>
      <w:r>
        <w:rPr>
          <w:rFonts w:hint="eastAsia"/>
        </w:rPr>
        <w:t>66%</w:t>
      </w:r>
      <w:r>
        <w:rPr>
          <w:rFonts w:hint="eastAsia"/>
        </w:rPr>
        <w:t>，农村地区</w:t>
      </w:r>
      <w:r>
        <w:rPr>
          <w:rFonts w:hint="eastAsia"/>
        </w:rPr>
        <w:t>44%)</w:t>
      </w:r>
      <w:r>
        <w:rPr>
          <w:rFonts w:hint="eastAsia"/>
        </w:rPr>
        <w:t>；</w:t>
      </w:r>
      <w:r>
        <w:rPr>
          <w:rFonts w:hint="eastAsia"/>
        </w:rPr>
        <w:t>1998</w:t>
      </w:r>
      <w:r>
        <w:rPr>
          <w:rFonts w:hint="eastAsia"/>
        </w:rPr>
        <w:t>年，</w:t>
      </w:r>
      <w:r>
        <w:rPr>
          <w:rFonts w:hint="eastAsia"/>
        </w:rPr>
        <w:t>10</w:t>
      </w:r>
      <w:r>
        <w:rPr>
          <w:rFonts w:hint="eastAsia"/>
        </w:rPr>
        <w:t>名育龄妇女</w:t>
      </w:r>
      <w:r>
        <w:rPr>
          <w:rFonts w:hint="eastAsia"/>
        </w:rPr>
        <w:t>(</w:t>
      </w:r>
      <w:r>
        <w:rPr>
          <w:rFonts w:hint="eastAsia"/>
        </w:rPr>
        <w:t>无论婚否</w:t>
      </w:r>
      <w:r>
        <w:rPr>
          <w:rFonts w:hint="eastAsia"/>
        </w:rPr>
        <w:t>)</w:t>
      </w:r>
      <w:r>
        <w:rPr>
          <w:rFonts w:hint="eastAsia"/>
        </w:rPr>
        <w:t>中有</w:t>
      </w:r>
      <w:r>
        <w:rPr>
          <w:rFonts w:hint="eastAsia"/>
        </w:rPr>
        <w:t>4</w:t>
      </w:r>
      <w:r>
        <w:rPr>
          <w:rFonts w:hint="eastAsia"/>
        </w:rPr>
        <w:t>名实行避孕。</w:t>
      </w:r>
      <w:r>
        <w:rPr>
          <w:rFonts w:hint="eastAsia"/>
          <w:b/>
          <w:vertAlign w:val="superscript"/>
        </w:rPr>
        <w:t>28</w:t>
      </w:r>
    </w:p>
    <w:p w:rsidR="00000000" w:rsidRDefault="00000000">
      <w:pPr>
        <w:pStyle w:val="Heading4"/>
        <w:rPr>
          <w:rFonts w:hint="eastAsia"/>
        </w:rPr>
      </w:pPr>
      <w:r>
        <w:rPr>
          <w:rFonts w:hint="eastAsia"/>
        </w:rPr>
        <w:t>儿童保护</w:t>
      </w:r>
    </w:p>
    <w:p w:rsidR="00000000" w:rsidRDefault="00000000">
      <w:pPr>
        <w:rPr>
          <w:rFonts w:hint="eastAsia"/>
        </w:rPr>
      </w:pPr>
      <w:r>
        <w:rPr>
          <w:rFonts w:hint="eastAsia"/>
        </w:rPr>
        <w:tab/>
        <w:t xml:space="preserve">240.  </w:t>
      </w:r>
      <w:r>
        <w:rPr>
          <w:rFonts w:hint="eastAsia"/>
        </w:rPr>
        <w:t>厄瓜多尔国家通过《劳动法》和《儿童法》保护儿童免受经济上的虐待。国家制订了在工作场所保护儿童的政策。国家对儿童可以从事的工作种类作了规定，禁止其从事威胁其生命或其身心健康、精神或心理发育或妨碍其教育的工作。</w:t>
      </w:r>
    </w:p>
    <w:p w:rsidR="00000000" w:rsidRDefault="00000000">
      <w:pPr>
        <w:rPr>
          <w:rFonts w:hint="eastAsia"/>
        </w:rPr>
      </w:pPr>
      <w:r>
        <w:rPr>
          <w:rFonts w:hint="eastAsia"/>
        </w:rPr>
        <w:tab/>
        <w:t xml:space="preserve">241.  </w:t>
      </w:r>
      <w:r>
        <w:rPr>
          <w:rFonts w:hint="eastAsia"/>
        </w:rPr>
        <w:t>禁止儿童在矿山或垃圾场工作，禁止从事涉及处理精神药物或有毒物品或药物的工作，或上夜班。</w:t>
      </w:r>
    </w:p>
    <w:p w:rsidR="00000000" w:rsidRDefault="00000000">
      <w:pPr>
        <w:rPr>
          <w:rFonts w:hint="eastAsia"/>
        </w:rPr>
      </w:pPr>
      <w:r>
        <w:rPr>
          <w:rFonts w:hint="eastAsia"/>
        </w:rPr>
        <w:tab/>
        <w:t xml:space="preserve">242.  </w:t>
      </w:r>
      <w:r>
        <w:rPr>
          <w:rFonts w:hint="eastAsia"/>
        </w:rPr>
        <w:t>《劳动法》第</w:t>
      </w:r>
      <w:r>
        <w:rPr>
          <w:rFonts w:hint="eastAsia"/>
        </w:rPr>
        <w:t>34</w:t>
      </w:r>
      <w:r>
        <w:rPr>
          <w:rFonts w:hint="eastAsia"/>
        </w:rPr>
        <w:t>条禁止雇用未满</w:t>
      </w:r>
      <w:r>
        <w:rPr>
          <w:rFonts w:hint="eastAsia"/>
        </w:rPr>
        <w:t>14</w:t>
      </w:r>
      <w:r>
        <w:rPr>
          <w:rFonts w:hint="eastAsia"/>
        </w:rPr>
        <w:t>岁的儿童：“</w:t>
      </w:r>
      <w:r>
        <w:rPr>
          <w:rFonts w:hint="eastAsia"/>
        </w:rPr>
        <w:t>14</w:t>
      </w:r>
      <w:r>
        <w:rPr>
          <w:rFonts w:hint="eastAsia"/>
        </w:rPr>
        <w:t>岁至</w:t>
      </w:r>
      <w:r>
        <w:rPr>
          <w:rFonts w:hint="eastAsia"/>
        </w:rPr>
        <w:t>18</w:t>
      </w:r>
      <w:r>
        <w:rPr>
          <w:rFonts w:hint="eastAsia"/>
        </w:rPr>
        <w:t>岁的人受聘需征得其近亲的明确同意，如无近亲，需征得其远亲或负责抚养或照料的人的明确授权。如既无近亲或远亲，又无负责抚养或照料的人，可由青年法庭批准。</w:t>
      </w:r>
    </w:p>
    <w:p w:rsidR="00000000" w:rsidRDefault="00000000">
      <w:pPr>
        <w:rPr>
          <w:rFonts w:hint="eastAsia"/>
        </w:rPr>
      </w:pPr>
      <w:r>
        <w:rPr>
          <w:rFonts w:hint="eastAsia"/>
        </w:rPr>
        <w:tab/>
        <w:t xml:space="preserve">243.  </w:t>
      </w:r>
      <w:r>
        <w:rPr>
          <w:rFonts w:hint="eastAsia"/>
        </w:rPr>
        <w:t>《青年法》第</w:t>
      </w:r>
      <w:r>
        <w:rPr>
          <w:rFonts w:hint="eastAsia"/>
        </w:rPr>
        <w:t>157</w:t>
      </w:r>
      <w:r>
        <w:rPr>
          <w:rFonts w:hint="eastAsia"/>
        </w:rPr>
        <w:t>条规定：“青年法庭可批准受扶养的儿童做工，但条件是这些活动符合以下条件：不会中断其教育，也不会对其健康产生有害影响。青年法庭须在社会团体或主管的劳动部门作出报告的情况下予以批准。”</w:t>
      </w:r>
    </w:p>
    <w:p w:rsidR="00000000" w:rsidRDefault="00000000">
      <w:pPr>
        <w:rPr>
          <w:rFonts w:hint="eastAsia"/>
        </w:rPr>
      </w:pPr>
      <w:r>
        <w:rPr>
          <w:rFonts w:hint="eastAsia"/>
        </w:rPr>
        <w:tab/>
        <w:t xml:space="preserve">244.  </w:t>
      </w:r>
      <w:r>
        <w:rPr>
          <w:rFonts w:hint="eastAsia"/>
        </w:rPr>
        <w:t>《劳动法》第</w:t>
      </w:r>
      <w:r>
        <w:rPr>
          <w:rFonts w:hint="eastAsia"/>
        </w:rPr>
        <w:t>158</w:t>
      </w:r>
      <w:r>
        <w:rPr>
          <w:rFonts w:hint="eastAsia"/>
        </w:rPr>
        <w:t>条规定，青年法庭应对这些批准情况登记在案，并应向就业与人力资源司和儿童保护司提交一份相应登记的副本，如未遵守，应予处罚。登记材料中应载有下列资料：年龄、工种、工作地点、教育机构以及</w:t>
      </w:r>
      <w:r>
        <w:rPr>
          <w:rFonts w:hint="eastAsia"/>
        </w:rPr>
        <w:t>(</w:t>
      </w:r>
      <w:r>
        <w:rPr>
          <w:rFonts w:hint="eastAsia"/>
        </w:rPr>
        <w:t>酌情</w:t>
      </w:r>
      <w:r>
        <w:rPr>
          <w:rFonts w:hint="eastAsia"/>
        </w:rPr>
        <w:t>)</w:t>
      </w:r>
      <w:r>
        <w:rPr>
          <w:rFonts w:hint="eastAsia"/>
        </w:rPr>
        <w:t>每日工作时间和报酬。</w:t>
      </w:r>
    </w:p>
    <w:p w:rsidR="00000000" w:rsidRDefault="00000000">
      <w:pPr>
        <w:rPr>
          <w:rFonts w:hint="eastAsia"/>
        </w:rPr>
      </w:pPr>
      <w:r>
        <w:rPr>
          <w:rFonts w:hint="eastAsia"/>
        </w:rPr>
        <w:tab/>
        <w:t xml:space="preserve">245.  </w:t>
      </w:r>
      <w:r>
        <w:rPr>
          <w:rFonts w:hint="eastAsia"/>
        </w:rPr>
        <w:t>政府通过社会福利部，与其他政府和私营机构及非政府组织一道，正在执行各项方案，确保未成年人不受经济上的剥削；并在提供财政补贴，确保最易受伤害的人能得到各类服务；所提供的援助多种多样，其中包括粮食、行政、用品与材料、职业讲习班、基本物品、收集的玩具、设备、卫生、住院、儿童节、圣诞节、服务津贴及其它等。</w:t>
      </w:r>
    </w:p>
    <w:p w:rsidR="00000000" w:rsidRDefault="00000000">
      <w:pPr>
        <w:rPr>
          <w:rFonts w:hint="eastAsia"/>
        </w:rPr>
      </w:pPr>
      <w:r>
        <w:rPr>
          <w:rFonts w:hint="eastAsia"/>
        </w:rPr>
        <w:tab/>
        <w:t xml:space="preserve">246.  </w:t>
      </w:r>
      <w:r>
        <w:rPr>
          <w:rFonts w:hint="eastAsia"/>
        </w:rPr>
        <w:t>保护措施的形式如下：</w:t>
      </w:r>
    </w:p>
    <w:p w:rsidR="00000000" w:rsidRDefault="00000000">
      <w:pPr>
        <w:numPr>
          <w:ilvl w:val="0"/>
          <w:numId w:val="158"/>
        </w:numPr>
        <w:rPr>
          <w:rFonts w:hint="eastAsia"/>
        </w:rPr>
      </w:pPr>
      <w:r>
        <w:rPr>
          <w:rFonts w:hint="eastAsia"/>
        </w:rPr>
        <w:t>寄宿：这是一种过渡或临时的解决办法，最终将根据每个儿童均有权在家庭环境中成长和受父母或在没有父母的情况下、受给予关爱和保护的人的保护这一概念进行安置。儿童的家庭是第一位的，收容所尽一切努力支持家庭避免出现致使儿童被遗弃的危机，恢复并加强其与儿童之间的联系；</w:t>
      </w:r>
    </w:p>
    <w:p w:rsidR="00000000" w:rsidRDefault="00000000">
      <w:pPr>
        <w:numPr>
          <w:ilvl w:val="0"/>
          <w:numId w:val="158"/>
        </w:numPr>
        <w:rPr>
          <w:rFonts w:hint="eastAsia"/>
        </w:rPr>
      </w:pPr>
      <w:r>
        <w:rPr>
          <w:rFonts w:hint="eastAsia"/>
        </w:rPr>
        <w:t>半寄宿：根据这种照料形式，儿童和青年人星期一至星期五住在收容所中，并享有各种技术服务</w:t>
      </w:r>
      <w:r>
        <w:rPr>
          <w:rFonts w:hint="eastAsia"/>
        </w:rPr>
        <w:t>(</w:t>
      </w:r>
      <w:r>
        <w:rPr>
          <w:rFonts w:hint="eastAsia"/>
        </w:rPr>
        <w:t>社会工作、心理和医疗服务</w:t>
      </w:r>
      <w:r>
        <w:rPr>
          <w:rFonts w:hint="eastAsia"/>
        </w:rPr>
        <w:t>)</w:t>
      </w:r>
      <w:r>
        <w:rPr>
          <w:rFonts w:hint="eastAsia"/>
        </w:rPr>
        <w:t>及照料</w:t>
      </w:r>
      <w:r>
        <w:rPr>
          <w:rFonts w:hint="eastAsia"/>
        </w:rPr>
        <w:t>(</w:t>
      </w:r>
      <w:r>
        <w:rPr>
          <w:rFonts w:hint="eastAsia"/>
        </w:rPr>
        <w:t>食品、卫生、住宿、教育</w:t>
      </w:r>
      <w:r>
        <w:rPr>
          <w:rFonts w:hint="eastAsia"/>
        </w:rPr>
        <w:t>)</w:t>
      </w:r>
      <w:r>
        <w:rPr>
          <w:rFonts w:hint="eastAsia"/>
        </w:rPr>
        <w:t>，星期五至星期日则住在家里；</w:t>
      </w:r>
    </w:p>
    <w:p w:rsidR="00000000" w:rsidRDefault="00000000">
      <w:pPr>
        <w:numPr>
          <w:ilvl w:val="0"/>
          <w:numId w:val="158"/>
        </w:numPr>
        <w:rPr>
          <w:rFonts w:hint="eastAsia"/>
        </w:rPr>
      </w:pPr>
      <w:r>
        <w:rPr>
          <w:rFonts w:hint="eastAsia"/>
        </w:rPr>
        <w:t>提供教育支持的膳食中心：照料星期一至星期五固定时间前来的儿童和青年，为其提供食品、教学辅导以及医疗和心理保健。儿童膳食中心的重点是为处于风险的儿童和青年提供营养支持，以确保儿童身体充分发育；</w:t>
      </w:r>
    </w:p>
    <w:p w:rsidR="00000000" w:rsidRDefault="00000000">
      <w:pPr>
        <w:numPr>
          <w:ilvl w:val="0"/>
          <w:numId w:val="158"/>
        </w:numPr>
        <w:spacing w:after="320"/>
      </w:pPr>
      <w:r>
        <w:rPr>
          <w:rFonts w:hint="eastAsia"/>
        </w:rPr>
        <w:t>日托照料：该项服务为日间上儿童中心的</w:t>
      </w:r>
      <w:r>
        <w:rPr>
          <w:rFonts w:hint="eastAsia"/>
        </w:rPr>
        <w:t>4</w:t>
      </w:r>
      <w:r>
        <w:rPr>
          <w:rFonts w:hint="eastAsia"/>
        </w:rPr>
        <w:t>个月至</w:t>
      </w:r>
      <w:r>
        <w:rPr>
          <w:rFonts w:hint="eastAsia"/>
        </w:rPr>
        <w:t>5</w:t>
      </w:r>
      <w:r>
        <w:rPr>
          <w:rFonts w:hint="eastAsia"/>
        </w:rPr>
        <w:t>岁大的儿童提供，旨在促进儿童的全面发育</w:t>
      </w:r>
      <w:r>
        <w:rPr>
          <w:rFonts w:hint="eastAsia"/>
        </w:rPr>
        <w:t>(</w:t>
      </w:r>
      <w:r>
        <w:rPr>
          <w:rFonts w:hint="eastAsia"/>
        </w:rPr>
        <w:t>早期</w:t>
      </w:r>
      <w:r>
        <w:t>刺激</w:t>
      </w:r>
      <w:r>
        <w:rPr>
          <w:rFonts w:hint="eastAsia"/>
        </w:rPr>
        <w:t>、健康和营养</w:t>
      </w:r>
      <w:r>
        <w:rPr>
          <w:rFonts w:hint="eastAsia"/>
        </w:rPr>
        <w:t>)</w:t>
      </w:r>
      <w:r>
        <w:rPr>
          <w:rFonts w:hint="eastAsia"/>
        </w:rPr>
        <w:t>。</w:t>
      </w:r>
    </w:p>
    <w:p w:rsidR="00000000" w:rsidRDefault="00000000">
      <w:pPr>
        <w:pStyle w:val="Heading4"/>
        <w:rPr>
          <w:rFonts w:eastAsia="KaiTi_GB2312" w:hint="eastAsia"/>
          <w:snapToGrid/>
          <w:spacing w:val="0"/>
          <w:u w:val="none"/>
        </w:rPr>
      </w:pPr>
      <w:r>
        <w:rPr>
          <w:rFonts w:eastAsia="KaiTi_GB2312" w:hint="eastAsia"/>
          <w:snapToGrid/>
          <w:spacing w:val="0"/>
          <w:u w:val="none"/>
        </w:rPr>
        <w:t>童</w:t>
      </w:r>
      <w:r>
        <w:rPr>
          <w:rFonts w:eastAsia="KaiTi_GB2312" w:hint="eastAsia"/>
          <w:snapToGrid/>
          <w:spacing w:val="0"/>
          <w:u w:val="none"/>
        </w:rPr>
        <w:t xml:space="preserve">  </w:t>
      </w:r>
      <w:r>
        <w:rPr>
          <w:rFonts w:eastAsia="KaiTi_GB2312" w:hint="eastAsia"/>
          <w:snapToGrid/>
          <w:spacing w:val="0"/>
          <w:u w:val="none"/>
        </w:rPr>
        <w:t>工</w:t>
      </w:r>
    </w:p>
    <w:p w:rsidR="00000000" w:rsidRDefault="00000000">
      <w:pPr>
        <w:spacing w:after="320"/>
        <w:rPr>
          <w:rFonts w:hint="eastAsia"/>
          <w:vertAlign w:val="superscript"/>
        </w:rPr>
      </w:pPr>
      <w:r>
        <w:rPr>
          <w:rFonts w:hint="eastAsia"/>
        </w:rPr>
        <w:tab/>
        <w:t xml:space="preserve">247.  </w:t>
      </w:r>
      <w:r>
        <w:rPr>
          <w:rFonts w:hint="eastAsia"/>
        </w:rPr>
        <w:t>通过这项指标，争取了解哪些儿童由于必须做工而无法接受教育，或很难获得教育机会。例如该指标显示有多少未满就业合法年龄的儿童在做工，他们能否学习，以未入学的儿童有多少。</w:t>
      </w:r>
      <w:r>
        <w:rPr>
          <w:rFonts w:hint="eastAsia"/>
          <w:b/>
          <w:vertAlign w:val="superscript"/>
        </w:rPr>
        <w:t>29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7"/>
        <w:gridCol w:w="3360"/>
        <w:gridCol w:w="2863"/>
      </w:tblGrid>
      <w:tr w:rsidR="00000000">
        <w:tblPrEx>
          <w:tblCellMar>
            <w:top w:w="0" w:type="dxa"/>
            <w:bottom w:w="0" w:type="dxa"/>
          </w:tblCellMar>
        </w:tblPrEx>
        <w:tc>
          <w:tcPr>
            <w:tcW w:w="3348"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国家细分情况</w:t>
            </w:r>
          </w:p>
        </w:tc>
        <w:tc>
          <w:tcPr>
            <w:tcW w:w="3360" w:type="dxa"/>
          </w:tcPr>
          <w:p w:rsidR="00000000" w:rsidRDefault="00000000">
            <w:pPr>
              <w:pStyle w:val="a2"/>
              <w:jc w:val="center"/>
              <w:rPr>
                <w:rFonts w:ascii="Time New Roman" w:eastAsia="SimHei" w:hAnsi="Time New Roman" w:hint="eastAsia"/>
              </w:rPr>
            </w:pPr>
            <w:r>
              <w:rPr>
                <w:rFonts w:ascii="Time New Roman" w:eastAsia="SimHei" w:hAnsi="Time New Roman" w:hint="eastAsia"/>
                <w:b/>
              </w:rPr>
              <w:t>8</w:t>
            </w:r>
            <w:r>
              <w:rPr>
                <w:rFonts w:ascii="Time New Roman" w:eastAsia="SimHei" w:hAnsi="Time New Roman" w:hint="eastAsia"/>
              </w:rPr>
              <w:t>岁至</w:t>
            </w:r>
            <w:r>
              <w:rPr>
                <w:rFonts w:ascii="Time New Roman" w:eastAsia="SimHei" w:hAnsi="Time New Roman" w:hint="eastAsia"/>
                <w:b/>
              </w:rPr>
              <w:t>17</w:t>
            </w:r>
            <w:r>
              <w:rPr>
                <w:rFonts w:ascii="Time New Roman" w:eastAsia="SimHei" w:hAnsi="Time New Roman" w:hint="eastAsia"/>
              </w:rPr>
              <w:t>岁的儿童</w:t>
            </w:r>
          </w:p>
        </w:tc>
        <w:tc>
          <w:tcPr>
            <w:tcW w:w="2863" w:type="dxa"/>
          </w:tcPr>
          <w:p w:rsidR="00000000" w:rsidRDefault="00000000">
            <w:pPr>
              <w:pStyle w:val="a2"/>
              <w:jc w:val="center"/>
              <w:rPr>
                <w:rFonts w:ascii="Time New Roman" w:eastAsia="SimHei" w:hAnsi="Time New Roman" w:hint="eastAsia"/>
              </w:rPr>
            </w:pPr>
            <w:r>
              <w:rPr>
                <w:rFonts w:ascii="Time New Roman" w:eastAsia="SimHei" w:hAnsi="Time New Roman" w:hint="eastAsia"/>
              </w:rPr>
              <w:t>百分比</w:t>
            </w:r>
          </w:p>
        </w:tc>
      </w:tr>
      <w:tr w:rsidR="00000000">
        <w:tblPrEx>
          <w:tblCellMar>
            <w:top w:w="0" w:type="dxa"/>
            <w:bottom w:w="0" w:type="dxa"/>
          </w:tblCellMar>
        </w:tblPrEx>
        <w:tc>
          <w:tcPr>
            <w:tcW w:w="3348" w:type="dxa"/>
            <w:tcBorders>
              <w:bottom w:val="nil"/>
            </w:tcBorders>
          </w:tcPr>
          <w:p w:rsidR="00000000" w:rsidRDefault="00000000">
            <w:pPr>
              <w:pStyle w:val="a2"/>
              <w:spacing w:before="40" w:after="40"/>
              <w:rPr>
                <w:rFonts w:hint="eastAsia"/>
              </w:rPr>
            </w:pPr>
            <w:r>
              <w:br w:type="page"/>
            </w:r>
            <w:r>
              <w:rPr>
                <w:rFonts w:hint="eastAsia"/>
              </w:rPr>
              <w:t>做工，不学习的儿童</w:t>
            </w:r>
          </w:p>
        </w:tc>
        <w:tc>
          <w:tcPr>
            <w:tcW w:w="3360" w:type="dxa"/>
            <w:tcBorders>
              <w:bottom w:val="nil"/>
            </w:tcBorders>
          </w:tcPr>
          <w:p w:rsidR="00000000" w:rsidRDefault="00000000">
            <w:pPr>
              <w:pStyle w:val="a2"/>
              <w:spacing w:before="40" w:after="40"/>
              <w:ind w:right="732"/>
              <w:jc w:val="right"/>
            </w:pPr>
            <w:r>
              <w:rPr>
                <w:rFonts w:hint="eastAsia"/>
              </w:rPr>
              <w:t>281,</w:t>
            </w:r>
            <w:r>
              <w:t>296</w:t>
            </w:r>
          </w:p>
        </w:tc>
        <w:tc>
          <w:tcPr>
            <w:tcW w:w="2863" w:type="dxa"/>
            <w:tcBorders>
              <w:bottom w:val="nil"/>
            </w:tcBorders>
          </w:tcPr>
          <w:p w:rsidR="00000000" w:rsidRDefault="00000000">
            <w:pPr>
              <w:pStyle w:val="a2"/>
              <w:tabs>
                <w:tab w:val="decimal" w:pos="1780"/>
              </w:tabs>
              <w:spacing w:before="40" w:after="40"/>
            </w:pPr>
            <w:r>
              <w:t>11.8</w:t>
            </w:r>
          </w:p>
        </w:tc>
      </w:tr>
      <w:tr w:rsidR="00000000">
        <w:tblPrEx>
          <w:tblCellMar>
            <w:top w:w="0" w:type="dxa"/>
            <w:bottom w:w="0" w:type="dxa"/>
          </w:tblCellMar>
        </w:tblPrEx>
        <w:tc>
          <w:tcPr>
            <w:tcW w:w="3348" w:type="dxa"/>
            <w:tcBorders>
              <w:top w:val="nil"/>
              <w:bottom w:val="nil"/>
            </w:tcBorders>
          </w:tcPr>
          <w:p w:rsidR="00000000" w:rsidRDefault="00000000">
            <w:pPr>
              <w:pStyle w:val="a2"/>
              <w:spacing w:before="40" w:after="40"/>
              <w:rPr>
                <w:rFonts w:hint="eastAsia"/>
              </w:rPr>
            </w:pPr>
            <w:r>
              <w:rPr>
                <w:rFonts w:hint="eastAsia"/>
              </w:rPr>
              <w:t>不做工，不学习的儿童</w:t>
            </w:r>
          </w:p>
        </w:tc>
        <w:tc>
          <w:tcPr>
            <w:tcW w:w="3360" w:type="dxa"/>
            <w:tcBorders>
              <w:top w:val="nil"/>
              <w:bottom w:val="nil"/>
            </w:tcBorders>
          </w:tcPr>
          <w:p w:rsidR="00000000" w:rsidRDefault="00000000">
            <w:pPr>
              <w:pStyle w:val="a2"/>
              <w:spacing w:before="40" w:after="40"/>
              <w:ind w:right="732"/>
              <w:jc w:val="right"/>
            </w:pPr>
            <w:r>
              <w:t>224,991</w:t>
            </w:r>
          </w:p>
        </w:tc>
        <w:tc>
          <w:tcPr>
            <w:tcW w:w="2863" w:type="dxa"/>
            <w:tcBorders>
              <w:top w:val="nil"/>
              <w:bottom w:val="nil"/>
            </w:tcBorders>
          </w:tcPr>
          <w:p w:rsidR="00000000" w:rsidRDefault="00000000">
            <w:pPr>
              <w:pStyle w:val="a2"/>
              <w:tabs>
                <w:tab w:val="decimal" w:pos="1780"/>
              </w:tabs>
              <w:spacing w:before="40" w:after="40"/>
            </w:pPr>
            <w:r>
              <w:t>9.5</w:t>
            </w:r>
          </w:p>
        </w:tc>
      </w:tr>
      <w:tr w:rsidR="00000000">
        <w:tblPrEx>
          <w:tblCellMar>
            <w:top w:w="0" w:type="dxa"/>
            <w:bottom w:w="0" w:type="dxa"/>
          </w:tblCellMar>
        </w:tblPrEx>
        <w:tc>
          <w:tcPr>
            <w:tcW w:w="3348" w:type="dxa"/>
            <w:tcBorders>
              <w:top w:val="nil"/>
              <w:bottom w:val="nil"/>
            </w:tcBorders>
          </w:tcPr>
          <w:p w:rsidR="00000000" w:rsidRDefault="00000000">
            <w:pPr>
              <w:pStyle w:val="a2"/>
              <w:spacing w:before="40" w:after="40"/>
              <w:rPr>
                <w:rFonts w:hint="eastAsia"/>
              </w:rPr>
            </w:pPr>
            <w:r>
              <w:rPr>
                <w:rFonts w:hint="eastAsia"/>
              </w:rPr>
              <w:t>学习，不做工的儿童</w:t>
            </w:r>
          </w:p>
        </w:tc>
        <w:tc>
          <w:tcPr>
            <w:tcW w:w="3360" w:type="dxa"/>
            <w:tcBorders>
              <w:top w:val="nil"/>
              <w:bottom w:val="nil"/>
            </w:tcBorders>
          </w:tcPr>
          <w:p w:rsidR="00000000" w:rsidRDefault="00000000">
            <w:pPr>
              <w:pStyle w:val="a2"/>
              <w:spacing w:before="40" w:after="40"/>
              <w:ind w:right="732"/>
              <w:jc w:val="right"/>
            </w:pPr>
            <w:r>
              <w:t>1,742,496</w:t>
            </w:r>
          </w:p>
        </w:tc>
        <w:tc>
          <w:tcPr>
            <w:tcW w:w="2863" w:type="dxa"/>
            <w:tcBorders>
              <w:top w:val="nil"/>
              <w:bottom w:val="nil"/>
            </w:tcBorders>
          </w:tcPr>
          <w:p w:rsidR="00000000" w:rsidRDefault="00000000">
            <w:pPr>
              <w:pStyle w:val="a2"/>
              <w:tabs>
                <w:tab w:val="decimal" w:pos="1780"/>
              </w:tabs>
              <w:spacing w:before="40" w:after="40"/>
            </w:pPr>
            <w:r>
              <w:t>73.4</w:t>
            </w:r>
          </w:p>
        </w:tc>
      </w:tr>
      <w:tr w:rsidR="00000000">
        <w:tblPrEx>
          <w:tblCellMar>
            <w:top w:w="0" w:type="dxa"/>
            <w:bottom w:w="0" w:type="dxa"/>
          </w:tblCellMar>
        </w:tblPrEx>
        <w:tc>
          <w:tcPr>
            <w:tcW w:w="3348" w:type="dxa"/>
            <w:tcBorders>
              <w:top w:val="nil"/>
            </w:tcBorders>
          </w:tcPr>
          <w:p w:rsidR="00000000" w:rsidRDefault="00000000">
            <w:pPr>
              <w:pStyle w:val="a2"/>
              <w:spacing w:before="40" w:after="40"/>
              <w:rPr>
                <w:rFonts w:hint="eastAsia"/>
              </w:rPr>
            </w:pPr>
            <w:r>
              <w:rPr>
                <w:rFonts w:hint="eastAsia"/>
              </w:rPr>
              <w:t>做工并学习的儿童</w:t>
            </w:r>
          </w:p>
        </w:tc>
        <w:tc>
          <w:tcPr>
            <w:tcW w:w="3360" w:type="dxa"/>
            <w:tcBorders>
              <w:top w:val="nil"/>
            </w:tcBorders>
          </w:tcPr>
          <w:p w:rsidR="00000000" w:rsidRDefault="00000000">
            <w:pPr>
              <w:pStyle w:val="a2"/>
              <w:spacing w:before="40" w:after="40"/>
              <w:ind w:right="732"/>
              <w:jc w:val="right"/>
            </w:pPr>
            <w:r>
              <w:t>125,394</w:t>
            </w:r>
          </w:p>
        </w:tc>
        <w:tc>
          <w:tcPr>
            <w:tcW w:w="2863" w:type="dxa"/>
            <w:tcBorders>
              <w:top w:val="nil"/>
            </w:tcBorders>
          </w:tcPr>
          <w:p w:rsidR="00000000" w:rsidRDefault="00000000">
            <w:pPr>
              <w:pStyle w:val="a2"/>
              <w:tabs>
                <w:tab w:val="decimal" w:pos="1780"/>
              </w:tabs>
              <w:spacing w:before="40" w:after="40"/>
            </w:pPr>
            <w:r>
              <w:t>5.3</w:t>
            </w:r>
          </w:p>
        </w:tc>
      </w:tr>
      <w:tr w:rsidR="00000000">
        <w:tblPrEx>
          <w:tblCellMar>
            <w:top w:w="0" w:type="dxa"/>
            <w:bottom w:w="0" w:type="dxa"/>
          </w:tblCellMar>
        </w:tblPrEx>
        <w:tc>
          <w:tcPr>
            <w:tcW w:w="3348" w:type="dxa"/>
          </w:tcPr>
          <w:p w:rsidR="00000000" w:rsidRDefault="00000000">
            <w:pPr>
              <w:pStyle w:val="a2"/>
              <w:spacing w:before="40" w:after="40"/>
              <w:rPr>
                <w:rFonts w:hint="eastAsia"/>
              </w:rPr>
            </w:pPr>
            <w:r>
              <w:rPr>
                <w:rFonts w:hint="eastAsia"/>
              </w:rPr>
              <w:t>总</w:t>
            </w:r>
            <w:r>
              <w:rPr>
                <w:rFonts w:hint="eastAsia"/>
              </w:rPr>
              <w:t xml:space="preserve">  </w:t>
            </w:r>
            <w:r>
              <w:rPr>
                <w:rFonts w:hint="eastAsia"/>
              </w:rPr>
              <w:t>计</w:t>
            </w:r>
          </w:p>
        </w:tc>
        <w:tc>
          <w:tcPr>
            <w:tcW w:w="3360" w:type="dxa"/>
          </w:tcPr>
          <w:p w:rsidR="00000000" w:rsidRDefault="00000000">
            <w:pPr>
              <w:pStyle w:val="a2"/>
              <w:spacing w:before="40" w:after="40"/>
              <w:ind w:right="732"/>
              <w:jc w:val="right"/>
              <w:rPr>
                <w:rFonts w:hint="eastAsia"/>
              </w:rPr>
            </w:pPr>
            <w:r>
              <w:fldChar w:fldCharType="begin"/>
            </w:r>
            <w:r>
              <w:instrText xml:space="preserve"> =SUM(ABOVE) </w:instrText>
            </w:r>
            <w:r>
              <w:fldChar w:fldCharType="separate"/>
            </w:r>
            <w:r>
              <w:rPr>
                <w:noProof/>
              </w:rPr>
              <w:t>2,374,177</w:t>
            </w:r>
            <w:r>
              <w:fldChar w:fldCharType="end"/>
            </w:r>
          </w:p>
        </w:tc>
        <w:tc>
          <w:tcPr>
            <w:tcW w:w="2863" w:type="dxa"/>
          </w:tcPr>
          <w:p w:rsidR="00000000" w:rsidRDefault="00000000">
            <w:pPr>
              <w:pStyle w:val="a2"/>
              <w:tabs>
                <w:tab w:val="decimal" w:pos="1780"/>
              </w:tabs>
              <w:spacing w:before="40" w:after="40"/>
            </w:pPr>
            <w:r>
              <w:t>100</w:t>
            </w:r>
          </w:p>
        </w:tc>
      </w:tr>
    </w:tbl>
    <w:p w:rsidR="00000000" w:rsidRDefault="00000000"/>
    <w:p w:rsidR="00000000" w:rsidRDefault="00000000">
      <w:pPr>
        <w:ind w:left="510"/>
        <w:rPr>
          <w:rFonts w:eastAsia="KaiTi_GB2312" w:hint="eastAsia"/>
          <w:spacing w:val="0"/>
        </w:rPr>
      </w:pPr>
      <w:r>
        <w:rPr>
          <w:rFonts w:eastAsia="KaiTi_GB2312" w:hint="eastAsia"/>
          <w:spacing w:val="0"/>
          <w:u w:val="single"/>
        </w:rPr>
        <w:t>资料来源</w:t>
      </w:r>
      <w:r>
        <w:rPr>
          <w:rFonts w:eastAsia="KaiTi_GB2312" w:hint="eastAsia"/>
          <w:spacing w:val="0"/>
        </w:rPr>
        <w:t>：社会指数综合系统国家人口普查，</w:t>
      </w:r>
      <w:r>
        <w:rPr>
          <w:rFonts w:eastAsia="KaiTi_GB2312" w:hint="eastAsia"/>
          <w:spacing w:val="0"/>
        </w:rPr>
        <w:t>1990</w:t>
      </w:r>
      <w:r>
        <w:rPr>
          <w:rFonts w:eastAsia="KaiTi_GB2312" w:hint="eastAsia"/>
          <w:spacing w:val="0"/>
        </w:rPr>
        <w:t>年</w:t>
      </w:r>
      <w:r>
        <w:rPr>
          <w:rFonts w:eastAsia="KaiTi_GB2312" w:hint="eastAsia"/>
          <w:spacing w:val="0"/>
        </w:rPr>
        <w:t>(DPA98)</w:t>
      </w:r>
      <w:r>
        <w:rPr>
          <w:rFonts w:eastAsia="KaiTi_GB2312" w:hint="eastAsia"/>
          <w:spacing w:val="0"/>
        </w:rPr>
        <w:t>。</w:t>
      </w:r>
    </w:p>
    <w:p w:rsidR="00000000" w:rsidRDefault="00000000">
      <w:pPr>
        <w:ind w:left="510"/>
        <w:rPr>
          <w:rFonts w:eastAsia="KaiTi_GB2312" w:hint="eastAsia"/>
          <w:spacing w:val="0"/>
        </w:rPr>
      </w:pPr>
    </w:p>
    <w:p w:rsidR="00000000" w:rsidRDefault="00000000">
      <w:pPr>
        <w:rPr>
          <w:rFonts w:hint="eastAsia"/>
        </w:rPr>
      </w:pPr>
      <w:r>
        <w:rPr>
          <w:rFonts w:hint="eastAsia"/>
        </w:rPr>
        <w:tab/>
        <w:t xml:space="preserve">248.  </w:t>
      </w:r>
      <w:r>
        <w:rPr>
          <w:rFonts w:hint="eastAsia"/>
        </w:rPr>
        <w:t>由于经济危机，越来越多的儿童被转入劳动大军。家庭收入有限、难以满足基本需求，对生活质量产生了负面影响；在许多情况下，儿童被迫休学，做工补贴家庭收入。做工儿童的问题是，他们被剥夺了受教育的机会，无法在校充分读书。这将限制其长大成人后进入劳动市场的能力，从而使其永远贫困。</w:t>
      </w:r>
    </w:p>
    <w:p w:rsidR="00000000" w:rsidRDefault="00000000">
      <w:pPr>
        <w:rPr>
          <w:rFonts w:hint="eastAsia"/>
        </w:rPr>
      </w:pPr>
      <w:r>
        <w:rPr>
          <w:rFonts w:hint="eastAsia"/>
        </w:rPr>
        <w:tab/>
        <w:t xml:space="preserve">249.  </w:t>
      </w:r>
      <w:r>
        <w:rPr>
          <w:rFonts w:hint="eastAsia"/>
        </w:rPr>
        <w:t>毫无疑问，这种做工形式的确存在。低收入家庭的儿童和做工儿童作为生产劳动力，补贴家庭收入。</w:t>
      </w:r>
    </w:p>
    <w:p w:rsidR="00000000" w:rsidRDefault="00000000">
      <w:pPr>
        <w:rPr>
          <w:rFonts w:hint="eastAsia"/>
        </w:rPr>
      </w:pPr>
      <w:r>
        <w:rPr>
          <w:rFonts w:hint="eastAsia"/>
        </w:rPr>
        <w:tab/>
        <w:t xml:space="preserve">250.  </w:t>
      </w:r>
      <w:r>
        <w:rPr>
          <w:rFonts w:hint="eastAsia"/>
        </w:rPr>
        <w:t>农村地区的儿童也做工；然而，没有这方面的具体研究，无法确定涉及的儿童人数有多少。</w:t>
      </w:r>
    </w:p>
    <w:p w:rsidR="00000000" w:rsidRDefault="00000000">
      <w:pPr>
        <w:rPr>
          <w:rFonts w:hint="eastAsia"/>
        </w:rPr>
      </w:pPr>
      <w:r>
        <w:rPr>
          <w:rFonts w:hint="eastAsia"/>
        </w:rPr>
        <w:tab/>
        <w:t xml:space="preserve">251.  </w:t>
      </w:r>
      <w:r>
        <w:rPr>
          <w:rFonts w:hint="eastAsia"/>
        </w:rPr>
        <w:t>除上文提到的传统做法外，还采用了一些替代将处境危险或被完全遗弃或部分遗弃的儿童和青年送往收容所的办法。</w:t>
      </w:r>
    </w:p>
    <w:p w:rsidR="00000000" w:rsidRDefault="00000000">
      <w:pPr>
        <w:rPr>
          <w:rFonts w:hint="eastAsia"/>
        </w:rPr>
      </w:pPr>
      <w:r>
        <w:rPr>
          <w:rFonts w:hint="eastAsia"/>
        </w:rPr>
        <w:tab/>
        <w:t xml:space="preserve">252.  </w:t>
      </w:r>
      <w:r>
        <w:rPr>
          <w:rFonts w:hint="eastAsia"/>
        </w:rPr>
        <w:t>家庭收容所即是一种替代将经过长期严重家庭危机之后有被全部或部分遗弃的可能和危险的儿童和青年安置在收容所的模式。这种模式可以作为一种在对个案的家庭和法律情况进行研究的同时采用的临时、专业和治疗性办法，以争取使儿童和青年重新回到血亲家庭，或者如果没有血亲家庭，争取使其融入一个家庭，让其真正感到有家。家庭收容所设在典型的普通家庭住宅，周围有邻居，并与社区有联系，核心人物最多</w:t>
      </w:r>
      <w:r>
        <w:rPr>
          <w:rFonts w:hint="eastAsia"/>
        </w:rPr>
        <w:t>5</w:t>
      </w:r>
      <w:r>
        <w:rPr>
          <w:rFonts w:hint="eastAsia"/>
        </w:rPr>
        <w:t>个人，他们如一家人一样互相相处。</w:t>
      </w:r>
    </w:p>
    <w:p w:rsidR="00000000" w:rsidRDefault="00000000">
      <w:pPr>
        <w:rPr>
          <w:rFonts w:hint="eastAsia"/>
        </w:rPr>
      </w:pPr>
      <w:r>
        <w:rPr>
          <w:rFonts w:hint="eastAsia"/>
        </w:rPr>
        <w:tab/>
        <w:t xml:space="preserve">253.  </w:t>
      </w:r>
      <w:r>
        <w:rPr>
          <w:rFonts w:hint="eastAsia"/>
        </w:rPr>
        <w:t>寄养家庭是指根据特别安排收养儿童和青年，并帮助他们重新融入家庭。这些家庭都是传统上，即有家庭功能的家庭。</w:t>
      </w:r>
    </w:p>
    <w:p w:rsidR="00000000" w:rsidRDefault="00000000">
      <w:pPr>
        <w:rPr>
          <w:rFonts w:hint="eastAsia"/>
        </w:rPr>
      </w:pPr>
      <w:r>
        <w:rPr>
          <w:rFonts w:hint="eastAsia"/>
        </w:rPr>
        <w:tab/>
        <w:t xml:space="preserve">254.  </w:t>
      </w:r>
      <w:r>
        <w:rPr>
          <w:rFonts w:hint="eastAsia"/>
        </w:rPr>
        <w:t>对于孤儿和被遗弃的儿童，也有使其融入家庭、寄养家庭、家庭收容所或被领养的替代方案。</w:t>
      </w:r>
    </w:p>
    <w:p w:rsidR="00000000" w:rsidRDefault="00000000">
      <w:pPr>
        <w:rPr>
          <w:rFonts w:hint="eastAsia"/>
        </w:rPr>
      </w:pPr>
      <w:r>
        <w:rPr>
          <w:rFonts w:hint="eastAsia"/>
        </w:rPr>
        <w:tab/>
        <w:t xml:space="preserve">255.  </w:t>
      </w:r>
      <w:r>
        <w:rPr>
          <w:rFonts w:hint="eastAsia"/>
        </w:rPr>
        <w:t>重新融入家庭是一种涉及恢复已破裂的家庭关系，从而为儿童回家创造合适环境的过程。这一过程在专业人员的监督下进行，这些专业人员通过安排和组织，使儿童与父母或抚养人和解。只要有可能而且只要家庭能为儿童的福利提供保证，就一定要争取让儿童重新融入家庭。在重新融入家庭方面，必须要对核心家庭进行分析，而且让问题得到解决，否则儿童还会再一次被遗弃。</w:t>
      </w:r>
    </w:p>
    <w:p w:rsidR="00000000" w:rsidRDefault="00000000">
      <w:pPr>
        <w:rPr>
          <w:rFonts w:hint="eastAsia"/>
        </w:rPr>
      </w:pPr>
      <w:r>
        <w:rPr>
          <w:rFonts w:hint="eastAsia"/>
        </w:rPr>
        <w:tab/>
        <w:t xml:space="preserve">256.  </w:t>
      </w:r>
      <w:r>
        <w:rPr>
          <w:rFonts w:hint="eastAsia"/>
        </w:rPr>
        <w:t>自由辅助可以作为青年人恢复正常生活的替代办法，这一进程需要由家庭的参与；青年人隔一段时间便去收容所，接受全面的教育、社会、心理和法律援助。</w:t>
      </w:r>
    </w:p>
    <w:p w:rsidR="00000000" w:rsidRDefault="00000000">
      <w:pPr>
        <w:rPr>
          <w:rFonts w:hint="eastAsia"/>
        </w:rPr>
      </w:pPr>
      <w:r>
        <w:rPr>
          <w:rFonts w:hint="eastAsia"/>
        </w:rPr>
        <w:tab/>
        <w:t xml:space="preserve">257.  </w:t>
      </w:r>
      <w:r>
        <w:rPr>
          <w:rFonts w:hint="eastAsia"/>
        </w:rPr>
        <w:t>领养是指让弃儿有机会成为稳定、永久家庭一部分的法律制度，从而确保儿童有权在一个家庭中生活，并在一个有关爱、合法地位和理解的气氛中和谐、全面地发育。</w:t>
      </w:r>
    </w:p>
    <w:p w:rsidR="00000000" w:rsidRDefault="00000000">
      <w:pPr>
        <w:rPr>
          <w:rFonts w:hint="eastAsia"/>
        </w:rPr>
      </w:pPr>
      <w:r>
        <w:rPr>
          <w:rFonts w:hint="eastAsia"/>
        </w:rPr>
        <w:tab/>
        <w:t xml:space="preserve">258.  </w:t>
      </w:r>
      <w:r>
        <w:rPr>
          <w:rFonts w:hint="eastAsia"/>
        </w:rPr>
        <w:t>对方案进行登记按儿童保护司的规定办理：“政府和私营机构为采取预防性措施以及保护儿童、使儿童新生、参与和保护儿童权利所执行的方案和项目，必须经儿童保护司批准和登记。”</w:t>
      </w:r>
      <w:r>
        <w:rPr>
          <w:rFonts w:hint="eastAsia"/>
          <w:b/>
          <w:vertAlign w:val="superscript"/>
        </w:rPr>
        <w:t>30</w:t>
      </w:r>
    </w:p>
    <w:p w:rsidR="00000000" w:rsidRDefault="00000000">
      <w:pPr>
        <w:rPr>
          <w:rFonts w:hint="eastAsia"/>
        </w:rPr>
      </w:pPr>
      <w:r>
        <w:rPr>
          <w:rFonts w:hint="eastAsia"/>
        </w:rPr>
        <w:tab/>
        <w:t xml:space="preserve">259.  </w:t>
      </w:r>
      <w:r>
        <w:rPr>
          <w:rFonts w:hint="eastAsia"/>
        </w:rPr>
        <w:t>国家儿童和家庭局目前正在为需求最迫切的人执行六项方案，其中之一是医疗团结方案，这是一项为帮助有感官、身体和心理残疾的人展开的全国性方案，优先重点放在未满</w:t>
      </w:r>
      <w:r>
        <w:rPr>
          <w:rFonts w:hint="eastAsia"/>
        </w:rPr>
        <w:t>18</w:t>
      </w:r>
      <w:r>
        <w:rPr>
          <w:rFonts w:hint="eastAsia"/>
        </w:rPr>
        <w:t>岁的土著儿童身上。</w:t>
      </w:r>
    </w:p>
    <w:p w:rsidR="00000000" w:rsidRDefault="00000000">
      <w:pPr>
        <w:rPr>
          <w:rFonts w:hint="eastAsia"/>
        </w:rPr>
      </w:pPr>
      <w:r>
        <w:rPr>
          <w:rFonts w:hint="eastAsia"/>
        </w:rPr>
        <w:tab/>
        <w:t xml:space="preserve">260.  </w:t>
      </w:r>
      <w:r>
        <w:rPr>
          <w:rFonts w:hint="eastAsia"/>
        </w:rPr>
        <w:t>该方案的宗旨是向有缺陷、残疾或障碍的个人提供高质量的专业护理和</w:t>
      </w:r>
      <w:r>
        <w:rPr>
          <w:rFonts w:hint="eastAsia"/>
        </w:rPr>
        <w:t>/</w:t>
      </w:r>
      <w:r>
        <w:rPr>
          <w:rFonts w:hint="eastAsia"/>
        </w:rPr>
        <w:t>或医疗福利，并帮助其融入社会；重点是需要帮助的个人。</w:t>
      </w:r>
    </w:p>
    <w:p w:rsidR="00000000" w:rsidRDefault="00000000">
      <w:pPr>
        <w:spacing w:after="320"/>
        <w:rPr>
          <w:rFonts w:hint="eastAsia"/>
          <w:spacing w:val="6"/>
          <w:vertAlign w:val="superscript"/>
        </w:rPr>
      </w:pPr>
      <w:r>
        <w:rPr>
          <w:rFonts w:hint="eastAsia"/>
        </w:rPr>
        <w:tab/>
        <w:t xml:space="preserve">261.  </w:t>
      </w:r>
      <w:r>
        <w:rPr>
          <w:rFonts w:hint="eastAsia"/>
          <w:spacing w:val="6"/>
        </w:rPr>
        <w:t>根据机构政策、参与机构调动系统服务是由需求而不是供应驱动的；由于服务高质量，而且护理只是名义收费，参与机构调动系统单位提供的服务每年增加</w:t>
      </w:r>
      <w:r>
        <w:rPr>
          <w:rFonts w:hint="eastAsia"/>
          <w:spacing w:val="6"/>
        </w:rPr>
        <w:t>10%</w:t>
      </w:r>
      <w:r>
        <w:rPr>
          <w:rFonts w:hint="eastAsia"/>
          <w:spacing w:val="6"/>
        </w:rPr>
        <w:t>。</w:t>
      </w:r>
      <w:r>
        <w:rPr>
          <w:rFonts w:hint="eastAsia"/>
          <w:spacing w:val="6"/>
        </w:rPr>
        <w:t>1999</w:t>
      </w:r>
      <w:r>
        <w:rPr>
          <w:rFonts w:hint="eastAsia"/>
          <w:spacing w:val="6"/>
        </w:rPr>
        <w:t>年</w:t>
      </w:r>
      <w:r>
        <w:rPr>
          <w:rFonts w:hint="eastAsia"/>
          <w:spacing w:val="6"/>
        </w:rPr>
        <w:t>11</w:t>
      </w:r>
      <w:r>
        <w:rPr>
          <w:rFonts w:hint="eastAsia"/>
          <w:spacing w:val="6"/>
        </w:rPr>
        <w:t>月共采用了</w:t>
      </w:r>
      <w:r>
        <w:rPr>
          <w:rFonts w:hint="eastAsia"/>
          <w:spacing w:val="6"/>
        </w:rPr>
        <w:t>275,000</w:t>
      </w:r>
      <w:r>
        <w:rPr>
          <w:rFonts w:hint="eastAsia"/>
          <w:spacing w:val="6"/>
        </w:rPr>
        <w:t>次护理行动；到今年年底前，这一数字肯定会超过</w:t>
      </w:r>
      <w:r>
        <w:rPr>
          <w:rFonts w:hint="eastAsia"/>
          <w:spacing w:val="6"/>
        </w:rPr>
        <w:t>300,000</w:t>
      </w:r>
      <w:r>
        <w:rPr>
          <w:rFonts w:hint="eastAsia"/>
          <w:spacing w:val="6"/>
        </w:rPr>
        <w:t>次；换言之，约</w:t>
      </w:r>
      <w:r>
        <w:rPr>
          <w:rFonts w:hint="eastAsia"/>
          <w:spacing w:val="6"/>
        </w:rPr>
        <w:t>60,000</w:t>
      </w:r>
      <w:r>
        <w:rPr>
          <w:rFonts w:hint="eastAsia"/>
          <w:spacing w:val="6"/>
        </w:rPr>
        <w:t>病人康复每年将得到平均</w:t>
      </w:r>
      <w:r>
        <w:rPr>
          <w:rFonts w:hint="eastAsia"/>
          <w:spacing w:val="6"/>
        </w:rPr>
        <w:t>5</w:t>
      </w:r>
      <w:r>
        <w:rPr>
          <w:rFonts w:hint="eastAsia"/>
          <w:spacing w:val="6"/>
        </w:rPr>
        <w:t>次护理行动。</w:t>
      </w:r>
      <w:r>
        <w:rPr>
          <w:rFonts w:hint="eastAsia"/>
          <w:b/>
          <w:spacing w:val="6"/>
          <w:vertAlign w:val="superscript"/>
        </w:rPr>
        <w:t>31</w:t>
      </w:r>
    </w:p>
    <w:p w:rsidR="00000000" w:rsidRDefault="00000000">
      <w:pPr>
        <w:pStyle w:val="Heading4"/>
        <w:rPr>
          <w:rFonts w:eastAsia="KaiTi_GB2312" w:hint="eastAsia"/>
          <w:snapToGrid/>
          <w:spacing w:val="0"/>
          <w:u w:val="none"/>
        </w:rPr>
      </w:pPr>
      <w:r>
        <w:rPr>
          <w:rFonts w:eastAsia="KaiTi_GB2312" w:hint="eastAsia"/>
          <w:snapToGrid/>
          <w:spacing w:val="0"/>
          <w:u w:val="none"/>
        </w:rPr>
        <w:t>国家方案</w:t>
      </w:r>
    </w:p>
    <w:p w:rsidR="00000000" w:rsidRDefault="00000000">
      <w:pPr>
        <w:rPr>
          <w:rFonts w:hint="eastAsia"/>
        </w:rPr>
      </w:pPr>
      <w:r>
        <w:rPr>
          <w:rFonts w:hint="eastAsia"/>
        </w:rPr>
        <w:tab/>
        <w:t xml:space="preserve">262.  </w:t>
      </w:r>
      <w:r>
        <w:rPr>
          <w:rFonts w:hint="eastAsia"/>
        </w:rPr>
        <w:t>儿童保护司的方案中包括向儿童中心提供培训，以及对国营和私营中心进行机构评估。在儿童刺激方面，为儿童中心的工作人员印制了技术支持材料，例如编制并印发了关于</w:t>
      </w:r>
      <w:r>
        <w:rPr>
          <w:rFonts w:hint="eastAsia"/>
        </w:rPr>
        <w:t>5</w:t>
      </w:r>
      <w:r>
        <w:rPr>
          <w:rFonts w:hint="eastAsia"/>
        </w:rPr>
        <w:t>岁以下儿童全面发育的指南，论述刺激、卫生、营养和安全等问题。目前，日托办公室提供：</w:t>
      </w:r>
    </w:p>
    <w:p w:rsidR="00000000" w:rsidRDefault="00000000">
      <w:pPr>
        <w:numPr>
          <w:ilvl w:val="0"/>
          <w:numId w:val="159"/>
        </w:numPr>
        <w:rPr>
          <w:rFonts w:hint="eastAsia"/>
        </w:rPr>
      </w:pPr>
      <w:r>
        <w:rPr>
          <w:rFonts w:hint="eastAsia"/>
        </w:rPr>
        <w:t>关于儿童中心的组织、营养和卫生的手册，以及关于儿童的心理和受社会影响的发育的自修手册；这些材料是根据统一课程改革中所制定的政策指导方针编制的，以同国家的教育政策保持一致和同步；</w:t>
      </w:r>
    </w:p>
    <w:p w:rsidR="00000000" w:rsidRDefault="00000000">
      <w:pPr>
        <w:numPr>
          <w:ilvl w:val="0"/>
          <w:numId w:val="159"/>
        </w:numPr>
        <w:rPr>
          <w:rFonts w:hint="eastAsia"/>
        </w:rPr>
      </w:pPr>
      <w:r>
        <w:rPr>
          <w:rFonts w:hint="eastAsia"/>
        </w:rPr>
        <w:t>对儿童中心的工作人员进行关于中心运作的指导方针和启蒙教育重要性的培训；从而使儿童的权利得到保障；</w:t>
      </w:r>
    </w:p>
    <w:p w:rsidR="00000000" w:rsidRDefault="00000000">
      <w:pPr>
        <w:numPr>
          <w:ilvl w:val="0"/>
          <w:numId w:val="159"/>
        </w:numPr>
        <w:rPr>
          <w:rFonts w:hint="eastAsia"/>
        </w:rPr>
      </w:pPr>
      <w:r>
        <w:rPr>
          <w:rFonts w:hint="eastAsia"/>
        </w:rPr>
        <w:t>为私立儿童中心有迫切需要的儿童提供补助金，以保证他们得到适当的保护和保健。在此方面，应适用关于儿童中心的建立与运作的条例中有关提供补助金的条款；这种补助金在总配额中共占</w:t>
      </w:r>
      <w:r>
        <w:rPr>
          <w:rFonts w:hint="eastAsia"/>
        </w:rPr>
        <w:t>10%</w:t>
      </w:r>
      <w:r>
        <w:rPr>
          <w:rFonts w:hint="eastAsia"/>
        </w:rPr>
        <w:t>。</w:t>
      </w:r>
    </w:p>
    <w:p w:rsidR="00000000" w:rsidRDefault="00000000">
      <w:pPr>
        <w:spacing w:after="320"/>
        <w:rPr>
          <w:rFonts w:hint="eastAsia"/>
        </w:rPr>
      </w:pPr>
      <w:r>
        <w:rPr>
          <w:rFonts w:hint="eastAsia"/>
        </w:rPr>
        <w:tab/>
        <w:t xml:space="preserve">263.  </w:t>
      </w:r>
      <w:r>
        <w:rPr>
          <w:rFonts w:hint="eastAsia"/>
        </w:rPr>
        <w:t>国营儿童中心的能力远远满足不了需求，而且由于国家的经济和社会危机，需求有所上升。</w:t>
      </w:r>
    </w:p>
    <w:p w:rsidR="00000000" w:rsidRDefault="00000000">
      <w:pPr>
        <w:pStyle w:val="Heading4"/>
        <w:rPr>
          <w:rFonts w:eastAsia="KaiTi_GB2312" w:hint="eastAsia"/>
          <w:snapToGrid/>
          <w:spacing w:val="0"/>
          <w:u w:val="none"/>
        </w:rPr>
      </w:pPr>
      <w:r>
        <w:rPr>
          <w:rFonts w:eastAsia="KaiTi_GB2312" w:hint="eastAsia"/>
          <w:snapToGrid/>
          <w:spacing w:val="0"/>
          <w:u w:val="none"/>
        </w:rPr>
        <w:t>主要问题</w:t>
      </w:r>
    </w:p>
    <w:p w:rsidR="00000000" w:rsidRDefault="00000000">
      <w:pPr>
        <w:rPr>
          <w:rFonts w:hint="eastAsia"/>
        </w:rPr>
      </w:pPr>
      <w:r>
        <w:rPr>
          <w:rFonts w:hint="eastAsia"/>
        </w:rPr>
        <w:tab/>
        <w:t>264.  1999</w:t>
      </w:r>
      <w:r>
        <w:rPr>
          <w:rFonts w:hint="eastAsia"/>
        </w:rPr>
        <w:t>年</w:t>
      </w:r>
      <w:r>
        <w:rPr>
          <w:rFonts w:hint="eastAsia"/>
        </w:rPr>
        <w:t>8</w:t>
      </w:r>
      <w:r>
        <w:rPr>
          <w:rFonts w:hint="eastAsia"/>
        </w:rPr>
        <w:t>月国家儿童和家庭研究所编写的关于对属于保护和教育方案范围内的做工儿童和青年提供保护和援助措施的文件指出：“厄瓜多尔有许多儿童和青年做工，而且大多数是干需要倒班的重活”。</w:t>
      </w:r>
    </w:p>
    <w:p w:rsidR="00000000" w:rsidRDefault="00000000">
      <w:pPr>
        <w:rPr>
          <w:rFonts w:hint="eastAsia"/>
        </w:rPr>
      </w:pPr>
      <w:r>
        <w:rPr>
          <w:rFonts w:hint="eastAsia"/>
        </w:rPr>
        <w:tab/>
        <w:t xml:space="preserve">265.  </w:t>
      </w:r>
      <w:r>
        <w:rPr>
          <w:rFonts w:hint="eastAsia"/>
        </w:rPr>
        <w:t>儿童有卖淫的，有在垃圾场、砖厂、纺织厂做工的，有当家佣的，有流浪街头的、在农场、地毯厂、港口、渔场、矿山做工的，还有上夜班的。这些儿童的工作条件差，没有足够的保护设备，因此做工危害他们的健康与发育。</w:t>
      </w:r>
    </w:p>
    <w:p w:rsidR="00000000" w:rsidRDefault="00000000">
      <w:pPr>
        <w:rPr>
          <w:rFonts w:hint="eastAsia"/>
        </w:rPr>
      </w:pPr>
      <w:r>
        <w:rPr>
          <w:rFonts w:hint="eastAsia"/>
        </w:rPr>
        <w:tab/>
        <w:t xml:space="preserve">266.  </w:t>
      </w:r>
      <w:r>
        <w:rPr>
          <w:rFonts w:hint="eastAsia"/>
        </w:rPr>
        <w:t>为解决这一问题，当局正在通过国家儿童和家庭研究所及其他公共和私营机构，包括非政府组织，采取行动，减少贫困。</w:t>
      </w:r>
    </w:p>
    <w:p w:rsidR="00000000" w:rsidRDefault="00000000">
      <w:pPr>
        <w:rPr>
          <w:rFonts w:hint="eastAsia"/>
        </w:rPr>
      </w:pPr>
      <w:r>
        <w:rPr>
          <w:rFonts w:hint="eastAsia"/>
        </w:rPr>
        <w:tab/>
        <w:t xml:space="preserve">267.  </w:t>
      </w:r>
      <w:r>
        <w:rPr>
          <w:rFonts w:hint="eastAsia"/>
        </w:rPr>
        <w:t>国家儿童和家庭研究所目前正在执行以下方案：</w:t>
      </w:r>
    </w:p>
    <w:p w:rsidR="00000000" w:rsidRDefault="00000000">
      <w:pPr>
        <w:numPr>
          <w:ilvl w:val="0"/>
          <w:numId w:val="160"/>
        </w:numPr>
        <w:rPr>
          <w:rFonts w:hint="eastAsia"/>
        </w:rPr>
      </w:pPr>
      <w:r>
        <w:rPr>
          <w:rFonts w:hint="eastAsia"/>
        </w:rPr>
        <w:t>儿童发展方案：为儿童发展中心</w:t>
      </w:r>
      <w:r>
        <w:rPr>
          <w:rFonts w:hint="eastAsia"/>
        </w:rPr>
        <w:t>6</w:t>
      </w:r>
      <w:r>
        <w:rPr>
          <w:rFonts w:hint="eastAsia"/>
        </w:rPr>
        <w:t>岁以下的儿童提供卫生、营养和心理发育保健，由家长、社区和当地政府共同负起照料儿童的责任。</w:t>
      </w:r>
      <w:r>
        <w:rPr>
          <w:rFonts w:hint="eastAsia"/>
        </w:rPr>
        <w:t>1999</w:t>
      </w:r>
      <w:r>
        <w:rPr>
          <w:rFonts w:hint="eastAsia"/>
        </w:rPr>
        <w:t>年，在</w:t>
      </w:r>
      <w:r>
        <w:rPr>
          <w:rFonts w:hint="eastAsia"/>
        </w:rPr>
        <w:t>1,200</w:t>
      </w:r>
      <w:r>
        <w:rPr>
          <w:rFonts w:hint="eastAsia"/>
        </w:rPr>
        <w:t>所日托中心为</w:t>
      </w:r>
      <w:r>
        <w:rPr>
          <w:rFonts w:hint="eastAsia"/>
        </w:rPr>
        <w:t>45,000</w:t>
      </w:r>
      <w:r>
        <w:rPr>
          <w:rFonts w:hint="eastAsia"/>
        </w:rPr>
        <w:t>名</w:t>
      </w:r>
      <w:r>
        <w:rPr>
          <w:rFonts w:hint="eastAsia"/>
        </w:rPr>
        <w:t>6</w:t>
      </w:r>
      <w:r>
        <w:rPr>
          <w:rFonts w:hint="eastAsia"/>
        </w:rPr>
        <w:t>岁以下的儿童提供了这种护理；</w:t>
      </w:r>
    </w:p>
    <w:p w:rsidR="00000000" w:rsidRDefault="00000000">
      <w:pPr>
        <w:numPr>
          <w:ilvl w:val="0"/>
          <w:numId w:val="160"/>
        </w:numPr>
        <w:rPr>
          <w:rFonts w:hint="eastAsia"/>
        </w:rPr>
      </w:pPr>
      <w:r>
        <w:rPr>
          <w:rFonts w:hint="eastAsia"/>
        </w:rPr>
        <w:t>针对做工儿童的方案：该方案意在为</w:t>
      </w:r>
      <w:r>
        <w:rPr>
          <w:rFonts w:hint="eastAsia"/>
        </w:rPr>
        <w:t>7</w:t>
      </w:r>
      <w:r>
        <w:rPr>
          <w:rFonts w:hint="eastAsia"/>
        </w:rPr>
        <w:t>岁至</w:t>
      </w:r>
      <w:r>
        <w:rPr>
          <w:rFonts w:hint="eastAsia"/>
        </w:rPr>
        <w:t>15</w:t>
      </w:r>
      <w:r>
        <w:rPr>
          <w:rFonts w:hint="eastAsia"/>
        </w:rPr>
        <w:t>岁的做工儿童提供上学机会，逐步消灭儿童从事危害他们健康的有害工作。该方案为全国</w:t>
      </w:r>
      <w:r>
        <w:rPr>
          <w:rFonts w:hint="eastAsia"/>
        </w:rPr>
        <w:t>23</w:t>
      </w:r>
      <w:r>
        <w:rPr>
          <w:rFonts w:hint="eastAsia"/>
        </w:rPr>
        <w:t>个城市的</w:t>
      </w:r>
      <w:r>
        <w:rPr>
          <w:rFonts w:hint="eastAsia"/>
        </w:rPr>
        <w:t>12,150</w:t>
      </w:r>
      <w:r>
        <w:rPr>
          <w:rFonts w:hint="eastAsia"/>
        </w:rPr>
        <w:t>名</w:t>
      </w:r>
      <w:r>
        <w:rPr>
          <w:rFonts w:hint="eastAsia"/>
        </w:rPr>
        <w:t>7</w:t>
      </w:r>
      <w:r>
        <w:rPr>
          <w:rFonts w:hint="eastAsia"/>
        </w:rPr>
        <w:t>岁至</w:t>
      </w:r>
      <w:r>
        <w:rPr>
          <w:rFonts w:hint="eastAsia"/>
        </w:rPr>
        <w:t>15</w:t>
      </w:r>
      <w:r>
        <w:rPr>
          <w:rFonts w:hint="eastAsia"/>
        </w:rPr>
        <w:t>岁的做工而不上学的儿童提供助学金，并为全国</w:t>
      </w:r>
      <w:r>
        <w:rPr>
          <w:rFonts w:hint="eastAsia"/>
        </w:rPr>
        <w:t>18</w:t>
      </w:r>
      <w:r>
        <w:rPr>
          <w:rFonts w:hint="eastAsia"/>
        </w:rPr>
        <w:t>个城市</w:t>
      </w:r>
      <w:r>
        <w:rPr>
          <w:rFonts w:hint="eastAsia"/>
        </w:rPr>
        <w:t>1,050</w:t>
      </w:r>
      <w:r>
        <w:rPr>
          <w:rFonts w:hint="eastAsia"/>
        </w:rPr>
        <w:t>名</w:t>
      </w:r>
      <w:r>
        <w:rPr>
          <w:rFonts w:hint="eastAsia"/>
        </w:rPr>
        <w:t>7</w:t>
      </w:r>
      <w:r>
        <w:rPr>
          <w:rFonts w:hint="eastAsia"/>
        </w:rPr>
        <w:t>岁至</w:t>
      </w:r>
      <w:r>
        <w:rPr>
          <w:rFonts w:hint="eastAsia"/>
        </w:rPr>
        <w:t>15</w:t>
      </w:r>
      <w:r>
        <w:rPr>
          <w:rFonts w:hint="eastAsia"/>
        </w:rPr>
        <w:t>岁从事危险工作的儿童的家庭提供助学金和经济支助；</w:t>
      </w:r>
    </w:p>
    <w:p w:rsidR="00000000" w:rsidRDefault="00000000">
      <w:pPr>
        <w:numPr>
          <w:ilvl w:val="0"/>
          <w:numId w:val="160"/>
        </w:numPr>
        <w:rPr>
          <w:rFonts w:hint="eastAsia"/>
        </w:rPr>
      </w:pPr>
      <w:r>
        <w:rPr>
          <w:rFonts w:hint="eastAsia"/>
        </w:rPr>
        <w:t>公民关爱照料方案：意在让更多人善待儿童，即：改善儿童和青年与成年人之间以及他们自己之间日常交往的质量和热情。在善待项目中与</w:t>
      </w:r>
      <w:r>
        <w:rPr>
          <w:rFonts w:hint="eastAsia"/>
        </w:rPr>
        <w:t>10,500</w:t>
      </w:r>
      <w:r>
        <w:rPr>
          <w:rFonts w:hint="eastAsia"/>
        </w:rPr>
        <w:t>名儿童和青年进行直接接触，有</w:t>
      </w:r>
      <w:r>
        <w:rPr>
          <w:rFonts w:hint="eastAsia"/>
        </w:rPr>
        <w:t>18</w:t>
      </w:r>
      <w:r>
        <w:rPr>
          <w:rFonts w:hint="eastAsia"/>
        </w:rPr>
        <w:t>个城市的当地人们参与；</w:t>
      </w:r>
    </w:p>
    <w:p w:rsidR="00000000" w:rsidRDefault="00000000">
      <w:pPr>
        <w:numPr>
          <w:ilvl w:val="0"/>
          <w:numId w:val="160"/>
        </w:numPr>
        <w:rPr>
          <w:rFonts w:hint="eastAsia"/>
        </w:rPr>
      </w:pPr>
      <w:r>
        <w:rPr>
          <w:rFonts w:hint="eastAsia"/>
        </w:rPr>
        <w:t>国家志愿者方案：旨在让一批志愿者团体参与支持国家儿童和家庭研究所的活动，并对志愿者团体进行关于儿童问题的培训，</w:t>
      </w:r>
      <w:r>
        <w:rPr>
          <w:rFonts w:hint="eastAsia"/>
        </w:rPr>
        <w:t>1999</w:t>
      </w:r>
      <w:r>
        <w:rPr>
          <w:rFonts w:hint="eastAsia"/>
        </w:rPr>
        <w:t>年至</w:t>
      </w:r>
      <w:r>
        <w:rPr>
          <w:rFonts w:hint="eastAsia"/>
        </w:rPr>
        <w:t>2002</w:t>
      </w:r>
      <w:r>
        <w:rPr>
          <w:rFonts w:hint="eastAsia"/>
        </w:rPr>
        <w:t>年，有</w:t>
      </w:r>
      <w:r>
        <w:rPr>
          <w:rFonts w:hint="eastAsia"/>
        </w:rPr>
        <w:t>325,000</w:t>
      </w:r>
      <w:r>
        <w:rPr>
          <w:rFonts w:hint="eastAsia"/>
        </w:rPr>
        <w:t>人受益于消灭头虱运动；</w:t>
      </w:r>
    </w:p>
    <w:p w:rsidR="00000000" w:rsidRDefault="00000000">
      <w:pPr>
        <w:numPr>
          <w:ilvl w:val="0"/>
          <w:numId w:val="160"/>
        </w:numPr>
        <w:rPr>
          <w:rFonts w:hint="eastAsia"/>
        </w:rPr>
      </w:pPr>
      <w:r>
        <w:rPr>
          <w:rFonts w:hint="eastAsia"/>
        </w:rPr>
        <w:t>“与儿童一起成长”方案：开展各项活动，帮助每一名儿童取得最大进步，帮助家庭成为最适合儿童的教育、刺激和社会发展的环境；</w:t>
      </w:r>
      <w:r>
        <w:rPr>
          <w:rFonts w:hint="eastAsia"/>
        </w:rPr>
        <w:t>12</w:t>
      </w:r>
      <w:r>
        <w:rPr>
          <w:rFonts w:hint="eastAsia"/>
        </w:rPr>
        <w:t>个省的</w:t>
      </w:r>
      <w:r>
        <w:rPr>
          <w:rFonts w:hint="eastAsia"/>
        </w:rPr>
        <w:t>15,000</w:t>
      </w:r>
      <w:r>
        <w:rPr>
          <w:rFonts w:hint="eastAsia"/>
        </w:rPr>
        <w:t>名</w:t>
      </w:r>
      <w:r>
        <w:rPr>
          <w:rFonts w:hint="eastAsia"/>
        </w:rPr>
        <w:t>6</w:t>
      </w:r>
      <w:r>
        <w:rPr>
          <w:rFonts w:hint="eastAsia"/>
        </w:rPr>
        <w:t>岁以下的儿童参加了为儿童和家庭开展的教育活动；</w:t>
      </w:r>
    </w:p>
    <w:p w:rsidR="00000000" w:rsidRDefault="00000000">
      <w:pPr>
        <w:numPr>
          <w:ilvl w:val="0"/>
          <w:numId w:val="160"/>
        </w:numPr>
        <w:rPr>
          <w:rFonts w:hint="eastAsia"/>
        </w:rPr>
      </w:pPr>
      <w:r>
        <w:rPr>
          <w:rFonts w:hint="eastAsia"/>
        </w:rPr>
        <w:t>医疗团结方案：为患有复杂疾病而经济困难的病人提供支助。将为</w:t>
      </w:r>
      <w:r>
        <w:rPr>
          <w:rFonts w:hint="eastAsia"/>
        </w:rPr>
        <w:t>65,000</w:t>
      </w:r>
      <w:r>
        <w:rPr>
          <w:rFonts w:hint="eastAsia"/>
        </w:rPr>
        <w:t>名患有身体、心理或感官残疾的个人提供这种支助，这些人将在医疗康复中心接受治疗。约有</w:t>
      </w:r>
      <w:r>
        <w:rPr>
          <w:rFonts w:hint="eastAsia"/>
        </w:rPr>
        <w:t>6,700</w:t>
      </w:r>
      <w:r>
        <w:rPr>
          <w:rFonts w:hint="eastAsia"/>
        </w:rPr>
        <w:t>人患有复杂疾病，通过社会医疗服务为他们提供医疗保健。</w:t>
      </w:r>
    </w:p>
    <w:p w:rsidR="00000000" w:rsidRDefault="00000000">
      <w:pPr>
        <w:rPr>
          <w:rFonts w:hint="eastAsia"/>
        </w:rPr>
      </w:pPr>
      <w:r>
        <w:rPr>
          <w:rFonts w:hint="eastAsia"/>
        </w:rPr>
        <w:tab/>
        <w:t>268.  1990</w:t>
      </w:r>
      <w:r>
        <w:rPr>
          <w:rFonts w:hint="eastAsia"/>
        </w:rPr>
        <w:t>年，厄瓜多尔成为拉丁美洲第一个和世界上第三个签署《儿童权利公约》的国家。</w:t>
      </w:r>
    </w:p>
    <w:p w:rsidR="00000000" w:rsidRDefault="00000000">
      <w:pPr>
        <w:rPr>
          <w:rFonts w:hint="eastAsia"/>
        </w:rPr>
      </w:pPr>
      <w:r>
        <w:rPr>
          <w:rFonts w:hint="eastAsia"/>
        </w:rPr>
        <w:tab/>
        <w:t>269.  1992</w:t>
      </w:r>
      <w:r>
        <w:rPr>
          <w:rFonts w:hint="eastAsia"/>
        </w:rPr>
        <w:t>年，国会批准对《儿童法》进行改革，以纠正不尊重儿童和青年权利的传统、过时的立法。三年后颁布了法规。</w:t>
      </w:r>
    </w:p>
    <w:p w:rsidR="00000000" w:rsidRDefault="00000000">
      <w:pPr>
        <w:rPr>
          <w:rFonts w:hint="eastAsia"/>
        </w:rPr>
      </w:pPr>
      <w:r>
        <w:rPr>
          <w:rFonts w:hint="eastAsia"/>
        </w:rPr>
        <w:tab/>
        <w:t>270.  1998</w:t>
      </w:r>
      <w:r>
        <w:rPr>
          <w:rFonts w:hint="eastAsia"/>
        </w:rPr>
        <w:t>年，立宪会议在《宪法》中增加了关于儿童和青年作为公民享有个人的一切权利这一定义；而且还规定国家负有促进社会和家庭全面发展的共同责任，并要求国家制定特别保护措施，处理侵犯儿童权利的情况：对儿童进行经济剥削或性剥削、暴力、忽视、残疾等。</w:t>
      </w:r>
    </w:p>
    <w:p w:rsidR="00000000" w:rsidRDefault="00000000">
      <w:pPr>
        <w:rPr>
          <w:rFonts w:hint="eastAsia"/>
        </w:rPr>
      </w:pPr>
      <w:r>
        <w:rPr>
          <w:rFonts w:hint="eastAsia"/>
        </w:rPr>
        <w:tab/>
        <w:t xml:space="preserve">271.  </w:t>
      </w:r>
      <w:r>
        <w:rPr>
          <w:rFonts w:hint="eastAsia"/>
        </w:rPr>
        <w:t>《宪法》保障参与社会生活与结社的权利、法律人人平等的原则、落实法律保障的所有事项以及进行适当诉讼和享有独立、公正的司法制度的权利。《宪法》规定儿童司法制度由司法部门负责，组织全面保护儿童和青年的分权式国家制度，并设有全国联合理事机构负责制定国家政策；并规定省级政府有义务制定关于儿童和青年的省级政策，优先为这一领域划拨资源</w:t>
      </w:r>
      <w:r>
        <w:rPr>
          <w:rFonts w:hint="eastAsia"/>
        </w:rPr>
        <w:t>(</w:t>
      </w:r>
      <w:r>
        <w:rPr>
          <w:rFonts w:hint="eastAsia"/>
        </w:rPr>
        <w:t>《宪法》第</w:t>
      </w:r>
      <w:r>
        <w:rPr>
          <w:rFonts w:hint="eastAsia"/>
        </w:rPr>
        <w:t>42</w:t>
      </w:r>
      <w:r>
        <w:rPr>
          <w:rFonts w:hint="eastAsia"/>
        </w:rPr>
        <w:t>至</w:t>
      </w:r>
      <w:r>
        <w:rPr>
          <w:rFonts w:hint="eastAsia"/>
        </w:rPr>
        <w:t>52</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272.  </w:t>
      </w:r>
      <w:r>
        <w:rPr>
          <w:rFonts w:hint="eastAsia"/>
        </w:rPr>
        <w:t>新《宪法》强调必须对现行《儿童法》进行改革，并为此目的成立了一个咨询委员会，由社会福利部、国会妇女、儿童与家庭委员会、国家儿童和家庭研究所、协助司法部门</w:t>
      </w:r>
      <w:r>
        <w:rPr>
          <w:rFonts w:hint="eastAsia"/>
        </w:rPr>
        <w:t>(</w:t>
      </w:r>
      <w:r>
        <w:t>Projusticia</w:t>
      </w:r>
      <w:r>
        <w:rPr>
          <w:rFonts w:hint="eastAsia"/>
        </w:rPr>
        <w:t>)</w:t>
      </w:r>
      <w:r>
        <w:rPr>
          <w:rFonts w:hint="eastAsia"/>
        </w:rPr>
        <w:t>、儿童与青年论坛和儿童基金共同组成，该委员会已完成了草案的起草工作。制定新儿童法的提案属于同全国社会和政治各界磋商第二阶段的工作；在磋商中，通过调查，了解并记录主要利益有关者的意见。</w:t>
      </w:r>
    </w:p>
    <w:p w:rsidR="00000000" w:rsidRDefault="00000000">
      <w:pPr>
        <w:rPr>
          <w:rFonts w:hint="eastAsia"/>
        </w:rPr>
      </w:pPr>
      <w:r>
        <w:rPr>
          <w:rFonts w:hint="eastAsia"/>
        </w:rPr>
        <w:tab/>
        <w:t xml:space="preserve">273.  </w:t>
      </w:r>
      <w:r>
        <w:rPr>
          <w:rFonts w:hint="eastAsia"/>
        </w:rPr>
        <w:t>国会妇女、儿童与家庭委员会与美洲开发银行、协助司法部门和全国妇女委员会一道，正在制定新的家庭法，争取保障在获得社区财产的资源和财政决策方面的平等权利和机会；建议将有关家庭的法律关系延伸适用于建立在成员间相互支持基础上并发挥家庭功能的其他社会群体。</w:t>
      </w:r>
    </w:p>
    <w:p w:rsidR="00000000" w:rsidRDefault="00000000">
      <w:pPr>
        <w:spacing w:after="320"/>
        <w:rPr>
          <w:rFonts w:hint="eastAsia"/>
        </w:rPr>
      </w:pPr>
      <w:r>
        <w:rPr>
          <w:rFonts w:hint="eastAsia"/>
        </w:rPr>
        <w:tab/>
        <w:t xml:space="preserve">274.  </w:t>
      </w:r>
      <w:r>
        <w:rPr>
          <w:rFonts w:hint="eastAsia"/>
        </w:rPr>
        <w:t>社会福利部通过儿童保护司正在执行“我们的孩子”项目，旨在促进儿童的发育，重点是</w:t>
      </w:r>
      <w:r>
        <w:rPr>
          <w:rFonts w:hint="eastAsia"/>
        </w:rPr>
        <w:t>6</w:t>
      </w:r>
      <w:r>
        <w:rPr>
          <w:rFonts w:hint="eastAsia"/>
        </w:rPr>
        <w:t>岁以下的儿童。该项目侧重于中期和长期政策，也就是说，是以国家对照料和保护儿童的政策方面的未来的构思为指导的。该项目由美洲开发银行供资。</w:t>
      </w:r>
    </w:p>
    <w:p w:rsidR="00000000" w:rsidRDefault="00000000">
      <w:pPr>
        <w:pStyle w:val="Heading3"/>
        <w:rPr>
          <w:rFonts w:hint="eastAsia"/>
        </w:rPr>
      </w:pPr>
      <w:r>
        <w:rPr>
          <w:rFonts w:hint="eastAsia"/>
        </w:rPr>
        <w:t>第</w:t>
      </w:r>
      <w:r>
        <w:rPr>
          <w:rFonts w:hint="eastAsia"/>
        </w:rPr>
        <w:t xml:space="preserve"> </w:t>
      </w:r>
      <w:r>
        <w:rPr>
          <w:rFonts w:hint="eastAsia"/>
        </w:rPr>
        <w:t>十一</w:t>
      </w:r>
      <w:r>
        <w:rPr>
          <w:rFonts w:hint="eastAsia"/>
        </w:rPr>
        <w:t xml:space="preserve"> </w:t>
      </w:r>
      <w:r>
        <w:rPr>
          <w:rFonts w:hint="eastAsia"/>
        </w:rPr>
        <w:t>条</w:t>
      </w:r>
    </w:p>
    <w:p w:rsidR="00000000" w:rsidRDefault="00000000">
      <w:pPr>
        <w:pStyle w:val="Heading4"/>
        <w:rPr>
          <w:rFonts w:hint="eastAsia"/>
        </w:rPr>
      </w:pPr>
      <w:r>
        <w:rPr>
          <w:rFonts w:hint="eastAsia"/>
        </w:rPr>
        <w:t>人类发展，生活水准</w:t>
      </w:r>
    </w:p>
    <w:p w:rsidR="00000000" w:rsidRDefault="00000000">
      <w:pPr>
        <w:rPr>
          <w:rFonts w:hint="eastAsia"/>
        </w:rPr>
      </w:pPr>
      <w:r>
        <w:rPr>
          <w:rFonts w:hint="eastAsia"/>
        </w:rPr>
        <w:tab/>
        <w:t>275.  1999</w:t>
      </w:r>
      <w:r>
        <w:rPr>
          <w:rFonts w:hint="eastAsia"/>
        </w:rPr>
        <w:t>年，厄瓜多尔经济危机恶化，主要原因是由于经济中与美元对苏克雷的比价持续上涨有关的货币问题所致。</w:t>
      </w:r>
      <w:r>
        <w:rPr>
          <w:rFonts w:hint="eastAsia"/>
        </w:rPr>
        <w:t>2</w:t>
      </w:r>
      <w:r>
        <w:rPr>
          <w:rFonts w:hint="eastAsia"/>
        </w:rPr>
        <w:t>月份，货币主管部门不得不放弃汇率管制机制，允许货币自由浮动。</w:t>
      </w:r>
    </w:p>
    <w:p w:rsidR="00000000" w:rsidRDefault="00000000">
      <w:pPr>
        <w:rPr>
          <w:rFonts w:hint="eastAsia"/>
        </w:rPr>
      </w:pPr>
      <w:r>
        <w:rPr>
          <w:rFonts w:hint="eastAsia"/>
        </w:rPr>
        <w:tab/>
        <w:t xml:space="preserve">276.  </w:t>
      </w:r>
      <w:r>
        <w:rPr>
          <w:rFonts w:hint="eastAsia"/>
        </w:rPr>
        <w:t>由于国家金融系统不稳定，政府于</w:t>
      </w:r>
      <w:r>
        <w:rPr>
          <w:rFonts w:hint="eastAsia"/>
        </w:rPr>
        <w:t>3</w:t>
      </w:r>
      <w:r>
        <w:rPr>
          <w:rFonts w:hint="eastAsia"/>
        </w:rPr>
        <w:t>月份不得不宣布银行放假，并冻结金融系统中的资产。该年，储蓄担保局退还的储蓄保险金额相当于中央银行所发行货币的</w:t>
      </w:r>
      <w:r>
        <w:rPr>
          <w:rFonts w:hint="eastAsia"/>
        </w:rPr>
        <w:t>130%</w:t>
      </w:r>
      <w:r>
        <w:rPr>
          <w:rFonts w:hint="eastAsia"/>
        </w:rPr>
        <w:t>以上。</w:t>
      </w:r>
    </w:p>
    <w:p w:rsidR="00000000" w:rsidRDefault="00000000">
      <w:pPr>
        <w:rPr>
          <w:rFonts w:hint="eastAsia"/>
        </w:rPr>
      </w:pPr>
      <w:r>
        <w:rPr>
          <w:rFonts w:hint="eastAsia"/>
        </w:rPr>
        <w:tab/>
        <w:t xml:space="preserve">277.  </w:t>
      </w:r>
      <w:r>
        <w:rPr>
          <w:rFonts w:hint="eastAsia"/>
        </w:rPr>
        <w:t>政府约发行了</w:t>
      </w:r>
      <w:r>
        <w:rPr>
          <w:rFonts w:hint="eastAsia"/>
        </w:rPr>
        <w:t>15</w:t>
      </w:r>
      <w:r>
        <w:rPr>
          <w:rFonts w:hint="eastAsia"/>
        </w:rPr>
        <w:t>亿美元的债券，为金融系统提供流动资金。这样做最终致使一些单位倒闭并拍卖其实物资产。一些银行家因此也被关进监狱，目前仍在服刑。</w:t>
      </w:r>
    </w:p>
    <w:p w:rsidR="00000000" w:rsidRDefault="00000000">
      <w:pPr>
        <w:rPr>
          <w:rFonts w:hint="eastAsia"/>
        </w:rPr>
      </w:pPr>
      <w:r>
        <w:rPr>
          <w:rFonts w:hint="eastAsia"/>
        </w:rPr>
        <w:tab/>
        <w:t xml:space="preserve">278.  </w:t>
      </w:r>
      <w:r>
        <w:rPr>
          <w:rFonts w:hint="eastAsia"/>
        </w:rPr>
        <w:t>发行</w:t>
      </w:r>
      <w:r>
        <w:rPr>
          <w:rFonts w:hint="eastAsia"/>
        </w:rPr>
        <w:t>(</w:t>
      </w:r>
      <w:r>
        <w:rPr>
          <w:rFonts w:hint="eastAsia"/>
        </w:rPr>
        <w:t>短期</w:t>
      </w:r>
      <w:r>
        <w:rPr>
          <w:rFonts w:hint="eastAsia"/>
        </w:rPr>
        <w:t>)</w:t>
      </w:r>
      <w:r>
        <w:rPr>
          <w:rFonts w:hint="eastAsia"/>
        </w:rPr>
        <w:t>债券直接增加了经济中的货币流通量，同时也加重了国家的内债。经济中的超额货币流通致使苏克雷的价值失控，该年下跌了</w:t>
      </w:r>
      <w:r>
        <w:rPr>
          <w:rFonts w:hint="eastAsia"/>
        </w:rPr>
        <w:t>263</w:t>
      </w:r>
      <w:r>
        <w:rPr>
          <w:rFonts w:hint="eastAsia"/>
        </w:rPr>
        <w:t>个百分点以上。</w:t>
      </w:r>
    </w:p>
    <w:p w:rsidR="00000000" w:rsidRDefault="00000000">
      <w:pPr>
        <w:rPr>
          <w:rFonts w:hint="eastAsia"/>
        </w:rPr>
      </w:pPr>
      <w:r>
        <w:rPr>
          <w:rFonts w:hint="eastAsia"/>
        </w:rPr>
        <w:tab/>
        <w:t xml:space="preserve">279.  </w:t>
      </w:r>
      <w:r>
        <w:rPr>
          <w:rFonts w:hint="eastAsia"/>
        </w:rPr>
        <w:t>由于流动资金超额，因此需求成倍增长，致使价值上涨，通货膨胀率提高。</w:t>
      </w:r>
      <w:r>
        <w:rPr>
          <w:rFonts w:hint="eastAsia"/>
        </w:rPr>
        <w:t>3</w:t>
      </w:r>
      <w:r>
        <w:rPr>
          <w:rFonts w:hint="eastAsia"/>
        </w:rPr>
        <w:t>月份，通膨率达</w:t>
      </w:r>
      <w:r>
        <w:rPr>
          <w:rFonts w:hint="eastAsia"/>
        </w:rPr>
        <w:t>13.5%</w:t>
      </w:r>
      <w:r>
        <w:rPr>
          <w:rFonts w:hint="eastAsia"/>
        </w:rPr>
        <w:t>，最终全年的通膨率为</w:t>
      </w:r>
      <w:r>
        <w:rPr>
          <w:rFonts w:hint="eastAsia"/>
        </w:rPr>
        <w:t>60.7%</w:t>
      </w:r>
      <w:r>
        <w:rPr>
          <w:rFonts w:hint="eastAsia"/>
        </w:rPr>
        <w:t>。购买力下降约</w:t>
      </w:r>
      <w:r>
        <w:rPr>
          <w:rFonts w:hint="eastAsia"/>
        </w:rPr>
        <w:t>50%</w:t>
      </w:r>
      <w:r>
        <w:rPr>
          <w:rFonts w:hint="eastAsia"/>
        </w:rPr>
        <w:t>。这样，一个工人得到的工资总额按美元计算，</w:t>
      </w:r>
      <w:r>
        <w:rPr>
          <w:rFonts w:hint="eastAsia"/>
        </w:rPr>
        <w:t>1</w:t>
      </w:r>
      <w:r>
        <w:rPr>
          <w:rFonts w:hint="eastAsia"/>
        </w:rPr>
        <w:t>月份为</w:t>
      </w:r>
      <w:r>
        <w:rPr>
          <w:rFonts w:hint="eastAsia"/>
        </w:rPr>
        <w:t>957,167</w:t>
      </w:r>
      <w:r>
        <w:rPr>
          <w:rFonts w:hint="eastAsia"/>
        </w:rPr>
        <w:t>苏克雷，即</w:t>
      </w:r>
      <w:r>
        <w:rPr>
          <w:rFonts w:hint="eastAsia"/>
        </w:rPr>
        <w:t>134.18</w:t>
      </w:r>
      <w:r>
        <w:rPr>
          <w:rFonts w:hint="eastAsia"/>
        </w:rPr>
        <w:t>美元；而</w:t>
      </w:r>
      <w:r>
        <w:rPr>
          <w:rFonts w:hint="eastAsia"/>
        </w:rPr>
        <w:t>12</w:t>
      </w:r>
      <w:r>
        <w:rPr>
          <w:rFonts w:hint="eastAsia"/>
        </w:rPr>
        <w:t>月份为</w:t>
      </w:r>
      <w:r>
        <w:rPr>
          <w:rFonts w:hint="eastAsia"/>
        </w:rPr>
        <w:t>1,109,167</w:t>
      </w:r>
      <w:r>
        <w:rPr>
          <w:rFonts w:hint="eastAsia"/>
        </w:rPr>
        <w:t>苏克雷，即</w:t>
      </w:r>
      <w:r>
        <w:rPr>
          <w:rFonts w:hint="eastAsia"/>
        </w:rPr>
        <w:t>60.92</w:t>
      </w:r>
      <w:r>
        <w:rPr>
          <w:rFonts w:hint="eastAsia"/>
        </w:rPr>
        <w:t>美元。家庭的直接开支主要用于吃饭和穿衣；吃饭和穿衣的价格指数所占份额分别为</w:t>
      </w:r>
      <w:r>
        <w:rPr>
          <w:rFonts w:hint="eastAsia"/>
        </w:rPr>
        <w:t>17.8%</w:t>
      </w:r>
      <w:r>
        <w:rPr>
          <w:rFonts w:hint="eastAsia"/>
        </w:rPr>
        <w:t>和</w:t>
      </w:r>
      <w:r>
        <w:rPr>
          <w:rFonts w:hint="eastAsia"/>
        </w:rPr>
        <w:t>8.6%</w:t>
      </w:r>
      <w:r>
        <w:rPr>
          <w:rFonts w:hint="eastAsia"/>
        </w:rPr>
        <w:t>。</w:t>
      </w:r>
    </w:p>
    <w:p w:rsidR="00000000" w:rsidRDefault="00000000">
      <w:pPr>
        <w:spacing w:after="320"/>
        <w:rPr>
          <w:rFonts w:hint="eastAsia"/>
        </w:rPr>
      </w:pPr>
      <w:r>
        <w:rPr>
          <w:rFonts w:hint="eastAsia"/>
        </w:rPr>
        <w:tab/>
        <w:t xml:space="preserve">280.  </w:t>
      </w:r>
      <w:r>
        <w:rPr>
          <w:rFonts w:hint="eastAsia"/>
        </w:rPr>
        <w:t>中央银行尽管努力进行干预，但仍未能控制住美元的飙升，到</w:t>
      </w:r>
      <w:r>
        <w:rPr>
          <w:rFonts w:hint="eastAsia"/>
        </w:rPr>
        <w:t>1999</w:t>
      </w:r>
      <w:r>
        <w:rPr>
          <w:rFonts w:hint="eastAsia"/>
        </w:rPr>
        <w:t>年底，</w:t>
      </w:r>
      <w:r>
        <w:rPr>
          <w:rFonts w:hint="eastAsia"/>
        </w:rPr>
        <w:t>1</w:t>
      </w:r>
      <w:r>
        <w:rPr>
          <w:rFonts w:hint="eastAsia"/>
        </w:rPr>
        <w:t>美元升至近</w:t>
      </w:r>
      <w:r>
        <w:rPr>
          <w:rFonts w:hint="eastAsia"/>
        </w:rPr>
        <w:t>20,000</w:t>
      </w:r>
      <w:r>
        <w:rPr>
          <w:rFonts w:hint="eastAsia"/>
        </w:rPr>
        <w:t>苏克雷。因此，政府重新确定了冻结资产的支付时间，以避免使经济形势雪上添霜。</w:t>
      </w:r>
      <w:r>
        <w:rPr>
          <w:rFonts w:hint="eastAsia"/>
        </w:rPr>
        <w:t>2000</w:t>
      </w:r>
      <w:r>
        <w:rPr>
          <w:rFonts w:hint="eastAsia"/>
        </w:rPr>
        <w:t>年年初，政府发出命令，由美元取代国家货币流通，并将汇率定为</w:t>
      </w:r>
      <w:r>
        <w:rPr>
          <w:rFonts w:hint="eastAsia"/>
        </w:rPr>
        <w:t>1</w:t>
      </w:r>
      <w:r>
        <w:rPr>
          <w:rFonts w:hint="eastAsia"/>
        </w:rPr>
        <w:t>美元兑</w:t>
      </w:r>
      <w:r>
        <w:rPr>
          <w:rFonts w:hint="eastAsia"/>
        </w:rPr>
        <w:t>25,000</w:t>
      </w:r>
      <w:r>
        <w:rPr>
          <w:rFonts w:hint="eastAsia"/>
        </w:rPr>
        <w:t>苏克雷。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7"/>
        <w:gridCol w:w="1800"/>
        <w:gridCol w:w="2274"/>
        <w:gridCol w:w="2286"/>
        <w:gridCol w:w="1543"/>
      </w:tblGrid>
      <w:tr w:rsidR="00000000">
        <w:tblPrEx>
          <w:tblCellMar>
            <w:top w:w="0" w:type="dxa"/>
            <w:bottom w:w="0" w:type="dxa"/>
          </w:tblCellMar>
        </w:tblPrEx>
        <w:tc>
          <w:tcPr>
            <w:tcW w:w="1668" w:type="dxa"/>
          </w:tcPr>
          <w:p w:rsidR="00000000" w:rsidRDefault="00000000">
            <w:pPr>
              <w:spacing w:before="60" w:after="20"/>
              <w:jc w:val="center"/>
              <w:rPr>
                <w:rFonts w:hint="eastAsia"/>
                <w:sz w:val="21"/>
              </w:rPr>
            </w:pPr>
            <w:r>
              <w:rPr>
                <w:rFonts w:hint="eastAsia"/>
                <w:sz w:val="21"/>
              </w:rPr>
              <w:t>年</w:t>
            </w:r>
            <w:r>
              <w:rPr>
                <w:rFonts w:hint="eastAsia"/>
                <w:sz w:val="21"/>
              </w:rPr>
              <w:t xml:space="preserve">  </w:t>
            </w:r>
            <w:r>
              <w:rPr>
                <w:rFonts w:hint="eastAsia"/>
                <w:sz w:val="21"/>
              </w:rPr>
              <w:t>份</w:t>
            </w:r>
          </w:p>
        </w:tc>
        <w:tc>
          <w:tcPr>
            <w:tcW w:w="1800" w:type="dxa"/>
          </w:tcPr>
          <w:p w:rsidR="00000000" w:rsidRDefault="00000000">
            <w:pPr>
              <w:spacing w:before="60" w:after="20"/>
              <w:jc w:val="center"/>
              <w:rPr>
                <w:rFonts w:hint="eastAsia"/>
                <w:sz w:val="21"/>
              </w:rPr>
            </w:pPr>
            <w:r>
              <w:rPr>
                <w:rFonts w:hint="eastAsia"/>
                <w:sz w:val="21"/>
              </w:rPr>
              <w:t>物价指数</w:t>
            </w:r>
          </w:p>
        </w:tc>
        <w:tc>
          <w:tcPr>
            <w:tcW w:w="2274" w:type="dxa"/>
          </w:tcPr>
          <w:p w:rsidR="00000000" w:rsidRDefault="00000000">
            <w:pPr>
              <w:spacing w:before="60" w:after="20"/>
              <w:jc w:val="center"/>
              <w:rPr>
                <w:rFonts w:hint="eastAsia"/>
                <w:sz w:val="21"/>
              </w:rPr>
            </w:pPr>
            <w:r>
              <w:rPr>
                <w:rFonts w:hint="eastAsia"/>
                <w:sz w:val="21"/>
              </w:rPr>
              <w:t>GDP</w:t>
            </w:r>
            <w:r>
              <w:rPr>
                <w:rFonts w:hint="eastAsia"/>
                <w:sz w:val="21"/>
              </w:rPr>
              <w:t>年度变动情况</w:t>
            </w:r>
          </w:p>
        </w:tc>
        <w:tc>
          <w:tcPr>
            <w:tcW w:w="2286" w:type="dxa"/>
          </w:tcPr>
          <w:p w:rsidR="00000000" w:rsidRDefault="00000000">
            <w:pPr>
              <w:spacing w:before="60" w:after="20"/>
              <w:jc w:val="center"/>
              <w:rPr>
                <w:rFonts w:hint="eastAsia"/>
                <w:sz w:val="21"/>
              </w:rPr>
            </w:pPr>
            <w:r>
              <w:rPr>
                <w:rFonts w:hint="eastAsia"/>
                <w:sz w:val="21"/>
              </w:rPr>
              <w:t>美元</w:t>
            </w:r>
            <w:r>
              <w:rPr>
                <w:rFonts w:hint="eastAsia"/>
                <w:sz w:val="21"/>
              </w:rPr>
              <w:t xml:space="preserve"> - </w:t>
            </w:r>
            <w:r>
              <w:rPr>
                <w:rFonts w:hint="eastAsia"/>
                <w:sz w:val="21"/>
              </w:rPr>
              <w:t>苏克雷汇率</w:t>
            </w:r>
            <w:r>
              <w:rPr>
                <w:rFonts w:hint="eastAsia"/>
                <w:position w:val="6"/>
                <w:sz w:val="21"/>
              </w:rPr>
              <w:t>*</w:t>
            </w:r>
          </w:p>
        </w:tc>
        <w:tc>
          <w:tcPr>
            <w:tcW w:w="1543" w:type="dxa"/>
          </w:tcPr>
          <w:p w:rsidR="00000000" w:rsidRDefault="00000000">
            <w:pPr>
              <w:spacing w:before="60" w:after="20"/>
              <w:jc w:val="center"/>
              <w:rPr>
                <w:rFonts w:hint="eastAsia"/>
                <w:sz w:val="21"/>
              </w:rPr>
            </w:pPr>
            <w:r>
              <w:rPr>
                <w:rFonts w:hint="eastAsia"/>
                <w:sz w:val="21"/>
              </w:rPr>
              <w:t>失业率</w:t>
            </w:r>
            <w:r>
              <w:rPr>
                <w:rFonts w:hint="eastAsia"/>
                <w:position w:val="6"/>
                <w:sz w:val="21"/>
              </w:rPr>
              <w:t>**</w:t>
            </w:r>
          </w:p>
        </w:tc>
      </w:tr>
      <w:tr w:rsidR="00000000">
        <w:tblPrEx>
          <w:tblCellMar>
            <w:top w:w="0" w:type="dxa"/>
            <w:bottom w:w="0" w:type="dxa"/>
          </w:tblCellMar>
        </w:tblPrEx>
        <w:tc>
          <w:tcPr>
            <w:tcW w:w="1668" w:type="dxa"/>
          </w:tcPr>
          <w:p w:rsidR="00000000" w:rsidRDefault="00000000">
            <w:pPr>
              <w:spacing w:before="60" w:after="20"/>
              <w:jc w:val="center"/>
              <w:rPr>
                <w:rFonts w:hint="eastAsia"/>
                <w:sz w:val="21"/>
              </w:rPr>
            </w:pPr>
            <w:r>
              <w:rPr>
                <w:rFonts w:hint="eastAsia"/>
                <w:sz w:val="21"/>
              </w:rPr>
              <w:t>1990</w:t>
            </w:r>
          </w:p>
        </w:tc>
        <w:tc>
          <w:tcPr>
            <w:tcW w:w="1800" w:type="dxa"/>
          </w:tcPr>
          <w:p w:rsidR="00000000" w:rsidRDefault="00000000">
            <w:pPr>
              <w:spacing w:before="60" w:after="20"/>
              <w:ind w:right="492"/>
              <w:jc w:val="right"/>
              <w:rPr>
                <w:rFonts w:hint="eastAsia"/>
                <w:sz w:val="21"/>
              </w:rPr>
            </w:pPr>
            <w:r>
              <w:rPr>
                <w:rFonts w:hint="eastAsia"/>
                <w:sz w:val="21"/>
              </w:rPr>
              <w:t>20.89</w:t>
            </w:r>
          </w:p>
        </w:tc>
        <w:tc>
          <w:tcPr>
            <w:tcW w:w="2274" w:type="dxa"/>
          </w:tcPr>
          <w:p w:rsidR="00000000" w:rsidRDefault="00000000">
            <w:pPr>
              <w:spacing w:before="60" w:after="20"/>
              <w:ind w:right="846"/>
              <w:jc w:val="right"/>
              <w:rPr>
                <w:rFonts w:hint="eastAsia"/>
                <w:sz w:val="21"/>
              </w:rPr>
            </w:pPr>
            <w:r>
              <w:rPr>
                <w:rFonts w:hint="eastAsia"/>
                <w:sz w:val="21"/>
              </w:rPr>
              <w:t>3</w:t>
            </w:r>
          </w:p>
        </w:tc>
        <w:tc>
          <w:tcPr>
            <w:tcW w:w="2286" w:type="dxa"/>
          </w:tcPr>
          <w:p w:rsidR="00000000" w:rsidRDefault="00000000">
            <w:pPr>
              <w:spacing w:before="60" w:after="20"/>
              <w:ind w:right="612"/>
              <w:jc w:val="right"/>
              <w:rPr>
                <w:rFonts w:hint="eastAsia"/>
                <w:sz w:val="21"/>
              </w:rPr>
            </w:pPr>
            <w:r>
              <w:rPr>
                <w:rFonts w:hint="eastAsia"/>
                <w:sz w:val="21"/>
              </w:rPr>
              <w:t>898</w:t>
            </w:r>
          </w:p>
        </w:tc>
        <w:tc>
          <w:tcPr>
            <w:tcW w:w="1543" w:type="dxa"/>
          </w:tcPr>
          <w:p w:rsidR="00000000" w:rsidRDefault="00000000">
            <w:pPr>
              <w:spacing w:before="60" w:after="20"/>
              <w:ind w:right="475"/>
              <w:jc w:val="right"/>
              <w:rPr>
                <w:rFonts w:hint="eastAsia"/>
                <w:sz w:val="21"/>
              </w:rPr>
            </w:pPr>
            <w:r>
              <w:rPr>
                <w:rFonts w:hint="eastAsia"/>
                <w:sz w:val="21"/>
              </w:rPr>
              <w:t>6.1</w:t>
            </w:r>
          </w:p>
        </w:tc>
      </w:tr>
      <w:tr w:rsidR="00000000">
        <w:tblPrEx>
          <w:tblCellMar>
            <w:top w:w="0" w:type="dxa"/>
            <w:bottom w:w="0" w:type="dxa"/>
          </w:tblCellMar>
        </w:tblPrEx>
        <w:tc>
          <w:tcPr>
            <w:tcW w:w="1668" w:type="dxa"/>
          </w:tcPr>
          <w:p w:rsidR="00000000" w:rsidRDefault="00000000">
            <w:pPr>
              <w:spacing w:before="60" w:after="20"/>
              <w:jc w:val="center"/>
              <w:rPr>
                <w:rFonts w:hint="eastAsia"/>
                <w:sz w:val="21"/>
              </w:rPr>
            </w:pPr>
            <w:r>
              <w:rPr>
                <w:rFonts w:hint="eastAsia"/>
                <w:sz w:val="21"/>
              </w:rPr>
              <w:t>1995</w:t>
            </w:r>
          </w:p>
        </w:tc>
        <w:tc>
          <w:tcPr>
            <w:tcW w:w="1800" w:type="dxa"/>
          </w:tcPr>
          <w:p w:rsidR="00000000" w:rsidRDefault="00000000">
            <w:pPr>
              <w:spacing w:before="60" w:after="20"/>
              <w:ind w:right="492"/>
              <w:jc w:val="right"/>
              <w:rPr>
                <w:rFonts w:hint="eastAsia"/>
                <w:sz w:val="21"/>
              </w:rPr>
            </w:pPr>
            <w:r>
              <w:rPr>
                <w:rFonts w:hint="eastAsia"/>
                <w:sz w:val="21"/>
              </w:rPr>
              <w:t>108.99</w:t>
            </w:r>
          </w:p>
        </w:tc>
        <w:tc>
          <w:tcPr>
            <w:tcW w:w="2274" w:type="dxa"/>
          </w:tcPr>
          <w:p w:rsidR="00000000" w:rsidRDefault="00000000">
            <w:pPr>
              <w:spacing w:before="60" w:after="20"/>
              <w:ind w:right="846"/>
              <w:jc w:val="right"/>
              <w:rPr>
                <w:rFonts w:hint="eastAsia"/>
                <w:sz w:val="21"/>
              </w:rPr>
            </w:pPr>
            <w:r>
              <w:rPr>
                <w:rFonts w:hint="eastAsia"/>
                <w:sz w:val="21"/>
              </w:rPr>
              <w:t>2.3</w:t>
            </w:r>
          </w:p>
        </w:tc>
        <w:tc>
          <w:tcPr>
            <w:tcW w:w="2286" w:type="dxa"/>
          </w:tcPr>
          <w:p w:rsidR="00000000" w:rsidRDefault="00000000">
            <w:pPr>
              <w:spacing w:before="60" w:after="20"/>
              <w:ind w:right="612"/>
              <w:jc w:val="right"/>
              <w:rPr>
                <w:rFonts w:hint="eastAsia"/>
                <w:sz w:val="21"/>
              </w:rPr>
            </w:pPr>
            <w:r>
              <w:rPr>
                <w:rFonts w:hint="eastAsia"/>
                <w:sz w:val="21"/>
              </w:rPr>
              <w:t>2,925</w:t>
            </w:r>
          </w:p>
        </w:tc>
        <w:tc>
          <w:tcPr>
            <w:tcW w:w="1543" w:type="dxa"/>
          </w:tcPr>
          <w:p w:rsidR="00000000" w:rsidRDefault="00000000">
            <w:pPr>
              <w:spacing w:before="60" w:after="20"/>
              <w:ind w:right="475"/>
              <w:jc w:val="right"/>
              <w:rPr>
                <w:rFonts w:hint="eastAsia"/>
                <w:sz w:val="21"/>
              </w:rPr>
            </w:pPr>
            <w:r>
              <w:rPr>
                <w:rFonts w:hint="eastAsia"/>
                <w:sz w:val="21"/>
              </w:rPr>
              <w:t>6.9</w:t>
            </w:r>
          </w:p>
        </w:tc>
      </w:tr>
      <w:tr w:rsidR="00000000">
        <w:tblPrEx>
          <w:tblCellMar>
            <w:top w:w="0" w:type="dxa"/>
            <w:bottom w:w="0" w:type="dxa"/>
          </w:tblCellMar>
        </w:tblPrEx>
        <w:tc>
          <w:tcPr>
            <w:tcW w:w="1668" w:type="dxa"/>
          </w:tcPr>
          <w:p w:rsidR="00000000" w:rsidRDefault="00000000">
            <w:pPr>
              <w:spacing w:before="60" w:after="20"/>
              <w:jc w:val="center"/>
              <w:rPr>
                <w:rFonts w:hint="eastAsia"/>
                <w:sz w:val="21"/>
              </w:rPr>
            </w:pPr>
            <w:r>
              <w:rPr>
                <w:rFonts w:hint="eastAsia"/>
                <w:sz w:val="21"/>
              </w:rPr>
              <w:t>1998</w:t>
            </w:r>
          </w:p>
        </w:tc>
        <w:tc>
          <w:tcPr>
            <w:tcW w:w="1800" w:type="dxa"/>
          </w:tcPr>
          <w:p w:rsidR="00000000" w:rsidRDefault="00000000">
            <w:pPr>
              <w:spacing w:before="60" w:after="20"/>
              <w:ind w:right="492"/>
              <w:jc w:val="right"/>
              <w:rPr>
                <w:rFonts w:hint="eastAsia"/>
                <w:sz w:val="21"/>
              </w:rPr>
            </w:pPr>
            <w:r>
              <w:rPr>
                <w:rFonts w:hint="eastAsia"/>
                <w:sz w:val="21"/>
              </w:rPr>
              <w:t>241.04</w:t>
            </w:r>
          </w:p>
        </w:tc>
        <w:tc>
          <w:tcPr>
            <w:tcW w:w="2274" w:type="dxa"/>
          </w:tcPr>
          <w:p w:rsidR="00000000" w:rsidRDefault="00000000">
            <w:pPr>
              <w:spacing w:before="60" w:after="20"/>
              <w:ind w:right="846"/>
              <w:jc w:val="right"/>
              <w:rPr>
                <w:rFonts w:hint="eastAsia"/>
                <w:sz w:val="21"/>
              </w:rPr>
            </w:pPr>
            <w:r>
              <w:rPr>
                <w:rFonts w:hint="eastAsia"/>
                <w:sz w:val="21"/>
              </w:rPr>
              <w:t>0.4</w:t>
            </w:r>
          </w:p>
        </w:tc>
        <w:tc>
          <w:tcPr>
            <w:tcW w:w="2286" w:type="dxa"/>
          </w:tcPr>
          <w:p w:rsidR="00000000" w:rsidRDefault="00000000">
            <w:pPr>
              <w:spacing w:before="60" w:after="20"/>
              <w:ind w:right="612"/>
              <w:jc w:val="right"/>
              <w:rPr>
                <w:rFonts w:hint="eastAsia"/>
                <w:sz w:val="21"/>
              </w:rPr>
            </w:pPr>
            <w:r>
              <w:rPr>
                <w:rFonts w:hint="eastAsia"/>
                <w:sz w:val="21"/>
              </w:rPr>
              <w:t>6,825</w:t>
            </w:r>
          </w:p>
        </w:tc>
        <w:tc>
          <w:tcPr>
            <w:tcW w:w="1543" w:type="dxa"/>
          </w:tcPr>
          <w:p w:rsidR="00000000" w:rsidRDefault="00000000">
            <w:pPr>
              <w:spacing w:before="60" w:after="20"/>
              <w:ind w:right="475"/>
              <w:jc w:val="right"/>
              <w:rPr>
                <w:rFonts w:hint="eastAsia"/>
                <w:sz w:val="21"/>
              </w:rPr>
            </w:pPr>
            <w:r>
              <w:rPr>
                <w:rFonts w:hint="eastAsia"/>
                <w:sz w:val="21"/>
              </w:rPr>
              <w:t>11.5</w:t>
            </w:r>
          </w:p>
        </w:tc>
      </w:tr>
      <w:tr w:rsidR="00000000">
        <w:tblPrEx>
          <w:tblCellMar>
            <w:top w:w="0" w:type="dxa"/>
            <w:bottom w:w="0" w:type="dxa"/>
          </w:tblCellMar>
        </w:tblPrEx>
        <w:tc>
          <w:tcPr>
            <w:tcW w:w="1668" w:type="dxa"/>
          </w:tcPr>
          <w:p w:rsidR="00000000" w:rsidRDefault="00000000">
            <w:pPr>
              <w:spacing w:before="60" w:after="20"/>
              <w:jc w:val="center"/>
              <w:rPr>
                <w:rFonts w:hint="eastAsia"/>
                <w:sz w:val="21"/>
              </w:rPr>
            </w:pPr>
            <w:r>
              <w:rPr>
                <w:rFonts w:hint="eastAsia"/>
                <w:sz w:val="21"/>
              </w:rPr>
              <w:t>1999</w:t>
            </w:r>
          </w:p>
        </w:tc>
        <w:tc>
          <w:tcPr>
            <w:tcW w:w="1800" w:type="dxa"/>
          </w:tcPr>
          <w:p w:rsidR="00000000" w:rsidRDefault="00000000">
            <w:pPr>
              <w:spacing w:before="60" w:after="20"/>
              <w:ind w:right="492"/>
              <w:jc w:val="right"/>
              <w:rPr>
                <w:rFonts w:hint="eastAsia"/>
                <w:sz w:val="21"/>
              </w:rPr>
            </w:pPr>
            <w:r>
              <w:rPr>
                <w:rFonts w:hint="eastAsia"/>
                <w:sz w:val="21"/>
              </w:rPr>
              <w:t>367</w:t>
            </w:r>
          </w:p>
        </w:tc>
        <w:tc>
          <w:tcPr>
            <w:tcW w:w="2274" w:type="dxa"/>
          </w:tcPr>
          <w:p w:rsidR="00000000" w:rsidRDefault="00000000">
            <w:pPr>
              <w:spacing w:before="60" w:after="20"/>
              <w:ind w:right="846"/>
              <w:jc w:val="right"/>
              <w:rPr>
                <w:rFonts w:hint="eastAsia"/>
                <w:sz w:val="21"/>
              </w:rPr>
            </w:pPr>
            <w:r>
              <w:rPr>
                <w:rFonts w:hint="eastAsia"/>
                <w:sz w:val="21"/>
              </w:rPr>
              <w:t>-7.3</w:t>
            </w:r>
          </w:p>
        </w:tc>
        <w:tc>
          <w:tcPr>
            <w:tcW w:w="2286" w:type="dxa"/>
          </w:tcPr>
          <w:p w:rsidR="00000000" w:rsidRDefault="00000000">
            <w:pPr>
              <w:spacing w:before="60" w:after="20"/>
              <w:ind w:right="612"/>
              <w:jc w:val="right"/>
              <w:rPr>
                <w:rFonts w:hint="eastAsia"/>
                <w:sz w:val="21"/>
              </w:rPr>
            </w:pPr>
            <w:r>
              <w:rPr>
                <w:rFonts w:hint="eastAsia"/>
                <w:sz w:val="21"/>
              </w:rPr>
              <w:t>20,243</w:t>
            </w:r>
          </w:p>
        </w:tc>
        <w:tc>
          <w:tcPr>
            <w:tcW w:w="1543" w:type="dxa"/>
          </w:tcPr>
          <w:p w:rsidR="00000000" w:rsidRDefault="00000000">
            <w:pPr>
              <w:spacing w:before="60" w:after="20"/>
              <w:ind w:right="475"/>
              <w:jc w:val="right"/>
              <w:rPr>
                <w:rFonts w:hint="eastAsia"/>
                <w:sz w:val="21"/>
              </w:rPr>
            </w:pPr>
            <w:r>
              <w:rPr>
                <w:rFonts w:hint="eastAsia"/>
                <w:sz w:val="21"/>
              </w:rPr>
              <w:t>14.4</w:t>
            </w:r>
          </w:p>
        </w:tc>
      </w:tr>
      <w:tr w:rsidR="00000000">
        <w:tblPrEx>
          <w:tblCellMar>
            <w:top w:w="0" w:type="dxa"/>
            <w:bottom w:w="0" w:type="dxa"/>
          </w:tblCellMar>
        </w:tblPrEx>
        <w:tc>
          <w:tcPr>
            <w:tcW w:w="1668" w:type="dxa"/>
          </w:tcPr>
          <w:p w:rsidR="00000000" w:rsidRDefault="00000000">
            <w:pPr>
              <w:spacing w:before="60" w:after="20"/>
              <w:jc w:val="center"/>
              <w:rPr>
                <w:rFonts w:hint="eastAsia"/>
                <w:sz w:val="21"/>
              </w:rPr>
            </w:pPr>
            <w:r>
              <w:rPr>
                <w:rFonts w:hint="eastAsia"/>
                <w:sz w:val="21"/>
              </w:rPr>
              <w:t>2000</w:t>
            </w:r>
          </w:p>
        </w:tc>
        <w:tc>
          <w:tcPr>
            <w:tcW w:w="1800" w:type="dxa"/>
          </w:tcPr>
          <w:p w:rsidR="00000000" w:rsidRDefault="00000000">
            <w:pPr>
              <w:spacing w:before="60" w:after="20"/>
              <w:ind w:right="492"/>
              <w:jc w:val="right"/>
              <w:rPr>
                <w:rFonts w:hint="eastAsia"/>
                <w:sz w:val="21"/>
              </w:rPr>
            </w:pPr>
          </w:p>
        </w:tc>
        <w:tc>
          <w:tcPr>
            <w:tcW w:w="2274" w:type="dxa"/>
          </w:tcPr>
          <w:p w:rsidR="00000000" w:rsidRDefault="00000000">
            <w:pPr>
              <w:spacing w:before="60" w:after="20"/>
              <w:ind w:right="846"/>
              <w:jc w:val="right"/>
              <w:rPr>
                <w:rFonts w:hint="eastAsia"/>
                <w:sz w:val="21"/>
              </w:rPr>
            </w:pPr>
            <w:r>
              <w:rPr>
                <w:rFonts w:hint="eastAsia"/>
                <w:sz w:val="21"/>
              </w:rPr>
              <w:t>4.8</w:t>
            </w:r>
          </w:p>
        </w:tc>
        <w:tc>
          <w:tcPr>
            <w:tcW w:w="2286" w:type="dxa"/>
          </w:tcPr>
          <w:p w:rsidR="00000000" w:rsidRDefault="00000000">
            <w:pPr>
              <w:spacing w:before="60" w:after="20"/>
              <w:ind w:right="612"/>
              <w:jc w:val="right"/>
              <w:rPr>
                <w:rFonts w:hint="eastAsia"/>
                <w:sz w:val="21"/>
              </w:rPr>
            </w:pPr>
            <w:r>
              <w:rPr>
                <w:rFonts w:hint="eastAsia"/>
                <w:sz w:val="21"/>
              </w:rPr>
              <w:t>25,000</w:t>
            </w:r>
          </w:p>
        </w:tc>
        <w:tc>
          <w:tcPr>
            <w:tcW w:w="1543" w:type="dxa"/>
          </w:tcPr>
          <w:p w:rsidR="00000000" w:rsidRDefault="00000000">
            <w:pPr>
              <w:spacing w:before="60" w:after="20"/>
              <w:ind w:right="475"/>
              <w:jc w:val="right"/>
              <w:rPr>
                <w:rFonts w:hint="eastAsia"/>
                <w:sz w:val="21"/>
              </w:rPr>
            </w:pPr>
            <w:r>
              <w:rPr>
                <w:rFonts w:hint="eastAsia"/>
                <w:sz w:val="21"/>
              </w:rPr>
              <w:t>17.0</w:t>
            </w:r>
          </w:p>
        </w:tc>
      </w:tr>
      <w:tr w:rsidR="00000000">
        <w:tblPrEx>
          <w:tblCellMar>
            <w:top w:w="0" w:type="dxa"/>
            <w:bottom w:w="0" w:type="dxa"/>
          </w:tblCellMar>
        </w:tblPrEx>
        <w:tc>
          <w:tcPr>
            <w:tcW w:w="1668" w:type="dxa"/>
          </w:tcPr>
          <w:p w:rsidR="00000000" w:rsidRDefault="00000000">
            <w:pPr>
              <w:spacing w:before="60" w:after="20"/>
              <w:jc w:val="center"/>
              <w:rPr>
                <w:rFonts w:hint="eastAsia"/>
                <w:sz w:val="21"/>
              </w:rPr>
            </w:pPr>
            <w:r>
              <w:rPr>
                <w:rFonts w:hint="eastAsia"/>
                <w:sz w:val="21"/>
              </w:rPr>
              <w:t>2002</w:t>
            </w:r>
          </w:p>
        </w:tc>
        <w:tc>
          <w:tcPr>
            <w:tcW w:w="1800" w:type="dxa"/>
          </w:tcPr>
          <w:p w:rsidR="00000000" w:rsidRDefault="00000000">
            <w:pPr>
              <w:spacing w:before="60" w:after="20"/>
              <w:ind w:right="492"/>
              <w:jc w:val="right"/>
              <w:rPr>
                <w:rFonts w:hint="eastAsia"/>
                <w:sz w:val="21"/>
              </w:rPr>
            </w:pPr>
          </w:p>
        </w:tc>
        <w:tc>
          <w:tcPr>
            <w:tcW w:w="2274" w:type="dxa"/>
          </w:tcPr>
          <w:p w:rsidR="00000000" w:rsidRDefault="00000000">
            <w:pPr>
              <w:spacing w:before="60" w:after="20"/>
              <w:ind w:right="846"/>
              <w:jc w:val="right"/>
              <w:rPr>
                <w:rFonts w:hint="eastAsia"/>
                <w:sz w:val="21"/>
              </w:rPr>
            </w:pPr>
            <w:r>
              <w:rPr>
                <w:rFonts w:hint="eastAsia"/>
                <w:sz w:val="21"/>
              </w:rPr>
              <w:t>3.5</w:t>
            </w:r>
          </w:p>
        </w:tc>
        <w:tc>
          <w:tcPr>
            <w:tcW w:w="2286" w:type="dxa"/>
          </w:tcPr>
          <w:p w:rsidR="00000000" w:rsidRDefault="00000000">
            <w:pPr>
              <w:spacing w:before="60" w:after="20"/>
              <w:ind w:right="612"/>
              <w:jc w:val="right"/>
              <w:rPr>
                <w:rFonts w:hint="eastAsia"/>
                <w:sz w:val="21"/>
              </w:rPr>
            </w:pPr>
            <w:r>
              <w:rPr>
                <w:rFonts w:hint="eastAsia"/>
                <w:sz w:val="21"/>
              </w:rPr>
              <w:t>25,000</w:t>
            </w:r>
          </w:p>
        </w:tc>
        <w:tc>
          <w:tcPr>
            <w:tcW w:w="1543" w:type="dxa"/>
          </w:tcPr>
          <w:p w:rsidR="00000000" w:rsidRDefault="00000000">
            <w:pPr>
              <w:spacing w:before="60" w:after="20"/>
              <w:ind w:right="475"/>
              <w:jc w:val="right"/>
              <w:rPr>
                <w:rFonts w:hint="eastAsia"/>
                <w:sz w:val="21"/>
              </w:rPr>
            </w:pPr>
            <w:r>
              <w:rPr>
                <w:rFonts w:hint="eastAsia"/>
                <w:sz w:val="21"/>
              </w:rPr>
              <w:t>8.4</w:t>
            </w:r>
          </w:p>
        </w:tc>
      </w:tr>
    </w:tbl>
    <w:p w:rsidR="00000000" w:rsidRDefault="00000000">
      <w:pPr>
        <w:pStyle w:val="EndnoteText"/>
        <w:spacing w:before="240" w:line="336" w:lineRule="auto"/>
        <w:rPr>
          <w:rFonts w:hint="eastAsia"/>
        </w:rPr>
      </w:pPr>
      <w:r>
        <w:rPr>
          <w:rFonts w:hint="eastAsia"/>
          <w:u w:val="single"/>
        </w:rPr>
        <w:t>资料来源</w:t>
      </w:r>
      <w:r>
        <w:rPr>
          <w:rFonts w:hint="eastAsia"/>
        </w:rPr>
        <w:t>：《中央银行统计公报》。</w:t>
      </w:r>
    </w:p>
    <w:p w:rsidR="00000000" w:rsidRDefault="00000000">
      <w:pPr>
        <w:pStyle w:val="EndnoteText"/>
        <w:spacing w:line="336" w:lineRule="auto"/>
        <w:ind w:left="1020" w:firstLine="300"/>
        <w:rPr>
          <w:rFonts w:hint="eastAsia"/>
        </w:rPr>
      </w:pPr>
      <w:r>
        <w:rPr>
          <w:rFonts w:hint="eastAsia"/>
        </w:rPr>
        <w:t>*</w:t>
      </w:r>
      <w:r>
        <w:rPr>
          <w:rFonts w:hint="eastAsia"/>
        </w:rPr>
        <w:tab/>
      </w:r>
      <w:r>
        <w:t xml:space="preserve">  </w:t>
      </w:r>
      <w:r>
        <w:rPr>
          <w:rFonts w:hint="eastAsia"/>
        </w:rPr>
        <w:t>期末确定的汇率。</w:t>
      </w:r>
    </w:p>
    <w:p w:rsidR="00000000" w:rsidRDefault="00000000">
      <w:pPr>
        <w:pStyle w:val="EndnoteText"/>
        <w:spacing w:after="320" w:line="336" w:lineRule="auto"/>
        <w:ind w:left="1020" w:firstLine="180"/>
        <w:rPr>
          <w:rFonts w:hint="eastAsia"/>
        </w:rPr>
      </w:pPr>
      <w:r>
        <w:rPr>
          <w:rFonts w:hint="eastAsia"/>
        </w:rPr>
        <w:t>**</w:t>
      </w:r>
      <w:r>
        <w:rPr>
          <w:rFonts w:hint="eastAsia"/>
        </w:rPr>
        <w:tab/>
        <w:t xml:space="preserve">  </w:t>
      </w:r>
      <w:r>
        <w:rPr>
          <w:rFonts w:hint="eastAsia"/>
        </w:rPr>
        <w:t>国家统计局。</w:t>
      </w:r>
    </w:p>
    <w:p w:rsidR="00000000" w:rsidRDefault="00000000">
      <w:pPr>
        <w:rPr>
          <w:rFonts w:hint="eastAsia"/>
        </w:rPr>
      </w:pPr>
      <w:r>
        <w:rPr>
          <w:rFonts w:hint="eastAsia"/>
        </w:rPr>
        <w:tab/>
        <w:t>281.  1999</w:t>
      </w:r>
      <w:r>
        <w:rPr>
          <w:rFonts w:hint="eastAsia"/>
        </w:rPr>
        <w:t>年，由于经济衰退，贫困人数已达到临界水平。越来越多的人沦为穷人，主要由于那些过去有足够收入满足基本需求的人，因近段时间收入下降而短期内无法再满足基本需求。国家统计局的官方统计数据表明，全国的失业率从</w:t>
      </w:r>
      <w:r>
        <w:rPr>
          <w:rFonts w:hint="eastAsia"/>
        </w:rPr>
        <w:t>1998</w:t>
      </w:r>
      <w:r>
        <w:rPr>
          <w:rFonts w:hint="eastAsia"/>
        </w:rPr>
        <w:t>年的</w:t>
      </w:r>
      <w:r>
        <w:rPr>
          <w:rFonts w:hint="eastAsia"/>
        </w:rPr>
        <w:t>11.5%</w:t>
      </w:r>
      <w:r>
        <w:rPr>
          <w:rFonts w:hint="eastAsia"/>
        </w:rPr>
        <w:t>上升到</w:t>
      </w:r>
      <w:r>
        <w:rPr>
          <w:rFonts w:hint="eastAsia"/>
        </w:rPr>
        <w:t>1999</w:t>
      </w:r>
      <w:r>
        <w:rPr>
          <w:rFonts w:hint="eastAsia"/>
        </w:rPr>
        <w:t>年的</w:t>
      </w:r>
      <w:r>
        <w:rPr>
          <w:rFonts w:hint="eastAsia"/>
        </w:rPr>
        <w:t>14.4%</w:t>
      </w:r>
      <w:r>
        <w:rPr>
          <w:rFonts w:hint="eastAsia"/>
        </w:rPr>
        <w:t>。就绝对人数而言，厄瓜多尔城市地区的失业人数为</w:t>
      </w:r>
      <w:r>
        <w:rPr>
          <w:rFonts w:hint="eastAsia"/>
        </w:rPr>
        <w:t>543,452</w:t>
      </w:r>
      <w:r>
        <w:rPr>
          <w:rFonts w:hint="eastAsia"/>
        </w:rPr>
        <w:t>人。</w:t>
      </w:r>
      <w:r>
        <w:rPr>
          <w:rFonts w:hint="eastAsia"/>
        </w:rPr>
        <w:t>2000</w:t>
      </w:r>
      <w:r>
        <w:rPr>
          <w:rFonts w:hint="eastAsia"/>
        </w:rPr>
        <w:t>年失业率升至</w:t>
      </w:r>
      <w:r>
        <w:rPr>
          <w:rFonts w:hint="eastAsia"/>
        </w:rPr>
        <w:t>17%</w:t>
      </w:r>
      <w:r>
        <w:rPr>
          <w:rFonts w:hint="eastAsia"/>
        </w:rPr>
        <w:t>，然而次年由于厄瓜多尔人移居国外，失业率减少一半。</w:t>
      </w:r>
    </w:p>
    <w:p w:rsidR="00000000" w:rsidRDefault="00000000">
      <w:pPr>
        <w:rPr>
          <w:rFonts w:hint="eastAsia"/>
        </w:rPr>
      </w:pPr>
      <w:r>
        <w:rPr>
          <w:rFonts w:hint="eastAsia"/>
        </w:rPr>
        <w:tab/>
        <w:t xml:space="preserve">282.  </w:t>
      </w:r>
      <w:r>
        <w:rPr>
          <w:rFonts w:hint="eastAsia"/>
        </w:rPr>
        <w:t>近年来厄瓜多尔的贫困状况发生了巨大变化。</w:t>
      </w:r>
      <w:r>
        <w:rPr>
          <w:rFonts w:hint="eastAsia"/>
        </w:rPr>
        <w:t>1997</w:t>
      </w:r>
      <w:r>
        <w:rPr>
          <w:rFonts w:hint="eastAsia"/>
        </w:rPr>
        <w:t>年，最贫穷的</w:t>
      </w:r>
      <w:r>
        <w:rPr>
          <w:rFonts w:hint="eastAsia"/>
        </w:rPr>
        <w:t>51.7%</w:t>
      </w:r>
      <w:r>
        <w:rPr>
          <w:rFonts w:hint="eastAsia"/>
        </w:rPr>
        <w:t>的家庭占总收入的</w:t>
      </w:r>
      <w:r>
        <w:rPr>
          <w:rFonts w:hint="eastAsia"/>
        </w:rPr>
        <w:t>20%</w:t>
      </w:r>
      <w:r>
        <w:rPr>
          <w:rFonts w:hint="eastAsia"/>
        </w:rPr>
        <w:t>多一点；</w:t>
      </w:r>
      <w:r>
        <w:rPr>
          <w:rFonts w:hint="eastAsia"/>
        </w:rPr>
        <w:t>1998</w:t>
      </w:r>
      <w:r>
        <w:rPr>
          <w:rFonts w:hint="eastAsia"/>
        </w:rPr>
        <w:t>年，这一数字升至</w:t>
      </w:r>
      <w:r>
        <w:rPr>
          <w:rFonts w:hint="eastAsia"/>
        </w:rPr>
        <w:t>55.5%</w:t>
      </w:r>
      <w:r>
        <w:rPr>
          <w:rFonts w:hint="eastAsia"/>
        </w:rPr>
        <w:t>，</w:t>
      </w:r>
      <w:r>
        <w:rPr>
          <w:rFonts w:hint="eastAsia"/>
        </w:rPr>
        <w:t>1999</w:t>
      </w:r>
      <w:r>
        <w:rPr>
          <w:rFonts w:hint="eastAsia"/>
        </w:rPr>
        <w:t>年维持未变。因此，穷人不断地变得更穷。</w:t>
      </w:r>
      <w:r>
        <w:rPr>
          <w:rFonts w:hint="eastAsia"/>
          <w:b/>
          <w:vertAlign w:val="superscript"/>
        </w:rPr>
        <w:t>32</w:t>
      </w:r>
    </w:p>
    <w:p w:rsidR="00000000" w:rsidRDefault="00000000">
      <w:pPr>
        <w:rPr>
          <w:rFonts w:hint="eastAsia"/>
        </w:rPr>
      </w:pPr>
      <w:r>
        <w:rPr>
          <w:rFonts w:hint="eastAsia"/>
        </w:rPr>
        <w:tab/>
        <w:t xml:space="preserve">283.  </w:t>
      </w:r>
      <w:r>
        <w:rPr>
          <w:rFonts w:hint="eastAsia"/>
        </w:rPr>
        <w:t>根据</w:t>
      </w:r>
      <w:r>
        <w:rPr>
          <w:rFonts w:hint="eastAsia"/>
        </w:rPr>
        <w:t>COPRES-CEDATOS</w:t>
      </w:r>
      <w:r>
        <w:rPr>
          <w:rFonts w:hint="eastAsia"/>
        </w:rPr>
        <w:t>调查组织进行的一项研究，“对人民影响最大的问题是贫困问题。缺乏就业机会是造成贫困的主要因素。</w:t>
      </w:r>
      <w:r>
        <w:rPr>
          <w:rFonts w:hint="eastAsia"/>
        </w:rPr>
        <w:t>1999</w:t>
      </w:r>
      <w:r>
        <w:rPr>
          <w:rFonts w:hint="eastAsia"/>
        </w:rPr>
        <w:t>年</w:t>
      </w:r>
      <w:r>
        <w:rPr>
          <w:rFonts w:hint="eastAsia"/>
        </w:rPr>
        <w:t>10</w:t>
      </w:r>
      <w:r>
        <w:rPr>
          <w:rFonts w:hint="eastAsia"/>
        </w:rPr>
        <w:t>月，总失业率达</w:t>
      </w:r>
      <w:r>
        <w:rPr>
          <w:rFonts w:hint="eastAsia"/>
        </w:rPr>
        <w:t>18.3%</w:t>
      </w:r>
      <w:r>
        <w:rPr>
          <w:rFonts w:hint="eastAsia"/>
        </w:rPr>
        <w:t>，另有</w:t>
      </w:r>
      <w:r>
        <w:rPr>
          <w:rFonts w:hint="eastAsia"/>
        </w:rPr>
        <w:t>54.2%</w:t>
      </w:r>
      <w:r>
        <w:rPr>
          <w:rFonts w:hint="eastAsia"/>
        </w:rPr>
        <w:t>的人就业不足。据报，有适当职业的经济上活跃的人口为</w:t>
      </w:r>
      <w:r>
        <w:rPr>
          <w:rFonts w:hint="eastAsia"/>
        </w:rPr>
        <w:t>27.5%</w:t>
      </w:r>
      <w:r>
        <w:rPr>
          <w:rFonts w:hint="eastAsia"/>
        </w:rPr>
        <w:t>，即</w:t>
      </w:r>
      <w:r>
        <w:rPr>
          <w:rFonts w:hint="eastAsia"/>
        </w:rPr>
        <w:t>997,264</w:t>
      </w:r>
      <w:r>
        <w:rPr>
          <w:rFonts w:hint="eastAsia"/>
        </w:rPr>
        <w:t>人。失业情况女性</w:t>
      </w:r>
      <w:r>
        <w:rPr>
          <w:rFonts w:hint="eastAsia"/>
        </w:rPr>
        <w:t>(21.1%)</w:t>
      </w:r>
      <w:r>
        <w:rPr>
          <w:rFonts w:hint="eastAsia"/>
        </w:rPr>
        <w:t>比男性</w:t>
      </w:r>
      <w:r>
        <w:rPr>
          <w:rFonts w:hint="eastAsia"/>
        </w:rPr>
        <w:t>(16.5%)</w:t>
      </w:r>
      <w:r>
        <w:rPr>
          <w:rFonts w:hint="eastAsia"/>
        </w:rPr>
        <w:t>更加严重。”</w:t>
      </w:r>
      <w:r>
        <w:rPr>
          <w:rFonts w:hint="eastAsia"/>
          <w:b/>
          <w:vertAlign w:val="superscript"/>
        </w:rPr>
        <w:t>33</w:t>
      </w:r>
    </w:p>
    <w:p w:rsidR="00000000" w:rsidRDefault="00000000">
      <w:pPr>
        <w:spacing w:after="160"/>
        <w:rPr>
          <w:rFonts w:hint="eastAsia"/>
        </w:rPr>
      </w:pPr>
      <w:r>
        <w:rPr>
          <w:rFonts w:hint="eastAsia"/>
        </w:rPr>
        <w:tab/>
        <w:t xml:space="preserve">284.  </w:t>
      </w:r>
      <w:r>
        <w:rPr>
          <w:rFonts w:hint="eastAsia"/>
        </w:rPr>
        <w:t>贫困的概念是依据“间接方法”得出的，按照这一方法，贫困线被定为购买预先确定的能满足家庭基本需求的一蓝子商品和服务所需的起码收入这一函数。以这一蓝子商品和服务的价格为界线，低于这一界线即属于贫困。</w:t>
      </w:r>
      <w:r>
        <w:rPr>
          <w:rFonts w:hint="eastAsia"/>
          <w:b/>
          <w:vertAlign w:val="superscript"/>
        </w:rPr>
        <w:t>34</w:t>
      </w:r>
      <w:r>
        <w:rPr>
          <w:rFonts w:hint="eastAsia"/>
          <w:vertAlign w:val="superscript"/>
        </w:rPr>
        <w:t xml:space="preserve">  </w:t>
      </w:r>
      <w:r>
        <w:rPr>
          <w:rFonts w:hint="eastAsia"/>
        </w:rPr>
        <w:t>国家统计局确定的基本蓝子的价格如下：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rPr>
          <w:cantSplit/>
        </w:trPr>
        <w:tc>
          <w:tcPr>
            <w:tcW w:w="4785" w:type="dxa"/>
            <w:gridSpan w:val="2"/>
          </w:tcPr>
          <w:p w:rsidR="00000000" w:rsidRDefault="00000000">
            <w:pPr>
              <w:spacing w:before="60" w:after="20" w:line="312" w:lineRule="auto"/>
              <w:jc w:val="center"/>
              <w:rPr>
                <w:rFonts w:hint="eastAsia"/>
                <w:sz w:val="21"/>
              </w:rPr>
            </w:pPr>
            <w:r>
              <w:rPr>
                <w:rFonts w:hint="eastAsia"/>
                <w:sz w:val="21"/>
              </w:rPr>
              <w:t>基本蓝子的价格</w:t>
            </w:r>
          </w:p>
        </w:tc>
        <w:tc>
          <w:tcPr>
            <w:tcW w:w="4786" w:type="dxa"/>
            <w:gridSpan w:val="2"/>
          </w:tcPr>
          <w:p w:rsidR="00000000" w:rsidRDefault="00000000">
            <w:pPr>
              <w:spacing w:before="60" w:after="20" w:line="312" w:lineRule="auto"/>
              <w:jc w:val="center"/>
              <w:rPr>
                <w:rFonts w:hint="eastAsia"/>
                <w:sz w:val="21"/>
              </w:rPr>
            </w:pPr>
            <w:r>
              <w:rPr>
                <w:rFonts w:hint="eastAsia"/>
                <w:sz w:val="21"/>
              </w:rPr>
              <w:t>贫困线蓝子的价格</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1999</w:t>
            </w:r>
          </w:p>
        </w:tc>
        <w:tc>
          <w:tcPr>
            <w:tcW w:w="2393" w:type="dxa"/>
          </w:tcPr>
          <w:p w:rsidR="00000000" w:rsidRDefault="00000000">
            <w:pPr>
              <w:spacing w:before="60" w:after="20" w:line="240" w:lineRule="auto"/>
              <w:jc w:val="center"/>
              <w:rPr>
                <w:rFonts w:hint="eastAsia"/>
                <w:sz w:val="21"/>
              </w:rPr>
            </w:pPr>
            <w:r>
              <w:rPr>
                <w:rFonts w:hint="eastAsia"/>
                <w:sz w:val="21"/>
              </w:rPr>
              <w:t>苏克雷</w:t>
            </w:r>
          </w:p>
        </w:tc>
        <w:tc>
          <w:tcPr>
            <w:tcW w:w="2393" w:type="dxa"/>
          </w:tcPr>
          <w:p w:rsidR="00000000" w:rsidRDefault="00000000">
            <w:pPr>
              <w:spacing w:before="60" w:after="20" w:line="240" w:lineRule="auto"/>
              <w:jc w:val="center"/>
              <w:rPr>
                <w:rFonts w:hint="eastAsia"/>
                <w:sz w:val="21"/>
              </w:rPr>
            </w:pPr>
            <w:r>
              <w:rPr>
                <w:rFonts w:hint="eastAsia"/>
                <w:sz w:val="21"/>
              </w:rPr>
              <w:t>苏克雷</w:t>
            </w:r>
          </w:p>
        </w:tc>
        <w:tc>
          <w:tcPr>
            <w:tcW w:w="2393" w:type="dxa"/>
          </w:tcPr>
          <w:p w:rsidR="00000000" w:rsidRDefault="00000000">
            <w:pPr>
              <w:spacing w:before="60" w:after="20" w:line="240" w:lineRule="auto"/>
              <w:jc w:val="center"/>
              <w:rPr>
                <w:rFonts w:hint="eastAsia"/>
                <w:sz w:val="21"/>
              </w:rPr>
            </w:pPr>
            <w:r>
              <w:rPr>
                <w:rFonts w:hint="eastAsia"/>
                <w:sz w:val="21"/>
              </w:rPr>
              <w:t>美元，</w:t>
            </w:r>
            <w:r>
              <w:rPr>
                <w:rFonts w:hint="eastAsia"/>
                <w:sz w:val="21"/>
              </w:rPr>
              <w:t>2002</w:t>
            </w:r>
            <w:r>
              <w:rPr>
                <w:rFonts w:hint="eastAsia"/>
                <w:sz w:val="21"/>
              </w:rPr>
              <w:t>年</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1</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2,512,250</w:t>
            </w:r>
          </w:p>
        </w:tc>
        <w:tc>
          <w:tcPr>
            <w:tcW w:w="2393" w:type="dxa"/>
          </w:tcPr>
          <w:p w:rsidR="00000000" w:rsidRDefault="00000000">
            <w:pPr>
              <w:spacing w:before="60" w:after="20" w:line="240" w:lineRule="auto"/>
              <w:ind w:right="609"/>
              <w:jc w:val="right"/>
              <w:rPr>
                <w:rFonts w:hint="eastAsia"/>
                <w:sz w:val="21"/>
              </w:rPr>
            </w:pPr>
            <w:r>
              <w:rPr>
                <w:rFonts w:hint="eastAsia"/>
                <w:sz w:val="21"/>
              </w:rPr>
              <w:t>1,140,969</w:t>
            </w:r>
          </w:p>
        </w:tc>
        <w:tc>
          <w:tcPr>
            <w:tcW w:w="2393" w:type="dxa"/>
          </w:tcPr>
          <w:p w:rsidR="00000000" w:rsidRDefault="00000000">
            <w:pPr>
              <w:spacing w:before="60" w:after="20" w:line="240" w:lineRule="auto"/>
              <w:ind w:right="609"/>
              <w:jc w:val="right"/>
              <w:rPr>
                <w:rFonts w:hint="eastAsia"/>
                <w:sz w:val="21"/>
              </w:rPr>
            </w:pPr>
            <w:r>
              <w:rPr>
                <w:rFonts w:hint="eastAsia"/>
                <w:sz w:val="21"/>
              </w:rPr>
              <w:t>242.91</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2</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2,603,742</w:t>
            </w:r>
          </w:p>
        </w:tc>
        <w:tc>
          <w:tcPr>
            <w:tcW w:w="2393" w:type="dxa"/>
          </w:tcPr>
          <w:p w:rsidR="00000000" w:rsidRDefault="00000000">
            <w:pPr>
              <w:spacing w:before="60" w:after="20" w:line="240" w:lineRule="auto"/>
              <w:ind w:right="609"/>
              <w:jc w:val="right"/>
              <w:rPr>
                <w:rFonts w:hint="eastAsia"/>
                <w:sz w:val="21"/>
              </w:rPr>
            </w:pPr>
            <w:r>
              <w:rPr>
                <w:rFonts w:hint="eastAsia"/>
                <w:sz w:val="21"/>
              </w:rPr>
              <w:t>1,176,697</w:t>
            </w:r>
          </w:p>
        </w:tc>
        <w:tc>
          <w:tcPr>
            <w:tcW w:w="2393" w:type="dxa"/>
          </w:tcPr>
          <w:p w:rsidR="00000000" w:rsidRDefault="00000000">
            <w:pPr>
              <w:spacing w:before="60" w:after="20" w:line="240" w:lineRule="auto"/>
              <w:ind w:right="609"/>
              <w:jc w:val="right"/>
              <w:rPr>
                <w:rFonts w:hint="eastAsia"/>
                <w:sz w:val="21"/>
              </w:rPr>
            </w:pPr>
            <w:r>
              <w:rPr>
                <w:rFonts w:hint="eastAsia"/>
                <w:sz w:val="21"/>
              </w:rPr>
              <w:t>245.43</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3</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2,875,117</w:t>
            </w:r>
          </w:p>
        </w:tc>
        <w:tc>
          <w:tcPr>
            <w:tcW w:w="2393" w:type="dxa"/>
          </w:tcPr>
          <w:p w:rsidR="00000000" w:rsidRDefault="00000000">
            <w:pPr>
              <w:spacing w:before="60" w:after="20" w:line="240" w:lineRule="auto"/>
              <w:ind w:right="609"/>
              <w:jc w:val="right"/>
              <w:rPr>
                <w:rFonts w:hint="eastAsia"/>
                <w:sz w:val="21"/>
              </w:rPr>
            </w:pPr>
            <w:r>
              <w:rPr>
                <w:rFonts w:hint="eastAsia"/>
                <w:sz w:val="21"/>
              </w:rPr>
              <w:t>1,293,050</w:t>
            </w:r>
          </w:p>
        </w:tc>
        <w:tc>
          <w:tcPr>
            <w:tcW w:w="2393" w:type="dxa"/>
          </w:tcPr>
          <w:p w:rsidR="00000000" w:rsidRDefault="00000000">
            <w:pPr>
              <w:spacing w:before="60" w:after="20" w:line="240" w:lineRule="auto"/>
              <w:ind w:right="609"/>
              <w:jc w:val="right"/>
              <w:rPr>
                <w:rFonts w:hint="eastAsia"/>
                <w:sz w:val="21"/>
              </w:rPr>
            </w:pPr>
            <w:r>
              <w:rPr>
                <w:rFonts w:hint="eastAsia"/>
                <w:sz w:val="21"/>
              </w:rPr>
              <w:t>248.38</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4</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3,122,004</w:t>
            </w:r>
          </w:p>
        </w:tc>
        <w:tc>
          <w:tcPr>
            <w:tcW w:w="2393" w:type="dxa"/>
          </w:tcPr>
          <w:p w:rsidR="00000000" w:rsidRDefault="00000000">
            <w:pPr>
              <w:spacing w:before="60" w:after="20" w:line="240" w:lineRule="auto"/>
              <w:ind w:right="609"/>
              <w:jc w:val="right"/>
              <w:rPr>
                <w:rFonts w:hint="eastAsia"/>
                <w:sz w:val="21"/>
              </w:rPr>
            </w:pPr>
            <w:r>
              <w:rPr>
                <w:rFonts w:hint="eastAsia"/>
                <w:sz w:val="21"/>
              </w:rPr>
              <w:t>1,386,524</w:t>
            </w:r>
          </w:p>
        </w:tc>
        <w:tc>
          <w:tcPr>
            <w:tcW w:w="2393" w:type="dxa"/>
          </w:tcPr>
          <w:p w:rsidR="00000000" w:rsidRDefault="00000000">
            <w:pPr>
              <w:spacing w:before="60" w:after="20" w:line="240" w:lineRule="auto"/>
              <w:ind w:right="609"/>
              <w:jc w:val="right"/>
              <w:rPr>
                <w:rFonts w:hint="eastAsia"/>
                <w:sz w:val="21"/>
              </w:rPr>
            </w:pPr>
            <w:r>
              <w:rPr>
                <w:rFonts w:hint="eastAsia"/>
                <w:sz w:val="21"/>
              </w:rPr>
              <w:t>250.99</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5</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3,168,974</w:t>
            </w:r>
          </w:p>
        </w:tc>
        <w:tc>
          <w:tcPr>
            <w:tcW w:w="2393" w:type="dxa"/>
          </w:tcPr>
          <w:p w:rsidR="00000000" w:rsidRDefault="00000000">
            <w:pPr>
              <w:spacing w:before="60" w:after="20" w:line="240" w:lineRule="auto"/>
              <w:ind w:right="609"/>
              <w:jc w:val="right"/>
              <w:rPr>
                <w:rFonts w:hint="eastAsia"/>
                <w:sz w:val="21"/>
              </w:rPr>
            </w:pPr>
            <w:r>
              <w:rPr>
                <w:rFonts w:hint="eastAsia"/>
                <w:sz w:val="21"/>
              </w:rPr>
              <w:t>1,413,659</w:t>
            </w:r>
          </w:p>
        </w:tc>
        <w:tc>
          <w:tcPr>
            <w:tcW w:w="2393" w:type="dxa"/>
          </w:tcPr>
          <w:p w:rsidR="00000000" w:rsidRDefault="00000000">
            <w:pPr>
              <w:spacing w:before="60" w:after="20" w:line="240" w:lineRule="auto"/>
              <w:ind w:right="609"/>
              <w:jc w:val="right"/>
              <w:rPr>
                <w:rFonts w:hint="eastAsia"/>
                <w:sz w:val="21"/>
              </w:rPr>
            </w:pPr>
            <w:r>
              <w:rPr>
                <w:rFonts w:hint="eastAsia"/>
                <w:sz w:val="21"/>
              </w:rPr>
              <w:t>252.71</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6</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3,204,801</w:t>
            </w:r>
          </w:p>
        </w:tc>
        <w:tc>
          <w:tcPr>
            <w:tcW w:w="2393" w:type="dxa"/>
          </w:tcPr>
          <w:p w:rsidR="00000000" w:rsidRDefault="00000000">
            <w:pPr>
              <w:spacing w:before="60" w:after="20" w:line="240" w:lineRule="auto"/>
              <w:ind w:right="609"/>
              <w:jc w:val="right"/>
              <w:rPr>
                <w:rFonts w:hint="eastAsia"/>
                <w:sz w:val="21"/>
              </w:rPr>
            </w:pPr>
            <w:r>
              <w:rPr>
                <w:rFonts w:hint="eastAsia"/>
                <w:sz w:val="21"/>
              </w:rPr>
              <w:t>1,423,280</w:t>
            </w:r>
          </w:p>
        </w:tc>
        <w:tc>
          <w:tcPr>
            <w:tcW w:w="2393" w:type="dxa"/>
          </w:tcPr>
          <w:p w:rsidR="00000000" w:rsidRDefault="00000000">
            <w:pPr>
              <w:spacing w:before="60" w:after="20" w:line="240" w:lineRule="auto"/>
              <w:ind w:right="609"/>
              <w:jc w:val="right"/>
              <w:rPr>
                <w:rFonts w:hint="eastAsia"/>
                <w:sz w:val="21"/>
              </w:rPr>
            </w:pPr>
            <w:r>
              <w:rPr>
                <w:rFonts w:hint="eastAsia"/>
                <w:sz w:val="21"/>
              </w:rPr>
              <w:t>252.79</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7</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3,279,856</w:t>
            </w:r>
          </w:p>
        </w:tc>
        <w:tc>
          <w:tcPr>
            <w:tcW w:w="2393" w:type="dxa"/>
          </w:tcPr>
          <w:p w:rsidR="00000000" w:rsidRDefault="00000000">
            <w:pPr>
              <w:spacing w:before="60" w:after="20" w:line="240" w:lineRule="auto"/>
              <w:ind w:right="609"/>
              <w:jc w:val="right"/>
              <w:rPr>
                <w:rFonts w:hint="eastAsia"/>
                <w:sz w:val="21"/>
              </w:rPr>
            </w:pPr>
            <w:r>
              <w:rPr>
                <w:rFonts w:hint="eastAsia"/>
                <w:sz w:val="21"/>
              </w:rPr>
              <w:t>1,457,622</w:t>
            </w:r>
          </w:p>
        </w:tc>
        <w:tc>
          <w:tcPr>
            <w:tcW w:w="2393" w:type="dxa"/>
          </w:tcPr>
          <w:p w:rsidR="00000000" w:rsidRDefault="00000000">
            <w:pPr>
              <w:spacing w:before="60" w:after="20" w:line="240" w:lineRule="auto"/>
              <w:ind w:right="609"/>
              <w:jc w:val="right"/>
              <w:rPr>
                <w:rFonts w:hint="eastAsia"/>
                <w:sz w:val="21"/>
              </w:rPr>
            </w:pPr>
            <w:r>
              <w:rPr>
                <w:rFonts w:hint="eastAsia"/>
                <w:sz w:val="21"/>
              </w:rPr>
              <w:t>254.63</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8</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3,307,825</w:t>
            </w:r>
          </w:p>
        </w:tc>
        <w:tc>
          <w:tcPr>
            <w:tcW w:w="2393" w:type="dxa"/>
          </w:tcPr>
          <w:p w:rsidR="00000000" w:rsidRDefault="00000000">
            <w:pPr>
              <w:spacing w:before="60" w:after="20" w:line="240" w:lineRule="auto"/>
              <w:ind w:right="609"/>
              <w:jc w:val="right"/>
              <w:rPr>
                <w:rFonts w:hint="eastAsia"/>
                <w:sz w:val="21"/>
              </w:rPr>
            </w:pPr>
            <w:r>
              <w:rPr>
                <w:rFonts w:hint="eastAsia"/>
                <w:sz w:val="21"/>
              </w:rPr>
              <w:t>1,456,104</w:t>
            </w:r>
          </w:p>
        </w:tc>
        <w:tc>
          <w:tcPr>
            <w:tcW w:w="2393" w:type="dxa"/>
          </w:tcPr>
          <w:p w:rsidR="00000000" w:rsidRDefault="00000000">
            <w:pPr>
              <w:spacing w:before="60" w:after="20" w:line="240" w:lineRule="auto"/>
              <w:ind w:right="609"/>
              <w:jc w:val="right"/>
              <w:rPr>
                <w:rFonts w:hint="eastAsia"/>
                <w:sz w:val="21"/>
              </w:rPr>
            </w:pPr>
            <w:r>
              <w:rPr>
                <w:rFonts w:hint="eastAsia"/>
                <w:sz w:val="21"/>
              </w:rPr>
              <w:t>256.54</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9</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3,360,077</w:t>
            </w:r>
          </w:p>
        </w:tc>
        <w:tc>
          <w:tcPr>
            <w:tcW w:w="2393" w:type="dxa"/>
          </w:tcPr>
          <w:p w:rsidR="00000000" w:rsidRDefault="00000000">
            <w:pPr>
              <w:spacing w:before="60" w:after="20" w:line="240" w:lineRule="auto"/>
              <w:ind w:right="609"/>
              <w:jc w:val="right"/>
              <w:rPr>
                <w:rFonts w:hint="eastAsia"/>
                <w:sz w:val="21"/>
              </w:rPr>
            </w:pPr>
            <w:r>
              <w:rPr>
                <w:rFonts w:hint="eastAsia"/>
                <w:sz w:val="21"/>
              </w:rPr>
              <w:t>1,472,150</w:t>
            </w:r>
          </w:p>
        </w:tc>
        <w:tc>
          <w:tcPr>
            <w:tcW w:w="2393" w:type="dxa"/>
          </w:tcPr>
          <w:p w:rsidR="00000000" w:rsidRDefault="00000000">
            <w:pPr>
              <w:spacing w:before="60" w:after="20" w:line="240" w:lineRule="auto"/>
              <w:ind w:right="609"/>
              <w:jc w:val="right"/>
              <w:rPr>
                <w:rFonts w:hint="eastAsia"/>
                <w:sz w:val="21"/>
              </w:rPr>
            </w:pPr>
            <w:r>
              <w:rPr>
                <w:rFonts w:hint="eastAsia"/>
                <w:sz w:val="21"/>
              </w:rPr>
              <w:t>256.89</w:t>
            </w: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10</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3,479,926</w:t>
            </w:r>
          </w:p>
        </w:tc>
        <w:tc>
          <w:tcPr>
            <w:tcW w:w="2393" w:type="dxa"/>
          </w:tcPr>
          <w:p w:rsidR="00000000" w:rsidRDefault="00000000">
            <w:pPr>
              <w:spacing w:before="60" w:after="20" w:line="240" w:lineRule="auto"/>
              <w:ind w:right="609"/>
              <w:jc w:val="right"/>
              <w:rPr>
                <w:rFonts w:hint="eastAsia"/>
                <w:sz w:val="21"/>
              </w:rPr>
            </w:pPr>
            <w:r>
              <w:rPr>
                <w:rFonts w:hint="eastAsia"/>
                <w:sz w:val="21"/>
              </w:rPr>
              <w:t>1,506,420</w:t>
            </w:r>
          </w:p>
        </w:tc>
        <w:tc>
          <w:tcPr>
            <w:tcW w:w="2393" w:type="dxa"/>
          </w:tcPr>
          <w:p w:rsidR="00000000" w:rsidRDefault="00000000">
            <w:pPr>
              <w:spacing w:before="60" w:after="20" w:line="240" w:lineRule="auto"/>
              <w:ind w:right="609"/>
              <w:jc w:val="right"/>
              <w:rPr>
                <w:rFonts w:hint="eastAsia"/>
                <w:sz w:val="21"/>
              </w:rPr>
            </w:pP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11</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3,722,291</w:t>
            </w:r>
          </w:p>
        </w:tc>
        <w:tc>
          <w:tcPr>
            <w:tcW w:w="2393" w:type="dxa"/>
          </w:tcPr>
          <w:p w:rsidR="00000000" w:rsidRDefault="00000000">
            <w:pPr>
              <w:spacing w:before="60" w:after="20" w:line="240" w:lineRule="auto"/>
              <w:ind w:right="609"/>
              <w:jc w:val="right"/>
              <w:rPr>
                <w:rFonts w:hint="eastAsia"/>
                <w:sz w:val="21"/>
              </w:rPr>
            </w:pPr>
            <w:r>
              <w:rPr>
                <w:rFonts w:hint="eastAsia"/>
                <w:sz w:val="21"/>
              </w:rPr>
              <w:t>1,592,009</w:t>
            </w:r>
          </w:p>
        </w:tc>
        <w:tc>
          <w:tcPr>
            <w:tcW w:w="2393" w:type="dxa"/>
          </w:tcPr>
          <w:p w:rsidR="00000000" w:rsidRDefault="00000000">
            <w:pPr>
              <w:spacing w:before="60" w:after="20" w:line="240" w:lineRule="auto"/>
              <w:ind w:right="609"/>
              <w:jc w:val="right"/>
              <w:rPr>
                <w:rFonts w:hint="eastAsia"/>
                <w:sz w:val="21"/>
              </w:rPr>
            </w:pPr>
          </w:p>
        </w:tc>
      </w:tr>
      <w:tr w:rsidR="00000000">
        <w:tblPrEx>
          <w:tblCellMar>
            <w:top w:w="0" w:type="dxa"/>
            <w:bottom w:w="0" w:type="dxa"/>
          </w:tblCellMar>
        </w:tblPrEx>
        <w:tc>
          <w:tcPr>
            <w:tcW w:w="2392" w:type="dxa"/>
          </w:tcPr>
          <w:p w:rsidR="00000000" w:rsidRDefault="00000000">
            <w:pPr>
              <w:spacing w:before="60" w:after="20" w:line="240" w:lineRule="auto"/>
              <w:jc w:val="center"/>
              <w:rPr>
                <w:rFonts w:hint="eastAsia"/>
                <w:sz w:val="21"/>
              </w:rPr>
            </w:pPr>
            <w:r>
              <w:rPr>
                <w:rFonts w:hint="eastAsia"/>
                <w:sz w:val="21"/>
              </w:rPr>
              <w:t>12</w:t>
            </w:r>
            <w:r>
              <w:rPr>
                <w:rFonts w:hint="eastAsia"/>
                <w:sz w:val="21"/>
              </w:rPr>
              <w:t>月</w:t>
            </w:r>
          </w:p>
        </w:tc>
        <w:tc>
          <w:tcPr>
            <w:tcW w:w="2393" w:type="dxa"/>
          </w:tcPr>
          <w:p w:rsidR="00000000" w:rsidRDefault="00000000">
            <w:pPr>
              <w:spacing w:before="60" w:after="20" w:line="240" w:lineRule="auto"/>
              <w:ind w:right="609"/>
              <w:jc w:val="right"/>
              <w:rPr>
                <w:rFonts w:hint="eastAsia"/>
                <w:sz w:val="21"/>
              </w:rPr>
            </w:pPr>
            <w:r>
              <w:rPr>
                <w:rFonts w:hint="eastAsia"/>
                <w:sz w:val="21"/>
              </w:rPr>
              <w:t>3,990,099</w:t>
            </w:r>
          </w:p>
        </w:tc>
        <w:tc>
          <w:tcPr>
            <w:tcW w:w="2393" w:type="dxa"/>
          </w:tcPr>
          <w:p w:rsidR="00000000" w:rsidRDefault="00000000">
            <w:pPr>
              <w:spacing w:before="60" w:after="20" w:line="240" w:lineRule="auto"/>
              <w:ind w:right="609"/>
              <w:jc w:val="right"/>
              <w:rPr>
                <w:rFonts w:hint="eastAsia"/>
                <w:sz w:val="21"/>
              </w:rPr>
            </w:pPr>
            <w:r>
              <w:rPr>
                <w:rFonts w:hint="eastAsia"/>
                <w:sz w:val="21"/>
              </w:rPr>
              <w:t>1,694,738</w:t>
            </w:r>
          </w:p>
        </w:tc>
        <w:tc>
          <w:tcPr>
            <w:tcW w:w="2393" w:type="dxa"/>
          </w:tcPr>
          <w:p w:rsidR="00000000" w:rsidRDefault="00000000">
            <w:pPr>
              <w:spacing w:before="60" w:after="20" w:line="240" w:lineRule="auto"/>
              <w:ind w:right="609"/>
              <w:jc w:val="right"/>
              <w:rPr>
                <w:rFonts w:hint="eastAsia"/>
                <w:sz w:val="21"/>
              </w:rPr>
            </w:pPr>
          </w:p>
        </w:tc>
      </w:tr>
    </w:tbl>
    <w:p w:rsidR="00000000" w:rsidRDefault="00000000">
      <w:pPr>
        <w:pStyle w:val="EndnoteText"/>
        <w:spacing w:before="240" w:after="320"/>
        <w:rPr>
          <w:rFonts w:hint="eastAsia"/>
        </w:rPr>
      </w:pPr>
      <w:r>
        <w:rPr>
          <w:rFonts w:hint="eastAsia"/>
          <w:u w:val="single"/>
        </w:rPr>
        <w:t>资料来源</w:t>
      </w:r>
      <w:r>
        <w:rPr>
          <w:rFonts w:hint="eastAsia"/>
        </w:rPr>
        <w:t>：国家统计局。</w:t>
      </w:r>
    </w:p>
    <w:p w:rsidR="00000000" w:rsidRDefault="00000000">
      <w:pPr>
        <w:rPr>
          <w:rFonts w:hint="eastAsia"/>
        </w:rPr>
      </w:pPr>
      <w:r>
        <w:rPr>
          <w:rFonts w:hint="eastAsia"/>
        </w:rPr>
        <w:tab/>
        <w:t>285.  1999</w:t>
      </w:r>
      <w:r>
        <w:rPr>
          <w:rFonts w:hint="eastAsia"/>
        </w:rPr>
        <w:t>年，</w:t>
      </w:r>
      <w:r>
        <w:rPr>
          <w:rFonts w:hint="eastAsia"/>
        </w:rPr>
        <w:t>78.5%</w:t>
      </w:r>
      <w:r>
        <w:rPr>
          <w:rFonts w:hint="eastAsia"/>
        </w:rPr>
        <w:t>的就业人口属于贫穷，其中</w:t>
      </w:r>
      <w:r>
        <w:rPr>
          <w:rFonts w:hint="eastAsia"/>
        </w:rPr>
        <w:t>46.2%</w:t>
      </w:r>
      <w:r>
        <w:rPr>
          <w:rFonts w:hint="eastAsia"/>
        </w:rPr>
        <w:t>为赤贫。只有</w:t>
      </w:r>
      <w:r>
        <w:rPr>
          <w:rFonts w:hint="eastAsia"/>
        </w:rPr>
        <w:t>21.5%</w:t>
      </w:r>
      <w:r>
        <w:rPr>
          <w:rFonts w:hint="eastAsia"/>
        </w:rPr>
        <w:t>超过贫困线。</w:t>
      </w:r>
      <w:r>
        <w:rPr>
          <w:rFonts w:hint="eastAsia"/>
          <w:b/>
          <w:vertAlign w:val="superscript"/>
        </w:rPr>
        <w:t>35</w:t>
      </w:r>
      <w:r>
        <w:rPr>
          <w:rFonts w:hint="eastAsia"/>
        </w:rPr>
        <w:t xml:space="preserve"> </w:t>
      </w:r>
    </w:p>
    <w:p w:rsidR="00000000" w:rsidRDefault="00000000">
      <w:pPr>
        <w:rPr>
          <w:rFonts w:hint="eastAsia"/>
        </w:rPr>
      </w:pPr>
      <w:r>
        <w:rPr>
          <w:rFonts w:hint="eastAsia"/>
        </w:rPr>
        <w:tab/>
        <w:t xml:space="preserve">286.  </w:t>
      </w:r>
      <w:r>
        <w:rPr>
          <w:rFonts w:hint="eastAsia"/>
        </w:rPr>
        <w:t>国内总产值下降</w:t>
      </w:r>
      <w:r>
        <w:rPr>
          <w:rFonts w:hint="eastAsia"/>
        </w:rPr>
        <w:t>7.3%</w:t>
      </w:r>
      <w:r>
        <w:rPr>
          <w:rFonts w:hint="eastAsia"/>
        </w:rPr>
        <w:t>意味着由于经济衰退，与上一年相比，国家损失了</w:t>
      </w:r>
      <w:r>
        <w:rPr>
          <w:rFonts w:hint="eastAsia"/>
        </w:rPr>
        <w:t>60.46</w:t>
      </w:r>
      <w:r>
        <w:rPr>
          <w:rFonts w:hint="eastAsia"/>
        </w:rPr>
        <w:t>亿美元的产量。由于厄尔尼诺、虾的白斑综合症病毒和冻结银行资产等问题，因此经济根本没有任何增长。</w:t>
      </w:r>
    </w:p>
    <w:p w:rsidR="00000000" w:rsidRDefault="00000000">
      <w:pPr>
        <w:spacing w:after="240"/>
        <w:rPr>
          <w:rFonts w:hint="eastAsia"/>
        </w:rPr>
      </w:pPr>
      <w:r>
        <w:rPr>
          <w:rFonts w:hint="eastAsia"/>
        </w:rPr>
        <w:tab/>
        <w:t xml:space="preserve">287.  </w:t>
      </w:r>
      <w:r>
        <w:rPr>
          <w:rFonts w:hint="eastAsia"/>
        </w:rPr>
        <w:t>经济衰退导致公司倒闭，继而造成失业增长。据国家统计局称，失业率从</w:t>
      </w:r>
      <w:r>
        <w:rPr>
          <w:rFonts w:hint="eastAsia"/>
        </w:rPr>
        <w:t>1998</w:t>
      </w:r>
      <w:r>
        <w:rPr>
          <w:rFonts w:hint="eastAsia"/>
        </w:rPr>
        <w:t>年的</w:t>
      </w:r>
      <w:r>
        <w:rPr>
          <w:rFonts w:hint="eastAsia"/>
        </w:rPr>
        <w:t>11.5%</w:t>
      </w:r>
      <w:r>
        <w:rPr>
          <w:rFonts w:hint="eastAsia"/>
        </w:rPr>
        <w:t>增至</w:t>
      </w:r>
      <w:r>
        <w:rPr>
          <w:rFonts w:hint="eastAsia"/>
        </w:rPr>
        <w:t>1999</w:t>
      </w:r>
      <w:r>
        <w:rPr>
          <w:rFonts w:hint="eastAsia"/>
        </w:rPr>
        <w:t>年的</w:t>
      </w:r>
      <w:r>
        <w:rPr>
          <w:rFonts w:hint="eastAsia"/>
        </w:rPr>
        <w:t>14.4%</w:t>
      </w:r>
      <w:r>
        <w:rPr>
          <w:rFonts w:hint="eastAsia"/>
        </w:rPr>
        <w:t>。</w:t>
      </w:r>
    </w:p>
    <w:p w:rsidR="00000000" w:rsidRDefault="00000000">
      <w:pPr>
        <w:pStyle w:val="Heading4"/>
        <w:rPr>
          <w:rFonts w:eastAsia="KaiTi_GB2312" w:hint="eastAsia"/>
          <w:snapToGrid/>
          <w:spacing w:val="0"/>
          <w:u w:val="none"/>
        </w:rPr>
      </w:pPr>
      <w:r>
        <w:rPr>
          <w:rFonts w:eastAsia="KaiTi_GB2312" w:hint="eastAsia"/>
          <w:snapToGrid/>
          <w:spacing w:val="0"/>
          <w:u w:val="none"/>
        </w:rPr>
        <w:t>贫困线，国内总产值</w:t>
      </w:r>
    </w:p>
    <w:p w:rsidR="00000000" w:rsidRDefault="00000000">
      <w:pPr>
        <w:spacing w:after="320"/>
        <w:rPr>
          <w:rFonts w:hint="eastAsia"/>
        </w:rPr>
      </w:pPr>
      <w:r>
        <w:rPr>
          <w:rFonts w:hint="eastAsia"/>
        </w:rPr>
        <w:tab/>
        <w:t>288.  1997</w:t>
      </w:r>
      <w:r>
        <w:rPr>
          <w:rFonts w:hint="eastAsia"/>
        </w:rPr>
        <w:t>年厄瓜多尔人口中最富有的五分之一</w:t>
      </w:r>
      <w:r>
        <w:rPr>
          <w:rFonts w:hint="eastAsia"/>
        </w:rPr>
        <w:t>(20%)</w:t>
      </w:r>
      <w:r>
        <w:rPr>
          <w:rFonts w:hint="eastAsia"/>
        </w:rPr>
        <w:t>拥有全国</w:t>
      </w:r>
      <w:r>
        <w:rPr>
          <w:rFonts w:hint="eastAsia"/>
        </w:rPr>
        <w:t>54.3%</w:t>
      </w:r>
      <w:r>
        <w:rPr>
          <w:rFonts w:hint="eastAsia"/>
        </w:rPr>
        <w:t>的财富，而最贫穷的五分之一只拥有</w:t>
      </w:r>
      <w:r>
        <w:rPr>
          <w:rFonts w:hint="eastAsia"/>
        </w:rPr>
        <w:t>5.4%</w:t>
      </w:r>
      <w:r>
        <w:rPr>
          <w:rFonts w:hint="eastAsia"/>
        </w:rPr>
        <w:t>。这一指数对研究不同时期不同社会阶层的总体收入分配情况的变化十分有用。</w:t>
      </w:r>
      <w:r>
        <w:rPr>
          <w:rFonts w:hint="eastAsia"/>
          <w:b/>
          <w:vertAlign w:val="superscript"/>
        </w:rPr>
        <w:t>36</w:t>
      </w:r>
      <w:r>
        <w:rPr>
          <w:rFonts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4183"/>
      </w:tblGrid>
      <w:tr w:rsidR="00000000">
        <w:tblPrEx>
          <w:tblCellMar>
            <w:top w:w="0" w:type="dxa"/>
            <w:bottom w:w="0" w:type="dxa"/>
          </w:tblCellMar>
        </w:tblPrEx>
        <w:trPr>
          <w:cantSplit/>
        </w:trPr>
        <w:tc>
          <w:tcPr>
            <w:tcW w:w="9571" w:type="dxa"/>
            <w:gridSpan w:val="2"/>
          </w:tcPr>
          <w:p w:rsidR="00000000" w:rsidRDefault="00000000">
            <w:pPr>
              <w:spacing w:before="60" w:after="20" w:line="312" w:lineRule="auto"/>
              <w:jc w:val="center"/>
              <w:rPr>
                <w:rFonts w:hint="eastAsia"/>
                <w:sz w:val="21"/>
              </w:rPr>
            </w:pPr>
            <w:r>
              <w:rPr>
                <w:rFonts w:hint="eastAsia"/>
                <w:sz w:val="21"/>
              </w:rPr>
              <w:t>1998</w:t>
            </w:r>
            <w:r>
              <w:rPr>
                <w:rFonts w:hint="eastAsia"/>
                <w:sz w:val="21"/>
              </w:rPr>
              <w:t>年人口指标</w:t>
            </w:r>
            <w:r>
              <w:rPr>
                <w:rFonts w:hint="eastAsia"/>
                <w:sz w:val="21"/>
              </w:rPr>
              <w:t>(</w:t>
            </w:r>
            <w:r>
              <w:rPr>
                <w:rFonts w:hint="eastAsia"/>
                <w:sz w:val="21"/>
              </w:rPr>
              <w:t>公共卫生部</w:t>
            </w:r>
            <w:r>
              <w:rPr>
                <w:rFonts w:hint="eastAsia"/>
                <w:sz w:val="21"/>
              </w:rPr>
              <w:t>)</w:t>
            </w:r>
          </w:p>
        </w:tc>
      </w:tr>
      <w:tr w:rsidR="00000000">
        <w:tblPrEx>
          <w:tblCellMar>
            <w:top w:w="0" w:type="dxa"/>
            <w:bottom w:w="0" w:type="dxa"/>
          </w:tblCellMar>
        </w:tblPrEx>
        <w:tc>
          <w:tcPr>
            <w:tcW w:w="5388" w:type="dxa"/>
          </w:tcPr>
          <w:p w:rsidR="00000000" w:rsidRDefault="00000000">
            <w:pPr>
              <w:spacing w:before="60" w:after="20" w:line="240" w:lineRule="auto"/>
              <w:rPr>
                <w:rFonts w:hint="eastAsia"/>
                <w:sz w:val="21"/>
              </w:rPr>
            </w:pPr>
            <w:r>
              <w:rPr>
                <w:rFonts w:hint="eastAsia"/>
                <w:sz w:val="21"/>
              </w:rPr>
              <w:t>生育率</w:t>
            </w:r>
            <w:r>
              <w:rPr>
                <w:rFonts w:hint="eastAsia"/>
                <w:sz w:val="21"/>
              </w:rPr>
              <w:t xml:space="preserve"> *</w:t>
            </w:r>
          </w:p>
        </w:tc>
        <w:tc>
          <w:tcPr>
            <w:tcW w:w="4183" w:type="dxa"/>
          </w:tcPr>
          <w:p w:rsidR="00000000" w:rsidRDefault="00000000">
            <w:pPr>
              <w:spacing w:before="60" w:after="20" w:line="240" w:lineRule="auto"/>
              <w:ind w:right="1795"/>
              <w:jc w:val="right"/>
              <w:rPr>
                <w:rFonts w:hint="eastAsia"/>
                <w:sz w:val="21"/>
              </w:rPr>
            </w:pPr>
            <w:r>
              <w:rPr>
                <w:rFonts w:hint="eastAsia"/>
                <w:sz w:val="21"/>
              </w:rPr>
              <w:t>87.7</w:t>
            </w:r>
          </w:p>
        </w:tc>
      </w:tr>
      <w:tr w:rsidR="00000000">
        <w:tblPrEx>
          <w:tblCellMar>
            <w:top w:w="0" w:type="dxa"/>
            <w:bottom w:w="0" w:type="dxa"/>
          </w:tblCellMar>
        </w:tblPrEx>
        <w:tc>
          <w:tcPr>
            <w:tcW w:w="5388" w:type="dxa"/>
          </w:tcPr>
          <w:p w:rsidR="00000000" w:rsidRDefault="00000000">
            <w:pPr>
              <w:spacing w:before="60" w:after="20" w:line="240" w:lineRule="auto"/>
              <w:rPr>
                <w:rFonts w:hint="eastAsia"/>
                <w:sz w:val="21"/>
              </w:rPr>
            </w:pPr>
            <w:r>
              <w:rPr>
                <w:rFonts w:hint="eastAsia"/>
                <w:sz w:val="21"/>
              </w:rPr>
              <w:t>总死亡率</w:t>
            </w:r>
            <w:r>
              <w:rPr>
                <w:rFonts w:hint="eastAsia"/>
                <w:sz w:val="21"/>
              </w:rPr>
              <w:t xml:space="preserve"> *</w:t>
            </w:r>
          </w:p>
        </w:tc>
        <w:tc>
          <w:tcPr>
            <w:tcW w:w="4183" w:type="dxa"/>
          </w:tcPr>
          <w:p w:rsidR="00000000" w:rsidRDefault="00000000">
            <w:pPr>
              <w:spacing w:before="60" w:after="20" w:line="240" w:lineRule="auto"/>
              <w:ind w:right="1795"/>
              <w:jc w:val="right"/>
              <w:rPr>
                <w:rFonts w:hint="eastAsia"/>
                <w:sz w:val="21"/>
              </w:rPr>
            </w:pPr>
            <w:r>
              <w:rPr>
                <w:rFonts w:hint="eastAsia"/>
                <w:sz w:val="21"/>
              </w:rPr>
              <w:t>4.4</w:t>
            </w:r>
          </w:p>
        </w:tc>
      </w:tr>
      <w:tr w:rsidR="00000000">
        <w:tblPrEx>
          <w:tblCellMar>
            <w:top w:w="0" w:type="dxa"/>
            <w:bottom w:w="0" w:type="dxa"/>
          </w:tblCellMar>
        </w:tblPrEx>
        <w:tc>
          <w:tcPr>
            <w:tcW w:w="5388" w:type="dxa"/>
          </w:tcPr>
          <w:p w:rsidR="00000000" w:rsidRDefault="00000000">
            <w:pPr>
              <w:spacing w:before="60" w:after="20" w:line="240" w:lineRule="auto"/>
              <w:rPr>
                <w:rFonts w:hint="eastAsia"/>
                <w:sz w:val="21"/>
              </w:rPr>
            </w:pPr>
            <w:r>
              <w:rPr>
                <w:rFonts w:hint="eastAsia"/>
                <w:sz w:val="21"/>
              </w:rPr>
              <w:t>婴儿死亡率</w:t>
            </w:r>
          </w:p>
        </w:tc>
        <w:tc>
          <w:tcPr>
            <w:tcW w:w="4183" w:type="dxa"/>
          </w:tcPr>
          <w:p w:rsidR="00000000" w:rsidRDefault="00000000">
            <w:pPr>
              <w:spacing w:before="60" w:after="20" w:line="240" w:lineRule="auto"/>
              <w:ind w:right="1795"/>
              <w:jc w:val="right"/>
              <w:rPr>
                <w:rFonts w:hint="eastAsia"/>
                <w:sz w:val="21"/>
              </w:rPr>
            </w:pPr>
            <w:r>
              <w:rPr>
                <w:rFonts w:hint="eastAsia"/>
                <w:sz w:val="21"/>
              </w:rPr>
              <w:t>32.2</w:t>
            </w:r>
          </w:p>
        </w:tc>
      </w:tr>
      <w:tr w:rsidR="00000000">
        <w:tblPrEx>
          <w:tblCellMar>
            <w:top w:w="0" w:type="dxa"/>
            <w:bottom w:w="0" w:type="dxa"/>
          </w:tblCellMar>
        </w:tblPrEx>
        <w:tc>
          <w:tcPr>
            <w:tcW w:w="5388" w:type="dxa"/>
          </w:tcPr>
          <w:p w:rsidR="00000000" w:rsidRDefault="00000000">
            <w:pPr>
              <w:spacing w:before="60" w:after="20" w:line="240" w:lineRule="auto"/>
              <w:rPr>
                <w:rFonts w:hint="eastAsia"/>
                <w:sz w:val="21"/>
              </w:rPr>
            </w:pPr>
            <w:r>
              <w:rPr>
                <w:rFonts w:hint="eastAsia"/>
                <w:sz w:val="21"/>
              </w:rPr>
              <w:t>新生儿死亡率</w:t>
            </w:r>
            <w:r>
              <w:rPr>
                <w:rFonts w:hint="eastAsia"/>
                <w:sz w:val="21"/>
              </w:rPr>
              <w:t xml:space="preserve"> *</w:t>
            </w:r>
          </w:p>
        </w:tc>
        <w:tc>
          <w:tcPr>
            <w:tcW w:w="4183" w:type="dxa"/>
          </w:tcPr>
          <w:p w:rsidR="00000000" w:rsidRDefault="00000000">
            <w:pPr>
              <w:spacing w:before="60" w:after="20" w:line="240" w:lineRule="auto"/>
              <w:ind w:right="1795"/>
              <w:jc w:val="right"/>
              <w:rPr>
                <w:rFonts w:hint="eastAsia"/>
                <w:sz w:val="21"/>
              </w:rPr>
            </w:pPr>
            <w:r>
              <w:rPr>
                <w:rFonts w:hint="eastAsia"/>
                <w:sz w:val="21"/>
              </w:rPr>
              <w:t>14.5</w:t>
            </w:r>
          </w:p>
        </w:tc>
      </w:tr>
      <w:tr w:rsidR="00000000">
        <w:tblPrEx>
          <w:tblCellMar>
            <w:top w:w="0" w:type="dxa"/>
            <w:bottom w:w="0" w:type="dxa"/>
          </w:tblCellMar>
        </w:tblPrEx>
        <w:tc>
          <w:tcPr>
            <w:tcW w:w="5388" w:type="dxa"/>
          </w:tcPr>
          <w:p w:rsidR="00000000" w:rsidRDefault="00000000">
            <w:pPr>
              <w:spacing w:before="60" w:after="20" w:line="240" w:lineRule="auto"/>
              <w:rPr>
                <w:rFonts w:hint="eastAsia"/>
                <w:sz w:val="21"/>
              </w:rPr>
            </w:pPr>
            <w:r>
              <w:rPr>
                <w:rFonts w:hint="eastAsia"/>
                <w:sz w:val="21"/>
              </w:rPr>
              <w:t>新生儿产后死亡率</w:t>
            </w:r>
            <w:r>
              <w:rPr>
                <w:rFonts w:hint="eastAsia"/>
                <w:sz w:val="21"/>
              </w:rPr>
              <w:t xml:space="preserve"> *</w:t>
            </w:r>
          </w:p>
        </w:tc>
        <w:tc>
          <w:tcPr>
            <w:tcW w:w="4183" w:type="dxa"/>
          </w:tcPr>
          <w:p w:rsidR="00000000" w:rsidRDefault="00000000">
            <w:pPr>
              <w:spacing w:before="60" w:after="20" w:line="240" w:lineRule="auto"/>
              <w:ind w:right="1795"/>
              <w:jc w:val="right"/>
              <w:rPr>
                <w:rFonts w:hint="eastAsia"/>
                <w:sz w:val="21"/>
              </w:rPr>
            </w:pPr>
            <w:r>
              <w:rPr>
                <w:rFonts w:hint="eastAsia"/>
                <w:sz w:val="21"/>
              </w:rPr>
              <w:t>17.7</w:t>
            </w:r>
          </w:p>
        </w:tc>
      </w:tr>
      <w:tr w:rsidR="00000000">
        <w:tblPrEx>
          <w:tblCellMar>
            <w:top w:w="0" w:type="dxa"/>
            <w:bottom w:w="0" w:type="dxa"/>
          </w:tblCellMar>
        </w:tblPrEx>
        <w:tc>
          <w:tcPr>
            <w:tcW w:w="5388" w:type="dxa"/>
          </w:tcPr>
          <w:p w:rsidR="00000000" w:rsidRDefault="00000000">
            <w:pPr>
              <w:spacing w:before="60" w:after="20" w:line="240" w:lineRule="auto"/>
              <w:rPr>
                <w:sz w:val="21"/>
              </w:rPr>
            </w:pPr>
            <w:r>
              <w:rPr>
                <w:rFonts w:hint="eastAsia"/>
                <w:sz w:val="21"/>
              </w:rPr>
              <w:t>围产期死亡率</w:t>
            </w:r>
            <w:r>
              <w:rPr>
                <w:rFonts w:hint="eastAsia"/>
                <w:sz w:val="21"/>
              </w:rPr>
              <w:t xml:space="preserve"> </w:t>
            </w:r>
            <w:r>
              <w:rPr>
                <w:sz w:val="21"/>
              </w:rPr>
              <w:t>*</w:t>
            </w:r>
          </w:p>
        </w:tc>
        <w:tc>
          <w:tcPr>
            <w:tcW w:w="4183" w:type="dxa"/>
          </w:tcPr>
          <w:p w:rsidR="00000000" w:rsidRDefault="00000000">
            <w:pPr>
              <w:spacing w:before="60" w:after="20" w:line="240" w:lineRule="auto"/>
              <w:ind w:right="1795"/>
              <w:jc w:val="right"/>
              <w:rPr>
                <w:rFonts w:hint="eastAsia"/>
                <w:sz w:val="21"/>
              </w:rPr>
            </w:pPr>
            <w:r>
              <w:rPr>
                <w:rFonts w:hint="eastAsia"/>
                <w:sz w:val="21"/>
              </w:rPr>
              <w:t>19.7</w:t>
            </w:r>
          </w:p>
        </w:tc>
      </w:tr>
      <w:tr w:rsidR="00000000">
        <w:tblPrEx>
          <w:tblCellMar>
            <w:top w:w="0" w:type="dxa"/>
            <w:bottom w:w="0" w:type="dxa"/>
          </w:tblCellMar>
        </w:tblPrEx>
        <w:tc>
          <w:tcPr>
            <w:tcW w:w="5388" w:type="dxa"/>
          </w:tcPr>
          <w:p w:rsidR="00000000" w:rsidRDefault="00000000">
            <w:pPr>
              <w:spacing w:before="60" w:after="20" w:line="240" w:lineRule="auto"/>
              <w:rPr>
                <w:rFonts w:hint="eastAsia"/>
                <w:sz w:val="21"/>
              </w:rPr>
            </w:pPr>
            <w:r>
              <w:rPr>
                <w:rFonts w:hint="eastAsia"/>
                <w:sz w:val="21"/>
              </w:rPr>
              <w:t>产妇死亡率</w:t>
            </w:r>
            <w:r>
              <w:rPr>
                <w:rFonts w:hint="eastAsia"/>
                <w:sz w:val="21"/>
              </w:rPr>
              <w:t>**</w:t>
            </w:r>
          </w:p>
        </w:tc>
        <w:tc>
          <w:tcPr>
            <w:tcW w:w="4183" w:type="dxa"/>
          </w:tcPr>
          <w:p w:rsidR="00000000" w:rsidRDefault="00000000">
            <w:pPr>
              <w:spacing w:before="60" w:after="20" w:line="240" w:lineRule="auto"/>
              <w:ind w:right="1795"/>
              <w:jc w:val="right"/>
              <w:rPr>
                <w:rFonts w:hint="eastAsia"/>
                <w:sz w:val="21"/>
              </w:rPr>
            </w:pPr>
            <w:r>
              <w:rPr>
                <w:rFonts w:hint="eastAsia"/>
                <w:sz w:val="21"/>
              </w:rPr>
              <w:t>93.4</w:t>
            </w:r>
          </w:p>
        </w:tc>
      </w:tr>
      <w:tr w:rsidR="00000000">
        <w:tblPrEx>
          <w:tblCellMar>
            <w:top w:w="0" w:type="dxa"/>
            <w:bottom w:w="0" w:type="dxa"/>
          </w:tblCellMar>
        </w:tblPrEx>
        <w:tc>
          <w:tcPr>
            <w:tcW w:w="5388" w:type="dxa"/>
          </w:tcPr>
          <w:p w:rsidR="00000000" w:rsidRDefault="00000000">
            <w:pPr>
              <w:spacing w:before="60" w:after="20" w:line="240" w:lineRule="auto"/>
              <w:rPr>
                <w:rFonts w:hint="eastAsia"/>
                <w:sz w:val="21"/>
              </w:rPr>
            </w:pPr>
            <w:r>
              <w:rPr>
                <w:rFonts w:hint="eastAsia"/>
                <w:sz w:val="21"/>
              </w:rPr>
              <w:t>助产生育百分比</w:t>
            </w:r>
          </w:p>
        </w:tc>
        <w:tc>
          <w:tcPr>
            <w:tcW w:w="4183" w:type="dxa"/>
          </w:tcPr>
          <w:p w:rsidR="00000000" w:rsidRDefault="00000000">
            <w:pPr>
              <w:spacing w:before="60" w:after="20" w:line="240" w:lineRule="auto"/>
              <w:ind w:right="1795"/>
              <w:jc w:val="right"/>
              <w:rPr>
                <w:rFonts w:hint="eastAsia"/>
                <w:sz w:val="21"/>
              </w:rPr>
            </w:pPr>
            <w:r>
              <w:rPr>
                <w:rFonts w:hint="eastAsia"/>
                <w:sz w:val="21"/>
              </w:rPr>
              <w:t>70.9</w:t>
            </w:r>
          </w:p>
        </w:tc>
      </w:tr>
      <w:tr w:rsidR="00000000">
        <w:tblPrEx>
          <w:tblCellMar>
            <w:top w:w="0" w:type="dxa"/>
            <w:bottom w:w="0" w:type="dxa"/>
          </w:tblCellMar>
        </w:tblPrEx>
        <w:tc>
          <w:tcPr>
            <w:tcW w:w="5388" w:type="dxa"/>
          </w:tcPr>
          <w:p w:rsidR="00000000" w:rsidRDefault="00000000">
            <w:pPr>
              <w:spacing w:before="60" w:after="20" w:line="240" w:lineRule="auto"/>
              <w:rPr>
                <w:rFonts w:hint="eastAsia"/>
                <w:sz w:val="21"/>
              </w:rPr>
            </w:pPr>
            <w:r>
              <w:rPr>
                <w:rFonts w:hint="eastAsia"/>
                <w:sz w:val="21"/>
              </w:rPr>
              <w:t>产妇保健覆盖率：</w:t>
            </w:r>
          </w:p>
        </w:tc>
        <w:tc>
          <w:tcPr>
            <w:tcW w:w="4183" w:type="dxa"/>
          </w:tcPr>
          <w:p w:rsidR="00000000" w:rsidRDefault="00000000">
            <w:pPr>
              <w:spacing w:before="60" w:after="20" w:line="240" w:lineRule="auto"/>
              <w:ind w:right="1795"/>
              <w:jc w:val="right"/>
              <w:rPr>
                <w:rFonts w:hint="eastAsia"/>
                <w:sz w:val="21"/>
              </w:rPr>
            </w:pPr>
          </w:p>
        </w:tc>
      </w:tr>
      <w:tr w:rsidR="00000000">
        <w:tblPrEx>
          <w:tblCellMar>
            <w:top w:w="0" w:type="dxa"/>
            <w:bottom w:w="0" w:type="dxa"/>
          </w:tblCellMar>
        </w:tblPrEx>
        <w:tc>
          <w:tcPr>
            <w:tcW w:w="5388" w:type="dxa"/>
          </w:tcPr>
          <w:p w:rsidR="00000000" w:rsidRDefault="00000000">
            <w:pPr>
              <w:spacing w:before="60" w:after="20" w:line="240" w:lineRule="auto"/>
              <w:ind w:left="510"/>
              <w:rPr>
                <w:rFonts w:hint="eastAsia"/>
                <w:sz w:val="21"/>
              </w:rPr>
            </w:pPr>
            <w:r>
              <w:rPr>
                <w:rFonts w:hint="eastAsia"/>
                <w:sz w:val="21"/>
              </w:rPr>
              <w:t>产</w:t>
            </w:r>
            <w:r>
              <w:rPr>
                <w:rFonts w:hint="eastAsia"/>
                <w:sz w:val="21"/>
              </w:rPr>
              <w:t xml:space="preserve">  </w:t>
            </w:r>
            <w:r>
              <w:rPr>
                <w:rFonts w:hint="eastAsia"/>
                <w:sz w:val="21"/>
              </w:rPr>
              <w:t>前</w:t>
            </w:r>
          </w:p>
        </w:tc>
        <w:tc>
          <w:tcPr>
            <w:tcW w:w="4183" w:type="dxa"/>
          </w:tcPr>
          <w:p w:rsidR="00000000" w:rsidRDefault="00000000">
            <w:pPr>
              <w:spacing w:before="60" w:after="20" w:line="240" w:lineRule="auto"/>
              <w:ind w:right="1795"/>
              <w:jc w:val="right"/>
              <w:rPr>
                <w:rFonts w:hint="eastAsia"/>
                <w:sz w:val="21"/>
              </w:rPr>
            </w:pPr>
            <w:r>
              <w:rPr>
                <w:rFonts w:hint="eastAsia"/>
                <w:sz w:val="21"/>
              </w:rPr>
              <w:t>69.3</w:t>
            </w:r>
          </w:p>
        </w:tc>
      </w:tr>
      <w:tr w:rsidR="00000000">
        <w:tblPrEx>
          <w:tblCellMar>
            <w:top w:w="0" w:type="dxa"/>
            <w:bottom w:w="0" w:type="dxa"/>
          </w:tblCellMar>
        </w:tblPrEx>
        <w:tc>
          <w:tcPr>
            <w:tcW w:w="5388" w:type="dxa"/>
          </w:tcPr>
          <w:p w:rsidR="00000000" w:rsidRDefault="00000000">
            <w:pPr>
              <w:spacing w:before="60" w:after="20" w:line="240" w:lineRule="auto"/>
              <w:ind w:left="510"/>
              <w:rPr>
                <w:rFonts w:hint="eastAsia"/>
                <w:sz w:val="21"/>
              </w:rPr>
            </w:pPr>
            <w:r>
              <w:rPr>
                <w:rFonts w:hint="eastAsia"/>
                <w:sz w:val="21"/>
              </w:rPr>
              <w:t>生</w:t>
            </w:r>
            <w:r>
              <w:rPr>
                <w:rFonts w:hint="eastAsia"/>
                <w:sz w:val="21"/>
              </w:rPr>
              <w:t xml:space="preserve">  </w:t>
            </w:r>
            <w:r>
              <w:rPr>
                <w:rFonts w:hint="eastAsia"/>
                <w:sz w:val="21"/>
              </w:rPr>
              <w:t>产</w:t>
            </w:r>
          </w:p>
        </w:tc>
        <w:tc>
          <w:tcPr>
            <w:tcW w:w="4183" w:type="dxa"/>
          </w:tcPr>
          <w:p w:rsidR="00000000" w:rsidRDefault="00000000">
            <w:pPr>
              <w:spacing w:before="60" w:after="20" w:line="240" w:lineRule="auto"/>
              <w:ind w:right="1795"/>
              <w:jc w:val="right"/>
              <w:rPr>
                <w:rFonts w:hint="eastAsia"/>
                <w:sz w:val="21"/>
              </w:rPr>
            </w:pPr>
            <w:r>
              <w:rPr>
                <w:rFonts w:hint="eastAsia"/>
                <w:sz w:val="21"/>
              </w:rPr>
              <w:t>26.9</w:t>
            </w:r>
          </w:p>
        </w:tc>
      </w:tr>
      <w:tr w:rsidR="00000000">
        <w:tblPrEx>
          <w:tblCellMar>
            <w:top w:w="0" w:type="dxa"/>
            <w:bottom w:w="0" w:type="dxa"/>
          </w:tblCellMar>
        </w:tblPrEx>
        <w:tc>
          <w:tcPr>
            <w:tcW w:w="5388" w:type="dxa"/>
          </w:tcPr>
          <w:p w:rsidR="00000000" w:rsidRDefault="00000000">
            <w:pPr>
              <w:spacing w:before="60" w:after="20" w:line="240" w:lineRule="auto"/>
              <w:ind w:left="510"/>
              <w:rPr>
                <w:rFonts w:hint="eastAsia"/>
                <w:sz w:val="21"/>
              </w:rPr>
            </w:pPr>
            <w:r>
              <w:rPr>
                <w:rFonts w:hint="eastAsia"/>
                <w:sz w:val="21"/>
              </w:rPr>
              <w:t>产</w:t>
            </w:r>
            <w:r>
              <w:rPr>
                <w:rFonts w:hint="eastAsia"/>
                <w:sz w:val="21"/>
              </w:rPr>
              <w:t xml:space="preserve">  </w:t>
            </w:r>
            <w:r>
              <w:rPr>
                <w:rFonts w:hint="eastAsia"/>
                <w:sz w:val="21"/>
              </w:rPr>
              <w:t>后</w:t>
            </w:r>
          </w:p>
        </w:tc>
        <w:tc>
          <w:tcPr>
            <w:tcW w:w="4183" w:type="dxa"/>
          </w:tcPr>
          <w:p w:rsidR="00000000" w:rsidRDefault="00000000">
            <w:pPr>
              <w:spacing w:before="60" w:after="20" w:line="240" w:lineRule="auto"/>
              <w:ind w:right="1795"/>
              <w:jc w:val="right"/>
              <w:rPr>
                <w:rFonts w:hint="eastAsia"/>
                <w:sz w:val="21"/>
              </w:rPr>
            </w:pPr>
            <w:r>
              <w:rPr>
                <w:rFonts w:hint="eastAsia"/>
                <w:sz w:val="21"/>
              </w:rPr>
              <w:t>15.1</w:t>
            </w:r>
          </w:p>
        </w:tc>
      </w:tr>
      <w:tr w:rsidR="00000000">
        <w:tblPrEx>
          <w:tblCellMar>
            <w:top w:w="0" w:type="dxa"/>
            <w:bottom w:w="0" w:type="dxa"/>
          </w:tblCellMar>
        </w:tblPrEx>
        <w:tc>
          <w:tcPr>
            <w:tcW w:w="5388" w:type="dxa"/>
          </w:tcPr>
          <w:p w:rsidR="00000000" w:rsidRDefault="00000000">
            <w:pPr>
              <w:spacing w:before="60" w:after="20" w:line="240" w:lineRule="auto"/>
              <w:ind w:left="510"/>
              <w:rPr>
                <w:rFonts w:hint="eastAsia"/>
                <w:sz w:val="21"/>
              </w:rPr>
            </w:pPr>
            <w:r>
              <w:rPr>
                <w:rFonts w:hint="eastAsia"/>
                <w:sz w:val="21"/>
              </w:rPr>
              <w:t>节</w:t>
            </w:r>
            <w:r>
              <w:rPr>
                <w:rFonts w:hint="eastAsia"/>
                <w:sz w:val="21"/>
              </w:rPr>
              <w:t xml:space="preserve">  </w:t>
            </w:r>
            <w:r>
              <w:rPr>
                <w:rFonts w:hint="eastAsia"/>
                <w:sz w:val="21"/>
              </w:rPr>
              <w:t>育</w:t>
            </w:r>
          </w:p>
        </w:tc>
        <w:tc>
          <w:tcPr>
            <w:tcW w:w="4183" w:type="dxa"/>
          </w:tcPr>
          <w:p w:rsidR="00000000" w:rsidRDefault="00000000">
            <w:pPr>
              <w:spacing w:before="60" w:after="20" w:line="240" w:lineRule="auto"/>
              <w:ind w:right="1795"/>
              <w:jc w:val="right"/>
              <w:rPr>
                <w:rFonts w:hint="eastAsia"/>
                <w:sz w:val="21"/>
              </w:rPr>
            </w:pPr>
            <w:r>
              <w:rPr>
                <w:rFonts w:hint="eastAsia"/>
                <w:sz w:val="21"/>
              </w:rPr>
              <w:t>3.6</w:t>
            </w:r>
          </w:p>
        </w:tc>
      </w:tr>
      <w:tr w:rsidR="00000000">
        <w:tblPrEx>
          <w:tblCellMar>
            <w:top w:w="0" w:type="dxa"/>
            <w:bottom w:w="0" w:type="dxa"/>
          </w:tblCellMar>
        </w:tblPrEx>
        <w:tc>
          <w:tcPr>
            <w:tcW w:w="5388" w:type="dxa"/>
          </w:tcPr>
          <w:p w:rsidR="00000000" w:rsidRDefault="00000000">
            <w:pPr>
              <w:spacing w:line="240" w:lineRule="auto"/>
              <w:rPr>
                <w:rFonts w:hint="eastAsia"/>
              </w:rPr>
            </w:pPr>
            <w:r>
              <w:rPr>
                <w:rFonts w:hint="eastAsia"/>
              </w:rPr>
              <w:t>D. O. C.</w:t>
            </w:r>
          </w:p>
        </w:tc>
        <w:tc>
          <w:tcPr>
            <w:tcW w:w="4183" w:type="dxa"/>
          </w:tcPr>
          <w:p w:rsidR="00000000" w:rsidRDefault="00000000">
            <w:pPr>
              <w:spacing w:before="60" w:after="20" w:line="240" w:lineRule="auto"/>
              <w:ind w:right="1795"/>
              <w:jc w:val="right"/>
              <w:rPr>
                <w:rFonts w:hint="eastAsia"/>
                <w:sz w:val="21"/>
              </w:rPr>
            </w:pPr>
            <w:r>
              <w:rPr>
                <w:rFonts w:hint="eastAsia"/>
                <w:sz w:val="21"/>
              </w:rPr>
              <w:t>4.9</w:t>
            </w:r>
          </w:p>
        </w:tc>
      </w:tr>
    </w:tbl>
    <w:p w:rsidR="00000000" w:rsidRDefault="00000000">
      <w:pPr>
        <w:pStyle w:val="EndnoteText"/>
        <w:spacing w:line="312" w:lineRule="auto"/>
        <w:rPr>
          <w:rFonts w:hint="eastAsia"/>
        </w:rPr>
      </w:pPr>
    </w:p>
    <w:p w:rsidR="00000000" w:rsidRDefault="00000000">
      <w:pPr>
        <w:pStyle w:val="EndnoteText"/>
        <w:spacing w:line="312" w:lineRule="auto"/>
        <w:rPr>
          <w:rFonts w:hint="eastAsia"/>
        </w:rPr>
      </w:pPr>
      <w:r>
        <w:rPr>
          <w:rFonts w:hint="eastAsia"/>
        </w:rPr>
        <w:t>*</w:t>
      </w:r>
      <w:r>
        <w:rPr>
          <w:rFonts w:hint="eastAsia"/>
        </w:rPr>
        <w:tab/>
      </w:r>
      <w:r>
        <w:rPr>
          <w:rFonts w:hint="eastAsia"/>
        </w:rPr>
        <w:t>每</w:t>
      </w:r>
      <w:r>
        <w:rPr>
          <w:rFonts w:hint="eastAsia"/>
        </w:rPr>
        <w:t>1,000</w:t>
      </w:r>
      <w:r>
        <w:rPr>
          <w:rFonts w:hint="eastAsia"/>
        </w:rPr>
        <w:t>名活产儿。</w:t>
      </w:r>
    </w:p>
    <w:p w:rsidR="00000000" w:rsidRDefault="00000000">
      <w:pPr>
        <w:pStyle w:val="EndnoteText"/>
        <w:spacing w:after="320" w:line="312" w:lineRule="auto"/>
        <w:rPr>
          <w:rFonts w:hint="eastAsia"/>
        </w:rPr>
      </w:pPr>
      <w:r>
        <w:rPr>
          <w:rFonts w:hint="eastAsia"/>
        </w:rPr>
        <w:t>**</w:t>
      </w:r>
      <w:r>
        <w:rPr>
          <w:rFonts w:hint="eastAsia"/>
        </w:rPr>
        <w:tab/>
      </w:r>
      <w:r>
        <w:rPr>
          <w:rFonts w:hint="eastAsia"/>
        </w:rPr>
        <w:t>每</w:t>
      </w:r>
      <w:r>
        <w:rPr>
          <w:rFonts w:hint="eastAsia"/>
        </w:rPr>
        <w:t>100,000</w:t>
      </w:r>
      <w:r>
        <w:rPr>
          <w:rFonts w:hint="eastAsia"/>
        </w:rPr>
        <w:t>名活产儿。</w:t>
      </w:r>
    </w:p>
    <w:p w:rsidR="00000000" w:rsidRDefault="00000000">
      <w:pPr>
        <w:pStyle w:val="Heading4"/>
        <w:rPr>
          <w:rFonts w:hint="eastAsia"/>
        </w:rPr>
      </w:pPr>
      <w:r>
        <w:rPr>
          <w:rFonts w:hint="eastAsia"/>
        </w:rPr>
        <w:t>获得足够粮食权</w:t>
      </w:r>
    </w:p>
    <w:p w:rsidR="00000000" w:rsidRDefault="00000000">
      <w:pPr>
        <w:rPr>
          <w:rFonts w:hint="eastAsia"/>
        </w:rPr>
      </w:pPr>
      <w:r>
        <w:rPr>
          <w:rFonts w:hint="eastAsia"/>
        </w:rPr>
        <w:tab/>
        <w:t xml:space="preserve">289.  </w:t>
      </w:r>
      <w:r>
        <w:rPr>
          <w:rFonts w:hint="eastAsia"/>
        </w:rPr>
        <w:t>《宪法》第三篇第二章</w:t>
      </w:r>
      <w:r>
        <w:rPr>
          <w:rFonts w:hint="eastAsia"/>
        </w:rPr>
        <w:t>(</w:t>
      </w:r>
      <w:r>
        <w:rPr>
          <w:rFonts w:hint="eastAsia"/>
        </w:rPr>
        <w:t>公民权利</w:t>
      </w:r>
      <w:r>
        <w:rPr>
          <w:rFonts w:hint="eastAsia"/>
        </w:rPr>
        <w:t>)</w:t>
      </w:r>
      <w:r>
        <w:rPr>
          <w:rFonts w:hint="eastAsia"/>
        </w:rPr>
        <w:t>第二十三条第</w:t>
      </w:r>
      <w:r>
        <w:rPr>
          <w:rFonts w:hint="eastAsia"/>
        </w:rPr>
        <w:t>20</w:t>
      </w:r>
      <w:r>
        <w:rPr>
          <w:rFonts w:hint="eastAsia"/>
        </w:rPr>
        <w:t>款规定，国家承认和保证人们“过上一定质量的生活的权利，确保其得到保健、粮食和营养、饮用水、环卫、教育、工作、就业、休闲、住房、穿衣及其他必要的社会服务。”《宪法》第四十三条第</w:t>
      </w:r>
      <w:r>
        <w:rPr>
          <w:rFonts w:hint="eastAsia"/>
        </w:rPr>
        <w:t>2</w:t>
      </w:r>
      <w:r>
        <w:rPr>
          <w:rFonts w:hint="eastAsia"/>
        </w:rPr>
        <w:t>款规定，“国家应通过社会参与和媒体配合，进行卫生和生活文化的宣传，重视对母亲和儿童进行食品和营养以及性卫生和生殖健康的教育。”</w:t>
      </w:r>
    </w:p>
    <w:p w:rsidR="00000000" w:rsidRDefault="00000000">
      <w:pPr>
        <w:rPr>
          <w:rFonts w:hint="eastAsia"/>
        </w:rPr>
      </w:pPr>
      <w:r>
        <w:rPr>
          <w:rFonts w:hint="eastAsia"/>
        </w:rPr>
        <w:tab/>
        <w:t xml:space="preserve">290.  </w:t>
      </w:r>
      <w:r>
        <w:rPr>
          <w:rFonts w:hint="eastAsia"/>
        </w:rPr>
        <w:t>国家所面临的危机使人民深受其害，其购买力也有所下降。由于财富分配不均，贫富差距拉大。近年来贫富现象大大加剧，营养不良和不卫生的生活条件指数极高。</w:t>
      </w:r>
    </w:p>
    <w:p w:rsidR="00000000" w:rsidRDefault="00000000">
      <w:pPr>
        <w:rPr>
          <w:rFonts w:hint="eastAsia"/>
          <w:spacing w:val="6"/>
        </w:rPr>
      </w:pPr>
      <w:r>
        <w:rPr>
          <w:rFonts w:hint="eastAsia"/>
        </w:rPr>
        <w:tab/>
        <w:t xml:space="preserve">291.  </w:t>
      </w:r>
      <w:r>
        <w:rPr>
          <w:rFonts w:hint="eastAsia"/>
          <w:spacing w:val="6"/>
        </w:rPr>
        <w:t>据公共卫生部估计，</w:t>
      </w:r>
      <w:r>
        <w:rPr>
          <w:rFonts w:hint="eastAsia"/>
          <w:spacing w:val="6"/>
        </w:rPr>
        <w:t>2</w:t>
      </w:r>
      <w:r>
        <w:rPr>
          <w:rFonts w:hint="eastAsia"/>
          <w:spacing w:val="6"/>
        </w:rPr>
        <w:t>岁以下的儿童有</w:t>
      </w:r>
      <w:r>
        <w:rPr>
          <w:rFonts w:hint="eastAsia"/>
          <w:spacing w:val="6"/>
        </w:rPr>
        <w:t>50%</w:t>
      </w:r>
      <w:r>
        <w:rPr>
          <w:rFonts w:hint="eastAsia"/>
          <w:spacing w:val="6"/>
        </w:rPr>
        <w:t>的发育不良，摄取的能量、蛋白质、铁、锌和维生素</w:t>
      </w:r>
      <w:r>
        <w:rPr>
          <w:rFonts w:hint="eastAsia"/>
          <w:spacing w:val="6"/>
        </w:rPr>
        <w:t>A</w:t>
      </w:r>
      <w:r>
        <w:rPr>
          <w:rFonts w:hint="eastAsia"/>
          <w:spacing w:val="6"/>
        </w:rPr>
        <w:t>不够。根据生化调查的结果，确定半数以上的孕妇和</w:t>
      </w:r>
      <w:r>
        <w:rPr>
          <w:rFonts w:hint="eastAsia"/>
          <w:spacing w:val="6"/>
        </w:rPr>
        <w:t>3</w:t>
      </w:r>
      <w:r>
        <w:rPr>
          <w:rFonts w:hint="eastAsia"/>
          <w:spacing w:val="6"/>
        </w:rPr>
        <w:t>岁以下的儿童均患有贫血症，维生素</w:t>
      </w:r>
      <w:r>
        <w:rPr>
          <w:rFonts w:hint="eastAsia"/>
          <w:spacing w:val="6"/>
        </w:rPr>
        <w:t>A</w:t>
      </w:r>
      <w:r>
        <w:rPr>
          <w:rFonts w:hint="eastAsia"/>
          <w:spacing w:val="6"/>
        </w:rPr>
        <w:t>缺乏病影响了</w:t>
      </w:r>
      <w:r>
        <w:rPr>
          <w:rFonts w:hint="eastAsia"/>
          <w:spacing w:val="6"/>
        </w:rPr>
        <w:t>200,000</w:t>
      </w:r>
      <w:r>
        <w:rPr>
          <w:rFonts w:hint="eastAsia"/>
          <w:spacing w:val="6"/>
        </w:rPr>
        <w:t>名</w:t>
      </w:r>
      <w:r>
        <w:rPr>
          <w:rFonts w:hint="eastAsia"/>
          <w:spacing w:val="6"/>
        </w:rPr>
        <w:t>5</w:t>
      </w:r>
      <w:r>
        <w:rPr>
          <w:rFonts w:hint="eastAsia"/>
          <w:spacing w:val="6"/>
        </w:rPr>
        <w:t>岁以下的儿童。</w:t>
      </w:r>
      <w:r>
        <w:rPr>
          <w:rFonts w:hint="eastAsia"/>
          <w:b/>
          <w:spacing w:val="6"/>
          <w:vertAlign w:val="superscript"/>
        </w:rPr>
        <w:t>37</w:t>
      </w:r>
    </w:p>
    <w:p w:rsidR="00000000" w:rsidRDefault="00000000">
      <w:pPr>
        <w:rPr>
          <w:rFonts w:hint="eastAsia"/>
        </w:rPr>
      </w:pPr>
      <w:r>
        <w:rPr>
          <w:rFonts w:hint="eastAsia"/>
        </w:rPr>
        <w:tab/>
        <w:t xml:space="preserve">292.  </w:t>
      </w:r>
      <w:r>
        <w:rPr>
          <w:rFonts w:hint="eastAsia"/>
        </w:rPr>
        <w:t>农业与畜牧业部进行了营养调查，采用食物平衡表，了解关于表中所列产品的卡路里、蛋白质和脂肪含量的情况。食品的供应情况定义是作为厄瓜多尔人每日人均摄取量的函数的营养素的供应情况。其结果</w:t>
      </w:r>
      <w:r>
        <w:rPr>
          <w:rFonts w:hint="eastAsia"/>
          <w:spacing w:val="-50"/>
        </w:rPr>
        <w:t>―</w:t>
      </w:r>
      <w:r>
        <w:rPr>
          <w:rFonts w:hint="eastAsia"/>
        </w:rPr>
        <w:t>―即人均食品和营养素的量</w:t>
      </w:r>
      <w:r>
        <w:rPr>
          <w:rFonts w:hint="eastAsia"/>
          <w:spacing w:val="-50"/>
        </w:rPr>
        <w:t>―</w:t>
      </w:r>
      <w:r>
        <w:rPr>
          <w:rFonts w:hint="eastAsia"/>
        </w:rPr>
        <w:t>―并不反映实际的摄取量，只是反映</w:t>
      </w:r>
      <w:r>
        <w:rPr>
          <w:rFonts w:hint="eastAsia"/>
        </w:rPr>
        <w:t>1990</w:t>
      </w:r>
      <w:r>
        <w:rPr>
          <w:rFonts w:hint="eastAsia"/>
        </w:rPr>
        <w:t>年至</w:t>
      </w:r>
      <w:r>
        <w:rPr>
          <w:rFonts w:hint="eastAsia"/>
        </w:rPr>
        <w:t>1998</w:t>
      </w:r>
      <w:r>
        <w:rPr>
          <w:rFonts w:hint="eastAsia"/>
        </w:rPr>
        <w:t>年期间为满足人民的粮食需求平均提供的粮食和营养素情况。</w:t>
      </w:r>
    </w:p>
    <w:p w:rsidR="00000000" w:rsidRDefault="00000000">
      <w:pPr>
        <w:spacing w:after="320"/>
        <w:rPr>
          <w:rFonts w:hint="eastAsia"/>
        </w:rPr>
      </w:pPr>
      <w:r>
        <w:rPr>
          <w:rFonts w:hint="eastAsia"/>
        </w:rPr>
        <w:tab/>
        <w:t xml:space="preserve">293.  </w:t>
      </w:r>
      <w:r>
        <w:rPr>
          <w:rFonts w:hint="eastAsia"/>
        </w:rPr>
        <w:t>这一信息并不反映厄瓜多尔公民的实际食物和营养情况，因为统计数据只说明理论上食品的供应情况，而营养的摄取却取决于诸多变量，例如空间上的分配、社会经济因素、收入分配不均等等。</w:t>
      </w:r>
      <w:r>
        <w:rPr>
          <w:rFonts w:hint="eastAsia"/>
          <w:b/>
          <w:vertAlign w:val="superscript"/>
        </w:rPr>
        <w:t>38</w:t>
      </w:r>
      <w:r>
        <w:rPr>
          <w:rFonts w:hint="eastAsia"/>
        </w:rPr>
        <w:t xml:space="preserve"> </w:t>
      </w:r>
    </w:p>
    <w:p w:rsidR="00000000" w:rsidRDefault="00000000">
      <w:pPr>
        <w:pStyle w:val="Heading3"/>
        <w:rPr>
          <w:rFonts w:eastAsia="KaiTi_GB2312" w:hint="eastAsia"/>
          <w:snapToGrid/>
          <w:spacing w:val="0"/>
          <w:kern w:val="0"/>
          <w:u w:val="none"/>
        </w:rPr>
      </w:pPr>
      <w:r>
        <w:rPr>
          <w:rFonts w:hint="eastAsia"/>
        </w:rPr>
        <w:t>卡路里和蛋白质的提供量</w:t>
      </w:r>
      <w:r>
        <w:br/>
      </w:r>
      <w:r>
        <w:rPr>
          <w:rFonts w:eastAsia="KaiTi_GB2312" w:hint="eastAsia"/>
          <w:snapToGrid/>
          <w:spacing w:val="0"/>
          <w:kern w:val="0"/>
          <w:u w:val="none"/>
        </w:rPr>
        <w:t>(</w:t>
      </w:r>
      <w:r>
        <w:rPr>
          <w:rFonts w:eastAsia="KaiTi_GB2312" w:hint="eastAsia"/>
          <w:snapToGrid/>
          <w:spacing w:val="0"/>
          <w:kern w:val="0"/>
          <w:u w:val="none"/>
        </w:rPr>
        <w:t>每日人均</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2" w:type="dxa"/>
          </w:tcPr>
          <w:p w:rsidR="00000000" w:rsidRDefault="00000000">
            <w:pPr>
              <w:spacing w:before="40" w:after="20" w:line="312" w:lineRule="auto"/>
              <w:jc w:val="center"/>
              <w:rPr>
                <w:rFonts w:hint="eastAsia"/>
                <w:sz w:val="21"/>
              </w:rPr>
            </w:pPr>
            <w:r>
              <w:rPr>
                <w:rFonts w:hint="eastAsia"/>
                <w:sz w:val="21"/>
              </w:rPr>
              <w:t>年</w:t>
            </w:r>
            <w:r>
              <w:rPr>
                <w:rFonts w:hint="eastAsia"/>
                <w:sz w:val="21"/>
              </w:rPr>
              <w:t xml:space="preserve">  </w:t>
            </w:r>
            <w:r>
              <w:rPr>
                <w:rFonts w:hint="eastAsia"/>
                <w:sz w:val="21"/>
              </w:rPr>
              <w:t>份</w:t>
            </w:r>
          </w:p>
        </w:tc>
        <w:tc>
          <w:tcPr>
            <w:tcW w:w="2393" w:type="dxa"/>
          </w:tcPr>
          <w:p w:rsidR="00000000" w:rsidRDefault="00000000">
            <w:pPr>
              <w:spacing w:before="40" w:after="20" w:line="312" w:lineRule="auto"/>
              <w:jc w:val="center"/>
              <w:rPr>
                <w:rFonts w:hint="eastAsia"/>
                <w:sz w:val="21"/>
              </w:rPr>
            </w:pPr>
            <w:r>
              <w:rPr>
                <w:rFonts w:hint="eastAsia"/>
                <w:sz w:val="21"/>
              </w:rPr>
              <w:t>卡</w:t>
            </w:r>
            <w:r>
              <w:rPr>
                <w:rFonts w:hint="eastAsia"/>
                <w:sz w:val="21"/>
              </w:rPr>
              <w:t xml:space="preserve"> </w:t>
            </w:r>
            <w:r>
              <w:rPr>
                <w:rFonts w:hint="eastAsia"/>
                <w:sz w:val="21"/>
              </w:rPr>
              <w:t>路</w:t>
            </w:r>
            <w:r>
              <w:rPr>
                <w:rFonts w:hint="eastAsia"/>
                <w:sz w:val="21"/>
              </w:rPr>
              <w:t xml:space="preserve"> </w:t>
            </w:r>
            <w:r>
              <w:rPr>
                <w:rFonts w:hint="eastAsia"/>
                <w:sz w:val="21"/>
              </w:rPr>
              <w:t>里</w:t>
            </w:r>
          </w:p>
        </w:tc>
        <w:tc>
          <w:tcPr>
            <w:tcW w:w="2393" w:type="dxa"/>
          </w:tcPr>
          <w:p w:rsidR="00000000" w:rsidRDefault="00000000">
            <w:pPr>
              <w:spacing w:before="40" w:after="20" w:line="312" w:lineRule="auto"/>
              <w:jc w:val="center"/>
              <w:rPr>
                <w:rFonts w:hint="eastAsia"/>
                <w:sz w:val="21"/>
              </w:rPr>
            </w:pPr>
            <w:r>
              <w:rPr>
                <w:rFonts w:hint="eastAsia"/>
                <w:sz w:val="21"/>
              </w:rPr>
              <w:t>蛋</w:t>
            </w:r>
            <w:r>
              <w:rPr>
                <w:rFonts w:hint="eastAsia"/>
                <w:sz w:val="21"/>
              </w:rPr>
              <w:t xml:space="preserve"> </w:t>
            </w:r>
            <w:r>
              <w:rPr>
                <w:rFonts w:hint="eastAsia"/>
                <w:sz w:val="21"/>
              </w:rPr>
              <w:t>白</w:t>
            </w:r>
            <w:r>
              <w:rPr>
                <w:rFonts w:hint="eastAsia"/>
                <w:sz w:val="21"/>
              </w:rPr>
              <w:t xml:space="preserve"> </w:t>
            </w:r>
            <w:r>
              <w:rPr>
                <w:rFonts w:hint="eastAsia"/>
                <w:sz w:val="21"/>
              </w:rPr>
              <w:t>质</w:t>
            </w:r>
          </w:p>
        </w:tc>
        <w:tc>
          <w:tcPr>
            <w:tcW w:w="2393" w:type="dxa"/>
          </w:tcPr>
          <w:p w:rsidR="00000000" w:rsidRDefault="00000000">
            <w:pPr>
              <w:spacing w:before="40" w:after="20" w:line="312" w:lineRule="auto"/>
              <w:jc w:val="center"/>
              <w:rPr>
                <w:rFonts w:hint="eastAsia"/>
                <w:sz w:val="21"/>
              </w:rPr>
            </w:pPr>
            <w:r>
              <w:rPr>
                <w:rFonts w:hint="eastAsia"/>
                <w:sz w:val="21"/>
              </w:rPr>
              <w:t>脂</w:t>
            </w:r>
            <w:r>
              <w:rPr>
                <w:rFonts w:hint="eastAsia"/>
                <w:sz w:val="21"/>
              </w:rPr>
              <w:t xml:space="preserve">  </w:t>
            </w:r>
            <w:r>
              <w:rPr>
                <w:rFonts w:hint="eastAsia"/>
                <w:sz w:val="21"/>
              </w:rPr>
              <w:t>肪</w:t>
            </w:r>
          </w:p>
        </w:tc>
      </w:tr>
      <w:tr w:rsidR="00000000">
        <w:tblPrEx>
          <w:tblCellMar>
            <w:top w:w="0" w:type="dxa"/>
            <w:bottom w:w="0" w:type="dxa"/>
          </w:tblCellMar>
        </w:tblPrEx>
        <w:tc>
          <w:tcPr>
            <w:tcW w:w="2392" w:type="dxa"/>
          </w:tcPr>
          <w:p w:rsidR="00000000" w:rsidRDefault="00000000">
            <w:pPr>
              <w:spacing w:before="40" w:after="20" w:line="312" w:lineRule="auto"/>
              <w:jc w:val="center"/>
              <w:rPr>
                <w:rFonts w:hint="eastAsia"/>
                <w:sz w:val="21"/>
              </w:rPr>
            </w:pPr>
            <w:r>
              <w:rPr>
                <w:rFonts w:hint="eastAsia"/>
                <w:sz w:val="21"/>
              </w:rPr>
              <w:t>1990</w:t>
            </w:r>
          </w:p>
        </w:tc>
        <w:tc>
          <w:tcPr>
            <w:tcW w:w="2393" w:type="dxa"/>
          </w:tcPr>
          <w:p w:rsidR="00000000" w:rsidRDefault="00000000">
            <w:pPr>
              <w:spacing w:before="40" w:after="20" w:line="312" w:lineRule="auto"/>
              <w:ind w:right="609"/>
              <w:jc w:val="right"/>
              <w:rPr>
                <w:rFonts w:hint="eastAsia"/>
                <w:sz w:val="21"/>
              </w:rPr>
            </w:pPr>
            <w:r>
              <w:rPr>
                <w:rFonts w:hint="eastAsia"/>
                <w:sz w:val="21"/>
              </w:rPr>
              <w:t>2,441.32</w:t>
            </w:r>
          </w:p>
        </w:tc>
        <w:tc>
          <w:tcPr>
            <w:tcW w:w="2393" w:type="dxa"/>
          </w:tcPr>
          <w:p w:rsidR="00000000" w:rsidRDefault="00000000">
            <w:pPr>
              <w:spacing w:before="40" w:after="20" w:line="312" w:lineRule="auto"/>
              <w:ind w:right="766"/>
              <w:jc w:val="right"/>
              <w:rPr>
                <w:rFonts w:hint="eastAsia"/>
                <w:sz w:val="21"/>
              </w:rPr>
            </w:pPr>
            <w:r>
              <w:rPr>
                <w:rFonts w:hint="eastAsia"/>
                <w:sz w:val="21"/>
              </w:rPr>
              <w:t>59.59</w:t>
            </w:r>
          </w:p>
        </w:tc>
        <w:tc>
          <w:tcPr>
            <w:tcW w:w="2393" w:type="dxa"/>
          </w:tcPr>
          <w:p w:rsidR="00000000" w:rsidRDefault="00000000">
            <w:pPr>
              <w:spacing w:before="40" w:after="20" w:line="312" w:lineRule="auto"/>
              <w:ind w:right="849"/>
              <w:jc w:val="right"/>
              <w:rPr>
                <w:rFonts w:hint="eastAsia"/>
                <w:sz w:val="21"/>
              </w:rPr>
            </w:pPr>
            <w:r>
              <w:rPr>
                <w:rFonts w:hint="eastAsia"/>
                <w:sz w:val="21"/>
              </w:rPr>
              <w:t>49.53</w:t>
            </w:r>
          </w:p>
        </w:tc>
      </w:tr>
      <w:tr w:rsidR="00000000">
        <w:tblPrEx>
          <w:tblCellMar>
            <w:top w:w="0" w:type="dxa"/>
            <w:bottom w:w="0" w:type="dxa"/>
          </w:tblCellMar>
        </w:tblPrEx>
        <w:tc>
          <w:tcPr>
            <w:tcW w:w="2392" w:type="dxa"/>
          </w:tcPr>
          <w:p w:rsidR="00000000" w:rsidRDefault="00000000">
            <w:pPr>
              <w:spacing w:before="40" w:after="20" w:line="312" w:lineRule="auto"/>
              <w:jc w:val="center"/>
              <w:rPr>
                <w:rFonts w:hint="eastAsia"/>
                <w:sz w:val="21"/>
              </w:rPr>
            </w:pPr>
            <w:r>
              <w:rPr>
                <w:rFonts w:hint="eastAsia"/>
                <w:sz w:val="21"/>
              </w:rPr>
              <w:t>1995</w:t>
            </w:r>
          </w:p>
        </w:tc>
        <w:tc>
          <w:tcPr>
            <w:tcW w:w="2393" w:type="dxa"/>
          </w:tcPr>
          <w:p w:rsidR="00000000" w:rsidRDefault="00000000">
            <w:pPr>
              <w:spacing w:before="40" w:after="20" w:line="312" w:lineRule="auto"/>
              <w:ind w:right="609"/>
              <w:jc w:val="right"/>
              <w:rPr>
                <w:rFonts w:hint="eastAsia"/>
                <w:sz w:val="21"/>
              </w:rPr>
            </w:pPr>
            <w:r>
              <w:rPr>
                <w:rFonts w:hint="eastAsia"/>
                <w:sz w:val="21"/>
              </w:rPr>
              <w:t>2,588.89</w:t>
            </w:r>
          </w:p>
        </w:tc>
        <w:tc>
          <w:tcPr>
            <w:tcW w:w="2393" w:type="dxa"/>
          </w:tcPr>
          <w:p w:rsidR="00000000" w:rsidRDefault="00000000">
            <w:pPr>
              <w:spacing w:before="40" w:after="20" w:line="312" w:lineRule="auto"/>
              <w:ind w:right="766"/>
              <w:jc w:val="right"/>
              <w:rPr>
                <w:rFonts w:hint="eastAsia"/>
                <w:sz w:val="21"/>
              </w:rPr>
            </w:pPr>
            <w:r>
              <w:rPr>
                <w:rFonts w:hint="eastAsia"/>
                <w:sz w:val="21"/>
              </w:rPr>
              <w:t>61.91</w:t>
            </w:r>
          </w:p>
        </w:tc>
        <w:tc>
          <w:tcPr>
            <w:tcW w:w="2393" w:type="dxa"/>
          </w:tcPr>
          <w:p w:rsidR="00000000" w:rsidRDefault="00000000">
            <w:pPr>
              <w:spacing w:before="40" w:after="20" w:line="312" w:lineRule="auto"/>
              <w:ind w:right="849"/>
              <w:jc w:val="right"/>
              <w:rPr>
                <w:rFonts w:hint="eastAsia"/>
                <w:sz w:val="21"/>
              </w:rPr>
            </w:pPr>
            <w:r>
              <w:rPr>
                <w:rFonts w:hint="eastAsia"/>
                <w:sz w:val="21"/>
              </w:rPr>
              <w:t>56.56</w:t>
            </w:r>
          </w:p>
        </w:tc>
      </w:tr>
      <w:tr w:rsidR="00000000">
        <w:tblPrEx>
          <w:tblCellMar>
            <w:top w:w="0" w:type="dxa"/>
            <w:bottom w:w="0" w:type="dxa"/>
          </w:tblCellMar>
        </w:tblPrEx>
        <w:tc>
          <w:tcPr>
            <w:tcW w:w="2392" w:type="dxa"/>
          </w:tcPr>
          <w:p w:rsidR="00000000" w:rsidRDefault="00000000">
            <w:pPr>
              <w:spacing w:before="40" w:after="20" w:line="312" w:lineRule="auto"/>
              <w:jc w:val="center"/>
              <w:rPr>
                <w:rFonts w:hint="eastAsia"/>
                <w:sz w:val="21"/>
              </w:rPr>
            </w:pPr>
            <w:r>
              <w:rPr>
                <w:rFonts w:hint="eastAsia"/>
                <w:sz w:val="21"/>
              </w:rPr>
              <w:t>1996</w:t>
            </w:r>
          </w:p>
        </w:tc>
        <w:tc>
          <w:tcPr>
            <w:tcW w:w="2393" w:type="dxa"/>
          </w:tcPr>
          <w:p w:rsidR="00000000" w:rsidRDefault="00000000">
            <w:pPr>
              <w:spacing w:before="40" w:after="20" w:line="312" w:lineRule="auto"/>
              <w:ind w:right="609"/>
              <w:jc w:val="right"/>
              <w:rPr>
                <w:rFonts w:hint="eastAsia"/>
                <w:sz w:val="21"/>
              </w:rPr>
            </w:pPr>
            <w:r>
              <w:rPr>
                <w:rFonts w:hint="eastAsia"/>
                <w:sz w:val="21"/>
              </w:rPr>
              <w:t>2,565,75</w:t>
            </w:r>
          </w:p>
        </w:tc>
        <w:tc>
          <w:tcPr>
            <w:tcW w:w="2393" w:type="dxa"/>
          </w:tcPr>
          <w:p w:rsidR="00000000" w:rsidRDefault="00000000">
            <w:pPr>
              <w:spacing w:before="40" w:after="20" w:line="312" w:lineRule="auto"/>
              <w:ind w:right="766"/>
              <w:jc w:val="right"/>
              <w:rPr>
                <w:rFonts w:hint="eastAsia"/>
                <w:sz w:val="21"/>
              </w:rPr>
            </w:pPr>
            <w:r>
              <w:rPr>
                <w:rFonts w:hint="eastAsia"/>
                <w:sz w:val="21"/>
              </w:rPr>
              <w:t>66.67</w:t>
            </w:r>
          </w:p>
        </w:tc>
        <w:tc>
          <w:tcPr>
            <w:tcW w:w="2393" w:type="dxa"/>
          </w:tcPr>
          <w:p w:rsidR="00000000" w:rsidRDefault="00000000">
            <w:pPr>
              <w:spacing w:before="40" w:after="20" w:line="312" w:lineRule="auto"/>
              <w:ind w:right="849"/>
              <w:jc w:val="right"/>
              <w:rPr>
                <w:rFonts w:hint="eastAsia"/>
                <w:sz w:val="21"/>
              </w:rPr>
            </w:pPr>
            <w:r>
              <w:rPr>
                <w:rFonts w:hint="eastAsia"/>
                <w:sz w:val="21"/>
              </w:rPr>
              <w:t>60.94</w:t>
            </w:r>
          </w:p>
        </w:tc>
      </w:tr>
      <w:tr w:rsidR="00000000">
        <w:tblPrEx>
          <w:tblCellMar>
            <w:top w:w="0" w:type="dxa"/>
            <w:bottom w:w="0" w:type="dxa"/>
          </w:tblCellMar>
        </w:tblPrEx>
        <w:tc>
          <w:tcPr>
            <w:tcW w:w="2392" w:type="dxa"/>
          </w:tcPr>
          <w:p w:rsidR="00000000" w:rsidRDefault="00000000">
            <w:pPr>
              <w:spacing w:before="40" w:after="20" w:line="312" w:lineRule="auto"/>
              <w:jc w:val="center"/>
              <w:rPr>
                <w:rFonts w:hint="eastAsia"/>
                <w:sz w:val="21"/>
              </w:rPr>
            </w:pPr>
            <w:r>
              <w:rPr>
                <w:rFonts w:hint="eastAsia"/>
                <w:sz w:val="21"/>
              </w:rPr>
              <w:t>1997</w:t>
            </w:r>
          </w:p>
        </w:tc>
        <w:tc>
          <w:tcPr>
            <w:tcW w:w="2393" w:type="dxa"/>
          </w:tcPr>
          <w:p w:rsidR="00000000" w:rsidRDefault="00000000">
            <w:pPr>
              <w:spacing w:before="40" w:after="20" w:line="312" w:lineRule="auto"/>
              <w:ind w:right="609"/>
              <w:jc w:val="right"/>
              <w:rPr>
                <w:rFonts w:hint="eastAsia"/>
                <w:sz w:val="21"/>
              </w:rPr>
            </w:pPr>
            <w:r>
              <w:rPr>
                <w:rFonts w:hint="eastAsia"/>
                <w:sz w:val="21"/>
              </w:rPr>
              <w:t>2.628.14</w:t>
            </w:r>
          </w:p>
        </w:tc>
        <w:tc>
          <w:tcPr>
            <w:tcW w:w="2393" w:type="dxa"/>
          </w:tcPr>
          <w:p w:rsidR="00000000" w:rsidRDefault="00000000">
            <w:pPr>
              <w:spacing w:before="40" w:after="20" w:line="312" w:lineRule="auto"/>
              <w:ind w:right="766"/>
              <w:jc w:val="right"/>
              <w:rPr>
                <w:rFonts w:hint="eastAsia"/>
                <w:sz w:val="21"/>
              </w:rPr>
            </w:pPr>
            <w:r>
              <w:rPr>
                <w:rFonts w:hint="eastAsia"/>
                <w:sz w:val="21"/>
              </w:rPr>
              <w:t>67.71</w:t>
            </w:r>
          </w:p>
        </w:tc>
        <w:tc>
          <w:tcPr>
            <w:tcW w:w="2393" w:type="dxa"/>
          </w:tcPr>
          <w:p w:rsidR="00000000" w:rsidRDefault="00000000">
            <w:pPr>
              <w:spacing w:before="40" w:after="20" w:line="312" w:lineRule="auto"/>
              <w:ind w:right="849"/>
              <w:jc w:val="right"/>
              <w:rPr>
                <w:rFonts w:hint="eastAsia"/>
                <w:sz w:val="21"/>
              </w:rPr>
            </w:pPr>
            <w:r>
              <w:rPr>
                <w:rFonts w:hint="eastAsia"/>
                <w:sz w:val="21"/>
              </w:rPr>
              <w:t>66.12</w:t>
            </w:r>
          </w:p>
        </w:tc>
      </w:tr>
      <w:tr w:rsidR="00000000">
        <w:tblPrEx>
          <w:tblCellMar>
            <w:top w:w="0" w:type="dxa"/>
            <w:bottom w:w="0" w:type="dxa"/>
          </w:tblCellMar>
        </w:tblPrEx>
        <w:tc>
          <w:tcPr>
            <w:tcW w:w="2392" w:type="dxa"/>
          </w:tcPr>
          <w:p w:rsidR="00000000" w:rsidRDefault="00000000">
            <w:pPr>
              <w:spacing w:before="40" w:after="20" w:line="312" w:lineRule="auto"/>
              <w:jc w:val="center"/>
              <w:rPr>
                <w:rFonts w:hint="eastAsia"/>
                <w:sz w:val="21"/>
              </w:rPr>
            </w:pPr>
            <w:r>
              <w:rPr>
                <w:rFonts w:hint="eastAsia"/>
                <w:sz w:val="21"/>
              </w:rPr>
              <w:t>1998</w:t>
            </w:r>
          </w:p>
        </w:tc>
        <w:tc>
          <w:tcPr>
            <w:tcW w:w="2393" w:type="dxa"/>
          </w:tcPr>
          <w:p w:rsidR="00000000" w:rsidRDefault="00000000">
            <w:pPr>
              <w:spacing w:before="40" w:after="20" w:line="312" w:lineRule="auto"/>
              <w:ind w:right="609"/>
              <w:jc w:val="right"/>
              <w:rPr>
                <w:rFonts w:hint="eastAsia"/>
                <w:sz w:val="21"/>
              </w:rPr>
            </w:pPr>
            <w:r>
              <w:rPr>
                <w:rFonts w:hint="eastAsia"/>
                <w:sz w:val="21"/>
              </w:rPr>
              <w:t>2,509.04</w:t>
            </w:r>
          </w:p>
        </w:tc>
        <w:tc>
          <w:tcPr>
            <w:tcW w:w="2393" w:type="dxa"/>
          </w:tcPr>
          <w:p w:rsidR="00000000" w:rsidRDefault="00000000">
            <w:pPr>
              <w:spacing w:before="40" w:after="20" w:line="312" w:lineRule="auto"/>
              <w:ind w:right="766"/>
              <w:jc w:val="right"/>
              <w:rPr>
                <w:rFonts w:hint="eastAsia"/>
                <w:sz w:val="21"/>
              </w:rPr>
            </w:pPr>
            <w:r>
              <w:rPr>
                <w:rFonts w:hint="eastAsia"/>
                <w:sz w:val="21"/>
              </w:rPr>
              <w:t>61.50</w:t>
            </w:r>
          </w:p>
        </w:tc>
        <w:tc>
          <w:tcPr>
            <w:tcW w:w="2393" w:type="dxa"/>
          </w:tcPr>
          <w:p w:rsidR="00000000" w:rsidRDefault="00000000">
            <w:pPr>
              <w:spacing w:before="40" w:after="20" w:line="312" w:lineRule="auto"/>
              <w:ind w:right="849"/>
              <w:jc w:val="right"/>
              <w:rPr>
                <w:rFonts w:hint="eastAsia"/>
                <w:sz w:val="21"/>
              </w:rPr>
            </w:pPr>
            <w:r>
              <w:rPr>
                <w:rFonts w:hint="eastAsia"/>
                <w:sz w:val="21"/>
              </w:rPr>
              <w:t>63.55</w:t>
            </w:r>
          </w:p>
        </w:tc>
      </w:tr>
    </w:tbl>
    <w:p w:rsidR="00000000" w:rsidRDefault="00000000">
      <w:pPr>
        <w:pStyle w:val="EndnoteText"/>
        <w:spacing w:before="240" w:after="240"/>
        <w:rPr>
          <w:rFonts w:hint="eastAsia"/>
        </w:rPr>
      </w:pPr>
      <w:r>
        <w:rPr>
          <w:rFonts w:hint="eastAsia"/>
          <w:u w:val="single"/>
        </w:rPr>
        <w:t>资料来源</w:t>
      </w:r>
      <w:r>
        <w:rPr>
          <w:rFonts w:hint="eastAsia"/>
        </w:rPr>
        <w:t>：农业与牧业部食物平衡表。</w:t>
      </w:r>
    </w:p>
    <w:p w:rsidR="00000000" w:rsidRDefault="00000000">
      <w:pPr>
        <w:rPr>
          <w:rFonts w:hint="eastAsia"/>
          <w:spacing w:val="8"/>
        </w:rPr>
      </w:pPr>
      <w:r>
        <w:br w:type="page"/>
      </w:r>
      <w:r>
        <w:rPr>
          <w:rFonts w:hint="eastAsia"/>
        </w:rPr>
        <w:tab/>
        <w:t xml:space="preserve">294.  </w:t>
      </w:r>
      <w:r>
        <w:rPr>
          <w:rFonts w:hint="eastAsia"/>
          <w:spacing w:val="8"/>
        </w:rPr>
        <w:t>就厄瓜多尔人的粮食和营养情况而言，尽管国内粮食生产足以满足所有需求，但近年来的主要任务是人民是否能够获得粮食，因为日益加重的贫困特别严重地影响了城市和农业地区处于边缘化地位的人民。这是因贫富分配不均和工资政策不力所造成的，使工薪阶层收入的购买力下降，迫使他们不得不改变家庭开支结构。</w:t>
      </w:r>
    </w:p>
    <w:p w:rsidR="00000000" w:rsidRDefault="00000000">
      <w:pPr>
        <w:rPr>
          <w:rFonts w:hint="eastAsia"/>
        </w:rPr>
      </w:pPr>
      <w:r>
        <w:rPr>
          <w:rFonts w:hint="eastAsia"/>
        </w:rPr>
        <w:tab/>
        <w:t xml:space="preserve">295.  </w:t>
      </w:r>
      <w:r>
        <w:rPr>
          <w:rFonts w:hint="eastAsia"/>
        </w:rPr>
        <w:t>还有其他变量也与贫困直接有关，例如家庭的平均子女数太高，教育和文化水平太低</w:t>
      </w:r>
      <w:r>
        <w:rPr>
          <w:rFonts w:hint="eastAsia"/>
        </w:rPr>
        <w:t>(</w:t>
      </w:r>
      <w:r>
        <w:rPr>
          <w:rFonts w:hint="eastAsia"/>
        </w:rPr>
        <w:t>尤其是母亲</w:t>
      </w:r>
      <w:r>
        <w:rPr>
          <w:rFonts w:hint="eastAsia"/>
        </w:rPr>
        <w:t>)</w:t>
      </w:r>
      <w:r>
        <w:rPr>
          <w:rFonts w:hint="eastAsia"/>
        </w:rPr>
        <w:t>，以及缺乏污水处理、饮用水和垃圾清理服务。</w:t>
      </w:r>
    </w:p>
    <w:p w:rsidR="00000000" w:rsidRDefault="00000000">
      <w:pPr>
        <w:rPr>
          <w:rFonts w:hint="eastAsia"/>
        </w:rPr>
      </w:pPr>
      <w:r>
        <w:rPr>
          <w:rFonts w:hint="eastAsia"/>
        </w:rPr>
        <w:tab/>
        <w:t>296.  1999</w:t>
      </w:r>
      <w:r>
        <w:rPr>
          <w:rFonts w:hint="eastAsia"/>
        </w:rPr>
        <w:t>年的人口预测数为</w:t>
      </w:r>
      <w:r>
        <w:rPr>
          <w:rFonts w:hint="eastAsia"/>
        </w:rPr>
        <w:t>12,441,232</w:t>
      </w:r>
      <w:r>
        <w:rPr>
          <w:rFonts w:hint="eastAsia"/>
        </w:rPr>
        <w:t>人，其中</w:t>
      </w:r>
      <w:r>
        <w:rPr>
          <w:rFonts w:hint="eastAsia"/>
        </w:rPr>
        <w:t>5,225,317(42%)</w:t>
      </w:r>
      <w:r>
        <w:rPr>
          <w:rFonts w:hint="eastAsia"/>
        </w:rPr>
        <w:t>为农村人口。约</w:t>
      </w:r>
      <w:r>
        <w:rPr>
          <w:rFonts w:hint="eastAsia"/>
        </w:rPr>
        <w:t>78.5%</w:t>
      </w:r>
      <w:r>
        <w:rPr>
          <w:rFonts w:hint="eastAsia"/>
        </w:rPr>
        <w:t>的人生活在贫困线以下。农村地区的比例约为</w:t>
      </w:r>
      <w:r>
        <w:rPr>
          <w:rFonts w:hint="eastAsia"/>
        </w:rPr>
        <w:t>90%</w:t>
      </w:r>
      <w:r>
        <w:rPr>
          <w:rFonts w:hint="eastAsia"/>
        </w:rPr>
        <w:t>。大多数土著人和黑人都生活在农村地区。</w:t>
      </w:r>
      <w:r>
        <w:rPr>
          <w:rFonts w:hint="eastAsia"/>
        </w:rPr>
        <w:t>2001</w:t>
      </w:r>
      <w:r>
        <w:rPr>
          <w:rFonts w:hint="eastAsia"/>
        </w:rPr>
        <w:t>年</w:t>
      </w:r>
      <w:r>
        <w:rPr>
          <w:rFonts w:hint="eastAsia"/>
        </w:rPr>
        <w:t>11</w:t>
      </w:r>
      <w:r>
        <w:rPr>
          <w:rFonts w:hint="eastAsia"/>
        </w:rPr>
        <w:t>月</w:t>
      </w:r>
      <w:r>
        <w:rPr>
          <w:rFonts w:hint="eastAsia"/>
        </w:rPr>
        <w:t>21</w:t>
      </w:r>
      <w:r>
        <w:rPr>
          <w:rFonts w:hint="eastAsia"/>
        </w:rPr>
        <w:t>日进行的第六次人口普查和第五次住房普查证实厄瓜多尔的人口为</w:t>
      </w:r>
      <w:r>
        <w:rPr>
          <w:rFonts w:hint="eastAsia"/>
        </w:rPr>
        <w:t>12,090,804</w:t>
      </w:r>
      <w:r>
        <w:rPr>
          <w:rFonts w:hint="eastAsia"/>
        </w:rPr>
        <w:t>人。</w:t>
      </w:r>
      <w:r>
        <w:rPr>
          <w:rFonts w:hint="eastAsia"/>
          <w:b/>
          <w:vertAlign w:val="superscript"/>
        </w:rPr>
        <w:t>39</w:t>
      </w:r>
      <w:r>
        <w:rPr>
          <w:rFonts w:hint="eastAsia"/>
        </w:rPr>
        <w:t xml:space="preserve"> </w:t>
      </w:r>
    </w:p>
    <w:p w:rsidR="00000000" w:rsidRDefault="00000000">
      <w:pPr>
        <w:rPr>
          <w:rFonts w:hint="eastAsia"/>
          <w:vertAlign w:val="superscript"/>
        </w:rPr>
      </w:pPr>
      <w:r>
        <w:rPr>
          <w:rFonts w:hint="eastAsia"/>
        </w:rPr>
        <w:tab/>
        <w:t xml:space="preserve">297.  </w:t>
      </w:r>
      <w:r>
        <w:rPr>
          <w:rFonts w:hint="eastAsia"/>
        </w:rPr>
        <w:t>从</w:t>
      </w:r>
      <w:r>
        <w:rPr>
          <w:rFonts w:hint="eastAsia"/>
        </w:rPr>
        <w:t>1995</w:t>
      </w:r>
      <w:r>
        <w:rPr>
          <w:rFonts w:hint="eastAsia"/>
        </w:rPr>
        <w:t>年起，公共卫生部开始通过国家科学技术所执行综合微量营养素方案，希望改善厄瓜多尔人在微量营养素</w:t>
      </w:r>
      <w:r>
        <w:rPr>
          <w:rFonts w:hint="eastAsia"/>
        </w:rPr>
        <w:t>(</w:t>
      </w:r>
      <w:r>
        <w:rPr>
          <w:rFonts w:hint="eastAsia"/>
        </w:rPr>
        <w:t>碘、铁和维生素</w:t>
      </w:r>
      <w:r>
        <w:rPr>
          <w:rFonts w:hint="eastAsia"/>
        </w:rPr>
        <w:t>A</w:t>
      </w:r>
      <w:r>
        <w:rPr>
          <w:rFonts w:hint="eastAsia"/>
        </w:rPr>
        <w:t>不足</w:t>
      </w:r>
      <w:r>
        <w:rPr>
          <w:rFonts w:hint="eastAsia"/>
        </w:rPr>
        <w:t>)</w:t>
      </w:r>
      <w:r>
        <w:rPr>
          <w:rFonts w:hint="eastAsia"/>
        </w:rPr>
        <w:t>方面的营养状况。该所的研究表明，每</w:t>
      </w:r>
      <w:r>
        <w:rPr>
          <w:rFonts w:hint="eastAsia"/>
        </w:rPr>
        <w:t>100</w:t>
      </w:r>
      <w:r>
        <w:rPr>
          <w:rFonts w:hint="eastAsia"/>
        </w:rPr>
        <w:t>名妇女中有</w:t>
      </w:r>
      <w:r>
        <w:rPr>
          <w:rFonts w:hint="eastAsia"/>
        </w:rPr>
        <w:t>55</w:t>
      </w:r>
      <w:r>
        <w:rPr>
          <w:rFonts w:hint="eastAsia"/>
        </w:rPr>
        <w:t>名患有一定程度的贫血症，贫血症在偏远地区的人口中尢为严重，这些地区每</w:t>
      </w:r>
      <w:r>
        <w:rPr>
          <w:rFonts w:hint="eastAsia"/>
        </w:rPr>
        <w:t>100</w:t>
      </w:r>
      <w:r>
        <w:rPr>
          <w:rFonts w:hint="eastAsia"/>
        </w:rPr>
        <w:t>名居民中有</w:t>
      </w:r>
      <w:r>
        <w:rPr>
          <w:rFonts w:hint="eastAsia"/>
        </w:rPr>
        <w:t>57</w:t>
      </w:r>
      <w:r>
        <w:rPr>
          <w:rFonts w:hint="eastAsia"/>
        </w:rPr>
        <w:t>名患有贫血症。</w:t>
      </w:r>
      <w:r>
        <w:rPr>
          <w:rFonts w:hint="eastAsia"/>
          <w:b/>
          <w:vertAlign w:val="superscript"/>
        </w:rPr>
        <w:t>40</w:t>
      </w:r>
    </w:p>
    <w:p w:rsidR="00000000" w:rsidRDefault="00000000">
      <w:pPr>
        <w:spacing w:after="240"/>
        <w:rPr>
          <w:rFonts w:hint="eastAsia"/>
        </w:rPr>
      </w:pPr>
      <w:r>
        <w:rPr>
          <w:rFonts w:hint="eastAsia"/>
        </w:rPr>
        <w:tab/>
        <w:t xml:space="preserve">298.  </w:t>
      </w:r>
      <w:r>
        <w:rPr>
          <w:rFonts w:hint="eastAsia"/>
        </w:rPr>
        <w:t>全国而言，平均血红蛋白量为每分升</w:t>
      </w:r>
      <w:r>
        <w:rPr>
          <w:rFonts w:hint="eastAsia"/>
        </w:rPr>
        <w:t>12.5+/-1.9</w:t>
      </w:r>
      <w:r>
        <w:rPr>
          <w:rFonts w:hint="eastAsia"/>
        </w:rPr>
        <w:t>克。具体而言，男子每分升</w:t>
      </w:r>
      <w:r>
        <w:rPr>
          <w:rFonts w:hint="eastAsia"/>
        </w:rPr>
        <w:t>12.9+/-2.1</w:t>
      </w:r>
      <w:r>
        <w:rPr>
          <w:rFonts w:hint="eastAsia"/>
        </w:rPr>
        <w:t>克，妇女</w:t>
      </w:r>
      <w:r>
        <w:rPr>
          <w:rFonts w:hint="eastAsia"/>
        </w:rPr>
        <w:t>12.2+/-1.7</w:t>
      </w:r>
      <w:r>
        <w:rPr>
          <w:rFonts w:hint="eastAsia"/>
        </w:rPr>
        <w:t>克；患贫血症的比率男子为</w:t>
      </w:r>
      <w:r>
        <w:rPr>
          <w:rFonts w:hint="eastAsia"/>
        </w:rPr>
        <w:t>46.8%</w:t>
      </w:r>
      <w:r>
        <w:rPr>
          <w:rFonts w:hint="eastAsia"/>
        </w:rPr>
        <w:t>，妇女为</w:t>
      </w:r>
      <w:r>
        <w:rPr>
          <w:rFonts w:hint="eastAsia"/>
        </w:rPr>
        <w:t>54.8%</w:t>
      </w:r>
      <w:r>
        <w:rPr>
          <w:rFonts w:hint="eastAsia"/>
        </w:rPr>
        <w:t>。黑人的平均血红蛋白量为每分升</w:t>
      </w:r>
      <w:r>
        <w:rPr>
          <w:rFonts w:hint="eastAsia"/>
        </w:rPr>
        <w:t>11.7+/-2.0</w:t>
      </w:r>
      <w:r>
        <w:rPr>
          <w:rFonts w:hint="eastAsia"/>
        </w:rPr>
        <w:t>克，低于混血人每分升</w:t>
      </w:r>
      <w:r>
        <w:rPr>
          <w:rFonts w:hint="eastAsia"/>
        </w:rPr>
        <w:t>12.5+/-1.5</w:t>
      </w:r>
      <w:r>
        <w:rPr>
          <w:rFonts w:hint="eastAsia"/>
        </w:rPr>
        <w:t>克的水平。有</w:t>
      </w:r>
      <w:r>
        <w:rPr>
          <w:rFonts w:hint="eastAsia"/>
        </w:rPr>
        <w:t>65%</w:t>
      </w:r>
      <w:r>
        <w:rPr>
          <w:rFonts w:hint="eastAsia"/>
        </w:rPr>
        <w:t>的黑人患有贫血症，</w:t>
      </w:r>
      <w:r>
        <w:rPr>
          <w:rFonts w:hint="eastAsia"/>
        </w:rPr>
        <w:t>50.8%</w:t>
      </w:r>
      <w:r>
        <w:rPr>
          <w:rFonts w:hint="eastAsia"/>
        </w:rPr>
        <w:t>的混血人患贫血症。</w:t>
      </w:r>
    </w:p>
    <w:p w:rsidR="00000000" w:rsidRDefault="00000000">
      <w:pPr>
        <w:pStyle w:val="Heading3"/>
        <w:spacing w:after="160"/>
        <w:rPr>
          <w:rFonts w:eastAsia="KaiTi_GB2312" w:hint="eastAsia"/>
          <w:snapToGrid/>
          <w:spacing w:val="0"/>
          <w:kern w:val="0"/>
        </w:rPr>
      </w:pPr>
      <w:r>
        <w:rPr>
          <w:rFonts w:hint="eastAsia"/>
        </w:rPr>
        <w:t>按性别和族裔群体分列的血红蛋白值和贫血症流行情况</w:t>
      </w:r>
      <w:r>
        <w:br/>
      </w:r>
      <w:r>
        <w:rPr>
          <w:rFonts w:eastAsia="KaiTi_GB2312" w:hint="eastAsia"/>
          <w:snapToGrid/>
          <w:spacing w:val="0"/>
          <w:kern w:val="0"/>
          <w:u w:val="none"/>
        </w:rPr>
        <w:t>厄瓜多尔，</w:t>
      </w:r>
      <w:r>
        <w:rPr>
          <w:rFonts w:eastAsia="KaiTi_GB2312" w:hint="eastAsia"/>
          <w:snapToGrid/>
          <w:spacing w:val="0"/>
          <w:kern w:val="0"/>
          <w:u w:val="none"/>
        </w:rPr>
        <w:t>1997</w:t>
      </w:r>
      <w:r>
        <w:rPr>
          <w:rFonts w:eastAsia="KaiTi_GB2312" w:hint="eastAsia"/>
          <w:snapToGrid/>
          <w:spacing w:val="0"/>
          <w:kern w:val="0"/>
          <w:u w:val="none"/>
        </w:rPr>
        <w:t>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
        <w:gridCol w:w="1595"/>
        <w:gridCol w:w="1595"/>
        <w:gridCol w:w="1595"/>
        <w:gridCol w:w="1595"/>
        <w:gridCol w:w="1596"/>
      </w:tblGrid>
      <w:tr w:rsidR="00000000">
        <w:tblPrEx>
          <w:tblCellMar>
            <w:top w:w="0" w:type="dxa"/>
            <w:bottom w:w="0" w:type="dxa"/>
          </w:tblCellMar>
        </w:tblPrEx>
        <w:trPr>
          <w:cantSplit/>
        </w:trPr>
        <w:tc>
          <w:tcPr>
            <w:tcW w:w="1594" w:type="dxa"/>
            <w:vMerge w:val="restart"/>
          </w:tcPr>
          <w:p w:rsidR="00000000" w:rsidRDefault="00000000">
            <w:pPr>
              <w:pStyle w:val="a2"/>
              <w:spacing w:before="240"/>
              <w:jc w:val="center"/>
              <w:rPr>
                <w:rFonts w:hint="eastAsia"/>
              </w:rPr>
            </w:pPr>
            <w:r>
              <w:rPr>
                <w:rFonts w:hint="eastAsia"/>
              </w:rPr>
              <w:t>变</w:t>
            </w:r>
            <w:r>
              <w:rPr>
                <w:rFonts w:hint="eastAsia"/>
              </w:rPr>
              <w:t xml:space="preserve">  </w:t>
            </w:r>
            <w:r>
              <w:rPr>
                <w:rFonts w:hint="eastAsia"/>
              </w:rPr>
              <w:t>量</w:t>
            </w:r>
          </w:p>
        </w:tc>
        <w:tc>
          <w:tcPr>
            <w:tcW w:w="1595" w:type="dxa"/>
            <w:vMerge w:val="restart"/>
          </w:tcPr>
          <w:p w:rsidR="00000000" w:rsidRDefault="00000000">
            <w:pPr>
              <w:pStyle w:val="a2"/>
              <w:spacing w:before="240"/>
              <w:jc w:val="center"/>
              <w:rPr>
                <w:rFonts w:hint="eastAsia"/>
              </w:rPr>
            </w:pPr>
            <w:r>
              <w:rPr>
                <w:rFonts w:hint="eastAsia"/>
              </w:rPr>
              <w:t>抽样总数</w:t>
            </w:r>
          </w:p>
        </w:tc>
        <w:tc>
          <w:tcPr>
            <w:tcW w:w="3190" w:type="dxa"/>
            <w:gridSpan w:val="2"/>
          </w:tcPr>
          <w:p w:rsidR="00000000" w:rsidRDefault="00000000">
            <w:pPr>
              <w:pStyle w:val="a2"/>
              <w:jc w:val="center"/>
              <w:rPr>
                <w:rFonts w:hint="eastAsia"/>
              </w:rPr>
            </w:pPr>
            <w:r>
              <w:rPr>
                <w:rFonts w:hint="eastAsia"/>
              </w:rPr>
              <w:t>血红蛋白</w:t>
            </w:r>
          </w:p>
        </w:tc>
        <w:tc>
          <w:tcPr>
            <w:tcW w:w="3191" w:type="dxa"/>
            <w:gridSpan w:val="2"/>
          </w:tcPr>
          <w:p w:rsidR="00000000" w:rsidRDefault="00000000">
            <w:pPr>
              <w:pStyle w:val="a2"/>
              <w:jc w:val="center"/>
              <w:rPr>
                <w:rFonts w:hint="eastAsia"/>
              </w:rPr>
            </w:pPr>
            <w:r>
              <w:rPr>
                <w:rFonts w:hint="eastAsia"/>
              </w:rPr>
              <w:t>贫</w:t>
            </w:r>
            <w:r>
              <w:rPr>
                <w:rFonts w:hint="eastAsia"/>
              </w:rPr>
              <w:t xml:space="preserve"> </w:t>
            </w:r>
            <w:r>
              <w:rPr>
                <w:rFonts w:hint="eastAsia"/>
              </w:rPr>
              <w:t>血</w:t>
            </w:r>
            <w:r>
              <w:rPr>
                <w:rFonts w:hint="eastAsia"/>
              </w:rPr>
              <w:t xml:space="preserve"> </w:t>
            </w:r>
            <w:r>
              <w:rPr>
                <w:rFonts w:hint="eastAsia"/>
              </w:rPr>
              <w:t>症</w:t>
            </w:r>
          </w:p>
        </w:tc>
      </w:tr>
      <w:tr w:rsidR="00000000">
        <w:tblPrEx>
          <w:tblCellMar>
            <w:top w:w="0" w:type="dxa"/>
            <w:bottom w:w="0" w:type="dxa"/>
          </w:tblCellMar>
        </w:tblPrEx>
        <w:trPr>
          <w:cantSplit/>
        </w:trPr>
        <w:tc>
          <w:tcPr>
            <w:tcW w:w="1594" w:type="dxa"/>
            <w:vMerge/>
          </w:tcPr>
          <w:p w:rsidR="00000000" w:rsidRDefault="00000000">
            <w:pPr>
              <w:pStyle w:val="a2"/>
              <w:jc w:val="center"/>
              <w:rPr>
                <w:rFonts w:hint="eastAsia"/>
              </w:rPr>
            </w:pPr>
          </w:p>
        </w:tc>
        <w:tc>
          <w:tcPr>
            <w:tcW w:w="1595" w:type="dxa"/>
            <w:vMerge/>
          </w:tcPr>
          <w:p w:rsidR="00000000" w:rsidRDefault="00000000">
            <w:pPr>
              <w:pStyle w:val="a2"/>
              <w:jc w:val="center"/>
              <w:rPr>
                <w:rFonts w:hint="eastAsia"/>
              </w:rPr>
            </w:pPr>
          </w:p>
        </w:tc>
        <w:tc>
          <w:tcPr>
            <w:tcW w:w="1595" w:type="dxa"/>
          </w:tcPr>
          <w:p w:rsidR="00000000" w:rsidRDefault="00000000">
            <w:pPr>
              <w:pStyle w:val="a2"/>
              <w:jc w:val="center"/>
              <w:rPr>
                <w:rFonts w:hint="eastAsia"/>
              </w:rPr>
            </w:pPr>
            <w:r>
              <w:rPr>
                <w:rFonts w:hint="eastAsia"/>
              </w:rPr>
              <w:t>平</w:t>
            </w:r>
            <w:r>
              <w:rPr>
                <w:rFonts w:hint="eastAsia"/>
              </w:rPr>
              <w:t xml:space="preserve">  </w:t>
            </w:r>
            <w:r>
              <w:rPr>
                <w:rFonts w:hint="eastAsia"/>
              </w:rPr>
              <w:t>均</w:t>
            </w:r>
          </w:p>
        </w:tc>
        <w:tc>
          <w:tcPr>
            <w:tcW w:w="1595" w:type="dxa"/>
          </w:tcPr>
          <w:p w:rsidR="00000000" w:rsidRDefault="00000000">
            <w:pPr>
              <w:pStyle w:val="a2"/>
              <w:jc w:val="center"/>
              <w:rPr>
                <w:rFonts w:hint="eastAsia"/>
              </w:rPr>
            </w:pPr>
            <w:r>
              <w:rPr>
                <w:rFonts w:hint="eastAsia"/>
              </w:rPr>
              <w:t>标准误差</w:t>
            </w:r>
          </w:p>
        </w:tc>
        <w:tc>
          <w:tcPr>
            <w:tcW w:w="1595" w:type="dxa"/>
          </w:tcPr>
          <w:p w:rsidR="00000000" w:rsidRDefault="00000000">
            <w:pPr>
              <w:pStyle w:val="a2"/>
              <w:jc w:val="center"/>
              <w:rPr>
                <w:rFonts w:hint="eastAsia"/>
              </w:rPr>
            </w:pPr>
            <w:r>
              <w:rPr>
                <w:rFonts w:hint="eastAsia"/>
              </w:rPr>
              <w:t>人</w:t>
            </w:r>
            <w:r>
              <w:rPr>
                <w:rFonts w:hint="eastAsia"/>
              </w:rPr>
              <w:t xml:space="preserve">  </w:t>
            </w:r>
            <w:r>
              <w:rPr>
                <w:rFonts w:hint="eastAsia"/>
              </w:rPr>
              <w:t>数</w:t>
            </w:r>
          </w:p>
        </w:tc>
        <w:tc>
          <w:tcPr>
            <w:tcW w:w="1596" w:type="dxa"/>
          </w:tcPr>
          <w:p w:rsidR="00000000" w:rsidRDefault="00000000">
            <w:pPr>
              <w:pStyle w:val="a2"/>
              <w:jc w:val="center"/>
              <w:rPr>
                <w:rFonts w:hint="eastAsia"/>
              </w:rPr>
            </w:pPr>
            <w:r>
              <w:rPr>
                <w:rFonts w:hint="eastAsia"/>
              </w:rPr>
              <w:t>百分比</w:t>
            </w:r>
          </w:p>
        </w:tc>
      </w:tr>
      <w:tr w:rsidR="00000000">
        <w:tblPrEx>
          <w:tblCellMar>
            <w:top w:w="0" w:type="dxa"/>
            <w:bottom w:w="0" w:type="dxa"/>
          </w:tblCellMar>
        </w:tblPrEx>
        <w:tc>
          <w:tcPr>
            <w:tcW w:w="1594" w:type="dxa"/>
          </w:tcPr>
          <w:p w:rsidR="00000000" w:rsidRDefault="00000000">
            <w:pPr>
              <w:pStyle w:val="a2"/>
              <w:rPr>
                <w:rFonts w:hint="eastAsia"/>
              </w:rPr>
            </w:pPr>
            <w:r>
              <w:rPr>
                <w:rFonts w:hint="eastAsia"/>
              </w:rPr>
              <w:t>性</w:t>
            </w:r>
            <w:r>
              <w:rPr>
                <w:rFonts w:hint="eastAsia"/>
              </w:rPr>
              <w:t xml:space="preserve">  </w:t>
            </w:r>
            <w:r>
              <w:rPr>
                <w:rFonts w:hint="eastAsia"/>
              </w:rPr>
              <w:t>别</w:t>
            </w:r>
          </w:p>
        </w:tc>
        <w:tc>
          <w:tcPr>
            <w:tcW w:w="1595" w:type="dxa"/>
          </w:tcPr>
          <w:p w:rsidR="00000000" w:rsidRDefault="00000000">
            <w:pPr>
              <w:pStyle w:val="a2"/>
              <w:ind w:right="454"/>
              <w:jc w:val="right"/>
              <w:rPr>
                <w:rFonts w:hint="eastAsia"/>
              </w:rPr>
            </w:pPr>
          </w:p>
        </w:tc>
        <w:tc>
          <w:tcPr>
            <w:tcW w:w="1595" w:type="dxa"/>
          </w:tcPr>
          <w:p w:rsidR="00000000" w:rsidRDefault="00000000">
            <w:pPr>
              <w:pStyle w:val="a2"/>
              <w:ind w:right="454"/>
              <w:jc w:val="right"/>
              <w:rPr>
                <w:rFonts w:hint="eastAsia"/>
              </w:rPr>
            </w:pPr>
          </w:p>
        </w:tc>
        <w:tc>
          <w:tcPr>
            <w:tcW w:w="1595" w:type="dxa"/>
          </w:tcPr>
          <w:p w:rsidR="00000000" w:rsidRDefault="00000000">
            <w:pPr>
              <w:pStyle w:val="a2"/>
              <w:ind w:right="454"/>
              <w:jc w:val="right"/>
              <w:rPr>
                <w:rFonts w:hint="eastAsia"/>
              </w:rPr>
            </w:pPr>
          </w:p>
        </w:tc>
        <w:tc>
          <w:tcPr>
            <w:tcW w:w="1595" w:type="dxa"/>
          </w:tcPr>
          <w:p w:rsidR="00000000" w:rsidRDefault="00000000">
            <w:pPr>
              <w:pStyle w:val="a2"/>
              <w:ind w:right="454"/>
              <w:jc w:val="right"/>
              <w:rPr>
                <w:rFonts w:hint="eastAsia"/>
              </w:rPr>
            </w:pPr>
          </w:p>
        </w:tc>
        <w:tc>
          <w:tcPr>
            <w:tcW w:w="1596" w:type="dxa"/>
          </w:tcPr>
          <w:p w:rsidR="00000000" w:rsidRDefault="00000000">
            <w:pPr>
              <w:pStyle w:val="a2"/>
              <w:ind w:right="454"/>
              <w:jc w:val="right"/>
              <w:rPr>
                <w:rFonts w:hint="eastAsia"/>
              </w:rPr>
            </w:pPr>
          </w:p>
        </w:tc>
      </w:tr>
      <w:tr w:rsidR="00000000">
        <w:tblPrEx>
          <w:tblCellMar>
            <w:top w:w="0" w:type="dxa"/>
            <w:bottom w:w="0" w:type="dxa"/>
          </w:tblCellMar>
        </w:tblPrEx>
        <w:tc>
          <w:tcPr>
            <w:tcW w:w="1594" w:type="dxa"/>
          </w:tcPr>
          <w:p w:rsidR="00000000" w:rsidRDefault="00000000">
            <w:pPr>
              <w:pStyle w:val="a2"/>
              <w:rPr>
                <w:rFonts w:hint="eastAsia"/>
              </w:rPr>
            </w:pPr>
            <w:r>
              <w:rPr>
                <w:rFonts w:hint="eastAsia"/>
              </w:rPr>
              <w:t xml:space="preserve">  </w:t>
            </w:r>
            <w:r>
              <w:rPr>
                <w:rFonts w:hint="eastAsia"/>
              </w:rPr>
              <w:t>男性</w:t>
            </w:r>
          </w:p>
        </w:tc>
        <w:tc>
          <w:tcPr>
            <w:tcW w:w="1595" w:type="dxa"/>
          </w:tcPr>
          <w:p w:rsidR="00000000" w:rsidRDefault="00000000">
            <w:pPr>
              <w:pStyle w:val="a2"/>
              <w:ind w:right="454"/>
              <w:jc w:val="right"/>
              <w:rPr>
                <w:rFonts w:hint="eastAsia"/>
              </w:rPr>
            </w:pPr>
            <w:r>
              <w:rPr>
                <w:rFonts w:hint="eastAsia"/>
              </w:rPr>
              <w:t>3,271</w:t>
            </w:r>
          </w:p>
        </w:tc>
        <w:tc>
          <w:tcPr>
            <w:tcW w:w="1595" w:type="dxa"/>
          </w:tcPr>
          <w:p w:rsidR="00000000" w:rsidRDefault="00000000">
            <w:pPr>
              <w:pStyle w:val="a2"/>
              <w:ind w:right="454"/>
              <w:jc w:val="right"/>
              <w:rPr>
                <w:rFonts w:hint="eastAsia"/>
              </w:rPr>
            </w:pPr>
            <w:r>
              <w:rPr>
                <w:rFonts w:hint="eastAsia"/>
              </w:rPr>
              <w:t>12.9</w:t>
            </w:r>
          </w:p>
        </w:tc>
        <w:tc>
          <w:tcPr>
            <w:tcW w:w="1595" w:type="dxa"/>
          </w:tcPr>
          <w:p w:rsidR="00000000" w:rsidRDefault="00000000">
            <w:pPr>
              <w:pStyle w:val="a2"/>
              <w:ind w:right="454"/>
              <w:jc w:val="right"/>
              <w:rPr>
                <w:rFonts w:hint="eastAsia"/>
              </w:rPr>
            </w:pPr>
            <w:r>
              <w:rPr>
                <w:rFonts w:hint="eastAsia"/>
              </w:rPr>
              <w:t>2.1</w:t>
            </w:r>
          </w:p>
        </w:tc>
        <w:tc>
          <w:tcPr>
            <w:tcW w:w="1595" w:type="dxa"/>
          </w:tcPr>
          <w:p w:rsidR="00000000" w:rsidRDefault="00000000">
            <w:pPr>
              <w:pStyle w:val="a2"/>
              <w:ind w:right="454"/>
              <w:jc w:val="right"/>
              <w:rPr>
                <w:rFonts w:hint="eastAsia"/>
              </w:rPr>
            </w:pPr>
            <w:r>
              <w:rPr>
                <w:rFonts w:hint="eastAsia"/>
              </w:rPr>
              <w:t>1,530</w:t>
            </w:r>
          </w:p>
        </w:tc>
        <w:tc>
          <w:tcPr>
            <w:tcW w:w="1596" w:type="dxa"/>
          </w:tcPr>
          <w:p w:rsidR="00000000" w:rsidRDefault="00000000">
            <w:pPr>
              <w:pStyle w:val="a2"/>
              <w:ind w:right="454"/>
              <w:jc w:val="right"/>
              <w:rPr>
                <w:rFonts w:hint="eastAsia"/>
              </w:rPr>
            </w:pPr>
            <w:r>
              <w:rPr>
                <w:rFonts w:hint="eastAsia"/>
              </w:rPr>
              <w:t>46.8</w:t>
            </w:r>
          </w:p>
        </w:tc>
      </w:tr>
      <w:tr w:rsidR="00000000">
        <w:tblPrEx>
          <w:tblCellMar>
            <w:top w:w="0" w:type="dxa"/>
            <w:bottom w:w="0" w:type="dxa"/>
          </w:tblCellMar>
        </w:tblPrEx>
        <w:tc>
          <w:tcPr>
            <w:tcW w:w="1594" w:type="dxa"/>
          </w:tcPr>
          <w:p w:rsidR="00000000" w:rsidRDefault="00000000">
            <w:pPr>
              <w:pStyle w:val="a2"/>
              <w:rPr>
                <w:rFonts w:hint="eastAsia"/>
              </w:rPr>
            </w:pPr>
            <w:r>
              <w:rPr>
                <w:rFonts w:hint="eastAsia"/>
              </w:rPr>
              <w:t xml:space="preserve">  </w:t>
            </w:r>
            <w:r>
              <w:rPr>
                <w:rFonts w:hint="eastAsia"/>
              </w:rPr>
              <w:t>女性</w:t>
            </w:r>
          </w:p>
        </w:tc>
        <w:tc>
          <w:tcPr>
            <w:tcW w:w="1595" w:type="dxa"/>
          </w:tcPr>
          <w:p w:rsidR="00000000" w:rsidRDefault="00000000">
            <w:pPr>
              <w:pStyle w:val="a2"/>
              <w:ind w:right="454"/>
              <w:jc w:val="right"/>
              <w:rPr>
                <w:rFonts w:hint="eastAsia"/>
              </w:rPr>
            </w:pPr>
            <w:r>
              <w:rPr>
                <w:rFonts w:hint="eastAsia"/>
              </w:rPr>
              <w:t>4,326</w:t>
            </w:r>
          </w:p>
        </w:tc>
        <w:tc>
          <w:tcPr>
            <w:tcW w:w="1595" w:type="dxa"/>
          </w:tcPr>
          <w:p w:rsidR="00000000" w:rsidRDefault="00000000">
            <w:pPr>
              <w:pStyle w:val="a2"/>
              <w:ind w:right="454"/>
              <w:jc w:val="right"/>
              <w:rPr>
                <w:rFonts w:hint="eastAsia"/>
              </w:rPr>
            </w:pPr>
            <w:r>
              <w:rPr>
                <w:rFonts w:hint="eastAsia"/>
              </w:rPr>
              <w:t>12.2</w:t>
            </w:r>
          </w:p>
        </w:tc>
        <w:tc>
          <w:tcPr>
            <w:tcW w:w="1595" w:type="dxa"/>
          </w:tcPr>
          <w:p w:rsidR="00000000" w:rsidRDefault="00000000">
            <w:pPr>
              <w:pStyle w:val="a2"/>
              <w:ind w:right="454"/>
              <w:jc w:val="right"/>
              <w:rPr>
                <w:rFonts w:hint="eastAsia"/>
              </w:rPr>
            </w:pPr>
            <w:r>
              <w:rPr>
                <w:rFonts w:hint="eastAsia"/>
              </w:rPr>
              <w:t>1.7</w:t>
            </w:r>
          </w:p>
        </w:tc>
        <w:tc>
          <w:tcPr>
            <w:tcW w:w="1595" w:type="dxa"/>
          </w:tcPr>
          <w:p w:rsidR="00000000" w:rsidRDefault="00000000">
            <w:pPr>
              <w:pStyle w:val="a2"/>
              <w:ind w:right="454"/>
              <w:jc w:val="right"/>
              <w:rPr>
                <w:rFonts w:hint="eastAsia"/>
              </w:rPr>
            </w:pPr>
            <w:r>
              <w:rPr>
                <w:rFonts w:hint="eastAsia"/>
              </w:rPr>
              <w:t>2,370</w:t>
            </w:r>
          </w:p>
        </w:tc>
        <w:tc>
          <w:tcPr>
            <w:tcW w:w="1596" w:type="dxa"/>
          </w:tcPr>
          <w:p w:rsidR="00000000" w:rsidRDefault="00000000">
            <w:pPr>
              <w:pStyle w:val="a2"/>
              <w:ind w:right="454"/>
              <w:jc w:val="right"/>
              <w:rPr>
                <w:rFonts w:hint="eastAsia"/>
              </w:rPr>
            </w:pPr>
            <w:r>
              <w:rPr>
                <w:rFonts w:hint="eastAsia"/>
              </w:rPr>
              <w:t>54.8</w:t>
            </w:r>
          </w:p>
        </w:tc>
      </w:tr>
      <w:tr w:rsidR="00000000">
        <w:tblPrEx>
          <w:tblCellMar>
            <w:top w:w="0" w:type="dxa"/>
            <w:bottom w:w="0" w:type="dxa"/>
          </w:tblCellMar>
        </w:tblPrEx>
        <w:tc>
          <w:tcPr>
            <w:tcW w:w="1594" w:type="dxa"/>
          </w:tcPr>
          <w:p w:rsidR="00000000" w:rsidRDefault="00000000">
            <w:pPr>
              <w:pStyle w:val="a2"/>
              <w:rPr>
                <w:rFonts w:hint="eastAsia"/>
              </w:rPr>
            </w:pPr>
            <w:r>
              <w:rPr>
                <w:rFonts w:hint="eastAsia"/>
              </w:rPr>
              <w:t>族裔群体</w:t>
            </w:r>
          </w:p>
        </w:tc>
        <w:tc>
          <w:tcPr>
            <w:tcW w:w="1595" w:type="dxa"/>
          </w:tcPr>
          <w:p w:rsidR="00000000" w:rsidRDefault="00000000">
            <w:pPr>
              <w:pStyle w:val="a2"/>
              <w:ind w:right="454"/>
              <w:jc w:val="right"/>
              <w:rPr>
                <w:rFonts w:hint="eastAsia"/>
              </w:rPr>
            </w:pPr>
          </w:p>
        </w:tc>
        <w:tc>
          <w:tcPr>
            <w:tcW w:w="1595" w:type="dxa"/>
          </w:tcPr>
          <w:p w:rsidR="00000000" w:rsidRDefault="00000000">
            <w:pPr>
              <w:pStyle w:val="a2"/>
              <w:ind w:right="454"/>
              <w:jc w:val="right"/>
              <w:rPr>
                <w:rFonts w:hint="eastAsia"/>
              </w:rPr>
            </w:pPr>
          </w:p>
        </w:tc>
        <w:tc>
          <w:tcPr>
            <w:tcW w:w="1595" w:type="dxa"/>
          </w:tcPr>
          <w:p w:rsidR="00000000" w:rsidRDefault="00000000">
            <w:pPr>
              <w:pStyle w:val="a2"/>
              <w:ind w:right="454"/>
              <w:jc w:val="right"/>
              <w:rPr>
                <w:rFonts w:hint="eastAsia"/>
              </w:rPr>
            </w:pPr>
          </w:p>
        </w:tc>
        <w:tc>
          <w:tcPr>
            <w:tcW w:w="1595" w:type="dxa"/>
          </w:tcPr>
          <w:p w:rsidR="00000000" w:rsidRDefault="00000000">
            <w:pPr>
              <w:pStyle w:val="a2"/>
              <w:ind w:right="454"/>
              <w:jc w:val="right"/>
              <w:rPr>
                <w:rFonts w:hint="eastAsia"/>
              </w:rPr>
            </w:pPr>
          </w:p>
        </w:tc>
        <w:tc>
          <w:tcPr>
            <w:tcW w:w="1596" w:type="dxa"/>
          </w:tcPr>
          <w:p w:rsidR="00000000" w:rsidRDefault="00000000">
            <w:pPr>
              <w:pStyle w:val="a2"/>
              <w:ind w:right="454"/>
              <w:jc w:val="right"/>
              <w:rPr>
                <w:rFonts w:hint="eastAsia"/>
              </w:rPr>
            </w:pPr>
          </w:p>
        </w:tc>
      </w:tr>
      <w:tr w:rsidR="00000000">
        <w:tblPrEx>
          <w:tblCellMar>
            <w:top w:w="0" w:type="dxa"/>
            <w:bottom w:w="0" w:type="dxa"/>
          </w:tblCellMar>
        </w:tblPrEx>
        <w:tc>
          <w:tcPr>
            <w:tcW w:w="1594" w:type="dxa"/>
          </w:tcPr>
          <w:p w:rsidR="00000000" w:rsidRDefault="00000000">
            <w:pPr>
              <w:pStyle w:val="a2"/>
              <w:rPr>
                <w:rFonts w:hint="eastAsia"/>
              </w:rPr>
            </w:pPr>
            <w:r>
              <w:rPr>
                <w:rFonts w:hint="eastAsia"/>
              </w:rPr>
              <w:t xml:space="preserve">  </w:t>
            </w:r>
            <w:r>
              <w:rPr>
                <w:rFonts w:hint="eastAsia"/>
              </w:rPr>
              <w:t>黑人</w:t>
            </w:r>
          </w:p>
        </w:tc>
        <w:tc>
          <w:tcPr>
            <w:tcW w:w="1595" w:type="dxa"/>
          </w:tcPr>
          <w:p w:rsidR="00000000" w:rsidRDefault="00000000">
            <w:pPr>
              <w:pStyle w:val="a2"/>
              <w:ind w:right="454"/>
              <w:jc w:val="right"/>
              <w:rPr>
                <w:rFonts w:hint="eastAsia"/>
              </w:rPr>
            </w:pPr>
            <w:r>
              <w:rPr>
                <w:rFonts w:hint="eastAsia"/>
              </w:rPr>
              <w:t>275</w:t>
            </w:r>
          </w:p>
        </w:tc>
        <w:tc>
          <w:tcPr>
            <w:tcW w:w="1595" w:type="dxa"/>
          </w:tcPr>
          <w:p w:rsidR="00000000" w:rsidRDefault="00000000">
            <w:pPr>
              <w:pStyle w:val="a2"/>
              <w:ind w:right="454"/>
              <w:jc w:val="right"/>
              <w:rPr>
                <w:rFonts w:hint="eastAsia"/>
              </w:rPr>
            </w:pPr>
            <w:r>
              <w:rPr>
                <w:rFonts w:hint="eastAsia"/>
              </w:rPr>
              <w:t>11,7</w:t>
            </w:r>
          </w:p>
        </w:tc>
        <w:tc>
          <w:tcPr>
            <w:tcW w:w="1595" w:type="dxa"/>
          </w:tcPr>
          <w:p w:rsidR="00000000" w:rsidRDefault="00000000">
            <w:pPr>
              <w:pStyle w:val="a2"/>
              <w:ind w:right="454"/>
              <w:jc w:val="right"/>
              <w:rPr>
                <w:rFonts w:hint="eastAsia"/>
              </w:rPr>
            </w:pPr>
            <w:r>
              <w:rPr>
                <w:rFonts w:hint="eastAsia"/>
              </w:rPr>
              <w:t>2</w:t>
            </w:r>
          </w:p>
        </w:tc>
        <w:tc>
          <w:tcPr>
            <w:tcW w:w="1595" w:type="dxa"/>
          </w:tcPr>
          <w:p w:rsidR="00000000" w:rsidRDefault="00000000">
            <w:pPr>
              <w:pStyle w:val="a2"/>
              <w:ind w:right="454"/>
              <w:jc w:val="right"/>
              <w:rPr>
                <w:rFonts w:hint="eastAsia"/>
              </w:rPr>
            </w:pPr>
            <w:r>
              <w:rPr>
                <w:rFonts w:hint="eastAsia"/>
              </w:rPr>
              <w:t>180</w:t>
            </w:r>
          </w:p>
        </w:tc>
        <w:tc>
          <w:tcPr>
            <w:tcW w:w="1596" w:type="dxa"/>
          </w:tcPr>
          <w:p w:rsidR="00000000" w:rsidRDefault="00000000">
            <w:pPr>
              <w:pStyle w:val="a2"/>
              <w:ind w:right="454"/>
              <w:jc w:val="right"/>
              <w:rPr>
                <w:rFonts w:hint="eastAsia"/>
              </w:rPr>
            </w:pPr>
            <w:r>
              <w:rPr>
                <w:rFonts w:hint="eastAsia"/>
              </w:rPr>
              <w:t>65.5</w:t>
            </w:r>
          </w:p>
        </w:tc>
      </w:tr>
      <w:tr w:rsidR="00000000">
        <w:tblPrEx>
          <w:tblCellMar>
            <w:top w:w="0" w:type="dxa"/>
            <w:bottom w:w="0" w:type="dxa"/>
          </w:tblCellMar>
        </w:tblPrEx>
        <w:tc>
          <w:tcPr>
            <w:tcW w:w="1594" w:type="dxa"/>
          </w:tcPr>
          <w:p w:rsidR="00000000" w:rsidRDefault="00000000">
            <w:pPr>
              <w:pStyle w:val="a2"/>
              <w:rPr>
                <w:rFonts w:hint="eastAsia"/>
              </w:rPr>
            </w:pPr>
            <w:r>
              <w:rPr>
                <w:rFonts w:hint="eastAsia"/>
              </w:rPr>
              <w:t xml:space="preserve">  </w:t>
            </w:r>
            <w:r>
              <w:rPr>
                <w:rFonts w:hint="eastAsia"/>
              </w:rPr>
              <w:t>其他</w:t>
            </w:r>
          </w:p>
        </w:tc>
        <w:tc>
          <w:tcPr>
            <w:tcW w:w="1595" w:type="dxa"/>
          </w:tcPr>
          <w:p w:rsidR="00000000" w:rsidRDefault="00000000">
            <w:pPr>
              <w:pStyle w:val="a2"/>
              <w:ind w:right="454"/>
              <w:jc w:val="right"/>
              <w:rPr>
                <w:rFonts w:hint="eastAsia"/>
              </w:rPr>
            </w:pPr>
            <w:r>
              <w:rPr>
                <w:rFonts w:hint="eastAsia"/>
              </w:rPr>
              <w:t>7,322</w:t>
            </w:r>
          </w:p>
        </w:tc>
        <w:tc>
          <w:tcPr>
            <w:tcW w:w="1595" w:type="dxa"/>
          </w:tcPr>
          <w:p w:rsidR="00000000" w:rsidRDefault="00000000">
            <w:pPr>
              <w:pStyle w:val="a2"/>
              <w:ind w:right="454"/>
              <w:jc w:val="right"/>
              <w:rPr>
                <w:rFonts w:hint="eastAsia"/>
              </w:rPr>
            </w:pPr>
            <w:r>
              <w:rPr>
                <w:rFonts w:hint="eastAsia"/>
              </w:rPr>
              <w:t>12.5</w:t>
            </w:r>
          </w:p>
        </w:tc>
        <w:tc>
          <w:tcPr>
            <w:tcW w:w="1595" w:type="dxa"/>
          </w:tcPr>
          <w:p w:rsidR="00000000" w:rsidRDefault="00000000">
            <w:pPr>
              <w:pStyle w:val="a2"/>
              <w:ind w:right="454"/>
              <w:jc w:val="right"/>
              <w:rPr>
                <w:rFonts w:hint="eastAsia"/>
              </w:rPr>
            </w:pPr>
            <w:r>
              <w:rPr>
                <w:rFonts w:hint="eastAsia"/>
              </w:rPr>
              <w:t>1.9</w:t>
            </w:r>
          </w:p>
        </w:tc>
        <w:tc>
          <w:tcPr>
            <w:tcW w:w="1595" w:type="dxa"/>
          </w:tcPr>
          <w:p w:rsidR="00000000" w:rsidRDefault="00000000">
            <w:pPr>
              <w:pStyle w:val="a2"/>
              <w:ind w:right="454"/>
              <w:jc w:val="right"/>
              <w:rPr>
                <w:rFonts w:hint="eastAsia"/>
              </w:rPr>
            </w:pPr>
            <w:r>
              <w:rPr>
                <w:rFonts w:hint="eastAsia"/>
              </w:rPr>
              <w:t>3,720</w:t>
            </w:r>
          </w:p>
        </w:tc>
        <w:tc>
          <w:tcPr>
            <w:tcW w:w="1596" w:type="dxa"/>
          </w:tcPr>
          <w:p w:rsidR="00000000" w:rsidRDefault="00000000">
            <w:pPr>
              <w:pStyle w:val="a2"/>
              <w:ind w:right="454"/>
              <w:jc w:val="right"/>
              <w:rPr>
                <w:rFonts w:hint="eastAsia"/>
              </w:rPr>
            </w:pPr>
            <w:r>
              <w:rPr>
                <w:rFonts w:hint="eastAsia"/>
              </w:rPr>
              <w:t>50.8</w:t>
            </w:r>
          </w:p>
        </w:tc>
      </w:tr>
    </w:tbl>
    <w:p w:rsidR="00000000" w:rsidRDefault="00000000">
      <w:pPr>
        <w:rPr>
          <w:rFonts w:hint="eastAsia"/>
        </w:rPr>
      </w:pPr>
    </w:p>
    <w:p w:rsidR="00000000" w:rsidRDefault="00000000">
      <w:pPr>
        <w:pStyle w:val="EndnoteText"/>
        <w:spacing w:after="320"/>
        <w:rPr>
          <w:rFonts w:hint="eastAsia"/>
        </w:rPr>
      </w:pPr>
      <w:r>
        <w:rPr>
          <w:rFonts w:hint="eastAsia"/>
          <w:u w:val="single"/>
        </w:rPr>
        <w:t>资料来源</w:t>
      </w:r>
      <w:r>
        <w:rPr>
          <w:rFonts w:hint="eastAsia"/>
        </w:rPr>
        <w:t>：公共卫生部，《信息通信技术新闻公报》第</w:t>
      </w:r>
      <w:r>
        <w:rPr>
          <w:rFonts w:hint="eastAsia"/>
        </w:rPr>
        <w:t>3</w:t>
      </w:r>
      <w:r>
        <w:rPr>
          <w:rFonts w:hint="eastAsia"/>
        </w:rPr>
        <w:t>号。</w:t>
      </w:r>
    </w:p>
    <w:p w:rsidR="00000000" w:rsidRDefault="00000000">
      <w:pPr>
        <w:spacing w:after="320"/>
        <w:rPr>
          <w:rFonts w:hint="eastAsia"/>
        </w:rPr>
      </w:pPr>
      <w:r>
        <w:rPr>
          <w:rFonts w:hint="eastAsia"/>
        </w:rPr>
        <w:tab/>
        <w:t xml:space="preserve">299.  </w:t>
      </w:r>
      <w:r>
        <w:rPr>
          <w:rFonts w:hint="eastAsia"/>
        </w:rPr>
        <w:t>如果按教育水平分类的话，平均血红蛋白的水平与受教育水平相当。发现受过小学、中学和高等教育的人平均血红蛋白的水平也高一些。受教育程度越高，患贫血症的人越少。患贫血症最高的是那些未受过任何教育的人。</w:t>
      </w:r>
    </w:p>
    <w:p w:rsidR="00000000" w:rsidRDefault="00000000">
      <w:pPr>
        <w:pStyle w:val="Heading3"/>
        <w:spacing w:after="240"/>
        <w:rPr>
          <w:rFonts w:hint="eastAsia"/>
        </w:rPr>
      </w:pPr>
      <w:r>
        <w:rPr>
          <w:rFonts w:hint="eastAsia"/>
        </w:rPr>
        <w:t>接教育水平分列的血红蛋白值和贫血症流行情况</w:t>
      </w:r>
      <w:r>
        <w:br/>
      </w:r>
      <w:r>
        <w:rPr>
          <w:rFonts w:hint="eastAsia"/>
          <w:u w:val="none"/>
        </w:rPr>
        <w:t>厄瓜多尔，</w:t>
      </w:r>
      <w:r>
        <w:rPr>
          <w:rFonts w:hint="eastAsia"/>
          <w:u w:val="none"/>
        </w:rPr>
        <w:t>1997</w:t>
      </w:r>
      <w:r>
        <w:rPr>
          <w:rFonts w:hint="eastAsia"/>
          <w:u w:val="none"/>
        </w:rPr>
        <w:t>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3"/>
        <w:gridCol w:w="1260"/>
        <w:gridCol w:w="1421"/>
        <w:gridCol w:w="1595"/>
        <w:gridCol w:w="1595"/>
        <w:gridCol w:w="1596"/>
      </w:tblGrid>
      <w:tr w:rsidR="00000000">
        <w:tblPrEx>
          <w:tblCellMar>
            <w:top w:w="0" w:type="dxa"/>
            <w:bottom w:w="0" w:type="dxa"/>
          </w:tblCellMar>
        </w:tblPrEx>
        <w:trPr>
          <w:cantSplit/>
        </w:trPr>
        <w:tc>
          <w:tcPr>
            <w:tcW w:w="2103" w:type="dxa"/>
            <w:vMerge w:val="restart"/>
          </w:tcPr>
          <w:p w:rsidR="00000000" w:rsidRDefault="00000000">
            <w:pPr>
              <w:spacing w:before="280" w:after="20" w:line="288" w:lineRule="auto"/>
              <w:jc w:val="center"/>
              <w:rPr>
                <w:rFonts w:hint="eastAsia"/>
                <w:sz w:val="21"/>
              </w:rPr>
            </w:pPr>
            <w:r>
              <w:rPr>
                <w:rFonts w:hint="eastAsia"/>
                <w:sz w:val="21"/>
              </w:rPr>
              <w:t>变</w:t>
            </w:r>
            <w:r>
              <w:rPr>
                <w:rFonts w:hint="eastAsia"/>
                <w:sz w:val="21"/>
              </w:rPr>
              <w:t xml:space="preserve">  </w:t>
            </w:r>
            <w:r>
              <w:rPr>
                <w:rFonts w:hint="eastAsia"/>
                <w:sz w:val="21"/>
              </w:rPr>
              <w:t>量</w:t>
            </w:r>
          </w:p>
        </w:tc>
        <w:tc>
          <w:tcPr>
            <w:tcW w:w="1260" w:type="dxa"/>
            <w:vMerge w:val="restart"/>
          </w:tcPr>
          <w:p w:rsidR="00000000" w:rsidRDefault="00000000">
            <w:pPr>
              <w:spacing w:before="280" w:after="20" w:line="288" w:lineRule="auto"/>
              <w:jc w:val="center"/>
              <w:rPr>
                <w:rFonts w:hint="eastAsia"/>
                <w:sz w:val="21"/>
              </w:rPr>
            </w:pPr>
            <w:r>
              <w:rPr>
                <w:rFonts w:hint="eastAsia"/>
                <w:sz w:val="21"/>
              </w:rPr>
              <w:t>抽样总数</w:t>
            </w:r>
          </w:p>
        </w:tc>
        <w:tc>
          <w:tcPr>
            <w:tcW w:w="3016" w:type="dxa"/>
            <w:gridSpan w:val="2"/>
          </w:tcPr>
          <w:p w:rsidR="00000000" w:rsidRDefault="00000000">
            <w:pPr>
              <w:spacing w:before="40" w:after="20" w:line="288" w:lineRule="auto"/>
              <w:jc w:val="center"/>
              <w:rPr>
                <w:rFonts w:hint="eastAsia"/>
                <w:sz w:val="21"/>
              </w:rPr>
            </w:pPr>
            <w:r>
              <w:rPr>
                <w:rFonts w:hint="eastAsia"/>
                <w:sz w:val="21"/>
              </w:rPr>
              <w:t>血红蛋白</w:t>
            </w:r>
          </w:p>
        </w:tc>
        <w:tc>
          <w:tcPr>
            <w:tcW w:w="3191" w:type="dxa"/>
            <w:gridSpan w:val="2"/>
          </w:tcPr>
          <w:p w:rsidR="00000000" w:rsidRDefault="00000000">
            <w:pPr>
              <w:spacing w:before="40" w:after="20" w:line="288" w:lineRule="auto"/>
              <w:jc w:val="center"/>
              <w:rPr>
                <w:rFonts w:hint="eastAsia"/>
                <w:sz w:val="21"/>
              </w:rPr>
            </w:pPr>
            <w:r>
              <w:rPr>
                <w:rFonts w:hint="eastAsia"/>
                <w:sz w:val="21"/>
              </w:rPr>
              <w:t>贫</w:t>
            </w:r>
            <w:r>
              <w:rPr>
                <w:rFonts w:hint="eastAsia"/>
                <w:sz w:val="21"/>
              </w:rPr>
              <w:t xml:space="preserve"> </w:t>
            </w:r>
            <w:r>
              <w:rPr>
                <w:rFonts w:hint="eastAsia"/>
                <w:sz w:val="21"/>
              </w:rPr>
              <w:t>血</w:t>
            </w:r>
            <w:r>
              <w:rPr>
                <w:rFonts w:hint="eastAsia"/>
                <w:sz w:val="21"/>
              </w:rPr>
              <w:t xml:space="preserve"> </w:t>
            </w:r>
            <w:r>
              <w:rPr>
                <w:rFonts w:hint="eastAsia"/>
                <w:sz w:val="21"/>
              </w:rPr>
              <w:t>症</w:t>
            </w:r>
          </w:p>
        </w:tc>
      </w:tr>
      <w:tr w:rsidR="00000000">
        <w:tblPrEx>
          <w:tblCellMar>
            <w:top w:w="0" w:type="dxa"/>
            <w:bottom w:w="0" w:type="dxa"/>
          </w:tblCellMar>
        </w:tblPrEx>
        <w:trPr>
          <w:cantSplit/>
        </w:trPr>
        <w:tc>
          <w:tcPr>
            <w:tcW w:w="2103" w:type="dxa"/>
            <w:vMerge/>
          </w:tcPr>
          <w:p w:rsidR="00000000" w:rsidRDefault="00000000">
            <w:pPr>
              <w:spacing w:before="40" w:after="20" w:line="288" w:lineRule="auto"/>
              <w:jc w:val="center"/>
              <w:rPr>
                <w:rFonts w:hint="eastAsia"/>
                <w:sz w:val="21"/>
              </w:rPr>
            </w:pPr>
          </w:p>
        </w:tc>
        <w:tc>
          <w:tcPr>
            <w:tcW w:w="1260" w:type="dxa"/>
            <w:vMerge/>
          </w:tcPr>
          <w:p w:rsidR="00000000" w:rsidRDefault="00000000">
            <w:pPr>
              <w:spacing w:before="40" w:after="20" w:line="288" w:lineRule="auto"/>
              <w:jc w:val="center"/>
              <w:rPr>
                <w:rFonts w:hint="eastAsia"/>
                <w:sz w:val="21"/>
              </w:rPr>
            </w:pPr>
          </w:p>
        </w:tc>
        <w:tc>
          <w:tcPr>
            <w:tcW w:w="1421" w:type="dxa"/>
          </w:tcPr>
          <w:p w:rsidR="00000000" w:rsidRDefault="00000000">
            <w:pPr>
              <w:spacing w:before="40" w:after="20" w:line="288" w:lineRule="auto"/>
              <w:jc w:val="center"/>
              <w:rPr>
                <w:rFonts w:hint="eastAsia"/>
                <w:sz w:val="21"/>
              </w:rPr>
            </w:pPr>
            <w:r>
              <w:rPr>
                <w:rFonts w:hint="eastAsia"/>
                <w:sz w:val="21"/>
              </w:rPr>
              <w:t>平</w:t>
            </w:r>
            <w:r>
              <w:rPr>
                <w:rFonts w:hint="eastAsia"/>
                <w:sz w:val="21"/>
              </w:rPr>
              <w:t xml:space="preserve">  </w:t>
            </w:r>
            <w:r>
              <w:rPr>
                <w:rFonts w:hint="eastAsia"/>
                <w:sz w:val="21"/>
              </w:rPr>
              <w:t>均</w:t>
            </w:r>
          </w:p>
        </w:tc>
        <w:tc>
          <w:tcPr>
            <w:tcW w:w="1595" w:type="dxa"/>
          </w:tcPr>
          <w:p w:rsidR="00000000" w:rsidRDefault="00000000">
            <w:pPr>
              <w:spacing w:before="40" w:after="20" w:line="288" w:lineRule="auto"/>
              <w:jc w:val="center"/>
              <w:rPr>
                <w:rFonts w:hint="eastAsia"/>
                <w:sz w:val="21"/>
              </w:rPr>
            </w:pPr>
            <w:r>
              <w:rPr>
                <w:rFonts w:hint="eastAsia"/>
                <w:sz w:val="21"/>
              </w:rPr>
              <w:t>标准误差</w:t>
            </w:r>
          </w:p>
        </w:tc>
        <w:tc>
          <w:tcPr>
            <w:tcW w:w="1595" w:type="dxa"/>
          </w:tcPr>
          <w:p w:rsidR="00000000" w:rsidRDefault="00000000">
            <w:pPr>
              <w:spacing w:before="40" w:after="20" w:line="288" w:lineRule="auto"/>
              <w:jc w:val="center"/>
              <w:rPr>
                <w:rFonts w:hint="eastAsia"/>
                <w:sz w:val="21"/>
              </w:rPr>
            </w:pPr>
            <w:r>
              <w:rPr>
                <w:rFonts w:hint="eastAsia"/>
                <w:sz w:val="21"/>
              </w:rPr>
              <w:t>人</w:t>
            </w:r>
            <w:r>
              <w:rPr>
                <w:rFonts w:hint="eastAsia"/>
                <w:sz w:val="21"/>
              </w:rPr>
              <w:t xml:space="preserve">  </w:t>
            </w:r>
            <w:r>
              <w:rPr>
                <w:rFonts w:hint="eastAsia"/>
                <w:sz w:val="21"/>
              </w:rPr>
              <w:t>数</w:t>
            </w:r>
          </w:p>
        </w:tc>
        <w:tc>
          <w:tcPr>
            <w:tcW w:w="1596" w:type="dxa"/>
          </w:tcPr>
          <w:p w:rsidR="00000000" w:rsidRDefault="00000000">
            <w:pPr>
              <w:spacing w:before="40" w:after="20" w:line="288" w:lineRule="auto"/>
              <w:jc w:val="center"/>
              <w:rPr>
                <w:rFonts w:hint="eastAsia"/>
                <w:sz w:val="21"/>
              </w:rPr>
            </w:pPr>
            <w:r>
              <w:rPr>
                <w:rFonts w:hint="eastAsia"/>
                <w:sz w:val="21"/>
              </w:rPr>
              <w:t>百分比</w:t>
            </w:r>
          </w:p>
        </w:tc>
      </w:tr>
      <w:tr w:rsidR="00000000">
        <w:tblPrEx>
          <w:tblCellMar>
            <w:top w:w="0" w:type="dxa"/>
            <w:bottom w:w="0" w:type="dxa"/>
          </w:tblCellMar>
        </w:tblPrEx>
        <w:trPr>
          <w:cantSplit/>
        </w:trPr>
        <w:tc>
          <w:tcPr>
            <w:tcW w:w="9570" w:type="dxa"/>
            <w:gridSpan w:val="6"/>
          </w:tcPr>
          <w:p w:rsidR="00000000" w:rsidRDefault="00000000">
            <w:pPr>
              <w:spacing w:before="60" w:after="20" w:line="288" w:lineRule="auto"/>
              <w:ind w:right="475"/>
              <w:rPr>
                <w:rFonts w:hint="eastAsia"/>
                <w:sz w:val="21"/>
              </w:rPr>
            </w:pPr>
            <w:r>
              <w:rPr>
                <w:rFonts w:hint="eastAsia"/>
                <w:sz w:val="21"/>
              </w:rPr>
              <w:t>受教育情况</w:t>
            </w:r>
            <w:r>
              <w:rPr>
                <w:sz w:val="21"/>
              </w:rPr>
              <w:t>(6</w:t>
            </w:r>
            <w:r>
              <w:rPr>
                <w:rFonts w:hint="eastAsia"/>
                <w:sz w:val="21"/>
              </w:rPr>
              <w:t>岁以上</w:t>
            </w:r>
            <w:r>
              <w:rPr>
                <w:rFonts w:hint="eastAsia"/>
                <w:sz w:val="21"/>
              </w:rPr>
              <w:t>)</w:t>
            </w:r>
          </w:p>
        </w:tc>
      </w:tr>
      <w:tr w:rsidR="00000000">
        <w:tblPrEx>
          <w:tblCellMar>
            <w:top w:w="0" w:type="dxa"/>
            <w:bottom w:w="0" w:type="dxa"/>
          </w:tblCellMar>
        </w:tblPrEx>
        <w:tc>
          <w:tcPr>
            <w:tcW w:w="2103" w:type="dxa"/>
          </w:tcPr>
          <w:p w:rsidR="00000000" w:rsidRDefault="00000000">
            <w:pPr>
              <w:spacing w:before="60" w:after="20" w:line="288" w:lineRule="auto"/>
              <w:rPr>
                <w:rFonts w:hint="eastAsia"/>
                <w:sz w:val="21"/>
              </w:rPr>
            </w:pPr>
            <w:r>
              <w:rPr>
                <w:rFonts w:hint="eastAsia"/>
                <w:sz w:val="21"/>
              </w:rPr>
              <w:t>从未</w:t>
            </w:r>
          </w:p>
        </w:tc>
        <w:tc>
          <w:tcPr>
            <w:tcW w:w="1260" w:type="dxa"/>
          </w:tcPr>
          <w:p w:rsidR="00000000" w:rsidRDefault="00000000">
            <w:pPr>
              <w:spacing w:before="60" w:after="20" w:line="288" w:lineRule="auto"/>
              <w:ind w:right="334"/>
              <w:jc w:val="right"/>
              <w:rPr>
                <w:rFonts w:hint="eastAsia"/>
                <w:sz w:val="21"/>
              </w:rPr>
            </w:pPr>
            <w:r>
              <w:rPr>
                <w:rFonts w:hint="eastAsia"/>
                <w:sz w:val="21"/>
              </w:rPr>
              <w:t>446</w:t>
            </w:r>
          </w:p>
        </w:tc>
        <w:tc>
          <w:tcPr>
            <w:tcW w:w="1421" w:type="dxa"/>
          </w:tcPr>
          <w:p w:rsidR="00000000" w:rsidRDefault="00000000">
            <w:pPr>
              <w:spacing w:before="60" w:after="20" w:line="288" w:lineRule="auto"/>
              <w:ind w:right="489"/>
              <w:jc w:val="right"/>
              <w:rPr>
                <w:rFonts w:hint="eastAsia"/>
                <w:sz w:val="21"/>
              </w:rPr>
            </w:pPr>
            <w:r>
              <w:rPr>
                <w:rFonts w:hint="eastAsia"/>
                <w:sz w:val="21"/>
              </w:rPr>
              <w:t>12.6</w:t>
            </w:r>
          </w:p>
        </w:tc>
        <w:tc>
          <w:tcPr>
            <w:tcW w:w="1595" w:type="dxa"/>
          </w:tcPr>
          <w:p w:rsidR="00000000" w:rsidRDefault="00000000">
            <w:pPr>
              <w:spacing w:before="60" w:after="20" w:line="288" w:lineRule="auto"/>
              <w:ind w:right="334"/>
              <w:jc w:val="right"/>
              <w:rPr>
                <w:rFonts w:hint="eastAsia"/>
                <w:sz w:val="21"/>
              </w:rPr>
            </w:pPr>
            <w:r>
              <w:rPr>
                <w:rFonts w:hint="eastAsia"/>
                <w:sz w:val="21"/>
              </w:rPr>
              <w:t>1.8</w:t>
            </w:r>
          </w:p>
        </w:tc>
        <w:tc>
          <w:tcPr>
            <w:tcW w:w="1595" w:type="dxa"/>
          </w:tcPr>
          <w:p w:rsidR="00000000" w:rsidRDefault="00000000">
            <w:pPr>
              <w:spacing w:before="60" w:after="20" w:line="288" w:lineRule="auto"/>
              <w:ind w:right="334"/>
              <w:jc w:val="right"/>
              <w:rPr>
                <w:rFonts w:hint="eastAsia"/>
                <w:sz w:val="21"/>
              </w:rPr>
            </w:pPr>
            <w:r>
              <w:rPr>
                <w:rFonts w:hint="eastAsia"/>
                <w:sz w:val="21"/>
              </w:rPr>
              <w:t>279</w:t>
            </w:r>
          </w:p>
        </w:tc>
        <w:tc>
          <w:tcPr>
            <w:tcW w:w="1596" w:type="dxa"/>
          </w:tcPr>
          <w:p w:rsidR="00000000" w:rsidRDefault="00000000">
            <w:pPr>
              <w:spacing w:before="60" w:after="20" w:line="288" w:lineRule="auto"/>
              <w:ind w:right="475"/>
              <w:jc w:val="right"/>
              <w:rPr>
                <w:rFonts w:hint="eastAsia"/>
                <w:sz w:val="21"/>
              </w:rPr>
            </w:pPr>
            <w:r>
              <w:rPr>
                <w:rFonts w:hint="eastAsia"/>
                <w:sz w:val="21"/>
              </w:rPr>
              <w:t>62.6</w:t>
            </w:r>
          </w:p>
        </w:tc>
      </w:tr>
      <w:tr w:rsidR="00000000">
        <w:tblPrEx>
          <w:tblCellMar>
            <w:top w:w="0" w:type="dxa"/>
            <w:bottom w:w="0" w:type="dxa"/>
          </w:tblCellMar>
        </w:tblPrEx>
        <w:tc>
          <w:tcPr>
            <w:tcW w:w="2103" w:type="dxa"/>
          </w:tcPr>
          <w:p w:rsidR="00000000" w:rsidRDefault="00000000">
            <w:pPr>
              <w:spacing w:before="60" w:after="20" w:line="288" w:lineRule="auto"/>
              <w:rPr>
                <w:rFonts w:hint="eastAsia"/>
                <w:sz w:val="21"/>
              </w:rPr>
            </w:pPr>
            <w:r>
              <w:rPr>
                <w:rFonts w:hint="eastAsia"/>
                <w:sz w:val="21"/>
              </w:rPr>
              <w:t>小学</w:t>
            </w:r>
          </w:p>
        </w:tc>
        <w:tc>
          <w:tcPr>
            <w:tcW w:w="1260" w:type="dxa"/>
          </w:tcPr>
          <w:p w:rsidR="00000000" w:rsidRDefault="00000000">
            <w:pPr>
              <w:spacing w:before="60" w:after="20" w:line="288" w:lineRule="auto"/>
              <w:ind w:right="334"/>
              <w:jc w:val="right"/>
              <w:rPr>
                <w:rFonts w:hint="eastAsia"/>
                <w:sz w:val="21"/>
              </w:rPr>
            </w:pPr>
            <w:r>
              <w:rPr>
                <w:rFonts w:hint="eastAsia"/>
                <w:sz w:val="21"/>
              </w:rPr>
              <w:t>3,301</w:t>
            </w:r>
          </w:p>
        </w:tc>
        <w:tc>
          <w:tcPr>
            <w:tcW w:w="1421" w:type="dxa"/>
          </w:tcPr>
          <w:p w:rsidR="00000000" w:rsidRDefault="00000000">
            <w:pPr>
              <w:spacing w:before="60" w:after="20" w:line="288" w:lineRule="auto"/>
              <w:ind w:right="489"/>
              <w:jc w:val="right"/>
              <w:rPr>
                <w:rFonts w:hint="eastAsia"/>
                <w:sz w:val="21"/>
              </w:rPr>
            </w:pPr>
            <w:r>
              <w:rPr>
                <w:rFonts w:hint="eastAsia"/>
                <w:sz w:val="21"/>
              </w:rPr>
              <w:t>12.7</w:t>
            </w:r>
          </w:p>
        </w:tc>
        <w:tc>
          <w:tcPr>
            <w:tcW w:w="1595" w:type="dxa"/>
          </w:tcPr>
          <w:p w:rsidR="00000000" w:rsidRDefault="00000000">
            <w:pPr>
              <w:spacing w:before="60" w:after="20" w:line="288" w:lineRule="auto"/>
              <w:ind w:right="334"/>
              <w:jc w:val="right"/>
              <w:rPr>
                <w:rFonts w:hint="eastAsia"/>
                <w:sz w:val="21"/>
              </w:rPr>
            </w:pPr>
            <w:r>
              <w:rPr>
                <w:rFonts w:hint="eastAsia"/>
                <w:sz w:val="21"/>
              </w:rPr>
              <w:t>1.7</w:t>
            </w:r>
          </w:p>
        </w:tc>
        <w:tc>
          <w:tcPr>
            <w:tcW w:w="1595" w:type="dxa"/>
          </w:tcPr>
          <w:p w:rsidR="00000000" w:rsidRDefault="00000000">
            <w:pPr>
              <w:spacing w:before="60" w:after="20" w:line="288" w:lineRule="auto"/>
              <w:ind w:right="334"/>
              <w:jc w:val="right"/>
              <w:rPr>
                <w:rFonts w:hint="eastAsia"/>
                <w:sz w:val="21"/>
              </w:rPr>
            </w:pPr>
            <w:r>
              <w:rPr>
                <w:rFonts w:hint="eastAsia"/>
                <w:sz w:val="21"/>
              </w:rPr>
              <w:t>1,748</w:t>
            </w:r>
          </w:p>
        </w:tc>
        <w:tc>
          <w:tcPr>
            <w:tcW w:w="1596" w:type="dxa"/>
          </w:tcPr>
          <w:p w:rsidR="00000000" w:rsidRDefault="00000000">
            <w:pPr>
              <w:spacing w:before="60" w:after="20" w:line="288" w:lineRule="auto"/>
              <w:ind w:right="475"/>
              <w:jc w:val="right"/>
              <w:rPr>
                <w:rFonts w:hint="eastAsia"/>
                <w:sz w:val="21"/>
              </w:rPr>
            </w:pPr>
            <w:r>
              <w:rPr>
                <w:rFonts w:hint="eastAsia"/>
                <w:sz w:val="21"/>
              </w:rPr>
              <w:t>53.0</w:t>
            </w:r>
          </w:p>
        </w:tc>
      </w:tr>
      <w:tr w:rsidR="00000000">
        <w:tblPrEx>
          <w:tblCellMar>
            <w:top w:w="0" w:type="dxa"/>
            <w:bottom w:w="0" w:type="dxa"/>
          </w:tblCellMar>
        </w:tblPrEx>
        <w:tc>
          <w:tcPr>
            <w:tcW w:w="2103" w:type="dxa"/>
          </w:tcPr>
          <w:p w:rsidR="00000000" w:rsidRDefault="00000000">
            <w:pPr>
              <w:spacing w:before="60" w:after="20" w:line="288" w:lineRule="auto"/>
              <w:rPr>
                <w:rFonts w:hint="eastAsia"/>
                <w:sz w:val="21"/>
              </w:rPr>
            </w:pPr>
            <w:r>
              <w:rPr>
                <w:rFonts w:hint="eastAsia"/>
                <w:sz w:val="21"/>
              </w:rPr>
              <w:t>中学</w:t>
            </w:r>
          </w:p>
        </w:tc>
        <w:tc>
          <w:tcPr>
            <w:tcW w:w="1260" w:type="dxa"/>
          </w:tcPr>
          <w:p w:rsidR="00000000" w:rsidRDefault="00000000">
            <w:pPr>
              <w:spacing w:before="60" w:after="20" w:line="288" w:lineRule="auto"/>
              <w:ind w:right="334"/>
              <w:jc w:val="right"/>
              <w:rPr>
                <w:rFonts w:hint="eastAsia"/>
                <w:sz w:val="21"/>
              </w:rPr>
            </w:pPr>
            <w:r>
              <w:rPr>
                <w:rFonts w:hint="eastAsia"/>
                <w:sz w:val="21"/>
              </w:rPr>
              <w:t>1,678</w:t>
            </w:r>
          </w:p>
        </w:tc>
        <w:tc>
          <w:tcPr>
            <w:tcW w:w="1421" w:type="dxa"/>
          </w:tcPr>
          <w:p w:rsidR="00000000" w:rsidRDefault="00000000">
            <w:pPr>
              <w:spacing w:before="60" w:after="20" w:line="288" w:lineRule="auto"/>
              <w:ind w:right="489"/>
              <w:jc w:val="right"/>
              <w:rPr>
                <w:rFonts w:hint="eastAsia"/>
                <w:sz w:val="21"/>
              </w:rPr>
            </w:pPr>
            <w:r>
              <w:rPr>
                <w:rFonts w:hint="eastAsia"/>
                <w:sz w:val="21"/>
              </w:rPr>
              <w:t>13.1</w:t>
            </w:r>
          </w:p>
        </w:tc>
        <w:tc>
          <w:tcPr>
            <w:tcW w:w="1595" w:type="dxa"/>
          </w:tcPr>
          <w:p w:rsidR="00000000" w:rsidRDefault="00000000">
            <w:pPr>
              <w:spacing w:before="60" w:after="20" w:line="288" w:lineRule="auto"/>
              <w:ind w:right="334"/>
              <w:jc w:val="right"/>
              <w:rPr>
                <w:rFonts w:hint="eastAsia"/>
                <w:sz w:val="21"/>
              </w:rPr>
            </w:pPr>
            <w:r>
              <w:rPr>
                <w:rFonts w:hint="eastAsia"/>
                <w:sz w:val="21"/>
              </w:rPr>
              <w:t>1.8</w:t>
            </w:r>
          </w:p>
        </w:tc>
        <w:tc>
          <w:tcPr>
            <w:tcW w:w="1595" w:type="dxa"/>
          </w:tcPr>
          <w:p w:rsidR="00000000" w:rsidRDefault="00000000">
            <w:pPr>
              <w:spacing w:before="60" w:after="20" w:line="288" w:lineRule="auto"/>
              <w:ind w:right="334"/>
              <w:jc w:val="right"/>
              <w:rPr>
                <w:rFonts w:hint="eastAsia"/>
                <w:sz w:val="21"/>
              </w:rPr>
            </w:pPr>
            <w:r>
              <w:rPr>
                <w:rFonts w:hint="eastAsia"/>
                <w:sz w:val="21"/>
              </w:rPr>
              <w:t>689</w:t>
            </w:r>
          </w:p>
        </w:tc>
        <w:tc>
          <w:tcPr>
            <w:tcW w:w="1596" w:type="dxa"/>
          </w:tcPr>
          <w:p w:rsidR="00000000" w:rsidRDefault="00000000">
            <w:pPr>
              <w:spacing w:before="60" w:after="20" w:line="288" w:lineRule="auto"/>
              <w:ind w:right="475"/>
              <w:jc w:val="right"/>
              <w:rPr>
                <w:rFonts w:hint="eastAsia"/>
                <w:sz w:val="21"/>
              </w:rPr>
            </w:pPr>
            <w:r>
              <w:rPr>
                <w:rFonts w:hint="eastAsia"/>
                <w:sz w:val="21"/>
              </w:rPr>
              <w:t>41.1</w:t>
            </w:r>
          </w:p>
        </w:tc>
      </w:tr>
      <w:tr w:rsidR="00000000">
        <w:tblPrEx>
          <w:tblCellMar>
            <w:top w:w="0" w:type="dxa"/>
            <w:bottom w:w="0" w:type="dxa"/>
          </w:tblCellMar>
        </w:tblPrEx>
        <w:tc>
          <w:tcPr>
            <w:tcW w:w="2103" w:type="dxa"/>
          </w:tcPr>
          <w:p w:rsidR="00000000" w:rsidRDefault="00000000">
            <w:pPr>
              <w:spacing w:before="60" w:after="20" w:line="288" w:lineRule="auto"/>
              <w:rPr>
                <w:rFonts w:hint="eastAsia"/>
                <w:sz w:val="21"/>
              </w:rPr>
            </w:pPr>
            <w:r>
              <w:rPr>
                <w:rFonts w:hint="eastAsia"/>
                <w:sz w:val="21"/>
              </w:rPr>
              <w:t>高等</w:t>
            </w:r>
          </w:p>
        </w:tc>
        <w:tc>
          <w:tcPr>
            <w:tcW w:w="1260" w:type="dxa"/>
          </w:tcPr>
          <w:p w:rsidR="00000000" w:rsidRDefault="00000000">
            <w:pPr>
              <w:spacing w:before="60" w:after="20" w:line="288" w:lineRule="auto"/>
              <w:ind w:right="334"/>
              <w:jc w:val="right"/>
              <w:rPr>
                <w:rFonts w:hint="eastAsia"/>
                <w:sz w:val="21"/>
              </w:rPr>
            </w:pPr>
            <w:r>
              <w:rPr>
                <w:rFonts w:hint="eastAsia"/>
                <w:sz w:val="21"/>
              </w:rPr>
              <w:t>436</w:t>
            </w:r>
          </w:p>
        </w:tc>
        <w:tc>
          <w:tcPr>
            <w:tcW w:w="1421" w:type="dxa"/>
          </w:tcPr>
          <w:p w:rsidR="00000000" w:rsidRDefault="00000000">
            <w:pPr>
              <w:spacing w:before="60" w:after="20" w:line="288" w:lineRule="auto"/>
              <w:ind w:right="489"/>
              <w:jc w:val="right"/>
              <w:rPr>
                <w:rFonts w:hint="eastAsia"/>
                <w:sz w:val="21"/>
              </w:rPr>
            </w:pPr>
            <w:r>
              <w:rPr>
                <w:rFonts w:hint="eastAsia"/>
                <w:sz w:val="21"/>
              </w:rPr>
              <w:t>13.5</w:t>
            </w:r>
          </w:p>
        </w:tc>
        <w:tc>
          <w:tcPr>
            <w:tcW w:w="1595" w:type="dxa"/>
          </w:tcPr>
          <w:p w:rsidR="00000000" w:rsidRDefault="00000000">
            <w:pPr>
              <w:spacing w:before="60" w:after="20" w:line="288" w:lineRule="auto"/>
              <w:ind w:right="334"/>
              <w:jc w:val="right"/>
              <w:rPr>
                <w:rFonts w:hint="eastAsia"/>
                <w:sz w:val="21"/>
              </w:rPr>
            </w:pPr>
            <w:r>
              <w:rPr>
                <w:rFonts w:hint="eastAsia"/>
                <w:sz w:val="21"/>
              </w:rPr>
              <w:t>1.8</w:t>
            </w:r>
          </w:p>
        </w:tc>
        <w:tc>
          <w:tcPr>
            <w:tcW w:w="1595" w:type="dxa"/>
          </w:tcPr>
          <w:p w:rsidR="00000000" w:rsidRDefault="00000000">
            <w:pPr>
              <w:spacing w:before="60" w:after="20" w:line="288" w:lineRule="auto"/>
              <w:ind w:right="334"/>
              <w:jc w:val="right"/>
              <w:rPr>
                <w:rFonts w:hint="eastAsia"/>
                <w:sz w:val="21"/>
              </w:rPr>
            </w:pPr>
            <w:r>
              <w:rPr>
                <w:rFonts w:hint="eastAsia"/>
                <w:sz w:val="21"/>
              </w:rPr>
              <w:t>167</w:t>
            </w:r>
          </w:p>
        </w:tc>
        <w:tc>
          <w:tcPr>
            <w:tcW w:w="1596" w:type="dxa"/>
          </w:tcPr>
          <w:p w:rsidR="00000000" w:rsidRDefault="00000000">
            <w:pPr>
              <w:spacing w:before="60" w:after="20" w:line="288" w:lineRule="auto"/>
              <w:ind w:right="475"/>
              <w:jc w:val="right"/>
              <w:rPr>
                <w:rFonts w:hint="eastAsia"/>
                <w:sz w:val="21"/>
              </w:rPr>
            </w:pPr>
            <w:r>
              <w:rPr>
                <w:rFonts w:hint="eastAsia"/>
                <w:sz w:val="21"/>
              </w:rPr>
              <w:t>38.3</w:t>
            </w:r>
          </w:p>
        </w:tc>
      </w:tr>
      <w:tr w:rsidR="00000000">
        <w:tblPrEx>
          <w:tblCellMar>
            <w:top w:w="0" w:type="dxa"/>
            <w:bottom w:w="0" w:type="dxa"/>
          </w:tblCellMar>
        </w:tblPrEx>
        <w:tc>
          <w:tcPr>
            <w:tcW w:w="2103" w:type="dxa"/>
          </w:tcPr>
          <w:p w:rsidR="00000000" w:rsidRDefault="00000000">
            <w:pPr>
              <w:spacing w:before="60" w:after="20" w:line="288" w:lineRule="auto"/>
              <w:rPr>
                <w:rFonts w:hint="eastAsia"/>
                <w:sz w:val="21"/>
              </w:rPr>
            </w:pPr>
            <w:r>
              <w:rPr>
                <w:rFonts w:hint="eastAsia"/>
                <w:sz w:val="21"/>
              </w:rPr>
              <w:t>情况不明</w:t>
            </w:r>
          </w:p>
        </w:tc>
        <w:tc>
          <w:tcPr>
            <w:tcW w:w="1260" w:type="dxa"/>
          </w:tcPr>
          <w:p w:rsidR="00000000" w:rsidRDefault="00000000">
            <w:pPr>
              <w:spacing w:before="60" w:after="20" w:line="288" w:lineRule="auto"/>
              <w:ind w:right="334"/>
              <w:jc w:val="right"/>
              <w:rPr>
                <w:rFonts w:hint="eastAsia"/>
                <w:sz w:val="21"/>
              </w:rPr>
            </w:pPr>
            <w:r>
              <w:rPr>
                <w:rFonts w:hint="eastAsia"/>
                <w:sz w:val="21"/>
              </w:rPr>
              <w:t>1,008</w:t>
            </w:r>
          </w:p>
        </w:tc>
        <w:tc>
          <w:tcPr>
            <w:tcW w:w="1421" w:type="dxa"/>
          </w:tcPr>
          <w:p w:rsidR="00000000" w:rsidRDefault="00000000">
            <w:pPr>
              <w:spacing w:before="60" w:after="20" w:line="288" w:lineRule="auto"/>
              <w:ind w:right="489"/>
              <w:jc w:val="right"/>
              <w:rPr>
                <w:rFonts w:hint="eastAsia"/>
                <w:sz w:val="21"/>
              </w:rPr>
            </w:pPr>
            <w:r>
              <w:rPr>
                <w:rFonts w:hint="eastAsia"/>
                <w:sz w:val="21"/>
              </w:rPr>
              <w:t>11.4</w:t>
            </w:r>
          </w:p>
        </w:tc>
        <w:tc>
          <w:tcPr>
            <w:tcW w:w="1595" w:type="dxa"/>
          </w:tcPr>
          <w:p w:rsidR="00000000" w:rsidRDefault="00000000">
            <w:pPr>
              <w:spacing w:before="60" w:after="20" w:line="288" w:lineRule="auto"/>
              <w:ind w:right="334"/>
              <w:jc w:val="right"/>
              <w:rPr>
                <w:rFonts w:hint="eastAsia"/>
                <w:sz w:val="21"/>
              </w:rPr>
            </w:pPr>
            <w:r>
              <w:rPr>
                <w:rFonts w:hint="eastAsia"/>
                <w:sz w:val="21"/>
              </w:rPr>
              <w:t>1.7</w:t>
            </w:r>
          </w:p>
        </w:tc>
        <w:tc>
          <w:tcPr>
            <w:tcW w:w="1595" w:type="dxa"/>
          </w:tcPr>
          <w:p w:rsidR="00000000" w:rsidRDefault="00000000">
            <w:pPr>
              <w:spacing w:before="60" w:after="20" w:line="288" w:lineRule="auto"/>
              <w:ind w:right="334"/>
              <w:jc w:val="right"/>
              <w:rPr>
                <w:rFonts w:hint="eastAsia"/>
                <w:sz w:val="21"/>
              </w:rPr>
            </w:pPr>
            <w:r>
              <w:rPr>
                <w:rFonts w:hint="eastAsia"/>
                <w:sz w:val="21"/>
              </w:rPr>
              <w:t>616</w:t>
            </w:r>
          </w:p>
        </w:tc>
        <w:tc>
          <w:tcPr>
            <w:tcW w:w="1596" w:type="dxa"/>
          </w:tcPr>
          <w:p w:rsidR="00000000" w:rsidRDefault="00000000">
            <w:pPr>
              <w:spacing w:before="60" w:after="20" w:line="288" w:lineRule="auto"/>
              <w:ind w:right="475"/>
              <w:jc w:val="right"/>
              <w:rPr>
                <w:rFonts w:hint="eastAsia"/>
                <w:sz w:val="21"/>
              </w:rPr>
            </w:pPr>
            <w:r>
              <w:rPr>
                <w:rFonts w:hint="eastAsia"/>
                <w:sz w:val="21"/>
              </w:rPr>
              <w:t>61.1</w:t>
            </w:r>
          </w:p>
        </w:tc>
      </w:tr>
      <w:tr w:rsidR="00000000">
        <w:tblPrEx>
          <w:tblCellMar>
            <w:top w:w="0" w:type="dxa"/>
            <w:bottom w:w="0" w:type="dxa"/>
          </w:tblCellMar>
        </w:tblPrEx>
        <w:tc>
          <w:tcPr>
            <w:tcW w:w="2103" w:type="dxa"/>
          </w:tcPr>
          <w:p w:rsidR="00000000" w:rsidRDefault="00000000">
            <w:pPr>
              <w:spacing w:before="60" w:after="20" w:line="288" w:lineRule="auto"/>
              <w:rPr>
                <w:rFonts w:hint="eastAsia"/>
                <w:sz w:val="21"/>
              </w:rPr>
            </w:pPr>
            <w:r>
              <w:rPr>
                <w:rFonts w:hint="eastAsia"/>
                <w:sz w:val="21"/>
              </w:rPr>
              <w:t>不适用</w:t>
            </w:r>
            <w:r>
              <w:rPr>
                <w:sz w:val="21"/>
              </w:rPr>
              <w:t>(6</w:t>
            </w:r>
            <w:r>
              <w:rPr>
                <w:rFonts w:hint="eastAsia"/>
                <w:sz w:val="21"/>
              </w:rPr>
              <w:t>岁以下</w:t>
            </w:r>
            <w:r>
              <w:rPr>
                <w:rFonts w:hint="eastAsia"/>
                <w:sz w:val="21"/>
              </w:rPr>
              <w:t>)</w:t>
            </w:r>
          </w:p>
        </w:tc>
        <w:tc>
          <w:tcPr>
            <w:tcW w:w="1260" w:type="dxa"/>
          </w:tcPr>
          <w:p w:rsidR="00000000" w:rsidRDefault="00000000">
            <w:pPr>
              <w:spacing w:before="60" w:after="20" w:line="288" w:lineRule="auto"/>
              <w:ind w:right="334"/>
              <w:jc w:val="right"/>
              <w:rPr>
                <w:rFonts w:hint="eastAsia"/>
                <w:sz w:val="21"/>
              </w:rPr>
            </w:pPr>
            <w:r>
              <w:rPr>
                <w:rFonts w:hint="eastAsia"/>
                <w:sz w:val="21"/>
              </w:rPr>
              <w:t>728</w:t>
            </w:r>
          </w:p>
        </w:tc>
        <w:tc>
          <w:tcPr>
            <w:tcW w:w="1421" w:type="dxa"/>
          </w:tcPr>
          <w:p w:rsidR="00000000" w:rsidRDefault="00000000">
            <w:pPr>
              <w:spacing w:before="60" w:after="20" w:line="288" w:lineRule="auto"/>
              <w:ind w:right="489"/>
              <w:jc w:val="right"/>
              <w:rPr>
                <w:rFonts w:hint="eastAsia"/>
                <w:sz w:val="21"/>
              </w:rPr>
            </w:pPr>
            <w:r>
              <w:rPr>
                <w:rFonts w:hint="eastAsia"/>
                <w:sz w:val="21"/>
              </w:rPr>
              <w:t>11.4</w:t>
            </w:r>
          </w:p>
        </w:tc>
        <w:tc>
          <w:tcPr>
            <w:tcW w:w="1595" w:type="dxa"/>
          </w:tcPr>
          <w:p w:rsidR="00000000" w:rsidRDefault="00000000">
            <w:pPr>
              <w:spacing w:before="60" w:after="20" w:line="288" w:lineRule="auto"/>
              <w:ind w:right="334"/>
              <w:jc w:val="right"/>
              <w:rPr>
                <w:rFonts w:hint="eastAsia"/>
                <w:sz w:val="21"/>
              </w:rPr>
            </w:pPr>
            <w:r>
              <w:rPr>
                <w:rFonts w:hint="eastAsia"/>
                <w:sz w:val="21"/>
              </w:rPr>
              <w:t>1.6</w:t>
            </w:r>
          </w:p>
        </w:tc>
        <w:tc>
          <w:tcPr>
            <w:tcW w:w="1595" w:type="dxa"/>
          </w:tcPr>
          <w:p w:rsidR="00000000" w:rsidRDefault="00000000">
            <w:pPr>
              <w:spacing w:before="60" w:after="20" w:line="288" w:lineRule="auto"/>
              <w:ind w:right="334"/>
              <w:jc w:val="right"/>
              <w:rPr>
                <w:rFonts w:hint="eastAsia"/>
                <w:sz w:val="21"/>
              </w:rPr>
            </w:pPr>
            <w:r>
              <w:rPr>
                <w:rFonts w:hint="eastAsia"/>
                <w:sz w:val="21"/>
              </w:rPr>
              <w:t>401</w:t>
            </w:r>
          </w:p>
        </w:tc>
        <w:tc>
          <w:tcPr>
            <w:tcW w:w="1596" w:type="dxa"/>
          </w:tcPr>
          <w:p w:rsidR="00000000" w:rsidRDefault="00000000">
            <w:pPr>
              <w:spacing w:before="60" w:after="20" w:line="288" w:lineRule="auto"/>
              <w:ind w:right="475"/>
              <w:jc w:val="right"/>
              <w:rPr>
                <w:rFonts w:hint="eastAsia"/>
                <w:sz w:val="21"/>
              </w:rPr>
            </w:pPr>
            <w:r>
              <w:rPr>
                <w:rFonts w:hint="eastAsia"/>
                <w:sz w:val="21"/>
              </w:rPr>
              <w:t>55.1</w:t>
            </w:r>
          </w:p>
        </w:tc>
      </w:tr>
    </w:tbl>
    <w:p w:rsidR="00000000" w:rsidRDefault="00000000">
      <w:pPr>
        <w:pStyle w:val="EndnoteText"/>
        <w:spacing w:before="240" w:after="320"/>
        <w:rPr>
          <w:rFonts w:hint="eastAsia"/>
        </w:rPr>
      </w:pPr>
      <w:r>
        <w:rPr>
          <w:rFonts w:hint="eastAsia"/>
          <w:u w:val="single"/>
        </w:rPr>
        <w:t>资料来源</w:t>
      </w:r>
      <w:r>
        <w:rPr>
          <w:rFonts w:hint="eastAsia"/>
        </w:rPr>
        <w:t>：公共卫生部。《信息通信技术新闻公报》第</w:t>
      </w:r>
      <w:r>
        <w:rPr>
          <w:rFonts w:hint="eastAsia"/>
        </w:rPr>
        <w:t>3</w:t>
      </w:r>
      <w:r>
        <w:rPr>
          <w:rFonts w:hint="eastAsia"/>
        </w:rPr>
        <w:t>号。</w:t>
      </w:r>
    </w:p>
    <w:p w:rsidR="00000000" w:rsidRDefault="00000000">
      <w:pPr>
        <w:spacing w:after="240"/>
        <w:rPr>
          <w:rFonts w:hint="eastAsia"/>
        </w:rPr>
      </w:pPr>
      <w:r>
        <w:rPr>
          <w:rFonts w:hint="eastAsia"/>
        </w:rPr>
        <w:tab/>
        <w:t xml:space="preserve">300.  </w:t>
      </w:r>
      <w:r>
        <w:rPr>
          <w:rFonts w:hint="eastAsia"/>
        </w:rPr>
        <w:t>按不同职业的统计的平均血红蛋白水平表明，从事不同工作的人的血红蛋白水平与其地位相当，各不同职业的平均水平如下：私营企业雇员每分升</w:t>
      </w:r>
      <w:r>
        <w:rPr>
          <w:rFonts w:hint="eastAsia"/>
        </w:rPr>
        <w:t>13.8+/-1.9</w:t>
      </w:r>
      <w:r>
        <w:rPr>
          <w:rFonts w:hint="eastAsia"/>
        </w:rPr>
        <w:t>克；个体经营的专业人员每分升</w:t>
      </w:r>
      <w:r>
        <w:rPr>
          <w:rFonts w:hint="eastAsia"/>
        </w:rPr>
        <w:t>13.9+/-1.8</w:t>
      </w:r>
      <w:r>
        <w:rPr>
          <w:rFonts w:hint="eastAsia"/>
        </w:rPr>
        <w:t>克；小规模农业生产者每分升</w:t>
      </w:r>
      <w:r>
        <w:rPr>
          <w:rFonts w:hint="eastAsia"/>
        </w:rPr>
        <w:t>13.7+/-1</w:t>
      </w:r>
      <w:r>
        <w:rPr>
          <w:rFonts w:hint="eastAsia"/>
        </w:rPr>
        <w:t>克；家佣每分升</w:t>
      </w:r>
      <w:r>
        <w:rPr>
          <w:rFonts w:hint="eastAsia"/>
        </w:rPr>
        <w:t>12.4</w:t>
      </w:r>
      <w:r>
        <w:rPr>
          <w:rFonts w:hint="eastAsia"/>
        </w:rPr>
        <w:t>克。</w:t>
      </w:r>
    </w:p>
    <w:p w:rsidR="00000000" w:rsidRDefault="00000000">
      <w:pPr>
        <w:pStyle w:val="Heading3"/>
        <w:spacing w:after="160"/>
        <w:rPr>
          <w:rFonts w:eastAsia="KaiTi_GB2312" w:hint="eastAsia"/>
          <w:snapToGrid/>
          <w:spacing w:val="0"/>
          <w:kern w:val="0"/>
          <w:u w:val="none"/>
        </w:rPr>
      </w:pPr>
      <w:r>
        <w:br w:type="page"/>
      </w:r>
      <w:r>
        <w:rPr>
          <w:rFonts w:hint="eastAsia"/>
        </w:rPr>
        <w:t>按职业分列的血红蛋白值与贫血症流行情况</w:t>
      </w:r>
      <w:r>
        <w:br/>
      </w:r>
      <w:r>
        <w:rPr>
          <w:rFonts w:eastAsia="KaiTi_GB2312" w:hint="eastAsia"/>
          <w:snapToGrid/>
          <w:spacing w:val="0"/>
          <w:kern w:val="0"/>
          <w:u w:val="none"/>
        </w:rPr>
        <w:t>厄瓜多尔，</w:t>
      </w:r>
      <w:r>
        <w:rPr>
          <w:rFonts w:eastAsia="KaiTi_GB2312" w:hint="eastAsia"/>
          <w:snapToGrid/>
          <w:spacing w:val="0"/>
          <w:kern w:val="0"/>
          <w:u w:val="none"/>
        </w:rPr>
        <w:t>1997</w:t>
      </w:r>
      <w:r>
        <w:rPr>
          <w:rFonts w:eastAsia="KaiTi_GB2312" w:hint="eastAsia"/>
          <w:snapToGrid/>
          <w:spacing w:val="0"/>
          <w:kern w:val="0"/>
          <w:u w:val="none"/>
        </w:rPr>
        <w:t>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7"/>
        <w:gridCol w:w="1440"/>
        <w:gridCol w:w="1440"/>
        <w:gridCol w:w="1680"/>
        <w:gridCol w:w="1440"/>
        <w:gridCol w:w="1183"/>
      </w:tblGrid>
      <w:tr w:rsidR="00000000">
        <w:tblPrEx>
          <w:tblCellMar>
            <w:top w:w="0" w:type="dxa"/>
            <w:bottom w:w="0" w:type="dxa"/>
          </w:tblCellMar>
        </w:tblPrEx>
        <w:trPr>
          <w:cantSplit/>
        </w:trPr>
        <w:tc>
          <w:tcPr>
            <w:tcW w:w="2387" w:type="dxa"/>
            <w:vMerge w:val="restart"/>
          </w:tcPr>
          <w:p w:rsidR="00000000" w:rsidRDefault="00000000">
            <w:pPr>
              <w:spacing w:before="340" w:after="20" w:line="240" w:lineRule="auto"/>
              <w:jc w:val="center"/>
              <w:rPr>
                <w:rFonts w:hint="eastAsia"/>
                <w:sz w:val="21"/>
              </w:rPr>
            </w:pPr>
            <w:r>
              <w:rPr>
                <w:rFonts w:hint="eastAsia"/>
                <w:sz w:val="21"/>
              </w:rPr>
              <w:t>变</w:t>
            </w:r>
            <w:r>
              <w:rPr>
                <w:rFonts w:hint="eastAsia"/>
                <w:sz w:val="21"/>
              </w:rPr>
              <w:t xml:space="preserve">  </w:t>
            </w:r>
            <w:r>
              <w:rPr>
                <w:rFonts w:hint="eastAsia"/>
                <w:sz w:val="21"/>
              </w:rPr>
              <w:t>量</w:t>
            </w:r>
          </w:p>
        </w:tc>
        <w:tc>
          <w:tcPr>
            <w:tcW w:w="1440" w:type="dxa"/>
            <w:vMerge w:val="restart"/>
          </w:tcPr>
          <w:p w:rsidR="00000000" w:rsidRDefault="00000000">
            <w:pPr>
              <w:spacing w:before="340" w:after="20" w:line="240" w:lineRule="auto"/>
              <w:jc w:val="center"/>
              <w:rPr>
                <w:rFonts w:hint="eastAsia"/>
                <w:sz w:val="21"/>
              </w:rPr>
            </w:pPr>
            <w:r>
              <w:rPr>
                <w:rFonts w:hint="eastAsia"/>
                <w:sz w:val="21"/>
              </w:rPr>
              <w:t>抽样总数</w:t>
            </w:r>
          </w:p>
        </w:tc>
        <w:tc>
          <w:tcPr>
            <w:tcW w:w="3120" w:type="dxa"/>
            <w:gridSpan w:val="2"/>
          </w:tcPr>
          <w:p w:rsidR="00000000" w:rsidRDefault="00000000">
            <w:pPr>
              <w:spacing w:before="40" w:after="20" w:line="288" w:lineRule="auto"/>
              <w:jc w:val="center"/>
              <w:rPr>
                <w:rFonts w:hint="eastAsia"/>
                <w:sz w:val="21"/>
              </w:rPr>
            </w:pPr>
            <w:r>
              <w:rPr>
                <w:rFonts w:hint="eastAsia"/>
                <w:sz w:val="21"/>
              </w:rPr>
              <w:t>血红蛋白</w:t>
            </w:r>
          </w:p>
        </w:tc>
        <w:tc>
          <w:tcPr>
            <w:tcW w:w="2623" w:type="dxa"/>
            <w:gridSpan w:val="2"/>
          </w:tcPr>
          <w:p w:rsidR="00000000" w:rsidRDefault="00000000">
            <w:pPr>
              <w:spacing w:before="60" w:after="20" w:line="240" w:lineRule="auto"/>
              <w:jc w:val="center"/>
              <w:rPr>
                <w:rFonts w:hint="eastAsia"/>
                <w:sz w:val="21"/>
              </w:rPr>
            </w:pPr>
            <w:r>
              <w:rPr>
                <w:rFonts w:hint="eastAsia"/>
                <w:sz w:val="21"/>
              </w:rPr>
              <w:t>贫血症</w:t>
            </w:r>
          </w:p>
        </w:tc>
      </w:tr>
      <w:tr w:rsidR="00000000">
        <w:tblPrEx>
          <w:tblCellMar>
            <w:top w:w="0" w:type="dxa"/>
            <w:bottom w:w="0" w:type="dxa"/>
          </w:tblCellMar>
        </w:tblPrEx>
        <w:trPr>
          <w:cantSplit/>
        </w:trPr>
        <w:tc>
          <w:tcPr>
            <w:tcW w:w="2387" w:type="dxa"/>
            <w:vMerge/>
          </w:tcPr>
          <w:p w:rsidR="00000000" w:rsidRDefault="00000000">
            <w:pPr>
              <w:spacing w:before="60" w:after="20" w:line="240" w:lineRule="auto"/>
              <w:rPr>
                <w:rFonts w:hint="eastAsia"/>
                <w:sz w:val="21"/>
              </w:rPr>
            </w:pPr>
          </w:p>
        </w:tc>
        <w:tc>
          <w:tcPr>
            <w:tcW w:w="1440" w:type="dxa"/>
            <w:vMerge/>
          </w:tcPr>
          <w:p w:rsidR="00000000" w:rsidRDefault="00000000">
            <w:pPr>
              <w:spacing w:before="60" w:after="20" w:line="240" w:lineRule="auto"/>
              <w:rPr>
                <w:rFonts w:hint="eastAsia"/>
                <w:sz w:val="21"/>
              </w:rPr>
            </w:pPr>
          </w:p>
        </w:tc>
        <w:tc>
          <w:tcPr>
            <w:tcW w:w="1440" w:type="dxa"/>
          </w:tcPr>
          <w:p w:rsidR="00000000" w:rsidRDefault="00000000">
            <w:pPr>
              <w:spacing w:before="60" w:after="20" w:line="240" w:lineRule="auto"/>
              <w:jc w:val="center"/>
              <w:rPr>
                <w:rFonts w:hint="eastAsia"/>
                <w:sz w:val="21"/>
              </w:rPr>
            </w:pPr>
            <w:r>
              <w:rPr>
                <w:rFonts w:hint="eastAsia"/>
                <w:sz w:val="21"/>
              </w:rPr>
              <w:t>平</w:t>
            </w:r>
            <w:r>
              <w:rPr>
                <w:rFonts w:hint="eastAsia"/>
                <w:sz w:val="21"/>
              </w:rPr>
              <w:t xml:space="preserve">  </w:t>
            </w:r>
            <w:r>
              <w:rPr>
                <w:rFonts w:hint="eastAsia"/>
                <w:sz w:val="21"/>
              </w:rPr>
              <w:t>均</w:t>
            </w:r>
          </w:p>
        </w:tc>
        <w:tc>
          <w:tcPr>
            <w:tcW w:w="1680" w:type="dxa"/>
          </w:tcPr>
          <w:p w:rsidR="00000000" w:rsidRDefault="00000000">
            <w:pPr>
              <w:spacing w:before="60" w:after="20" w:line="240" w:lineRule="auto"/>
              <w:jc w:val="center"/>
              <w:rPr>
                <w:rFonts w:hint="eastAsia"/>
                <w:sz w:val="21"/>
              </w:rPr>
            </w:pPr>
            <w:r>
              <w:rPr>
                <w:rFonts w:hint="eastAsia"/>
                <w:sz w:val="21"/>
              </w:rPr>
              <w:t>标准误差</w:t>
            </w:r>
          </w:p>
        </w:tc>
        <w:tc>
          <w:tcPr>
            <w:tcW w:w="1440" w:type="dxa"/>
          </w:tcPr>
          <w:p w:rsidR="00000000" w:rsidRDefault="00000000">
            <w:pPr>
              <w:spacing w:before="60" w:after="20" w:line="240" w:lineRule="auto"/>
              <w:jc w:val="center"/>
              <w:rPr>
                <w:rFonts w:hint="eastAsia"/>
                <w:sz w:val="21"/>
              </w:rPr>
            </w:pPr>
            <w:r>
              <w:rPr>
                <w:rFonts w:hint="eastAsia"/>
                <w:sz w:val="21"/>
              </w:rPr>
              <w:t>人</w:t>
            </w:r>
            <w:r>
              <w:rPr>
                <w:rFonts w:hint="eastAsia"/>
                <w:sz w:val="21"/>
              </w:rPr>
              <w:t xml:space="preserve">  </w:t>
            </w:r>
            <w:r>
              <w:rPr>
                <w:rFonts w:hint="eastAsia"/>
                <w:sz w:val="21"/>
              </w:rPr>
              <w:t>数</w:t>
            </w:r>
          </w:p>
        </w:tc>
        <w:tc>
          <w:tcPr>
            <w:tcW w:w="1183" w:type="dxa"/>
          </w:tcPr>
          <w:p w:rsidR="00000000" w:rsidRDefault="00000000">
            <w:pPr>
              <w:spacing w:before="60" w:after="20" w:line="240" w:lineRule="auto"/>
              <w:jc w:val="center"/>
              <w:rPr>
                <w:rFonts w:hint="eastAsia"/>
                <w:sz w:val="21"/>
              </w:rPr>
            </w:pPr>
            <w:r>
              <w:rPr>
                <w:rFonts w:hint="eastAsia"/>
                <w:sz w:val="21"/>
              </w:rPr>
              <w:t>百分比</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职业</w:t>
            </w:r>
          </w:p>
        </w:tc>
        <w:tc>
          <w:tcPr>
            <w:tcW w:w="1440" w:type="dxa"/>
          </w:tcPr>
          <w:p w:rsidR="00000000" w:rsidRDefault="00000000">
            <w:pPr>
              <w:spacing w:before="60" w:after="20" w:line="240" w:lineRule="auto"/>
              <w:ind w:right="372"/>
              <w:jc w:val="right"/>
              <w:rPr>
                <w:sz w:val="21"/>
              </w:rPr>
            </w:pPr>
          </w:p>
        </w:tc>
        <w:tc>
          <w:tcPr>
            <w:tcW w:w="1440" w:type="dxa"/>
          </w:tcPr>
          <w:p w:rsidR="00000000" w:rsidRDefault="00000000">
            <w:pPr>
              <w:spacing w:before="60" w:after="20" w:line="240" w:lineRule="auto"/>
              <w:ind w:right="372"/>
              <w:jc w:val="right"/>
              <w:rPr>
                <w:rFonts w:hint="eastAsia"/>
                <w:sz w:val="21"/>
              </w:rPr>
            </w:pPr>
          </w:p>
        </w:tc>
        <w:tc>
          <w:tcPr>
            <w:tcW w:w="1680" w:type="dxa"/>
          </w:tcPr>
          <w:p w:rsidR="00000000" w:rsidRDefault="00000000">
            <w:pPr>
              <w:spacing w:before="60" w:after="20" w:line="240" w:lineRule="auto"/>
              <w:ind w:right="372"/>
              <w:jc w:val="right"/>
              <w:rPr>
                <w:rFonts w:hint="eastAsia"/>
                <w:sz w:val="21"/>
              </w:rPr>
            </w:pPr>
          </w:p>
        </w:tc>
        <w:tc>
          <w:tcPr>
            <w:tcW w:w="1440" w:type="dxa"/>
          </w:tcPr>
          <w:p w:rsidR="00000000" w:rsidRDefault="00000000">
            <w:pPr>
              <w:spacing w:before="60" w:after="20" w:line="240" w:lineRule="auto"/>
              <w:ind w:right="372"/>
              <w:jc w:val="right"/>
              <w:rPr>
                <w:rFonts w:hint="eastAsia"/>
                <w:sz w:val="21"/>
              </w:rPr>
            </w:pPr>
          </w:p>
        </w:tc>
        <w:tc>
          <w:tcPr>
            <w:tcW w:w="1183" w:type="dxa"/>
          </w:tcPr>
          <w:p w:rsidR="00000000" w:rsidRDefault="00000000">
            <w:pPr>
              <w:spacing w:before="60" w:after="20" w:line="240" w:lineRule="auto"/>
              <w:ind w:right="372"/>
              <w:jc w:val="right"/>
              <w:rPr>
                <w:rFonts w:hint="eastAsia"/>
                <w:sz w:val="21"/>
              </w:rPr>
            </w:pP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体力工人</w:t>
            </w:r>
          </w:p>
        </w:tc>
        <w:tc>
          <w:tcPr>
            <w:tcW w:w="1440" w:type="dxa"/>
          </w:tcPr>
          <w:p w:rsidR="00000000" w:rsidRDefault="00000000">
            <w:pPr>
              <w:spacing w:before="60" w:after="20" w:line="240" w:lineRule="auto"/>
              <w:ind w:right="372"/>
              <w:jc w:val="right"/>
              <w:rPr>
                <w:sz w:val="21"/>
              </w:rPr>
            </w:pPr>
            <w:r>
              <w:rPr>
                <w:sz w:val="21"/>
              </w:rPr>
              <w:t>127</w:t>
            </w:r>
          </w:p>
        </w:tc>
        <w:tc>
          <w:tcPr>
            <w:tcW w:w="1440" w:type="dxa"/>
          </w:tcPr>
          <w:p w:rsidR="00000000" w:rsidRDefault="00000000">
            <w:pPr>
              <w:spacing w:before="60" w:after="20" w:line="240" w:lineRule="auto"/>
              <w:ind w:right="372"/>
              <w:jc w:val="right"/>
              <w:rPr>
                <w:rFonts w:hint="eastAsia"/>
                <w:sz w:val="21"/>
              </w:rPr>
            </w:pPr>
            <w:r>
              <w:rPr>
                <w:rFonts w:hint="eastAsia"/>
                <w:sz w:val="21"/>
              </w:rPr>
              <w:t>13.6</w:t>
            </w:r>
          </w:p>
        </w:tc>
        <w:tc>
          <w:tcPr>
            <w:tcW w:w="1680" w:type="dxa"/>
          </w:tcPr>
          <w:p w:rsidR="00000000" w:rsidRDefault="00000000">
            <w:pPr>
              <w:spacing w:before="60" w:after="20" w:line="240" w:lineRule="auto"/>
              <w:ind w:right="372"/>
              <w:jc w:val="right"/>
              <w:rPr>
                <w:rFonts w:hint="eastAsia"/>
                <w:sz w:val="21"/>
              </w:rPr>
            </w:pPr>
            <w:r>
              <w:rPr>
                <w:rFonts w:hint="eastAsia"/>
                <w:sz w:val="21"/>
              </w:rPr>
              <w:t>1.6</w:t>
            </w:r>
          </w:p>
        </w:tc>
        <w:tc>
          <w:tcPr>
            <w:tcW w:w="1440" w:type="dxa"/>
          </w:tcPr>
          <w:p w:rsidR="00000000" w:rsidRDefault="00000000">
            <w:pPr>
              <w:spacing w:before="60" w:after="20" w:line="240" w:lineRule="auto"/>
              <w:ind w:right="372"/>
              <w:jc w:val="right"/>
              <w:rPr>
                <w:rFonts w:hint="eastAsia"/>
                <w:sz w:val="21"/>
              </w:rPr>
            </w:pPr>
            <w:r>
              <w:rPr>
                <w:rFonts w:hint="eastAsia"/>
                <w:sz w:val="21"/>
              </w:rPr>
              <w:t>49</w:t>
            </w:r>
          </w:p>
        </w:tc>
        <w:tc>
          <w:tcPr>
            <w:tcW w:w="1183" w:type="dxa"/>
          </w:tcPr>
          <w:p w:rsidR="00000000" w:rsidRDefault="00000000">
            <w:pPr>
              <w:spacing w:before="60" w:after="20" w:line="240" w:lineRule="auto"/>
              <w:ind w:right="372"/>
              <w:jc w:val="right"/>
              <w:rPr>
                <w:rFonts w:hint="eastAsia"/>
                <w:sz w:val="21"/>
              </w:rPr>
            </w:pPr>
            <w:r>
              <w:rPr>
                <w:rFonts w:hint="eastAsia"/>
                <w:sz w:val="21"/>
              </w:rPr>
              <w:t>38.6</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手工艺者</w:t>
            </w:r>
          </w:p>
        </w:tc>
        <w:tc>
          <w:tcPr>
            <w:tcW w:w="1440" w:type="dxa"/>
          </w:tcPr>
          <w:p w:rsidR="00000000" w:rsidRDefault="00000000">
            <w:pPr>
              <w:spacing w:before="60" w:after="20" w:line="240" w:lineRule="auto"/>
              <w:ind w:right="372"/>
              <w:jc w:val="right"/>
              <w:rPr>
                <w:sz w:val="21"/>
              </w:rPr>
            </w:pPr>
            <w:r>
              <w:rPr>
                <w:sz w:val="21"/>
              </w:rPr>
              <w:t>235</w:t>
            </w:r>
          </w:p>
        </w:tc>
        <w:tc>
          <w:tcPr>
            <w:tcW w:w="1440" w:type="dxa"/>
          </w:tcPr>
          <w:p w:rsidR="00000000" w:rsidRDefault="00000000">
            <w:pPr>
              <w:spacing w:before="60" w:after="20" w:line="240" w:lineRule="auto"/>
              <w:ind w:right="372"/>
              <w:jc w:val="right"/>
              <w:rPr>
                <w:rFonts w:hint="eastAsia"/>
                <w:sz w:val="21"/>
              </w:rPr>
            </w:pPr>
            <w:r>
              <w:rPr>
                <w:rFonts w:hint="eastAsia"/>
                <w:sz w:val="21"/>
              </w:rPr>
              <w:t>13.6</w:t>
            </w:r>
          </w:p>
        </w:tc>
        <w:tc>
          <w:tcPr>
            <w:tcW w:w="1680" w:type="dxa"/>
          </w:tcPr>
          <w:p w:rsidR="00000000" w:rsidRDefault="00000000">
            <w:pPr>
              <w:spacing w:before="60" w:after="20" w:line="240" w:lineRule="auto"/>
              <w:ind w:right="372"/>
              <w:jc w:val="right"/>
              <w:rPr>
                <w:rFonts w:hint="eastAsia"/>
                <w:sz w:val="21"/>
              </w:rPr>
            </w:pPr>
            <w:r>
              <w:rPr>
                <w:rFonts w:hint="eastAsia"/>
                <w:sz w:val="21"/>
              </w:rPr>
              <w:t>2.0</w:t>
            </w:r>
          </w:p>
        </w:tc>
        <w:tc>
          <w:tcPr>
            <w:tcW w:w="1440" w:type="dxa"/>
          </w:tcPr>
          <w:p w:rsidR="00000000" w:rsidRDefault="00000000">
            <w:pPr>
              <w:spacing w:before="60" w:after="20" w:line="240" w:lineRule="auto"/>
              <w:ind w:right="372"/>
              <w:jc w:val="right"/>
              <w:rPr>
                <w:rFonts w:hint="eastAsia"/>
                <w:sz w:val="21"/>
              </w:rPr>
            </w:pPr>
            <w:r>
              <w:rPr>
                <w:rFonts w:hint="eastAsia"/>
                <w:sz w:val="21"/>
              </w:rPr>
              <w:t>91</w:t>
            </w:r>
          </w:p>
        </w:tc>
        <w:tc>
          <w:tcPr>
            <w:tcW w:w="1183" w:type="dxa"/>
          </w:tcPr>
          <w:p w:rsidR="00000000" w:rsidRDefault="00000000">
            <w:pPr>
              <w:spacing w:before="60" w:after="20" w:line="240" w:lineRule="auto"/>
              <w:ind w:right="372"/>
              <w:jc w:val="right"/>
              <w:rPr>
                <w:rFonts w:hint="eastAsia"/>
                <w:sz w:val="21"/>
              </w:rPr>
            </w:pPr>
            <w:r>
              <w:rPr>
                <w:rFonts w:hint="eastAsia"/>
                <w:sz w:val="21"/>
              </w:rPr>
              <w:t>38.7</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政府雇员</w:t>
            </w:r>
          </w:p>
        </w:tc>
        <w:tc>
          <w:tcPr>
            <w:tcW w:w="1440" w:type="dxa"/>
          </w:tcPr>
          <w:p w:rsidR="00000000" w:rsidRDefault="00000000">
            <w:pPr>
              <w:spacing w:before="60" w:after="20" w:line="240" w:lineRule="auto"/>
              <w:ind w:right="372"/>
              <w:jc w:val="right"/>
              <w:rPr>
                <w:sz w:val="21"/>
              </w:rPr>
            </w:pPr>
            <w:r>
              <w:rPr>
                <w:sz w:val="21"/>
              </w:rPr>
              <w:t>209</w:t>
            </w:r>
          </w:p>
        </w:tc>
        <w:tc>
          <w:tcPr>
            <w:tcW w:w="1440" w:type="dxa"/>
          </w:tcPr>
          <w:p w:rsidR="00000000" w:rsidRDefault="00000000">
            <w:pPr>
              <w:spacing w:before="60" w:after="20" w:line="240" w:lineRule="auto"/>
              <w:ind w:right="372"/>
              <w:jc w:val="right"/>
              <w:rPr>
                <w:rFonts w:hint="eastAsia"/>
                <w:sz w:val="21"/>
              </w:rPr>
            </w:pPr>
            <w:r>
              <w:rPr>
                <w:rFonts w:hint="eastAsia"/>
                <w:sz w:val="21"/>
              </w:rPr>
              <w:t>13.5</w:t>
            </w:r>
          </w:p>
        </w:tc>
        <w:tc>
          <w:tcPr>
            <w:tcW w:w="1680" w:type="dxa"/>
          </w:tcPr>
          <w:p w:rsidR="00000000" w:rsidRDefault="00000000">
            <w:pPr>
              <w:spacing w:before="60" w:after="20" w:line="240" w:lineRule="auto"/>
              <w:ind w:right="372"/>
              <w:jc w:val="right"/>
              <w:rPr>
                <w:rFonts w:hint="eastAsia"/>
                <w:sz w:val="21"/>
              </w:rPr>
            </w:pPr>
            <w:r>
              <w:rPr>
                <w:rFonts w:hint="eastAsia"/>
                <w:sz w:val="21"/>
              </w:rPr>
              <w:t>1.8</w:t>
            </w:r>
          </w:p>
        </w:tc>
        <w:tc>
          <w:tcPr>
            <w:tcW w:w="1440" w:type="dxa"/>
          </w:tcPr>
          <w:p w:rsidR="00000000" w:rsidRDefault="00000000">
            <w:pPr>
              <w:spacing w:before="60" w:after="20" w:line="240" w:lineRule="auto"/>
              <w:ind w:right="372"/>
              <w:jc w:val="right"/>
              <w:rPr>
                <w:rFonts w:hint="eastAsia"/>
                <w:sz w:val="21"/>
              </w:rPr>
            </w:pPr>
            <w:r>
              <w:rPr>
                <w:rFonts w:hint="eastAsia"/>
                <w:sz w:val="21"/>
              </w:rPr>
              <w:t>86</w:t>
            </w:r>
          </w:p>
        </w:tc>
        <w:tc>
          <w:tcPr>
            <w:tcW w:w="1183" w:type="dxa"/>
          </w:tcPr>
          <w:p w:rsidR="00000000" w:rsidRDefault="00000000">
            <w:pPr>
              <w:spacing w:before="60" w:after="20" w:line="240" w:lineRule="auto"/>
              <w:ind w:right="372"/>
              <w:jc w:val="right"/>
              <w:rPr>
                <w:rFonts w:hint="eastAsia"/>
                <w:sz w:val="21"/>
              </w:rPr>
            </w:pPr>
            <w:r>
              <w:rPr>
                <w:rFonts w:hint="eastAsia"/>
                <w:sz w:val="21"/>
              </w:rPr>
              <w:t>41.1</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就业不足人员</w:t>
            </w:r>
          </w:p>
        </w:tc>
        <w:tc>
          <w:tcPr>
            <w:tcW w:w="1440" w:type="dxa"/>
          </w:tcPr>
          <w:p w:rsidR="00000000" w:rsidRDefault="00000000">
            <w:pPr>
              <w:spacing w:before="60" w:after="20" w:line="240" w:lineRule="auto"/>
              <w:ind w:right="372"/>
              <w:jc w:val="right"/>
              <w:rPr>
                <w:sz w:val="21"/>
              </w:rPr>
            </w:pPr>
            <w:r>
              <w:rPr>
                <w:sz w:val="21"/>
              </w:rPr>
              <w:t>100</w:t>
            </w:r>
          </w:p>
        </w:tc>
        <w:tc>
          <w:tcPr>
            <w:tcW w:w="1440" w:type="dxa"/>
          </w:tcPr>
          <w:p w:rsidR="00000000" w:rsidRDefault="00000000">
            <w:pPr>
              <w:spacing w:before="60" w:after="20" w:line="240" w:lineRule="auto"/>
              <w:ind w:right="372"/>
              <w:jc w:val="right"/>
              <w:rPr>
                <w:rFonts w:hint="eastAsia"/>
                <w:sz w:val="21"/>
              </w:rPr>
            </w:pPr>
            <w:r>
              <w:rPr>
                <w:rFonts w:hint="eastAsia"/>
                <w:sz w:val="21"/>
              </w:rPr>
              <w:t>13.7</w:t>
            </w:r>
          </w:p>
        </w:tc>
        <w:tc>
          <w:tcPr>
            <w:tcW w:w="1680" w:type="dxa"/>
          </w:tcPr>
          <w:p w:rsidR="00000000" w:rsidRDefault="00000000">
            <w:pPr>
              <w:spacing w:before="60" w:after="20" w:line="240" w:lineRule="auto"/>
              <w:ind w:right="372"/>
              <w:jc w:val="right"/>
              <w:rPr>
                <w:rFonts w:hint="eastAsia"/>
                <w:sz w:val="21"/>
              </w:rPr>
            </w:pPr>
            <w:r>
              <w:rPr>
                <w:rFonts w:hint="eastAsia"/>
                <w:sz w:val="21"/>
              </w:rPr>
              <w:t>1.7</w:t>
            </w:r>
          </w:p>
        </w:tc>
        <w:tc>
          <w:tcPr>
            <w:tcW w:w="1440" w:type="dxa"/>
          </w:tcPr>
          <w:p w:rsidR="00000000" w:rsidRDefault="00000000">
            <w:pPr>
              <w:spacing w:before="60" w:after="20" w:line="240" w:lineRule="auto"/>
              <w:ind w:right="372"/>
              <w:jc w:val="right"/>
              <w:rPr>
                <w:rFonts w:hint="eastAsia"/>
                <w:sz w:val="21"/>
              </w:rPr>
            </w:pPr>
            <w:r>
              <w:rPr>
                <w:rFonts w:hint="eastAsia"/>
                <w:sz w:val="21"/>
              </w:rPr>
              <w:t>45</w:t>
            </w:r>
          </w:p>
        </w:tc>
        <w:tc>
          <w:tcPr>
            <w:tcW w:w="1183" w:type="dxa"/>
          </w:tcPr>
          <w:p w:rsidR="00000000" w:rsidRDefault="00000000">
            <w:pPr>
              <w:spacing w:before="60" w:after="20" w:line="240" w:lineRule="auto"/>
              <w:ind w:right="372"/>
              <w:jc w:val="right"/>
              <w:rPr>
                <w:rFonts w:hint="eastAsia"/>
                <w:sz w:val="21"/>
              </w:rPr>
            </w:pPr>
            <w:r>
              <w:rPr>
                <w:rFonts w:hint="eastAsia"/>
                <w:sz w:val="21"/>
              </w:rPr>
              <w:t>45.0</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私营企业雇员</w:t>
            </w:r>
          </w:p>
        </w:tc>
        <w:tc>
          <w:tcPr>
            <w:tcW w:w="1440" w:type="dxa"/>
          </w:tcPr>
          <w:p w:rsidR="00000000" w:rsidRDefault="00000000">
            <w:pPr>
              <w:spacing w:before="60" w:after="20" w:line="240" w:lineRule="auto"/>
              <w:ind w:right="372"/>
              <w:jc w:val="right"/>
              <w:rPr>
                <w:sz w:val="21"/>
              </w:rPr>
            </w:pPr>
            <w:r>
              <w:rPr>
                <w:sz w:val="21"/>
              </w:rPr>
              <w:t>200</w:t>
            </w:r>
          </w:p>
        </w:tc>
        <w:tc>
          <w:tcPr>
            <w:tcW w:w="1440" w:type="dxa"/>
          </w:tcPr>
          <w:p w:rsidR="00000000" w:rsidRDefault="00000000">
            <w:pPr>
              <w:spacing w:before="60" w:after="20" w:line="240" w:lineRule="auto"/>
              <w:ind w:right="372"/>
              <w:jc w:val="right"/>
              <w:rPr>
                <w:rFonts w:hint="eastAsia"/>
                <w:sz w:val="21"/>
              </w:rPr>
            </w:pPr>
            <w:r>
              <w:rPr>
                <w:rFonts w:hint="eastAsia"/>
                <w:sz w:val="21"/>
              </w:rPr>
              <w:t>13.8</w:t>
            </w:r>
          </w:p>
        </w:tc>
        <w:tc>
          <w:tcPr>
            <w:tcW w:w="1680" w:type="dxa"/>
          </w:tcPr>
          <w:p w:rsidR="00000000" w:rsidRDefault="00000000">
            <w:pPr>
              <w:spacing w:before="60" w:after="20" w:line="240" w:lineRule="auto"/>
              <w:ind w:right="372"/>
              <w:jc w:val="right"/>
              <w:rPr>
                <w:rFonts w:hint="eastAsia"/>
                <w:sz w:val="21"/>
              </w:rPr>
            </w:pPr>
            <w:r>
              <w:rPr>
                <w:rFonts w:hint="eastAsia"/>
                <w:sz w:val="21"/>
              </w:rPr>
              <w:t>1.9</w:t>
            </w:r>
          </w:p>
        </w:tc>
        <w:tc>
          <w:tcPr>
            <w:tcW w:w="1440" w:type="dxa"/>
          </w:tcPr>
          <w:p w:rsidR="00000000" w:rsidRDefault="00000000">
            <w:pPr>
              <w:spacing w:before="60" w:after="20" w:line="240" w:lineRule="auto"/>
              <w:ind w:right="372"/>
              <w:jc w:val="right"/>
              <w:rPr>
                <w:rFonts w:hint="eastAsia"/>
                <w:sz w:val="21"/>
              </w:rPr>
            </w:pPr>
            <w:r>
              <w:rPr>
                <w:rFonts w:hint="eastAsia"/>
                <w:sz w:val="21"/>
              </w:rPr>
              <w:t>67</w:t>
            </w:r>
          </w:p>
        </w:tc>
        <w:tc>
          <w:tcPr>
            <w:tcW w:w="1183" w:type="dxa"/>
          </w:tcPr>
          <w:p w:rsidR="00000000" w:rsidRDefault="00000000">
            <w:pPr>
              <w:spacing w:before="60" w:after="20" w:line="240" w:lineRule="auto"/>
              <w:ind w:right="372"/>
              <w:jc w:val="right"/>
              <w:rPr>
                <w:rFonts w:hint="eastAsia"/>
                <w:sz w:val="21"/>
              </w:rPr>
            </w:pPr>
            <w:r>
              <w:rPr>
                <w:rFonts w:hint="eastAsia"/>
                <w:sz w:val="21"/>
              </w:rPr>
              <w:t>33.5</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私营企业管理人员</w:t>
            </w:r>
          </w:p>
        </w:tc>
        <w:tc>
          <w:tcPr>
            <w:tcW w:w="1440" w:type="dxa"/>
          </w:tcPr>
          <w:p w:rsidR="00000000" w:rsidRDefault="00000000">
            <w:pPr>
              <w:spacing w:before="60" w:after="20" w:line="240" w:lineRule="auto"/>
              <w:ind w:right="372"/>
              <w:jc w:val="right"/>
              <w:rPr>
                <w:sz w:val="21"/>
              </w:rPr>
            </w:pPr>
            <w:r>
              <w:rPr>
                <w:sz w:val="21"/>
              </w:rPr>
              <w:t>40</w:t>
            </w:r>
          </w:p>
        </w:tc>
        <w:tc>
          <w:tcPr>
            <w:tcW w:w="1440" w:type="dxa"/>
          </w:tcPr>
          <w:p w:rsidR="00000000" w:rsidRDefault="00000000">
            <w:pPr>
              <w:spacing w:before="60" w:after="20" w:line="240" w:lineRule="auto"/>
              <w:ind w:right="372"/>
              <w:jc w:val="right"/>
              <w:rPr>
                <w:rFonts w:hint="eastAsia"/>
                <w:sz w:val="21"/>
              </w:rPr>
            </w:pPr>
            <w:r>
              <w:rPr>
                <w:rFonts w:hint="eastAsia"/>
                <w:sz w:val="21"/>
              </w:rPr>
              <w:t>13.6</w:t>
            </w:r>
          </w:p>
        </w:tc>
        <w:tc>
          <w:tcPr>
            <w:tcW w:w="1680" w:type="dxa"/>
          </w:tcPr>
          <w:p w:rsidR="00000000" w:rsidRDefault="00000000">
            <w:pPr>
              <w:spacing w:before="60" w:after="20" w:line="240" w:lineRule="auto"/>
              <w:ind w:right="372"/>
              <w:jc w:val="right"/>
              <w:rPr>
                <w:rFonts w:hint="eastAsia"/>
                <w:sz w:val="21"/>
              </w:rPr>
            </w:pPr>
            <w:r>
              <w:rPr>
                <w:rFonts w:hint="eastAsia"/>
                <w:sz w:val="21"/>
              </w:rPr>
              <w:t>2.0</w:t>
            </w:r>
          </w:p>
        </w:tc>
        <w:tc>
          <w:tcPr>
            <w:tcW w:w="1440" w:type="dxa"/>
          </w:tcPr>
          <w:p w:rsidR="00000000" w:rsidRDefault="00000000">
            <w:pPr>
              <w:spacing w:before="60" w:after="20" w:line="240" w:lineRule="auto"/>
              <w:ind w:right="372"/>
              <w:jc w:val="right"/>
              <w:rPr>
                <w:rFonts w:hint="eastAsia"/>
                <w:sz w:val="21"/>
              </w:rPr>
            </w:pPr>
            <w:r>
              <w:rPr>
                <w:rFonts w:hint="eastAsia"/>
                <w:sz w:val="21"/>
              </w:rPr>
              <w:t>22</w:t>
            </w:r>
          </w:p>
        </w:tc>
        <w:tc>
          <w:tcPr>
            <w:tcW w:w="1183" w:type="dxa"/>
          </w:tcPr>
          <w:p w:rsidR="00000000" w:rsidRDefault="00000000">
            <w:pPr>
              <w:spacing w:before="60" w:after="20" w:line="240" w:lineRule="auto"/>
              <w:ind w:right="372"/>
              <w:jc w:val="right"/>
              <w:rPr>
                <w:rFonts w:hint="eastAsia"/>
                <w:sz w:val="21"/>
              </w:rPr>
            </w:pPr>
            <w:r>
              <w:rPr>
                <w:rFonts w:hint="eastAsia"/>
                <w:sz w:val="21"/>
              </w:rPr>
              <w:t>55.0</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小规模商人</w:t>
            </w:r>
          </w:p>
        </w:tc>
        <w:tc>
          <w:tcPr>
            <w:tcW w:w="1440" w:type="dxa"/>
          </w:tcPr>
          <w:p w:rsidR="00000000" w:rsidRDefault="00000000">
            <w:pPr>
              <w:spacing w:before="60" w:after="20" w:line="240" w:lineRule="auto"/>
              <w:ind w:right="372"/>
              <w:jc w:val="right"/>
              <w:rPr>
                <w:sz w:val="21"/>
              </w:rPr>
            </w:pPr>
            <w:r>
              <w:rPr>
                <w:sz w:val="21"/>
              </w:rPr>
              <w:t>303</w:t>
            </w:r>
          </w:p>
        </w:tc>
        <w:tc>
          <w:tcPr>
            <w:tcW w:w="1440" w:type="dxa"/>
          </w:tcPr>
          <w:p w:rsidR="00000000" w:rsidRDefault="00000000">
            <w:pPr>
              <w:spacing w:before="60" w:after="20" w:line="240" w:lineRule="auto"/>
              <w:ind w:right="372"/>
              <w:jc w:val="right"/>
              <w:rPr>
                <w:rFonts w:hint="eastAsia"/>
                <w:sz w:val="21"/>
              </w:rPr>
            </w:pPr>
            <w:r>
              <w:rPr>
                <w:rFonts w:hint="eastAsia"/>
                <w:sz w:val="21"/>
              </w:rPr>
              <w:t>13.1</w:t>
            </w:r>
          </w:p>
        </w:tc>
        <w:tc>
          <w:tcPr>
            <w:tcW w:w="1680" w:type="dxa"/>
          </w:tcPr>
          <w:p w:rsidR="00000000" w:rsidRDefault="00000000">
            <w:pPr>
              <w:spacing w:before="60" w:after="20" w:line="240" w:lineRule="auto"/>
              <w:ind w:right="372"/>
              <w:jc w:val="right"/>
              <w:rPr>
                <w:rFonts w:hint="eastAsia"/>
                <w:sz w:val="21"/>
              </w:rPr>
            </w:pPr>
            <w:r>
              <w:rPr>
                <w:rFonts w:hint="eastAsia"/>
                <w:sz w:val="21"/>
              </w:rPr>
              <w:t>2.0</w:t>
            </w:r>
          </w:p>
        </w:tc>
        <w:tc>
          <w:tcPr>
            <w:tcW w:w="1440" w:type="dxa"/>
          </w:tcPr>
          <w:p w:rsidR="00000000" w:rsidRDefault="00000000">
            <w:pPr>
              <w:spacing w:before="60" w:after="20" w:line="240" w:lineRule="auto"/>
              <w:ind w:right="372"/>
              <w:jc w:val="right"/>
              <w:rPr>
                <w:rFonts w:hint="eastAsia"/>
                <w:sz w:val="21"/>
              </w:rPr>
            </w:pPr>
            <w:r>
              <w:rPr>
                <w:rFonts w:hint="eastAsia"/>
                <w:sz w:val="21"/>
              </w:rPr>
              <w:t>143</w:t>
            </w:r>
          </w:p>
        </w:tc>
        <w:tc>
          <w:tcPr>
            <w:tcW w:w="1183" w:type="dxa"/>
          </w:tcPr>
          <w:p w:rsidR="00000000" w:rsidRDefault="00000000">
            <w:pPr>
              <w:spacing w:before="60" w:after="20" w:line="240" w:lineRule="auto"/>
              <w:ind w:right="372"/>
              <w:jc w:val="right"/>
              <w:rPr>
                <w:rFonts w:hint="eastAsia"/>
                <w:sz w:val="21"/>
              </w:rPr>
            </w:pPr>
            <w:r>
              <w:rPr>
                <w:rFonts w:hint="eastAsia"/>
                <w:sz w:val="21"/>
              </w:rPr>
              <w:t>47.2</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独立专业人员</w:t>
            </w:r>
          </w:p>
        </w:tc>
        <w:tc>
          <w:tcPr>
            <w:tcW w:w="1440" w:type="dxa"/>
          </w:tcPr>
          <w:p w:rsidR="00000000" w:rsidRDefault="00000000">
            <w:pPr>
              <w:spacing w:before="60" w:after="20" w:line="240" w:lineRule="auto"/>
              <w:ind w:right="372"/>
              <w:jc w:val="right"/>
              <w:rPr>
                <w:rFonts w:hint="eastAsia"/>
                <w:sz w:val="21"/>
              </w:rPr>
            </w:pPr>
            <w:r>
              <w:rPr>
                <w:rFonts w:hint="eastAsia"/>
                <w:sz w:val="21"/>
              </w:rPr>
              <w:t>181</w:t>
            </w:r>
          </w:p>
        </w:tc>
        <w:tc>
          <w:tcPr>
            <w:tcW w:w="1440" w:type="dxa"/>
          </w:tcPr>
          <w:p w:rsidR="00000000" w:rsidRDefault="00000000">
            <w:pPr>
              <w:spacing w:before="60" w:after="20" w:line="240" w:lineRule="auto"/>
              <w:ind w:right="372"/>
              <w:jc w:val="right"/>
              <w:rPr>
                <w:rFonts w:hint="eastAsia"/>
                <w:sz w:val="21"/>
              </w:rPr>
            </w:pPr>
            <w:r>
              <w:rPr>
                <w:rFonts w:hint="eastAsia"/>
                <w:sz w:val="21"/>
              </w:rPr>
              <w:t>13.9</w:t>
            </w:r>
          </w:p>
        </w:tc>
        <w:tc>
          <w:tcPr>
            <w:tcW w:w="1680" w:type="dxa"/>
          </w:tcPr>
          <w:p w:rsidR="00000000" w:rsidRDefault="00000000">
            <w:pPr>
              <w:spacing w:before="60" w:after="20" w:line="240" w:lineRule="auto"/>
              <w:ind w:right="372"/>
              <w:jc w:val="right"/>
              <w:rPr>
                <w:rFonts w:hint="eastAsia"/>
                <w:sz w:val="21"/>
              </w:rPr>
            </w:pPr>
            <w:r>
              <w:rPr>
                <w:rFonts w:hint="eastAsia"/>
                <w:sz w:val="21"/>
              </w:rPr>
              <w:t>1.8</w:t>
            </w:r>
          </w:p>
        </w:tc>
        <w:tc>
          <w:tcPr>
            <w:tcW w:w="1440" w:type="dxa"/>
          </w:tcPr>
          <w:p w:rsidR="00000000" w:rsidRDefault="00000000">
            <w:pPr>
              <w:spacing w:before="60" w:after="20" w:line="240" w:lineRule="auto"/>
              <w:ind w:right="372"/>
              <w:jc w:val="right"/>
              <w:rPr>
                <w:rFonts w:hint="eastAsia"/>
                <w:sz w:val="21"/>
              </w:rPr>
            </w:pPr>
            <w:r>
              <w:rPr>
                <w:rFonts w:hint="eastAsia"/>
                <w:sz w:val="21"/>
              </w:rPr>
              <w:t>59</w:t>
            </w:r>
          </w:p>
        </w:tc>
        <w:tc>
          <w:tcPr>
            <w:tcW w:w="1183" w:type="dxa"/>
          </w:tcPr>
          <w:p w:rsidR="00000000" w:rsidRDefault="00000000">
            <w:pPr>
              <w:spacing w:before="60" w:after="20" w:line="240" w:lineRule="auto"/>
              <w:ind w:right="372"/>
              <w:jc w:val="right"/>
              <w:rPr>
                <w:rFonts w:hint="eastAsia"/>
                <w:sz w:val="21"/>
              </w:rPr>
            </w:pPr>
            <w:r>
              <w:rPr>
                <w:rFonts w:hint="eastAsia"/>
                <w:sz w:val="21"/>
              </w:rPr>
              <w:t>32.6</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小规模农业生产者</w:t>
            </w:r>
          </w:p>
        </w:tc>
        <w:tc>
          <w:tcPr>
            <w:tcW w:w="1440" w:type="dxa"/>
          </w:tcPr>
          <w:p w:rsidR="00000000" w:rsidRDefault="00000000">
            <w:pPr>
              <w:spacing w:before="60" w:after="20" w:line="240" w:lineRule="auto"/>
              <w:ind w:right="372"/>
              <w:jc w:val="right"/>
              <w:rPr>
                <w:rFonts w:hint="eastAsia"/>
                <w:sz w:val="21"/>
              </w:rPr>
            </w:pPr>
            <w:r>
              <w:rPr>
                <w:rFonts w:hint="eastAsia"/>
                <w:sz w:val="21"/>
              </w:rPr>
              <w:t>183</w:t>
            </w:r>
          </w:p>
        </w:tc>
        <w:tc>
          <w:tcPr>
            <w:tcW w:w="1440" w:type="dxa"/>
          </w:tcPr>
          <w:p w:rsidR="00000000" w:rsidRDefault="00000000">
            <w:pPr>
              <w:spacing w:before="60" w:after="20" w:line="240" w:lineRule="auto"/>
              <w:ind w:right="372"/>
              <w:jc w:val="right"/>
              <w:rPr>
                <w:rFonts w:hint="eastAsia"/>
                <w:sz w:val="21"/>
              </w:rPr>
            </w:pPr>
            <w:r>
              <w:rPr>
                <w:rFonts w:hint="eastAsia"/>
                <w:sz w:val="21"/>
              </w:rPr>
              <w:t>13.7</w:t>
            </w:r>
          </w:p>
        </w:tc>
        <w:tc>
          <w:tcPr>
            <w:tcW w:w="1680" w:type="dxa"/>
          </w:tcPr>
          <w:p w:rsidR="00000000" w:rsidRDefault="00000000">
            <w:pPr>
              <w:spacing w:before="60" w:after="20" w:line="240" w:lineRule="auto"/>
              <w:ind w:right="372"/>
              <w:jc w:val="right"/>
              <w:rPr>
                <w:rFonts w:hint="eastAsia"/>
                <w:sz w:val="21"/>
              </w:rPr>
            </w:pPr>
            <w:r>
              <w:rPr>
                <w:rFonts w:hint="eastAsia"/>
                <w:sz w:val="21"/>
              </w:rPr>
              <w:t>1.9</w:t>
            </w:r>
          </w:p>
        </w:tc>
        <w:tc>
          <w:tcPr>
            <w:tcW w:w="1440" w:type="dxa"/>
          </w:tcPr>
          <w:p w:rsidR="00000000" w:rsidRDefault="00000000">
            <w:pPr>
              <w:spacing w:before="60" w:after="20" w:line="240" w:lineRule="auto"/>
              <w:ind w:right="372"/>
              <w:jc w:val="right"/>
              <w:rPr>
                <w:rFonts w:hint="eastAsia"/>
                <w:sz w:val="21"/>
              </w:rPr>
            </w:pPr>
            <w:r>
              <w:rPr>
                <w:rFonts w:hint="eastAsia"/>
                <w:sz w:val="21"/>
              </w:rPr>
              <w:t>66</w:t>
            </w:r>
          </w:p>
        </w:tc>
        <w:tc>
          <w:tcPr>
            <w:tcW w:w="1183" w:type="dxa"/>
          </w:tcPr>
          <w:p w:rsidR="00000000" w:rsidRDefault="00000000">
            <w:pPr>
              <w:spacing w:before="60" w:after="20" w:line="240" w:lineRule="auto"/>
              <w:ind w:right="372"/>
              <w:jc w:val="right"/>
              <w:rPr>
                <w:rFonts w:hint="eastAsia"/>
                <w:sz w:val="21"/>
              </w:rPr>
            </w:pPr>
            <w:r>
              <w:rPr>
                <w:rFonts w:hint="eastAsia"/>
                <w:sz w:val="21"/>
              </w:rPr>
              <w:t>36.1</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农业工人，穷人</w:t>
            </w:r>
          </w:p>
        </w:tc>
        <w:tc>
          <w:tcPr>
            <w:tcW w:w="1440" w:type="dxa"/>
          </w:tcPr>
          <w:p w:rsidR="00000000" w:rsidRDefault="00000000">
            <w:pPr>
              <w:spacing w:before="60" w:after="20" w:line="240" w:lineRule="auto"/>
              <w:ind w:right="372"/>
              <w:jc w:val="right"/>
              <w:rPr>
                <w:sz w:val="21"/>
                <w:lang w:val="fr-CH"/>
              </w:rPr>
            </w:pPr>
            <w:r>
              <w:rPr>
                <w:sz w:val="21"/>
              </w:rPr>
              <w:t>293</w:t>
            </w:r>
          </w:p>
        </w:tc>
        <w:tc>
          <w:tcPr>
            <w:tcW w:w="1440" w:type="dxa"/>
          </w:tcPr>
          <w:p w:rsidR="00000000" w:rsidRDefault="00000000">
            <w:pPr>
              <w:spacing w:before="60" w:after="20" w:line="240" w:lineRule="auto"/>
              <w:ind w:right="372"/>
              <w:jc w:val="right"/>
              <w:rPr>
                <w:rFonts w:hint="eastAsia"/>
                <w:sz w:val="21"/>
              </w:rPr>
            </w:pPr>
            <w:r>
              <w:rPr>
                <w:rFonts w:hint="eastAsia"/>
                <w:sz w:val="21"/>
              </w:rPr>
              <w:t>13.2</w:t>
            </w:r>
          </w:p>
        </w:tc>
        <w:tc>
          <w:tcPr>
            <w:tcW w:w="1680" w:type="dxa"/>
          </w:tcPr>
          <w:p w:rsidR="00000000" w:rsidRDefault="00000000">
            <w:pPr>
              <w:spacing w:before="60" w:after="20" w:line="240" w:lineRule="auto"/>
              <w:ind w:right="372"/>
              <w:jc w:val="right"/>
              <w:rPr>
                <w:rFonts w:hint="eastAsia"/>
                <w:sz w:val="21"/>
              </w:rPr>
            </w:pPr>
            <w:r>
              <w:rPr>
                <w:rFonts w:hint="eastAsia"/>
                <w:sz w:val="21"/>
              </w:rPr>
              <w:t>1.7</w:t>
            </w:r>
          </w:p>
        </w:tc>
        <w:tc>
          <w:tcPr>
            <w:tcW w:w="1440" w:type="dxa"/>
          </w:tcPr>
          <w:p w:rsidR="00000000" w:rsidRDefault="00000000">
            <w:pPr>
              <w:spacing w:before="60" w:after="20" w:line="240" w:lineRule="auto"/>
              <w:ind w:right="372"/>
              <w:jc w:val="right"/>
              <w:rPr>
                <w:rFonts w:hint="eastAsia"/>
                <w:sz w:val="21"/>
              </w:rPr>
            </w:pPr>
            <w:r>
              <w:rPr>
                <w:rFonts w:hint="eastAsia"/>
                <w:sz w:val="21"/>
              </w:rPr>
              <w:t>160</w:t>
            </w:r>
          </w:p>
        </w:tc>
        <w:tc>
          <w:tcPr>
            <w:tcW w:w="1183" w:type="dxa"/>
          </w:tcPr>
          <w:p w:rsidR="00000000" w:rsidRDefault="00000000">
            <w:pPr>
              <w:spacing w:before="60" w:after="20" w:line="240" w:lineRule="auto"/>
              <w:ind w:right="372"/>
              <w:jc w:val="right"/>
              <w:rPr>
                <w:rFonts w:hint="eastAsia"/>
                <w:sz w:val="21"/>
              </w:rPr>
            </w:pPr>
            <w:r>
              <w:rPr>
                <w:rFonts w:hint="eastAsia"/>
                <w:sz w:val="21"/>
              </w:rPr>
              <w:t>54.6</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其他</w:t>
            </w:r>
          </w:p>
        </w:tc>
        <w:tc>
          <w:tcPr>
            <w:tcW w:w="1440" w:type="dxa"/>
          </w:tcPr>
          <w:p w:rsidR="00000000" w:rsidRDefault="00000000">
            <w:pPr>
              <w:spacing w:before="60" w:after="20" w:line="240" w:lineRule="auto"/>
              <w:ind w:right="372"/>
              <w:jc w:val="right"/>
              <w:rPr>
                <w:rFonts w:hint="eastAsia"/>
                <w:sz w:val="21"/>
              </w:rPr>
            </w:pPr>
            <w:r>
              <w:rPr>
                <w:rFonts w:hint="eastAsia"/>
                <w:sz w:val="21"/>
              </w:rPr>
              <w:t>838</w:t>
            </w:r>
          </w:p>
        </w:tc>
        <w:tc>
          <w:tcPr>
            <w:tcW w:w="1440" w:type="dxa"/>
          </w:tcPr>
          <w:p w:rsidR="00000000" w:rsidRDefault="00000000">
            <w:pPr>
              <w:spacing w:before="60" w:after="20" w:line="240" w:lineRule="auto"/>
              <w:ind w:right="372"/>
              <w:jc w:val="right"/>
              <w:rPr>
                <w:sz w:val="21"/>
              </w:rPr>
            </w:pPr>
            <w:r>
              <w:rPr>
                <w:rFonts w:hint="eastAsia"/>
                <w:sz w:val="21"/>
              </w:rPr>
              <w:t>13.0</w:t>
            </w:r>
          </w:p>
        </w:tc>
        <w:tc>
          <w:tcPr>
            <w:tcW w:w="1680" w:type="dxa"/>
          </w:tcPr>
          <w:p w:rsidR="00000000" w:rsidRDefault="00000000">
            <w:pPr>
              <w:spacing w:before="60" w:after="20" w:line="240" w:lineRule="auto"/>
              <w:ind w:right="372"/>
              <w:jc w:val="right"/>
              <w:rPr>
                <w:rFonts w:hint="eastAsia"/>
                <w:sz w:val="21"/>
              </w:rPr>
            </w:pPr>
            <w:r>
              <w:rPr>
                <w:rFonts w:hint="eastAsia"/>
                <w:sz w:val="21"/>
              </w:rPr>
              <w:t>1.8</w:t>
            </w:r>
          </w:p>
        </w:tc>
        <w:tc>
          <w:tcPr>
            <w:tcW w:w="1440" w:type="dxa"/>
          </w:tcPr>
          <w:p w:rsidR="00000000" w:rsidRDefault="00000000">
            <w:pPr>
              <w:spacing w:before="60" w:after="20" w:line="240" w:lineRule="auto"/>
              <w:ind w:right="372"/>
              <w:jc w:val="right"/>
              <w:rPr>
                <w:rFonts w:hint="eastAsia"/>
                <w:sz w:val="21"/>
              </w:rPr>
            </w:pPr>
            <w:r>
              <w:rPr>
                <w:rFonts w:hint="eastAsia"/>
                <w:sz w:val="21"/>
              </w:rPr>
              <w:t>351</w:t>
            </w:r>
          </w:p>
        </w:tc>
        <w:tc>
          <w:tcPr>
            <w:tcW w:w="1183" w:type="dxa"/>
          </w:tcPr>
          <w:p w:rsidR="00000000" w:rsidRDefault="00000000">
            <w:pPr>
              <w:spacing w:before="60" w:after="20" w:line="240" w:lineRule="auto"/>
              <w:ind w:right="372"/>
              <w:jc w:val="right"/>
              <w:rPr>
                <w:rFonts w:hint="eastAsia"/>
                <w:sz w:val="21"/>
              </w:rPr>
            </w:pPr>
            <w:r>
              <w:rPr>
                <w:rFonts w:hint="eastAsia"/>
                <w:sz w:val="21"/>
              </w:rPr>
              <w:t>41.9</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家务劳动者</w:t>
            </w:r>
          </w:p>
        </w:tc>
        <w:tc>
          <w:tcPr>
            <w:tcW w:w="1440" w:type="dxa"/>
          </w:tcPr>
          <w:p w:rsidR="00000000" w:rsidRDefault="00000000">
            <w:pPr>
              <w:spacing w:before="60" w:after="20" w:line="240" w:lineRule="auto"/>
              <w:ind w:right="372"/>
              <w:jc w:val="right"/>
              <w:rPr>
                <w:rFonts w:hint="eastAsia"/>
                <w:sz w:val="21"/>
              </w:rPr>
            </w:pPr>
            <w:r>
              <w:rPr>
                <w:rFonts w:hint="eastAsia"/>
                <w:sz w:val="21"/>
              </w:rPr>
              <w:t>1,658</w:t>
            </w:r>
          </w:p>
        </w:tc>
        <w:tc>
          <w:tcPr>
            <w:tcW w:w="1440" w:type="dxa"/>
          </w:tcPr>
          <w:p w:rsidR="00000000" w:rsidRDefault="00000000">
            <w:pPr>
              <w:spacing w:before="60" w:after="20" w:line="240" w:lineRule="auto"/>
              <w:ind w:right="372"/>
              <w:jc w:val="right"/>
              <w:rPr>
                <w:sz w:val="21"/>
              </w:rPr>
            </w:pPr>
            <w:r>
              <w:rPr>
                <w:sz w:val="21"/>
              </w:rPr>
              <w:t>12.4</w:t>
            </w:r>
          </w:p>
        </w:tc>
        <w:tc>
          <w:tcPr>
            <w:tcW w:w="1680" w:type="dxa"/>
          </w:tcPr>
          <w:p w:rsidR="00000000" w:rsidRDefault="00000000">
            <w:pPr>
              <w:spacing w:before="60" w:after="20" w:line="240" w:lineRule="auto"/>
              <w:ind w:right="372"/>
              <w:jc w:val="right"/>
              <w:rPr>
                <w:rFonts w:hint="eastAsia"/>
                <w:sz w:val="21"/>
              </w:rPr>
            </w:pPr>
            <w:r>
              <w:rPr>
                <w:rFonts w:hint="eastAsia"/>
                <w:sz w:val="21"/>
              </w:rPr>
              <w:t>1.7</w:t>
            </w:r>
          </w:p>
        </w:tc>
        <w:tc>
          <w:tcPr>
            <w:tcW w:w="1440" w:type="dxa"/>
          </w:tcPr>
          <w:p w:rsidR="00000000" w:rsidRDefault="00000000">
            <w:pPr>
              <w:spacing w:before="60" w:after="20" w:line="240" w:lineRule="auto"/>
              <w:ind w:right="372"/>
              <w:jc w:val="right"/>
              <w:rPr>
                <w:rFonts w:hint="eastAsia"/>
                <w:sz w:val="21"/>
              </w:rPr>
            </w:pPr>
            <w:r>
              <w:rPr>
                <w:rFonts w:hint="eastAsia"/>
                <w:sz w:val="21"/>
              </w:rPr>
              <w:t>901</w:t>
            </w:r>
          </w:p>
        </w:tc>
        <w:tc>
          <w:tcPr>
            <w:tcW w:w="1183" w:type="dxa"/>
          </w:tcPr>
          <w:p w:rsidR="00000000" w:rsidRDefault="00000000">
            <w:pPr>
              <w:spacing w:before="60" w:after="20" w:line="240" w:lineRule="auto"/>
              <w:ind w:right="372"/>
              <w:jc w:val="right"/>
              <w:rPr>
                <w:rFonts w:hint="eastAsia"/>
                <w:sz w:val="21"/>
              </w:rPr>
            </w:pPr>
            <w:r>
              <w:rPr>
                <w:rFonts w:hint="eastAsia"/>
                <w:sz w:val="21"/>
              </w:rPr>
              <w:t>54.3</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未答</w:t>
            </w:r>
          </w:p>
        </w:tc>
        <w:tc>
          <w:tcPr>
            <w:tcW w:w="1440" w:type="dxa"/>
          </w:tcPr>
          <w:p w:rsidR="00000000" w:rsidRDefault="00000000">
            <w:pPr>
              <w:spacing w:before="60" w:after="20" w:line="240" w:lineRule="auto"/>
              <w:ind w:right="372"/>
              <w:jc w:val="right"/>
              <w:rPr>
                <w:rFonts w:hint="eastAsia"/>
                <w:sz w:val="21"/>
              </w:rPr>
            </w:pPr>
            <w:r>
              <w:rPr>
                <w:rFonts w:hint="eastAsia"/>
                <w:sz w:val="21"/>
              </w:rPr>
              <w:t>216</w:t>
            </w:r>
          </w:p>
        </w:tc>
        <w:tc>
          <w:tcPr>
            <w:tcW w:w="1440" w:type="dxa"/>
          </w:tcPr>
          <w:p w:rsidR="00000000" w:rsidRDefault="00000000">
            <w:pPr>
              <w:spacing w:before="60" w:after="20" w:line="240" w:lineRule="auto"/>
              <w:ind w:right="372"/>
              <w:jc w:val="right"/>
              <w:rPr>
                <w:sz w:val="21"/>
              </w:rPr>
            </w:pPr>
            <w:r>
              <w:rPr>
                <w:sz w:val="21"/>
              </w:rPr>
              <w:t>13.6</w:t>
            </w:r>
          </w:p>
        </w:tc>
        <w:tc>
          <w:tcPr>
            <w:tcW w:w="1680" w:type="dxa"/>
          </w:tcPr>
          <w:p w:rsidR="00000000" w:rsidRDefault="00000000">
            <w:pPr>
              <w:spacing w:before="60" w:after="20" w:line="240" w:lineRule="auto"/>
              <w:ind w:right="372"/>
              <w:jc w:val="right"/>
              <w:rPr>
                <w:rFonts w:hint="eastAsia"/>
                <w:sz w:val="21"/>
              </w:rPr>
            </w:pPr>
            <w:r>
              <w:rPr>
                <w:rFonts w:hint="eastAsia"/>
                <w:sz w:val="21"/>
              </w:rPr>
              <w:t>1.8</w:t>
            </w:r>
          </w:p>
        </w:tc>
        <w:tc>
          <w:tcPr>
            <w:tcW w:w="1440" w:type="dxa"/>
          </w:tcPr>
          <w:p w:rsidR="00000000" w:rsidRDefault="00000000">
            <w:pPr>
              <w:spacing w:before="60" w:after="20" w:line="240" w:lineRule="auto"/>
              <w:ind w:right="372"/>
              <w:jc w:val="right"/>
              <w:rPr>
                <w:rFonts w:hint="eastAsia"/>
                <w:sz w:val="21"/>
              </w:rPr>
            </w:pPr>
            <w:r>
              <w:rPr>
                <w:rFonts w:hint="eastAsia"/>
                <w:sz w:val="21"/>
              </w:rPr>
              <w:t>97</w:t>
            </w:r>
          </w:p>
        </w:tc>
        <w:tc>
          <w:tcPr>
            <w:tcW w:w="1183" w:type="dxa"/>
          </w:tcPr>
          <w:p w:rsidR="00000000" w:rsidRDefault="00000000">
            <w:pPr>
              <w:spacing w:before="60" w:after="20" w:line="240" w:lineRule="auto"/>
              <w:ind w:right="372"/>
              <w:jc w:val="right"/>
              <w:rPr>
                <w:rFonts w:hint="eastAsia"/>
                <w:sz w:val="21"/>
              </w:rPr>
            </w:pPr>
            <w:r>
              <w:rPr>
                <w:rFonts w:hint="eastAsia"/>
                <w:sz w:val="21"/>
              </w:rPr>
              <w:t>44.9</w:t>
            </w:r>
          </w:p>
        </w:tc>
      </w:tr>
      <w:tr w:rsidR="00000000">
        <w:tblPrEx>
          <w:tblCellMar>
            <w:top w:w="0" w:type="dxa"/>
            <w:bottom w:w="0" w:type="dxa"/>
          </w:tblCellMar>
        </w:tblPrEx>
        <w:tc>
          <w:tcPr>
            <w:tcW w:w="2387" w:type="dxa"/>
          </w:tcPr>
          <w:p w:rsidR="00000000" w:rsidRDefault="00000000">
            <w:pPr>
              <w:spacing w:before="60" w:after="20" w:line="240" w:lineRule="auto"/>
              <w:rPr>
                <w:rFonts w:hint="eastAsia"/>
                <w:sz w:val="21"/>
              </w:rPr>
            </w:pPr>
            <w:r>
              <w:rPr>
                <w:rFonts w:hint="eastAsia"/>
                <w:sz w:val="21"/>
              </w:rPr>
              <w:t>不适用</w:t>
            </w:r>
            <w:r>
              <w:rPr>
                <w:rFonts w:hint="eastAsia"/>
                <w:sz w:val="21"/>
              </w:rPr>
              <w:t>(&lt;14</w:t>
            </w:r>
            <w:r>
              <w:rPr>
                <w:rFonts w:hint="eastAsia"/>
                <w:sz w:val="21"/>
              </w:rPr>
              <w:t>岁</w:t>
            </w:r>
            <w:r>
              <w:rPr>
                <w:rFonts w:hint="eastAsia"/>
                <w:sz w:val="21"/>
              </w:rPr>
              <w:t>)</w:t>
            </w:r>
          </w:p>
        </w:tc>
        <w:tc>
          <w:tcPr>
            <w:tcW w:w="1440" w:type="dxa"/>
          </w:tcPr>
          <w:p w:rsidR="00000000" w:rsidRDefault="00000000">
            <w:pPr>
              <w:spacing w:before="60" w:after="20" w:line="240" w:lineRule="auto"/>
              <w:ind w:right="372"/>
              <w:jc w:val="right"/>
              <w:rPr>
                <w:rFonts w:hint="eastAsia"/>
                <w:sz w:val="21"/>
              </w:rPr>
            </w:pPr>
            <w:r>
              <w:rPr>
                <w:rFonts w:hint="eastAsia"/>
                <w:sz w:val="21"/>
              </w:rPr>
              <w:t>3,014</w:t>
            </w:r>
          </w:p>
        </w:tc>
        <w:tc>
          <w:tcPr>
            <w:tcW w:w="1440" w:type="dxa"/>
          </w:tcPr>
          <w:p w:rsidR="00000000" w:rsidRDefault="00000000">
            <w:pPr>
              <w:spacing w:before="60" w:after="20" w:line="240" w:lineRule="auto"/>
              <w:ind w:right="372"/>
              <w:jc w:val="right"/>
              <w:rPr>
                <w:rFonts w:hint="eastAsia"/>
                <w:sz w:val="21"/>
              </w:rPr>
            </w:pPr>
            <w:r>
              <w:rPr>
                <w:sz w:val="21"/>
              </w:rPr>
              <w:t>11.7</w:t>
            </w:r>
          </w:p>
        </w:tc>
        <w:tc>
          <w:tcPr>
            <w:tcW w:w="1680" w:type="dxa"/>
          </w:tcPr>
          <w:p w:rsidR="00000000" w:rsidRDefault="00000000">
            <w:pPr>
              <w:spacing w:before="60" w:after="20" w:line="240" w:lineRule="auto"/>
              <w:ind w:right="372"/>
              <w:jc w:val="right"/>
              <w:rPr>
                <w:rFonts w:hint="eastAsia"/>
                <w:sz w:val="21"/>
              </w:rPr>
            </w:pPr>
            <w:r>
              <w:rPr>
                <w:rFonts w:hint="eastAsia"/>
                <w:sz w:val="21"/>
              </w:rPr>
              <w:t>1.6</w:t>
            </w:r>
          </w:p>
        </w:tc>
        <w:tc>
          <w:tcPr>
            <w:tcW w:w="1440" w:type="dxa"/>
          </w:tcPr>
          <w:p w:rsidR="00000000" w:rsidRDefault="00000000">
            <w:pPr>
              <w:spacing w:before="60" w:after="20" w:line="240" w:lineRule="auto"/>
              <w:ind w:right="372"/>
              <w:jc w:val="right"/>
              <w:rPr>
                <w:rFonts w:hint="eastAsia"/>
                <w:sz w:val="21"/>
              </w:rPr>
            </w:pPr>
            <w:r>
              <w:rPr>
                <w:rFonts w:hint="eastAsia"/>
                <w:sz w:val="21"/>
              </w:rPr>
              <w:t>1,763</w:t>
            </w:r>
          </w:p>
        </w:tc>
        <w:tc>
          <w:tcPr>
            <w:tcW w:w="1183" w:type="dxa"/>
          </w:tcPr>
          <w:p w:rsidR="00000000" w:rsidRDefault="00000000">
            <w:pPr>
              <w:spacing w:before="60" w:after="20" w:line="240" w:lineRule="auto"/>
              <w:ind w:right="372"/>
              <w:jc w:val="right"/>
              <w:rPr>
                <w:rFonts w:hint="eastAsia"/>
                <w:sz w:val="21"/>
              </w:rPr>
            </w:pPr>
            <w:r>
              <w:rPr>
                <w:rFonts w:hint="eastAsia"/>
                <w:sz w:val="21"/>
              </w:rPr>
              <w:t>58.5</w:t>
            </w:r>
          </w:p>
        </w:tc>
      </w:tr>
    </w:tbl>
    <w:p w:rsidR="00000000" w:rsidRDefault="00000000">
      <w:pPr>
        <w:pStyle w:val="EndnoteText"/>
        <w:spacing w:before="240" w:after="320"/>
        <w:rPr>
          <w:rFonts w:hint="eastAsia"/>
        </w:rPr>
      </w:pPr>
      <w:r>
        <w:rPr>
          <w:rFonts w:hint="eastAsia"/>
          <w:u w:val="single"/>
        </w:rPr>
        <w:t>资料来源</w:t>
      </w:r>
      <w:r>
        <w:rPr>
          <w:rFonts w:hint="eastAsia"/>
        </w:rPr>
        <w:t>：公共卫生部，《信息通信技术新闻公报》，第</w:t>
      </w:r>
      <w:r>
        <w:rPr>
          <w:rFonts w:hint="eastAsia"/>
        </w:rPr>
        <w:t>3</w:t>
      </w:r>
      <w:r>
        <w:rPr>
          <w:rFonts w:hint="eastAsia"/>
        </w:rPr>
        <w:t>号。</w:t>
      </w:r>
    </w:p>
    <w:p w:rsidR="00000000" w:rsidRDefault="00000000">
      <w:pPr>
        <w:rPr>
          <w:rFonts w:hint="eastAsia"/>
        </w:rPr>
      </w:pPr>
      <w:r>
        <w:rPr>
          <w:rFonts w:hint="eastAsia"/>
        </w:rPr>
        <w:tab/>
        <w:t xml:space="preserve">301.  </w:t>
      </w:r>
      <w:r>
        <w:rPr>
          <w:rFonts w:hint="eastAsia"/>
        </w:rPr>
        <w:t>综合微量营养素方案开展的活动有：为弱势群体补充铁、叶酸和维生素</w:t>
      </w:r>
      <w:r>
        <w:rPr>
          <w:rFonts w:hint="eastAsia"/>
        </w:rPr>
        <w:t>A</w:t>
      </w:r>
      <w:r>
        <w:rPr>
          <w:rFonts w:hint="eastAsia"/>
        </w:rPr>
        <w:t>；为公共卫生部医院收治的所有孕妇和</w:t>
      </w:r>
      <w:r>
        <w:rPr>
          <w:rFonts w:hint="eastAsia"/>
        </w:rPr>
        <w:t>1</w:t>
      </w:r>
      <w:r>
        <w:rPr>
          <w:rFonts w:hint="eastAsia"/>
        </w:rPr>
        <w:t>岁以下儿童补铁；为生活在极度贫困地区的所有</w:t>
      </w:r>
      <w:r>
        <w:rPr>
          <w:rFonts w:hint="eastAsia"/>
        </w:rPr>
        <w:t>1</w:t>
      </w:r>
      <w:r>
        <w:rPr>
          <w:rFonts w:hint="eastAsia"/>
        </w:rPr>
        <w:t>岁至</w:t>
      </w:r>
      <w:r>
        <w:rPr>
          <w:rFonts w:hint="eastAsia"/>
        </w:rPr>
        <w:t>3</w:t>
      </w:r>
      <w:r>
        <w:rPr>
          <w:rFonts w:hint="eastAsia"/>
        </w:rPr>
        <w:t>岁的儿童补维生素</w:t>
      </w:r>
      <w:r>
        <w:rPr>
          <w:rFonts w:hint="eastAsia"/>
        </w:rPr>
        <w:t>A</w:t>
      </w:r>
      <w:r>
        <w:rPr>
          <w:rFonts w:hint="eastAsia"/>
        </w:rPr>
        <w:t>；为全国人民提供食品添加剂，如在盐中加碘，在面粉中加氟和维生素并加铁和叶酸添加剂；通过开展教育和宣传活动，促进食品多样化。</w:t>
      </w:r>
    </w:p>
    <w:p w:rsidR="00000000" w:rsidRDefault="00000000">
      <w:pPr>
        <w:rPr>
          <w:rFonts w:hint="eastAsia"/>
        </w:rPr>
      </w:pPr>
      <w:r>
        <w:rPr>
          <w:rFonts w:hint="eastAsia"/>
        </w:rPr>
        <w:tab/>
        <w:t xml:space="preserve">302.  </w:t>
      </w:r>
      <w:r>
        <w:rPr>
          <w:rFonts w:hint="eastAsia"/>
        </w:rPr>
        <w:t>根据国际标准，长期营养不良的问题</w:t>
      </w:r>
      <w:r>
        <w:rPr>
          <w:rFonts w:hint="eastAsia"/>
        </w:rPr>
        <w:t>(</w:t>
      </w:r>
      <w:r>
        <w:rPr>
          <w:rFonts w:hint="eastAsia"/>
        </w:rPr>
        <w:t>低于该年龄组参考身高水平的两个标准差以上</w:t>
      </w:r>
      <w:r>
        <w:rPr>
          <w:rFonts w:hint="eastAsia"/>
        </w:rPr>
        <w:t xml:space="preserve">) </w:t>
      </w:r>
      <w:r>
        <w:rPr>
          <w:rFonts w:hint="eastAsia"/>
          <w:b/>
          <w:vertAlign w:val="superscript"/>
        </w:rPr>
        <w:t>41</w:t>
      </w:r>
      <w:r>
        <w:rPr>
          <w:rFonts w:hint="eastAsia"/>
        </w:rPr>
        <w:t xml:space="preserve"> </w:t>
      </w:r>
      <w:r>
        <w:rPr>
          <w:rFonts w:hint="eastAsia"/>
        </w:rPr>
        <w:t>影响了四分之一的</w:t>
      </w:r>
      <w:r>
        <w:rPr>
          <w:rFonts w:hint="eastAsia"/>
        </w:rPr>
        <w:t>5</w:t>
      </w:r>
      <w:r>
        <w:rPr>
          <w:rFonts w:hint="eastAsia"/>
        </w:rPr>
        <w:t>岁以下的儿童</w:t>
      </w:r>
      <w:r>
        <w:rPr>
          <w:rFonts w:hint="eastAsia"/>
        </w:rPr>
        <w:t>(</w:t>
      </w:r>
      <w:r>
        <w:rPr>
          <w:rFonts w:hint="eastAsia"/>
        </w:rPr>
        <w:t>表</w:t>
      </w:r>
      <w:r>
        <w:rPr>
          <w:rFonts w:hint="eastAsia"/>
        </w:rPr>
        <w:t>1)</w:t>
      </w:r>
      <w:r>
        <w:rPr>
          <w:rFonts w:hint="eastAsia"/>
        </w:rPr>
        <w:t>。身高不足的问题在农村人口中更为严重，尤其是高原地带身高不足的人口普遍超过</w:t>
      </w:r>
      <w:r>
        <w:rPr>
          <w:rFonts w:hint="eastAsia"/>
        </w:rPr>
        <w:t>40%</w:t>
      </w:r>
      <w:r>
        <w:rPr>
          <w:rFonts w:hint="eastAsia"/>
        </w:rPr>
        <w:t>。一般营养不良的问题</w:t>
      </w:r>
      <w:r>
        <w:rPr>
          <w:rFonts w:hint="eastAsia"/>
        </w:rPr>
        <w:t>(</w:t>
      </w:r>
      <w:r>
        <w:rPr>
          <w:rFonts w:hint="eastAsia"/>
        </w:rPr>
        <w:t>低于该年龄组参考体重水平的两个标准差</w:t>
      </w:r>
      <w:r>
        <w:rPr>
          <w:rFonts w:hint="eastAsia"/>
        </w:rPr>
        <w:t>)</w:t>
      </w:r>
      <w:r>
        <w:rPr>
          <w:rFonts w:hint="eastAsia"/>
        </w:rPr>
        <w:t>影响了</w:t>
      </w:r>
      <w:r>
        <w:rPr>
          <w:rFonts w:hint="eastAsia"/>
        </w:rPr>
        <w:t>14.6%</w:t>
      </w:r>
      <w:r>
        <w:rPr>
          <w:rFonts w:hint="eastAsia"/>
        </w:rPr>
        <w:t>的人口，并具有同样的趋势。严重体重</w:t>
      </w:r>
      <w:r>
        <w:rPr>
          <w:rFonts w:hint="eastAsia"/>
          <w:spacing w:val="-50"/>
          <w:lang w:val="fr-CH"/>
        </w:rPr>
        <w:t>―</w:t>
      </w:r>
      <w:r>
        <w:rPr>
          <w:rFonts w:hint="eastAsia"/>
          <w:lang w:val="fr-CH"/>
        </w:rPr>
        <w:t>―</w:t>
      </w:r>
      <w:r>
        <w:rPr>
          <w:rFonts w:hint="eastAsia"/>
        </w:rPr>
        <w:t>身高比率</w:t>
      </w:r>
      <w:r>
        <w:rPr>
          <w:rFonts w:hint="eastAsia"/>
        </w:rPr>
        <w:t>(</w:t>
      </w:r>
      <w:r>
        <w:rPr>
          <w:rFonts w:hint="eastAsia"/>
        </w:rPr>
        <w:t>表明严重营养不良情况的</w:t>
      </w:r>
      <w:r>
        <w:rPr>
          <w:rFonts w:hint="eastAsia"/>
        </w:rPr>
        <w:t>)</w:t>
      </w:r>
      <w:r>
        <w:rPr>
          <w:rFonts w:hint="eastAsia"/>
        </w:rPr>
        <w:t>问题极为少见；而相类似的情况见于大多数发展中国家。</w:t>
      </w:r>
      <w:r>
        <w:rPr>
          <w:rFonts w:hint="eastAsia"/>
          <w:b/>
          <w:bCs/>
          <w:vertAlign w:val="superscript"/>
        </w:rPr>
        <w:t>42</w:t>
      </w:r>
    </w:p>
    <w:p w:rsidR="00000000" w:rsidRDefault="00000000">
      <w:pPr>
        <w:pStyle w:val="Heading3"/>
        <w:spacing w:after="160"/>
        <w:rPr>
          <w:rFonts w:eastAsia="KaiTi_GB2312" w:hint="eastAsia"/>
          <w:snapToGrid/>
          <w:spacing w:val="0"/>
          <w:kern w:val="0"/>
          <w:u w:val="none"/>
        </w:rPr>
      </w:pPr>
      <w:r>
        <w:rPr>
          <w:rFonts w:hint="eastAsia"/>
          <w:u w:val="none"/>
        </w:rPr>
        <w:t>表</w:t>
      </w:r>
      <w:r>
        <w:rPr>
          <w:rFonts w:hint="eastAsia"/>
          <w:u w:val="none"/>
        </w:rPr>
        <w:t xml:space="preserve">1.  </w:t>
      </w:r>
      <w:r>
        <w:rPr>
          <w:rFonts w:hint="eastAsia"/>
        </w:rPr>
        <w:t>按地区分列的五岁以下儿童营养不良问题的普遍情况</w:t>
      </w:r>
      <w:r>
        <w:br/>
      </w:r>
      <w:r>
        <w:rPr>
          <w:rFonts w:eastAsia="KaiTi_GB2312" w:hint="eastAsia"/>
          <w:snapToGrid/>
          <w:spacing w:val="0"/>
          <w:kern w:val="0"/>
          <w:u w:val="none"/>
        </w:rPr>
        <w:t>(</w:t>
      </w:r>
      <w:r>
        <w:rPr>
          <w:rFonts w:eastAsia="KaiTi_GB2312" w:hint="eastAsia"/>
          <w:snapToGrid/>
          <w:spacing w:val="0"/>
          <w:kern w:val="0"/>
          <w:u w:val="none"/>
        </w:rPr>
        <w:t>生活条件调查，</w:t>
      </w:r>
      <w:r>
        <w:rPr>
          <w:rFonts w:eastAsia="KaiTi_GB2312" w:hint="eastAsia"/>
          <w:snapToGrid/>
          <w:spacing w:val="0"/>
          <w:kern w:val="0"/>
          <w:u w:val="none"/>
        </w:rPr>
        <w:t>1998</w:t>
      </w:r>
      <w:r>
        <w:rPr>
          <w:rFonts w:eastAsia="KaiTi_GB2312" w:hint="eastAsia"/>
          <w:snapToGrid/>
          <w:spacing w:val="0"/>
          <w:kern w:val="0"/>
          <w:u w:val="none"/>
        </w:rPr>
        <w:t>年</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8"/>
        <w:gridCol w:w="1430"/>
        <w:gridCol w:w="2200"/>
        <w:gridCol w:w="2200"/>
        <w:gridCol w:w="2200"/>
      </w:tblGrid>
      <w:tr w:rsidR="00000000">
        <w:tblPrEx>
          <w:tblCellMar>
            <w:top w:w="0" w:type="dxa"/>
            <w:bottom w:w="0" w:type="dxa"/>
          </w:tblCellMar>
        </w:tblPrEx>
        <w:trPr>
          <w:cantSplit/>
        </w:trPr>
        <w:tc>
          <w:tcPr>
            <w:tcW w:w="2968" w:type="dxa"/>
            <w:gridSpan w:val="2"/>
            <w:tcBorders>
              <w:bottom w:val="single" w:sz="4" w:space="0" w:color="auto"/>
            </w:tcBorders>
          </w:tcPr>
          <w:p w:rsidR="00000000" w:rsidRDefault="00000000">
            <w:pPr>
              <w:spacing w:before="60" w:line="240" w:lineRule="exact"/>
              <w:jc w:val="center"/>
              <w:rPr>
                <w:rFonts w:hint="eastAsia"/>
                <w:spacing w:val="4"/>
                <w:sz w:val="20"/>
                <w:u w:val="single"/>
              </w:rPr>
            </w:pPr>
          </w:p>
          <w:p w:rsidR="00000000" w:rsidRDefault="00000000">
            <w:pPr>
              <w:spacing w:before="60" w:line="240" w:lineRule="exact"/>
              <w:jc w:val="center"/>
              <w:rPr>
                <w:rFonts w:hint="eastAsia"/>
                <w:spacing w:val="4"/>
                <w:sz w:val="20"/>
              </w:rPr>
            </w:pPr>
            <w:r>
              <w:rPr>
                <w:rFonts w:hint="eastAsia"/>
                <w:spacing w:val="4"/>
                <w:sz w:val="20"/>
                <w:u w:val="single"/>
              </w:rPr>
              <w:t>地</w:t>
            </w:r>
            <w:r>
              <w:rPr>
                <w:rFonts w:hint="eastAsia"/>
                <w:spacing w:val="4"/>
                <w:sz w:val="20"/>
                <w:u w:val="single"/>
              </w:rPr>
              <w:t xml:space="preserve">  </w:t>
            </w:r>
            <w:r>
              <w:rPr>
                <w:rFonts w:hint="eastAsia"/>
                <w:spacing w:val="4"/>
                <w:sz w:val="20"/>
                <w:u w:val="single"/>
              </w:rPr>
              <w:t>区</w:t>
            </w:r>
          </w:p>
        </w:tc>
        <w:tc>
          <w:tcPr>
            <w:tcW w:w="2200" w:type="dxa"/>
            <w:tcBorders>
              <w:bottom w:val="single" w:sz="4" w:space="0" w:color="auto"/>
            </w:tcBorders>
          </w:tcPr>
          <w:p w:rsidR="00000000" w:rsidRDefault="00000000">
            <w:pPr>
              <w:spacing w:before="60" w:after="120" w:line="240" w:lineRule="exact"/>
              <w:jc w:val="center"/>
              <w:rPr>
                <w:rFonts w:hint="eastAsia"/>
                <w:spacing w:val="4"/>
                <w:sz w:val="20"/>
                <w:u w:val="single"/>
              </w:rPr>
            </w:pPr>
            <w:r>
              <w:rPr>
                <w:rFonts w:hint="eastAsia"/>
                <w:spacing w:val="4"/>
                <w:sz w:val="20"/>
                <w:u w:val="single"/>
              </w:rPr>
              <w:t>相对于年龄的</w:t>
            </w:r>
            <w:r>
              <w:rPr>
                <w:spacing w:val="4"/>
                <w:sz w:val="20"/>
                <w:u w:val="single"/>
              </w:rPr>
              <w:br/>
            </w:r>
            <w:r>
              <w:rPr>
                <w:rFonts w:hint="eastAsia"/>
                <w:spacing w:val="4"/>
                <w:sz w:val="20"/>
                <w:u w:val="single"/>
              </w:rPr>
              <w:t>长期身高问题</w:t>
            </w:r>
            <w:r>
              <w:rPr>
                <w:spacing w:val="4"/>
                <w:sz w:val="20"/>
                <w:u w:val="single"/>
              </w:rPr>
              <w:br/>
              <w:t>&lt;-2 SD %</w:t>
            </w:r>
          </w:p>
        </w:tc>
        <w:tc>
          <w:tcPr>
            <w:tcW w:w="2200" w:type="dxa"/>
            <w:tcBorders>
              <w:bottom w:val="single" w:sz="4" w:space="0" w:color="auto"/>
            </w:tcBorders>
          </w:tcPr>
          <w:p w:rsidR="00000000" w:rsidRDefault="00000000">
            <w:pPr>
              <w:spacing w:before="60" w:after="120" w:line="240" w:lineRule="exact"/>
              <w:jc w:val="center"/>
              <w:rPr>
                <w:spacing w:val="4"/>
                <w:sz w:val="20"/>
                <w:u w:val="single"/>
              </w:rPr>
            </w:pPr>
            <w:r>
              <w:rPr>
                <w:rFonts w:hint="eastAsia"/>
                <w:spacing w:val="4"/>
                <w:sz w:val="20"/>
                <w:u w:val="single"/>
              </w:rPr>
              <w:t>相对于年龄的</w:t>
            </w:r>
            <w:r>
              <w:rPr>
                <w:spacing w:val="4"/>
                <w:sz w:val="20"/>
                <w:u w:val="single"/>
              </w:rPr>
              <w:br/>
            </w:r>
            <w:r>
              <w:rPr>
                <w:rFonts w:hint="eastAsia"/>
                <w:spacing w:val="4"/>
                <w:sz w:val="20"/>
                <w:u w:val="single"/>
              </w:rPr>
              <w:t>一般身高问题</w:t>
            </w:r>
            <w:r>
              <w:rPr>
                <w:spacing w:val="4"/>
                <w:sz w:val="20"/>
                <w:u w:val="single"/>
              </w:rPr>
              <w:br/>
              <w:t>&lt;-2 SD %</w:t>
            </w:r>
          </w:p>
        </w:tc>
        <w:tc>
          <w:tcPr>
            <w:tcW w:w="2200" w:type="dxa"/>
            <w:tcBorders>
              <w:bottom w:val="single" w:sz="4" w:space="0" w:color="auto"/>
            </w:tcBorders>
          </w:tcPr>
          <w:p w:rsidR="00000000" w:rsidRDefault="00000000">
            <w:pPr>
              <w:spacing w:before="60" w:after="120" w:line="240" w:lineRule="exact"/>
              <w:jc w:val="center"/>
              <w:rPr>
                <w:spacing w:val="4"/>
                <w:sz w:val="20"/>
                <w:u w:val="single"/>
              </w:rPr>
            </w:pPr>
            <w:r>
              <w:rPr>
                <w:rFonts w:hint="eastAsia"/>
                <w:spacing w:val="4"/>
                <w:sz w:val="20"/>
                <w:u w:val="single"/>
              </w:rPr>
              <w:t>相对于身高的</w:t>
            </w:r>
            <w:r>
              <w:rPr>
                <w:spacing w:val="4"/>
                <w:sz w:val="20"/>
                <w:u w:val="single"/>
              </w:rPr>
              <w:br/>
            </w:r>
            <w:r>
              <w:rPr>
                <w:rFonts w:hint="eastAsia"/>
                <w:spacing w:val="4"/>
                <w:sz w:val="20"/>
                <w:u w:val="single"/>
              </w:rPr>
              <w:t>严重体重问题</w:t>
            </w:r>
            <w:r>
              <w:rPr>
                <w:spacing w:val="4"/>
                <w:sz w:val="20"/>
                <w:u w:val="single"/>
              </w:rPr>
              <w:br/>
              <w:t>&lt;-2 SD %</w:t>
            </w:r>
          </w:p>
        </w:tc>
      </w:tr>
      <w:tr w:rsidR="00000000">
        <w:tblPrEx>
          <w:tblCellMar>
            <w:top w:w="0" w:type="dxa"/>
            <w:bottom w:w="0" w:type="dxa"/>
          </w:tblCellMar>
        </w:tblPrEx>
        <w:tc>
          <w:tcPr>
            <w:tcW w:w="1538" w:type="dxa"/>
            <w:tcBorders>
              <w:bottom w:val="nil"/>
            </w:tcBorders>
          </w:tcPr>
          <w:p w:rsidR="00000000" w:rsidRDefault="00000000">
            <w:pPr>
              <w:spacing w:before="60" w:line="240" w:lineRule="exact"/>
              <w:jc w:val="center"/>
              <w:rPr>
                <w:rFonts w:hint="eastAsia"/>
                <w:spacing w:val="4"/>
                <w:sz w:val="20"/>
              </w:rPr>
            </w:pPr>
            <w:r>
              <w:rPr>
                <w:rFonts w:hint="eastAsia"/>
                <w:spacing w:val="4"/>
                <w:sz w:val="20"/>
              </w:rPr>
              <w:t>沿</w:t>
            </w:r>
            <w:r>
              <w:rPr>
                <w:rFonts w:hint="eastAsia"/>
                <w:spacing w:val="4"/>
                <w:sz w:val="20"/>
              </w:rPr>
              <w:t xml:space="preserve">  </w:t>
            </w:r>
            <w:r>
              <w:rPr>
                <w:rFonts w:hint="eastAsia"/>
                <w:spacing w:val="4"/>
                <w:sz w:val="20"/>
              </w:rPr>
              <w:t>海</w:t>
            </w:r>
          </w:p>
        </w:tc>
        <w:tc>
          <w:tcPr>
            <w:tcW w:w="1430" w:type="dxa"/>
            <w:tcBorders>
              <w:bottom w:val="nil"/>
            </w:tcBorders>
          </w:tcPr>
          <w:p w:rsidR="00000000" w:rsidRDefault="00000000">
            <w:pPr>
              <w:spacing w:before="60" w:line="240" w:lineRule="exact"/>
              <w:jc w:val="center"/>
              <w:rPr>
                <w:rFonts w:hint="eastAsia"/>
                <w:spacing w:val="4"/>
                <w:sz w:val="20"/>
              </w:rPr>
            </w:pPr>
            <w:r>
              <w:rPr>
                <w:rFonts w:hint="eastAsia"/>
                <w:spacing w:val="4"/>
                <w:sz w:val="20"/>
              </w:rPr>
              <w:t>城市</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22.3</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12.8</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2.3</w:t>
            </w:r>
          </w:p>
        </w:tc>
      </w:tr>
      <w:tr w:rsidR="00000000">
        <w:tblPrEx>
          <w:tblCellMar>
            <w:top w:w="0" w:type="dxa"/>
            <w:bottom w:w="0" w:type="dxa"/>
          </w:tblCellMar>
        </w:tblPrEx>
        <w:tc>
          <w:tcPr>
            <w:tcW w:w="1538" w:type="dxa"/>
            <w:tcBorders>
              <w:top w:val="nil"/>
              <w:bottom w:val="nil"/>
            </w:tcBorders>
          </w:tcPr>
          <w:p w:rsidR="00000000" w:rsidRDefault="00000000">
            <w:pPr>
              <w:spacing w:before="60" w:line="240" w:lineRule="exact"/>
              <w:jc w:val="center"/>
              <w:rPr>
                <w:rFonts w:hint="eastAsia"/>
                <w:spacing w:val="4"/>
                <w:sz w:val="20"/>
              </w:rPr>
            </w:pPr>
          </w:p>
        </w:tc>
        <w:tc>
          <w:tcPr>
            <w:tcW w:w="1430" w:type="dxa"/>
            <w:tcBorders>
              <w:top w:val="nil"/>
              <w:bottom w:val="nil"/>
            </w:tcBorders>
          </w:tcPr>
          <w:p w:rsidR="00000000" w:rsidRDefault="00000000">
            <w:pPr>
              <w:spacing w:before="60" w:line="240" w:lineRule="exact"/>
              <w:jc w:val="center"/>
              <w:rPr>
                <w:rFonts w:hint="eastAsia"/>
                <w:spacing w:val="4"/>
                <w:sz w:val="20"/>
              </w:rPr>
            </w:pPr>
            <w:r>
              <w:rPr>
                <w:rFonts w:hint="eastAsia"/>
                <w:spacing w:val="4"/>
                <w:sz w:val="20"/>
              </w:rPr>
              <w:t>农村</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23.2</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20.0</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3.8</w:t>
            </w:r>
          </w:p>
        </w:tc>
      </w:tr>
      <w:tr w:rsidR="00000000">
        <w:tblPrEx>
          <w:tblCellMar>
            <w:top w:w="0" w:type="dxa"/>
            <w:bottom w:w="0" w:type="dxa"/>
          </w:tblCellMar>
        </w:tblPrEx>
        <w:tc>
          <w:tcPr>
            <w:tcW w:w="1538" w:type="dxa"/>
            <w:tcBorders>
              <w:top w:val="nil"/>
              <w:bottom w:val="single" w:sz="4" w:space="0" w:color="auto"/>
            </w:tcBorders>
          </w:tcPr>
          <w:p w:rsidR="00000000" w:rsidRDefault="00000000">
            <w:pPr>
              <w:spacing w:before="60" w:line="240" w:lineRule="exact"/>
              <w:jc w:val="center"/>
              <w:rPr>
                <w:rFonts w:hint="eastAsia"/>
                <w:spacing w:val="4"/>
                <w:sz w:val="20"/>
              </w:rPr>
            </w:pPr>
          </w:p>
        </w:tc>
        <w:tc>
          <w:tcPr>
            <w:tcW w:w="1430" w:type="dxa"/>
            <w:tcBorders>
              <w:top w:val="nil"/>
              <w:bottom w:val="single" w:sz="4" w:space="0" w:color="auto"/>
            </w:tcBorders>
          </w:tcPr>
          <w:p w:rsidR="00000000" w:rsidRDefault="00000000">
            <w:pPr>
              <w:spacing w:before="60" w:line="240" w:lineRule="exact"/>
              <w:jc w:val="center"/>
              <w:rPr>
                <w:rFonts w:hint="eastAsia"/>
                <w:spacing w:val="4"/>
                <w:sz w:val="20"/>
              </w:rPr>
            </w:pPr>
            <w:r>
              <w:rPr>
                <w:rFonts w:hint="eastAsia"/>
                <w:spacing w:val="4"/>
                <w:sz w:val="20"/>
              </w:rPr>
              <w:t>总计</w:t>
            </w:r>
          </w:p>
        </w:tc>
        <w:tc>
          <w:tcPr>
            <w:tcW w:w="2200" w:type="dxa"/>
            <w:tcBorders>
              <w:top w:val="nil"/>
              <w:bottom w:val="single" w:sz="4" w:space="0" w:color="auto"/>
            </w:tcBorders>
            <w:vAlign w:val="bottom"/>
          </w:tcPr>
          <w:p w:rsidR="00000000" w:rsidRDefault="00000000">
            <w:pPr>
              <w:spacing w:before="60" w:line="240" w:lineRule="exact"/>
              <w:jc w:val="center"/>
              <w:rPr>
                <w:spacing w:val="4"/>
                <w:sz w:val="20"/>
              </w:rPr>
            </w:pPr>
            <w:r>
              <w:rPr>
                <w:spacing w:val="4"/>
                <w:sz w:val="20"/>
              </w:rPr>
              <w:t>22.5</w:t>
            </w:r>
          </w:p>
        </w:tc>
        <w:tc>
          <w:tcPr>
            <w:tcW w:w="2200" w:type="dxa"/>
            <w:tcBorders>
              <w:top w:val="nil"/>
              <w:bottom w:val="single" w:sz="4" w:space="0" w:color="auto"/>
            </w:tcBorders>
            <w:vAlign w:val="bottom"/>
          </w:tcPr>
          <w:p w:rsidR="00000000" w:rsidRDefault="00000000">
            <w:pPr>
              <w:spacing w:before="60" w:line="240" w:lineRule="exact"/>
              <w:jc w:val="center"/>
              <w:rPr>
                <w:spacing w:val="4"/>
                <w:sz w:val="20"/>
              </w:rPr>
            </w:pPr>
            <w:r>
              <w:rPr>
                <w:spacing w:val="4"/>
                <w:sz w:val="20"/>
              </w:rPr>
              <w:t>14.9</w:t>
            </w:r>
          </w:p>
        </w:tc>
        <w:tc>
          <w:tcPr>
            <w:tcW w:w="2200" w:type="dxa"/>
            <w:tcBorders>
              <w:top w:val="nil"/>
              <w:bottom w:val="single" w:sz="4" w:space="0" w:color="auto"/>
            </w:tcBorders>
            <w:vAlign w:val="bottom"/>
          </w:tcPr>
          <w:p w:rsidR="00000000" w:rsidRDefault="00000000">
            <w:pPr>
              <w:spacing w:before="60" w:line="240" w:lineRule="exact"/>
              <w:jc w:val="center"/>
              <w:rPr>
                <w:spacing w:val="4"/>
                <w:sz w:val="20"/>
              </w:rPr>
            </w:pPr>
            <w:r>
              <w:rPr>
                <w:spacing w:val="4"/>
                <w:sz w:val="20"/>
              </w:rPr>
              <w:t>2.7</w:t>
            </w:r>
          </w:p>
        </w:tc>
      </w:tr>
      <w:tr w:rsidR="00000000">
        <w:tblPrEx>
          <w:tblCellMar>
            <w:top w:w="0" w:type="dxa"/>
            <w:bottom w:w="0" w:type="dxa"/>
          </w:tblCellMar>
        </w:tblPrEx>
        <w:tc>
          <w:tcPr>
            <w:tcW w:w="1538" w:type="dxa"/>
            <w:tcBorders>
              <w:bottom w:val="nil"/>
            </w:tcBorders>
          </w:tcPr>
          <w:p w:rsidR="00000000" w:rsidRDefault="00000000">
            <w:pPr>
              <w:spacing w:before="60" w:line="240" w:lineRule="exact"/>
              <w:jc w:val="center"/>
              <w:rPr>
                <w:rFonts w:hint="eastAsia"/>
                <w:spacing w:val="4"/>
                <w:sz w:val="20"/>
              </w:rPr>
            </w:pPr>
            <w:r>
              <w:rPr>
                <w:rFonts w:hint="eastAsia"/>
                <w:spacing w:val="4"/>
                <w:sz w:val="20"/>
              </w:rPr>
              <w:t>高</w:t>
            </w:r>
            <w:r>
              <w:rPr>
                <w:rFonts w:hint="eastAsia"/>
                <w:spacing w:val="4"/>
                <w:sz w:val="20"/>
              </w:rPr>
              <w:t xml:space="preserve">  </w:t>
            </w:r>
            <w:r>
              <w:rPr>
                <w:rFonts w:hint="eastAsia"/>
                <w:spacing w:val="4"/>
                <w:sz w:val="20"/>
              </w:rPr>
              <w:t>地</w:t>
            </w:r>
          </w:p>
        </w:tc>
        <w:tc>
          <w:tcPr>
            <w:tcW w:w="1430" w:type="dxa"/>
            <w:tcBorders>
              <w:bottom w:val="nil"/>
            </w:tcBorders>
          </w:tcPr>
          <w:p w:rsidR="00000000" w:rsidRDefault="00000000">
            <w:pPr>
              <w:spacing w:before="60" w:line="240" w:lineRule="exact"/>
              <w:jc w:val="center"/>
              <w:rPr>
                <w:rFonts w:hint="eastAsia"/>
                <w:spacing w:val="4"/>
                <w:sz w:val="20"/>
              </w:rPr>
            </w:pPr>
            <w:r>
              <w:rPr>
                <w:rFonts w:hint="eastAsia"/>
                <w:spacing w:val="4"/>
                <w:sz w:val="20"/>
              </w:rPr>
              <w:t>城市</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22.1</w:t>
            </w:r>
          </w:p>
        </w:tc>
        <w:tc>
          <w:tcPr>
            <w:tcW w:w="2200" w:type="dxa"/>
            <w:tcBorders>
              <w:bottom w:val="nil"/>
            </w:tcBorders>
            <w:vAlign w:val="bottom"/>
          </w:tcPr>
          <w:p w:rsidR="00000000" w:rsidRDefault="00000000">
            <w:pPr>
              <w:spacing w:before="60" w:line="240" w:lineRule="exact"/>
              <w:ind w:left="113"/>
              <w:jc w:val="center"/>
              <w:rPr>
                <w:spacing w:val="4"/>
                <w:sz w:val="20"/>
              </w:rPr>
            </w:pPr>
            <w:r>
              <w:rPr>
                <w:spacing w:val="4"/>
                <w:sz w:val="20"/>
              </w:rPr>
              <w:t>9.2</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0.9</w:t>
            </w:r>
          </w:p>
        </w:tc>
      </w:tr>
      <w:tr w:rsidR="00000000">
        <w:tblPrEx>
          <w:tblCellMar>
            <w:top w:w="0" w:type="dxa"/>
            <w:bottom w:w="0" w:type="dxa"/>
          </w:tblCellMar>
        </w:tblPrEx>
        <w:tc>
          <w:tcPr>
            <w:tcW w:w="1538" w:type="dxa"/>
            <w:tcBorders>
              <w:top w:val="nil"/>
              <w:bottom w:val="nil"/>
            </w:tcBorders>
          </w:tcPr>
          <w:p w:rsidR="00000000" w:rsidRDefault="00000000">
            <w:pPr>
              <w:spacing w:before="60" w:line="240" w:lineRule="exact"/>
              <w:jc w:val="center"/>
              <w:rPr>
                <w:rFonts w:hint="eastAsia"/>
                <w:spacing w:val="4"/>
                <w:sz w:val="20"/>
              </w:rPr>
            </w:pPr>
          </w:p>
        </w:tc>
        <w:tc>
          <w:tcPr>
            <w:tcW w:w="1430" w:type="dxa"/>
            <w:tcBorders>
              <w:top w:val="nil"/>
              <w:bottom w:val="nil"/>
            </w:tcBorders>
          </w:tcPr>
          <w:p w:rsidR="00000000" w:rsidRDefault="00000000">
            <w:pPr>
              <w:spacing w:before="60" w:line="240" w:lineRule="exact"/>
              <w:jc w:val="center"/>
              <w:rPr>
                <w:rFonts w:hint="eastAsia"/>
                <w:spacing w:val="4"/>
                <w:sz w:val="20"/>
              </w:rPr>
            </w:pPr>
            <w:r>
              <w:rPr>
                <w:rFonts w:hint="eastAsia"/>
                <w:spacing w:val="4"/>
                <w:sz w:val="20"/>
              </w:rPr>
              <w:t>农村</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41.0</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18.8</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2.8</w:t>
            </w:r>
          </w:p>
        </w:tc>
      </w:tr>
      <w:tr w:rsidR="00000000">
        <w:tblPrEx>
          <w:tblCellMar>
            <w:top w:w="0" w:type="dxa"/>
            <w:bottom w:w="0" w:type="dxa"/>
          </w:tblCellMar>
        </w:tblPrEx>
        <w:tc>
          <w:tcPr>
            <w:tcW w:w="1538" w:type="dxa"/>
            <w:tcBorders>
              <w:top w:val="nil"/>
              <w:bottom w:val="single" w:sz="4" w:space="0" w:color="auto"/>
            </w:tcBorders>
          </w:tcPr>
          <w:p w:rsidR="00000000" w:rsidRDefault="00000000">
            <w:pPr>
              <w:spacing w:before="60" w:line="240" w:lineRule="exact"/>
              <w:jc w:val="center"/>
              <w:rPr>
                <w:rFonts w:hint="eastAsia"/>
                <w:spacing w:val="4"/>
                <w:sz w:val="20"/>
              </w:rPr>
            </w:pPr>
          </w:p>
        </w:tc>
        <w:tc>
          <w:tcPr>
            <w:tcW w:w="1430" w:type="dxa"/>
            <w:tcBorders>
              <w:top w:val="nil"/>
              <w:bottom w:val="single" w:sz="4" w:space="0" w:color="auto"/>
            </w:tcBorders>
          </w:tcPr>
          <w:p w:rsidR="00000000" w:rsidRDefault="00000000">
            <w:pPr>
              <w:spacing w:before="60" w:line="240" w:lineRule="exact"/>
              <w:jc w:val="center"/>
              <w:rPr>
                <w:rFonts w:hint="eastAsia"/>
                <w:spacing w:val="4"/>
                <w:sz w:val="20"/>
              </w:rPr>
            </w:pPr>
            <w:r>
              <w:rPr>
                <w:rFonts w:hint="eastAsia"/>
                <w:spacing w:val="4"/>
                <w:sz w:val="20"/>
              </w:rPr>
              <w:t>总计</w:t>
            </w:r>
          </w:p>
        </w:tc>
        <w:tc>
          <w:tcPr>
            <w:tcW w:w="2200" w:type="dxa"/>
            <w:tcBorders>
              <w:top w:val="nil"/>
              <w:bottom w:val="single" w:sz="4" w:space="0" w:color="auto"/>
            </w:tcBorders>
            <w:vAlign w:val="bottom"/>
          </w:tcPr>
          <w:p w:rsidR="00000000" w:rsidRDefault="00000000">
            <w:pPr>
              <w:spacing w:before="60" w:line="240" w:lineRule="exact"/>
              <w:jc w:val="center"/>
              <w:rPr>
                <w:spacing w:val="4"/>
                <w:sz w:val="20"/>
              </w:rPr>
            </w:pPr>
            <w:r>
              <w:rPr>
                <w:spacing w:val="4"/>
                <w:sz w:val="20"/>
              </w:rPr>
              <w:t>32.9</w:t>
            </w:r>
          </w:p>
        </w:tc>
        <w:tc>
          <w:tcPr>
            <w:tcW w:w="2200" w:type="dxa"/>
            <w:tcBorders>
              <w:top w:val="nil"/>
              <w:bottom w:val="single" w:sz="4" w:space="0" w:color="auto"/>
            </w:tcBorders>
            <w:vAlign w:val="bottom"/>
          </w:tcPr>
          <w:p w:rsidR="00000000" w:rsidRDefault="00000000">
            <w:pPr>
              <w:spacing w:before="60" w:line="240" w:lineRule="exact"/>
              <w:jc w:val="center"/>
              <w:rPr>
                <w:spacing w:val="4"/>
                <w:sz w:val="20"/>
              </w:rPr>
            </w:pPr>
            <w:r>
              <w:rPr>
                <w:spacing w:val="4"/>
                <w:sz w:val="20"/>
              </w:rPr>
              <w:t>14.7</w:t>
            </w:r>
          </w:p>
        </w:tc>
        <w:tc>
          <w:tcPr>
            <w:tcW w:w="2200" w:type="dxa"/>
            <w:tcBorders>
              <w:top w:val="nil"/>
              <w:bottom w:val="single" w:sz="4" w:space="0" w:color="auto"/>
            </w:tcBorders>
            <w:vAlign w:val="bottom"/>
          </w:tcPr>
          <w:p w:rsidR="00000000" w:rsidRDefault="00000000">
            <w:pPr>
              <w:spacing w:before="60" w:line="240" w:lineRule="exact"/>
              <w:jc w:val="center"/>
              <w:rPr>
                <w:spacing w:val="4"/>
                <w:sz w:val="20"/>
              </w:rPr>
            </w:pPr>
            <w:r>
              <w:rPr>
                <w:spacing w:val="4"/>
                <w:sz w:val="20"/>
              </w:rPr>
              <w:t>2.0</w:t>
            </w:r>
          </w:p>
        </w:tc>
      </w:tr>
      <w:tr w:rsidR="00000000">
        <w:tblPrEx>
          <w:tblCellMar>
            <w:top w:w="0" w:type="dxa"/>
            <w:bottom w:w="0" w:type="dxa"/>
          </w:tblCellMar>
        </w:tblPrEx>
        <w:tc>
          <w:tcPr>
            <w:tcW w:w="1538" w:type="dxa"/>
            <w:tcBorders>
              <w:bottom w:val="nil"/>
            </w:tcBorders>
          </w:tcPr>
          <w:p w:rsidR="00000000" w:rsidRDefault="00000000">
            <w:pPr>
              <w:spacing w:before="60" w:line="240" w:lineRule="exact"/>
              <w:jc w:val="center"/>
              <w:rPr>
                <w:rFonts w:hint="eastAsia"/>
                <w:spacing w:val="4"/>
                <w:sz w:val="20"/>
              </w:rPr>
            </w:pPr>
            <w:r>
              <w:rPr>
                <w:rFonts w:hint="eastAsia"/>
                <w:spacing w:val="4"/>
                <w:sz w:val="20"/>
              </w:rPr>
              <w:t>东</w:t>
            </w:r>
            <w:r>
              <w:rPr>
                <w:rFonts w:hint="eastAsia"/>
                <w:spacing w:val="4"/>
                <w:sz w:val="20"/>
              </w:rPr>
              <w:t xml:space="preserve">  </w:t>
            </w:r>
            <w:r>
              <w:rPr>
                <w:rFonts w:hint="eastAsia"/>
                <w:spacing w:val="4"/>
                <w:sz w:val="20"/>
              </w:rPr>
              <w:t>部</w:t>
            </w:r>
          </w:p>
        </w:tc>
        <w:tc>
          <w:tcPr>
            <w:tcW w:w="1430" w:type="dxa"/>
            <w:tcBorders>
              <w:bottom w:val="nil"/>
            </w:tcBorders>
          </w:tcPr>
          <w:p w:rsidR="00000000" w:rsidRDefault="00000000">
            <w:pPr>
              <w:spacing w:before="60" w:line="240" w:lineRule="exact"/>
              <w:jc w:val="center"/>
              <w:rPr>
                <w:rFonts w:hint="eastAsia"/>
                <w:spacing w:val="4"/>
                <w:sz w:val="20"/>
              </w:rPr>
            </w:pPr>
            <w:r>
              <w:rPr>
                <w:rFonts w:hint="eastAsia"/>
                <w:spacing w:val="4"/>
                <w:sz w:val="20"/>
              </w:rPr>
              <w:t>城市</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19.1</w:t>
            </w:r>
          </w:p>
        </w:tc>
        <w:tc>
          <w:tcPr>
            <w:tcW w:w="2200" w:type="dxa"/>
            <w:tcBorders>
              <w:bottom w:val="nil"/>
            </w:tcBorders>
            <w:vAlign w:val="bottom"/>
          </w:tcPr>
          <w:p w:rsidR="00000000" w:rsidRDefault="00000000">
            <w:pPr>
              <w:spacing w:before="60" w:line="240" w:lineRule="exact"/>
              <w:ind w:left="113"/>
              <w:jc w:val="center"/>
              <w:rPr>
                <w:spacing w:val="4"/>
                <w:sz w:val="20"/>
              </w:rPr>
            </w:pPr>
            <w:r>
              <w:rPr>
                <w:spacing w:val="4"/>
                <w:sz w:val="20"/>
              </w:rPr>
              <w:t>8.3</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0.0</w:t>
            </w:r>
          </w:p>
        </w:tc>
      </w:tr>
      <w:tr w:rsidR="00000000">
        <w:tblPrEx>
          <w:tblCellMar>
            <w:top w:w="0" w:type="dxa"/>
            <w:bottom w:w="0" w:type="dxa"/>
          </w:tblCellMar>
        </w:tblPrEx>
        <w:tc>
          <w:tcPr>
            <w:tcW w:w="1538" w:type="dxa"/>
            <w:tcBorders>
              <w:top w:val="nil"/>
              <w:bottom w:val="nil"/>
            </w:tcBorders>
          </w:tcPr>
          <w:p w:rsidR="00000000" w:rsidRDefault="00000000">
            <w:pPr>
              <w:spacing w:before="60" w:line="240" w:lineRule="exact"/>
              <w:jc w:val="center"/>
              <w:rPr>
                <w:rFonts w:hint="eastAsia"/>
                <w:spacing w:val="4"/>
                <w:sz w:val="20"/>
              </w:rPr>
            </w:pPr>
          </w:p>
        </w:tc>
        <w:tc>
          <w:tcPr>
            <w:tcW w:w="1430" w:type="dxa"/>
            <w:tcBorders>
              <w:top w:val="nil"/>
              <w:bottom w:val="nil"/>
            </w:tcBorders>
          </w:tcPr>
          <w:p w:rsidR="00000000" w:rsidRDefault="00000000">
            <w:pPr>
              <w:spacing w:before="60" w:line="240" w:lineRule="exact"/>
              <w:jc w:val="center"/>
              <w:rPr>
                <w:rFonts w:hint="eastAsia"/>
                <w:spacing w:val="4"/>
                <w:sz w:val="20"/>
              </w:rPr>
            </w:pPr>
            <w:r>
              <w:rPr>
                <w:rFonts w:hint="eastAsia"/>
                <w:spacing w:val="4"/>
                <w:sz w:val="20"/>
              </w:rPr>
              <w:t>农村</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27.2</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10.0</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0.0</w:t>
            </w:r>
          </w:p>
        </w:tc>
      </w:tr>
      <w:tr w:rsidR="00000000">
        <w:tblPrEx>
          <w:tblCellMar>
            <w:top w:w="0" w:type="dxa"/>
            <w:bottom w:w="0" w:type="dxa"/>
          </w:tblCellMar>
        </w:tblPrEx>
        <w:tc>
          <w:tcPr>
            <w:tcW w:w="1538" w:type="dxa"/>
            <w:tcBorders>
              <w:top w:val="nil"/>
              <w:bottom w:val="single" w:sz="4" w:space="0" w:color="auto"/>
            </w:tcBorders>
          </w:tcPr>
          <w:p w:rsidR="00000000" w:rsidRDefault="00000000">
            <w:pPr>
              <w:spacing w:before="60" w:line="240" w:lineRule="exact"/>
              <w:jc w:val="center"/>
              <w:rPr>
                <w:rFonts w:hint="eastAsia"/>
                <w:spacing w:val="4"/>
                <w:sz w:val="20"/>
              </w:rPr>
            </w:pPr>
          </w:p>
        </w:tc>
        <w:tc>
          <w:tcPr>
            <w:tcW w:w="1430" w:type="dxa"/>
            <w:tcBorders>
              <w:top w:val="nil"/>
              <w:bottom w:val="single" w:sz="4" w:space="0" w:color="auto"/>
            </w:tcBorders>
          </w:tcPr>
          <w:p w:rsidR="00000000" w:rsidRDefault="00000000">
            <w:pPr>
              <w:spacing w:before="60" w:line="240" w:lineRule="exact"/>
              <w:jc w:val="center"/>
              <w:rPr>
                <w:rFonts w:hint="eastAsia"/>
                <w:spacing w:val="4"/>
                <w:sz w:val="20"/>
              </w:rPr>
            </w:pPr>
            <w:r>
              <w:rPr>
                <w:rFonts w:hint="eastAsia"/>
                <w:spacing w:val="4"/>
                <w:sz w:val="20"/>
              </w:rPr>
              <w:t>总计</w:t>
            </w:r>
          </w:p>
        </w:tc>
        <w:tc>
          <w:tcPr>
            <w:tcW w:w="2200" w:type="dxa"/>
            <w:tcBorders>
              <w:top w:val="nil"/>
              <w:bottom w:val="single" w:sz="4" w:space="0" w:color="auto"/>
            </w:tcBorders>
            <w:vAlign w:val="bottom"/>
          </w:tcPr>
          <w:p w:rsidR="00000000" w:rsidRDefault="00000000">
            <w:pPr>
              <w:spacing w:before="60" w:line="240" w:lineRule="exact"/>
              <w:jc w:val="center"/>
              <w:rPr>
                <w:spacing w:val="4"/>
                <w:sz w:val="20"/>
              </w:rPr>
            </w:pPr>
            <w:r>
              <w:rPr>
                <w:spacing w:val="4"/>
                <w:sz w:val="20"/>
              </w:rPr>
              <w:t>25.7</w:t>
            </w:r>
          </w:p>
        </w:tc>
        <w:tc>
          <w:tcPr>
            <w:tcW w:w="2200" w:type="dxa"/>
            <w:tcBorders>
              <w:top w:val="nil"/>
              <w:bottom w:val="single" w:sz="4" w:space="0" w:color="auto"/>
            </w:tcBorders>
            <w:vAlign w:val="bottom"/>
          </w:tcPr>
          <w:p w:rsidR="00000000" w:rsidRDefault="00000000">
            <w:pPr>
              <w:spacing w:before="60" w:line="240" w:lineRule="exact"/>
              <w:ind w:left="113"/>
              <w:jc w:val="center"/>
              <w:rPr>
                <w:spacing w:val="4"/>
                <w:sz w:val="20"/>
              </w:rPr>
            </w:pPr>
            <w:r>
              <w:rPr>
                <w:spacing w:val="4"/>
                <w:sz w:val="20"/>
              </w:rPr>
              <w:t>9.7</w:t>
            </w:r>
          </w:p>
        </w:tc>
        <w:tc>
          <w:tcPr>
            <w:tcW w:w="2200" w:type="dxa"/>
            <w:tcBorders>
              <w:top w:val="nil"/>
              <w:bottom w:val="single" w:sz="4" w:space="0" w:color="auto"/>
            </w:tcBorders>
            <w:vAlign w:val="bottom"/>
          </w:tcPr>
          <w:p w:rsidR="00000000" w:rsidRDefault="00000000">
            <w:pPr>
              <w:spacing w:before="60" w:line="240" w:lineRule="exact"/>
              <w:jc w:val="center"/>
              <w:rPr>
                <w:spacing w:val="4"/>
                <w:sz w:val="20"/>
              </w:rPr>
            </w:pPr>
            <w:r>
              <w:rPr>
                <w:spacing w:val="4"/>
                <w:sz w:val="20"/>
              </w:rPr>
              <w:t>0.0</w:t>
            </w:r>
          </w:p>
        </w:tc>
      </w:tr>
      <w:tr w:rsidR="00000000">
        <w:tblPrEx>
          <w:tblCellMar>
            <w:top w:w="0" w:type="dxa"/>
            <w:bottom w:w="0" w:type="dxa"/>
          </w:tblCellMar>
        </w:tblPrEx>
        <w:tc>
          <w:tcPr>
            <w:tcW w:w="1538" w:type="dxa"/>
            <w:tcBorders>
              <w:bottom w:val="nil"/>
            </w:tcBorders>
          </w:tcPr>
          <w:p w:rsidR="00000000" w:rsidRDefault="00000000">
            <w:pPr>
              <w:spacing w:before="60" w:line="240" w:lineRule="exact"/>
              <w:jc w:val="center"/>
              <w:rPr>
                <w:rFonts w:hint="eastAsia"/>
                <w:spacing w:val="4"/>
                <w:sz w:val="20"/>
              </w:rPr>
            </w:pPr>
            <w:r>
              <w:rPr>
                <w:rFonts w:hint="eastAsia"/>
                <w:spacing w:val="4"/>
                <w:sz w:val="20"/>
              </w:rPr>
              <w:t>总</w:t>
            </w:r>
            <w:r>
              <w:rPr>
                <w:rFonts w:hint="eastAsia"/>
                <w:spacing w:val="4"/>
                <w:sz w:val="20"/>
              </w:rPr>
              <w:t xml:space="preserve">  </w:t>
            </w:r>
            <w:r>
              <w:rPr>
                <w:rFonts w:hint="eastAsia"/>
                <w:spacing w:val="4"/>
                <w:sz w:val="20"/>
              </w:rPr>
              <w:t>计</w:t>
            </w:r>
          </w:p>
        </w:tc>
        <w:tc>
          <w:tcPr>
            <w:tcW w:w="1430" w:type="dxa"/>
            <w:tcBorders>
              <w:bottom w:val="nil"/>
            </w:tcBorders>
          </w:tcPr>
          <w:p w:rsidR="00000000" w:rsidRDefault="00000000">
            <w:pPr>
              <w:spacing w:before="60" w:line="240" w:lineRule="exact"/>
              <w:jc w:val="center"/>
              <w:rPr>
                <w:rFonts w:hint="eastAsia"/>
                <w:spacing w:val="4"/>
                <w:sz w:val="20"/>
              </w:rPr>
            </w:pPr>
            <w:r>
              <w:rPr>
                <w:rFonts w:hint="eastAsia"/>
                <w:spacing w:val="4"/>
                <w:sz w:val="20"/>
              </w:rPr>
              <w:t>城市</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22.2</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11.7</w:t>
            </w:r>
          </w:p>
        </w:tc>
        <w:tc>
          <w:tcPr>
            <w:tcW w:w="2200" w:type="dxa"/>
            <w:tcBorders>
              <w:bottom w:val="nil"/>
            </w:tcBorders>
            <w:vAlign w:val="bottom"/>
          </w:tcPr>
          <w:p w:rsidR="00000000" w:rsidRDefault="00000000">
            <w:pPr>
              <w:spacing w:before="60" w:line="240" w:lineRule="exact"/>
              <w:jc w:val="center"/>
              <w:rPr>
                <w:spacing w:val="4"/>
                <w:sz w:val="20"/>
              </w:rPr>
            </w:pPr>
            <w:r>
              <w:rPr>
                <w:spacing w:val="4"/>
                <w:sz w:val="20"/>
              </w:rPr>
              <w:t>1.9</w:t>
            </w:r>
          </w:p>
        </w:tc>
      </w:tr>
      <w:tr w:rsidR="00000000">
        <w:tblPrEx>
          <w:tblCellMar>
            <w:top w:w="0" w:type="dxa"/>
            <w:bottom w:w="0" w:type="dxa"/>
          </w:tblCellMar>
        </w:tblPrEx>
        <w:tc>
          <w:tcPr>
            <w:tcW w:w="1538" w:type="dxa"/>
            <w:tcBorders>
              <w:top w:val="nil"/>
              <w:bottom w:val="nil"/>
            </w:tcBorders>
          </w:tcPr>
          <w:p w:rsidR="00000000" w:rsidRDefault="00000000">
            <w:pPr>
              <w:spacing w:before="60" w:line="240" w:lineRule="exact"/>
              <w:jc w:val="center"/>
              <w:rPr>
                <w:rFonts w:hint="eastAsia"/>
                <w:spacing w:val="4"/>
                <w:sz w:val="20"/>
              </w:rPr>
            </w:pPr>
          </w:p>
        </w:tc>
        <w:tc>
          <w:tcPr>
            <w:tcW w:w="1430" w:type="dxa"/>
            <w:tcBorders>
              <w:top w:val="nil"/>
              <w:bottom w:val="nil"/>
            </w:tcBorders>
          </w:tcPr>
          <w:p w:rsidR="00000000" w:rsidRDefault="00000000">
            <w:pPr>
              <w:spacing w:before="60" w:line="240" w:lineRule="exact"/>
              <w:jc w:val="center"/>
              <w:rPr>
                <w:rFonts w:hint="eastAsia"/>
                <w:spacing w:val="4"/>
                <w:sz w:val="20"/>
              </w:rPr>
            </w:pPr>
            <w:r>
              <w:rPr>
                <w:rFonts w:hint="eastAsia"/>
                <w:spacing w:val="4"/>
                <w:sz w:val="20"/>
              </w:rPr>
              <w:t>农村</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33.0</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18.6</w:t>
            </w:r>
          </w:p>
        </w:tc>
        <w:tc>
          <w:tcPr>
            <w:tcW w:w="2200" w:type="dxa"/>
            <w:tcBorders>
              <w:top w:val="nil"/>
              <w:bottom w:val="nil"/>
            </w:tcBorders>
            <w:vAlign w:val="bottom"/>
          </w:tcPr>
          <w:p w:rsidR="00000000" w:rsidRDefault="00000000">
            <w:pPr>
              <w:spacing w:before="60" w:line="240" w:lineRule="exact"/>
              <w:jc w:val="center"/>
              <w:rPr>
                <w:spacing w:val="4"/>
                <w:sz w:val="20"/>
              </w:rPr>
            </w:pPr>
            <w:r>
              <w:rPr>
                <w:spacing w:val="4"/>
                <w:sz w:val="20"/>
              </w:rPr>
              <w:t>3.0</w:t>
            </w:r>
          </w:p>
        </w:tc>
      </w:tr>
      <w:tr w:rsidR="00000000">
        <w:tblPrEx>
          <w:tblCellMar>
            <w:top w:w="0" w:type="dxa"/>
            <w:bottom w:w="0" w:type="dxa"/>
          </w:tblCellMar>
        </w:tblPrEx>
        <w:tc>
          <w:tcPr>
            <w:tcW w:w="1538" w:type="dxa"/>
            <w:tcBorders>
              <w:top w:val="nil"/>
            </w:tcBorders>
          </w:tcPr>
          <w:p w:rsidR="00000000" w:rsidRDefault="00000000">
            <w:pPr>
              <w:spacing w:before="60" w:line="240" w:lineRule="exact"/>
              <w:jc w:val="center"/>
              <w:rPr>
                <w:rFonts w:hint="eastAsia"/>
                <w:spacing w:val="4"/>
                <w:sz w:val="20"/>
              </w:rPr>
            </w:pPr>
          </w:p>
        </w:tc>
        <w:tc>
          <w:tcPr>
            <w:tcW w:w="1430" w:type="dxa"/>
            <w:tcBorders>
              <w:top w:val="nil"/>
            </w:tcBorders>
          </w:tcPr>
          <w:p w:rsidR="00000000" w:rsidRDefault="00000000">
            <w:pPr>
              <w:spacing w:before="60" w:line="240" w:lineRule="exact"/>
              <w:jc w:val="center"/>
              <w:rPr>
                <w:rFonts w:hint="eastAsia"/>
                <w:spacing w:val="4"/>
                <w:sz w:val="20"/>
              </w:rPr>
            </w:pPr>
            <w:r>
              <w:rPr>
                <w:rFonts w:hint="eastAsia"/>
                <w:spacing w:val="4"/>
                <w:sz w:val="20"/>
              </w:rPr>
              <w:t>总计</w:t>
            </w:r>
          </w:p>
        </w:tc>
        <w:tc>
          <w:tcPr>
            <w:tcW w:w="2200" w:type="dxa"/>
            <w:tcBorders>
              <w:top w:val="nil"/>
            </w:tcBorders>
            <w:vAlign w:val="bottom"/>
          </w:tcPr>
          <w:p w:rsidR="00000000" w:rsidRDefault="00000000">
            <w:pPr>
              <w:spacing w:before="60" w:line="240" w:lineRule="exact"/>
              <w:jc w:val="center"/>
              <w:rPr>
                <w:spacing w:val="4"/>
                <w:sz w:val="20"/>
              </w:rPr>
            </w:pPr>
            <w:r>
              <w:rPr>
                <w:spacing w:val="4"/>
                <w:sz w:val="20"/>
              </w:rPr>
              <w:t>26.7</w:t>
            </w:r>
          </w:p>
        </w:tc>
        <w:tc>
          <w:tcPr>
            <w:tcW w:w="2200" w:type="dxa"/>
            <w:tcBorders>
              <w:top w:val="nil"/>
            </w:tcBorders>
            <w:vAlign w:val="bottom"/>
          </w:tcPr>
          <w:p w:rsidR="00000000" w:rsidRDefault="00000000">
            <w:pPr>
              <w:spacing w:before="60" w:line="240" w:lineRule="exact"/>
              <w:jc w:val="center"/>
              <w:rPr>
                <w:spacing w:val="4"/>
                <w:sz w:val="20"/>
              </w:rPr>
            </w:pPr>
            <w:r>
              <w:rPr>
                <w:spacing w:val="4"/>
                <w:sz w:val="20"/>
              </w:rPr>
              <w:t>14.6</w:t>
            </w:r>
          </w:p>
        </w:tc>
        <w:tc>
          <w:tcPr>
            <w:tcW w:w="2200" w:type="dxa"/>
            <w:tcBorders>
              <w:top w:val="nil"/>
            </w:tcBorders>
            <w:vAlign w:val="bottom"/>
          </w:tcPr>
          <w:p w:rsidR="00000000" w:rsidRDefault="00000000">
            <w:pPr>
              <w:spacing w:before="60" w:line="240" w:lineRule="exact"/>
              <w:jc w:val="center"/>
              <w:rPr>
                <w:spacing w:val="4"/>
                <w:sz w:val="20"/>
              </w:rPr>
            </w:pPr>
            <w:r>
              <w:rPr>
                <w:spacing w:val="4"/>
                <w:sz w:val="20"/>
              </w:rPr>
              <w:t>2.3</w:t>
            </w:r>
          </w:p>
        </w:tc>
      </w:tr>
    </w:tbl>
    <w:p w:rsidR="00000000" w:rsidRDefault="00000000">
      <w:pPr>
        <w:rPr>
          <w:rFonts w:hint="eastAsia"/>
        </w:rPr>
      </w:pPr>
    </w:p>
    <w:p w:rsidR="00000000" w:rsidRDefault="00000000">
      <w:pPr>
        <w:pStyle w:val="FootnoteText"/>
        <w:rPr>
          <w:rFonts w:hint="eastAsia"/>
        </w:rPr>
      </w:pPr>
      <w:r>
        <w:rPr>
          <w:rFonts w:hint="eastAsia"/>
          <w:u w:val="single"/>
        </w:rPr>
        <w:t>资料来源</w:t>
      </w:r>
      <w:r>
        <w:rPr>
          <w:rFonts w:hint="eastAsia"/>
        </w:rPr>
        <w:t>：社会指数综合系统</w:t>
      </w:r>
      <w:r>
        <w:rPr>
          <w:rFonts w:hint="eastAsia"/>
        </w:rPr>
        <w:t>(SIISE)</w:t>
      </w:r>
      <w:r>
        <w:rPr>
          <w:rFonts w:hint="eastAsia"/>
        </w:rPr>
        <w:t>，国家人类发展秘书处，</w:t>
      </w:r>
      <w:r>
        <w:rPr>
          <w:rFonts w:hint="eastAsia"/>
        </w:rPr>
        <w:t>1999</w:t>
      </w:r>
      <w:r>
        <w:rPr>
          <w:rFonts w:hint="eastAsia"/>
        </w:rPr>
        <w:t>年。</w:t>
      </w:r>
      <w:r>
        <w:rPr>
          <w:rFonts w:hint="eastAsia"/>
          <w:b/>
          <w:vertAlign w:val="superscript"/>
        </w:rPr>
        <w:t>43</w:t>
      </w:r>
    </w:p>
    <w:p w:rsidR="00000000" w:rsidRDefault="00000000">
      <w:pPr>
        <w:rPr>
          <w:rFonts w:hint="eastAsia"/>
        </w:rPr>
      </w:pPr>
    </w:p>
    <w:p w:rsidR="00000000" w:rsidRDefault="00000000">
      <w:pPr>
        <w:rPr>
          <w:rFonts w:hint="eastAsia"/>
        </w:rPr>
      </w:pPr>
      <w:r>
        <w:rPr>
          <w:rFonts w:hint="eastAsia"/>
        </w:rPr>
        <w:tab/>
        <w:t xml:space="preserve">303.  </w:t>
      </w:r>
      <w:r>
        <w:rPr>
          <w:rFonts w:hint="eastAsia"/>
        </w:rPr>
        <w:t>上表表明，营养不良问题对身高造成的影响最为明显。大多数营养不良问题源自与其他遗传因素和卫生设施不足有关的长期喂养不足，而这种情况在拥有土著和黑人人口的社会</w:t>
      </w:r>
      <w:r>
        <w:rPr>
          <w:rFonts w:hint="eastAsia"/>
          <w:spacing w:val="-50"/>
          <w:lang w:val="fr-CH"/>
        </w:rPr>
        <w:t>―</w:t>
      </w:r>
      <w:r>
        <w:rPr>
          <w:rFonts w:hint="eastAsia"/>
          <w:lang w:val="fr-CH"/>
        </w:rPr>
        <w:t>―</w:t>
      </w:r>
      <w:r>
        <w:rPr>
          <w:rFonts w:hint="eastAsia"/>
        </w:rPr>
        <w:t>经济群体与边缘化地区最为严重。</w:t>
      </w:r>
    </w:p>
    <w:p w:rsidR="00000000" w:rsidRDefault="00000000">
      <w:pPr>
        <w:spacing w:after="240"/>
        <w:rPr>
          <w:rFonts w:hint="eastAsia"/>
        </w:rPr>
      </w:pPr>
      <w:r>
        <w:rPr>
          <w:rFonts w:hint="eastAsia"/>
        </w:rPr>
        <w:tab/>
        <w:t xml:space="preserve">304.  </w:t>
      </w:r>
      <w:r>
        <w:rPr>
          <w:rFonts w:hint="eastAsia"/>
        </w:rPr>
        <w:t>近年来营养不良比率的下降基本上是靠公共卫生部执行提倡母乳喂养的策略和扩大防疫方案实现的。正如从上文所分析的指标可以看出的，生活条件肯定没有改善，反而导致了贫困。已得到通过的《免费生育改革法案》建立了一种法律和财务框架，确保最穷的人也能获得卫生服务，并负担了婴儿和</w:t>
      </w:r>
      <w:r>
        <w:rPr>
          <w:rFonts w:hint="eastAsia"/>
        </w:rPr>
        <w:t>5</w:t>
      </w:r>
      <w:r>
        <w:rPr>
          <w:rFonts w:hint="eastAsia"/>
        </w:rPr>
        <w:t>岁以下的儿童的预防性保健的费用。该法案还确保将该项专款的管理权下放，通过地方管理委员会和用户满意委员会进行管理，并允许妇女团体参与规划过程。</w:t>
      </w:r>
    </w:p>
    <w:p w:rsidR="00000000" w:rsidRDefault="00000000">
      <w:pPr>
        <w:pStyle w:val="Heading4"/>
        <w:rPr>
          <w:rFonts w:eastAsia="KaiTi_GB2312" w:hint="eastAsia"/>
          <w:snapToGrid/>
          <w:spacing w:val="0"/>
          <w:u w:val="none"/>
        </w:rPr>
      </w:pPr>
      <w:r>
        <w:rPr>
          <w:rFonts w:eastAsia="KaiTi_GB2312" w:hint="eastAsia"/>
          <w:snapToGrid/>
          <w:spacing w:val="0"/>
          <w:u w:val="none"/>
        </w:rPr>
        <w:t>弱势群体的状况</w:t>
      </w:r>
    </w:p>
    <w:p w:rsidR="00000000" w:rsidRDefault="00000000">
      <w:pPr>
        <w:rPr>
          <w:rFonts w:hint="eastAsia"/>
        </w:rPr>
      </w:pPr>
      <w:r>
        <w:rPr>
          <w:rFonts w:hint="eastAsia"/>
        </w:rPr>
        <w:tab/>
        <w:t xml:space="preserve">305.  </w:t>
      </w:r>
      <w:r>
        <w:rPr>
          <w:rFonts w:hint="eastAsia"/>
        </w:rPr>
        <w:t>农业与牧业部自</w:t>
      </w:r>
      <w:r>
        <w:rPr>
          <w:rFonts w:hint="eastAsia"/>
        </w:rPr>
        <w:t>1980</w:t>
      </w:r>
      <w:r>
        <w:rPr>
          <w:rFonts w:hint="eastAsia"/>
        </w:rPr>
        <w:t>年代起一直致力于改善妇女状况的方案。该部现正在根据妇女目前发挥的作用，加大力度执行其各项政策、方案和行动，妇女目前不仅发挥支持家庭农业生产的作用，而且还直接负责这一活动，因为男人常常出门在外，并且需要增加家庭收入。</w:t>
      </w:r>
    </w:p>
    <w:p w:rsidR="00000000" w:rsidRDefault="00000000">
      <w:pPr>
        <w:rPr>
          <w:rFonts w:hint="eastAsia"/>
        </w:rPr>
      </w:pPr>
      <w:r>
        <w:rPr>
          <w:rFonts w:hint="eastAsia"/>
        </w:rPr>
        <w:tab/>
        <w:t xml:space="preserve">306.  </w:t>
      </w:r>
      <w:r>
        <w:rPr>
          <w:rFonts w:hint="eastAsia"/>
        </w:rPr>
        <w:t>对农业发展具有重要意义的另一阶层是青年。该部所支持的发展项目让妇女和青年这两个阶层直接受益，从而使家庭、社区和农村地区普遍受惠。这一方案由根据</w:t>
      </w:r>
      <w:r>
        <w:rPr>
          <w:rFonts w:hint="eastAsia"/>
        </w:rPr>
        <w:t>1996</w:t>
      </w:r>
      <w:r>
        <w:rPr>
          <w:rFonts w:hint="eastAsia"/>
        </w:rPr>
        <w:t>年</w:t>
      </w:r>
      <w:r>
        <w:rPr>
          <w:rFonts w:hint="eastAsia"/>
        </w:rPr>
        <w:t>6</w:t>
      </w:r>
      <w:r>
        <w:rPr>
          <w:rFonts w:hint="eastAsia"/>
        </w:rPr>
        <w:t>月</w:t>
      </w:r>
      <w:r>
        <w:rPr>
          <w:rFonts w:hint="eastAsia"/>
        </w:rPr>
        <w:t>3</w:t>
      </w:r>
      <w:r>
        <w:rPr>
          <w:rFonts w:hint="eastAsia"/>
        </w:rPr>
        <w:t>日在《官方公报》上公布的第</w:t>
      </w:r>
      <w:r>
        <w:rPr>
          <w:rFonts w:hint="eastAsia"/>
        </w:rPr>
        <w:t>180</w:t>
      </w:r>
      <w:r>
        <w:rPr>
          <w:rFonts w:hint="eastAsia"/>
        </w:rPr>
        <w:t>号《部级协议》设立的国家农民妇女、青年和家庭司负责执行。</w:t>
      </w:r>
    </w:p>
    <w:p w:rsidR="00000000" w:rsidRDefault="00000000">
      <w:pPr>
        <w:rPr>
          <w:rFonts w:hint="eastAsia"/>
        </w:rPr>
      </w:pPr>
      <w:r>
        <w:rPr>
          <w:rFonts w:hint="eastAsia"/>
        </w:rPr>
        <w:tab/>
        <w:t xml:space="preserve">307.  </w:t>
      </w:r>
      <w:r>
        <w:rPr>
          <w:rFonts w:hint="eastAsia"/>
        </w:rPr>
        <w:t>国家农民妇女、青年和家庭司的工作旨在推动高效率的劳动，优化利用人力、技术、财政和物资资源，通过制订以妇女问题为重点并同时尊重和充分重视习俗及种族和文化方面的政策、计划、方案和项目，确保农村地区的社会和经济环境有所改变。</w:t>
      </w:r>
    </w:p>
    <w:p w:rsidR="00000000" w:rsidRDefault="00000000">
      <w:pPr>
        <w:spacing w:after="240"/>
        <w:rPr>
          <w:rFonts w:hint="eastAsia"/>
        </w:rPr>
      </w:pPr>
      <w:r>
        <w:rPr>
          <w:rFonts w:hint="eastAsia"/>
        </w:rPr>
        <w:tab/>
        <w:t xml:space="preserve">308.  </w:t>
      </w:r>
      <w:r>
        <w:rPr>
          <w:rFonts w:hint="eastAsia"/>
        </w:rPr>
        <w:t>该司的目标是，要妇女问题这一工作重点融入该部的所有计划、方案和项目中，制订出一种着眼于妇女的培训和技术转让方法，并为启动生产性项目开展培训进程。该司负责跟踪和监督项目的执行情况，为负责对项目进行行政和财政管理及其筹资的组织提供帮助和咨询服务，并协调机构内和机构间开展使农民妇女、青年和家庭受益的活动。</w:t>
      </w:r>
    </w:p>
    <w:p w:rsidR="00000000" w:rsidRDefault="00000000">
      <w:pPr>
        <w:pStyle w:val="Heading4"/>
        <w:rPr>
          <w:rFonts w:eastAsia="KaiTi_GB2312" w:hint="eastAsia"/>
          <w:snapToGrid/>
          <w:spacing w:val="0"/>
          <w:u w:val="none"/>
        </w:rPr>
      </w:pPr>
      <w:r>
        <w:rPr>
          <w:rFonts w:eastAsia="KaiTi_GB2312" w:hint="eastAsia"/>
          <w:snapToGrid/>
          <w:spacing w:val="0"/>
          <w:u w:val="none"/>
        </w:rPr>
        <w:t>新</w:t>
      </w:r>
      <w:r>
        <w:rPr>
          <w:rFonts w:eastAsia="KaiTi_GB2312"/>
          <w:snapToGrid/>
          <w:spacing w:val="0"/>
          <w:u w:val="none"/>
        </w:rPr>
        <w:t xml:space="preserve"> </w:t>
      </w:r>
      <w:r>
        <w:rPr>
          <w:rFonts w:eastAsia="KaiTi_GB2312" w:hint="eastAsia"/>
          <w:snapToGrid/>
          <w:spacing w:val="0"/>
          <w:u w:val="none"/>
        </w:rPr>
        <w:t>政</w:t>
      </w:r>
      <w:r>
        <w:rPr>
          <w:rFonts w:eastAsia="KaiTi_GB2312"/>
          <w:snapToGrid/>
          <w:spacing w:val="0"/>
          <w:u w:val="none"/>
        </w:rPr>
        <w:t xml:space="preserve"> </w:t>
      </w:r>
      <w:r>
        <w:rPr>
          <w:rFonts w:eastAsia="KaiTi_GB2312" w:hint="eastAsia"/>
          <w:snapToGrid/>
          <w:spacing w:val="0"/>
          <w:u w:val="none"/>
        </w:rPr>
        <w:t>策</w:t>
      </w:r>
    </w:p>
    <w:p w:rsidR="00000000" w:rsidRDefault="00000000">
      <w:pPr>
        <w:rPr>
          <w:rFonts w:hint="eastAsia"/>
        </w:rPr>
      </w:pPr>
      <w:r>
        <w:rPr>
          <w:rFonts w:hint="eastAsia"/>
        </w:rPr>
        <w:tab/>
        <w:t xml:space="preserve">309.  </w:t>
      </w:r>
      <w:r>
        <w:rPr>
          <w:rFonts w:hint="eastAsia"/>
        </w:rPr>
        <w:t>政府为实现预算平衡而执行的调整政策所带来的制约，对收入最低的群体有冲击。近年来，政府加速改变厄瓜多尔的人口分布格局，造成农村人口移向城市，极其迅速地在城市边缘地区形成贫困地带，尤其是基多和瓜亚基尔湾附近。移民带来了生活方式的重大变化，甚至饮食习惯的变化，因为人们吃的食品种类增多，这些食品虽不能满足基本营养要求，但由于廉价而更容易得到。影响粮食供应和消费的其他因素有：母亲受教育的程度，饮食习惯与做法，以及粮食供应的质量和经常性。</w:t>
      </w:r>
    </w:p>
    <w:p w:rsidR="00000000" w:rsidRDefault="00000000">
      <w:pPr>
        <w:pStyle w:val="Heading4"/>
        <w:spacing w:before="300"/>
        <w:rPr>
          <w:rFonts w:hint="eastAsia"/>
        </w:rPr>
      </w:pPr>
      <w:r>
        <w:rPr>
          <w:rFonts w:hint="eastAsia"/>
        </w:rPr>
        <w:t>粮食安全</w:t>
      </w:r>
    </w:p>
    <w:p w:rsidR="00000000" w:rsidRDefault="00000000">
      <w:pPr>
        <w:rPr>
          <w:rFonts w:hint="eastAsia"/>
        </w:rPr>
      </w:pPr>
      <w:r>
        <w:rPr>
          <w:rFonts w:hint="eastAsia"/>
        </w:rPr>
        <w:tab/>
        <w:t xml:space="preserve">310.  </w:t>
      </w:r>
      <w:r>
        <w:rPr>
          <w:rFonts w:hint="eastAsia"/>
        </w:rPr>
        <w:t>厄瓜多尔穷人的粮食安全十分脆弱。获得充足粮食权是一项根本权利。各级政府对其给予优先重视，并采取各种行动确保实现这一权利。</w:t>
      </w:r>
    </w:p>
    <w:p w:rsidR="00000000" w:rsidRDefault="00000000">
      <w:pPr>
        <w:rPr>
          <w:rFonts w:hint="eastAsia"/>
        </w:rPr>
      </w:pPr>
      <w:r>
        <w:rPr>
          <w:rFonts w:hint="eastAsia"/>
        </w:rPr>
        <w:tab/>
        <w:t xml:space="preserve">311.  </w:t>
      </w:r>
      <w:r>
        <w:rPr>
          <w:rFonts w:hint="eastAsia"/>
        </w:rPr>
        <w:t>在</w:t>
      </w:r>
      <w:r>
        <w:rPr>
          <w:rFonts w:hint="eastAsia"/>
        </w:rPr>
        <w:t>1998</w:t>
      </w:r>
      <w:r>
        <w:rPr>
          <w:rFonts w:hint="eastAsia"/>
        </w:rPr>
        <w:t>年</w:t>
      </w:r>
      <w:r>
        <w:rPr>
          <w:rFonts w:hint="eastAsia"/>
        </w:rPr>
        <w:t>1</w:t>
      </w:r>
      <w:r>
        <w:rPr>
          <w:rFonts w:hint="eastAsia"/>
        </w:rPr>
        <w:t>月</w:t>
      </w:r>
      <w:r>
        <w:rPr>
          <w:rFonts w:hint="eastAsia"/>
        </w:rPr>
        <w:t>13</w:t>
      </w:r>
      <w:r>
        <w:rPr>
          <w:rFonts w:hint="eastAsia"/>
        </w:rPr>
        <w:t>日的第</w:t>
      </w:r>
      <w:r>
        <w:rPr>
          <w:rFonts w:hint="eastAsia"/>
        </w:rPr>
        <w:t>234</w:t>
      </w:r>
      <w:r>
        <w:rPr>
          <w:rFonts w:hint="eastAsia"/>
        </w:rPr>
        <w:t>号《官方公报》中公布的第</w:t>
      </w:r>
      <w:r>
        <w:rPr>
          <w:rFonts w:hint="eastAsia"/>
        </w:rPr>
        <w:t>1039</w:t>
      </w:r>
      <w:r>
        <w:rPr>
          <w:rFonts w:hint="eastAsia"/>
        </w:rPr>
        <w:t>号行政法令宣布：“厄瓜多尔人民的粮食安全以及为确保国家粮食安全而执行的特别方案是一项国策”，为此成立了粮食安全执行委员会。该法令规定了方针和政策，确保人们有效、公正地参与保证粮食安全的工作。</w:t>
      </w:r>
    </w:p>
    <w:p w:rsidR="00000000" w:rsidRDefault="00000000">
      <w:pPr>
        <w:rPr>
          <w:rFonts w:hint="eastAsia"/>
        </w:rPr>
      </w:pPr>
      <w:r>
        <w:rPr>
          <w:rFonts w:hint="eastAsia"/>
        </w:rPr>
        <w:tab/>
        <w:t xml:space="preserve">312.  </w:t>
      </w:r>
      <w:r>
        <w:rPr>
          <w:rFonts w:hint="eastAsia"/>
        </w:rPr>
        <w:t>国家粮食安全执行委员会由农业与牧业部牵头，成员包括公共卫生部、社会福利部、教育部、外交部和环境部，以及总统办公室计划厅、国家安全委员会、国家水资源委员会、厄瓜多尔民族和人民发展委员会等其他机构，教育与传播公司</w:t>
      </w:r>
      <w:r>
        <w:rPr>
          <w:rFonts w:hint="eastAsia"/>
        </w:rPr>
        <w:t>(CEQUIPUS)</w:t>
      </w:r>
      <w:r>
        <w:rPr>
          <w:rFonts w:hint="eastAsia"/>
        </w:rPr>
        <w:t>、交流与发展基金会、美洲农业与民主网络等非政府组织，以及联合国粮食和农业组织</w:t>
      </w:r>
      <w:r>
        <w:rPr>
          <w:rFonts w:hint="eastAsia"/>
        </w:rPr>
        <w:t>(</w:t>
      </w:r>
      <w:r>
        <w:rPr>
          <w:rFonts w:hint="eastAsia"/>
        </w:rPr>
        <w:t>粮农组织</w:t>
      </w:r>
      <w:r>
        <w:rPr>
          <w:rFonts w:hint="eastAsia"/>
        </w:rPr>
        <w:t>)</w:t>
      </w:r>
      <w:r>
        <w:rPr>
          <w:rFonts w:hint="eastAsia"/>
        </w:rPr>
        <w:t>、联合国开发计划署</w:t>
      </w:r>
      <w:r>
        <w:rPr>
          <w:rFonts w:hint="eastAsia"/>
        </w:rPr>
        <w:t>(</w:t>
      </w:r>
      <w:r>
        <w:rPr>
          <w:rFonts w:hint="eastAsia"/>
        </w:rPr>
        <w:t>开发署</w:t>
      </w:r>
      <w:r>
        <w:rPr>
          <w:rFonts w:hint="eastAsia"/>
        </w:rPr>
        <w:t>)</w:t>
      </w:r>
      <w:r>
        <w:rPr>
          <w:rFonts w:hint="eastAsia"/>
        </w:rPr>
        <w:t>和世界粮食计划署等国际组织，这些国际组织的作用是提供咨询意见。</w:t>
      </w:r>
    </w:p>
    <w:p w:rsidR="00000000" w:rsidRDefault="00000000">
      <w:pPr>
        <w:rPr>
          <w:rFonts w:hint="eastAsia"/>
        </w:rPr>
      </w:pPr>
      <w:r>
        <w:rPr>
          <w:rFonts w:hint="eastAsia"/>
        </w:rPr>
        <w:tab/>
        <w:t xml:space="preserve">313.  </w:t>
      </w:r>
      <w:r>
        <w:rPr>
          <w:rFonts w:hint="eastAsia"/>
        </w:rPr>
        <w:t>该委员会在粮农组织的主持下工作，已开始在厄瓜多尔执行粮食安全特别方案。</w:t>
      </w:r>
    </w:p>
    <w:p w:rsidR="00000000" w:rsidRDefault="00000000">
      <w:pPr>
        <w:rPr>
          <w:rFonts w:hint="eastAsia"/>
        </w:rPr>
      </w:pPr>
      <w:r>
        <w:rPr>
          <w:rFonts w:hint="eastAsia"/>
        </w:rPr>
        <w:tab/>
        <w:t xml:space="preserve">314.  </w:t>
      </w:r>
      <w:r>
        <w:rPr>
          <w:rFonts w:hint="eastAsia"/>
        </w:rPr>
        <w:t>该方案的目标是，在适合本国国情的政治、方案和操作框架内，加强和引导公共和私营机构以及农民组织和负责处理粮食安全方面的社会和技术问题的国际机构开展工作。</w:t>
      </w:r>
    </w:p>
    <w:p w:rsidR="00000000" w:rsidRDefault="00000000">
      <w:pPr>
        <w:rPr>
          <w:rFonts w:hint="eastAsia"/>
        </w:rPr>
      </w:pPr>
      <w:r>
        <w:rPr>
          <w:rFonts w:hint="eastAsia"/>
        </w:rPr>
        <w:tab/>
        <w:t xml:space="preserve">315.  </w:t>
      </w:r>
      <w:r>
        <w:rPr>
          <w:rFonts w:hint="eastAsia"/>
        </w:rPr>
        <w:t>目前正在执行两项试点总方案，或称“伞式方案”，一项在</w:t>
      </w:r>
      <w:r>
        <w:t>Imbabura</w:t>
      </w:r>
      <w:r>
        <w:rPr>
          <w:rFonts w:hint="eastAsia"/>
        </w:rPr>
        <w:t>的</w:t>
      </w:r>
      <w:r>
        <w:t>Ambuqui</w:t>
      </w:r>
      <w:r>
        <w:rPr>
          <w:rFonts w:hint="eastAsia"/>
        </w:rPr>
        <w:t>地区，另一项在</w:t>
      </w:r>
      <w:r>
        <w:t>Manabi</w:t>
      </w:r>
      <w:r>
        <w:rPr>
          <w:rFonts w:hint="eastAsia"/>
        </w:rPr>
        <w:t>省的</w:t>
      </w:r>
      <w:r>
        <w:t>Rio Portoviejo Valley</w:t>
      </w:r>
      <w:r>
        <w:rPr>
          <w:rFonts w:hint="eastAsia"/>
        </w:rPr>
        <w:t>地区。公共部门的机构也参与执行该方案，负责为农业和畜牧业生产提供经验和资源。</w:t>
      </w:r>
    </w:p>
    <w:p w:rsidR="00000000" w:rsidRDefault="00000000">
      <w:r>
        <w:rPr>
          <w:rFonts w:hint="eastAsia"/>
        </w:rPr>
        <w:tab/>
        <w:t xml:space="preserve">316.  </w:t>
      </w:r>
      <w:r>
        <w:rPr>
          <w:rFonts w:hint="eastAsia"/>
        </w:rPr>
        <w:t>正在执行的方案作为试验场或实验室，通过应用各种技术来增加传统作物的品种，实现多样化，并用适当的方法改善社区的工作和确保粮食安全。这些方案能使水资源得到更好的利用，并让社区土产园、农林和渔业进行更好的环境管理，从而增加收入和改善生活条件。</w:t>
      </w:r>
    </w:p>
    <w:p w:rsidR="00000000" w:rsidRDefault="00000000">
      <w:pPr>
        <w:rPr>
          <w:rFonts w:hint="eastAsia"/>
        </w:rPr>
      </w:pPr>
      <w:r>
        <w:rPr>
          <w:rFonts w:hint="eastAsia"/>
        </w:rPr>
        <w:tab/>
        <w:t xml:space="preserve">317.  </w:t>
      </w:r>
      <w:r>
        <w:rPr>
          <w:rFonts w:hint="eastAsia"/>
        </w:rPr>
        <w:t>政府建立了国家农业研究所</w:t>
      </w:r>
      <w:r>
        <w:rPr>
          <w:rFonts w:hint="eastAsia"/>
        </w:rPr>
        <w:t>(</w:t>
      </w:r>
      <w:r>
        <w:rPr>
          <w:rFonts w:hint="eastAsia"/>
        </w:rPr>
        <w:t>农研所</w:t>
      </w:r>
      <w:r>
        <w:rPr>
          <w:rFonts w:hint="eastAsia"/>
        </w:rPr>
        <w:t>)</w:t>
      </w:r>
      <w:r>
        <w:rPr>
          <w:rFonts w:hint="eastAsia"/>
        </w:rPr>
        <w:t>防治影响国家作物的植物病害。</w:t>
      </w:r>
      <w:r>
        <w:rPr>
          <w:rFonts w:hint="eastAsia"/>
        </w:rPr>
        <w:t>1992</w:t>
      </w:r>
      <w:r>
        <w:rPr>
          <w:rFonts w:hint="eastAsia"/>
        </w:rPr>
        <w:t>年国会的一项法案使农研所变成一个分权的公共法实体，具有法人资格以及行政、经济、财政和技术上的自主权，并有自己的资产和特别预算。</w:t>
      </w:r>
    </w:p>
    <w:p w:rsidR="00000000" w:rsidRDefault="00000000">
      <w:pPr>
        <w:rPr>
          <w:rFonts w:hint="eastAsia"/>
        </w:rPr>
      </w:pPr>
      <w:r>
        <w:rPr>
          <w:rFonts w:hint="eastAsia"/>
        </w:rPr>
        <w:tab/>
        <w:t xml:space="preserve">318.  </w:t>
      </w:r>
      <w:r>
        <w:rPr>
          <w:rFonts w:hint="eastAsia"/>
        </w:rPr>
        <w:t>农研所是国家专门从事农业研究的主要机构，并与从事农业研究的大学有密切合作。农研所的主要精力放在开发诀窍、技术和服务，满足中小型生产者的需求，让他们提高产量、生产率和生产质量，以满足人民日益增长的粮食需求，改善人们的生活条件，促进平等，从而减少贫困。</w:t>
      </w:r>
    </w:p>
    <w:p w:rsidR="00000000" w:rsidRDefault="00000000">
      <w:pPr>
        <w:rPr>
          <w:rFonts w:hint="eastAsia"/>
        </w:rPr>
      </w:pPr>
      <w:r>
        <w:rPr>
          <w:rFonts w:hint="eastAsia"/>
        </w:rPr>
        <w:tab/>
        <w:t xml:space="preserve">319.  </w:t>
      </w:r>
      <w:r>
        <w:rPr>
          <w:rFonts w:hint="eastAsia"/>
        </w:rPr>
        <w:t>为此目的，必须要制订策略和机制，让受益者、用户和客户有效地参与制订优先重点的工作，以取得合法性并赢得支持。</w:t>
      </w:r>
    </w:p>
    <w:p w:rsidR="00000000" w:rsidRDefault="00000000">
      <w:pPr>
        <w:rPr>
          <w:rFonts w:hint="eastAsia"/>
        </w:rPr>
      </w:pPr>
      <w:r>
        <w:rPr>
          <w:rFonts w:hint="eastAsia"/>
        </w:rPr>
        <w:tab/>
        <w:t xml:space="preserve">320.  </w:t>
      </w:r>
      <w:r>
        <w:rPr>
          <w:rFonts w:hint="eastAsia"/>
        </w:rPr>
        <w:t>农研所的任务是“提供农业技术和服务”，实现以下目标：</w:t>
      </w:r>
    </w:p>
    <w:p w:rsidR="00000000" w:rsidRDefault="00000000">
      <w:pPr>
        <w:numPr>
          <w:ilvl w:val="0"/>
          <w:numId w:val="165"/>
        </w:numPr>
        <w:rPr>
          <w:rFonts w:hint="eastAsia"/>
        </w:rPr>
      </w:pPr>
      <w:r>
        <w:rPr>
          <w:rFonts w:hint="eastAsia"/>
        </w:rPr>
        <w:t>研究、开发和应用科技知识，确保农业部门合理开发、利用和保护自然资源；</w:t>
      </w:r>
    </w:p>
    <w:p w:rsidR="00000000" w:rsidRDefault="00000000">
      <w:pPr>
        <w:numPr>
          <w:ilvl w:val="0"/>
          <w:numId w:val="165"/>
        </w:numPr>
        <w:rPr>
          <w:rFonts w:hint="eastAsia"/>
        </w:rPr>
      </w:pPr>
      <w:r>
        <w:rPr>
          <w:rFonts w:hint="eastAsia"/>
        </w:rPr>
        <w:t>为不断提高农业生产和生产率，以及通过进行技术的开发、改造、论证和转让提高农产品的质量作出贡献。</w:t>
      </w:r>
    </w:p>
    <w:p w:rsidR="00000000" w:rsidRDefault="00000000">
      <w:pPr>
        <w:rPr>
          <w:rFonts w:hint="eastAsia"/>
        </w:rPr>
      </w:pPr>
      <w:r>
        <w:rPr>
          <w:rFonts w:hint="eastAsia"/>
        </w:rPr>
        <w:tab/>
        <w:t xml:space="preserve">321.  </w:t>
      </w:r>
      <w:r>
        <w:rPr>
          <w:rFonts w:hint="eastAsia"/>
        </w:rPr>
        <w:t>农研所在全国各地有七个试验站和八个农场。</w:t>
      </w:r>
    </w:p>
    <w:p w:rsidR="00000000" w:rsidRDefault="00000000">
      <w:pPr>
        <w:rPr>
          <w:rFonts w:hint="eastAsia"/>
        </w:rPr>
      </w:pPr>
      <w:r>
        <w:rPr>
          <w:rFonts w:hint="eastAsia"/>
        </w:rPr>
        <w:tab/>
        <w:t xml:space="preserve">322.  </w:t>
      </w:r>
      <w:r>
        <w:rPr>
          <w:rFonts w:hint="eastAsia"/>
        </w:rPr>
        <w:t>它开展四个领域的工作：研究；培训和技术转让；种子生产和营销；以及提供技术支持服务。</w:t>
      </w:r>
    </w:p>
    <w:p w:rsidR="00000000" w:rsidRDefault="00000000">
      <w:r>
        <w:rPr>
          <w:rFonts w:hint="eastAsia"/>
        </w:rPr>
        <w:tab/>
        <w:t xml:space="preserve">323.  </w:t>
      </w:r>
      <w:r>
        <w:rPr>
          <w:rFonts w:hint="eastAsia"/>
        </w:rPr>
        <w:t>通过在科研领域开展的工作，农研所得以开展、论证和转让有助于提高生产和生产率的诀窍和技术，并最终推出了</w:t>
      </w:r>
      <w:r>
        <w:rPr>
          <w:rFonts w:hint="eastAsia"/>
        </w:rPr>
        <w:t>160</w:t>
      </w:r>
      <w:r>
        <w:rPr>
          <w:rFonts w:hint="eastAsia"/>
        </w:rPr>
        <w:t>多种产量高、抗耐病虫害、适应全国各个农业生态地区的改良品种，用于生产稻谷、芝麻、棉花、燕麦、可可、咖啡、红豆、大麦、豆子、蚕豆、蓖麻、扁豆、玉米、花生、芒果、非洲油棕、土豆、青草、胡椒、奎藜籽、高梁、大豆、小麦、黑小麦和各种水果。</w:t>
      </w:r>
    </w:p>
    <w:p w:rsidR="00000000" w:rsidRDefault="00000000">
      <w:pPr>
        <w:rPr>
          <w:rFonts w:hint="eastAsia"/>
        </w:rPr>
      </w:pPr>
      <w:r>
        <w:rPr>
          <w:rFonts w:hint="eastAsia"/>
        </w:rPr>
        <w:tab/>
        <w:t xml:space="preserve">324.  </w:t>
      </w:r>
      <w:r>
        <w:rPr>
          <w:rFonts w:hint="eastAsia"/>
        </w:rPr>
        <w:t>同时，新品种的开发为作物的栽培、病虫害的防治、经济施肥法、播种区和播种时间与密度的管理以及收获后管理提供了必要的技术。</w:t>
      </w:r>
    </w:p>
    <w:p w:rsidR="00000000" w:rsidRDefault="00000000">
      <w:pPr>
        <w:rPr>
          <w:rFonts w:hint="eastAsia"/>
        </w:rPr>
      </w:pPr>
      <w:r>
        <w:rPr>
          <w:rFonts w:hint="eastAsia"/>
        </w:rPr>
        <w:tab/>
        <w:t xml:space="preserve">325.  </w:t>
      </w:r>
      <w:r>
        <w:rPr>
          <w:rFonts w:hint="eastAsia"/>
        </w:rPr>
        <w:t>农研所为厄瓜多尔三个地区开发了牛和小种动物营养管理的技术。该所为引进和改造青草和豆科植物作了大量工作，旨在提高厄瓜多尔各牧业地区的生产能力。</w:t>
      </w:r>
      <w:r>
        <w:rPr>
          <w:rFonts w:hint="eastAsia"/>
          <w:b/>
          <w:vertAlign w:val="superscript"/>
        </w:rPr>
        <w:t>44</w:t>
      </w:r>
    </w:p>
    <w:p w:rsidR="00000000" w:rsidRDefault="00000000">
      <w:pPr>
        <w:pStyle w:val="Heading4"/>
        <w:spacing w:before="300"/>
        <w:rPr>
          <w:rFonts w:eastAsia="KaiTi_GB2312" w:hint="eastAsia"/>
          <w:snapToGrid/>
          <w:spacing w:val="0"/>
          <w:u w:val="none"/>
        </w:rPr>
      </w:pPr>
      <w:r>
        <w:rPr>
          <w:rFonts w:eastAsia="KaiTi_GB2312" w:hint="eastAsia"/>
          <w:snapToGrid/>
          <w:spacing w:val="0"/>
          <w:u w:val="none"/>
        </w:rPr>
        <w:t>营养方案的传播</w:t>
      </w:r>
    </w:p>
    <w:p w:rsidR="00000000" w:rsidRDefault="00000000">
      <w:pPr>
        <w:rPr>
          <w:rFonts w:hint="eastAsia"/>
        </w:rPr>
      </w:pPr>
      <w:r>
        <w:rPr>
          <w:rFonts w:hint="eastAsia"/>
        </w:rPr>
        <w:tab/>
        <w:t xml:space="preserve">326.  </w:t>
      </w:r>
      <w:r>
        <w:rPr>
          <w:rFonts w:hint="eastAsia"/>
        </w:rPr>
        <w:t>公共卫生部通过其国家卫生计划以及国家粮食和营养方案，正在执行国家营养行动计划</w:t>
      </w:r>
      <w:r>
        <w:rPr>
          <w:rFonts w:hint="eastAsia"/>
        </w:rPr>
        <w:t>(PANN2000)</w:t>
      </w:r>
      <w:r>
        <w:rPr>
          <w:rFonts w:hint="eastAsia"/>
        </w:rPr>
        <w:t>。这是一种联合行动策略，包含以下内容：“为儿童添加食品”方案</w:t>
      </w:r>
      <w:r>
        <w:rPr>
          <w:rFonts w:hint="eastAsia"/>
          <w:spacing w:val="-50"/>
          <w:lang w:val="fr-CH"/>
        </w:rPr>
        <w:t>―</w:t>
      </w:r>
      <w:r>
        <w:rPr>
          <w:rFonts w:hint="eastAsia"/>
          <w:lang w:val="fr-CH"/>
        </w:rPr>
        <w:t>―</w:t>
      </w:r>
      <w:r>
        <w:rPr>
          <w:rFonts w:hint="eastAsia"/>
        </w:rPr>
        <w:t>为</w:t>
      </w:r>
      <w:r>
        <w:rPr>
          <w:rFonts w:hint="eastAsia"/>
        </w:rPr>
        <w:t>2</w:t>
      </w:r>
      <w:r>
        <w:rPr>
          <w:rFonts w:hint="eastAsia"/>
        </w:rPr>
        <w:t>岁以下的儿童、孕妇和哺乳母亲添加食品，旨在防止</w:t>
      </w:r>
      <w:r>
        <w:rPr>
          <w:rFonts w:hint="eastAsia"/>
        </w:rPr>
        <w:t>2</w:t>
      </w:r>
      <w:r>
        <w:rPr>
          <w:rFonts w:hint="eastAsia"/>
        </w:rPr>
        <w:t>岁以下的儿童因缺乏能量、蛋白质、微量营养素</w:t>
      </w:r>
      <w:r>
        <w:rPr>
          <w:rFonts w:hint="eastAsia"/>
        </w:rPr>
        <w:t>(</w:t>
      </w:r>
      <w:r>
        <w:rPr>
          <w:rFonts w:hint="eastAsia"/>
        </w:rPr>
        <w:t>维生素</w:t>
      </w:r>
      <w:r>
        <w:rPr>
          <w:rFonts w:hint="eastAsia"/>
        </w:rPr>
        <w:t>A</w:t>
      </w:r>
      <w:r>
        <w:rPr>
          <w:rFonts w:hint="eastAsia"/>
        </w:rPr>
        <w:t>、铁、锌</w:t>
      </w:r>
      <w:r>
        <w:rPr>
          <w:rFonts w:hint="eastAsia"/>
        </w:rPr>
        <w:t>)</w:t>
      </w:r>
      <w:r>
        <w:rPr>
          <w:rFonts w:hint="eastAsia"/>
        </w:rPr>
        <w:t>而发展缓慢和营养不良，以及通过改变对幼儿的哺乳和喂养行为和文化模式，提供孕妇和哺乳妇女的营养状况。</w:t>
      </w:r>
    </w:p>
    <w:p w:rsidR="00000000" w:rsidRDefault="00000000">
      <w:pPr>
        <w:rPr>
          <w:rFonts w:hint="eastAsia"/>
        </w:rPr>
      </w:pPr>
      <w:r>
        <w:rPr>
          <w:rFonts w:hint="eastAsia"/>
        </w:rPr>
        <w:tab/>
        <w:t xml:space="preserve">327.  </w:t>
      </w:r>
      <w:r>
        <w:rPr>
          <w:rFonts w:hint="eastAsia"/>
        </w:rPr>
        <w:t>该方案所针对的是</w:t>
      </w:r>
      <w:r>
        <w:rPr>
          <w:rFonts w:hint="eastAsia"/>
        </w:rPr>
        <w:t>652,189</w:t>
      </w:r>
      <w:r>
        <w:rPr>
          <w:rFonts w:hint="eastAsia"/>
        </w:rPr>
        <w:t>名受益人。</w:t>
      </w:r>
      <w:r>
        <w:rPr>
          <w:rFonts w:hint="eastAsia"/>
        </w:rPr>
        <w:t>2000</w:t>
      </w:r>
      <w:r>
        <w:rPr>
          <w:rFonts w:hint="eastAsia"/>
        </w:rPr>
        <w:t>年，该方案应涵盖</w:t>
      </w:r>
      <w:r>
        <w:rPr>
          <w:rFonts w:hint="eastAsia"/>
        </w:rPr>
        <w:t>40%</w:t>
      </w:r>
      <w:r>
        <w:rPr>
          <w:rFonts w:hint="eastAsia"/>
        </w:rPr>
        <w:t>的目标人口</w:t>
      </w:r>
      <w:r>
        <w:rPr>
          <w:rFonts w:hint="eastAsia"/>
        </w:rPr>
        <w:t>(246,000</w:t>
      </w:r>
      <w:r>
        <w:rPr>
          <w:rFonts w:hint="eastAsia"/>
        </w:rPr>
        <w:t>人</w:t>
      </w:r>
      <w:r>
        <w:rPr>
          <w:rFonts w:hint="eastAsia"/>
        </w:rPr>
        <w:t>)</w:t>
      </w:r>
      <w:r>
        <w:rPr>
          <w:rFonts w:hint="eastAsia"/>
        </w:rPr>
        <w:t>；</w:t>
      </w:r>
      <w:r>
        <w:rPr>
          <w:rFonts w:hint="eastAsia"/>
        </w:rPr>
        <w:t>2001</w:t>
      </w:r>
      <w:r>
        <w:rPr>
          <w:rFonts w:hint="eastAsia"/>
        </w:rPr>
        <w:t>年应达到</w:t>
      </w:r>
      <w:r>
        <w:rPr>
          <w:rFonts w:hint="eastAsia"/>
        </w:rPr>
        <w:t>70%(456,000</w:t>
      </w:r>
      <w:r>
        <w:rPr>
          <w:rFonts w:hint="eastAsia"/>
        </w:rPr>
        <w:t>人</w:t>
      </w:r>
      <w:r>
        <w:rPr>
          <w:rFonts w:hint="eastAsia"/>
        </w:rPr>
        <w:t>)</w:t>
      </w:r>
      <w:r>
        <w:rPr>
          <w:rFonts w:hint="eastAsia"/>
        </w:rPr>
        <w:t>，从</w:t>
      </w:r>
      <w:r>
        <w:rPr>
          <w:rFonts w:hint="eastAsia"/>
        </w:rPr>
        <w:t>2002</w:t>
      </w:r>
      <w:r>
        <w:rPr>
          <w:rFonts w:hint="eastAsia"/>
        </w:rPr>
        <w:t>年起，为</w:t>
      </w:r>
      <w:r>
        <w:rPr>
          <w:rFonts w:hint="eastAsia"/>
        </w:rPr>
        <w:t>100%(652,000</w:t>
      </w:r>
      <w:r>
        <w:rPr>
          <w:rFonts w:hint="eastAsia"/>
        </w:rPr>
        <w:t>人</w:t>
      </w:r>
      <w:r>
        <w:rPr>
          <w:rFonts w:hint="eastAsia"/>
        </w:rPr>
        <w:t>)</w:t>
      </w:r>
      <w:r>
        <w:rPr>
          <w:rFonts w:hint="eastAsia"/>
        </w:rPr>
        <w:t>。目前的计划要求从国家的</w:t>
      </w:r>
      <w:r>
        <w:rPr>
          <w:rFonts w:hint="eastAsia"/>
        </w:rPr>
        <w:t>230</w:t>
      </w:r>
      <w:r>
        <w:rPr>
          <w:rFonts w:hint="eastAsia"/>
        </w:rPr>
        <w:t>个最贫穷的地区开始执行该方案，这些地区占穷人的五分之一，即，约</w:t>
      </w:r>
      <w:r>
        <w:rPr>
          <w:rFonts w:hint="eastAsia"/>
        </w:rPr>
        <w:t>100</w:t>
      </w:r>
      <w:r>
        <w:rPr>
          <w:rFonts w:hint="eastAsia"/>
        </w:rPr>
        <w:t>万人。在这一阶段，将由公共卫生部、农业部和世界粮食计划署以及美洲卫生组织</w:t>
      </w:r>
      <w:r>
        <w:rPr>
          <w:rFonts w:hint="eastAsia"/>
          <w:spacing w:val="-50"/>
          <w:lang w:val="fr-CH"/>
        </w:rPr>
        <w:t>―</w:t>
      </w:r>
      <w:r>
        <w:rPr>
          <w:rFonts w:hint="eastAsia"/>
          <w:lang w:val="fr-CH"/>
        </w:rPr>
        <w:t>―</w:t>
      </w:r>
      <w:r>
        <w:rPr>
          <w:rFonts w:hint="eastAsia"/>
        </w:rPr>
        <w:t>世界卫生组织微量营养素倡议供资。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8"/>
        <w:gridCol w:w="1816"/>
        <w:gridCol w:w="2393"/>
        <w:gridCol w:w="2393"/>
      </w:tblGrid>
      <w:tr w:rsidR="00000000">
        <w:tblPrEx>
          <w:tblCellMar>
            <w:top w:w="0" w:type="dxa"/>
            <w:bottom w:w="0" w:type="dxa"/>
          </w:tblCellMar>
        </w:tblPrEx>
        <w:tc>
          <w:tcPr>
            <w:tcW w:w="2968" w:type="dxa"/>
            <w:tcBorders>
              <w:bottom w:val="single" w:sz="4" w:space="0" w:color="auto"/>
            </w:tcBorders>
          </w:tcPr>
          <w:p w:rsidR="00000000" w:rsidRDefault="00000000">
            <w:pPr>
              <w:spacing w:before="120" w:after="60" w:line="240" w:lineRule="exact"/>
              <w:jc w:val="center"/>
              <w:rPr>
                <w:rFonts w:hint="eastAsia"/>
                <w:spacing w:val="4"/>
                <w:sz w:val="20"/>
                <w:u w:val="single"/>
              </w:rPr>
            </w:pPr>
          </w:p>
        </w:tc>
        <w:tc>
          <w:tcPr>
            <w:tcW w:w="1816" w:type="dxa"/>
            <w:tcBorders>
              <w:bottom w:val="single" w:sz="4" w:space="0" w:color="auto"/>
            </w:tcBorders>
          </w:tcPr>
          <w:p w:rsidR="00000000" w:rsidRDefault="00000000">
            <w:pPr>
              <w:spacing w:before="120" w:after="60" w:line="240" w:lineRule="exact"/>
              <w:jc w:val="center"/>
              <w:rPr>
                <w:rFonts w:hint="eastAsia"/>
                <w:spacing w:val="4"/>
                <w:sz w:val="20"/>
                <w:u w:val="single"/>
              </w:rPr>
            </w:pPr>
            <w:r>
              <w:rPr>
                <w:rFonts w:hint="eastAsia"/>
                <w:spacing w:val="4"/>
                <w:sz w:val="20"/>
                <w:u w:val="single"/>
              </w:rPr>
              <w:t>合</w:t>
            </w:r>
            <w:r>
              <w:rPr>
                <w:rFonts w:hint="eastAsia"/>
                <w:spacing w:val="4"/>
                <w:sz w:val="20"/>
                <w:u w:val="single"/>
              </w:rPr>
              <w:t xml:space="preserve">  </w:t>
            </w:r>
            <w:r>
              <w:rPr>
                <w:rFonts w:hint="eastAsia"/>
                <w:spacing w:val="4"/>
                <w:sz w:val="20"/>
                <w:u w:val="single"/>
              </w:rPr>
              <w:t>计</w:t>
            </w:r>
          </w:p>
        </w:tc>
        <w:tc>
          <w:tcPr>
            <w:tcW w:w="2393" w:type="dxa"/>
            <w:tcBorders>
              <w:bottom w:val="single" w:sz="4" w:space="0" w:color="auto"/>
            </w:tcBorders>
          </w:tcPr>
          <w:p w:rsidR="00000000" w:rsidRDefault="00000000">
            <w:pPr>
              <w:spacing w:before="120" w:after="60" w:line="240" w:lineRule="exact"/>
              <w:jc w:val="center"/>
              <w:rPr>
                <w:rFonts w:hint="eastAsia"/>
                <w:spacing w:val="4"/>
                <w:sz w:val="20"/>
                <w:u w:val="single"/>
              </w:rPr>
            </w:pPr>
            <w:r>
              <w:rPr>
                <w:rFonts w:hint="eastAsia"/>
                <w:spacing w:val="4"/>
                <w:sz w:val="20"/>
                <w:u w:val="single"/>
              </w:rPr>
              <w:t>城</w:t>
            </w:r>
            <w:r>
              <w:rPr>
                <w:rFonts w:hint="eastAsia"/>
                <w:spacing w:val="4"/>
                <w:sz w:val="20"/>
                <w:u w:val="single"/>
              </w:rPr>
              <w:t xml:space="preserve">  </w:t>
            </w:r>
            <w:r>
              <w:rPr>
                <w:rFonts w:hint="eastAsia"/>
                <w:spacing w:val="4"/>
                <w:sz w:val="20"/>
                <w:u w:val="single"/>
              </w:rPr>
              <w:t>市</w:t>
            </w:r>
          </w:p>
        </w:tc>
        <w:tc>
          <w:tcPr>
            <w:tcW w:w="2393" w:type="dxa"/>
            <w:tcBorders>
              <w:bottom w:val="single" w:sz="4" w:space="0" w:color="auto"/>
            </w:tcBorders>
          </w:tcPr>
          <w:p w:rsidR="00000000" w:rsidRDefault="00000000">
            <w:pPr>
              <w:spacing w:before="120" w:after="60" w:line="240" w:lineRule="exact"/>
              <w:jc w:val="center"/>
              <w:rPr>
                <w:rFonts w:hint="eastAsia"/>
                <w:spacing w:val="4"/>
                <w:sz w:val="20"/>
                <w:u w:val="single"/>
              </w:rPr>
            </w:pPr>
            <w:r>
              <w:rPr>
                <w:rFonts w:hint="eastAsia"/>
                <w:spacing w:val="4"/>
                <w:sz w:val="20"/>
                <w:u w:val="single"/>
              </w:rPr>
              <w:t>农</w:t>
            </w:r>
            <w:r>
              <w:rPr>
                <w:rFonts w:hint="eastAsia"/>
                <w:spacing w:val="4"/>
                <w:sz w:val="20"/>
                <w:u w:val="single"/>
              </w:rPr>
              <w:t xml:space="preserve">  </w:t>
            </w:r>
            <w:r>
              <w:rPr>
                <w:rFonts w:hint="eastAsia"/>
                <w:spacing w:val="4"/>
                <w:sz w:val="20"/>
                <w:u w:val="single"/>
              </w:rPr>
              <w:t>村</w:t>
            </w:r>
          </w:p>
        </w:tc>
      </w:tr>
      <w:tr w:rsidR="00000000">
        <w:tblPrEx>
          <w:tblCellMar>
            <w:top w:w="0" w:type="dxa"/>
            <w:bottom w:w="0" w:type="dxa"/>
          </w:tblCellMar>
        </w:tblPrEx>
        <w:tc>
          <w:tcPr>
            <w:tcW w:w="2968" w:type="dxa"/>
            <w:tcBorders>
              <w:bottom w:val="nil"/>
            </w:tcBorders>
          </w:tcPr>
          <w:p w:rsidR="00000000" w:rsidRDefault="00000000">
            <w:pPr>
              <w:spacing w:before="120" w:line="240" w:lineRule="exact"/>
              <w:rPr>
                <w:rFonts w:hint="eastAsia"/>
                <w:spacing w:val="4"/>
                <w:sz w:val="20"/>
              </w:rPr>
            </w:pPr>
            <w:r>
              <w:rPr>
                <w:rFonts w:hint="eastAsia"/>
                <w:spacing w:val="4"/>
                <w:sz w:val="20"/>
              </w:rPr>
              <w:t>0</w:t>
            </w:r>
            <w:r>
              <w:rPr>
                <w:rFonts w:hint="eastAsia"/>
                <w:spacing w:val="4"/>
                <w:sz w:val="20"/>
              </w:rPr>
              <w:t>至</w:t>
            </w:r>
            <w:r>
              <w:rPr>
                <w:rFonts w:hint="eastAsia"/>
                <w:spacing w:val="4"/>
                <w:sz w:val="20"/>
              </w:rPr>
              <w:t>24</w:t>
            </w:r>
            <w:r>
              <w:rPr>
                <w:rFonts w:hint="eastAsia"/>
                <w:spacing w:val="4"/>
                <w:sz w:val="20"/>
              </w:rPr>
              <w:t>个月的女孩和男孩</w:t>
            </w:r>
          </w:p>
        </w:tc>
        <w:tc>
          <w:tcPr>
            <w:tcW w:w="1816" w:type="dxa"/>
            <w:tcBorders>
              <w:bottom w:val="nil"/>
            </w:tcBorders>
            <w:vAlign w:val="bottom"/>
          </w:tcPr>
          <w:p w:rsidR="00000000" w:rsidRDefault="00000000">
            <w:pPr>
              <w:spacing w:before="120" w:line="240" w:lineRule="exact"/>
              <w:jc w:val="center"/>
              <w:rPr>
                <w:spacing w:val="4"/>
                <w:sz w:val="20"/>
              </w:rPr>
            </w:pPr>
            <w:r>
              <w:rPr>
                <w:spacing w:val="4"/>
                <w:sz w:val="20"/>
              </w:rPr>
              <w:t>242,000</w:t>
            </w:r>
          </w:p>
        </w:tc>
        <w:tc>
          <w:tcPr>
            <w:tcW w:w="2393" w:type="dxa"/>
            <w:tcBorders>
              <w:bottom w:val="nil"/>
            </w:tcBorders>
            <w:vAlign w:val="bottom"/>
          </w:tcPr>
          <w:p w:rsidR="00000000" w:rsidRDefault="00000000">
            <w:pPr>
              <w:spacing w:before="120" w:line="240" w:lineRule="exact"/>
              <w:jc w:val="center"/>
              <w:rPr>
                <w:spacing w:val="4"/>
                <w:sz w:val="20"/>
              </w:rPr>
            </w:pPr>
            <w:r>
              <w:rPr>
                <w:spacing w:val="4"/>
                <w:sz w:val="20"/>
              </w:rPr>
              <w:t>112,000</w:t>
            </w:r>
          </w:p>
        </w:tc>
        <w:tc>
          <w:tcPr>
            <w:tcW w:w="2393" w:type="dxa"/>
            <w:tcBorders>
              <w:bottom w:val="nil"/>
            </w:tcBorders>
            <w:vAlign w:val="bottom"/>
          </w:tcPr>
          <w:p w:rsidR="00000000" w:rsidRDefault="00000000">
            <w:pPr>
              <w:spacing w:before="120" w:line="240" w:lineRule="exact"/>
              <w:jc w:val="center"/>
              <w:rPr>
                <w:spacing w:val="4"/>
                <w:sz w:val="20"/>
              </w:rPr>
            </w:pPr>
            <w:r>
              <w:rPr>
                <w:spacing w:val="4"/>
                <w:sz w:val="20"/>
              </w:rPr>
              <w:t>130,000</w:t>
            </w:r>
          </w:p>
        </w:tc>
      </w:tr>
      <w:tr w:rsidR="00000000">
        <w:tblPrEx>
          <w:tblCellMar>
            <w:top w:w="0" w:type="dxa"/>
            <w:bottom w:w="0" w:type="dxa"/>
          </w:tblCellMar>
        </w:tblPrEx>
        <w:tc>
          <w:tcPr>
            <w:tcW w:w="2968" w:type="dxa"/>
            <w:tcBorders>
              <w:top w:val="nil"/>
              <w:bottom w:val="nil"/>
            </w:tcBorders>
          </w:tcPr>
          <w:p w:rsidR="00000000" w:rsidRDefault="00000000">
            <w:pPr>
              <w:spacing w:before="120" w:line="240" w:lineRule="exact"/>
              <w:rPr>
                <w:rFonts w:hint="eastAsia"/>
                <w:spacing w:val="4"/>
                <w:sz w:val="20"/>
              </w:rPr>
            </w:pPr>
            <w:r>
              <w:rPr>
                <w:rFonts w:hint="eastAsia"/>
                <w:spacing w:val="4"/>
                <w:sz w:val="20"/>
              </w:rPr>
              <w:t>孕</w:t>
            </w:r>
            <w:r>
              <w:rPr>
                <w:rFonts w:hint="eastAsia"/>
                <w:spacing w:val="4"/>
                <w:sz w:val="20"/>
              </w:rPr>
              <w:t xml:space="preserve">  </w:t>
            </w:r>
            <w:r>
              <w:rPr>
                <w:rFonts w:hint="eastAsia"/>
                <w:spacing w:val="4"/>
                <w:sz w:val="20"/>
              </w:rPr>
              <w:t>妇</w:t>
            </w:r>
          </w:p>
        </w:tc>
        <w:tc>
          <w:tcPr>
            <w:tcW w:w="1816" w:type="dxa"/>
            <w:tcBorders>
              <w:top w:val="nil"/>
              <w:bottom w:val="nil"/>
            </w:tcBorders>
            <w:vAlign w:val="bottom"/>
          </w:tcPr>
          <w:p w:rsidR="00000000" w:rsidRDefault="00000000">
            <w:pPr>
              <w:spacing w:before="120" w:line="240" w:lineRule="exact"/>
              <w:jc w:val="center"/>
              <w:rPr>
                <w:spacing w:val="4"/>
                <w:sz w:val="20"/>
              </w:rPr>
            </w:pPr>
            <w:r>
              <w:rPr>
                <w:spacing w:val="4"/>
                <w:sz w:val="20"/>
              </w:rPr>
              <w:t>205,000</w:t>
            </w:r>
          </w:p>
        </w:tc>
        <w:tc>
          <w:tcPr>
            <w:tcW w:w="2393" w:type="dxa"/>
            <w:tcBorders>
              <w:top w:val="nil"/>
              <w:bottom w:val="nil"/>
            </w:tcBorders>
            <w:vAlign w:val="bottom"/>
          </w:tcPr>
          <w:p w:rsidR="00000000" w:rsidRDefault="00000000">
            <w:pPr>
              <w:spacing w:before="120" w:line="240" w:lineRule="exact"/>
              <w:jc w:val="center"/>
              <w:rPr>
                <w:spacing w:val="4"/>
                <w:sz w:val="20"/>
              </w:rPr>
            </w:pPr>
            <w:r>
              <w:rPr>
                <w:spacing w:val="4"/>
                <w:sz w:val="20"/>
              </w:rPr>
              <w:t>95,000</w:t>
            </w:r>
          </w:p>
        </w:tc>
        <w:tc>
          <w:tcPr>
            <w:tcW w:w="2393" w:type="dxa"/>
            <w:tcBorders>
              <w:top w:val="nil"/>
              <w:bottom w:val="nil"/>
            </w:tcBorders>
            <w:vAlign w:val="bottom"/>
          </w:tcPr>
          <w:p w:rsidR="00000000" w:rsidRDefault="00000000">
            <w:pPr>
              <w:spacing w:before="120" w:line="240" w:lineRule="exact"/>
              <w:jc w:val="center"/>
              <w:rPr>
                <w:spacing w:val="4"/>
                <w:sz w:val="20"/>
              </w:rPr>
            </w:pPr>
            <w:r>
              <w:rPr>
                <w:spacing w:val="4"/>
                <w:sz w:val="20"/>
              </w:rPr>
              <w:t>110,000</w:t>
            </w:r>
          </w:p>
        </w:tc>
      </w:tr>
      <w:tr w:rsidR="00000000">
        <w:tblPrEx>
          <w:tblCellMar>
            <w:top w:w="0" w:type="dxa"/>
            <w:bottom w:w="0" w:type="dxa"/>
          </w:tblCellMar>
        </w:tblPrEx>
        <w:tc>
          <w:tcPr>
            <w:tcW w:w="2968" w:type="dxa"/>
            <w:tcBorders>
              <w:top w:val="nil"/>
            </w:tcBorders>
          </w:tcPr>
          <w:p w:rsidR="00000000" w:rsidRDefault="00000000">
            <w:pPr>
              <w:spacing w:before="120" w:line="240" w:lineRule="exact"/>
              <w:rPr>
                <w:rFonts w:hint="eastAsia"/>
                <w:spacing w:val="4"/>
                <w:sz w:val="20"/>
              </w:rPr>
            </w:pPr>
            <w:r>
              <w:rPr>
                <w:rFonts w:hint="eastAsia"/>
                <w:spacing w:val="4"/>
                <w:sz w:val="20"/>
              </w:rPr>
              <w:t>哺乳妇女</w:t>
            </w:r>
          </w:p>
        </w:tc>
        <w:tc>
          <w:tcPr>
            <w:tcW w:w="1816" w:type="dxa"/>
            <w:tcBorders>
              <w:top w:val="nil"/>
            </w:tcBorders>
            <w:vAlign w:val="bottom"/>
          </w:tcPr>
          <w:p w:rsidR="00000000" w:rsidRDefault="00000000">
            <w:pPr>
              <w:spacing w:before="120" w:line="240" w:lineRule="exact"/>
              <w:jc w:val="center"/>
              <w:rPr>
                <w:spacing w:val="4"/>
                <w:sz w:val="20"/>
              </w:rPr>
            </w:pPr>
            <w:r>
              <w:rPr>
                <w:spacing w:val="4"/>
                <w:sz w:val="20"/>
              </w:rPr>
              <w:t>205,000</w:t>
            </w:r>
          </w:p>
        </w:tc>
        <w:tc>
          <w:tcPr>
            <w:tcW w:w="2393" w:type="dxa"/>
            <w:tcBorders>
              <w:top w:val="nil"/>
            </w:tcBorders>
            <w:vAlign w:val="bottom"/>
          </w:tcPr>
          <w:p w:rsidR="00000000" w:rsidRDefault="00000000">
            <w:pPr>
              <w:spacing w:before="120" w:line="240" w:lineRule="exact"/>
              <w:jc w:val="center"/>
              <w:rPr>
                <w:spacing w:val="4"/>
                <w:sz w:val="20"/>
              </w:rPr>
            </w:pPr>
            <w:r>
              <w:rPr>
                <w:spacing w:val="4"/>
                <w:sz w:val="20"/>
              </w:rPr>
              <w:t>95,000</w:t>
            </w:r>
          </w:p>
        </w:tc>
        <w:tc>
          <w:tcPr>
            <w:tcW w:w="2393" w:type="dxa"/>
            <w:tcBorders>
              <w:top w:val="nil"/>
            </w:tcBorders>
            <w:vAlign w:val="bottom"/>
          </w:tcPr>
          <w:p w:rsidR="00000000" w:rsidRDefault="00000000">
            <w:pPr>
              <w:spacing w:before="120" w:line="240" w:lineRule="exact"/>
              <w:jc w:val="center"/>
              <w:rPr>
                <w:spacing w:val="4"/>
                <w:sz w:val="20"/>
              </w:rPr>
            </w:pPr>
            <w:r>
              <w:rPr>
                <w:spacing w:val="4"/>
                <w:sz w:val="20"/>
              </w:rPr>
              <w:t>110,000</w:t>
            </w:r>
          </w:p>
        </w:tc>
      </w:tr>
      <w:tr w:rsidR="00000000">
        <w:tblPrEx>
          <w:tblCellMar>
            <w:top w:w="0" w:type="dxa"/>
            <w:bottom w:w="0" w:type="dxa"/>
          </w:tblCellMar>
        </w:tblPrEx>
        <w:tc>
          <w:tcPr>
            <w:tcW w:w="2968" w:type="dxa"/>
          </w:tcPr>
          <w:p w:rsidR="00000000" w:rsidRDefault="00000000">
            <w:pPr>
              <w:spacing w:before="120" w:line="240" w:lineRule="exact"/>
              <w:rPr>
                <w:rFonts w:hint="eastAsia"/>
                <w:spacing w:val="4"/>
                <w:sz w:val="20"/>
              </w:rPr>
            </w:pPr>
            <w:r>
              <w:rPr>
                <w:rFonts w:hint="eastAsia"/>
                <w:spacing w:val="4"/>
                <w:sz w:val="20"/>
              </w:rPr>
              <w:t>总</w:t>
            </w:r>
            <w:r>
              <w:rPr>
                <w:rFonts w:hint="eastAsia"/>
                <w:spacing w:val="4"/>
                <w:sz w:val="20"/>
              </w:rPr>
              <w:t xml:space="preserve">  </w:t>
            </w:r>
            <w:r>
              <w:rPr>
                <w:rFonts w:hint="eastAsia"/>
                <w:spacing w:val="4"/>
                <w:sz w:val="20"/>
              </w:rPr>
              <w:t>计</w:t>
            </w:r>
          </w:p>
        </w:tc>
        <w:tc>
          <w:tcPr>
            <w:tcW w:w="1816" w:type="dxa"/>
            <w:vAlign w:val="bottom"/>
          </w:tcPr>
          <w:p w:rsidR="00000000" w:rsidRDefault="00000000">
            <w:pPr>
              <w:spacing w:before="120" w:line="240" w:lineRule="exact"/>
              <w:jc w:val="center"/>
              <w:rPr>
                <w:spacing w:val="4"/>
                <w:sz w:val="20"/>
              </w:rPr>
            </w:pPr>
            <w:r>
              <w:rPr>
                <w:spacing w:val="4"/>
                <w:sz w:val="20"/>
              </w:rPr>
              <w:t>652,000</w:t>
            </w:r>
          </w:p>
        </w:tc>
        <w:tc>
          <w:tcPr>
            <w:tcW w:w="2393" w:type="dxa"/>
            <w:vAlign w:val="bottom"/>
          </w:tcPr>
          <w:p w:rsidR="00000000" w:rsidRDefault="00000000">
            <w:pPr>
              <w:spacing w:before="120" w:line="240" w:lineRule="exact"/>
              <w:jc w:val="center"/>
              <w:rPr>
                <w:spacing w:val="4"/>
                <w:sz w:val="20"/>
              </w:rPr>
            </w:pPr>
            <w:r>
              <w:rPr>
                <w:spacing w:val="4"/>
                <w:sz w:val="20"/>
              </w:rPr>
              <w:t>302,000</w:t>
            </w:r>
          </w:p>
        </w:tc>
        <w:tc>
          <w:tcPr>
            <w:tcW w:w="2393" w:type="dxa"/>
            <w:vAlign w:val="bottom"/>
          </w:tcPr>
          <w:p w:rsidR="00000000" w:rsidRDefault="00000000">
            <w:pPr>
              <w:spacing w:before="120" w:line="240" w:lineRule="exact"/>
              <w:jc w:val="center"/>
              <w:rPr>
                <w:spacing w:val="4"/>
                <w:sz w:val="20"/>
              </w:rPr>
            </w:pPr>
            <w:r>
              <w:rPr>
                <w:spacing w:val="4"/>
                <w:sz w:val="20"/>
              </w:rPr>
              <w:t>350,000</w:t>
            </w:r>
          </w:p>
        </w:tc>
      </w:tr>
    </w:tbl>
    <w:p w:rsidR="00000000" w:rsidRDefault="00000000">
      <w:pPr>
        <w:rPr>
          <w:rFonts w:hint="eastAsia"/>
        </w:rPr>
      </w:pPr>
    </w:p>
    <w:p w:rsidR="00000000" w:rsidRDefault="00000000">
      <w:pPr>
        <w:rPr>
          <w:rFonts w:hint="eastAsia"/>
        </w:rPr>
      </w:pPr>
      <w:r>
        <w:tab/>
        <w:t xml:space="preserve">328.  </w:t>
      </w:r>
      <w:r>
        <w:rPr>
          <w:rFonts w:hint="eastAsia"/>
        </w:rPr>
        <w:t>微量营养素成份以及食品强化和添加食品战略争取解决缺乏特定维生素和矿植物</w:t>
      </w:r>
      <w:r>
        <w:rPr>
          <w:rFonts w:hint="eastAsia"/>
        </w:rPr>
        <w:t>(</w:t>
      </w:r>
      <w:r>
        <w:rPr>
          <w:rFonts w:hint="eastAsia"/>
        </w:rPr>
        <w:t>铁、维生素</w:t>
      </w:r>
      <w:r>
        <w:rPr>
          <w:rFonts w:hint="eastAsia"/>
        </w:rPr>
        <w:t>A</w:t>
      </w:r>
      <w:r>
        <w:rPr>
          <w:rFonts w:hint="eastAsia"/>
        </w:rPr>
        <w:t>、碘、氟</w:t>
      </w:r>
      <w:r>
        <w:rPr>
          <w:rFonts w:hint="eastAsia"/>
        </w:rPr>
        <w:t>)</w:t>
      </w:r>
      <w:r>
        <w:rPr>
          <w:rFonts w:hint="eastAsia"/>
        </w:rPr>
        <w:t>的问题。为解决厄瓜多尔人微量营养素缺乏症发病率高的问题，国家通过以下方式执行了一项国家微量营养方案：</w:t>
      </w:r>
    </w:p>
    <w:p w:rsidR="00000000" w:rsidRDefault="00000000">
      <w:pPr>
        <w:numPr>
          <w:ilvl w:val="0"/>
          <w:numId w:val="166"/>
        </w:numPr>
        <w:rPr>
          <w:rFonts w:hint="eastAsia"/>
        </w:rPr>
      </w:pPr>
      <w:r>
        <w:rPr>
          <w:rFonts w:hint="eastAsia"/>
        </w:rPr>
        <w:t>用微量营养素</w:t>
      </w:r>
      <w:r>
        <w:rPr>
          <w:rFonts w:hint="eastAsia"/>
          <w:spacing w:val="-50"/>
          <w:lang w:val="fr-CH"/>
        </w:rPr>
        <w:t>―</w:t>
      </w:r>
      <w:r>
        <w:rPr>
          <w:rFonts w:hint="eastAsia"/>
          <w:lang w:val="fr-CH"/>
        </w:rPr>
        <w:t>―</w:t>
      </w:r>
      <w:r>
        <w:rPr>
          <w:rFonts w:hint="eastAsia"/>
        </w:rPr>
        <w:t>碘、氟、铁和维生素</w:t>
      </w:r>
      <w:r>
        <w:rPr>
          <w:rFonts w:hint="eastAsia"/>
        </w:rPr>
        <w:t>A</w:t>
      </w:r>
      <w:r>
        <w:rPr>
          <w:rFonts w:hint="eastAsia"/>
          <w:spacing w:val="-50"/>
          <w:lang w:val="fr-CH"/>
        </w:rPr>
        <w:t>―</w:t>
      </w:r>
      <w:r>
        <w:rPr>
          <w:rFonts w:hint="eastAsia"/>
          <w:lang w:val="fr-CH"/>
        </w:rPr>
        <w:t>―强化</w:t>
      </w:r>
      <w:r>
        <w:rPr>
          <w:rFonts w:hint="eastAsia"/>
        </w:rPr>
        <w:t>群众消费食品以解决公共卫生问题；</w:t>
      </w:r>
    </w:p>
    <w:p w:rsidR="00000000" w:rsidRDefault="00000000">
      <w:pPr>
        <w:numPr>
          <w:ilvl w:val="0"/>
          <w:numId w:val="166"/>
        </w:numPr>
        <w:rPr>
          <w:rFonts w:hint="eastAsia"/>
        </w:rPr>
      </w:pPr>
      <w:r>
        <w:rPr>
          <w:rFonts w:hint="eastAsia"/>
        </w:rPr>
        <w:t>通过卫生服务和利用打预防针运动等战略为危险人群提供补充；</w:t>
      </w:r>
    </w:p>
    <w:p w:rsidR="00000000" w:rsidRDefault="00000000">
      <w:pPr>
        <w:numPr>
          <w:ilvl w:val="0"/>
          <w:numId w:val="166"/>
        </w:numPr>
        <w:rPr>
          <w:rFonts w:hint="eastAsia"/>
        </w:rPr>
      </w:pPr>
      <w:r>
        <w:rPr>
          <w:rFonts w:hint="eastAsia"/>
        </w:rPr>
        <w:t>制订研究、教育和交流战略，以实现通过家庭饮食促进以可持续的方式吸收微量营养素的目标。</w:t>
      </w:r>
    </w:p>
    <w:p w:rsidR="00000000" w:rsidRDefault="00000000">
      <w:pPr>
        <w:rPr>
          <w:rFonts w:hint="eastAsia"/>
        </w:rPr>
      </w:pPr>
      <w:r>
        <w:rPr>
          <w:rFonts w:hint="eastAsia"/>
        </w:rPr>
        <w:tab/>
        <w:t xml:space="preserve">329.  </w:t>
      </w:r>
      <w:r>
        <w:rPr>
          <w:rFonts w:hint="eastAsia"/>
        </w:rPr>
        <w:t>母子团结票是一种惠及孕妇和</w:t>
      </w:r>
      <w:r>
        <w:rPr>
          <w:rFonts w:hint="eastAsia"/>
        </w:rPr>
        <w:t>2</w:t>
      </w:r>
      <w:r>
        <w:rPr>
          <w:rFonts w:hint="eastAsia"/>
        </w:rPr>
        <w:t>岁以下儿童的直接过户凭单。该方案的宗旨是鼓励妇女在怀孕期间和之后做检查，以便使穷人参加并解决死亡率和营养不良问题，做法是：每两个月作检查时每次由医务所发给一张价值</w:t>
      </w:r>
      <w:r>
        <w:rPr>
          <w:rFonts w:hint="eastAsia"/>
        </w:rPr>
        <w:t>5</w:t>
      </w:r>
      <w:r>
        <w:rPr>
          <w:rFonts w:hint="eastAsia"/>
        </w:rPr>
        <w:t>美元的票作为直接过户凭单，并为</w:t>
      </w:r>
      <w:r>
        <w:rPr>
          <w:rFonts w:hint="eastAsia"/>
        </w:rPr>
        <w:t>2</w:t>
      </w:r>
      <w:r>
        <w:rPr>
          <w:rFonts w:hint="eastAsia"/>
        </w:rPr>
        <w:t>岁以下的儿童每作一次检查发给价值</w:t>
      </w:r>
      <w:r>
        <w:rPr>
          <w:rFonts w:hint="eastAsia"/>
        </w:rPr>
        <w:t>5</w:t>
      </w:r>
      <w:r>
        <w:rPr>
          <w:rFonts w:hint="eastAsia"/>
        </w:rPr>
        <w:t>美元的票。该方案将延及全国的孕妇和</w:t>
      </w:r>
      <w:r>
        <w:rPr>
          <w:rFonts w:hint="eastAsia"/>
        </w:rPr>
        <w:t>2</w:t>
      </w:r>
      <w:r>
        <w:rPr>
          <w:rFonts w:hint="eastAsia"/>
        </w:rPr>
        <w:t>岁以下的儿童，但人口超过</w:t>
      </w:r>
      <w:r>
        <w:rPr>
          <w:rFonts w:hint="eastAsia"/>
        </w:rPr>
        <w:t>10</w:t>
      </w:r>
      <w:r>
        <w:rPr>
          <w:rFonts w:hint="eastAsia"/>
        </w:rPr>
        <w:t>万的</w:t>
      </w:r>
      <w:r>
        <w:rPr>
          <w:rFonts w:hint="eastAsia"/>
        </w:rPr>
        <w:t>15</w:t>
      </w:r>
      <w:r>
        <w:rPr>
          <w:rFonts w:hint="eastAsia"/>
        </w:rPr>
        <w:t>个市的城区不在此例。</w:t>
      </w:r>
    </w:p>
    <w:p w:rsidR="00000000" w:rsidRDefault="00000000">
      <w:pPr>
        <w:rPr>
          <w:rFonts w:hint="eastAsia"/>
        </w:rPr>
      </w:pPr>
      <w:r>
        <w:rPr>
          <w:rFonts w:hint="eastAsia"/>
        </w:rPr>
        <w:tab/>
        <w:t xml:space="preserve">330.  </w:t>
      </w:r>
      <w:r>
        <w:rPr>
          <w:rFonts w:hint="eastAsia"/>
        </w:rPr>
        <w:t>地方发展活动利用的资源是当地小生产活动的资金，以及公共卫生部、农业部、劳动与社会福利部</w:t>
      </w:r>
      <w:r>
        <w:rPr>
          <w:rFonts w:hint="eastAsia"/>
        </w:rPr>
        <w:t>(</w:t>
      </w:r>
      <w:r>
        <w:rPr>
          <w:rFonts w:hint="eastAsia"/>
        </w:rPr>
        <w:t>抢救儿童行动</w:t>
      </w:r>
      <w:r>
        <w:rPr>
          <w:rFonts w:hint="eastAsia"/>
        </w:rPr>
        <w:t>)</w:t>
      </w:r>
      <w:r>
        <w:rPr>
          <w:rFonts w:hint="eastAsia"/>
        </w:rPr>
        <w:t>、教育和文化部</w:t>
      </w:r>
      <w:r>
        <w:rPr>
          <w:rFonts w:hint="eastAsia"/>
        </w:rPr>
        <w:t>(</w:t>
      </w:r>
      <w:r>
        <w:rPr>
          <w:rFonts w:hint="eastAsia"/>
        </w:rPr>
        <w:t>农村地区妇女扫盲和商业培训方案</w:t>
      </w:r>
      <w:r>
        <w:rPr>
          <w:rFonts w:hint="eastAsia"/>
        </w:rPr>
        <w:t>)</w:t>
      </w:r>
      <w:r>
        <w:rPr>
          <w:rFonts w:hint="eastAsia"/>
        </w:rPr>
        <w:t>和国家儿童与家庭研究所协调开展照料儿童的方案的资金。公共卫生部将促进地方发展作为其国家卫生计划中的一部分，并作为一种基于其业务、分权和地方能力以及其他机构的能力的战略；各战略之间只要进行充分协调，可以对贫困和缺乏卫生与粮食安全的局面作出立即反应。</w:t>
      </w:r>
    </w:p>
    <w:p w:rsidR="00000000" w:rsidRDefault="00000000">
      <w:pPr>
        <w:rPr>
          <w:rFonts w:hint="eastAsia"/>
        </w:rPr>
      </w:pPr>
      <w:r>
        <w:rPr>
          <w:rFonts w:hint="eastAsia"/>
        </w:rPr>
        <w:tab/>
        <w:t>331.  2000</w:t>
      </w:r>
      <w:r>
        <w:rPr>
          <w:rFonts w:hint="eastAsia"/>
        </w:rPr>
        <w:t>年这项活动的目的是，开展参与性发展、成人扫盲和生育培训项目，并在</w:t>
      </w:r>
      <w:r>
        <w:rPr>
          <w:rFonts w:hint="eastAsia"/>
        </w:rPr>
        <w:t>230</w:t>
      </w:r>
      <w:r>
        <w:rPr>
          <w:rFonts w:hint="eastAsia"/>
        </w:rPr>
        <w:t>个重点地区采用儿童照料替代方法。在这些地区，</w:t>
      </w:r>
      <w:r>
        <w:rPr>
          <w:rFonts w:hint="eastAsia"/>
        </w:rPr>
        <w:t>2000</w:t>
      </w:r>
      <w:r>
        <w:rPr>
          <w:rFonts w:hint="eastAsia"/>
        </w:rPr>
        <w:t>年将为孕妇、哺乳妇女和</w:t>
      </w:r>
      <w:r>
        <w:rPr>
          <w:rFonts w:hint="eastAsia"/>
        </w:rPr>
        <w:t>6</w:t>
      </w:r>
      <w:r>
        <w:rPr>
          <w:rFonts w:hint="eastAsia"/>
        </w:rPr>
        <w:t>至</w:t>
      </w:r>
      <w:r>
        <w:rPr>
          <w:rFonts w:hint="eastAsia"/>
        </w:rPr>
        <w:t>24</w:t>
      </w:r>
      <w:r>
        <w:rPr>
          <w:rFonts w:hint="eastAsia"/>
        </w:rPr>
        <w:t>个月的儿童执行涉及教育和食品添加的“每个儿童一份”方案。</w:t>
      </w:r>
    </w:p>
    <w:p w:rsidR="00000000" w:rsidRDefault="00000000">
      <w:pPr>
        <w:rPr>
          <w:rFonts w:hint="eastAsia"/>
        </w:rPr>
      </w:pPr>
      <w:r>
        <w:rPr>
          <w:rFonts w:hint="eastAsia"/>
        </w:rPr>
        <w:tab/>
        <w:t xml:space="preserve">332.  </w:t>
      </w:r>
      <w:r>
        <w:rPr>
          <w:rFonts w:hint="eastAsia"/>
        </w:rPr>
        <w:t>粮食和营养教育活动的依据是各个部分的宣传和教育活动以及大众传播战略。这项活动注重范围广泛的粮食和营养问题，其中尤其值得指出的问题有：</w:t>
      </w:r>
    </w:p>
    <w:p w:rsidR="00000000" w:rsidRDefault="00000000">
      <w:pPr>
        <w:numPr>
          <w:ilvl w:val="0"/>
          <w:numId w:val="167"/>
        </w:numPr>
        <w:rPr>
          <w:rFonts w:hint="eastAsia"/>
        </w:rPr>
      </w:pPr>
      <w:r>
        <w:rPr>
          <w:rFonts w:hint="eastAsia"/>
        </w:rPr>
        <w:t>因社会经济危机而引起的普遍而且日益增加的营养不良现象；</w:t>
      </w:r>
    </w:p>
    <w:p w:rsidR="00000000" w:rsidRDefault="00000000">
      <w:pPr>
        <w:numPr>
          <w:ilvl w:val="0"/>
          <w:numId w:val="167"/>
        </w:numPr>
        <w:rPr>
          <w:rFonts w:hint="eastAsia"/>
        </w:rPr>
      </w:pPr>
      <w:r>
        <w:rPr>
          <w:rFonts w:hint="eastAsia"/>
        </w:rPr>
        <w:t>慢性非传染病流行趋势的改变，这些当中有六种属于十大致人死亡的病因</w:t>
      </w:r>
      <w:r>
        <w:rPr>
          <w:rFonts w:hint="eastAsia"/>
        </w:rPr>
        <w:t>(</w:t>
      </w:r>
      <w:r>
        <w:rPr>
          <w:rFonts w:hint="eastAsia"/>
        </w:rPr>
        <w:t>中风、心脏病、糖尿病、胃癌、高血压</w:t>
      </w:r>
      <w:r>
        <w:rPr>
          <w:rFonts w:hint="eastAsia"/>
        </w:rPr>
        <w:t>)</w:t>
      </w:r>
      <w:r>
        <w:rPr>
          <w:rFonts w:hint="eastAsia"/>
        </w:rPr>
        <w:t>；</w:t>
      </w:r>
    </w:p>
    <w:p w:rsidR="00000000" w:rsidRDefault="00000000">
      <w:pPr>
        <w:numPr>
          <w:ilvl w:val="0"/>
          <w:numId w:val="167"/>
        </w:numPr>
        <w:rPr>
          <w:rFonts w:hint="eastAsia"/>
        </w:rPr>
      </w:pPr>
      <w:r>
        <w:rPr>
          <w:rFonts w:hint="eastAsia"/>
        </w:rPr>
        <w:t>厄瓜多尔失去合理的营养办法。</w:t>
      </w:r>
    </w:p>
    <w:p w:rsidR="00000000" w:rsidRDefault="00000000">
      <w:pPr>
        <w:rPr>
          <w:rFonts w:hint="eastAsia"/>
        </w:rPr>
      </w:pPr>
      <w:r>
        <w:tab/>
        <w:t xml:space="preserve">333.  </w:t>
      </w:r>
      <w:r>
        <w:rPr>
          <w:rFonts w:hint="eastAsia"/>
        </w:rPr>
        <w:t>这项活动的目标是，通过执行</w:t>
      </w:r>
      <w:r>
        <w:rPr>
          <w:rFonts w:hint="eastAsia"/>
        </w:rPr>
        <w:t>PANN2000</w:t>
      </w:r>
      <w:r>
        <w:rPr>
          <w:rFonts w:hint="eastAsia"/>
        </w:rPr>
        <w:t>方案和活动，并通过采取具体战略，促进饮食和营养习惯。</w:t>
      </w:r>
    </w:p>
    <w:p w:rsidR="00000000" w:rsidRDefault="00000000">
      <w:pPr>
        <w:pStyle w:val="Heading4"/>
        <w:spacing w:before="300"/>
        <w:rPr>
          <w:rFonts w:hint="eastAsia"/>
        </w:rPr>
      </w:pPr>
      <w:r>
        <w:rPr>
          <w:rFonts w:hint="eastAsia"/>
        </w:rPr>
        <w:t>通过改革提高粮食安全</w:t>
      </w:r>
    </w:p>
    <w:p w:rsidR="00000000" w:rsidRDefault="00000000">
      <w:pPr>
        <w:rPr>
          <w:rFonts w:hint="eastAsia"/>
        </w:rPr>
      </w:pPr>
      <w:r>
        <w:rPr>
          <w:rFonts w:hint="eastAsia"/>
        </w:rPr>
        <w:tab/>
        <w:t xml:space="preserve">334.  </w:t>
      </w:r>
      <w:r>
        <w:rPr>
          <w:rFonts w:hint="eastAsia"/>
        </w:rPr>
        <w:t>厄瓜多尔农业部门，尤其是农村地区执行《土地改革法》的情况落后于国家经济中其他部门的发展情况。造成这一情况的原因之一是土地分配、拥有和使用的制度不完善。</w:t>
      </w:r>
    </w:p>
    <w:p w:rsidR="00000000" w:rsidRDefault="00000000">
      <w:pPr>
        <w:rPr>
          <w:rFonts w:hint="eastAsia"/>
        </w:rPr>
      </w:pPr>
      <w:r>
        <w:rPr>
          <w:rFonts w:hint="eastAsia"/>
        </w:rPr>
        <w:tab/>
        <w:t xml:space="preserve">335.  </w:t>
      </w:r>
      <w:r>
        <w:rPr>
          <w:rFonts w:hint="eastAsia"/>
        </w:rPr>
        <w:t>第一步《土地改革法》是</w:t>
      </w:r>
      <w:r>
        <w:rPr>
          <w:rFonts w:hint="eastAsia"/>
        </w:rPr>
        <w:t>1964</w:t>
      </w:r>
      <w:r>
        <w:rPr>
          <w:rFonts w:hint="eastAsia"/>
        </w:rPr>
        <w:t>年通过的，旨在改变农村地区的社会和经济结构，通过改变生产关系，取消季节性工作和采用新的生产形式，确保厄瓜多尔农业的社会经济发展。</w:t>
      </w:r>
    </w:p>
    <w:p w:rsidR="00000000" w:rsidRDefault="00000000">
      <w:pPr>
        <w:rPr>
          <w:rFonts w:hint="eastAsia"/>
        </w:rPr>
      </w:pPr>
      <w:r>
        <w:rPr>
          <w:rFonts w:hint="eastAsia"/>
        </w:rPr>
        <w:tab/>
        <w:t xml:space="preserve">336.  </w:t>
      </w:r>
      <w:r>
        <w:rPr>
          <w:rFonts w:hint="eastAsia"/>
        </w:rPr>
        <w:t>这一政策正如当时所预料的，与大地主的利益是背道而驰的，因此他们施加压力，采取回避但也合法的措施，几乎使得改革土地使用和所有制方面的努力劳而无功。</w:t>
      </w:r>
    </w:p>
    <w:p w:rsidR="00000000" w:rsidRDefault="00000000">
      <w:pPr>
        <w:rPr>
          <w:rFonts w:hint="eastAsia"/>
        </w:rPr>
      </w:pPr>
      <w:r>
        <w:rPr>
          <w:rFonts w:hint="eastAsia"/>
        </w:rPr>
        <w:tab/>
        <w:t>337.  1973</w:t>
      </w:r>
      <w:r>
        <w:rPr>
          <w:rFonts w:hint="eastAsia"/>
        </w:rPr>
        <w:t>年通过了第二部《土地改革法》。该法采取了较为先进的做法，不是将这一问题当作仅仅是一个土地分配问题来处理，而是把其当作一个全面包括“从经济、社会、文化和政治方面逐步、有序地改革土地拥有结构的程序”来处理。因此，该法中包括对法律框架的各方面进行的改革，尤其是财产权、再分配、没收财产的程序、对没收财产进行估价及其他行政程序等方面。</w:t>
      </w:r>
    </w:p>
    <w:p w:rsidR="00000000" w:rsidRDefault="00000000">
      <w:pPr>
        <w:rPr>
          <w:rFonts w:hint="eastAsia"/>
        </w:rPr>
      </w:pPr>
      <w:r>
        <w:rPr>
          <w:rFonts w:hint="eastAsia"/>
        </w:rPr>
        <w:tab/>
        <w:t xml:space="preserve">338.  </w:t>
      </w:r>
      <w:r>
        <w:rPr>
          <w:rFonts w:hint="eastAsia"/>
        </w:rPr>
        <w:t>该法在其存在近</w:t>
      </w:r>
      <w:r>
        <w:rPr>
          <w:rFonts w:hint="eastAsia"/>
        </w:rPr>
        <w:t>30</w:t>
      </w:r>
      <w:r>
        <w:rPr>
          <w:rFonts w:hint="eastAsia"/>
        </w:rPr>
        <w:t>年当中，一直由厄瓜多尔土地改革与殖民化研究所负责执行。该所通过执行土地改革和殖民化方案来执行土地改革政策，到</w:t>
      </w:r>
      <w:r>
        <w:rPr>
          <w:rFonts w:hint="eastAsia"/>
        </w:rPr>
        <w:t>1992</w:t>
      </w:r>
      <w:r>
        <w:rPr>
          <w:rFonts w:hint="eastAsia"/>
        </w:rPr>
        <w:t>年已交给</w:t>
      </w:r>
      <w:r>
        <w:rPr>
          <w:rFonts w:hint="eastAsia"/>
        </w:rPr>
        <w:t>211,058</w:t>
      </w:r>
      <w:r>
        <w:rPr>
          <w:rFonts w:hint="eastAsia"/>
        </w:rPr>
        <w:t>户家庭</w:t>
      </w:r>
      <w:r>
        <w:rPr>
          <w:rFonts w:hint="eastAsia"/>
        </w:rPr>
        <w:t>7,139,366.18</w:t>
      </w:r>
      <w:r>
        <w:rPr>
          <w:rFonts w:hint="eastAsia"/>
        </w:rPr>
        <w:t>公顷以上的土地，平均每户为</w:t>
      </w:r>
      <w:r>
        <w:rPr>
          <w:rFonts w:hint="eastAsia"/>
        </w:rPr>
        <w:t>34.06</w:t>
      </w:r>
      <w:r>
        <w:rPr>
          <w:rFonts w:hint="eastAsia"/>
        </w:rPr>
        <w:t>公顷。</w:t>
      </w:r>
    </w:p>
    <w:p w:rsidR="00000000" w:rsidRDefault="00000000">
      <w:pPr>
        <w:pStyle w:val="Heading3"/>
        <w:spacing w:before="300" w:after="240"/>
        <w:rPr>
          <w:rFonts w:eastAsia="KaiTi_GB2312" w:hint="eastAsia"/>
          <w:snapToGrid/>
          <w:spacing w:val="0"/>
          <w:kern w:val="0"/>
          <w:u w:val="none"/>
        </w:rPr>
      </w:pPr>
      <w:r>
        <w:rPr>
          <w:rFonts w:hint="eastAsia"/>
        </w:rPr>
        <w:t>按厄瓜多尔地区分列的为进行殖民和土地改革分配的土地情况</w:t>
      </w:r>
      <w:r>
        <w:br/>
      </w:r>
      <w:r>
        <w:rPr>
          <w:rFonts w:eastAsia="KaiTi_GB2312" w:hint="eastAsia"/>
          <w:snapToGrid/>
          <w:spacing w:val="0"/>
          <w:kern w:val="0"/>
          <w:u w:val="none"/>
        </w:rPr>
        <w:t>1926-1992</w:t>
      </w:r>
      <w:r>
        <w:rPr>
          <w:rFonts w:eastAsia="KaiTi_GB2312" w:hint="eastAsia"/>
          <w:snapToGrid/>
          <w:spacing w:val="0"/>
          <w:kern w:val="0"/>
          <w:u w:val="none"/>
        </w:rPr>
        <w:t>年</w:t>
      </w:r>
      <w:r>
        <w:rPr>
          <w:rFonts w:eastAsia="KaiTi_GB2312"/>
          <w:snapToGrid/>
          <w:spacing w:val="0"/>
          <w:kern w:val="0"/>
          <w:u w:val="none"/>
        </w:rPr>
        <w:br/>
      </w:r>
      <w:r>
        <w:rPr>
          <w:rFonts w:eastAsia="KaiTi_GB2312" w:hint="eastAsia"/>
          <w:snapToGrid/>
          <w:spacing w:val="0"/>
          <w:kern w:val="0"/>
          <w:u w:val="none"/>
        </w:rPr>
        <w:t>(</w:t>
      </w:r>
      <w:r>
        <w:rPr>
          <w:rFonts w:eastAsia="KaiTi_GB2312" w:hint="eastAsia"/>
          <w:snapToGrid/>
          <w:spacing w:val="0"/>
          <w:kern w:val="0"/>
          <w:u w:val="none"/>
        </w:rPr>
        <w:t>单位：公顷</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000000">
        <w:tblPrEx>
          <w:tblCellMar>
            <w:top w:w="0" w:type="dxa"/>
            <w:bottom w:w="0" w:type="dxa"/>
          </w:tblCellMar>
        </w:tblPrEx>
        <w:tc>
          <w:tcPr>
            <w:tcW w:w="2392"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地</w:t>
            </w:r>
            <w:r>
              <w:rPr>
                <w:rFonts w:hint="eastAsia"/>
                <w:spacing w:val="4"/>
                <w:sz w:val="20"/>
                <w:u w:val="single"/>
              </w:rPr>
              <w:t xml:space="preserve">  </w:t>
            </w:r>
            <w:r>
              <w:rPr>
                <w:rFonts w:hint="eastAsia"/>
                <w:spacing w:val="4"/>
                <w:sz w:val="20"/>
                <w:u w:val="single"/>
              </w:rPr>
              <w:t>区</w:t>
            </w:r>
          </w:p>
        </w:tc>
        <w:tc>
          <w:tcPr>
            <w:tcW w:w="2392"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殖</w:t>
            </w:r>
            <w:r>
              <w:rPr>
                <w:rFonts w:hint="eastAsia"/>
                <w:spacing w:val="4"/>
                <w:sz w:val="20"/>
                <w:u w:val="single"/>
              </w:rPr>
              <w:t xml:space="preserve">  </w:t>
            </w:r>
            <w:r>
              <w:rPr>
                <w:rFonts w:hint="eastAsia"/>
                <w:spacing w:val="4"/>
                <w:sz w:val="20"/>
                <w:u w:val="single"/>
              </w:rPr>
              <w:t>民</w:t>
            </w:r>
          </w:p>
        </w:tc>
        <w:tc>
          <w:tcPr>
            <w:tcW w:w="2393"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土地改革</w:t>
            </w:r>
          </w:p>
        </w:tc>
        <w:tc>
          <w:tcPr>
            <w:tcW w:w="2393"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合</w:t>
            </w:r>
            <w:r>
              <w:rPr>
                <w:rFonts w:hint="eastAsia"/>
                <w:spacing w:val="4"/>
                <w:sz w:val="20"/>
                <w:u w:val="single"/>
              </w:rPr>
              <w:t xml:space="preserve">  </w:t>
            </w:r>
            <w:r>
              <w:rPr>
                <w:rFonts w:hint="eastAsia"/>
                <w:spacing w:val="4"/>
                <w:sz w:val="20"/>
                <w:u w:val="single"/>
              </w:rPr>
              <w:t>计</w:t>
            </w:r>
          </w:p>
        </w:tc>
      </w:tr>
      <w:tr w:rsidR="00000000">
        <w:tblPrEx>
          <w:tblCellMar>
            <w:top w:w="0" w:type="dxa"/>
            <w:bottom w:w="0" w:type="dxa"/>
          </w:tblCellMar>
        </w:tblPrEx>
        <w:tc>
          <w:tcPr>
            <w:tcW w:w="2392" w:type="dxa"/>
            <w:tcBorders>
              <w:bottom w:val="nil"/>
            </w:tcBorders>
          </w:tcPr>
          <w:p w:rsidR="00000000" w:rsidRDefault="00000000">
            <w:pPr>
              <w:spacing w:before="60" w:line="240" w:lineRule="exact"/>
              <w:rPr>
                <w:rFonts w:hint="eastAsia"/>
                <w:spacing w:val="4"/>
                <w:sz w:val="20"/>
              </w:rPr>
            </w:pPr>
            <w:r>
              <w:rPr>
                <w:rFonts w:hint="eastAsia"/>
                <w:spacing w:val="4"/>
                <w:sz w:val="20"/>
              </w:rPr>
              <w:t>高地</w:t>
            </w:r>
          </w:p>
        </w:tc>
        <w:tc>
          <w:tcPr>
            <w:tcW w:w="2392" w:type="dxa"/>
            <w:tcBorders>
              <w:bottom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657,766.39</w:t>
            </w:r>
          </w:p>
        </w:tc>
        <w:tc>
          <w:tcPr>
            <w:tcW w:w="2393" w:type="dxa"/>
            <w:tcBorders>
              <w:bottom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625,618.21</w:t>
            </w:r>
          </w:p>
        </w:tc>
        <w:tc>
          <w:tcPr>
            <w:tcW w:w="2393" w:type="dxa"/>
            <w:tcBorders>
              <w:bottom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1,283,384.60</w:t>
            </w:r>
          </w:p>
        </w:tc>
      </w:tr>
      <w:tr w:rsidR="00000000">
        <w:tblPrEx>
          <w:tblCellMar>
            <w:top w:w="0" w:type="dxa"/>
            <w:bottom w:w="0" w:type="dxa"/>
          </w:tblCellMar>
        </w:tblPrEx>
        <w:tc>
          <w:tcPr>
            <w:tcW w:w="2392"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沿海</w:t>
            </w:r>
          </w:p>
        </w:tc>
        <w:tc>
          <w:tcPr>
            <w:tcW w:w="2392" w:type="dxa"/>
            <w:tcBorders>
              <w:top w:val="nil"/>
              <w:bottom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869,289.79</w:t>
            </w:r>
          </w:p>
        </w:tc>
        <w:tc>
          <w:tcPr>
            <w:tcW w:w="2393" w:type="dxa"/>
            <w:tcBorders>
              <w:top w:val="nil"/>
              <w:bottom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505,566.55</w:t>
            </w:r>
          </w:p>
        </w:tc>
        <w:tc>
          <w:tcPr>
            <w:tcW w:w="2393" w:type="dxa"/>
            <w:tcBorders>
              <w:top w:val="nil"/>
              <w:bottom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1,374,846.34</w:t>
            </w:r>
          </w:p>
        </w:tc>
      </w:tr>
      <w:tr w:rsidR="00000000">
        <w:tblPrEx>
          <w:tblCellMar>
            <w:top w:w="0" w:type="dxa"/>
            <w:bottom w:w="0" w:type="dxa"/>
          </w:tblCellMar>
        </w:tblPrEx>
        <w:tc>
          <w:tcPr>
            <w:tcW w:w="2392" w:type="dxa"/>
            <w:tcBorders>
              <w:top w:val="nil"/>
            </w:tcBorders>
          </w:tcPr>
          <w:p w:rsidR="00000000" w:rsidRDefault="00000000">
            <w:pPr>
              <w:spacing w:before="60" w:line="240" w:lineRule="exact"/>
              <w:rPr>
                <w:rFonts w:hint="eastAsia"/>
                <w:spacing w:val="4"/>
                <w:sz w:val="20"/>
              </w:rPr>
            </w:pPr>
            <w:r>
              <w:rPr>
                <w:rFonts w:hint="eastAsia"/>
                <w:spacing w:val="4"/>
                <w:sz w:val="20"/>
              </w:rPr>
              <w:t>东部</w:t>
            </w:r>
          </w:p>
        </w:tc>
        <w:tc>
          <w:tcPr>
            <w:tcW w:w="2392" w:type="dxa"/>
            <w:tcBorders>
              <w:top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1,812,481.50</w:t>
            </w:r>
          </w:p>
        </w:tc>
        <w:tc>
          <w:tcPr>
            <w:tcW w:w="2393" w:type="dxa"/>
            <w:tcBorders>
              <w:top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2,722,653.74</w:t>
            </w:r>
          </w:p>
        </w:tc>
        <w:tc>
          <w:tcPr>
            <w:tcW w:w="2393" w:type="dxa"/>
            <w:tcBorders>
              <w:top w:val="nil"/>
            </w:tcBorders>
            <w:vAlign w:val="bottom"/>
          </w:tcPr>
          <w:p w:rsidR="00000000" w:rsidRDefault="00000000">
            <w:pPr>
              <w:spacing w:before="60" w:line="240" w:lineRule="exact"/>
              <w:ind w:right="284"/>
              <w:jc w:val="right"/>
              <w:rPr>
                <w:color w:val="000000"/>
                <w:spacing w:val="4"/>
                <w:sz w:val="20"/>
                <w:szCs w:val="25"/>
              </w:rPr>
            </w:pPr>
            <w:r>
              <w:rPr>
                <w:color w:val="000000"/>
                <w:spacing w:val="4"/>
                <w:sz w:val="20"/>
                <w:szCs w:val="21"/>
              </w:rPr>
              <w:t>4,535,135.24</w:t>
            </w:r>
          </w:p>
        </w:tc>
      </w:tr>
      <w:tr w:rsidR="00000000">
        <w:tblPrEx>
          <w:tblCellMar>
            <w:top w:w="0" w:type="dxa"/>
            <w:bottom w:w="0" w:type="dxa"/>
          </w:tblCellMar>
        </w:tblPrEx>
        <w:tc>
          <w:tcPr>
            <w:tcW w:w="2392" w:type="dxa"/>
          </w:tcPr>
          <w:p w:rsidR="00000000" w:rsidRDefault="00000000">
            <w:pPr>
              <w:spacing w:before="60" w:line="240" w:lineRule="exact"/>
              <w:rPr>
                <w:rFonts w:hint="eastAsia"/>
                <w:spacing w:val="4"/>
                <w:sz w:val="20"/>
              </w:rPr>
            </w:pPr>
            <w:r>
              <w:rPr>
                <w:rFonts w:hint="eastAsia"/>
                <w:spacing w:val="4"/>
                <w:sz w:val="20"/>
              </w:rPr>
              <w:t>共计</w:t>
            </w:r>
          </w:p>
        </w:tc>
        <w:tc>
          <w:tcPr>
            <w:tcW w:w="2392" w:type="dxa"/>
            <w:vAlign w:val="bottom"/>
          </w:tcPr>
          <w:p w:rsidR="00000000" w:rsidRDefault="00000000">
            <w:pPr>
              <w:spacing w:before="60" w:line="240" w:lineRule="exact"/>
              <w:ind w:right="270"/>
              <w:jc w:val="right"/>
              <w:rPr>
                <w:spacing w:val="4"/>
                <w:sz w:val="20"/>
              </w:rPr>
            </w:pPr>
            <w:r>
              <w:rPr>
                <w:spacing w:val="4"/>
                <w:sz w:val="20"/>
                <w:szCs w:val="21"/>
              </w:rPr>
              <w:t>3,339,537.68</w:t>
            </w:r>
          </w:p>
        </w:tc>
        <w:tc>
          <w:tcPr>
            <w:tcW w:w="2393" w:type="dxa"/>
            <w:vAlign w:val="bottom"/>
          </w:tcPr>
          <w:p w:rsidR="00000000" w:rsidRDefault="00000000">
            <w:pPr>
              <w:spacing w:before="60" w:line="240" w:lineRule="exact"/>
              <w:ind w:right="288"/>
              <w:jc w:val="right"/>
              <w:rPr>
                <w:spacing w:val="4"/>
                <w:sz w:val="20"/>
              </w:rPr>
            </w:pPr>
            <w:r>
              <w:rPr>
                <w:spacing w:val="4"/>
                <w:sz w:val="20"/>
                <w:szCs w:val="21"/>
              </w:rPr>
              <w:t>3,853,828.50</w:t>
            </w:r>
          </w:p>
        </w:tc>
        <w:tc>
          <w:tcPr>
            <w:tcW w:w="2393" w:type="dxa"/>
            <w:vAlign w:val="bottom"/>
          </w:tcPr>
          <w:p w:rsidR="00000000" w:rsidRDefault="00000000">
            <w:pPr>
              <w:spacing w:before="60" w:line="240" w:lineRule="exact"/>
              <w:ind w:right="306"/>
              <w:jc w:val="right"/>
              <w:rPr>
                <w:spacing w:val="4"/>
                <w:sz w:val="20"/>
              </w:rPr>
            </w:pPr>
            <w:r>
              <w:rPr>
                <w:spacing w:val="4"/>
                <w:sz w:val="20"/>
                <w:szCs w:val="21"/>
              </w:rPr>
              <w:t>7,193,366.18</w:t>
            </w:r>
          </w:p>
        </w:tc>
      </w:tr>
    </w:tbl>
    <w:p w:rsidR="00000000" w:rsidRDefault="00000000">
      <w:pPr>
        <w:pStyle w:val="FootnoteText"/>
        <w:spacing w:before="300" w:after="300"/>
        <w:rPr>
          <w:rFonts w:hint="eastAsia"/>
        </w:rPr>
      </w:pPr>
      <w:r>
        <w:rPr>
          <w:rFonts w:hint="eastAsia"/>
          <w:u w:val="single"/>
        </w:rPr>
        <w:t>资源来源</w:t>
      </w:r>
      <w:r>
        <w:rPr>
          <w:rFonts w:hint="eastAsia"/>
        </w:rPr>
        <w:t>：国家地区开发局，《总报告》，</w:t>
      </w:r>
      <w:r>
        <w:rPr>
          <w:rFonts w:hint="eastAsia"/>
        </w:rPr>
        <w:t>1998</w:t>
      </w:r>
      <w:r>
        <w:rPr>
          <w:rFonts w:hint="eastAsia"/>
        </w:rPr>
        <w:t>年。</w:t>
      </w:r>
    </w:p>
    <w:p w:rsidR="00000000" w:rsidRDefault="00000000">
      <w:pPr>
        <w:rPr>
          <w:rFonts w:hint="eastAsia"/>
        </w:rPr>
      </w:pPr>
      <w:r>
        <w:rPr>
          <w:rFonts w:hint="eastAsia"/>
        </w:rPr>
        <w:tab/>
        <w:t xml:space="preserve">339.  </w:t>
      </w:r>
      <w:r>
        <w:rPr>
          <w:rFonts w:hint="eastAsia"/>
        </w:rPr>
        <w:t>然而，人们对土改的结果颇有争议。根据国家发展委员会</w:t>
      </w:r>
      <w:r>
        <w:rPr>
          <w:rFonts w:hint="eastAsia"/>
        </w:rPr>
        <w:t>1977</w:t>
      </w:r>
      <w:r>
        <w:rPr>
          <w:rFonts w:hint="eastAsia"/>
        </w:rPr>
        <w:t>年进行的评估研究，</w:t>
      </w:r>
      <w:r>
        <w:rPr>
          <w:rFonts w:hint="eastAsia"/>
          <w:b/>
          <w:vertAlign w:val="superscript"/>
        </w:rPr>
        <w:t>45</w:t>
      </w:r>
      <w:r>
        <w:rPr>
          <w:rFonts w:hint="eastAsia"/>
        </w:rPr>
        <w:t xml:space="preserve"> </w:t>
      </w:r>
      <w:r>
        <w:rPr>
          <w:rFonts w:hint="eastAsia"/>
        </w:rPr>
        <w:t>经过</w:t>
      </w:r>
      <w:r>
        <w:rPr>
          <w:rFonts w:hint="eastAsia"/>
        </w:rPr>
        <w:t>30</w:t>
      </w:r>
      <w:r>
        <w:rPr>
          <w:rFonts w:hint="eastAsia"/>
        </w:rPr>
        <w:t>年时间，总面积的</w:t>
      </w:r>
      <w:r>
        <w:rPr>
          <w:rFonts w:hint="eastAsia"/>
        </w:rPr>
        <w:t>22.2%</w:t>
      </w:r>
      <w:r>
        <w:rPr>
          <w:rFonts w:hint="eastAsia"/>
        </w:rPr>
        <w:t>的所有权介于</w:t>
      </w:r>
      <w:r>
        <w:rPr>
          <w:rFonts w:hint="eastAsia"/>
        </w:rPr>
        <w:t>0.1</w:t>
      </w:r>
      <w:r>
        <w:rPr>
          <w:rFonts w:hint="eastAsia"/>
        </w:rPr>
        <w:t>至</w:t>
      </w:r>
      <w:r>
        <w:rPr>
          <w:rFonts w:hint="eastAsia"/>
        </w:rPr>
        <w:t>9</w:t>
      </w:r>
      <w:r>
        <w:rPr>
          <w:rFonts w:hint="eastAsia"/>
        </w:rPr>
        <w:t>公顷之间，很大比例的地皮不到</w:t>
      </w:r>
      <w:r>
        <w:rPr>
          <w:rFonts w:hint="eastAsia"/>
        </w:rPr>
        <w:t>1</w:t>
      </w:r>
      <w:r>
        <w:rPr>
          <w:rFonts w:hint="eastAsia"/>
        </w:rPr>
        <w:t>公顷；</w:t>
      </w:r>
      <w:r>
        <w:rPr>
          <w:rFonts w:hint="eastAsia"/>
        </w:rPr>
        <w:t>26.4%</w:t>
      </w:r>
      <w:r>
        <w:rPr>
          <w:rFonts w:hint="eastAsia"/>
        </w:rPr>
        <w:t>属于</w:t>
      </w:r>
      <w:r>
        <w:rPr>
          <w:rFonts w:hint="eastAsia"/>
        </w:rPr>
        <w:t>10</w:t>
      </w:r>
      <w:r>
        <w:rPr>
          <w:rFonts w:hint="eastAsia"/>
        </w:rPr>
        <w:t>至</w:t>
      </w:r>
      <w:r>
        <w:rPr>
          <w:rFonts w:hint="eastAsia"/>
        </w:rPr>
        <w:t>49</w:t>
      </w:r>
      <w:r>
        <w:rPr>
          <w:rFonts w:hint="eastAsia"/>
        </w:rPr>
        <w:t>公顷的生产用地，介于</w:t>
      </w:r>
      <w:r>
        <w:rPr>
          <w:rFonts w:hint="eastAsia"/>
        </w:rPr>
        <w:t>50</w:t>
      </w:r>
      <w:r>
        <w:rPr>
          <w:rFonts w:hint="eastAsia"/>
        </w:rPr>
        <w:t>至</w:t>
      </w:r>
      <w:r>
        <w:rPr>
          <w:rFonts w:hint="eastAsia"/>
        </w:rPr>
        <w:t>500</w:t>
      </w:r>
      <w:r>
        <w:rPr>
          <w:rFonts w:hint="eastAsia"/>
        </w:rPr>
        <w:t>公顷的所有权在所有权中占</w:t>
      </w:r>
      <w:r>
        <w:rPr>
          <w:rFonts w:hint="eastAsia"/>
        </w:rPr>
        <w:t>2.6%</w:t>
      </w:r>
      <w:r>
        <w:rPr>
          <w:rFonts w:hint="eastAsia"/>
        </w:rPr>
        <w:t>，共占总面积的</w:t>
      </w:r>
      <w:r>
        <w:rPr>
          <w:rFonts w:hint="eastAsia"/>
        </w:rPr>
        <w:t>51.3%</w:t>
      </w:r>
      <w:r>
        <w:rPr>
          <w:rFonts w:hint="eastAsia"/>
        </w:rPr>
        <w:t>，从而表明土地所有权转让率很低，而费用却很高。</w:t>
      </w:r>
    </w:p>
    <w:p w:rsidR="00000000" w:rsidRDefault="00000000">
      <w:pPr>
        <w:rPr>
          <w:rFonts w:hint="eastAsia"/>
        </w:rPr>
      </w:pPr>
      <w:r>
        <w:rPr>
          <w:rFonts w:hint="eastAsia"/>
        </w:rPr>
        <w:tab/>
        <w:t xml:space="preserve">340.  </w:t>
      </w:r>
      <w:r>
        <w:rPr>
          <w:rFonts w:hint="eastAsia"/>
        </w:rPr>
        <w:t>事实上，该法的实行并未消除国家的不公正现象，更没有消除农业中的社会冲突。它只能做到消除边缘化生产方式。然而，农民</w:t>
      </w:r>
      <w:r>
        <w:rPr>
          <w:rFonts w:hint="eastAsia"/>
        </w:rPr>
        <w:t>(</w:t>
      </w:r>
      <w:r>
        <w:rPr>
          <w:rFonts w:hint="eastAsia"/>
        </w:rPr>
        <w:t>大多数是土著人民</w:t>
      </w:r>
      <w:r>
        <w:rPr>
          <w:rFonts w:hint="eastAsia"/>
        </w:rPr>
        <w:t>)</w:t>
      </w:r>
      <w:r>
        <w:rPr>
          <w:rFonts w:hint="eastAsia"/>
        </w:rPr>
        <w:t>得到的是边远地区的小块土地，农业和生态条件最差</w:t>
      </w:r>
      <w:r>
        <w:rPr>
          <w:rFonts w:hint="eastAsia"/>
        </w:rPr>
        <w:t>(</w:t>
      </w:r>
      <w:r>
        <w:rPr>
          <w:rFonts w:hint="eastAsia"/>
        </w:rPr>
        <w:t>灌木丛林地、山边和高低不平的土地</w:t>
      </w:r>
      <w:r>
        <w:rPr>
          <w:rFonts w:hint="eastAsia"/>
        </w:rPr>
        <w:t>)</w:t>
      </w:r>
      <w:r>
        <w:rPr>
          <w:rFonts w:hint="eastAsia"/>
        </w:rPr>
        <w:t>，而且他们没有技术、培训、贷款或道路，无法提高其基本农业资产的生产和生产率。他们无法改善自身及家人的生活条件，这一现象使得农村人口的边缘化和贫困问题更加恶化。应当指出，约</w:t>
      </w:r>
      <w:r>
        <w:rPr>
          <w:rFonts w:hint="eastAsia"/>
        </w:rPr>
        <w:t>60%</w:t>
      </w:r>
      <w:r>
        <w:rPr>
          <w:rFonts w:hint="eastAsia"/>
        </w:rPr>
        <w:t>的生产者处境都是如此。</w:t>
      </w:r>
    </w:p>
    <w:p w:rsidR="00000000" w:rsidRDefault="00000000">
      <w:pPr>
        <w:rPr>
          <w:rFonts w:hint="eastAsia"/>
        </w:rPr>
      </w:pPr>
      <w:r>
        <w:rPr>
          <w:rFonts w:hint="eastAsia"/>
        </w:rPr>
        <w:tab/>
        <w:t xml:space="preserve">341.  </w:t>
      </w:r>
      <w:r>
        <w:rPr>
          <w:rFonts w:hint="eastAsia"/>
        </w:rPr>
        <w:t>厄瓜多尔的黑人继续被排斥，未得到国家土地改革的任何好处。主要问题之一是生产资料所有权问题。过去十年里，由于得不到土地所有权，所有人拥向基多和瓜亚基尔等大城市；在这些大城市，黑人在城市的一些边际地区定居下来，他们的处境比起其老家毫无改善，而且在某些情况下甚至更糟。贫困和营养不良程度很高，政府没有采取任何措施扭转这一趋势。</w:t>
      </w:r>
    </w:p>
    <w:p w:rsidR="00000000" w:rsidRDefault="00000000">
      <w:r>
        <w:rPr>
          <w:rFonts w:hint="eastAsia"/>
        </w:rPr>
        <w:tab/>
        <w:t xml:space="preserve">342.  </w:t>
      </w:r>
      <w:r>
        <w:rPr>
          <w:rFonts w:hint="eastAsia"/>
        </w:rPr>
        <w:t>土地改革还带来了其它影响；其中主要的一个影响是大地主将耕地变为牧场和森林，以作为其保护性策略的一部分；根据法律规定，对用于这些目的的土地不实行再分配。</w:t>
      </w:r>
    </w:p>
    <w:p w:rsidR="00000000" w:rsidRDefault="00000000">
      <w:pPr>
        <w:rPr>
          <w:rFonts w:hint="eastAsia"/>
        </w:rPr>
      </w:pPr>
      <w:r>
        <w:tab/>
        <w:t xml:space="preserve">343.  </w:t>
      </w:r>
      <w:r>
        <w:rPr>
          <w:rFonts w:hint="eastAsia"/>
        </w:rPr>
        <w:t>为刺激农业发展，必须进行改革。由于需要促进农业部门的全面发展，</w:t>
      </w:r>
      <w:r>
        <w:rPr>
          <w:rFonts w:hint="eastAsia"/>
        </w:rPr>
        <w:t>1994</w:t>
      </w:r>
      <w:r>
        <w:rPr>
          <w:rFonts w:hint="eastAsia"/>
        </w:rPr>
        <w:t>年</w:t>
      </w:r>
      <w:r>
        <w:rPr>
          <w:rFonts w:hint="eastAsia"/>
        </w:rPr>
        <w:t>3</w:t>
      </w:r>
      <w:r>
        <w:rPr>
          <w:rFonts w:hint="eastAsia"/>
        </w:rPr>
        <w:t>月</w:t>
      </w:r>
      <w:r>
        <w:rPr>
          <w:rFonts w:hint="eastAsia"/>
        </w:rPr>
        <w:t>14</w:t>
      </w:r>
      <w:r>
        <w:rPr>
          <w:rFonts w:hint="eastAsia"/>
        </w:rPr>
        <w:t>日</w:t>
      </w:r>
      <w:r>
        <w:rPr>
          <w:rFonts w:hint="eastAsia"/>
        </w:rPr>
        <w:t>(</w:t>
      </w:r>
      <w:r>
        <w:rPr>
          <w:rFonts w:hint="eastAsia"/>
        </w:rPr>
        <w:t>第</w:t>
      </w:r>
      <w:r>
        <w:rPr>
          <w:rFonts w:hint="eastAsia"/>
        </w:rPr>
        <w:t>461</w:t>
      </w:r>
      <w:r>
        <w:rPr>
          <w:rFonts w:hint="eastAsia"/>
        </w:rPr>
        <w:t>号《官方公报》</w:t>
      </w:r>
      <w:r>
        <w:rPr>
          <w:rFonts w:hint="eastAsia"/>
        </w:rPr>
        <w:t>)</w:t>
      </w:r>
      <w:r>
        <w:rPr>
          <w:rFonts w:hint="eastAsia"/>
        </w:rPr>
        <w:t>颁布了被称为第</w:t>
      </w:r>
      <w:r>
        <w:rPr>
          <w:rFonts w:hint="eastAsia"/>
        </w:rPr>
        <w:t>54</w:t>
      </w:r>
      <w:r>
        <w:rPr>
          <w:rFonts w:hint="eastAsia"/>
        </w:rPr>
        <w:t>号法案的《土地开发法》，旨在实现农业部门的现代化。</w:t>
      </w:r>
    </w:p>
    <w:p w:rsidR="00000000" w:rsidRDefault="00000000">
      <w:pPr>
        <w:rPr>
          <w:rFonts w:hint="eastAsia"/>
        </w:rPr>
      </w:pPr>
      <w:r>
        <w:rPr>
          <w:rFonts w:hint="eastAsia"/>
        </w:rPr>
        <w:tab/>
        <w:t xml:space="preserve">344.  </w:t>
      </w:r>
      <w:r>
        <w:rPr>
          <w:rFonts w:hint="eastAsia"/>
        </w:rPr>
        <w:t>《土地开发法》颁布后，撤消了厄瓜多尔土地改革与殖民所，并成立了国家土地开发局，作为一个负责管理以下各不同领域中的土地政策的公共实体：确保土地所有权；通过授予土地的方式将国有土地推向自由市场；建立土地登记簿；以及确保机构间的合作。</w:t>
      </w:r>
    </w:p>
    <w:p w:rsidR="00000000" w:rsidRDefault="00000000">
      <w:pPr>
        <w:rPr>
          <w:rFonts w:hint="eastAsia"/>
        </w:rPr>
      </w:pPr>
      <w:r>
        <w:rPr>
          <w:rFonts w:hint="eastAsia"/>
        </w:rPr>
        <w:tab/>
        <w:t xml:space="preserve">345.  </w:t>
      </w:r>
      <w:r>
        <w:rPr>
          <w:rFonts w:hint="eastAsia"/>
        </w:rPr>
        <w:t>在过渡期间以及国家土地开发局刚开始运作的头几年，厄瓜多尔农村地区从事小规模生产的农场主不能拥有地契。有地契的话，本可作为其拥有土地的保证，并让其能获得农业贷款，使其能有效地改善和利用其财产。随后，国家土地开发局进入了新的工作阶段，执行了全面促进、开发和保护农业的政策，优化利用农业部门的资源，并为用户提供优质服务，从而为全国的社会经济发展作出贡献，详情见下表。</w:t>
      </w:r>
    </w:p>
    <w:p w:rsidR="00000000" w:rsidRDefault="00000000">
      <w:pPr>
        <w:pStyle w:val="Heading3"/>
        <w:spacing w:after="160"/>
        <w:rPr>
          <w:rFonts w:eastAsia="KaiTi_GB2312" w:hint="eastAsia"/>
          <w:snapToGrid/>
          <w:spacing w:val="0"/>
          <w:kern w:val="0"/>
          <w:u w:val="none"/>
        </w:rPr>
      </w:pPr>
      <w:r>
        <w:rPr>
          <w:rFonts w:hint="eastAsia"/>
        </w:rPr>
        <w:t>发放的地契、面积和受益人</w:t>
      </w:r>
      <w:r>
        <w:br/>
      </w:r>
      <w:r>
        <w:rPr>
          <w:rFonts w:eastAsia="KaiTi_GB2312" w:hint="eastAsia"/>
          <w:snapToGrid/>
          <w:spacing w:val="0"/>
          <w:kern w:val="0"/>
          <w:u w:val="none"/>
        </w:rPr>
        <w:t>(</w:t>
      </w:r>
      <w:r>
        <w:rPr>
          <w:rFonts w:eastAsia="KaiTi_GB2312" w:hint="eastAsia"/>
          <w:snapToGrid/>
          <w:spacing w:val="0"/>
          <w:kern w:val="0"/>
          <w:u w:val="none"/>
        </w:rPr>
        <w:t>单位：公顷</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000000">
        <w:tblPrEx>
          <w:tblCellMar>
            <w:top w:w="0" w:type="dxa"/>
            <w:bottom w:w="0" w:type="dxa"/>
          </w:tblCellMar>
        </w:tblPrEx>
        <w:tc>
          <w:tcPr>
            <w:tcW w:w="2392" w:type="dxa"/>
            <w:tcBorders>
              <w:bottom w:val="single" w:sz="4" w:space="0" w:color="auto"/>
            </w:tcBorders>
          </w:tcPr>
          <w:p w:rsidR="00000000" w:rsidRDefault="00000000">
            <w:pPr>
              <w:spacing w:before="60" w:line="240" w:lineRule="exact"/>
              <w:jc w:val="center"/>
              <w:rPr>
                <w:rFonts w:hint="eastAsia"/>
                <w:spacing w:val="4"/>
                <w:sz w:val="20"/>
                <w:u w:val="single"/>
              </w:rPr>
            </w:pPr>
          </w:p>
        </w:tc>
        <w:tc>
          <w:tcPr>
            <w:tcW w:w="2392"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地</w:t>
            </w:r>
            <w:r>
              <w:rPr>
                <w:rFonts w:hint="eastAsia"/>
                <w:spacing w:val="4"/>
                <w:sz w:val="20"/>
                <w:u w:val="single"/>
              </w:rPr>
              <w:t xml:space="preserve">  </w:t>
            </w:r>
            <w:r>
              <w:rPr>
                <w:rFonts w:hint="eastAsia"/>
                <w:spacing w:val="4"/>
                <w:sz w:val="20"/>
                <w:u w:val="single"/>
              </w:rPr>
              <w:t>契</w:t>
            </w:r>
          </w:p>
        </w:tc>
        <w:tc>
          <w:tcPr>
            <w:tcW w:w="2393"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面</w:t>
            </w:r>
            <w:r>
              <w:rPr>
                <w:rFonts w:hint="eastAsia"/>
                <w:spacing w:val="4"/>
                <w:sz w:val="20"/>
                <w:u w:val="single"/>
              </w:rPr>
              <w:t xml:space="preserve">  </w:t>
            </w:r>
            <w:r>
              <w:rPr>
                <w:rFonts w:hint="eastAsia"/>
                <w:spacing w:val="4"/>
                <w:sz w:val="20"/>
                <w:u w:val="single"/>
              </w:rPr>
              <w:t>积</w:t>
            </w:r>
          </w:p>
        </w:tc>
        <w:tc>
          <w:tcPr>
            <w:tcW w:w="2393"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受益人</w:t>
            </w:r>
          </w:p>
        </w:tc>
      </w:tr>
      <w:tr w:rsidR="00000000">
        <w:tblPrEx>
          <w:tblCellMar>
            <w:top w:w="0" w:type="dxa"/>
            <w:bottom w:w="0" w:type="dxa"/>
          </w:tblCellMar>
        </w:tblPrEx>
        <w:tc>
          <w:tcPr>
            <w:tcW w:w="2392" w:type="dxa"/>
            <w:tcBorders>
              <w:bottom w:val="nil"/>
            </w:tcBorders>
          </w:tcPr>
          <w:p w:rsidR="00000000" w:rsidRDefault="00000000">
            <w:pPr>
              <w:spacing w:before="60" w:line="240" w:lineRule="exact"/>
              <w:rPr>
                <w:rFonts w:hint="eastAsia"/>
                <w:spacing w:val="4"/>
                <w:sz w:val="20"/>
              </w:rPr>
            </w:pPr>
            <w:r>
              <w:rPr>
                <w:rFonts w:hint="eastAsia"/>
                <w:spacing w:val="4"/>
                <w:sz w:val="20"/>
              </w:rPr>
              <w:t>高</w:t>
            </w:r>
            <w:r>
              <w:rPr>
                <w:rFonts w:hint="eastAsia"/>
                <w:spacing w:val="4"/>
                <w:sz w:val="20"/>
              </w:rPr>
              <w:t xml:space="preserve"> </w:t>
            </w:r>
            <w:r>
              <w:rPr>
                <w:rFonts w:hint="eastAsia"/>
                <w:spacing w:val="4"/>
                <w:sz w:val="20"/>
              </w:rPr>
              <w:t>地</w:t>
            </w:r>
          </w:p>
        </w:tc>
        <w:tc>
          <w:tcPr>
            <w:tcW w:w="2392" w:type="dxa"/>
            <w:tcBorders>
              <w:bottom w:val="nil"/>
            </w:tcBorders>
            <w:vAlign w:val="bottom"/>
          </w:tcPr>
          <w:p w:rsidR="00000000" w:rsidRDefault="00000000">
            <w:pPr>
              <w:spacing w:before="60" w:line="240" w:lineRule="exact"/>
              <w:ind w:right="510"/>
              <w:jc w:val="right"/>
              <w:rPr>
                <w:color w:val="000000"/>
                <w:spacing w:val="4"/>
                <w:sz w:val="20"/>
                <w:szCs w:val="21"/>
              </w:rPr>
            </w:pPr>
            <w:r>
              <w:rPr>
                <w:color w:val="000000"/>
                <w:spacing w:val="4"/>
                <w:sz w:val="20"/>
                <w:szCs w:val="21"/>
              </w:rPr>
              <w:t>1,631</w:t>
            </w:r>
          </w:p>
        </w:tc>
        <w:tc>
          <w:tcPr>
            <w:tcW w:w="2393" w:type="dxa"/>
            <w:tcBorders>
              <w:bottom w:val="nil"/>
            </w:tcBorders>
            <w:vAlign w:val="bottom"/>
          </w:tcPr>
          <w:p w:rsidR="00000000" w:rsidRDefault="00000000">
            <w:pPr>
              <w:spacing w:before="60" w:line="240" w:lineRule="exact"/>
              <w:ind w:right="284"/>
              <w:jc w:val="right"/>
              <w:rPr>
                <w:color w:val="000000"/>
                <w:spacing w:val="4"/>
                <w:sz w:val="20"/>
                <w:szCs w:val="21"/>
              </w:rPr>
            </w:pPr>
            <w:r>
              <w:rPr>
                <w:color w:val="000000"/>
                <w:spacing w:val="4"/>
                <w:sz w:val="20"/>
                <w:szCs w:val="21"/>
              </w:rPr>
              <w:t>6,775.80</w:t>
            </w:r>
          </w:p>
        </w:tc>
        <w:tc>
          <w:tcPr>
            <w:tcW w:w="2393" w:type="dxa"/>
            <w:tcBorders>
              <w:bottom w:val="nil"/>
            </w:tcBorders>
            <w:vAlign w:val="bottom"/>
          </w:tcPr>
          <w:p w:rsidR="00000000" w:rsidRDefault="00000000">
            <w:pPr>
              <w:spacing w:before="60" w:line="240" w:lineRule="exact"/>
              <w:ind w:right="454"/>
              <w:jc w:val="right"/>
              <w:rPr>
                <w:color w:val="000000"/>
                <w:spacing w:val="4"/>
                <w:sz w:val="20"/>
                <w:szCs w:val="21"/>
              </w:rPr>
            </w:pPr>
            <w:r>
              <w:rPr>
                <w:color w:val="000000"/>
                <w:spacing w:val="4"/>
                <w:sz w:val="20"/>
                <w:szCs w:val="21"/>
              </w:rPr>
              <w:t>6,047</w:t>
            </w:r>
          </w:p>
        </w:tc>
      </w:tr>
      <w:tr w:rsidR="00000000">
        <w:tblPrEx>
          <w:tblCellMar>
            <w:top w:w="0" w:type="dxa"/>
            <w:bottom w:w="0" w:type="dxa"/>
          </w:tblCellMar>
        </w:tblPrEx>
        <w:tc>
          <w:tcPr>
            <w:tcW w:w="2392"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沿</w:t>
            </w:r>
            <w:r>
              <w:rPr>
                <w:rFonts w:hint="eastAsia"/>
                <w:spacing w:val="4"/>
                <w:sz w:val="20"/>
              </w:rPr>
              <w:t xml:space="preserve"> </w:t>
            </w:r>
            <w:r>
              <w:rPr>
                <w:rFonts w:hint="eastAsia"/>
                <w:spacing w:val="4"/>
                <w:sz w:val="20"/>
              </w:rPr>
              <w:t>海</w:t>
            </w:r>
          </w:p>
        </w:tc>
        <w:tc>
          <w:tcPr>
            <w:tcW w:w="2392" w:type="dxa"/>
            <w:tcBorders>
              <w:top w:val="nil"/>
              <w:bottom w:val="nil"/>
            </w:tcBorders>
            <w:vAlign w:val="bottom"/>
          </w:tcPr>
          <w:p w:rsidR="00000000" w:rsidRDefault="00000000">
            <w:pPr>
              <w:spacing w:before="60" w:line="240" w:lineRule="exact"/>
              <w:ind w:right="510"/>
              <w:jc w:val="right"/>
              <w:rPr>
                <w:color w:val="000000"/>
                <w:spacing w:val="4"/>
                <w:sz w:val="20"/>
                <w:szCs w:val="21"/>
              </w:rPr>
            </w:pPr>
            <w:r>
              <w:rPr>
                <w:color w:val="000000"/>
                <w:spacing w:val="4"/>
                <w:sz w:val="20"/>
                <w:szCs w:val="21"/>
              </w:rPr>
              <w:t>724</w:t>
            </w:r>
          </w:p>
        </w:tc>
        <w:tc>
          <w:tcPr>
            <w:tcW w:w="2393" w:type="dxa"/>
            <w:tcBorders>
              <w:top w:val="nil"/>
              <w:bottom w:val="nil"/>
            </w:tcBorders>
            <w:vAlign w:val="bottom"/>
          </w:tcPr>
          <w:p w:rsidR="00000000" w:rsidRDefault="00000000">
            <w:pPr>
              <w:spacing w:before="60" w:line="240" w:lineRule="exact"/>
              <w:ind w:right="284"/>
              <w:jc w:val="right"/>
              <w:rPr>
                <w:color w:val="000000"/>
                <w:spacing w:val="4"/>
                <w:sz w:val="20"/>
                <w:szCs w:val="21"/>
              </w:rPr>
            </w:pPr>
            <w:r>
              <w:rPr>
                <w:color w:val="000000"/>
                <w:spacing w:val="4"/>
                <w:sz w:val="20"/>
                <w:szCs w:val="21"/>
              </w:rPr>
              <w:t>16,984.80</w:t>
            </w:r>
          </w:p>
        </w:tc>
        <w:tc>
          <w:tcPr>
            <w:tcW w:w="2393" w:type="dxa"/>
            <w:tcBorders>
              <w:top w:val="nil"/>
              <w:bottom w:val="nil"/>
            </w:tcBorders>
            <w:vAlign w:val="bottom"/>
          </w:tcPr>
          <w:p w:rsidR="00000000" w:rsidRDefault="00000000">
            <w:pPr>
              <w:spacing w:before="60" w:line="240" w:lineRule="exact"/>
              <w:ind w:right="454"/>
              <w:jc w:val="right"/>
              <w:rPr>
                <w:color w:val="000000"/>
                <w:spacing w:val="4"/>
                <w:sz w:val="20"/>
                <w:szCs w:val="21"/>
              </w:rPr>
            </w:pPr>
            <w:r>
              <w:rPr>
                <w:color w:val="000000"/>
                <w:spacing w:val="4"/>
                <w:sz w:val="20"/>
                <w:szCs w:val="21"/>
              </w:rPr>
              <w:t>2,798</w:t>
            </w:r>
          </w:p>
        </w:tc>
      </w:tr>
      <w:tr w:rsidR="00000000">
        <w:tblPrEx>
          <w:tblCellMar>
            <w:top w:w="0" w:type="dxa"/>
            <w:bottom w:w="0" w:type="dxa"/>
          </w:tblCellMar>
        </w:tblPrEx>
        <w:tc>
          <w:tcPr>
            <w:tcW w:w="2392" w:type="dxa"/>
            <w:tcBorders>
              <w:top w:val="nil"/>
            </w:tcBorders>
          </w:tcPr>
          <w:p w:rsidR="00000000" w:rsidRDefault="00000000">
            <w:pPr>
              <w:spacing w:before="60" w:line="240" w:lineRule="exact"/>
              <w:rPr>
                <w:rFonts w:hint="eastAsia"/>
                <w:spacing w:val="4"/>
                <w:sz w:val="20"/>
              </w:rPr>
            </w:pPr>
            <w:r>
              <w:rPr>
                <w:rFonts w:hint="eastAsia"/>
                <w:spacing w:val="4"/>
                <w:sz w:val="20"/>
              </w:rPr>
              <w:t>东</w:t>
            </w:r>
            <w:r>
              <w:rPr>
                <w:rFonts w:hint="eastAsia"/>
                <w:spacing w:val="4"/>
                <w:sz w:val="20"/>
              </w:rPr>
              <w:t xml:space="preserve"> </w:t>
            </w:r>
            <w:r>
              <w:rPr>
                <w:rFonts w:hint="eastAsia"/>
                <w:spacing w:val="4"/>
                <w:sz w:val="20"/>
              </w:rPr>
              <w:t>部</w:t>
            </w:r>
          </w:p>
        </w:tc>
        <w:tc>
          <w:tcPr>
            <w:tcW w:w="2392" w:type="dxa"/>
            <w:tcBorders>
              <w:top w:val="nil"/>
            </w:tcBorders>
            <w:vAlign w:val="bottom"/>
          </w:tcPr>
          <w:p w:rsidR="00000000" w:rsidRDefault="00000000">
            <w:pPr>
              <w:spacing w:before="60" w:line="240" w:lineRule="exact"/>
              <w:ind w:right="510"/>
              <w:jc w:val="right"/>
              <w:rPr>
                <w:color w:val="000000"/>
                <w:spacing w:val="4"/>
                <w:sz w:val="20"/>
                <w:szCs w:val="21"/>
              </w:rPr>
            </w:pPr>
            <w:r>
              <w:rPr>
                <w:color w:val="000000"/>
                <w:spacing w:val="4"/>
                <w:sz w:val="20"/>
                <w:szCs w:val="21"/>
              </w:rPr>
              <w:t>447</w:t>
            </w:r>
          </w:p>
        </w:tc>
        <w:tc>
          <w:tcPr>
            <w:tcW w:w="2393" w:type="dxa"/>
            <w:tcBorders>
              <w:top w:val="nil"/>
            </w:tcBorders>
            <w:vAlign w:val="bottom"/>
          </w:tcPr>
          <w:p w:rsidR="00000000" w:rsidRDefault="00000000">
            <w:pPr>
              <w:spacing w:before="60" w:line="240" w:lineRule="exact"/>
              <w:ind w:right="284"/>
              <w:jc w:val="right"/>
              <w:rPr>
                <w:color w:val="000000"/>
                <w:spacing w:val="4"/>
                <w:sz w:val="20"/>
                <w:szCs w:val="21"/>
              </w:rPr>
            </w:pPr>
            <w:r>
              <w:rPr>
                <w:color w:val="000000"/>
                <w:spacing w:val="4"/>
                <w:sz w:val="20"/>
                <w:szCs w:val="21"/>
              </w:rPr>
              <w:t>5,804.40</w:t>
            </w:r>
          </w:p>
        </w:tc>
        <w:tc>
          <w:tcPr>
            <w:tcW w:w="2393" w:type="dxa"/>
            <w:tcBorders>
              <w:top w:val="nil"/>
            </w:tcBorders>
            <w:vAlign w:val="bottom"/>
          </w:tcPr>
          <w:p w:rsidR="00000000" w:rsidRDefault="00000000">
            <w:pPr>
              <w:spacing w:before="60" w:line="240" w:lineRule="exact"/>
              <w:ind w:right="454"/>
              <w:jc w:val="right"/>
              <w:rPr>
                <w:color w:val="000000"/>
                <w:spacing w:val="4"/>
                <w:sz w:val="20"/>
                <w:szCs w:val="21"/>
              </w:rPr>
            </w:pPr>
            <w:r>
              <w:rPr>
                <w:color w:val="000000"/>
                <w:spacing w:val="4"/>
                <w:sz w:val="20"/>
                <w:szCs w:val="21"/>
              </w:rPr>
              <w:t>1,706</w:t>
            </w:r>
          </w:p>
        </w:tc>
      </w:tr>
      <w:tr w:rsidR="00000000">
        <w:tblPrEx>
          <w:tblCellMar>
            <w:top w:w="0" w:type="dxa"/>
            <w:bottom w:w="0" w:type="dxa"/>
          </w:tblCellMar>
        </w:tblPrEx>
        <w:tc>
          <w:tcPr>
            <w:tcW w:w="2392" w:type="dxa"/>
          </w:tcPr>
          <w:p w:rsidR="00000000" w:rsidRDefault="00000000">
            <w:pPr>
              <w:spacing w:before="60" w:line="240" w:lineRule="exact"/>
              <w:ind w:left="406"/>
              <w:rPr>
                <w:rFonts w:hint="eastAsia"/>
                <w:spacing w:val="4"/>
                <w:sz w:val="20"/>
              </w:rPr>
            </w:pPr>
            <w:r>
              <w:rPr>
                <w:rFonts w:hint="eastAsia"/>
                <w:spacing w:val="4"/>
                <w:sz w:val="20"/>
              </w:rPr>
              <w:t>共</w:t>
            </w:r>
            <w:r>
              <w:rPr>
                <w:rFonts w:hint="eastAsia"/>
                <w:spacing w:val="4"/>
                <w:sz w:val="20"/>
              </w:rPr>
              <w:t xml:space="preserve">  </w:t>
            </w:r>
            <w:r>
              <w:rPr>
                <w:rFonts w:hint="eastAsia"/>
                <w:spacing w:val="4"/>
                <w:sz w:val="20"/>
              </w:rPr>
              <w:t>计</w:t>
            </w:r>
          </w:p>
        </w:tc>
        <w:tc>
          <w:tcPr>
            <w:tcW w:w="2392" w:type="dxa"/>
            <w:vAlign w:val="bottom"/>
          </w:tcPr>
          <w:p w:rsidR="00000000" w:rsidRDefault="00000000">
            <w:pPr>
              <w:spacing w:before="60" w:line="240" w:lineRule="exact"/>
              <w:ind w:right="510"/>
              <w:jc w:val="right"/>
              <w:rPr>
                <w:color w:val="000000"/>
                <w:spacing w:val="4"/>
                <w:sz w:val="20"/>
                <w:szCs w:val="21"/>
              </w:rPr>
            </w:pPr>
            <w:r>
              <w:rPr>
                <w:color w:val="000000"/>
                <w:spacing w:val="4"/>
                <w:sz w:val="20"/>
                <w:szCs w:val="21"/>
              </w:rPr>
              <w:t>2,802</w:t>
            </w:r>
          </w:p>
        </w:tc>
        <w:tc>
          <w:tcPr>
            <w:tcW w:w="2393" w:type="dxa"/>
            <w:vAlign w:val="bottom"/>
          </w:tcPr>
          <w:p w:rsidR="00000000" w:rsidRDefault="00000000">
            <w:pPr>
              <w:spacing w:before="60" w:line="240" w:lineRule="exact"/>
              <w:ind w:right="284"/>
              <w:jc w:val="right"/>
              <w:rPr>
                <w:color w:val="000000"/>
                <w:spacing w:val="4"/>
                <w:sz w:val="20"/>
                <w:szCs w:val="21"/>
              </w:rPr>
            </w:pPr>
            <w:r>
              <w:rPr>
                <w:color w:val="000000"/>
                <w:spacing w:val="4"/>
                <w:sz w:val="20"/>
                <w:szCs w:val="21"/>
              </w:rPr>
              <w:t>29,566.00</w:t>
            </w:r>
          </w:p>
        </w:tc>
        <w:tc>
          <w:tcPr>
            <w:tcW w:w="2393" w:type="dxa"/>
            <w:vAlign w:val="bottom"/>
          </w:tcPr>
          <w:p w:rsidR="00000000" w:rsidRDefault="00000000">
            <w:pPr>
              <w:spacing w:before="60" w:line="240" w:lineRule="exact"/>
              <w:ind w:right="454"/>
              <w:jc w:val="right"/>
              <w:rPr>
                <w:color w:val="000000"/>
                <w:spacing w:val="4"/>
                <w:sz w:val="20"/>
                <w:szCs w:val="21"/>
              </w:rPr>
            </w:pPr>
            <w:r>
              <w:rPr>
                <w:color w:val="000000"/>
                <w:spacing w:val="4"/>
                <w:sz w:val="20"/>
                <w:szCs w:val="21"/>
              </w:rPr>
              <w:t>10,511</w:t>
            </w:r>
          </w:p>
        </w:tc>
      </w:tr>
      <w:tr w:rsidR="00000000">
        <w:tblPrEx>
          <w:tblCellMar>
            <w:top w:w="0" w:type="dxa"/>
            <w:bottom w:w="0" w:type="dxa"/>
          </w:tblCellMar>
        </w:tblPrEx>
        <w:tc>
          <w:tcPr>
            <w:tcW w:w="2392" w:type="dxa"/>
          </w:tcPr>
          <w:p w:rsidR="00000000" w:rsidRDefault="00000000">
            <w:pPr>
              <w:spacing w:before="60" w:line="240" w:lineRule="exact"/>
              <w:rPr>
                <w:rFonts w:hint="eastAsia"/>
                <w:spacing w:val="4"/>
                <w:sz w:val="20"/>
              </w:rPr>
            </w:pPr>
            <w:r>
              <w:rPr>
                <w:rFonts w:hint="eastAsia"/>
                <w:spacing w:val="4"/>
                <w:sz w:val="20"/>
              </w:rPr>
              <w:t>项</w:t>
            </w:r>
            <w:r>
              <w:rPr>
                <w:rFonts w:hint="eastAsia"/>
                <w:spacing w:val="4"/>
                <w:sz w:val="20"/>
              </w:rPr>
              <w:t xml:space="preserve"> </w:t>
            </w:r>
            <w:r>
              <w:rPr>
                <w:rFonts w:hint="eastAsia"/>
                <w:spacing w:val="4"/>
                <w:sz w:val="20"/>
              </w:rPr>
              <w:t>目</w:t>
            </w:r>
          </w:p>
        </w:tc>
        <w:tc>
          <w:tcPr>
            <w:tcW w:w="2392" w:type="dxa"/>
            <w:vAlign w:val="bottom"/>
          </w:tcPr>
          <w:p w:rsidR="00000000" w:rsidRDefault="00000000">
            <w:pPr>
              <w:spacing w:before="60" w:line="240" w:lineRule="exact"/>
              <w:ind w:right="510"/>
              <w:jc w:val="right"/>
              <w:rPr>
                <w:color w:val="000000"/>
                <w:spacing w:val="4"/>
                <w:sz w:val="20"/>
                <w:szCs w:val="21"/>
              </w:rPr>
            </w:pPr>
            <w:r>
              <w:rPr>
                <w:color w:val="000000"/>
                <w:spacing w:val="4"/>
                <w:sz w:val="20"/>
                <w:szCs w:val="21"/>
              </w:rPr>
              <w:t>908</w:t>
            </w:r>
          </w:p>
        </w:tc>
        <w:tc>
          <w:tcPr>
            <w:tcW w:w="2393" w:type="dxa"/>
            <w:vAlign w:val="bottom"/>
          </w:tcPr>
          <w:p w:rsidR="00000000" w:rsidRDefault="00000000">
            <w:pPr>
              <w:spacing w:before="60" w:line="240" w:lineRule="exact"/>
              <w:ind w:right="284"/>
              <w:jc w:val="right"/>
              <w:rPr>
                <w:color w:val="000000"/>
                <w:spacing w:val="4"/>
                <w:sz w:val="20"/>
                <w:szCs w:val="21"/>
              </w:rPr>
            </w:pPr>
            <w:r>
              <w:rPr>
                <w:color w:val="000000"/>
                <w:spacing w:val="4"/>
                <w:sz w:val="20"/>
                <w:szCs w:val="21"/>
              </w:rPr>
              <w:t>19,144.00</w:t>
            </w:r>
          </w:p>
        </w:tc>
        <w:tc>
          <w:tcPr>
            <w:tcW w:w="2393" w:type="dxa"/>
            <w:vAlign w:val="bottom"/>
          </w:tcPr>
          <w:p w:rsidR="00000000" w:rsidRDefault="00000000">
            <w:pPr>
              <w:spacing w:before="60" w:line="240" w:lineRule="exact"/>
              <w:ind w:right="454"/>
              <w:jc w:val="right"/>
              <w:rPr>
                <w:rFonts w:hint="eastAsia"/>
                <w:color w:val="000000"/>
                <w:spacing w:val="4"/>
                <w:sz w:val="20"/>
                <w:szCs w:val="21"/>
              </w:rPr>
            </w:pPr>
            <w:r>
              <w:rPr>
                <w:color w:val="000000"/>
                <w:spacing w:val="4"/>
                <w:sz w:val="20"/>
                <w:szCs w:val="21"/>
              </w:rPr>
              <w:t>2,627</w:t>
            </w:r>
          </w:p>
        </w:tc>
      </w:tr>
      <w:tr w:rsidR="00000000">
        <w:tblPrEx>
          <w:tblCellMar>
            <w:top w:w="0" w:type="dxa"/>
            <w:bottom w:w="0" w:type="dxa"/>
          </w:tblCellMar>
        </w:tblPrEx>
        <w:tc>
          <w:tcPr>
            <w:tcW w:w="2392" w:type="dxa"/>
          </w:tcPr>
          <w:p w:rsidR="00000000" w:rsidRDefault="00000000">
            <w:pPr>
              <w:spacing w:before="60" w:line="240" w:lineRule="exact"/>
              <w:ind w:left="406"/>
              <w:rPr>
                <w:rFonts w:hint="eastAsia"/>
                <w:spacing w:val="4"/>
                <w:sz w:val="20"/>
              </w:rPr>
            </w:pPr>
            <w:r>
              <w:rPr>
                <w:rFonts w:hint="eastAsia"/>
                <w:spacing w:val="4"/>
                <w:sz w:val="20"/>
              </w:rPr>
              <w:t>全国总计</w:t>
            </w:r>
          </w:p>
        </w:tc>
        <w:tc>
          <w:tcPr>
            <w:tcW w:w="2392" w:type="dxa"/>
            <w:vAlign w:val="bottom"/>
          </w:tcPr>
          <w:p w:rsidR="00000000" w:rsidRDefault="00000000">
            <w:pPr>
              <w:spacing w:before="60" w:line="240" w:lineRule="exact"/>
              <w:ind w:right="510"/>
              <w:jc w:val="right"/>
              <w:rPr>
                <w:color w:val="000000"/>
                <w:spacing w:val="4"/>
                <w:sz w:val="20"/>
                <w:szCs w:val="21"/>
              </w:rPr>
            </w:pPr>
            <w:r>
              <w:rPr>
                <w:color w:val="000000"/>
                <w:spacing w:val="4"/>
                <w:sz w:val="20"/>
                <w:szCs w:val="21"/>
              </w:rPr>
              <w:t>3,710</w:t>
            </w:r>
          </w:p>
        </w:tc>
        <w:tc>
          <w:tcPr>
            <w:tcW w:w="2393" w:type="dxa"/>
            <w:vAlign w:val="bottom"/>
          </w:tcPr>
          <w:p w:rsidR="00000000" w:rsidRDefault="00000000">
            <w:pPr>
              <w:spacing w:before="60" w:line="240" w:lineRule="exact"/>
              <w:ind w:right="284"/>
              <w:jc w:val="right"/>
              <w:rPr>
                <w:color w:val="000000"/>
                <w:spacing w:val="4"/>
                <w:sz w:val="20"/>
                <w:szCs w:val="21"/>
              </w:rPr>
            </w:pPr>
            <w:r>
              <w:rPr>
                <w:color w:val="000000"/>
                <w:spacing w:val="4"/>
                <w:sz w:val="20"/>
                <w:szCs w:val="21"/>
              </w:rPr>
              <w:t>48,709.00</w:t>
            </w:r>
          </w:p>
        </w:tc>
        <w:tc>
          <w:tcPr>
            <w:tcW w:w="2393" w:type="dxa"/>
            <w:vAlign w:val="bottom"/>
          </w:tcPr>
          <w:p w:rsidR="00000000" w:rsidRDefault="00000000">
            <w:pPr>
              <w:spacing w:before="60" w:line="240" w:lineRule="exact"/>
              <w:ind w:right="454"/>
              <w:jc w:val="right"/>
              <w:rPr>
                <w:color w:val="000000"/>
                <w:spacing w:val="4"/>
                <w:sz w:val="20"/>
                <w:szCs w:val="21"/>
              </w:rPr>
            </w:pPr>
            <w:r>
              <w:rPr>
                <w:color w:val="000000"/>
                <w:spacing w:val="4"/>
                <w:sz w:val="20"/>
                <w:szCs w:val="21"/>
              </w:rPr>
              <w:t>13,178</w:t>
            </w:r>
          </w:p>
        </w:tc>
      </w:tr>
    </w:tbl>
    <w:p w:rsidR="00000000" w:rsidRDefault="00000000">
      <w:pPr>
        <w:pStyle w:val="FootnoteText"/>
        <w:spacing w:before="300" w:after="240"/>
        <w:rPr>
          <w:rFonts w:hint="eastAsia"/>
        </w:rPr>
      </w:pPr>
      <w:r>
        <w:rPr>
          <w:rFonts w:hint="eastAsia"/>
          <w:u w:val="single"/>
        </w:rPr>
        <w:t>资源来源</w:t>
      </w:r>
      <w:r>
        <w:rPr>
          <w:rFonts w:hint="eastAsia"/>
        </w:rPr>
        <w:t>：国家土地开发局《总报告》，</w:t>
      </w:r>
      <w:r>
        <w:rPr>
          <w:rFonts w:hint="eastAsia"/>
        </w:rPr>
        <w:t>1998</w:t>
      </w:r>
      <w:r>
        <w:rPr>
          <w:rFonts w:hint="eastAsia"/>
        </w:rPr>
        <w:t>年。</w:t>
      </w:r>
    </w:p>
    <w:p w:rsidR="00000000" w:rsidRDefault="00000000">
      <w:pPr>
        <w:rPr>
          <w:rFonts w:hint="eastAsia"/>
        </w:rPr>
      </w:pPr>
      <w:r>
        <w:rPr>
          <w:rFonts w:hint="eastAsia"/>
        </w:rPr>
        <w:tab/>
        <w:t>346.  1997</w:t>
      </w:r>
      <w:r>
        <w:rPr>
          <w:rFonts w:hint="eastAsia"/>
        </w:rPr>
        <w:t>年</w:t>
      </w:r>
      <w:r>
        <w:rPr>
          <w:rFonts w:hint="eastAsia"/>
        </w:rPr>
        <w:t>4</w:t>
      </w:r>
      <w:r>
        <w:rPr>
          <w:rFonts w:hint="eastAsia"/>
        </w:rPr>
        <w:t>月</w:t>
      </w:r>
      <w:r>
        <w:rPr>
          <w:rFonts w:hint="eastAsia"/>
        </w:rPr>
        <w:t>30</w:t>
      </w:r>
      <w:r>
        <w:rPr>
          <w:rFonts w:hint="eastAsia"/>
        </w:rPr>
        <w:t>日，在第</w:t>
      </w:r>
      <w:r>
        <w:rPr>
          <w:rFonts w:hint="eastAsia"/>
        </w:rPr>
        <w:t>55</w:t>
      </w:r>
      <w:r>
        <w:rPr>
          <w:rFonts w:hint="eastAsia"/>
        </w:rPr>
        <w:t>号《官方公报》上发表了经修正的《土地开发法》，其中规定农业和牧业部将与土著和非洲裔农民和农场主组织一道开展国家培训和技术转让方案，包括对诀窍和传统、古老技术进行提高与创新的工作。该法尤其强调培训是这一领域的最重要的政策之一。</w:t>
      </w:r>
    </w:p>
    <w:p w:rsidR="00000000" w:rsidRDefault="00000000">
      <w:pPr>
        <w:rPr>
          <w:rFonts w:hint="eastAsia"/>
        </w:rPr>
      </w:pPr>
      <w:r>
        <w:rPr>
          <w:rFonts w:hint="eastAsia"/>
        </w:rPr>
        <w:tab/>
        <w:t xml:space="preserve">347.  </w:t>
      </w:r>
      <w:r>
        <w:rPr>
          <w:rFonts w:hint="eastAsia"/>
        </w:rPr>
        <w:t>该部通过</w:t>
      </w:r>
      <w:r>
        <w:rPr>
          <w:rFonts w:hint="eastAsia"/>
        </w:rPr>
        <w:t>1997</w:t>
      </w:r>
      <w:r>
        <w:rPr>
          <w:rFonts w:hint="eastAsia"/>
        </w:rPr>
        <w:t>年</w:t>
      </w:r>
      <w:r>
        <w:rPr>
          <w:rFonts w:hint="eastAsia"/>
        </w:rPr>
        <w:t>7</w:t>
      </w:r>
      <w:r>
        <w:rPr>
          <w:rFonts w:hint="eastAsia"/>
        </w:rPr>
        <w:t>月</w:t>
      </w:r>
      <w:r>
        <w:rPr>
          <w:rFonts w:hint="eastAsia"/>
        </w:rPr>
        <w:t>10</w:t>
      </w:r>
      <w:r>
        <w:rPr>
          <w:rFonts w:hint="eastAsia"/>
        </w:rPr>
        <w:t>日颁布的第</w:t>
      </w:r>
      <w:r>
        <w:rPr>
          <w:rFonts w:hint="eastAsia"/>
        </w:rPr>
        <w:t>417</w:t>
      </w:r>
      <w:r>
        <w:rPr>
          <w:rFonts w:hint="eastAsia"/>
        </w:rPr>
        <w:t>号《行政法令》，按《土地开发法》的规定建立了土著人培训框架，并对重组后的国家土著人培训所委以管理和协调全国土著人培训工作的任务。</w:t>
      </w:r>
    </w:p>
    <w:p w:rsidR="00000000" w:rsidRDefault="00000000">
      <w:pPr>
        <w:rPr>
          <w:rFonts w:hint="eastAsia"/>
        </w:rPr>
      </w:pPr>
      <w:r>
        <w:rPr>
          <w:rFonts w:hint="eastAsia"/>
        </w:rPr>
        <w:tab/>
        <w:t xml:space="preserve">348.  </w:t>
      </w:r>
      <w:r>
        <w:rPr>
          <w:rFonts w:hint="eastAsia"/>
        </w:rPr>
        <w:t>为这些目的，该部用其非生产性资产的销售所得设立了一项捐赠资金。该基金的运作规则分别公布在</w:t>
      </w:r>
      <w:r>
        <w:rPr>
          <w:rFonts w:hint="eastAsia"/>
        </w:rPr>
        <w:t>1996</w:t>
      </w:r>
      <w:r>
        <w:rPr>
          <w:rFonts w:hint="eastAsia"/>
        </w:rPr>
        <w:t>年</w:t>
      </w:r>
      <w:r>
        <w:rPr>
          <w:rFonts w:hint="eastAsia"/>
        </w:rPr>
        <w:t>12</w:t>
      </w:r>
      <w:r>
        <w:rPr>
          <w:rFonts w:hint="eastAsia"/>
        </w:rPr>
        <w:t>月</w:t>
      </w:r>
      <w:r>
        <w:rPr>
          <w:rFonts w:hint="eastAsia"/>
        </w:rPr>
        <w:t>23</w:t>
      </w:r>
      <w:r>
        <w:rPr>
          <w:rFonts w:hint="eastAsia"/>
        </w:rPr>
        <w:t>日第</w:t>
      </w:r>
      <w:r>
        <w:rPr>
          <w:rFonts w:hint="eastAsia"/>
        </w:rPr>
        <w:t>94</w:t>
      </w:r>
      <w:r>
        <w:rPr>
          <w:rFonts w:hint="eastAsia"/>
        </w:rPr>
        <w:t>号和</w:t>
      </w:r>
      <w:r>
        <w:rPr>
          <w:rFonts w:hint="eastAsia"/>
        </w:rPr>
        <w:t>1997</w:t>
      </w:r>
      <w:r>
        <w:rPr>
          <w:rFonts w:hint="eastAsia"/>
        </w:rPr>
        <w:t>年</w:t>
      </w:r>
      <w:r>
        <w:rPr>
          <w:rFonts w:hint="eastAsia"/>
        </w:rPr>
        <w:t>10</w:t>
      </w:r>
      <w:r>
        <w:rPr>
          <w:rFonts w:hint="eastAsia"/>
        </w:rPr>
        <w:t>月</w:t>
      </w:r>
      <w:r>
        <w:rPr>
          <w:rFonts w:hint="eastAsia"/>
        </w:rPr>
        <w:t>31</w:t>
      </w:r>
      <w:r>
        <w:rPr>
          <w:rFonts w:hint="eastAsia"/>
        </w:rPr>
        <w:t>日第</w:t>
      </w:r>
      <w:r>
        <w:rPr>
          <w:rFonts w:hint="eastAsia"/>
        </w:rPr>
        <w:t>185</w:t>
      </w:r>
      <w:r>
        <w:rPr>
          <w:rFonts w:hint="eastAsia"/>
        </w:rPr>
        <w:t>号《官方公报》上。</w:t>
      </w:r>
    </w:p>
    <w:p w:rsidR="00000000" w:rsidRDefault="00000000">
      <w:pPr>
        <w:rPr>
          <w:rFonts w:hint="eastAsia"/>
        </w:rPr>
      </w:pPr>
      <w:r>
        <w:rPr>
          <w:rFonts w:hint="eastAsia"/>
        </w:rPr>
        <w:tab/>
        <w:t xml:space="preserve">349.  </w:t>
      </w:r>
      <w:r>
        <w:rPr>
          <w:rFonts w:hint="eastAsia"/>
        </w:rPr>
        <w:t>通过</w:t>
      </w:r>
      <w:r>
        <w:rPr>
          <w:rFonts w:hint="eastAsia"/>
        </w:rPr>
        <w:t>1992</w:t>
      </w:r>
      <w:r>
        <w:rPr>
          <w:rFonts w:hint="eastAsia"/>
        </w:rPr>
        <w:t>年开始的参与程序和该部主持的培训机会与要求调查，制订了国家土著人培训方案。</w:t>
      </w:r>
    </w:p>
    <w:p w:rsidR="00000000" w:rsidRDefault="00000000">
      <w:pPr>
        <w:rPr>
          <w:rFonts w:hint="eastAsia"/>
        </w:rPr>
      </w:pPr>
      <w:r>
        <w:rPr>
          <w:rFonts w:hint="eastAsia"/>
        </w:rPr>
        <w:tab/>
        <w:t xml:space="preserve">350.  </w:t>
      </w:r>
      <w:r>
        <w:rPr>
          <w:rFonts w:hint="eastAsia"/>
        </w:rPr>
        <w:t>该部通过国家土著人培训局，负责执行国家土著人培训方案。第一步先建立了国家土著人培训体系，并在一次研讨会上请用户和培训教员就该体系的设计和运作方面的一些具有战略意义的问题达成一致意见。该次研讨会的任务包括确定培训生产者及生产者组织的需求和主题领域。</w:t>
      </w:r>
    </w:p>
    <w:p w:rsidR="00000000" w:rsidRDefault="00000000">
      <w:pPr>
        <w:rPr>
          <w:rFonts w:hint="eastAsia"/>
          <w:vertAlign w:val="superscript"/>
        </w:rPr>
      </w:pPr>
      <w:r>
        <w:rPr>
          <w:rFonts w:hint="eastAsia"/>
        </w:rPr>
        <w:tab/>
        <w:t xml:space="preserve">351.  </w:t>
      </w:r>
      <w:r>
        <w:rPr>
          <w:rFonts w:hint="eastAsia"/>
        </w:rPr>
        <w:t>通过开展这些程序，该部推出了</w:t>
      </w:r>
      <w:r>
        <w:rPr>
          <w:rFonts w:hint="eastAsia"/>
        </w:rPr>
        <w:t>1999</w:t>
      </w:r>
      <w:r>
        <w:rPr>
          <w:rFonts w:hint="eastAsia"/>
        </w:rPr>
        <w:t>年国家土著人培训方案，作为厄瓜多尔用户、培训教员和国家的共同工作手段。</w:t>
      </w:r>
      <w:r>
        <w:rPr>
          <w:rFonts w:hint="eastAsia"/>
          <w:b/>
          <w:vertAlign w:val="superscript"/>
        </w:rPr>
        <w:t>46</w:t>
      </w:r>
    </w:p>
    <w:p w:rsidR="00000000" w:rsidRDefault="00000000">
      <w:pPr>
        <w:pStyle w:val="Heading4"/>
        <w:spacing w:before="300"/>
        <w:rPr>
          <w:rFonts w:hint="eastAsia"/>
        </w:rPr>
      </w:pPr>
      <w:r>
        <w:rPr>
          <w:rFonts w:hint="eastAsia"/>
        </w:rPr>
        <w:t>充足住房权</w:t>
      </w:r>
    </w:p>
    <w:p w:rsidR="00000000" w:rsidRDefault="00000000">
      <w:pPr>
        <w:rPr>
          <w:rFonts w:hint="eastAsia"/>
        </w:rPr>
      </w:pPr>
      <w:r>
        <w:rPr>
          <w:rFonts w:hint="eastAsia"/>
        </w:rPr>
        <w:tab/>
        <w:t xml:space="preserve">352.  </w:t>
      </w:r>
      <w:r>
        <w:rPr>
          <w:rFonts w:hint="eastAsia"/>
        </w:rPr>
        <w:t>最近进行的人口普查的结果提供了分析住房情况的信息。下一次人口普查定于</w:t>
      </w:r>
      <w:r>
        <w:rPr>
          <w:rFonts w:hint="eastAsia"/>
        </w:rPr>
        <w:t>2001</w:t>
      </w:r>
      <w:r>
        <w:rPr>
          <w:rFonts w:hint="eastAsia"/>
        </w:rPr>
        <w:t>年进行。因此本报告分析的是上一次人口普查的信息。</w:t>
      </w:r>
    </w:p>
    <w:p w:rsidR="00000000" w:rsidRDefault="00000000">
      <w:pPr>
        <w:rPr>
          <w:rFonts w:hint="eastAsia"/>
        </w:rPr>
      </w:pPr>
      <w:r>
        <w:rPr>
          <w:rFonts w:hint="eastAsia"/>
        </w:rPr>
        <w:tab/>
        <w:t xml:space="preserve">353.  </w:t>
      </w:r>
      <w:r>
        <w:rPr>
          <w:rFonts w:hint="eastAsia"/>
        </w:rPr>
        <w:t>几乎所有住房都是在高地和沿海地区。</w:t>
      </w:r>
      <w:r>
        <w:rPr>
          <w:rFonts w:hint="eastAsia"/>
        </w:rPr>
        <w:t>1982</w:t>
      </w:r>
      <w:r>
        <w:rPr>
          <w:rFonts w:hint="eastAsia"/>
        </w:rPr>
        <w:t>年和</w:t>
      </w:r>
      <w:r>
        <w:rPr>
          <w:rFonts w:hint="eastAsia"/>
        </w:rPr>
        <w:t>1990</w:t>
      </w:r>
      <w:r>
        <w:rPr>
          <w:rFonts w:hint="eastAsia"/>
        </w:rPr>
        <w:t>年这些地区都约占厄瓜多尔住房的</w:t>
      </w:r>
      <w:r>
        <w:rPr>
          <w:rFonts w:hint="eastAsia"/>
        </w:rPr>
        <w:t>96%</w:t>
      </w:r>
      <w:r>
        <w:rPr>
          <w:rFonts w:hint="eastAsia"/>
        </w:rPr>
        <w:t>。为了查明厄瓜多尔住房短缺的情况，将对</w:t>
      </w:r>
      <w:r>
        <w:rPr>
          <w:rFonts w:hint="eastAsia"/>
        </w:rPr>
        <w:t>1982</w:t>
      </w:r>
      <w:r>
        <w:rPr>
          <w:rFonts w:hint="eastAsia"/>
        </w:rPr>
        <w:t>年至</w:t>
      </w:r>
      <w:r>
        <w:rPr>
          <w:rFonts w:hint="eastAsia"/>
        </w:rPr>
        <w:t>1990</w:t>
      </w:r>
      <w:r>
        <w:rPr>
          <w:rFonts w:hint="eastAsia"/>
        </w:rPr>
        <w:t>年住房的增长情况进行分析。</w:t>
      </w:r>
    </w:p>
    <w:p w:rsidR="00000000" w:rsidRDefault="00000000">
      <w:pPr>
        <w:rPr>
          <w:rFonts w:hint="eastAsia"/>
        </w:rPr>
      </w:pPr>
      <w:r>
        <w:rPr>
          <w:rFonts w:hint="eastAsia"/>
        </w:rPr>
        <w:tab/>
        <w:t xml:space="preserve">354.  </w:t>
      </w:r>
      <w:r>
        <w:rPr>
          <w:rFonts w:hint="eastAsia"/>
        </w:rPr>
        <w:t>就全国而言，住房单位的数量增加了</w:t>
      </w:r>
      <w:r>
        <w:rPr>
          <w:rFonts w:hint="eastAsia"/>
        </w:rPr>
        <w:t>27.4%</w:t>
      </w:r>
      <w:r>
        <w:rPr>
          <w:rFonts w:hint="eastAsia"/>
        </w:rPr>
        <w:t>。就地区而言，增长最快的是岛屿地区和未划界区，分别增长</w:t>
      </w:r>
      <w:r>
        <w:rPr>
          <w:rFonts w:hint="eastAsia"/>
        </w:rPr>
        <w:t>72%</w:t>
      </w:r>
      <w:r>
        <w:rPr>
          <w:rFonts w:hint="eastAsia"/>
        </w:rPr>
        <w:t>和</w:t>
      </w:r>
      <w:r>
        <w:rPr>
          <w:rFonts w:hint="eastAsia"/>
        </w:rPr>
        <w:t>74%</w:t>
      </w:r>
      <w:r>
        <w:rPr>
          <w:rFonts w:hint="eastAsia"/>
        </w:rPr>
        <w:t>。东部地区增长</w:t>
      </w:r>
      <w:r>
        <w:rPr>
          <w:rFonts w:hint="eastAsia"/>
        </w:rPr>
        <w:t>47%</w:t>
      </w:r>
      <w:r>
        <w:rPr>
          <w:rFonts w:hint="eastAsia"/>
        </w:rPr>
        <w:t>，其次为沿海和高地，分别为</w:t>
      </w:r>
      <w:r>
        <w:rPr>
          <w:rFonts w:hint="eastAsia"/>
        </w:rPr>
        <w:t>31%</w:t>
      </w:r>
      <w:r>
        <w:rPr>
          <w:rFonts w:hint="eastAsia"/>
        </w:rPr>
        <w:t>和</w:t>
      </w:r>
      <w:r>
        <w:rPr>
          <w:rFonts w:hint="eastAsia"/>
        </w:rPr>
        <w:t>22%</w:t>
      </w:r>
      <w:r>
        <w:rPr>
          <w:rFonts w:hint="eastAsia"/>
        </w:rPr>
        <w:t>。</w:t>
      </w:r>
    </w:p>
    <w:p w:rsidR="00000000" w:rsidRDefault="00000000">
      <w:pPr>
        <w:pStyle w:val="Heading3"/>
        <w:spacing w:after="160"/>
        <w:rPr>
          <w:rFonts w:eastAsia="KaiTi_GB2312" w:hint="eastAsia"/>
          <w:snapToGrid/>
          <w:spacing w:val="0"/>
          <w:kern w:val="0"/>
          <w:u w:val="none"/>
        </w:rPr>
      </w:pPr>
      <w:r>
        <w:br w:type="page"/>
      </w:r>
      <w:r>
        <w:rPr>
          <w:rFonts w:hint="eastAsia"/>
        </w:rPr>
        <w:t>单个住房单位</w:t>
      </w:r>
      <w:r>
        <w:br/>
      </w:r>
      <w:r>
        <w:rPr>
          <w:rFonts w:eastAsia="KaiTi_GB2312" w:hint="eastAsia"/>
          <w:snapToGrid/>
          <w:spacing w:val="0"/>
          <w:kern w:val="0"/>
          <w:u w:val="none"/>
        </w:rPr>
        <w:t>(1982-1990</w:t>
      </w:r>
      <w:r>
        <w:rPr>
          <w:rFonts w:eastAsia="KaiTi_GB2312" w:hint="eastAsia"/>
          <w:snapToGrid/>
          <w:spacing w:val="0"/>
          <w:kern w:val="0"/>
          <w:u w:val="none"/>
        </w:rPr>
        <w:t>年人口普查</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000000">
        <w:tblPrEx>
          <w:tblCellMar>
            <w:top w:w="0" w:type="dxa"/>
            <w:bottom w:w="0" w:type="dxa"/>
          </w:tblCellMar>
        </w:tblPrEx>
        <w:tc>
          <w:tcPr>
            <w:tcW w:w="2392" w:type="dxa"/>
            <w:tcBorders>
              <w:bottom w:val="single" w:sz="4" w:space="0" w:color="auto"/>
            </w:tcBorders>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地</w:t>
            </w:r>
            <w:r>
              <w:rPr>
                <w:rFonts w:hint="eastAsia"/>
                <w:spacing w:val="4"/>
                <w:sz w:val="20"/>
                <w:u w:val="single"/>
              </w:rPr>
              <w:t xml:space="preserve">  </w:t>
            </w:r>
            <w:r>
              <w:rPr>
                <w:rFonts w:hint="eastAsia"/>
                <w:spacing w:val="4"/>
                <w:sz w:val="20"/>
                <w:u w:val="single"/>
              </w:rPr>
              <w:t>区</w:t>
            </w:r>
          </w:p>
        </w:tc>
        <w:tc>
          <w:tcPr>
            <w:tcW w:w="2392" w:type="dxa"/>
            <w:tcBorders>
              <w:bottom w:val="single" w:sz="4" w:space="0" w:color="auto"/>
            </w:tcBorders>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1982</w:t>
            </w:r>
            <w:r>
              <w:rPr>
                <w:rFonts w:hint="eastAsia"/>
                <w:spacing w:val="4"/>
                <w:sz w:val="20"/>
                <w:u w:val="single"/>
              </w:rPr>
              <w:t>年</w:t>
            </w:r>
          </w:p>
        </w:tc>
        <w:tc>
          <w:tcPr>
            <w:tcW w:w="2393" w:type="dxa"/>
            <w:tcBorders>
              <w:bottom w:val="single" w:sz="4" w:space="0" w:color="auto"/>
            </w:tcBorders>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1990</w:t>
            </w:r>
            <w:r>
              <w:rPr>
                <w:rFonts w:hint="eastAsia"/>
                <w:spacing w:val="4"/>
                <w:sz w:val="20"/>
                <w:u w:val="single"/>
              </w:rPr>
              <w:t>年</w:t>
            </w:r>
          </w:p>
        </w:tc>
        <w:tc>
          <w:tcPr>
            <w:tcW w:w="2393" w:type="dxa"/>
            <w:tcBorders>
              <w:bottom w:val="single" w:sz="4" w:space="0" w:color="auto"/>
            </w:tcBorders>
            <w:vAlign w:val="center"/>
          </w:tcPr>
          <w:p w:rsidR="00000000" w:rsidRDefault="00000000">
            <w:pPr>
              <w:spacing w:before="60" w:line="240" w:lineRule="exact"/>
              <w:jc w:val="center"/>
              <w:rPr>
                <w:rFonts w:hint="eastAsia"/>
                <w:spacing w:val="4"/>
                <w:sz w:val="20"/>
              </w:rPr>
            </w:pPr>
            <w:r>
              <w:rPr>
                <w:rFonts w:hint="eastAsia"/>
                <w:spacing w:val="4"/>
                <w:sz w:val="20"/>
                <w:u w:val="single"/>
              </w:rPr>
              <w:t>变</w:t>
            </w:r>
            <w:r>
              <w:rPr>
                <w:rFonts w:hint="eastAsia"/>
                <w:spacing w:val="4"/>
                <w:sz w:val="20"/>
                <w:u w:val="single"/>
              </w:rPr>
              <w:t xml:space="preserve">  </w:t>
            </w:r>
            <w:r>
              <w:rPr>
                <w:rFonts w:hint="eastAsia"/>
                <w:spacing w:val="4"/>
                <w:sz w:val="20"/>
                <w:u w:val="single"/>
              </w:rPr>
              <w:t>动</w:t>
            </w:r>
            <w:r>
              <w:rPr>
                <w:spacing w:val="4"/>
                <w:sz w:val="20"/>
                <w:u w:val="single"/>
              </w:rPr>
              <w:br/>
            </w:r>
            <w:r>
              <w:rPr>
                <w:rFonts w:hint="eastAsia"/>
                <w:spacing w:val="4"/>
                <w:sz w:val="20"/>
              </w:rPr>
              <w:t>(</w:t>
            </w:r>
            <w:r>
              <w:rPr>
                <w:rFonts w:hint="eastAsia"/>
                <w:spacing w:val="4"/>
                <w:sz w:val="20"/>
              </w:rPr>
              <w:t>百分比</w:t>
            </w:r>
            <w:r>
              <w:rPr>
                <w:rFonts w:hint="eastAsia"/>
                <w:spacing w:val="4"/>
                <w:sz w:val="20"/>
              </w:rPr>
              <w:t>)</w:t>
            </w:r>
          </w:p>
        </w:tc>
      </w:tr>
      <w:tr w:rsidR="00000000">
        <w:tblPrEx>
          <w:tblCellMar>
            <w:top w:w="0" w:type="dxa"/>
            <w:bottom w:w="0" w:type="dxa"/>
          </w:tblCellMar>
        </w:tblPrEx>
        <w:tc>
          <w:tcPr>
            <w:tcW w:w="2392" w:type="dxa"/>
            <w:tcBorders>
              <w:bottom w:val="nil"/>
            </w:tcBorders>
          </w:tcPr>
          <w:p w:rsidR="00000000" w:rsidRDefault="00000000">
            <w:pPr>
              <w:spacing w:before="60" w:line="240" w:lineRule="exact"/>
              <w:rPr>
                <w:rFonts w:hint="eastAsia"/>
                <w:spacing w:val="4"/>
                <w:sz w:val="20"/>
              </w:rPr>
            </w:pPr>
            <w:r>
              <w:rPr>
                <w:rFonts w:hint="eastAsia"/>
                <w:spacing w:val="4"/>
                <w:sz w:val="20"/>
              </w:rPr>
              <w:t>高地</w:t>
            </w:r>
          </w:p>
        </w:tc>
        <w:tc>
          <w:tcPr>
            <w:tcW w:w="2392" w:type="dxa"/>
            <w:tcBorders>
              <w:bottom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799,287</w:t>
            </w:r>
          </w:p>
        </w:tc>
        <w:tc>
          <w:tcPr>
            <w:tcW w:w="2393" w:type="dxa"/>
            <w:tcBorders>
              <w:bottom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976,112</w:t>
            </w:r>
          </w:p>
        </w:tc>
        <w:tc>
          <w:tcPr>
            <w:tcW w:w="2393" w:type="dxa"/>
            <w:tcBorders>
              <w:bottom w:val="nil"/>
            </w:tcBorders>
          </w:tcPr>
          <w:p w:rsidR="00000000" w:rsidRDefault="00000000">
            <w:pPr>
              <w:spacing w:before="60" w:line="240" w:lineRule="exact"/>
              <w:jc w:val="center"/>
              <w:rPr>
                <w:color w:val="000000"/>
                <w:spacing w:val="4"/>
                <w:sz w:val="20"/>
                <w:szCs w:val="22"/>
              </w:rPr>
            </w:pPr>
            <w:r>
              <w:rPr>
                <w:color w:val="000000"/>
                <w:spacing w:val="4"/>
                <w:sz w:val="20"/>
                <w:szCs w:val="23"/>
              </w:rPr>
              <w:t>22.0</w:t>
            </w:r>
          </w:p>
        </w:tc>
      </w:tr>
      <w:tr w:rsidR="00000000">
        <w:tblPrEx>
          <w:tblCellMar>
            <w:top w:w="0" w:type="dxa"/>
            <w:bottom w:w="0" w:type="dxa"/>
          </w:tblCellMar>
        </w:tblPrEx>
        <w:tc>
          <w:tcPr>
            <w:tcW w:w="2392"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沿海</w:t>
            </w:r>
          </w:p>
        </w:tc>
        <w:tc>
          <w:tcPr>
            <w:tcW w:w="2392" w:type="dxa"/>
            <w:tcBorders>
              <w:top w:val="nil"/>
              <w:bottom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719,693</w:t>
            </w:r>
          </w:p>
        </w:tc>
        <w:tc>
          <w:tcPr>
            <w:tcW w:w="2393" w:type="dxa"/>
            <w:tcBorders>
              <w:top w:val="nil"/>
              <w:bottom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945,573</w:t>
            </w:r>
          </w:p>
        </w:tc>
        <w:tc>
          <w:tcPr>
            <w:tcW w:w="2393" w:type="dxa"/>
            <w:tcBorders>
              <w:top w:val="nil"/>
              <w:bottom w:val="nil"/>
            </w:tcBorders>
          </w:tcPr>
          <w:p w:rsidR="00000000" w:rsidRDefault="00000000">
            <w:pPr>
              <w:spacing w:before="60" w:line="240" w:lineRule="exact"/>
              <w:jc w:val="center"/>
              <w:rPr>
                <w:color w:val="000000"/>
                <w:spacing w:val="4"/>
                <w:sz w:val="20"/>
                <w:szCs w:val="22"/>
              </w:rPr>
            </w:pPr>
            <w:r>
              <w:rPr>
                <w:color w:val="000000"/>
                <w:spacing w:val="4"/>
                <w:sz w:val="20"/>
                <w:szCs w:val="23"/>
              </w:rPr>
              <w:t>31.0</w:t>
            </w:r>
          </w:p>
        </w:tc>
      </w:tr>
      <w:tr w:rsidR="00000000">
        <w:tblPrEx>
          <w:tblCellMar>
            <w:top w:w="0" w:type="dxa"/>
            <w:bottom w:w="0" w:type="dxa"/>
          </w:tblCellMar>
        </w:tblPrEx>
        <w:tc>
          <w:tcPr>
            <w:tcW w:w="2392"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东部</w:t>
            </w:r>
          </w:p>
        </w:tc>
        <w:tc>
          <w:tcPr>
            <w:tcW w:w="2392" w:type="dxa"/>
            <w:tcBorders>
              <w:top w:val="nil"/>
              <w:bottom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48,651</w:t>
            </w:r>
          </w:p>
        </w:tc>
        <w:tc>
          <w:tcPr>
            <w:tcW w:w="2393" w:type="dxa"/>
            <w:tcBorders>
              <w:top w:val="nil"/>
              <w:bottom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71,640</w:t>
            </w:r>
          </w:p>
        </w:tc>
        <w:tc>
          <w:tcPr>
            <w:tcW w:w="2393" w:type="dxa"/>
            <w:tcBorders>
              <w:top w:val="nil"/>
              <w:bottom w:val="nil"/>
            </w:tcBorders>
          </w:tcPr>
          <w:p w:rsidR="00000000" w:rsidRDefault="00000000">
            <w:pPr>
              <w:spacing w:before="60" w:line="240" w:lineRule="exact"/>
              <w:jc w:val="center"/>
              <w:rPr>
                <w:color w:val="000000"/>
                <w:spacing w:val="4"/>
                <w:sz w:val="20"/>
                <w:szCs w:val="22"/>
              </w:rPr>
            </w:pPr>
            <w:r>
              <w:rPr>
                <w:color w:val="000000"/>
                <w:spacing w:val="4"/>
                <w:sz w:val="20"/>
                <w:szCs w:val="23"/>
              </w:rPr>
              <w:t>47.0</w:t>
            </w:r>
          </w:p>
        </w:tc>
      </w:tr>
      <w:tr w:rsidR="00000000">
        <w:tblPrEx>
          <w:tblCellMar>
            <w:top w:w="0" w:type="dxa"/>
            <w:bottom w:w="0" w:type="dxa"/>
          </w:tblCellMar>
        </w:tblPrEx>
        <w:tc>
          <w:tcPr>
            <w:tcW w:w="2392"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加拉帕戈斯群岛</w:t>
            </w:r>
          </w:p>
        </w:tc>
        <w:tc>
          <w:tcPr>
            <w:tcW w:w="2392" w:type="dxa"/>
            <w:tcBorders>
              <w:top w:val="nil"/>
              <w:bottom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1,265</w:t>
            </w:r>
          </w:p>
        </w:tc>
        <w:tc>
          <w:tcPr>
            <w:tcW w:w="2393" w:type="dxa"/>
            <w:tcBorders>
              <w:top w:val="nil"/>
              <w:bottom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2,170</w:t>
            </w:r>
          </w:p>
        </w:tc>
        <w:tc>
          <w:tcPr>
            <w:tcW w:w="2393" w:type="dxa"/>
            <w:tcBorders>
              <w:top w:val="nil"/>
              <w:bottom w:val="nil"/>
            </w:tcBorders>
          </w:tcPr>
          <w:p w:rsidR="00000000" w:rsidRDefault="00000000">
            <w:pPr>
              <w:spacing w:before="60" w:line="240" w:lineRule="exact"/>
              <w:jc w:val="center"/>
              <w:rPr>
                <w:color w:val="000000"/>
                <w:spacing w:val="4"/>
                <w:sz w:val="20"/>
                <w:szCs w:val="22"/>
              </w:rPr>
            </w:pPr>
            <w:r>
              <w:rPr>
                <w:color w:val="000000"/>
                <w:spacing w:val="4"/>
                <w:sz w:val="20"/>
                <w:szCs w:val="23"/>
              </w:rPr>
              <w:t>72.0</w:t>
            </w:r>
          </w:p>
        </w:tc>
      </w:tr>
      <w:tr w:rsidR="00000000">
        <w:tblPrEx>
          <w:tblCellMar>
            <w:top w:w="0" w:type="dxa"/>
            <w:bottom w:w="0" w:type="dxa"/>
          </w:tblCellMar>
        </w:tblPrEx>
        <w:tc>
          <w:tcPr>
            <w:tcW w:w="2392" w:type="dxa"/>
            <w:tcBorders>
              <w:top w:val="nil"/>
            </w:tcBorders>
          </w:tcPr>
          <w:p w:rsidR="00000000" w:rsidRDefault="00000000">
            <w:pPr>
              <w:spacing w:before="60" w:line="240" w:lineRule="exact"/>
              <w:rPr>
                <w:rFonts w:hint="eastAsia"/>
                <w:spacing w:val="4"/>
                <w:sz w:val="20"/>
              </w:rPr>
            </w:pPr>
            <w:r>
              <w:rPr>
                <w:rFonts w:hint="eastAsia"/>
                <w:spacing w:val="4"/>
                <w:sz w:val="20"/>
              </w:rPr>
              <w:t>未划界区</w:t>
            </w:r>
          </w:p>
        </w:tc>
        <w:tc>
          <w:tcPr>
            <w:tcW w:w="2392" w:type="dxa"/>
            <w:tcBorders>
              <w:top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7,545</w:t>
            </w:r>
          </w:p>
        </w:tc>
        <w:tc>
          <w:tcPr>
            <w:tcW w:w="2393" w:type="dxa"/>
            <w:tcBorders>
              <w:top w:val="nil"/>
            </w:tcBorders>
          </w:tcPr>
          <w:p w:rsidR="00000000" w:rsidRDefault="00000000">
            <w:pPr>
              <w:spacing w:before="60" w:line="240" w:lineRule="exact"/>
              <w:ind w:right="260"/>
              <w:jc w:val="right"/>
              <w:rPr>
                <w:color w:val="000000"/>
                <w:spacing w:val="4"/>
                <w:sz w:val="20"/>
                <w:szCs w:val="22"/>
              </w:rPr>
            </w:pPr>
            <w:r>
              <w:rPr>
                <w:color w:val="000000"/>
                <w:spacing w:val="4"/>
                <w:sz w:val="20"/>
                <w:szCs w:val="23"/>
              </w:rPr>
              <w:t>13,160</w:t>
            </w:r>
          </w:p>
        </w:tc>
        <w:tc>
          <w:tcPr>
            <w:tcW w:w="2393" w:type="dxa"/>
            <w:tcBorders>
              <w:top w:val="nil"/>
            </w:tcBorders>
          </w:tcPr>
          <w:p w:rsidR="00000000" w:rsidRDefault="00000000">
            <w:pPr>
              <w:spacing w:before="60" w:line="240" w:lineRule="exact"/>
              <w:jc w:val="center"/>
              <w:rPr>
                <w:color w:val="000000"/>
                <w:spacing w:val="4"/>
                <w:sz w:val="20"/>
                <w:szCs w:val="22"/>
              </w:rPr>
            </w:pPr>
            <w:r>
              <w:rPr>
                <w:color w:val="000000"/>
                <w:spacing w:val="4"/>
                <w:sz w:val="20"/>
                <w:szCs w:val="23"/>
              </w:rPr>
              <w:t>74.4</w:t>
            </w:r>
          </w:p>
        </w:tc>
      </w:tr>
      <w:tr w:rsidR="00000000">
        <w:tblPrEx>
          <w:tblCellMar>
            <w:top w:w="0" w:type="dxa"/>
            <w:bottom w:w="0" w:type="dxa"/>
          </w:tblCellMar>
        </w:tblPrEx>
        <w:tc>
          <w:tcPr>
            <w:tcW w:w="2392" w:type="dxa"/>
          </w:tcPr>
          <w:p w:rsidR="00000000" w:rsidRDefault="00000000">
            <w:pPr>
              <w:spacing w:before="60" w:line="240" w:lineRule="exact"/>
              <w:rPr>
                <w:rFonts w:hint="eastAsia"/>
                <w:spacing w:val="4"/>
                <w:sz w:val="20"/>
              </w:rPr>
            </w:pPr>
            <w:r>
              <w:rPr>
                <w:rFonts w:hint="eastAsia"/>
                <w:spacing w:val="4"/>
                <w:sz w:val="20"/>
              </w:rPr>
              <w:t>全国总计</w:t>
            </w:r>
          </w:p>
        </w:tc>
        <w:tc>
          <w:tcPr>
            <w:tcW w:w="2392" w:type="dxa"/>
          </w:tcPr>
          <w:p w:rsidR="00000000" w:rsidRDefault="00000000">
            <w:pPr>
              <w:spacing w:before="60" w:line="240" w:lineRule="exact"/>
              <w:ind w:right="260"/>
              <w:jc w:val="right"/>
              <w:rPr>
                <w:color w:val="000000"/>
                <w:spacing w:val="4"/>
                <w:sz w:val="20"/>
                <w:szCs w:val="22"/>
              </w:rPr>
            </w:pPr>
            <w:r>
              <w:rPr>
                <w:color w:val="000000"/>
                <w:spacing w:val="4"/>
                <w:sz w:val="20"/>
                <w:szCs w:val="22"/>
              </w:rPr>
              <w:t>1,576,441</w:t>
            </w:r>
          </w:p>
        </w:tc>
        <w:tc>
          <w:tcPr>
            <w:tcW w:w="2393" w:type="dxa"/>
          </w:tcPr>
          <w:p w:rsidR="00000000" w:rsidRDefault="00000000">
            <w:pPr>
              <w:spacing w:before="60" w:line="240" w:lineRule="exact"/>
              <w:ind w:right="260"/>
              <w:jc w:val="right"/>
              <w:rPr>
                <w:color w:val="000000"/>
                <w:spacing w:val="4"/>
                <w:sz w:val="20"/>
                <w:szCs w:val="22"/>
              </w:rPr>
            </w:pPr>
            <w:r>
              <w:rPr>
                <w:color w:val="000000"/>
                <w:spacing w:val="4"/>
                <w:sz w:val="20"/>
                <w:szCs w:val="22"/>
              </w:rPr>
              <w:t>2,008,655</w:t>
            </w:r>
          </w:p>
        </w:tc>
        <w:tc>
          <w:tcPr>
            <w:tcW w:w="2393" w:type="dxa"/>
          </w:tcPr>
          <w:p w:rsidR="00000000" w:rsidRDefault="00000000">
            <w:pPr>
              <w:spacing w:before="60" w:line="240" w:lineRule="exact"/>
              <w:jc w:val="center"/>
              <w:rPr>
                <w:color w:val="000000"/>
                <w:spacing w:val="4"/>
                <w:sz w:val="20"/>
                <w:szCs w:val="22"/>
              </w:rPr>
            </w:pPr>
            <w:r>
              <w:rPr>
                <w:color w:val="000000"/>
                <w:spacing w:val="4"/>
                <w:sz w:val="20"/>
                <w:szCs w:val="22"/>
              </w:rPr>
              <w:t>27.4</w:t>
            </w:r>
          </w:p>
        </w:tc>
      </w:tr>
    </w:tbl>
    <w:p w:rsidR="00000000" w:rsidRDefault="00000000">
      <w:pPr>
        <w:pStyle w:val="FootnoteText"/>
        <w:spacing w:before="300" w:after="240"/>
        <w:rPr>
          <w:rFonts w:hint="eastAsia"/>
        </w:rPr>
      </w:pPr>
      <w:r>
        <w:rPr>
          <w:rFonts w:hint="eastAsia"/>
          <w:u w:val="single"/>
        </w:rPr>
        <w:t>资料来源</w:t>
      </w:r>
      <w:r>
        <w:rPr>
          <w:rFonts w:hint="eastAsia"/>
        </w:rPr>
        <w:t>：住房和城市发展部</w:t>
      </w:r>
      <w:r>
        <w:rPr>
          <w:rFonts w:hint="eastAsia"/>
        </w:rPr>
        <w:t>(</w:t>
      </w:r>
      <w:r>
        <w:rPr>
          <w:rFonts w:hint="eastAsia"/>
        </w:rPr>
        <w:t>统计普查局</w:t>
      </w:r>
      <w:r>
        <w:rPr>
          <w:rFonts w:hint="eastAsia"/>
        </w:rPr>
        <w:t>)</w:t>
      </w:r>
      <w:r>
        <w:rPr>
          <w:rFonts w:hint="eastAsia"/>
        </w:rPr>
        <w:t>。</w:t>
      </w:r>
    </w:p>
    <w:p w:rsidR="00000000" w:rsidRDefault="00000000">
      <w:pPr>
        <w:pStyle w:val="Heading3"/>
        <w:spacing w:after="160"/>
        <w:rPr>
          <w:rFonts w:eastAsia="KaiTi_GB2312" w:hint="eastAsia"/>
          <w:snapToGrid/>
          <w:spacing w:val="0"/>
          <w:kern w:val="0"/>
          <w:u w:val="none"/>
        </w:rPr>
      </w:pPr>
      <w:r>
        <w:rPr>
          <w:rFonts w:hint="eastAsia"/>
        </w:rPr>
        <w:t>按可提供的服务分列的已使用的单个住房单位</w:t>
      </w:r>
      <w:r>
        <w:br/>
      </w:r>
      <w:r>
        <w:rPr>
          <w:rFonts w:eastAsia="KaiTi_GB2312" w:hint="eastAsia"/>
          <w:snapToGrid/>
          <w:spacing w:val="0"/>
          <w:kern w:val="0"/>
          <w:u w:val="none"/>
        </w:rPr>
        <w:t>(1982-1990</w:t>
      </w:r>
      <w:r>
        <w:rPr>
          <w:rFonts w:eastAsia="KaiTi_GB2312" w:hint="eastAsia"/>
          <w:snapToGrid/>
          <w:spacing w:val="0"/>
          <w:kern w:val="0"/>
          <w:u w:val="none"/>
        </w:rPr>
        <w:t>年人口普查</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1281"/>
        <w:gridCol w:w="903"/>
        <w:gridCol w:w="904"/>
        <w:gridCol w:w="779"/>
        <w:gridCol w:w="1151"/>
        <w:gridCol w:w="904"/>
        <w:gridCol w:w="734"/>
        <w:gridCol w:w="779"/>
        <w:gridCol w:w="751"/>
      </w:tblGrid>
      <w:tr w:rsidR="00000000">
        <w:tblPrEx>
          <w:tblCellMar>
            <w:top w:w="0" w:type="dxa"/>
            <w:bottom w:w="0" w:type="dxa"/>
          </w:tblCellMar>
        </w:tblPrEx>
        <w:trPr>
          <w:cantSplit/>
        </w:trPr>
        <w:tc>
          <w:tcPr>
            <w:tcW w:w="1408" w:type="dxa"/>
            <w:vMerge w:val="restart"/>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人口</w:t>
            </w:r>
          </w:p>
        </w:tc>
        <w:tc>
          <w:tcPr>
            <w:tcW w:w="1300" w:type="dxa"/>
            <w:vMerge w:val="restart"/>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总住房单位</w:t>
            </w:r>
          </w:p>
        </w:tc>
        <w:tc>
          <w:tcPr>
            <w:tcW w:w="2600" w:type="dxa"/>
            <w:gridSpan w:val="3"/>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供</w:t>
            </w:r>
            <w:r>
              <w:rPr>
                <w:rFonts w:hint="eastAsia"/>
                <w:spacing w:val="4"/>
                <w:sz w:val="20"/>
                <w:u w:val="single"/>
              </w:rPr>
              <w:t xml:space="preserve">  </w:t>
            </w:r>
            <w:r>
              <w:rPr>
                <w:rFonts w:hint="eastAsia"/>
                <w:spacing w:val="4"/>
                <w:sz w:val="20"/>
                <w:u w:val="single"/>
              </w:rPr>
              <w:t>水</w:t>
            </w:r>
          </w:p>
        </w:tc>
        <w:tc>
          <w:tcPr>
            <w:tcW w:w="2730" w:type="dxa"/>
            <w:gridSpan w:val="3"/>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排</w:t>
            </w:r>
            <w:r>
              <w:rPr>
                <w:rFonts w:hint="eastAsia"/>
                <w:spacing w:val="4"/>
                <w:sz w:val="20"/>
                <w:u w:val="single"/>
              </w:rPr>
              <w:t xml:space="preserve">  </w:t>
            </w:r>
            <w:r>
              <w:rPr>
                <w:rFonts w:hint="eastAsia"/>
                <w:spacing w:val="4"/>
                <w:sz w:val="20"/>
                <w:u w:val="single"/>
              </w:rPr>
              <w:t>污</w:t>
            </w:r>
          </w:p>
        </w:tc>
        <w:tc>
          <w:tcPr>
            <w:tcW w:w="1532" w:type="dxa"/>
            <w:gridSpan w:val="2"/>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供</w:t>
            </w:r>
            <w:r>
              <w:rPr>
                <w:rFonts w:hint="eastAsia"/>
                <w:spacing w:val="4"/>
                <w:sz w:val="20"/>
                <w:u w:val="single"/>
              </w:rPr>
              <w:t xml:space="preserve">  </w:t>
            </w:r>
            <w:r>
              <w:rPr>
                <w:rFonts w:hint="eastAsia"/>
                <w:spacing w:val="4"/>
                <w:sz w:val="20"/>
                <w:u w:val="single"/>
              </w:rPr>
              <w:t>电</w:t>
            </w:r>
          </w:p>
        </w:tc>
      </w:tr>
      <w:tr w:rsidR="00000000">
        <w:tblPrEx>
          <w:tblCellMar>
            <w:top w:w="0" w:type="dxa"/>
            <w:bottom w:w="0" w:type="dxa"/>
          </w:tblCellMar>
        </w:tblPrEx>
        <w:trPr>
          <w:cantSplit/>
        </w:trPr>
        <w:tc>
          <w:tcPr>
            <w:tcW w:w="1408" w:type="dxa"/>
            <w:vMerge/>
            <w:vAlign w:val="center"/>
          </w:tcPr>
          <w:p w:rsidR="00000000" w:rsidRDefault="00000000">
            <w:pPr>
              <w:spacing w:before="60" w:line="240" w:lineRule="exact"/>
              <w:jc w:val="center"/>
              <w:rPr>
                <w:rFonts w:hint="eastAsia"/>
                <w:spacing w:val="4"/>
                <w:sz w:val="20"/>
                <w:u w:val="single"/>
              </w:rPr>
            </w:pPr>
          </w:p>
        </w:tc>
        <w:tc>
          <w:tcPr>
            <w:tcW w:w="1300" w:type="dxa"/>
            <w:vMerge/>
            <w:vAlign w:val="center"/>
          </w:tcPr>
          <w:p w:rsidR="00000000" w:rsidRDefault="00000000">
            <w:pPr>
              <w:spacing w:before="60" w:line="240" w:lineRule="exact"/>
              <w:jc w:val="center"/>
              <w:rPr>
                <w:rFonts w:hint="eastAsia"/>
                <w:spacing w:val="4"/>
                <w:sz w:val="20"/>
                <w:u w:val="single"/>
              </w:rPr>
            </w:pPr>
          </w:p>
        </w:tc>
        <w:tc>
          <w:tcPr>
            <w:tcW w:w="910" w:type="dxa"/>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百分比</w:t>
            </w:r>
          </w:p>
        </w:tc>
        <w:tc>
          <w:tcPr>
            <w:tcW w:w="910" w:type="dxa"/>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公共</w:t>
            </w:r>
          </w:p>
        </w:tc>
        <w:tc>
          <w:tcPr>
            <w:tcW w:w="780" w:type="dxa"/>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其他</w:t>
            </w:r>
          </w:p>
        </w:tc>
        <w:tc>
          <w:tcPr>
            <w:tcW w:w="1170" w:type="dxa"/>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主下水道</w:t>
            </w:r>
          </w:p>
        </w:tc>
        <w:tc>
          <w:tcPr>
            <w:tcW w:w="910" w:type="dxa"/>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化粪池</w:t>
            </w:r>
          </w:p>
        </w:tc>
        <w:tc>
          <w:tcPr>
            <w:tcW w:w="650" w:type="dxa"/>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无</w:t>
            </w:r>
          </w:p>
        </w:tc>
        <w:tc>
          <w:tcPr>
            <w:tcW w:w="780" w:type="dxa"/>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有</w:t>
            </w:r>
          </w:p>
        </w:tc>
        <w:tc>
          <w:tcPr>
            <w:tcW w:w="752" w:type="dxa"/>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无</w:t>
            </w:r>
          </w:p>
        </w:tc>
      </w:tr>
      <w:tr w:rsidR="00000000">
        <w:tblPrEx>
          <w:tblCellMar>
            <w:top w:w="0" w:type="dxa"/>
            <w:bottom w:w="0" w:type="dxa"/>
          </w:tblCellMar>
        </w:tblPrEx>
        <w:tc>
          <w:tcPr>
            <w:tcW w:w="1408" w:type="dxa"/>
          </w:tcPr>
          <w:p w:rsidR="00000000" w:rsidRDefault="00000000">
            <w:pPr>
              <w:spacing w:before="60" w:line="240" w:lineRule="exact"/>
              <w:rPr>
                <w:rFonts w:hint="eastAsia"/>
                <w:spacing w:val="4"/>
                <w:sz w:val="20"/>
              </w:rPr>
            </w:pPr>
            <w:r>
              <w:rPr>
                <w:rFonts w:hint="eastAsia"/>
                <w:spacing w:val="4"/>
                <w:sz w:val="20"/>
              </w:rPr>
              <w:t>1982</w:t>
            </w:r>
            <w:r>
              <w:rPr>
                <w:rFonts w:hint="eastAsia"/>
                <w:spacing w:val="4"/>
                <w:sz w:val="20"/>
              </w:rPr>
              <w:t>年普查</w:t>
            </w:r>
          </w:p>
        </w:tc>
        <w:tc>
          <w:tcPr>
            <w:tcW w:w="1300" w:type="dxa"/>
          </w:tcPr>
          <w:p w:rsidR="00000000" w:rsidRDefault="00000000">
            <w:pPr>
              <w:spacing w:before="60" w:line="240" w:lineRule="exact"/>
              <w:ind w:right="152"/>
              <w:jc w:val="right"/>
              <w:rPr>
                <w:spacing w:val="4"/>
                <w:sz w:val="20"/>
              </w:rPr>
            </w:pPr>
            <w:r>
              <w:rPr>
                <w:spacing w:val="4"/>
                <w:sz w:val="20"/>
              </w:rPr>
              <w:t>1 576 441</w:t>
            </w:r>
          </w:p>
        </w:tc>
        <w:tc>
          <w:tcPr>
            <w:tcW w:w="910" w:type="dxa"/>
          </w:tcPr>
          <w:p w:rsidR="00000000" w:rsidRDefault="00000000">
            <w:pPr>
              <w:spacing w:before="60" w:line="240" w:lineRule="exact"/>
              <w:ind w:right="152"/>
              <w:jc w:val="right"/>
              <w:rPr>
                <w:spacing w:val="4"/>
                <w:sz w:val="20"/>
              </w:rPr>
            </w:pPr>
            <w:r>
              <w:rPr>
                <w:spacing w:val="4"/>
                <w:sz w:val="20"/>
              </w:rPr>
              <w:t>100</w:t>
            </w:r>
          </w:p>
        </w:tc>
        <w:tc>
          <w:tcPr>
            <w:tcW w:w="910" w:type="dxa"/>
          </w:tcPr>
          <w:p w:rsidR="00000000" w:rsidRDefault="00000000">
            <w:pPr>
              <w:spacing w:before="60" w:line="240" w:lineRule="exact"/>
              <w:ind w:right="152"/>
              <w:jc w:val="right"/>
              <w:rPr>
                <w:spacing w:val="4"/>
                <w:sz w:val="20"/>
              </w:rPr>
            </w:pPr>
            <w:r>
              <w:rPr>
                <w:spacing w:val="4"/>
                <w:sz w:val="20"/>
              </w:rPr>
              <w:t>51.8</w:t>
            </w:r>
          </w:p>
        </w:tc>
        <w:tc>
          <w:tcPr>
            <w:tcW w:w="780" w:type="dxa"/>
          </w:tcPr>
          <w:p w:rsidR="00000000" w:rsidRDefault="00000000">
            <w:pPr>
              <w:spacing w:before="60" w:line="240" w:lineRule="exact"/>
              <w:ind w:right="152"/>
              <w:jc w:val="right"/>
              <w:rPr>
                <w:spacing w:val="4"/>
                <w:sz w:val="20"/>
              </w:rPr>
            </w:pPr>
            <w:r>
              <w:rPr>
                <w:spacing w:val="4"/>
                <w:sz w:val="20"/>
              </w:rPr>
              <w:t>48.2</w:t>
            </w:r>
          </w:p>
        </w:tc>
        <w:tc>
          <w:tcPr>
            <w:tcW w:w="1170" w:type="dxa"/>
          </w:tcPr>
          <w:p w:rsidR="00000000" w:rsidRDefault="00000000">
            <w:pPr>
              <w:spacing w:before="60" w:line="240" w:lineRule="exact"/>
              <w:ind w:right="152"/>
              <w:jc w:val="right"/>
              <w:rPr>
                <w:spacing w:val="4"/>
                <w:sz w:val="20"/>
              </w:rPr>
            </w:pPr>
            <w:r>
              <w:rPr>
                <w:spacing w:val="4"/>
                <w:sz w:val="20"/>
              </w:rPr>
              <w:t>34</w:t>
            </w:r>
          </w:p>
        </w:tc>
        <w:tc>
          <w:tcPr>
            <w:tcW w:w="910" w:type="dxa"/>
          </w:tcPr>
          <w:p w:rsidR="00000000" w:rsidRDefault="00000000">
            <w:pPr>
              <w:spacing w:before="60" w:line="240" w:lineRule="exact"/>
              <w:ind w:right="152"/>
              <w:jc w:val="right"/>
              <w:rPr>
                <w:spacing w:val="4"/>
                <w:sz w:val="20"/>
              </w:rPr>
            </w:pPr>
            <w:r>
              <w:rPr>
                <w:spacing w:val="4"/>
                <w:sz w:val="20"/>
              </w:rPr>
              <w:t>14.6</w:t>
            </w:r>
          </w:p>
        </w:tc>
        <w:tc>
          <w:tcPr>
            <w:tcW w:w="650" w:type="dxa"/>
          </w:tcPr>
          <w:p w:rsidR="00000000" w:rsidRDefault="00000000">
            <w:pPr>
              <w:spacing w:before="60" w:line="240" w:lineRule="exact"/>
              <w:ind w:right="152"/>
              <w:jc w:val="right"/>
              <w:rPr>
                <w:spacing w:val="4"/>
                <w:sz w:val="20"/>
              </w:rPr>
            </w:pPr>
            <w:r>
              <w:rPr>
                <w:spacing w:val="4"/>
                <w:sz w:val="20"/>
              </w:rPr>
              <w:t>51.8</w:t>
            </w:r>
          </w:p>
        </w:tc>
        <w:tc>
          <w:tcPr>
            <w:tcW w:w="780" w:type="dxa"/>
          </w:tcPr>
          <w:p w:rsidR="00000000" w:rsidRDefault="00000000">
            <w:pPr>
              <w:spacing w:before="60" w:line="240" w:lineRule="exact"/>
              <w:ind w:right="152"/>
              <w:jc w:val="right"/>
              <w:rPr>
                <w:spacing w:val="4"/>
                <w:sz w:val="20"/>
              </w:rPr>
            </w:pPr>
            <w:r>
              <w:rPr>
                <w:spacing w:val="4"/>
                <w:sz w:val="20"/>
              </w:rPr>
              <w:t>62.1</w:t>
            </w:r>
          </w:p>
        </w:tc>
        <w:tc>
          <w:tcPr>
            <w:tcW w:w="752" w:type="dxa"/>
          </w:tcPr>
          <w:p w:rsidR="00000000" w:rsidRDefault="00000000">
            <w:pPr>
              <w:spacing w:before="60" w:line="240" w:lineRule="exact"/>
              <w:ind w:right="152"/>
              <w:jc w:val="right"/>
              <w:rPr>
                <w:spacing w:val="4"/>
                <w:sz w:val="20"/>
              </w:rPr>
            </w:pPr>
            <w:r>
              <w:rPr>
                <w:spacing w:val="4"/>
                <w:sz w:val="20"/>
              </w:rPr>
              <w:t>37.9</w:t>
            </w:r>
          </w:p>
        </w:tc>
      </w:tr>
      <w:tr w:rsidR="00000000">
        <w:tblPrEx>
          <w:tblCellMar>
            <w:top w:w="0" w:type="dxa"/>
            <w:bottom w:w="0" w:type="dxa"/>
          </w:tblCellMar>
        </w:tblPrEx>
        <w:tc>
          <w:tcPr>
            <w:tcW w:w="1408" w:type="dxa"/>
          </w:tcPr>
          <w:p w:rsidR="00000000" w:rsidRDefault="00000000">
            <w:pPr>
              <w:spacing w:before="60" w:line="240" w:lineRule="exact"/>
              <w:rPr>
                <w:rFonts w:hint="eastAsia"/>
                <w:spacing w:val="4"/>
                <w:sz w:val="20"/>
              </w:rPr>
            </w:pPr>
            <w:r>
              <w:rPr>
                <w:rFonts w:hint="eastAsia"/>
                <w:spacing w:val="4"/>
                <w:sz w:val="20"/>
              </w:rPr>
              <w:t>1990</w:t>
            </w:r>
            <w:r>
              <w:rPr>
                <w:rFonts w:hint="eastAsia"/>
                <w:spacing w:val="4"/>
                <w:sz w:val="20"/>
              </w:rPr>
              <w:t>年普查</w:t>
            </w:r>
          </w:p>
        </w:tc>
        <w:tc>
          <w:tcPr>
            <w:tcW w:w="1300" w:type="dxa"/>
          </w:tcPr>
          <w:p w:rsidR="00000000" w:rsidRDefault="00000000">
            <w:pPr>
              <w:spacing w:before="60" w:line="240" w:lineRule="exact"/>
              <w:ind w:right="152"/>
              <w:jc w:val="right"/>
              <w:rPr>
                <w:spacing w:val="4"/>
                <w:sz w:val="20"/>
              </w:rPr>
            </w:pPr>
            <w:r>
              <w:rPr>
                <w:spacing w:val="4"/>
                <w:sz w:val="20"/>
              </w:rPr>
              <w:t>2 008 655</w:t>
            </w:r>
          </w:p>
        </w:tc>
        <w:tc>
          <w:tcPr>
            <w:tcW w:w="910" w:type="dxa"/>
          </w:tcPr>
          <w:p w:rsidR="00000000" w:rsidRDefault="00000000">
            <w:pPr>
              <w:spacing w:before="60" w:line="240" w:lineRule="exact"/>
              <w:ind w:right="152"/>
              <w:jc w:val="right"/>
              <w:rPr>
                <w:spacing w:val="4"/>
                <w:sz w:val="20"/>
              </w:rPr>
            </w:pPr>
            <w:r>
              <w:rPr>
                <w:spacing w:val="4"/>
                <w:sz w:val="20"/>
              </w:rPr>
              <w:t>100</w:t>
            </w:r>
          </w:p>
        </w:tc>
        <w:tc>
          <w:tcPr>
            <w:tcW w:w="910" w:type="dxa"/>
          </w:tcPr>
          <w:p w:rsidR="00000000" w:rsidRDefault="00000000">
            <w:pPr>
              <w:spacing w:before="60" w:line="240" w:lineRule="exact"/>
              <w:ind w:right="152"/>
              <w:jc w:val="right"/>
              <w:rPr>
                <w:spacing w:val="4"/>
                <w:sz w:val="20"/>
              </w:rPr>
            </w:pPr>
            <w:r>
              <w:rPr>
                <w:spacing w:val="4"/>
                <w:sz w:val="20"/>
              </w:rPr>
              <w:t>62.7</w:t>
            </w:r>
          </w:p>
        </w:tc>
        <w:tc>
          <w:tcPr>
            <w:tcW w:w="780" w:type="dxa"/>
          </w:tcPr>
          <w:p w:rsidR="00000000" w:rsidRDefault="00000000">
            <w:pPr>
              <w:spacing w:before="60" w:line="240" w:lineRule="exact"/>
              <w:ind w:right="152"/>
              <w:jc w:val="right"/>
              <w:rPr>
                <w:spacing w:val="4"/>
                <w:sz w:val="20"/>
              </w:rPr>
            </w:pPr>
            <w:r>
              <w:rPr>
                <w:spacing w:val="4"/>
                <w:sz w:val="20"/>
              </w:rPr>
              <w:t>37.3</w:t>
            </w:r>
          </w:p>
        </w:tc>
        <w:tc>
          <w:tcPr>
            <w:tcW w:w="1170" w:type="dxa"/>
          </w:tcPr>
          <w:p w:rsidR="00000000" w:rsidRDefault="00000000">
            <w:pPr>
              <w:spacing w:before="60" w:line="240" w:lineRule="exact"/>
              <w:ind w:right="152"/>
              <w:jc w:val="right"/>
              <w:rPr>
                <w:spacing w:val="4"/>
                <w:sz w:val="20"/>
              </w:rPr>
            </w:pPr>
            <w:r>
              <w:rPr>
                <w:spacing w:val="4"/>
                <w:sz w:val="20"/>
              </w:rPr>
              <w:t>40</w:t>
            </w:r>
          </w:p>
        </w:tc>
        <w:tc>
          <w:tcPr>
            <w:tcW w:w="910" w:type="dxa"/>
          </w:tcPr>
          <w:p w:rsidR="00000000" w:rsidRDefault="00000000">
            <w:pPr>
              <w:spacing w:before="60" w:line="240" w:lineRule="exact"/>
              <w:ind w:right="152"/>
              <w:jc w:val="right"/>
              <w:rPr>
                <w:spacing w:val="4"/>
                <w:sz w:val="20"/>
              </w:rPr>
            </w:pPr>
            <w:r>
              <w:rPr>
                <w:spacing w:val="4"/>
                <w:sz w:val="20"/>
              </w:rPr>
              <w:t>32.8</w:t>
            </w:r>
          </w:p>
        </w:tc>
        <w:tc>
          <w:tcPr>
            <w:tcW w:w="650" w:type="dxa"/>
          </w:tcPr>
          <w:p w:rsidR="00000000" w:rsidRDefault="00000000">
            <w:pPr>
              <w:spacing w:before="60" w:line="240" w:lineRule="exact"/>
              <w:ind w:right="152"/>
              <w:jc w:val="right"/>
              <w:rPr>
                <w:spacing w:val="4"/>
                <w:sz w:val="20"/>
              </w:rPr>
            </w:pPr>
            <w:r>
              <w:rPr>
                <w:spacing w:val="4"/>
                <w:sz w:val="20"/>
              </w:rPr>
              <w:t>27.7</w:t>
            </w:r>
          </w:p>
        </w:tc>
        <w:tc>
          <w:tcPr>
            <w:tcW w:w="780" w:type="dxa"/>
          </w:tcPr>
          <w:p w:rsidR="00000000" w:rsidRDefault="00000000">
            <w:pPr>
              <w:spacing w:before="60" w:line="240" w:lineRule="exact"/>
              <w:ind w:right="152"/>
              <w:jc w:val="right"/>
              <w:rPr>
                <w:spacing w:val="4"/>
                <w:sz w:val="20"/>
              </w:rPr>
            </w:pPr>
            <w:r>
              <w:rPr>
                <w:spacing w:val="4"/>
                <w:sz w:val="20"/>
              </w:rPr>
              <w:t>77.7</w:t>
            </w:r>
          </w:p>
        </w:tc>
        <w:tc>
          <w:tcPr>
            <w:tcW w:w="752" w:type="dxa"/>
          </w:tcPr>
          <w:p w:rsidR="00000000" w:rsidRDefault="00000000">
            <w:pPr>
              <w:spacing w:before="60" w:line="240" w:lineRule="exact"/>
              <w:ind w:right="152"/>
              <w:jc w:val="right"/>
              <w:rPr>
                <w:spacing w:val="4"/>
                <w:sz w:val="20"/>
              </w:rPr>
            </w:pPr>
            <w:r>
              <w:rPr>
                <w:spacing w:val="4"/>
                <w:sz w:val="20"/>
              </w:rPr>
              <w:t>77.7</w:t>
            </w:r>
          </w:p>
        </w:tc>
      </w:tr>
    </w:tbl>
    <w:p w:rsidR="00000000" w:rsidRDefault="00000000">
      <w:pPr>
        <w:pStyle w:val="FootnoteText"/>
        <w:spacing w:before="300" w:after="240"/>
        <w:rPr>
          <w:rFonts w:hint="eastAsia"/>
        </w:rPr>
      </w:pPr>
      <w:r>
        <w:rPr>
          <w:rFonts w:hint="eastAsia"/>
          <w:u w:val="single"/>
        </w:rPr>
        <w:t>资源来源</w:t>
      </w:r>
      <w:r>
        <w:rPr>
          <w:rFonts w:hint="eastAsia"/>
        </w:rPr>
        <w:t>：住房和城市发展部国家统计与人口普查研究所</w:t>
      </w:r>
      <w:r>
        <w:rPr>
          <w:rFonts w:hint="eastAsia"/>
        </w:rPr>
        <w:t>(</w:t>
      </w:r>
      <w:r>
        <w:rPr>
          <w:rFonts w:hint="eastAsia"/>
        </w:rPr>
        <w:t>统计普查所</w:t>
      </w:r>
      <w:r>
        <w:rPr>
          <w:rFonts w:hint="eastAsia"/>
        </w:rPr>
        <w:t>)</w:t>
      </w:r>
      <w:r>
        <w:rPr>
          <w:rFonts w:hint="eastAsia"/>
        </w:rPr>
        <w:t>。</w:t>
      </w:r>
    </w:p>
    <w:p w:rsidR="00000000" w:rsidRDefault="00000000">
      <w:pPr>
        <w:rPr>
          <w:rFonts w:hint="eastAsia"/>
        </w:rPr>
      </w:pPr>
      <w:r>
        <w:rPr>
          <w:rFonts w:hint="eastAsia"/>
        </w:rPr>
        <w:tab/>
        <w:t xml:space="preserve">355.  </w:t>
      </w:r>
      <w:r>
        <w:rPr>
          <w:rFonts w:hint="eastAsia"/>
        </w:rPr>
        <w:t>估计</w:t>
      </w:r>
      <w:r>
        <w:rPr>
          <w:rFonts w:hint="eastAsia"/>
        </w:rPr>
        <w:t>1999</w:t>
      </w:r>
      <w:r>
        <w:rPr>
          <w:rFonts w:hint="eastAsia"/>
        </w:rPr>
        <w:t>年人口将达</w:t>
      </w:r>
      <w:r>
        <w:rPr>
          <w:rFonts w:hint="eastAsia"/>
        </w:rPr>
        <w:t>12,411,232</w:t>
      </w:r>
      <w:r>
        <w:rPr>
          <w:rFonts w:hint="eastAsia"/>
        </w:rPr>
        <w:t>人，其中</w:t>
      </w:r>
      <w:r>
        <w:rPr>
          <w:rFonts w:hint="eastAsia"/>
        </w:rPr>
        <w:t>49.8%</w:t>
      </w:r>
      <w:r>
        <w:rPr>
          <w:rFonts w:hint="eastAsia"/>
        </w:rPr>
        <w:t>将居住在沿海地区，</w:t>
      </w:r>
      <w:r>
        <w:rPr>
          <w:rFonts w:hint="eastAsia"/>
        </w:rPr>
        <w:t>45.65%</w:t>
      </w:r>
      <w:r>
        <w:rPr>
          <w:rFonts w:hint="eastAsia"/>
        </w:rPr>
        <w:t>居住在高地，另有</w:t>
      </w:r>
      <w:r>
        <w:rPr>
          <w:rFonts w:hint="eastAsia"/>
        </w:rPr>
        <w:t>4.6%</w:t>
      </w:r>
      <w:r>
        <w:rPr>
          <w:rFonts w:hint="eastAsia"/>
        </w:rPr>
        <w:t>居住在亚马逊和岛屿地区。</w:t>
      </w:r>
    </w:p>
    <w:p w:rsidR="00000000" w:rsidRDefault="00000000">
      <w:pPr>
        <w:rPr>
          <w:rFonts w:hint="eastAsia"/>
        </w:rPr>
      </w:pPr>
      <w:r>
        <w:rPr>
          <w:rFonts w:hint="eastAsia"/>
        </w:rPr>
        <w:tab/>
        <w:t xml:space="preserve">356.  </w:t>
      </w:r>
      <w:r>
        <w:rPr>
          <w:rFonts w:hint="eastAsia"/>
        </w:rPr>
        <w:t>通过对每一地区内的城市人口和农村人口的详细情况进行分析，发现沿海地区</w:t>
      </w:r>
      <w:r>
        <w:rPr>
          <w:rFonts w:hint="eastAsia"/>
        </w:rPr>
        <w:t>69%</w:t>
      </w:r>
      <w:r>
        <w:rPr>
          <w:rFonts w:hint="eastAsia"/>
        </w:rPr>
        <w:t>的人住在城市，只有</w:t>
      </w:r>
      <w:r>
        <w:rPr>
          <w:rFonts w:hint="eastAsia"/>
        </w:rPr>
        <w:t>31%</w:t>
      </w:r>
      <w:r>
        <w:rPr>
          <w:rFonts w:hint="eastAsia"/>
        </w:rPr>
        <w:t>的人住在农村地区。</w:t>
      </w:r>
    </w:p>
    <w:p w:rsidR="00000000" w:rsidRDefault="00000000">
      <w:pPr>
        <w:rPr>
          <w:rFonts w:hint="eastAsia"/>
        </w:rPr>
      </w:pPr>
      <w:r>
        <w:rPr>
          <w:rFonts w:hint="eastAsia"/>
        </w:rPr>
        <w:tab/>
        <w:t xml:space="preserve">357.  </w:t>
      </w:r>
      <w:r>
        <w:rPr>
          <w:rFonts w:hint="eastAsia"/>
        </w:rPr>
        <w:t>高地</w:t>
      </w:r>
      <w:r>
        <w:rPr>
          <w:rFonts w:hint="eastAsia"/>
        </w:rPr>
        <w:t>54%</w:t>
      </w:r>
      <w:r>
        <w:rPr>
          <w:rFonts w:hint="eastAsia"/>
        </w:rPr>
        <w:t>的人住在城市，</w:t>
      </w:r>
      <w:r>
        <w:rPr>
          <w:rFonts w:hint="eastAsia"/>
        </w:rPr>
        <w:t>46%</w:t>
      </w:r>
      <w:r>
        <w:rPr>
          <w:rFonts w:hint="eastAsia"/>
        </w:rPr>
        <w:t>的住在农村地区；东部地区</w:t>
      </w:r>
      <w:r>
        <w:rPr>
          <w:rFonts w:hint="eastAsia"/>
        </w:rPr>
        <w:t>72%</w:t>
      </w:r>
      <w:r>
        <w:rPr>
          <w:rFonts w:hint="eastAsia"/>
        </w:rPr>
        <w:t>的属于农村人口，而在加拉帕戈斯群岛，</w:t>
      </w:r>
      <w:r>
        <w:rPr>
          <w:rFonts w:hint="eastAsia"/>
        </w:rPr>
        <w:t>82%</w:t>
      </w:r>
      <w:r>
        <w:rPr>
          <w:rFonts w:hint="eastAsia"/>
        </w:rPr>
        <w:t>的住在城市地区。</w:t>
      </w:r>
    </w:p>
    <w:p w:rsidR="00000000" w:rsidRDefault="00000000">
      <w:pPr>
        <w:rPr>
          <w:rFonts w:hint="eastAsia"/>
        </w:rPr>
      </w:pPr>
      <w:r>
        <w:rPr>
          <w:rFonts w:hint="eastAsia"/>
        </w:rPr>
        <w:tab/>
        <w:t xml:space="preserve">358.  </w:t>
      </w:r>
      <w:r>
        <w:rPr>
          <w:rFonts w:hint="eastAsia"/>
        </w:rPr>
        <w:t>就全国而言，</w:t>
      </w:r>
      <w:r>
        <w:rPr>
          <w:rFonts w:hint="eastAsia"/>
        </w:rPr>
        <w:t>53%</w:t>
      </w:r>
      <w:r>
        <w:rPr>
          <w:rFonts w:hint="eastAsia"/>
        </w:rPr>
        <w:t>的城市家庭连有排污系统；但农村地区只有</w:t>
      </w:r>
      <w:r>
        <w:rPr>
          <w:rFonts w:hint="eastAsia"/>
        </w:rPr>
        <w:t>11%</w:t>
      </w:r>
      <w:r>
        <w:rPr>
          <w:rFonts w:hint="eastAsia"/>
        </w:rPr>
        <w:t>。废水未予处理，因此直接排入江湖时并造成严重的污染情况。</w:t>
      </w:r>
    </w:p>
    <w:p w:rsidR="00000000" w:rsidRDefault="00000000">
      <w:pPr>
        <w:rPr>
          <w:rFonts w:hint="eastAsia"/>
        </w:rPr>
      </w:pPr>
      <w:r>
        <w:rPr>
          <w:rFonts w:hint="eastAsia"/>
        </w:rPr>
        <w:tab/>
        <w:t xml:space="preserve">359.  </w:t>
      </w:r>
      <w:r>
        <w:rPr>
          <w:rFonts w:hint="eastAsia"/>
        </w:rPr>
        <w:t>污水分别处理的系统在传送两种水</w:t>
      </w:r>
      <w:r>
        <w:rPr>
          <w:rFonts w:hint="eastAsia"/>
        </w:rPr>
        <w:t>(</w:t>
      </w:r>
      <w:r>
        <w:rPr>
          <w:rFonts w:hint="eastAsia"/>
        </w:rPr>
        <w:t>雨水和废水</w:t>
      </w:r>
      <w:r>
        <w:rPr>
          <w:rFonts w:hint="eastAsia"/>
        </w:rPr>
        <w:t>)</w:t>
      </w:r>
      <w:r>
        <w:rPr>
          <w:rFonts w:hint="eastAsia"/>
        </w:rPr>
        <w:t>方面均存在严重问题，而预防性维护问题基本未引起重视。</w:t>
      </w:r>
    </w:p>
    <w:p w:rsidR="00000000" w:rsidRDefault="00000000">
      <w:pPr>
        <w:rPr>
          <w:rFonts w:hint="eastAsia"/>
        </w:rPr>
      </w:pPr>
      <w:r>
        <w:rPr>
          <w:rFonts w:hint="eastAsia"/>
        </w:rPr>
        <w:tab/>
        <w:t xml:space="preserve">360.  </w:t>
      </w:r>
      <w:r>
        <w:rPr>
          <w:rFonts w:hint="eastAsia"/>
        </w:rPr>
        <w:t>就全国而言，城市有</w:t>
      </w:r>
      <w:r>
        <w:rPr>
          <w:rFonts w:hint="eastAsia"/>
        </w:rPr>
        <w:t>31%</w:t>
      </w:r>
      <w:r>
        <w:rPr>
          <w:rFonts w:hint="eastAsia"/>
        </w:rPr>
        <w:t>的家庭，农村有</w:t>
      </w:r>
      <w:r>
        <w:rPr>
          <w:rFonts w:hint="eastAsia"/>
        </w:rPr>
        <w:t>20%</w:t>
      </w:r>
      <w:r>
        <w:rPr>
          <w:rFonts w:hint="eastAsia"/>
        </w:rPr>
        <w:t>的家庭使用化粪池处理人的粪便。</w:t>
      </w:r>
    </w:p>
    <w:p w:rsidR="00000000" w:rsidRDefault="00000000">
      <w:pPr>
        <w:pStyle w:val="Heading3"/>
        <w:spacing w:after="40"/>
        <w:rPr>
          <w:rFonts w:eastAsia="KaiTi_GB2312" w:hint="eastAsia"/>
          <w:snapToGrid/>
          <w:spacing w:val="0"/>
          <w:kern w:val="0"/>
          <w:u w:val="none"/>
        </w:rPr>
      </w:pPr>
      <w:r>
        <w:rPr>
          <w:rFonts w:hint="eastAsia"/>
        </w:rPr>
        <w:t>按住房类型分列的每一住房单位的平均居住人数</w:t>
      </w:r>
      <w:r>
        <w:br/>
      </w:r>
      <w:r>
        <w:rPr>
          <w:rFonts w:eastAsia="KaiTi_GB2312" w:hint="eastAsia"/>
          <w:snapToGrid/>
          <w:spacing w:val="0"/>
          <w:kern w:val="0"/>
          <w:u w:val="none"/>
        </w:rPr>
        <w:t>(1982-1990</w:t>
      </w:r>
      <w:r>
        <w:rPr>
          <w:rFonts w:eastAsia="KaiTi_GB2312" w:hint="eastAsia"/>
          <w:snapToGrid/>
          <w:spacing w:val="0"/>
          <w:kern w:val="0"/>
          <w:u w:val="none"/>
        </w:rPr>
        <w:t>年人口普查</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住房类型</w:t>
            </w:r>
          </w:p>
        </w:tc>
        <w:tc>
          <w:tcPr>
            <w:tcW w:w="3190"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1982</w:t>
            </w:r>
            <w:r>
              <w:rPr>
                <w:rFonts w:hint="eastAsia"/>
                <w:spacing w:val="4"/>
                <w:sz w:val="20"/>
                <w:u w:val="single"/>
              </w:rPr>
              <w:t>年普查</w:t>
            </w:r>
          </w:p>
        </w:tc>
        <w:tc>
          <w:tcPr>
            <w:tcW w:w="3190" w:type="dxa"/>
            <w:tcBorders>
              <w:bottom w:val="single" w:sz="4" w:space="0" w:color="auto"/>
            </w:tcBorders>
          </w:tcPr>
          <w:p w:rsidR="00000000" w:rsidRDefault="00000000">
            <w:pPr>
              <w:spacing w:before="60" w:line="240" w:lineRule="exact"/>
              <w:jc w:val="center"/>
              <w:rPr>
                <w:rFonts w:hint="eastAsia"/>
                <w:spacing w:val="4"/>
                <w:sz w:val="20"/>
                <w:u w:val="single"/>
              </w:rPr>
            </w:pPr>
            <w:r>
              <w:rPr>
                <w:rFonts w:hint="eastAsia"/>
                <w:spacing w:val="4"/>
                <w:sz w:val="20"/>
                <w:u w:val="single"/>
              </w:rPr>
              <w:t>1990</w:t>
            </w:r>
            <w:r>
              <w:rPr>
                <w:rFonts w:hint="eastAsia"/>
                <w:spacing w:val="4"/>
                <w:sz w:val="20"/>
                <w:u w:val="single"/>
              </w:rPr>
              <w:t>年普查</w:t>
            </w:r>
          </w:p>
        </w:tc>
      </w:tr>
      <w:tr w:rsidR="00000000">
        <w:tblPrEx>
          <w:tblCellMar>
            <w:top w:w="0" w:type="dxa"/>
            <w:bottom w:w="0" w:type="dxa"/>
          </w:tblCellMar>
        </w:tblPrEx>
        <w:tc>
          <w:tcPr>
            <w:tcW w:w="3190" w:type="dxa"/>
            <w:tcBorders>
              <w:bottom w:val="nil"/>
            </w:tcBorders>
          </w:tcPr>
          <w:p w:rsidR="00000000" w:rsidRDefault="00000000">
            <w:pPr>
              <w:spacing w:before="60" w:line="240" w:lineRule="exact"/>
              <w:rPr>
                <w:rFonts w:hint="eastAsia"/>
                <w:spacing w:val="4"/>
                <w:sz w:val="20"/>
              </w:rPr>
            </w:pPr>
            <w:r>
              <w:rPr>
                <w:rFonts w:hint="eastAsia"/>
                <w:spacing w:val="4"/>
                <w:sz w:val="20"/>
              </w:rPr>
              <w:t>小房或别墅</w:t>
            </w:r>
          </w:p>
        </w:tc>
        <w:tc>
          <w:tcPr>
            <w:tcW w:w="3190" w:type="dxa"/>
            <w:tcBorders>
              <w:bottom w:val="nil"/>
            </w:tcBorders>
          </w:tcPr>
          <w:p w:rsidR="00000000" w:rsidRDefault="00000000">
            <w:pPr>
              <w:spacing w:before="60" w:line="240" w:lineRule="exact"/>
              <w:jc w:val="center"/>
              <w:rPr>
                <w:spacing w:val="4"/>
                <w:sz w:val="20"/>
              </w:rPr>
            </w:pPr>
            <w:r>
              <w:rPr>
                <w:color w:val="000000"/>
                <w:spacing w:val="4"/>
                <w:sz w:val="20"/>
              </w:rPr>
              <w:t>5.5</w:t>
            </w:r>
          </w:p>
        </w:tc>
        <w:tc>
          <w:tcPr>
            <w:tcW w:w="3190" w:type="dxa"/>
            <w:tcBorders>
              <w:bottom w:val="nil"/>
            </w:tcBorders>
          </w:tcPr>
          <w:p w:rsidR="00000000" w:rsidRDefault="00000000">
            <w:pPr>
              <w:spacing w:before="60" w:line="240" w:lineRule="exact"/>
              <w:jc w:val="center"/>
              <w:rPr>
                <w:spacing w:val="4"/>
                <w:sz w:val="20"/>
              </w:rPr>
            </w:pPr>
            <w:r>
              <w:rPr>
                <w:color w:val="000000"/>
                <w:spacing w:val="4"/>
                <w:sz w:val="20"/>
              </w:rPr>
              <w:t>5.0</w:t>
            </w:r>
          </w:p>
        </w:tc>
      </w:tr>
      <w:tr w:rsidR="00000000">
        <w:tblPrEx>
          <w:tblCellMar>
            <w:top w:w="0" w:type="dxa"/>
            <w:bottom w:w="0" w:type="dxa"/>
          </w:tblCellMar>
        </w:tblPrEx>
        <w:tc>
          <w:tcPr>
            <w:tcW w:w="3190"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公寓</w:t>
            </w:r>
          </w:p>
        </w:tc>
        <w:tc>
          <w:tcPr>
            <w:tcW w:w="3190" w:type="dxa"/>
            <w:tcBorders>
              <w:top w:val="nil"/>
              <w:bottom w:val="nil"/>
            </w:tcBorders>
          </w:tcPr>
          <w:p w:rsidR="00000000" w:rsidRDefault="00000000">
            <w:pPr>
              <w:spacing w:before="60" w:line="240" w:lineRule="exact"/>
              <w:jc w:val="center"/>
              <w:rPr>
                <w:spacing w:val="4"/>
                <w:sz w:val="20"/>
              </w:rPr>
            </w:pPr>
            <w:r>
              <w:rPr>
                <w:color w:val="000000"/>
                <w:spacing w:val="4"/>
                <w:sz w:val="20"/>
              </w:rPr>
              <w:t>4.4</w:t>
            </w:r>
          </w:p>
        </w:tc>
        <w:tc>
          <w:tcPr>
            <w:tcW w:w="3190" w:type="dxa"/>
            <w:tcBorders>
              <w:top w:val="nil"/>
              <w:bottom w:val="nil"/>
            </w:tcBorders>
          </w:tcPr>
          <w:p w:rsidR="00000000" w:rsidRDefault="00000000">
            <w:pPr>
              <w:spacing w:before="60" w:line="240" w:lineRule="exact"/>
              <w:jc w:val="center"/>
              <w:rPr>
                <w:spacing w:val="4"/>
                <w:sz w:val="20"/>
              </w:rPr>
            </w:pPr>
            <w:r>
              <w:rPr>
                <w:color w:val="000000"/>
                <w:spacing w:val="4"/>
                <w:sz w:val="20"/>
              </w:rPr>
              <w:t>3.9</w:t>
            </w:r>
          </w:p>
        </w:tc>
      </w:tr>
      <w:tr w:rsidR="00000000">
        <w:tblPrEx>
          <w:tblCellMar>
            <w:top w:w="0" w:type="dxa"/>
            <w:bottom w:w="0" w:type="dxa"/>
          </w:tblCellMar>
        </w:tblPrEx>
        <w:tc>
          <w:tcPr>
            <w:tcW w:w="3190"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在小房中租用的房间</w:t>
            </w:r>
          </w:p>
        </w:tc>
        <w:tc>
          <w:tcPr>
            <w:tcW w:w="3190" w:type="dxa"/>
            <w:tcBorders>
              <w:top w:val="nil"/>
              <w:bottom w:val="nil"/>
            </w:tcBorders>
          </w:tcPr>
          <w:p w:rsidR="00000000" w:rsidRDefault="00000000">
            <w:pPr>
              <w:spacing w:before="60" w:line="240" w:lineRule="exact"/>
              <w:jc w:val="center"/>
              <w:rPr>
                <w:spacing w:val="4"/>
                <w:sz w:val="20"/>
                <w:lang w:eastAsia="zh-TW"/>
              </w:rPr>
            </w:pPr>
            <w:r>
              <w:rPr>
                <w:color w:val="000000"/>
                <w:spacing w:val="4"/>
                <w:sz w:val="20"/>
                <w:lang w:eastAsia="zh-TW"/>
              </w:rPr>
              <w:t>3.7</w:t>
            </w:r>
          </w:p>
        </w:tc>
        <w:tc>
          <w:tcPr>
            <w:tcW w:w="3190" w:type="dxa"/>
            <w:tcBorders>
              <w:top w:val="nil"/>
              <w:bottom w:val="nil"/>
            </w:tcBorders>
          </w:tcPr>
          <w:p w:rsidR="00000000" w:rsidRDefault="00000000">
            <w:pPr>
              <w:spacing w:before="60" w:line="240" w:lineRule="exact"/>
              <w:jc w:val="center"/>
              <w:rPr>
                <w:spacing w:val="4"/>
                <w:sz w:val="20"/>
                <w:lang w:eastAsia="zh-TW"/>
              </w:rPr>
            </w:pPr>
            <w:r>
              <w:rPr>
                <w:color w:val="000000"/>
                <w:spacing w:val="4"/>
                <w:sz w:val="20"/>
                <w:lang w:eastAsia="zh-TW"/>
              </w:rPr>
              <w:t>3.6</w:t>
            </w:r>
          </w:p>
        </w:tc>
      </w:tr>
      <w:tr w:rsidR="00000000">
        <w:tblPrEx>
          <w:tblCellMar>
            <w:top w:w="0" w:type="dxa"/>
            <w:bottom w:w="0" w:type="dxa"/>
          </w:tblCellMar>
        </w:tblPrEx>
        <w:tc>
          <w:tcPr>
            <w:tcW w:w="3190" w:type="dxa"/>
            <w:tcBorders>
              <w:top w:val="nil"/>
              <w:bottom w:val="nil"/>
            </w:tcBorders>
          </w:tcPr>
          <w:p w:rsidR="00000000" w:rsidRDefault="00000000">
            <w:pPr>
              <w:spacing w:before="60" w:line="240" w:lineRule="exact"/>
              <w:rPr>
                <w:rFonts w:hint="eastAsia"/>
                <w:spacing w:val="4"/>
                <w:sz w:val="20"/>
                <w:lang w:eastAsia="zh-TW"/>
              </w:rPr>
            </w:pPr>
            <w:r>
              <w:rPr>
                <w:rFonts w:hint="eastAsia"/>
                <w:spacing w:val="4"/>
                <w:sz w:val="20"/>
                <w:lang w:eastAsia="zh-TW"/>
              </w:rPr>
              <w:t>棚屋</w:t>
            </w:r>
          </w:p>
        </w:tc>
        <w:tc>
          <w:tcPr>
            <w:tcW w:w="3190" w:type="dxa"/>
            <w:tcBorders>
              <w:top w:val="nil"/>
              <w:bottom w:val="nil"/>
            </w:tcBorders>
          </w:tcPr>
          <w:p w:rsidR="00000000" w:rsidRDefault="00000000">
            <w:pPr>
              <w:spacing w:before="60" w:line="240" w:lineRule="exact"/>
              <w:jc w:val="center"/>
              <w:rPr>
                <w:spacing w:val="4"/>
                <w:sz w:val="20"/>
                <w:lang w:eastAsia="zh-TW"/>
              </w:rPr>
            </w:pPr>
            <w:r>
              <w:rPr>
                <w:color w:val="000000"/>
                <w:spacing w:val="4"/>
                <w:sz w:val="20"/>
                <w:lang w:eastAsia="zh-TW"/>
              </w:rPr>
              <w:t>4.6</w:t>
            </w:r>
          </w:p>
        </w:tc>
        <w:tc>
          <w:tcPr>
            <w:tcW w:w="3190" w:type="dxa"/>
            <w:tcBorders>
              <w:top w:val="nil"/>
              <w:bottom w:val="nil"/>
            </w:tcBorders>
          </w:tcPr>
          <w:p w:rsidR="00000000" w:rsidRDefault="00000000">
            <w:pPr>
              <w:spacing w:before="60" w:line="240" w:lineRule="exact"/>
              <w:jc w:val="center"/>
              <w:rPr>
                <w:spacing w:val="4"/>
                <w:sz w:val="20"/>
                <w:lang w:eastAsia="zh-TW"/>
              </w:rPr>
            </w:pPr>
            <w:r>
              <w:rPr>
                <w:color w:val="000000"/>
                <w:spacing w:val="4"/>
                <w:sz w:val="20"/>
                <w:lang w:eastAsia="zh-TW"/>
              </w:rPr>
              <w:t>4.5</w:t>
            </w:r>
          </w:p>
        </w:tc>
      </w:tr>
      <w:tr w:rsidR="00000000">
        <w:tblPrEx>
          <w:tblCellMar>
            <w:top w:w="0" w:type="dxa"/>
            <w:bottom w:w="0" w:type="dxa"/>
          </w:tblCellMar>
        </w:tblPrEx>
        <w:tc>
          <w:tcPr>
            <w:tcW w:w="3190" w:type="dxa"/>
            <w:tcBorders>
              <w:top w:val="nil"/>
              <w:bottom w:val="nil"/>
            </w:tcBorders>
          </w:tcPr>
          <w:p w:rsidR="00000000" w:rsidRDefault="00000000">
            <w:pPr>
              <w:spacing w:before="60" w:line="240" w:lineRule="exact"/>
              <w:rPr>
                <w:rFonts w:hint="eastAsia"/>
                <w:spacing w:val="4"/>
                <w:sz w:val="20"/>
                <w:lang w:eastAsia="zh-TW"/>
              </w:rPr>
            </w:pPr>
            <w:r>
              <w:rPr>
                <w:rFonts w:hint="eastAsia"/>
                <w:spacing w:val="4"/>
                <w:sz w:val="20"/>
                <w:lang w:eastAsia="zh-TW"/>
              </w:rPr>
              <w:t>窩棚</w:t>
            </w:r>
          </w:p>
        </w:tc>
        <w:tc>
          <w:tcPr>
            <w:tcW w:w="3190" w:type="dxa"/>
            <w:tcBorders>
              <w:top w:val="nil"/>
              <w:bottom w:val="nil"/>
            </w:tcBorders>
          </w:tcPr>
          <w:p w:rsidR="00000000" w:rsidRDefault="00000000">
            <w:pPr>
              <w:spacing w:before="60" w:line="240" w:lineRule="exact"/>
              <w:jc w:val="center"/>
              <w:rPr>
                <w:spacing w:val="4"/>
                <w:sz w:val="20"/>
                <w:lang w:eastAsia="zh-TW"/>
              </w:rPr>
            </w:pPr>
            <w:r>
              <w:rPr>
                <w:color w:val="000000"/>
                <w:spacing w:val="4"/>
                <w:sz w:val="20"/>
                <w:lang w:eastAsia="zh-TW"/>
              </w:rPr>
              <w:t>4.1</w:t>
            </w:r>
          </w:p>
        </w:tc>
        <w:tc>
          <w:tcPr>
            <w:tcW w:w="3190" w:type="dxa"/>
            <w:tcBorders>
              <w:top w:val="nil"/>
              <w:bottom w:val="nil"/>
            </w:tcBorders>
          </w:tcPr>
          <w:p w:rsidR="00000000" w:rsidRDefault="00000000">
            <w:pPr>
              <w:spacing w:before="60" w:line="240" w:lineRule="exact"/>
              <w:jc w:val="center"/>
              <w:rPr>
                <w:spacing w:val="4"/>
                <w:sz w:val="20"/>
                <w:lang w:eastAsia="zh-TW"/>
              </w:rPr>
            </w:pPr>
            <w:r>
              <w:rPr>
                <w:color w:val="000000"/>
                <w:spacing w:val="4"/>
                <w:sz w:val="20"/>
                <w:lang w:eastAsia="zh-TW"/>
              </w:rPr>
              <w:t>4.0</w:t>
            </w:r>
          </w:p>
        </w:tc>
      </w:tr>
      <w:tr w:rsidR="00000000">
        <w:tblPrEx>
          <w:tblCellMar>
            <w:top w:w="0" w:type="dxa"/>
            <w:bottom w:w="0" w:type="dxa"/>
          </w:tblCellMar>
        </w:tblPrEx>
        <w:tc>
          <w:tcPr>
            <w:tcW w:w="3190" w:type="dxa"/>
            <w:tcBorders>
              <w:top w:val="nil"/>
              <w:bottom w:val="nil"/>
            </w:tcBorders>
          </w:tcPr>
          <w:p w:rsidR="00000000" w:rsidRDefault="00000000">
            <w:pPr>
              <w:spacing w:before="60" w:line="240" w:lineRule="exact"/>
              <w:rPr>
                <w:rFonts w:hint="eastAsia"/>
                <w:spacing w:val="4"/>
                <w:sz w:val="20"/>
                <w:lang w:eastAsia="zh-TW"/>
              </w:rPr>
            </w:pPr>
            <w:r>
              <w:rPr>
                <w:rFonts w:hint="eastAsia"/>
                <w:spacing w:val="4"/>
                <w:sz w:val="20"/>
                <w:lang w:eastAsia="zh-TW"/>
              </w:rPr>
              <w:t>茅屋</w:t>
            </w:r>
          </w:p>
        </w:tc>
        <w:tc>
          <w:tcPr>
            <w:tcW w:w="3190" w:type="dxa"/>
            <w:tcBorders>
              <w:top w:val="nil"/>
              <w:bottom w:val="nil"/>
            </w:tcBorders>
          </w:tcPr>
          <w:p w:rsidR="00000000" w:rsidRDefault="00000000">
            <w:pPr>
              <w:spacing w:before="60" w:line="240" w:lineRule="exact"/>
              <w:jc w:val="center"/>
              <w:rPr>
                <w:spacing w:val="4"/>
                <w:sz w:val="20"/>
              </w:rPr>
            </w:pPr>
            <w:r>
              <w:rPr>
                <w:spacing w:val="4"/>
                <w:sz w:val="20"/>
              </w:rPr>
              <w:t>5.2</w:t>
            </w:r>
          </w:p>
        </w:tc>
        <w:tc>
          <w:tcPr>
            <w:tcW w:w="3190" w:type="dxa"/>
            <w:tcBorders>
              <w:top w:val="nil"/>
              <w:bottom w:val="nil"/>
            </w:tcBorders>
          </w:tcPr>
          <w:p w:rsidR="00000000" w:rsidRDefault="00000000">
            <w:pPr>
              <w:spacing w:before="60" w:line="240" w:lineRule="exact"/>
              <w:jc w:val="center"/>
              <w:rPr>
                <w:spacing w:val="4"/>
                <w:sz w:val="20"/>
              </w:rPr>
            </w:pPr>
            <w:r>
              <w:rPr>
                <w:spacing w:val="4"/>
                <w:sz w:val="20"/>
              </w:rPr>
              <w:t>4.9</w:t>
            </w:r>
          </w:p>
        </w:tc>
      </w:tr>
      <w:tr w:rsidR="00000000">
        <w:tblPrEx>
          <w:tblCellMar>
            <w:top w:w="0" w:type="dxa"/>
            <w:bottom w:w="0" w:type="dxa"/>
          </w:tblCellMar>
        </w:tblPrEx>
        <w:tc>
          <w:tcPr>
            <w:tcW w:w="3190" w:type="dxa"/>
            <w:tcBorders>
              <w:top w:val="nil"/>
            </w:tcBorders>
          </w:tcPr>
          <w:p w:rsidR="00000000" w:rsidRDefault="00000000">
            <w:pPr>
              <w:spacing w:before="60" w:line="240" w:lineRule="exact"/>
              <w:rPr>
                <w:rFonts w:hint="eastAsia"/>
                <w:spacing w:val="4"/>
                <w:sz w:val="20"/>
              </w:rPr>
            </w:pPr>
            <w:r>
              <w:rPr>
                <w:rFonts w:hint="eastAsia"/>
                <w:spacing w:val="4"/>
                <w:sz w:val="20"/>
              </w:rPr>
              <w:t>其他</w:t>
            </w:r>
          </w:p>
        </w:tc>
        <w:tc>
          <w:tcPr>
            <w:tcW w:w="3190" w:type="dxa"/>
            <w:tcBorders>
              <w:top w:val="nil"/>
            </w:tcBorders>
          </w:tcPr>
          <w:p w:rsidR="00000000" w:rsidRDefault="00000000">
            <w:pPr>
              <w:spacing w:before="60" w:line="240" w:lineRule="exact"/>
              <w:jc w:val="center"/>
              <w:rPr>
                <w:spacing w:val="4"/>
                <w:sz w:val="20"/>
              </w:rPr>
            </w:pPr>
            <w:r>
              <w:rPr>
                <w:spacing w:val="4"/>
                <w:sz w:val="20"/>
              </w:rPr>
              <w:t>8.5</w:t>
            </w:r>
          </w:p>
        </w:tc>
        <w:tc>
          <w:tcPr>
            <w:tcW w:w="3190" w:type="dxa"/>
            <w:tcBorders>
              <w:top w:val="nil"/>
            </w:tcBorders>
          </w:tcPr>
          <w:p w:rsidR="00000000" w:rsidRDefault="00000000">
            <w:pPr>
              <w:spacing w:before="60" w:line="240" w:lineRule="exact"/>
              <w:jc w:val="center"/>
              <w:rPr>
                <w:spacing w:val="4"/>
                <w:sz w:val="20"/>
              </w:rPr>
            </w:pPr>
            <w:r>
              <w:rPr>
                <w:spacing w:val="4"/>
                <w:sz w:val="20"/>
              </w:rPr>
              <w:t>3.8</w:t>
            </w:r>
          </w:p>
        </w:tc>
      </w:tr>
    </w:tbl>
    <w:p w:rsidR="00000000" w:rsidRDefault="00000000">
      <w:pPr>
        <w:pStyle w:val="FootnoteText"/>
        <w:spacing w:before="300" w:after="240" w:line="240" w:lineRule="auto"/>
        <w:rPr>
          <w:snapToGrid/>
          <w:spacing w:val="0"/>
          <w:sz w:val="22"/>
        </w:rPr>
      </w:pPr>
      <w:r>
        <w:rPr>
          <w:rFonts w:hint="eastAsia"/>
          <w:snapToGrid/>
          <w:spacing w:val="0"/>
          <w:sz w:val="22"/>
          <w:u w:val="single"/>
        </w:rPr>
        <w:t>资源来源</w:t>
      </w:r>
      <w:r>
        <w:rPr>
          <w:rFonts w:hint="eastAsia"/>
          <w:snapToGrid/>
          <w:spacing w:val="0"/>
          <w:sz w:val="22"/>
        </w:rPr>
        <w:t>：住房和城市发展部国家统计与人口普查研究所</w:t>
      </w:r>
      <w:r>
        <w:rPr>
          <w:rFonts w:hint="eastAsia"/>
          <w:snapToGrid/>
          <w:spacing w:val="0"/>
          <w:sz w:val="22"/>
        </w:rPr>
        <w:t>(</w:t>
      </w:r>
      <w:r>
        <w:rPr>
          <w:rFonts w:hint="eastAsia"/>
          <w:snapToGrid/>
          <w:spacing w:val="0"/>
          <w:sz w:val="22"/>
        </w:rPr>
        <w:t>统计普查所</w:t>
      </w:r>
      <w:r>
        <w:rPr>
          <w:rFonts w:hint="eastAsia"/>
          <w:snapToGrid/>
          <w:spacing w:val="0"/>
          <w:sz w:val="22"/>
        </w:rPr>
        <w:t>)</w:t>
      </w:r>
      <w:r>
        <w:rPr>
          <w:rFonts w:hint="eastAsia"/>
          <w:snapToGrid/>
          <w:spacing w:val="0"/>
          <w:sz w:val="22"/>
        </w:rPr>
        <w:t>，</w:t>
      </w:r>
      <w:r>
        <w:rPr>
          <w:rFonts w:hint="eastAsia"/>
          <w:snapToGrid/>
          <w:spacing w:val="0"/>
          <w:sz w:val="22"/>
        </w:rPr>
        <w:t>1982</w:t>
      </w:r>
      <w:r>
        <w:rPr>
          <w:rFonts w:hint="eastAsia"/>
          <w:snapToGrid/>
          <w:spacing w:val="0"/>
          <w:sz w:val="22"/>
        </w:rPr>
        <w:t>年至</w:t>
      </w:r>
      <w:r>
        <w:rPr>
          <w:rFonts w:hint="eastAsia"/>
          <w:snapToGrid/>
          <w:spacing w:val="0"/>
          <w:sz w:val="22"/>
        </w:rPr>
        <w:t>1990</w:t>
      </w:r>
      <w:r>
        <w:rPr>
          <w:rFonts w:hint="eastAsia"/>
          <w:snapToGrid/>
          <w:spacing w:val="0"/>
          <w:sz w:val="22"/>
        </w:rPr>
        <w:t>年。</w:t>
      </w:r>
    </w:p>
    <w:p w:rsidR="00000000" w:rsidRDefault="00000000">
      <w:pPr>
        <w:pStyle w:val="Heading3"/>
        <w:spacing w:after="40"/>
        <w:rPr>
          <w:rFonts w:eastAsia="KaiTi_GB2312" w:hint="eastAsia"/>
          <w:snapToGrid/>
          <w:spacing w:val="0"/>
          <w:kern w:val="0"/>
          <w:u w:val="none"/>
        </w:rPr>
      </w:pPr>
      <w:r>
        <w:rPr>
          <w:rFonts w:hint="eastAsia"/>
        </w:rPr>
        <w:t>按住房类型分列的已使用的单个住房单位</w:t>
      </w:r>
      <w:r>
        <w:br/>
      </w:r>
      <w:r>
        <w:rPr>
          <w:rFonts w:eastAsia="KaiTi_GB2312" w:hint="eastAsia"/>
          <w:snapToGrid/>
          <w:spacing w:val="0"/>
          <w:kern w:val="0"/>
          <w:u w:val="none"/>
        </w:rPr>
        <w:t>(1982-1990</w:t>
      </w:r>
      <w:r>
        <w:rPr>
          <w:rFonts w:eastAsia="KaiTi_GB2312" w:hint="eastAsia"/>
          <w:snapToGrid/>
          <w:spacing w:val="0"/>
          <w:kern w:val="0"/>
          <w:u w:val="none"/>
        </w:rPr>
        <w:t>年人口普查</w:t>
      </w:r>
      <w:r>
        <w:rPr>
          <w:rFonts w:eastAsia="KaiTi_GB2312" w:hint="eastAsia"/>
          <w:snapToGrid/>
          <w:spacing w:val="0"/>
          <w:kern w:val="0"/>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rPr>
          <w:cantSplit/>
        </w:trPr>
        <w:tc>
          <w:tcPr>
            <w:tcW w:w="1914" w:type="dxa"/>
            <w:vMerge w:val="restart"/>
            <w:vAlign w:val="center"/>
          </w:tcPr>
          <w:p w:rsidR="00000000" w:rsidRDefault="00000000">
            <w:pPr>
              <w:spacing w:before="60" w:line="240" w:lineRule="exact"/>
              <w:jc w:val="center"/>
              <w:rPr>
                <w:spacing w:val="4"/>
                <w:sz w:val="20"/>
                <w:u w:val="single"/>
              </w:rPr>
            </w:pPr>
          </w:p>
        </w:tc>
        <w:tc>
          <w:tcPr>
            <w:tcW w:w="3828" w:type="dxa"/>
            <w:gridSpan w:val="2"/>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1982</w:t>
            </w:r>
            <w:r>
              <w:rPr>
                <w:rFonts w:hint="eastAsia"/>
                <w:spacing w:val="4"/>
                <w:sz w:val="20"/>
                <w:u w:val="single"/>
              </w:rPr>
              <w:t>年普查</w:t>
            </w:r>
          </w:p>
        </w:tc>
        <w:tc>
          <w:tcPr>
            <w:tcW w:w="3828" w:type="dxa"/>
            <w:gridSpan w:val="2"/>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1990</w:t>
            </w:r>
            <w:r>
              <w:rPr>
                <w:rFonts w:hint="eastAsia"/>
                <w:spacing w:val="4"/>
                <w:sz w:val="20"/>
                <w:u w:val="single"/>
              </w:rPr>
              <w:t>年普查</w:t>
            </w:r>
          </w:p>
        </w:tc>
      </w:tr>
      <w:tr w:rsidR="00000000">
        <w:tblPrEx>
          <w:tblCellMar>
            <w:top w:w="0" w:type="dxa"/>
            <w:bottom w:w="0" w:type="dxa"/>
          </w:tblCellMar>
        </w:tblPrEx>
        <w:trPr>
          <w:cantSplit/>
        </w:trPr>
        <w:tc>
          <w:tcPr>
            <w:tcW w:w="1914" w:type="dxa"/>
            <w:vMerge/>
            <w:tcBorders>
              <w:bottom w:val="single" w:sz="4" w:space="0" w:color="auto"/>
            </w:tcBorders>
            <w:vAlign w:val="center"/>
          </w:tcPr>
          <w:p w:rsidR="00000000" w:rsidRDefault="00000000">
            <w:pPr>
              <w:spacing w:before="60" w:line="240" w:lineRule="exact"/>
              <w:jc w:val="center"/>
              <w:rPr>
                <w:rFonts w:hint="eastAsia"/>
                <w:spacing w:val="4"/>
                <w:sz w:val="20"/>
                <w:u w:val="single"/>
              </w:rPr>
            </w:pPr>
          </w:p>
        </w:tc>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单位</w:t>
            </w:r>
          </w:p>
        </w:tc>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百分比</w:t>
            </w:r>
          </w:p>
        </w:tc>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单位</w:t>
            </w:r>
          </w:p>
        </w:tc>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rPr>
            </w:pPr>
            <w:r>
              <w:rPr>
                <w:rFonts w:hint="eastAsia"/>
                <w:spacing w:val="4"/>
                <w:sz w:val="20"/>
                <w:u w:val="single"/>
              </w:rPr>
              <w:t>百分比</w:t>
            </w:r>
          </w:p>
        </w:tc>
      </w:tr>
      <w:tr w:rsidR="00000000">
        <w:tblPrEx>
          <w:tblCellMar>
            <w:top w:w="0" w:type="dxa"/>
            <w:bottom w:w="0" w:type="dxa"/>
          </w:tblCellMar>
        </w:tblPrEx>
        <w:tc>
          <w:tcPr>
            <w:tcW w:w="1914" w:type="dxa"/>
            <w:tcBorders>
              <w:bottom w:val="nil"/>
            </w:tcBorders>
          </w:tcPr>
          <w:p w:rsidR="00000000" w:rsidRDefault="00000000">
            <w:pPr>
              <w:spacing w:before="60" w:line="240" w:lineRule="exact"/>
              <w:rPr>
                <w:rFonts w:hint="eastAsia"/>
                <w:spacing w:val="4"/>
                <w:sz w:val="20"/>
              </w:rPr>
            </w:pPr>
            <w:r>
              <w:rPr>
                <w:rFonts w:hint="eastAsia"/>
                <w:spacing w:val="4"/>
                <w:sz w:val="20"/>
              </w:rPr>
              <w:t>拥有</w:t>
            </w:r>
          </w:p>
        </w:tc>
        <w:tc>
          <w:tcPr>
            <w:tcW w:w="1914" w:type="dxa"/>
            <w:tcBorders>
              <w:bottom w:val="nil"/>
            </w:tcBorders>
          </w:tcPr>
          <w:p w:rsidR="00000000" w:rsidRDefault="00000000">
            <w:pPr>
              <w:spacing w:before="60" w:line="240" w:lineRule="exact"/>
              <w:ind w:right="123"/>
              <w:jc w:val="right"/>
              <w:rPr>
                <w:spacing w:val="4"/>
                <w:sz w:val="20"/>
              </w:rPr>
            </w:pPr>
            <w:r>
              <w:rPr>
                <w:spacing w:val="4"/>
                <w:sz w:val="20"/>
              </w:rPr>
              <w:t>1,051,707</w:t>
            </w:r>
          </w:p>
        </w:tc>
        <w:tc>
          <w:tcPr>
            <w:tcW w:w="1914" w:type="dxa"/>
            <w:tcBorders>
              <w:bottom w:val="nil"/>
            </w:tcBorders>
          </w:tcPr>
          <w:p w:rsidR="00000000" w:rsidRDefault="00000000">
            <w:pPr>
              <w:spacing w:before="60" w:line="240" w:lineRule="exact"/>
              <w:ind w:right="393"/>
              <w:jc w:val="right"/>
              <w:rPr>
                <w:spacing w:val="4"/>
                <w:sz w:val="20"/>
              </w:rPr>
            </w:pPr>
            <w:r>
              <w:rPr>
                <w:spacing w:val="4"/>
                <w:sz w:val="20"/>
              </w:rPr>
              <w:t>66.7</w:t>
            </w:r>
          </w:p>
        </w:tc>
        <w:tc>
          <w:tcPr>
            <w:tcW w:w="1914" w:type="dxa"/>
            <w:tcBorders>
              <w:bottom w:val="nil"/>
            </w:tcBorders>
          </w:tcPr>
          <w:p w:rsidR="00000000" w:rsidRDefault="00000000">
            <w:pPr>
              <w:spacing w:before="60" w:line="240" w:lineRule="exact"/>
              <w:ind w:right="82"/>
              <w:jc w:val="right"/>
              <w:rPr>
                <w:spacing w:val="4"/>
                <w:sz w:val="20"/>
              </w:rPr>
            </w:pPr>
            <w:r>
              <w:rPr>
                <w:spacing w:val="4"/>
                <w:sz w:val="20"/>
              </w:rPr>
              <w:t>1,367,045</w:t>
            </w:r>
          </w:p>
        </w:tc>
        <w:tc>
          <w:tcPr>
            <w:tcW w:w="1914" w:type="dxa"/>
            <w:tcBorders>
              <w:bottom w:val="nil"/>
            </w:tcBorders>
          </w:tcPr>
          <w:p w:rsidR="00000000" w:rsidRDefault="00000000">
            <w:pPr>
              <w:spacing w:before="60" w:line="240" w:lineRule="exact"/>
              <w:ind w:right="314"/>
              <w:jc w:val="right"/>
              <w:rPr>
                <w:spacing w:val="4"/>
                <w:sz w:val="20"/>
              </w:rPr>
            </w:pPr>
            <w:r>
              <w:rPr>
                <w:spacing w:val="4"/>
                <w:sz w:val="20"/>
              </w:rPr>
              <w:t>68.1</w:t>
            </w:r>
          </w:p>
        </w:tc>
      </w:tr>
      <w:tr w:rsidR="00000000">
        <w:tblPrEx>
          <w:tblCellMar>
            <w:top w:w="0" w:type="dxa"/>
            <w:bottom w:w="0" w:type="dxa"/>
          </w:tblCellMar>
        </w:tblPrEx>
        <w:tc>
          <w:tcPr>
            <w:tcW w:w="1914"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租用</w:t>
            </w:r>
          </w:p>
        </w:tc>
        <w:tc>
          <w:tcPr>
            <w:tcW w:w="1914" w:type="dxa"/>
            <w:tcBorders>
              <w:top w:val="nil"/>
              <w:bottom w:val="nil"/>
            </w:tcBorders>
          </w:tcPr>
          <w:p w:rsidR="00000000" w:rsidRDefault="00000000">
            <w:pPr>
              <w:spacing w:before="60" w:line="240" w:lineRule="exact"/>
              <w:ind w:right="123"/>
              <w:jc w:val="right"/>
              <w:rPr>
                <w:spacing w:val="4"/>
                <w:sz w:val="20"/>
                <w:szCs w:val="23"/>
              </w:rPr>
            </w:pPr>
            <w:r>
              <w:rPr>
                <w:spacing w:val="4"/>
                <w:sz w:val="20"/>
                <w:szCs w:val="23"/>
              </w:rPr>
              <w:t>360,444</w:t>
            </w:r>
          </w:p>
        </w:tc>
        <w:tc>
          <w:tcPr>
            <w:tcW w:w="1914" w:type="dxa"/>
            <w:tcBorders>
              <w:top w:val="nil"/>
              <w:bottom w:val="nil"/>
            </w:tcBorders>
          </w:tcPr>
          <w:p w:rsidR="00000000" w:rsidRDefault="00000000">
            <w:pPr>
              <w:spacing w:before="60" w:line="240" w:lineRule="exact"/>
              <w:ind w:right="393"/>
              <w:jc w:val="right"/>
              <w:rPr>
                <w:spacing w:val="4"/>
                <w:sz w:val="20"/>
                <w:szCs w:val="23"/>
              </w:rPr>
            </w:pPr>
            <w:r>
              <w:rPr>
                <w:spacing w:val="4"/>
                <w:sz w:val="20"/>
                <w:szCs w:val="23"/>
              </w:rPr>
              <w:t>22.9</w:t>
            </w:r>
          </w:p>
        </w:tc>
        <w:tc>
          <w:tcPr>
            <w:tcW w:w="1914" w:type="dxa"/>
            <w:tcBorders>
              <w:top w:val="nil"/>
              <w:bottom w:val="nil"/>
            </w:tcBorders>
          </w:tcPr>
          <w:p w:rsidR="00000000" w:rsidRDefault="00000000">
            <w:pPr>
              <w:spacing w:before="60" w:line="240" w:lineRule="exact"/>
              <w:ind w:right="82"/>
              <w:jc w:val="right"/>
              <w:rPr>
                <w:spacing w:val="4"/>
                <w:sz w:val="20"/>
                <w:szCs w:val="23"/>
              </w:rPr>
            </w:pPr>
            <w:r>
              <w:rPr>
                <w:spacing w:val="4"/>
                <w:sz w:val="20"/>
                <w:szCs w:val="23"/>
              </w:rPr>
              <w:t>454,782</w:t>
            </w:r>
          </w:p>
        </w:tc>
        <w:tc>
          <w:tcPr>
            <w:tcW w:w="1914" w:type="dxa"/>
            <w:tcBorders>
              <w:top w:val="nil"/>
              <w:bottom w:val="nil"/>
            </w:tcBorders>
          </w:tcPr>
          <w:p w:rsidR="00000000" w:rsidRDefault="00000000">
            <w:pPr>
              <w:spacing w:before="60" w:line="240" w:lineRule="exact"/>
              <w:ind w:right="314"/>
              <w:jc w:val="right"/>
              <w:rPr>
                <w:spacing w:val="4"/>
                <w:sz w:val="20"/>
              </w:rPr>
            </w:pPr>
            <w:r>
              <w:rPr>
                <w:spacing w:val="4"/>
                <w:sz w:val="20"/>
                <w:szCs w:val="23"/>
              </w:rPr>
              <w:t>22.6</w:t>
            </w:r>
          </w:p>
        </w:tc>
      </w:tr>
      <w:tr w:rsidR="00000000">
        <w:tblPrEx>
          <w:tblCellMar>
            <w:top w:w="0" w:type="dxa"/>
            <w:bottom w:w="0" w:type="dxa"/>
          </w:tblCellMar>
        </w:tblPrEx>
        <w:tc>
          <w:tcPr>
            <w:tcW w:w="1914"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空闲</w:t>
            </w:r>
          </w:p>
        </w:tc>
        <w:tc>
          <w:tcPr>
            <w:tcW w:w="1914" w:type="dxa"/>
            <w:tcBorders>
              <w:top w:val="nil"/>
              <w:bottom w:val="nil"/>
            </w:tcBorders>
          </w:tcPr>
          <w:p w:rsidR="00000000" w:rsidRDefault="00000000">
            <w:pPr>
              <w:spacing w:before="60" w:line="240" w:lineRule="exact"/>
              <w:ind w:right="123"/>
              <w:jc w:val="right"/>
              <w:rPr>
                <w:spacing w:val="4"/>
                <w:sz w:val="20"/>
              </w:rPr>
            </w:pPr>
            <w:r>
              <w:rPr>
                <w:spacing w:val="4"/>
                <w:sz w:val="20"/>
              </w:rPr>
              <w:t>94,547</w:t>
            </w:r>
          </w:p>
        </w:tc>
        <w:tc>
          <w:tcPr>
            <w:tcW w:w="1914" w:type="dxa"/>
            <w:tcBorders>
              <w:top w:val="nil"/>
              <w:bottom w:val="nil"/>
            </w:tcBorders>
          </w:tcPr>
          <w:p w:rsidR="00000000" w:rsidRDefault="00000000">
            <w:pPr>
              <w:spacing w:before="60" w:line="240" w:lineRule="exact"/>
              <w:ind w:right="393"/>
              <w:jc w:val="right"/>
              <w:rPr>
                <w:spacing w:val="4"/>
                <w:sz w:val="20"/>
              </w:rPr>
            </w:pPr>
            <w:r>
              <w:rPr>
                <w:spacing w:val="4"/>
                <w:sz w:val="20"/>
              </w:rPr>
              <w:t>6.0</w:t>
            </w:r>
          </w:p>
        </w:tc>
        <w:tc>
          <w:tcPr>
            <w:tcW w:w="1914" w:type="dxa"/>
            <w:tcBorders>
              <w:top w:val="nil"/>
              <w:bottom w:val="nil"/>
            </w:tcBorders>
          </w:tcPr>
          <w:p w:rsidR="00000000" w:rsidRDefault="00000000">
            <w:pPr>
              <w:spacing w:before="60" w:line="240" w:lineRule="exact"/>
              <w:ind w:right="82"/>
              <w:jc w:val="right"/>
              <w:rPr>
                <w:spacing w:val="4"/>
                <w:sz w:val="20"/>
              </w:rPr>
            </w:pPr>
            <w:r>
              <w:rPr>
                <w:spacing w:val="4"/>
                <w:sz w:val="20"/>
              </w:rPr>
              <w:t>110,116</w:t>
            </w:r>
          </w:p>
        </w:tc>
        <w:tc>
          <w:tcPr>
            <w:tcW w:w="1914" w:type="dxa"/>
            <w:tcBorders>
              <w:top w:val="nil"/>
              <w:bottom w:val="nil"/>
            </w:tcBorders>
          </w:tcPr>
          <w:p w:rsidR="00000000" w:rsidRDefault="00000000">
            <w:pPr>
              <w:spacing w:before="60" w:line="240" w:lineRule="exact"/>
              <w:ind w:right="314"/>
              <w:jc w:val="right"/>
              <w:rPr>
                <w:spacing w:val="4"/>
                <w:sz w:val="20"/>
              </w:rPr>
            </w:pPr>
            <w:r>
              <w:rPr>
                <w:spacing w:val="4"/>
                <w:sz w:val="20"/>
              </w:rPr>
              <w:t>5.5</w:t>
            </w:r>
          </w:p>
        </w:tc>
      </w:tr>
      <w:tr w:rsidR="00000000">
        <w:tblPrEx>
          <w:tblCellMar>
            <w:top w:w="0" w:type="dxa"/>
            <w:bottom w:w="0" w:type="dxa"/>
          </w:tblCellMar>
        </w:tblPrEx>
        <w:tc>
          <w:tcPr>
            <w:tcW w:w="1914" w:type="dxa"/>
            <w:tcBorders>
              <w:top w:val="nil"/>
              <w:bottom w:val="nil"/>
            </w:tcBorders>
          </w:tcPr>
          <w:p w:rsidR="00000000" w:rsidRDefault="00000000">
            <w:pPr>
              <w:spacing w:before="60" w:line="240" w:lineRule="exact"/>
              <w:rPr>
                <w:rFonts w:hint="eastAsia"/>
                <w:spacing w:val="4"/>
                <w:sz w:val="20"/>
              </w:rPr>
            </w:pPr>
            <w:r>
              <w:rPr>
                <w:rFonts w:hint="eastAsia"/>
                <w:spacing w:val="4"/>
                <w:sz w:val="20"/>
              </w:rPr>
              <w:t>服务用</w:t>
            </w:r>
          </w:p>
        </w:tc>
        <w:tc>
          <w:tcPr>
            <w:tcW w:w="1914" w:type="dxa"/>
            <w:tcBorders>
              <w:top w:val="nil"/>
              <w:bottom w:val="nil"/>
            </w:tcBorders>
          </w:tcPr>
          <w:p w:rsidR="00000000" w:rsidRDefault="00000000">
            <w:pPr>
              <w:spacing w:before="60" w:line="240" w:lineRule="exact"/>
              <w:ind w:right="123"/>
              <w:jc w:val="right"/>
              <w:rPr>
                <w:spacing w:val="4"/>
                <w:sz w:val="20"/>
                <w:szCs w:val="23"/>
              </w:rPr>
            </w:pPr>
            <w:r>
              <w:rPr>
                <w:spacing w:val="4"/>
                <w:sz w:val="20"/>
                <w:szCs w:val="23"/>
              </w:rPr>
              <w:t>58,988</w:t>
            </w:r>
          </w:p>
        </w:tc>
        <w:tc>
          <w:tcPr>
            <w:tcW w:w="1914" w:type="dxa"/>
            <w:tcBorders>
              <w:top w:val="nil"/>
              <w:bottom w:val="nil"/>
            </w:tcBorders>
          </w:tcPr>
          <w:p w:rsidR="00000000" w:rsidRDefault="00000000">
            <w:pPr>
              <w:spacing w:before="60" w:line="240" w:lineRule="exact"/>
              <w:ind w:right="393"/>
              <w:jc w:val="right"/>
              <w:rPr>
                <w:spacing w:val="4"/>
                <w:sz w:val="20"/>
                <w:szCs w:val="23"/>
              </w:rPr>
            </w:pPr>
            <w:r>
              <w:rPr>
                <w:spacing w:val="4"/>
                <w:sz w:val="20"/>
                <w:szCs w:val="23"/>
              </w:rPr>
              <w:t>3.7</w:t>
            </w:r>
          </w:p>
        </w:tc>
        <w:tc>
          <w:tcPr>
            <w:tcW w:w="1914" w:type="dxa"/>
            <w:tcBorders>
              <w:top w:val="nil"/>
              <w:bottom w:val="nil"/>
            </w:tcBorders>
          </w:tcPr>
          <w:p w:rsidR="00000000" w:rsidRDefault="00000000">
            <w:pPr>
              <w:spacing w:before="60" w:line="240" w:lineRule="exact"/>
              <w:ind w:right="82"/>
              <w:jc w:val="right"/>
              <w:rPr>
                <w:spacing w:val="4"/>
                <w:sz w:val="20"/>
                <w:szCs w:val="23"/>
              </w:rPr>
            </w:pPr>
            <w:r>
              <w:rPr>
                <w:spacing w:val="4"/>
                <w:sz w:val="20"/>
                <w:szCs w:val="23"/>
              </w:rPr>
              <w:t>66,306</w:t>
            </w:r>
          </w:p>
        </w:tc>
        <w:tc>
          <w:tcPr>
            <w:tcW w:w="1914" w:type="dxa"/>
            <w:tcBorders>
              <w:top w:val="nil"/>
              <w:bottom w:val="nil"/>
            </w:tcBorders>
          </w:tcPr>
          <w:p w:rsidR="00000000" w:rsidRDefault="00000000">
            <w:pPr>
              <w:spacing w:before="60" w:line="240" w:lineRule="exact"/>
              <w:ind w:right="314"/>
              <w:jc w:val="right"/>
              <w:rPr>
                <w:spacing w:val="4"/>
                <w:sz w:val="20"/>
              </w:rPr>
            </w:pPr>
            <w:r>
              <w:rPr>
                <w:spacing w:val="4"/>
                <w:sz w:val="20"/>
                <w:szCs w:val="23"/>
              </w:rPr>
              <w:t>3.3</w:t>
            </w:r>
          </w:p>
        </w:tc>
      </w:tr>
      <w:tr w:rsidR="00000000">
        <w:tblPrEx>
          <w:tblCellMar>
            <w:top w:w="0" w:type="dxa"/>
            <w:bottom w:w="0" w:type="dxa"/>
          </w:tblCellMar>
        </w:tblPrEx>
        <w:tc>
          <w:tcPr>
            <w:tcW w:w="1914" w:type="dxa"/>
            <w:tcBorders>
              <w:top w:val="nil"/>
            </w:tcBorders>
          </w:tcPr>
          <w:p w:rsidR="00000000" w:rsidRDefault="00000000">
            <w:pPr>
              <w:spacing w:before="60" w:line="240" w:lineRule="exact"/>
              <w:rPr>
                <w:rFonts w:hint="eastAsia"/>
                <w:spacing w:val="4"/>
                <w:sz w:val="20"/>
              </w:rPr>
            </w:pPr>
            <w:r>
              <w:rPr>
                <w:rFonts w:hint="eastAsia"/>
                <w:spacing w:val="4"/>
                <w:sz w:val="20"/>
              </w:rPr>
              <w:t>其他</w:t>
            </w:r>
          </w:p>
        </w:tc>
        <w:tc>
          <w:tcPr>
            <w:tcW w:w="1914" w:type="dxa"/>
            <w:tcBorders>
              <w:top w:val="nil"/>
            </w:tcBorders>
          </w:tcPr>
          <w:p w:rsidR="00000000" w:rsidRDefault="00000000">
            <w:pPr>
              <w:spacing w:before="60" w:line="240" w:lineRule="exact"/>
              <w:ind w:right="123"/>
              <w:jc w:val="right"/>
              <w:rPr>
                <w:spacing w:val="4"/>
                <w:sz w:val="20"/>
              </w:rPr>
            </w:pPr>
            <w:r>
              <w:rPr>
                <w:spacing w:val="4"/>
                <w:sz w:val="20"/>
              </w:rPr>
              <w:t>10,755</w:t>
            </w:r>
          </w:p>
        </w:tc>
        <w:tc>
          <w:tcPr>
            <w:tcW w:w="1914" w:type="dxa"/>
            <w:tcBorders>
              <w:top w:val="nil"/>
            </w:tcBorders>
          </w:tcPr>
          <w:p w:rsidR="00000000" w:rsidRDefault="00000000">
            <w:pPr>
              <w:spacing w:before="60" w:line="240" w:lineRule="exact"/>
              <w:ind w:right="393"/>
              <w:jc w:val="right"/>
              <w:rPr>
                <w:spacing w:val="4"/>
                <w:sz w:val="20"/>
              </w:rPr>
            </w:pPr>
            <w:r>
              <w:rPr>
                <w:spacing w:val="4"/>
                <w:sz w:val="20"/>
              </w:rPr>
              <w:t>0.7</w:t>
            </w:r>
          </w:p>
        </w:tc>
        <w:tc>
          <w:tcPr>
            <w:tcW w:w="1914" w:type="dxa"/>
            <w:tcBorders>
              <w:top w:val="nil"/>
            </w:tcBorders>
          </w:tcPr>
          <w:p w:rsidR="00000000" w:rsidRDefault="00000000">
            <w:pPr>
              <w:spacing w:before="60" w:line="240" w:lineRule="exact"/>
              <w:ind w:right="82"/>
              <w:jc w:val="right"/>
              <w:rPr>
                <w:spacing w:val="4"/>
                <w:sz w:val="20"/>
              </w:rPr>
            </w:pPr>
            <w:r>
              <w:rPr>
                <w:spacing w:val="4"/>
                <w:sz w:val="20"/>
              </w:rPr>
              <w:t>10,406</w:t>
            </w:r>
          </w:p>
        </w:tc>
        <w:tc>
          <w:tcPr>
            <w:tcW w:w="1914" w:type="dxa"/>
            <w:tcBorders>
              <w:top w:val="nil"/>
            </w:tcBorders>
          </w:tcPr>
          <w:p w:rsidR="00000000" w:rsidRDefault="00000000">
            <w:pPr>
              <w:spacing w:before="60" w:line="240" w:lineRule="exact"/>
              <w:ind w:right="314"/>
              <w:jc w:val="right"/>
              <w:rPr>
                <w:spacing w:val="4"/>
                <w:sz w:val="20"/>
              </w:rPr>
            </w:pPr>
            <w:r>
              <w:rPr>
                <w:spacing w:val="4"/>
                <w:sz w:val="20"/>
              </w:rPr>
              <w:t>0.5</w:t>
            </w:r>
          </w:p>
        </w:tc>
      </w:tr>
      <w:tr w:rsidR="00000000">
        <w:tblPrEx>
          <w:tblCellMar>
            <w:top w:w="0" w:type="dxa"/>
            <w:bottom w:w="0" w:type="dxa"/>
          </w:tblCellMar>
        </w:tblPrEx>
        <w:tc>
          <w:tcPr>
            <w:tcW w:w="1914" w:type="dxa"/>
          </w:tcPr>
          <w:p w:rsidR="00000000" w:rsidRDefault="00000000">
            <w:pPr>
              <w:spacing w:before="60" w:line="240" w:lineRule="exact"/>
              <w:rPr>
                <w:rFonts w:hint="eastAsia"/>
                <w:spacing w:val="4"/>
                <w:sz w:val="20"/>
              </w:rPr>
            </w:pPr>
            <w:r>
              <w:rPr>
                <w:rFonts w:hint="eastAsia"/>
                <w:spacing w:val="4"/>
                <w:sz w:val="20"/>
              </w:rPr>
              <w:t>总计</w:t>
            </w:r>
          </w:p>
        </w:tc>
        <w:tc>
          <w:tcPr>
            <w:tcW w:w="1914" w:type="dxa"/>
          </w:tcPr>
          <w:p w:rsidR="00000000" w:rsidRDefault="00000000">
            <w:pPr>
              <w:spacing w:before="60" w:line="240" w:lineRule="exact"/>
              <w:ind w:right="123"/>
              <w:jc w:val="right"/>
              <w:rPr>
                <w:spacing w:val="4"/>
                <w:sz w:val="20"/>
              </w:rPr>
            </w:pPr>
            <w:r>
              <w:rPr>
                <w:spacing w:val="4"/>
                <w:sz w:val="20"/>
              </w:rPr>
              <w:t>1,576,441</w:t>
            </w:r>
          </w:p>
        </w:tc>
        <w:tc>
          <w:tcPr>
            <w:tcW w:w="1914" w:type="dxa"/>
          </w:tcPr>
          <w:p w:rsidR="00000000" w:rsidRDefault="00000000">
            <w:pPr>
              <w:spacing w:before="60" w:line="240" w:lineRule="exact"/>
              <w:ind w:right="393"/>
              <w:jc w:val="right"/>
              <w:rPr>
                <w:spacing w:val="4"/>
                <w:sz w:val="20"/>
              </w:rPr>
            </w:pPr>
            <w:r>
              <w:rPr>
                <w:spacing w:val="4"/>
                <w:sz w:val="20"/>
              </w:rPr>
              <w:t>100.0</w:t>
            </w:r>
          </w:p>
        </w:tc>
        <w:tc>
          <w:tcPr>
            <w:tcW w:w="1914" w:type="dxa"/>
          </w:tcPr>
          <w:p w:rsidR="00000000" w:rsidRDefault="00000000">
            <w:pPr>
              <w:spacing w:before="60" w:line="240" w:lineRule="exact"/>
              <w:ind w:right="82"/>
              <w:jc w:val="right"/>
              <w:rPr>
                <w:spacing w:val="4"/>
                <w:sz w:val="20"/>
              </w:rPr>
            </w:pPr>
            <w:r>
              <w:rPr>
                <w:spacing w:val="4"/>
                <w:sz w:val="20"/>
              </w:rPr>
              <w:t>2,008,655</w:t>
            </w:r>
          </w:p>
        </w:tc>
        <w:tc>
          <w:tcPr>
            <w:tcW w:w="1914" w:type="dxa"/>
          </w:tcPr>
          <w:p w:rsidR="00000000" w:rsidRDefault="00000000">
            <w:pPr>
              <w:spacing w:before="60" w:line="240" w:lineRule="exact"/>
              <w:ind w:right="314"/>
              <w:jc w:val="right"/>
              <w:rPr>
                <w:spacing w:val="4"/>
                <w:sz w:val="20"/>
              </w:rPr>
            </w:pPr>
            <w:r>
              <w:rPr>
                <w:spacing w:val="4"/>
                <w:sz w:val="20"/>
              </w:rPr>
              <w:t>100.0</w:t>
            </w:r>
          </w:p>
        </w:tc>
      </w:tr>
    </w:tbl>
    <w:p w:rsidR="00000000" w:rsidRDefault="00000000">
      <w:pPr>
        <w:pStyle w:val="FootnoteText"/>
        <w:spacing w:before="300" w:after="240"/>
        <w:rPr>
          <w:rFonts w:hint="eastAsia"/>
          <w:snapToGrid/>
          <w:spacing w:val="0"/>
          <w:sz w:val="22"/>
        </w:rPr>
      </w:pPr>
      <w:r>
        <w:rPr>
          <w:rFonts w:hint="eastAsia"/>
          <w:snapToGrid/>
          <w:spacing w:val="0"/>
          <w:sz w:val="22"/>
          <w:u w:val="single"/>
        </w:rPr>
        <w:t>资源来源</w:t>
      </w:r>
      <w:r>
        <w:rPr>
          <w:rFonts w:hint="eastAsia"/>
          <w:snapToGrid/>
          <w:spacing w:val="0"/>
          <w:sz w:val="22"/>
        </w:rPr>
        <w:t>：住房与城市发展部国家统计局与人口普查研究所</w:t>
      </w:r>
      <w:r>
        <w:rPr>
          <w:rFonts w:hint="eastAsia"/>
          <w:snapToGrid/>
          <w:spacing w:val="0"/>
          <w:sz w:val="22"/>
        </w:rPr>
        <w:t>(</w:t>
      </w:r>
      <w:r>
        <w:rPr>
          <w:rFonts w:hint="eastAsia"/>
          <w:snapToGrid/>
          <w:spacing w:val="0"/>
          <w:sz w:val="22"/>
        </w:rPr>
        <w:t>统计普查所</w:t>
      </w:r>
      <w:r>
        <w:rPr>
          <w:rFonts w:hint="eastAsia"/>
          <w:snapToGrid/>
          <w:spacing w:val="0"/>
          <w:sz w:val="22"/>
        </w:rPr>
        <w:t>)</w:t>
      </w:r>
      <w:r>
        <w:rPr>
          <w:rFonts w:hint="eastAsia"/>
          <w:snapToGrid/>
          <w:spacing w:val="0"/>
          <w:sz w:val="22"/>
        </w:rPr>
        <w:t>。</w:t>
      </w:r>
    </w:p>
    <w:p w:rsidR="00000000" w:rsidRDefault="00000000">
      <w:pPr>
        <w:pStyle w:val="Heading4"/>
        <w:spacing w:after="80"/>
        <w:rPr>
          <w:rFonts w:eastAsia="KaiTi_GB2312" w:hint="eastAsia"/>
          <w:snapToGrid/>
          <w:spacing w:val="0"/>
          <w:u w:val="none"/>
        </w:rPr>
      </w:pPr>
      <w:r>
        <w:rPr>
          <w:rFonts w:eastAsia="KaiTi_GB2312" w:hint="eastAsia"/>
          <w:snapToGrid/>
          <w:spacing w:val="0"/>
          <w:u w:val="none"/>
        </w:rPr>
        <w:t>住房权的保证</w:t>
      </w:r>
    </w:p>
    <w:p w:rsidR="00000000" w:rsidRDefault="00000000">
      <w:pPr>
        <w:rPr>
          <w:rFonts w:hint="eastAsia"/>
        </w:rPr>
      </w:pPr>
      <w:r>
        <w:rPr>
          <w:rFonts w:hint="eastAsia"/>
        </w:rPr>
        <w:tab/>
        <w:t xml:space="preserve">361.  </w:t>
      </w:r>
      <w:r>
        <w:rPr>
          <w:rFonts w:hint="eastAsia"/>
        </w:rPr>
        <w:t>《宪法》第三篇第二章</w:t>
      </w:r>
      <w:r>
        <w:rPr>
          <w:rFonts w:hint="eastAsia"/>
        </w:rPr>
        <w:t>(</w:t>
      </w:r>
      <w:r>
        <w:rPr>
          <w:rFonts w:hint="eastAsia"/>
        </w:rPr>
        <w:t>公民权利</w:t>
      </w:r>
      <w:r>
        <w:rPr>
          <w:rFonts w:hint="eastAsia"/>
        </w:rPr>
        <w:t>)</w:t>
      </w:r>
      <w:r>
        <w:rPr>
          <w:rFonts w:hint="eastAsia"/>
        </w:rPr>
        <w:t>第二十三条第</w:t>
      </w:r>
      <w:r>
        <w:rPr>
          <w:rFonts w:hint="eastAsia"/>
        </w:rPr>
        <w:t>20</w:t>
      </w:r>
      <w:r>
        <w:rPr>
          <w:rFonts w:hint="eastAsia"/>
        </w:rPr>
        <w:t>款规定，国家承认和保证“获得高质量生活的权利，确保健康、粮食和营养、饮用水、环卫、教育、工作、就业、休闲、住房、医务及其他必要的社会服务。”《宪法》第四章</w:t>
      </w:r>
      <w:r>
        <w:rPr>
          <w:rFonts w:hint="eastAsia"/>
        </w:rPr>
        <w:t>(</w:t>
      </w:r>
      <w:r>
        <w:rPr>
          <w:rFonts w:hint="eastAsia"/>
        </w:rPr>
        <w:t>经济、社会和文化权利</w:t>
      </w:r>
      <w:r>
        <w:rPr>
          <w:rFonts w:hint="eastAsia"/>
        </w:rPr>
        <w:t>)</w:t>
      </w:r>
      <w:r>
        <w:rPr>
          <w:rFonts w:hint="eastAsia"/>
        </w:rPr>
        <w:t>中包括第</w:t>
      </w:r>
      <w:r>
        <w:rPr>
          <w:rFonts w:hint="eastAsia"/>
        </w:rPr>
        <w:t>32</w:t>
      </w:r>
      <w:r>
        <w:rPr>
          <w:rFonts w:hint="eastAsia"/>
        </w:rPr>
        <w:t>条，内容如下：“为了实现住房权和保护环境，市政当局可依法征用、保留和监管土地，以便未来开发。国家提倡社会住房方案。”</w:t>
      </w:r>
    </w:p>
    <w:p w:rsidR="00000000" w:rsidRDefault="00000000">
      <w:pPr>
        <w:rPr>
          <w:rFonts w:hint="eastAsia"/>
        </w:rPr>
      </w:pPr>
      <w:r>
        <w:rPr>
          <w:rFonts w:hint="eastAsia"/>
        </w:rPr>
        <w:tab/>
        <w:t xml:space="preserve">362.  </w:t>
      </w:r>
      <w:r>
        <w:rPr>
          <w:rFonts w:hint="eastAsia"/>
        </w:rPr>
        <w:t>从</w:t>
      </w:r>
      <w:r>
        <w:rPr>
          <w:rFonts w:hint="eastAsia"/>
        </w:rPr>
        <w:t>1990</w:t>
      </w:r>
      <w:r>
        <w:rPr>
          <w:rFonts w:hint="eastAsia"/>
        </w:rPr>
        <w:t>年至编写本文件之时，通过了关于住房制度的以下法案和条例：</w:t>
      </w:r>
      <w:r>
        <w:rPr>
          <w:rFonts w:hint="eastAsia"/>
        </w:rPr>
        <w:t>1993</w:t>
      </w:r>
      <w:r>
        <w:rPr>
          <w:rFonts w:hint="eastAsia"/>
        </w:rPr>
        <w:t>年</w:t>
      </w:r>
      <w:r>
        <w:rPr>
          <w:rFonts w:hint="eastAsia"/>
        </w:rPr>
        <w:t>10</w:t>
      </w:r>
      <w:r>
        <w:rPr>
          <w:rFonts w:hint="eastAsia"/>
        </w:rPr>
        <w:t>月</w:t>
      </w:r>
      <w:r>
        <w:rPr>
          <w:rFonts w:hint="eastAsia"/>
        </w:rPr>
        <w:t>4</w:t>
      </w:r>
      <w:r>
        <w:rPr>
          <w:rFonts w:hint="eastAsia"/>
        </w:rPr>
        <w:t>日第</w:t>
      </w:r>
      <w:r>
        <w:rPr>
          <w:rFonts w:hint="eastAsia"/>
        </w:rPr>
        <w:t>298</w:t>
      </w:r>
      <w:r>
        <w:rPr>
          <w:rFonts w:hint="eastAsia"/>
        </w:rPr>
        <w:t>号《官方公报》上公布的第</w:t>
      </w:r>
      <w:r>
        <w:rPr>
          <w:rFonts w:hint="eastAsia"/>
        </w:rPr>
        <w:t>2</w:t>
      </w:r>
      <w:r>
        <w:rPr>
          <w:rFonts w:hint="eastAsia"/>
        </w:rPr>
        <w:t>号法案，《社会项目合同法》；</w:t>
      </w:r>
      <w:r>
        <w:rPr>
          <w:rFonts w:hint="eastAsia"/>
        </w:rPr>
        <w:t>1997</w:t>
      </w:r>
      <w:r>
        <w:rPr>
          <w:rFonts w:hint="eastAsia"/>
        </w:rPr>
        <w:t>年</w:t>
      </w:r>
      <w:r>
        <w:rPr>
          <w:rFonts w:hint="eastAsia"/>
        </w:rPr>
        <w:t>1</w:t>
      </w:r>
      <w:r>
        <w:rPr>
          <w:rFonts w:hint="eastAsia"/>
        </w:rPr>
        <w:t>月</w:t>
      </w:r>
      <w:r>
        <w:rPr>
          <w:rFonts w:hint="eastAsia"/>
        </w:rPr>
        <w:t>31</w:t>
      </w:r>
      <w:r>
        <w:rPr>
          <w:rFonts w:hint="eastAsia"/>
        </w:rPr>
        <w:t>日增编的第</w:t>
      </w:r>
      <w:r>
        <w:rPr>
          <w:rFonts w:hint="eastAsia"/>
        </w:rPr>
        <w:t>12</w:t>
      </w:r>
      <w:r>
        <w:rPr>
          <w:rFonts w:hint="eastAsia"/>
        </w:rPr>
        <w:t>号《官方公报》和</w:t>
      </w:r>
      <w:r>
        <w:rPr>
          <w:rFonts w:hint="eastAsia"/>
        </w:rPr>
        <w:t>1998</w:t>
      </w:r>
      <w:r>
        <w:rPr>
          <w:rFonts w:hint="eastAsia"/>
        </w:rPr>
        <w:t>年</w:t>
      </w:r>
      <w:r>
        <w:rPr>
          <w:rFonts w:hint="eastAsia"/>
        </w:rPr>
        <w:t>11</w:t>
      </w:r>
      <w:r>
        <w:rPr>
          <w:rFonts w:hint="eastAsia"/>
        </w:rPr>
        <w:t>月</w:t>
      </w:r>
      <w:r>
        <w:rPr>
          <w:rFonts w:hint="eastAsia"/>
        </w:rPr>
        <w:t>23</w:t>
      </w:r>
      <w:r>
        <w:rPr>
          <w:rFonts w:hint="eastAsia"/>
        </w:rPr>
        <w:t>日第</w:t>
      </w:r>
      <w:r>
        <w:rPr>
          <w:rFonts w:hint="eastAsia"/>
        </w:rPr>
        <w:t>72</w:t>
      </w:r>
      <w:r>
        <w:rPr>
          <w:rFonts w:hint="eastAsia"/>
        </w:rPr>
        <w:t>号《官方公报》上公布的《社会项目合同条例》；</w:t>
      </w:r>
      <w:r>
        <w:rPr>
          <w:rFonts w:hint="eastAsia"/>
        </w:rPr>
        <w:t>1997</w:t>
      </w:r>
      <w:r>
        <w:rPr>
          <w:rFonts w:hint="eastAsia"/>
        </w:rPr>
        <w:t>年</w:t>
      </w:r>
      <w:r>
        <w:rPr>
          <w:rFonts w:hint="eastAsia"/>
        </w:rPr>
        <w:t>7</w:t>
      </w:r>
      <w:r>
        <w:rPr>
          <w:rFonts w:hint="eastAsia"/>
        </w:rPr>
        <w:t>月</w:t>
      </w:r>
      <w:r>
        <w:rPr>
          <w:rFonts w:hint="eastAsia"/>
        </w:rPr>
        <w:t>15</w:t>
      </w:r>
      <w:r>
        <w:rPr>
          <w:rFonts w:hint="eastAsia"/>
        </w:rPr>
        <w:t>日第</w:t>
      </w:r>
      <w:r>
        <w:rPr>
          <w:rFonts w:hint="eastAsia"/>
        </w:rPr>
        <w:t>108</w:t>
      </w:r>
      <w:r>
        <w:rPr>
          <w:rFonts w:hint="eastAsia"/>
        </w:rPr>
        <w:t>号《官方公报》上公布的《社会项目合同内部条例》；</w:t>
      </w:r>
      <w:r>
        <w:rPr>
          <w:rFonts w:hint="eastAsia"/>
        </w:rPr>
        <w:t>1998</w:t>
      </w:r>
      <w:r>
        <w:rPr>
          <w:rFonts w:hint="eastAsia"/>
        </w:rPr>
        <w:t>年</w:t>
      </w:r>
      <w:r>
        <w:rPr>
          <w:rFonts w:hint="eastAsia"/>
        </w:rPr>
        <w:t>3</w:t>
      </w:r>
      <w:r>
        <w:rPr>
          <w:rFonts w:hint="eastAsia"/>
        </w:rPr>
        <w:t>月</w:t>
      </w:r>
      <w:r>
        <w:rPr>
          <w:rFonts w:hint="eastAsia"/>
        </w:rPr>
        <w:t>31</w:t>
      </w:r>
      <w:r>
        <w:rPr>
          <w:rFonts w:hint="eastAsia"/>
        </w:rPr>
        <w:t>日增编第</w:t>
      </w:r>
      <w:r>
        <w:rPr>
          <w:rFonts w:hint="eastAsia"/>
        </w:rPr>
        <w:t>287</w:t>
      </w:r>
      <w:r>
        <w:rPr>
          <w:rFonts w:hint="eastAsia"/>
        </w:rPr>
        <w:t>号《官方公报》上公布的《关于建立住房奖励制度的第</w:t>
      </w:r>
      <w:r>
        <w:rPr>
          <w:rFonts w:hint="eastAsia"/>
        </w:rPr>
        <w:t>1269</w:t>
      </w:r>
      <w:r>
        <w:rPr>
          <w:rFonts w:hint="eastAsia"/>
        </w:rPr>
        <w:t>号行政法令》；</w:t>
      </w:r>
      <w:r>
        <w:rPr>
          <w:rFonts w:hint="eastAsia"/>
        </w:rPr>
        <w:t>1998</w:t>
      </w:r>
      <w:r>
        <w:rPr>
          <w:rFonts w:hint="eastAsia"/>
        </w:rPr>
        <w:t>年</w:t>
      </w:r>
      <w:r>
        <w:rPr>
          <w:rFonts w:hint="eastAsia"/>
        </w:rPr>
        <w:t>7</w:t>
      </w:r>
      <w:r>
        <w:rPr>
          <w:rFonts w:hint="eastAsia"/>
        </w:rPr>
        <w:t>月</w:t>
      </w:r>
      <w:r>
        <w:rPr>
          <w:rFonts w:hint="eastAsia"/>
        </w:rPr>
        <w:t>2</w:t>
      </w:r>
      <w:r>
        <w:rPr>
          <w:rFonts w:hint="eastAsia"/>
        </w:rPr>
        <w:t>日增编第</w:t>
      </w:r>
      <w:r>
        <w:rPr>
          <w:rFonts w:hint="eastAsia"/>
        </w:rPr>
        <w:t>352</w:t>
      </w:r>
      <w:r>
        <w:rPr>
          <w:rFonts w:hint="eastAsia"/>
        </w:rPr>
        <w:t>号《官方公报》上公布的《改革法令》；</w:t>
      </w:r>
      <w:r>
        <w:rPr>
          <w:rFonts w:hint="eastAsia"/>
        </w:rPr>
        <w:t>1999</w:t>
      </w:r>
      <w:r>
        <w:rPr>
          <w:rFonts w:hint="eastAsia"/>
        </w:rPr>
        <w:t>年</w:t>
      </w:r>
      <w:r>
        <w:rPr>
          <w:rFonts w:hint="eastAsia"/>
        </w:rPr>
        <w:t>7</w:t>
      </w:r>
      <w:r>
        <w:rPr>
          <w:rFonts w:hint="eastAsia"/>
        </w:rPr>
        <w:t>月</w:t>
      </w:r>
      <w:r>
        <w:rPr>
          <w:rFonts w:hint="eastAsia"/>
        </w:rPr>
        <w:t>8</w:t>
      </w:r>
      <w:r>
        <w:rPr>
          <w:rFonts w:hint="eastAsia"/>
        </w:rPr>
        <w:t>日第</w:t>
      </w:r>
      <w:r>
        <w:rPr>
          <w:rFonts w:hint="eastAsia"/>
        </w:rPr>
        <w:t>229</w:t>
      </w:r>
      <w:r>
        <w:rPr>
          <w:rFonts w:hint="eastAsia"/>
        </w:rPr>
        <w:t>号《官方公报》上公布的取代《新城市住房奖励制度条例》的条例；</w:t>
      </w:r>
      <w:r>
        <w:rPr>
          <w:rFonts w:hint="eastAsia"/>
        </w:rPr>
        <w:t>1999</w:t>
      </w:r>
      <w:r>
        <w:rPr>
          <w:rFonts w:hint="eastAsia"/>
        </w:rPr>
        <w:t>年</w:t>
      </w:r>
      <w:r>
        <w:rPr>
          <w:rFonts w:hint="eastAsia"/>
        </w:rPr>
        <w:t>7</w:t>
      </w:r>
      <w:r>
        <w:rPr>
          <w:rFonts w:hint="eastAsia"/>
        </w:rPr>
        <w:t>月</w:t>
      </w:r>
      <w:r>
        <w:rPr>
          <w:rFonts w:hint="eastAsia"/>
        </w:rPr>
        <w:t>8</w:t>
      </w:r>
      <w:r>
        <w:rPr>
          <w:rFonts w:hint="eastAsia"/>
        </w:rPr>
        <w:t>日第</w:t>
      </w:r>
      <w:r>
        <w:rPr>
          <w:rFonts w:hint="eastAsia"/>
        </w:rPr>
        <w:t>229</w:t>
      </w:r>
      <w:r>
        <w:rPr>
          <w:rFonts w:hint="eastAsia"/>
        </w:rPr>
        <w:t>号《官方公报》公布的取代《城市住房翻新奖励制度条例》的条例；</w:t>
      </w:r>
      <w:r>
        <w:rPr>
          <w:rFonts w:hint="eastAsia"/>
        </w:rPr>
        <w:t>1999</w:t>
      </w:r>
      <w:r>
        <w:rPr>
          <w:rFonts w:hint="eastAsia"/>
        </w:rPr>
        <w:t>年</w:t>
      </w:r>
      <w:r>
        <w:rPr>
          <w:rFonts w:hint="eastAsia"/>
        </w:rPr>
        <w:t>7</w:t>
      </w:r>
      <w:r>
        <w:rPr>
          <w:rFonts w:hint="eastAsia"/>
        </w:rPr>
        <w:t>月</w:t>
      </w:r>
      <w:r>
        <w:rPr>
          <w:rFonts w:hint="eastAsia"/>
        </w:rPr>
        <w:t>8</w:t>
      </w:r>
      <w:r>
        <w:rPr>
          <w:rFonts w:hint="eastAsia"/>
        </w:rPr>
        <w:t>日第</w:t>
      </w:r>
      <w:r>
        <w:rPr>
          <w:rFonts w:hint="eastAsia"/>
        </w:rPr>
        <w:t>229</w:t>
      </w:r>
      <w:r>
        <w:rPr>
          <w:rFonts w:hint="eastAsia"/>
        </w:rPr>
        <w:t>号《官方公报》上公布的《历史中心住房奖励制度条例》；以及</w:t>
      </w:r>
      <w:r>
        <w:rPr>
          <w:rFonts w:hint="eastAsia"/>
        </w:rPr>
        <w:t>1999</w:t>
      </w:r>
      <w:r>
        <w:rPr>
          <w:rFonts w:hint="eastAsia"/>
        </w:rPr>
        <w:t>年</w:t>
      </w:r>
      <w:r>
        <w:rPr>
          <w:rFonts w:hint="eastAsia"/>
        </w:rPr>
        <w:t>7</w:t>
      </w:r>
      <w:r>
        <w:rPr>
          <w:rFonts w:hint="eastAsia"/>
        </w:rPr>
        <w:t>月</w:t>
      </w:r>
      <w:r>
        <w:rPr>
          <w:rFonts w:hint="eastAsia"/>
        </w:rPr>
        <w:t>16</w:t>
      </w:r>
      <w:r>
        <w:rPr>
          <w:rFonts w:hint="eastAsia"/>
        </w:rPr>
        <w:t>日第</w:t>
      </w:r>
      <w:r>
        <w:rPr>
          <w:rFonts w:hint="eastAsia"/>
        </w:rPr>
        <w:t>235</w:t>
      </w:r>
      <w:r>
        <w:rPr>
          <w:rFonts w:hint="eastAsia"/>
        </w:rPr>
        <w:t>号《官方公报》上公布的《第</w:t>
      </w:r>
      <w:r>
        <w:rPr>
          <w:rFonts w:hint="eastAsia"/>
        </w:rPr>
        <w:t>0030</w:t>
      </w:r>
      <w:r>
        <w:rPr>
          <w:rFonts w:hint="eastAsia"/>
        </w:rPr>
        <w:t>号关于补偿性票据的部级协议》。</w:t>
      </w:r>
    </w:p>
    <w:p w:rsidR="00000000" w:rsidRDefault="00000000">
      <w:pPr>
        <w:rPr>
          <w:rFonts w:hint="eastAsia"/>
        </w:rPr>
      </w:pPr>
      <w:r>
        <w:rPr>
          <w:rFonts w:hint="eastAsia"/>
        </w:rPr>
        <w:tab/>
        <w:t xml:space="preserve">363.  </w:t>
      </w:r>
      <w:r>
        <w:rPr>
          <w:rFonts w:hint="eastAsia"/>
        </w:rPr>
        <w:t>此外，除关于让私营金融系统和私营建筑公司的参与的国际信贷协议和住房部标准以外，各市均可在各自管辖范围内颁布建筑、社会住房方案、渐进开发住房、土地分割和区划及建筑标准方面的法令。当然，所有这些标准都必须符合厄瓜多尔政府目前可适用的规定以及政策和方针。</w:t>
      </w:r>
    </w:p>
    <w:p w:rsidR="00000000" w:rsidRDefault="00000000">
      <w:pPr>
        <w:rPr>
          <w:rFonts w:hint="eastAsia"/>
        </w:rPr>
      </w:pPr>
      <w:r>
        <w:rPr>
          <w:rFonts w:hint="eastAsia"/>
        </w:rPr>
        <w:tab/>
        <w:t>364.  1999</w:t>
      </w:r>
      <w:r>
        <w:rPr>
          <w:rFonts w:hint="eastAsia"/>
        </w:rPr>
        <w:t>年</w:t>
      </w:r>
      <w:r>
        <w:rPr>
          <w:rFonts w:hint="eastAsia"/>
        </w:rPr>
        <w:t>7</w:t>
      </w:r>
      <w:r>
        <w:rPr>
          <w:rFonts w:hint="eastAsia"/>
        </w:rPr>
        <w:t>月</w:t>
      </w:r>
      <w:r>
        <w:rPr>
          <w:rFonts w:hint="eastAsia"/>
        </w:rPr>
        <w:t>8</w:t>
      </w:r>
      <w:r>
        <w:rPr>
          <w:rFonts w:hint="eastAsia"/>
        </w:rPr>
        <w:t>日第</w:t>
      </w:r>
      <w:r>
        <w:rPr>
          <w:rFonts w:hint="eastAsia"/>
        </w:rPr>
        <w:t>229</w:t>
      </w:r>
      <w:r>
        <w:rPr>
          <w:rFonts w:hint="eastAsia"/>
        </w:rPr>
        <w:t>号《官方公报》上公布的取代《新城市住房和城市住房翻新奖励制度》的条例第</w:t>
      </w:r>
      <w:r>
        <w:rPr>
          <w:rFonts w:hint="eastAsia"/>
        </w:rPr>
        <w:t>5</w:t>
      </w:r>
      <w:r>
        <w:rPr>
          <w:rFonts w:hint="eastAsia"/>
        </w:rPr>
        <w:t>条</w:t>
      </w:r>
      <w:r>
        <w:rPr>
          <w:rFonts w:hint="eastAsia"/>
        </w:rPr>
        <w:t>(</w:t>
      </w:r>
      <w:r>
        <w:rPr>
          <w:rFonts w:hint="eastAsia"/>
        </w:rPr>
        <w:t>关于家庭单位</w:t>
      </w:r>
      <w:r>
        <w:rPr>
          <w:rFonts w:hint="eastAsia"/>
        </w:rPr>
        <w:t>)</w:t>
      </w:r>
      <w:r>
        <w:rPr>
          <w:rFonts w:hint="eastAsia"/>
        </w:rPr>
        <w:t>涉及的是老年公民和残疾人的专门待遇问题。根据关于城市和新住房的第</w:t>
      </w:r>
      <w:r>
        <w:rPr>
          <w:rFonts w:hint="eastAsia"/>
        </w:rPr>
        <w:t>29</w:t>
      </w:r>
      <w:r>
        <w:rPr>
          <w:rFonts w:hint="eastAsia"/>
        </w:rPr>
        <w:t>条和</w:t>
      </w:r>
      <w:r>
        <w:rPr>
          <w:rFonts w:hint="eastAsia"/>
        </w:rPr>
        <w:t>30</w:t>
      </w:r>
      <w:r>
        <w:rPr>
          <w:rFonts w:hint="eastAsia"/>
        </w:rPr>
        <w:t>条评分系统第</w:t>
      </w:r>
      <w:r>
        <w:rPr>
          <w:rFonts w:hint="eastAsia"/>
        </w:rPr>
        <w:t>8</w:t>
      </w:r>
      <w:r>
        <w:rPr>
          <w:rFonts w:hint="eastAsia"/>
        </w:rPr>
        <w:t>款，以及关于城市住房翻新的第</w:t>
      </w:r>
      <w:r>
        <w:rPr>
          <w:rFonts w:hint="eastAsia"/>
        </w:rPr>
        <w:t>23</w:t>
      </w:r>
      <w:r>
        <w:rPr>
          <w:rFonts w:hint="eastAsia"/>
        </w:rPr>
        <w:t>条和第</w:t>
      </w:r>
      <w:r>
        <w:rPr>
          <w:rFonts w:hint="eastAsia"/>
        </w:rPr>
        <w:t>24</w:t>
      </w:r>
      <w:r>
        <w:rPr>
          <w:rFonts w:hint="eastAsia"/>
        </w:rPr>
        <w:t>条评分系统第</w:t>
      </w:r>
      <w:r>
        <w:rPr>
          <w:rFonts w:hint="eastAsia"/>
        </w:rPr>
        <w:t>7</w:t>
      </w:r>
      <w:r>
        <w:rPr>
          <w:rFonts w:hint="eastAsia"/>
        </w:rPr>
        <w:t>条，他们被视为家庭单位的成员，并在申请奖励款项时可计算在内。</w:t>
      </w:r>
    </w:p>
    <w:p w:rsidR="00000000" w:rsidRDefault="00000000">
      <w:pPr>
        <w:rPr>
          <w:rFonts w:hint="eastAsia"/>
        </w:rPr>
      </w:pPr>
      <w:r>
        <w:rPr>
          <w:rFonts w:hint="eastAsia"/>
        </w:rPr>
        <w:tab/>
        <w:t xml:space="preserve">365.  </w:t>
      </w:r>
      <w:r>
        <w:rPr>
          <w:rFonts w:hint="eastAsia"/>
        </w:rPr>
        <w:t>没有关于城市和农村地区残疾人缺少住房的统计资料。但应当指出的是，</w:t>
      </w:r>
      <w:r>
        <w:rPr>
          <w:rFonts w:hint="eastAsia"/>
        </w:rPr>
        <w:t>1998</w:t>
      </w:r>
      <w:r>
        <w:rPr>
          <w:rFonts w:hint="eastAsia"/>
        </w:rPr>
        <w:t>年厄瓜多尔住房银行对</w:t>
      </w:r>
      <w:r>
        <w:rPr>
          <w:rFonts w:hint="eastAsia"/>
        </w:rPr>
        <w:t>97</w:t>
      </w:r>
      <w:r>
        <w:rPr>
          <w:rFonts w:hint="eastAsia"/>
        </w:rPr>
        <w:t>名残疾人发放了优惠贷款，总价值达</w:t>
      </w:r>
      <w:r>
        <w:rPr>
          <w:rFonts w:hint="eastAsia"/>
        </w:rPr>
        <w:t>3,341,900,000</w:t>
      </w:r>
      <w:r>
        <w:rPr>
          <w:rFonts w:hint="eastAsia"/>
          <w:lang w:val="fr-CH"/>
        </w:rPr>
        <w:t>苏克雷</w:t>
      </w:r>
      <w:r>
        <w:rPr>
          <w:rFonts w:hint="eastAsia"/>
        </w:rPr>
        <w:t>，具体如下：</w:t>
      </w:r>
      <w:r>
        <w:rPr>
          <w:rFonts w:hint="eastAsia"/>
          <w:b/>
          <w:vertAlign w:val="superscript"/>
        </w:rPr>
        <w:t>47</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7"/>
        <w:gridCol w:w="3643"/>
      </w:tblGrid>
      <w:tr w:rsidR="00000000">
        <w:tblPrEx>
          <w:tblCellMar>
            <w:top w:w="0" w:type="dxa"/>
            <w:bottom w:w="0" w:type="dxa"/>
          </w:tblCellMar>
        </w:tblPrEx>
        <w:tc>
          <w:tcPr>
            <w:tcW w:w="3507" w:type="dxa"/>
            <w:tcBorders>
              <w:bottom w:val="single" w:sz="4" w:space="0" w:color="auto"/>
            </w:tcBorders>
          </w:tcPr>
          <w:p w:rsidR="00000000" w:rsidRDefault="00000000">
            <w:pPr>
              <w:spacing w:before="180" w:after="120" w:line="240" w:lineRule="exact"/>
              <w:jc w:val="center"/>
              <w:rPr>
                <w:rFonts w:hint="eastAsia"/>
                <w:spacing w:val="4"/>
                <w:sz w:val="20"/>
                <w:u w:val="single"/>
              </w:rPr>
            </w:pPr>
            <w:r>
              <w:rPr>
                <w:rFonts w:hint="eastAsia"/>
                <w:spacing w:val="4"/>
                <w:sz w:val="20"/>
                <w:u w:val="single"/>
              </w:rPr>
              <w:t>厄瓜多尔住房银行支行</w:t>
            </w:r>
          </w:p>
        </w:tc>
        <w:tc>
          <w:tcPr>
            <w:tcW w:w="3643" w:type="dxa"/>
            <w:tcBorders>
              <w:bottom w:val="single" w:sz="4" w:space="0" w:color="auto"/>
            </w:tcBorders>
          </w:tcPr>
          <w:p w:rsidR="00000000" w:rsidRDefault="00000000">
            <w:pPr>
              <w:spacing w:before="180" w:after="120" w:line="240" w:lineRule="exact"/>
              <w:jc w:val="center"/>
              <w:rPr>
                <w:rFonts w:hint="eastAsia"/>
                <w:spacing w:val="4"/>
                <w:sz w:val="20"/>
                <w:u w:val="single"/>
              </w:rPr>
            </w:pPr>
            <w:r>
              <w:rPr>
                <w:rFonts w:hint="eastAsia"/>
                <w:spacing w:val="4"/>
                <w:sz w:val="20"/>
                <w:u w:val="single"/>
              </w:rPr>
              <w:t>贷款数</w:t>
            </w:r>
          </w:p>
        </w:tc>
      </w:tr>
      <w:tr w:rsidR="00000000">
        <w:tblPrEx>
          <w:tblCellMar>
            <w:top w:w="0" w:type="dxa"/>
            <w:bottom w:w="0" w:type="dxa"/>
          </w:tblCellMar>
        </w:tblPrEx>
        <w:tc>
          <w:tcPr>
            <w:tcW w:w="3507" w:type="dxa"/>
            <w:tcBorders>
              <w:bottom w:val="nil"/>
            </w:tcBorders>
          </w:tcPr>
          <w:p w:rsidR="00000000" w:rsidRDefault="00000000">
            <w:pPr>
              <w:spacing w:before="60" w:line="240" w:lineRule="exact"/>
              <w:rPr>
                <w:spacing w:val="4"/>
                <w:sz w:val="20"/>
                <w:lang w:val="fr-CH"/>
              </w:rPr>
            </w:pPr>
            <w:r>
              <w:rPr>
                <w:spacing w:val="4"/>
                <w:sz w:val="20"/>
                <w:lang w:val="fr-CH"/>
              </w:rPr>
              <w:t>Calceta</w:t>
            </w:r>
          </w:p>
        </w:tc>
        <w:tc>
          <w:tcPr>
            <w:tcW w:w="3643" w:type="dxa"/>
            <w:tcBorders>
              <w:bottom w:val="nil"/>
            </w:tcBorders>
          </w:tcPr>
          <w:p w:rsidR="00000000" w:rsidRDefault="00000000">
            <w:pPr>
              <w:spacing w:before="60" w:line="240" w:lineRule="exact"/>
              <w:ind w:right="970"/>
              <w:jc w:val="right"/>
              <w:rPr>
                <w:spacing w:val="4"/>
                <w:sz w:val="20"/>
                <w:lang w:val="fr-CH"/>
              </w:rPr>
            </w:pPr>
            <w:r>
              <w:rPr>
                <w:spacing w:val="4"/>
                <w:sz w:val="20"/>
                <w:lang w:val="fr-CH"/>
              </w:rPr>
              <w:t>15</w:t>
            </w:r>
          </w:p>
        </w:tc>
      </w:tr>
      <w:tr w:rsidR="00000000">
        <w:tblPrEx>
          <w:tblCellMar>
            <w:top w:w="0" w:type="dxa"/>
            <w:bottom w:w="0" w:type="dxa"/>
          </w:tblCellMar>
        </w:tblPrEx>
        <w:tc>
          <w:tcPr>
            <w:tcW w:w="3507" w:type="dxa"/>
            <w:tcBorders>
              <w:top w:val="nil"/>
              <w:bottom w:val="nil"/>
            </w:tcBorders>
          </w:tcPr>
          <w:p w:rsidR="00000000" w:rsidRDefault="00000000">
            <w:pPr>
              <w:spacing w:before="60" w:line="240" w:lineRule="exact"/>
              <w:rPr>
                <w:spacing w:val="4"/>
                <w:sz w:val="20"/>
                <w:lang w:val="fr-CH"/>
              </w:rPr>
            </w:pPr>
            <w:r>
              <w:rPr>
                <w:spacing w:val="4"/>
                <w:sz w:val="20"/>
                <w:lang w:val="fr-CH"/>
              </w:rPr>
              <w:t>Chone</w:t>
            </w:r>
          </w:p>
        </w:tc>
        <w:tc>
          <w:tcPr>
            <w:tcW w:w="3643" w:type="dxa"/>
            <w:tcBorders>
              <w:top w:val="nil"/>
              <w:bottom w:val="nil"/>
            </w:tcBorders>
          </w:tcPr>
          <w:p w:rsidR="00000000" w:rsidRDefault="00000000">
            <w:pPr>
              <w:spacing w:before="60" w:line="240" w:lineRule="exact"/>
              <w:ind w:right="970"/>
              <w:jc w:val="right"/>
              <w:rPr>
                <w:spacing w:val="4"/>
                <w:sz w:val="20"/>
                <w:lang w:val="fr-CH"/>
              </w:rPr>
            </w:pPr>
            <w:r>
              <w:rPr>
                <w:spacing w:val="4"/>
                <w:sz w:val="20"/>
                <w:lang w:val="fr-CH"/>
              </w:rPr>
              <w:t>25</w:t>
            </w:r>
          </w:p>
        </w:tc>
      </w:tr>
      <w:tr w:rsidR="00000000">
        <w:tblPrEx>
          <w:tblCellMar>
            <w:top w:w="0" w:type="dxa"/>
            <w:bottom w:w="0" w:type="dxa"/>
          </w:tblCellMar>
        </w:tblPrEx>
        <w:tc>
          <w:tcPr>
            <w:tcW w:w="3507" w:type="dxa"/>
            <w:tcBorders>
              <w:top w:val="nil"/>
              <w:bottom w:val="nil"/>
            </w:tcBorders>
          </w:tcPr>
          <w:p w:rsidR="00000000" w:rsidRDefault="00000000">
            <w:pPr>
              <w:spacing w:before="60" w:line="240" w:lineRule="exact"/>
              <w:rPr>
                <w:spacing w:val="4"/>
                <w:sz w:val="20"/>
                <w:lang w:val="fr-CH"/>
              </w:rPr>
            </w:pPr>
            <w:r>
              <w:rPr>
                <w:spacing w:val="4"/>
                <w:sz w:val="20"/>
                <w:lang w:val="fr-CH"/>
              </w:rPr>
              <w:t>Cuenca</w:t>
            </w:r>
          </w:p>
        </w:tc>
        <w:tc>
          <w:tcPr>
            <w:tcW w:w="3643" w:type="dxa"/>
            <w:tcBorders>
              <w:top w:val="nil"/>
              <w:bottom w:val="nil"/>
            </w:tcBorders>
          </w:tcPr>
          <w:p w:rsidR="00000000" w:rsidRDefault="00000000">
            <w:pPr>
              <w:spacing w:before="60" w:line="240" w:lineRule="exact"/>
              <w:ind w:right="970"/>
              <w:jc w:val="right"/>
              <w:rPr>
                <w:spacing w:val="4"/>
                <w:sz w:val="20"/>
                <w:lang w:val="fr-CH"/>
              </w:rPr>
            </w:pPr>
            <w:r>
              <w:rPr>
                <w:spacing w:val="4"/>
                <w:sz w:val="20"/>
                <w:lang w:val="fr-CH"/>
              </w:rPr>
              <w:t>3</w:t>
            </w:r>
          </w:p>
        </w:tc>
      </w:tr>
      <w:tr w:rsidR="00000000">
        <w:tblPrEx>
          <w:tblCellMar>
            <w:top w:w="0" w:type="dxa"/>
            <w:bottom w:w="0" w:type="dxa"/>
          </w:tblCellMar>
        </w:tblPrEx>
        <w:tc>
          <w:tcPr>
            <w:tcW w:w="3507" w:type="dxa"/>
            <w:tcBorders>
              <w:top w:val="nil"/>
              <w:bottom w:val="nil"/>
            </w:tcBorders>
          </w:tcPr>
          <w:p w:rsidR="00000000" w:rsidRDefault="00000000">
            <w:pPr>
              <w:spacing w:before="60" w:line="240" w:lineRule="exact"/>
              <w:rPr>
                <w:spacing w:val="4"/>
                <w:sz w:val="20"/>
                <w:lang w:val="fr-CH"/>
              </w:rPr>
            </w:pPr>
            <w:r>
              <w:rPr>
                <w:spacing w:val="4"/>
                <w:sz w:val="20"/>
                <w:lang w:val="fr-CH"/>
              </w:rPr>
              <w:t>Guaranda</w:t>
            </w:r>
          </w:p>
        </w:tc>
        <w:tc>
          <w:tcPr>
            <w:tcW w:w="3643" w:type="dxa"/>
            <w:tcBorders>
              <w:top w:val="nil"/>
              <w:bottom w:val="nil"/>
            </w:tcBorders>
          </w:tcPr>
          <w:p w:rsidR="00000000" w:rsidRDefault="00000000">
            <w:pPr>
              <w:spacing w:before="60" w:line="240" w:lineRule="exact"/>
              <w:ind w:right="970"/>
              <w:jc w:val="right"/>
              <w:rPr>
                <w:spacing w:val="4"/>
                <w:sz w:val="20"/>
                <w:lang w:val="fr-CH"/>
              </w:rPr>
            </w:pPr>
            <w:r>
              <w:rPr>
                <w:spacing w:val="4"/>
                <w:sz w:val="20"/>
                <w:lang w:val="fr-CH"/>
              </w:rPr>
              <w:t>7</w:t>
            </w:r>
          </w:p>
        </w:tc>
      </w:tr>
      <w:tr w:rsidR="00000000">
        <w:tblPrEx>
          <w:tblCellMar>
            <w:top w:w="0" w:type="dxa"/>
            <w:bottom w:w="0" w:type="dxa"/>
          </w:tblCellMar>
        </w:tblPrEx>
        <w:tc>
          <w:tcPr>
            <w:tcW w:w="3507" w:type="dxa"/>
            <w:tcBorders>
              <w:top w:val="nil"/>
              <w:bottom w:val="nil"/>
            </w:tcBorders>
          </w:tcPr>
          <w:p w:rsidR="00000000" w:rsidRDefault="00000000">
            <w:pPr>
              <w:spacing w:before="60" w:line="240" w:lineRule="exact"/>
              <w:rPr>
                <w:spacing w:val="4"/>
                <w:sz w:val="20"/>
                <w:lang w:val="fr-CH"/>
              </w:rPr>
            </w:pPr>
            <w:r>
              <w:rPr>
                <w:spacing w:val="4"/>
                <w:sz w:val="20"/>
                <w:lang w:val="fr-CH"/>
              </w:rPr>
              <w:t>Machala</w:t>
            </w:r>
          </w:p>
        </w:tc>
        <w:tc>
          <w:tcPr>
            <w:tcW w:w="3643" w:type="dxa"/>
            <w:tcBorders>
              <w:top w:val="nil"/>
              <w:bottom w:val="nil"/>
            </w:tcBorders>
          </w:tcPr>
          <w:p w:rsidR="00000000" w:rsidRDefault="00000000">
            <w:pPr>
              <w:spacing w:before="60" w:line="240" w:lineRule="exact"/>
              <w:ind w:right="970"/>
              <w:jc w:val="right"/>
              <w:rPr>
                <w:spacing w:val="4"/>
                <w:sz w:val="20"/>
                <w:lang w:val="fr-CH"/>
              </w:rPr>
            </w:pPr>
            <w:r>
              <w:rPr>
                <w:spacing w:val="4"/>
                <w:sz w:val="20"/>
                <w:lang w:val="fr-CH"/>
              </w:rPr>
              <w:t>4</w:t>
            </w:r>
          </w:p>
        </w:tc>
      </w:tr>
      <w:tr w:rsidR="00000000">
        <w:tblPrEx>
          <w:tblCellMar>
            <w:top w:w="0" w:type="dxa"/>
            <w:bottom w:w="0" w:type="dxa"/>
          </w:tblCellMar>
        </w:tblPrEx>
        <w:tc>
          <w:tcPr>
            <w:tcW w:w="3507" w:type="dxa"/>
            <w:tcBorders>
              <w:top w:val="nil"/>
              <w:bottom w:val="nil"/>
            </w:tcBorders>
          </w:tcPr>
          <w:p w:rsidR="00000000" w:rsidRDefault="00000000">
            <w:pPr>
              <w:spacing w:before="60" w:line="240" w:lineRule="exact"/>
              <w:rPr>
                <w:spacing w:val="4"/>
                <w:sz w:val="20"/>
                <w:lang w:val="fr-CH"/>
              </w:rPr>
            </w:pPr>
            <w:r>
              <w:rPr>
                <w:spacing w:val="4"/>
                <w:sz w:val="20"/>
                <w:lang w:val="fr-CH"/>
              </w:rPr>
              <w:t>Manta</w:t>
            </w:r>
          </w:p>
        </w:tc>
        <w:tc>
          <w:tcPr>
            <w:tcW w:w="3643" w:type="dxa"/>
            <w:tcBorders>
              <w:top w:val="nil"/>
              <w:bottom w:val="nil"/>
            </w:tcBorders>
          </w:tcPr>
          <w:p w:rsidR="00000000" w:rsidRDefault="00000000">
            <w:pPr>
              <w:spacing w:before="60" w:line="240" w:lineRule="exact"/>
              <w:ind w:right="970"/>
              <w:jc w:val="right"/>
              <w:rPr>
                <w:spacing w:val="4"/>
                <w:sz w:val="20"/>
                <w:lang w:val="fr-CH"/>
              </w:rPr>
            </w:pPr>
            <w:r>
              <w:rPr>
                <w:spacing w:val="4"/>
                <w:sz w:val="20"/>
                <w:lang w:val="fr-CH"/>
              </w:rPr>
              <w:t>2</w:t>
            </w:r>
          </w:p>
        </w:tc>
      </w:tr>
      <w:tr w:rsidR="00000000">
        <w:tblPrEx>
          <w:tblCellMar>
            <w:top w:w="0" w:type="dxa"/>
            <w:bottom w:w="0" w:type="dxa"/>
          </w:tblCellMar>
        </w:tblPrEx>
        <w:tc>
          <w:tcPr>
            <w:tcW w:w="3507" w:type="dxa"/>
            <w:tcBorders>
              <w:top w:val="nil"/>
              <w:bottom w:val="nil"/>
            </w:tcBorders>
          </w:tcPr>
          <w:p w:rsidR="00000000" w:rsidRDefault="00000000">
            <w:pPr>
              <w:spacing w:before="60" w:line="240" w:lineRule="exact"/>
              <w:rPr>
                <w:spacing w:val="4"/>
                <w:sz w:val="20"/>
                <w:lang w:val="fr-CH"/>
              </w:rPr>
            </w:pPr>
            <w:r>
              <w:rPr>
                <w:spacing w:val="4"/>
                <w:sz w:val="20"/>
                <w:lang w:val="fr-CH"/>
              </w:rPr>
              <w:t>Portoviejo</w:t>
            </w:r>
          </w:p>
        </w:tc>
        <w:tc>
          <w:tcPr>
            <w:tcW w:w="3643" w:type="dxa"/>
            <w:tcBorders>
              <w:top w:val="nil"/>
              <w:bottom w:val="nil"/>
            </w:tcBorders>
          </w:tcPr>
          <w:p w:rsidR="00000000" w:rsidRDefault="00000000">
            <w:pPr>
              <w:spacing w:before="60" w:line="240" w:lineRule="exact"/>
              <w:ind w:right="970"/>
              <w:jc w:val="right"/>
              <w:rPr>
                <w:spacing w:val="4"/>
                <w:sz w:val="20"/>
                <w:lang w:val="fr-CH"/>
              </w:rPr>
            </w:pPr>
            <w:r>
              <w:rPr>
                <w:spacing w:val="4"/>
                <w:sz w:val="20"/>
                <w:lang w:val="fr-CH"/>
              </w:rPr>
              <w:t>3</w:t>
            </w:r>
          </w:p>
        </w:tc>
      </w:tr>
      <w:tr w:rsidR="00000000">
        <w:tblPrEx>
          <w:tblCellMar>
            <w:top w:w="0" w:type="dxa"/>
            <w:bottom w:w="0" w:type="dxa"/>
          </w:tblCellMar>
        </w:tblPrEx>
        <w:tc>
          <w:tcPr>
            <w:tcW w:w="3507" w:type="dxa"/>
            <w:tcBorders>
              <w:top w:val="nil"/>
              <w:bottom w:val="nil"/>
            </w:tcBorders>
          </w:tcPr>
          <w:p w:rsidR="00000000" w:rsidRDefault="00000000">
            <w:pPr>
              <w:spacing w:before="60" w:line="240" w:lineRule="exact"/>
              <w:rPr>
                <w:spacing w:val="4"/>
                <w:sz w:val="20"/>
                <w:lang w:val="fr-CH"/>
              </w:rPr>
            </w:pPr>
            <w:r>
              <w:rPr>
                <w:spacing w:val="4"/>
                <w:sz w:val="20"/>
                <w:lang w:val="fr-CH"/>
              </w:rPr>
              <w:t>Quininde</w:t>
            </w:r>
          </w:p>
        </w:tc>
        <w:tc>
          <w:tcPr>
            <w:tcW w:w="3643" w:type="dxa"/>
            <w:tcBorders>
              <w:top w:val="nil"/>
              <w:bottom w:val="nil"/>
            </w:tcBorders>
          </w:tcPr>
          <w:p w:rsidR="00000000" w:rsidRDefault="00000000">
            <w:pPr>
              <w:spacing w:before="60" w:line="240" w:lineRule="exact"/>
              <w:ind w:right="970"/>
              <w:jc w:val="right"/>
              <w:rPr>
                <w:spacing w:val="4"/>
                <w:sz w:val="20"/>
              </w:rPr>
            </w:pPr>
            <w:r>
              <w:rPr>
                <w:spacing w:val="4"/>
                <w:sz w:val="20"/>
              </w:rPr>
              <w:t>25</w:t>
            </w:r>
          </w:p>
        </w:tc>
      </w:tr>
      <w:tr w:rsidR="00000000">
        <w:tblPrEx>
          <w:tblCellMar>
            <w:top w:w="0" w:type="dxa"/>
            <w:bottom w:w="0" w:type="dxa"/>
          </w:tblCellMar>
        </w:tblPrEx>
        <w:tc>
          <w:tcPr>
            <w:tcW w:w="3507" w:type="dxa"/>
            <w:tcBorders>
              <w:top w:val="nil"/>
              <w:bottom w:val="nil"/>
            </w:tcBorders>
          </w:tcPr>
          <w:p w:rsidR="00000000" w:rsidRDefault="00000000">
            <w:pPr>
              <w:spacing w:before="60" w:line="240" w:lineRule="exact"/>
              <w:rPr>
                <w:spacing w:val="4"/>
                <w:sz w:val="20"/>
              </w:rPr>
            </w:pPr>
            <w:r>
              <w:rPr>
                <w:spacing w:val="4"/>
                <w:sz w:val="20"/>
              </w:rPr>
              <w:t>Quito</w:t>
            </w:r>
          </w:p>
        </w:tc>
        <w:tc>
          <w:tcPr>
            <w:tcW w:w="3643" w:type="dxa"/>
            <w:tcBorders>
              <w:top w:val="nil"/>
              <w:bottom w:val="nil"/>
            </w:tcBorders>
          </w:tcPr>
          <w:p w:rsidR="00000000" w:rsidRDefault="00000000">
            <w:pPr>
              <w:spacing w:before="60" w:line="240" w:lineRule="exact"/>
              <w:ind w:right="970"/>
              <w:jc w:val="right"/>
              <w:rPr>
                <w:spacing w:val="4"/>
                <w:sz w:val="20"/>
              </w:rPr>
            </w:pPr>
            <w:r>
              <w:rPr>
                <w:spacing w:val="4"/>
                <w:sz w:val="20"/>
              </w:rPr>
              <w:t>8</w:t>
            </w:r>
          </w:p>
        </w:tc>
      </w:tr>
      <w:tr w:rsidR="00000000">
        <w:tblPrEx>
          <w:tblCellMar>
            <w:top w:w="0" w:type="dxa"/>
            <w:bottom w:w="0" w:type="dxa"/>
          </w:tblCellMar>
        </w:tblPrEx>
        <w:tc>
          <w:tcPr>
            <w:tcW w:w="3507" w:type="dxa"/>
            <w:tcBorders>
              <w:top w:val="nil"/>
            </w:tcBorders>
          </w:tcPr>
          <w:p w:rsidR="00000000" w:rsidRDefault="00000000">
            <w:pPr>
              <w:spacing w:before="60" w:line="240" w:lineRule="exact"/>
              <w:rPr>
                <w:spacing w:val="4"/>
                <w:sz w:val="20"/>
              </w:rPr>
            </w:pPr>
            <w:r>
              <w:rPr>
                <w:spacing w:val="4"/>
                <w:sz w:val="20"/>
              </w:rPr>
              <w:t>Santo Domingo</w:t>
            </w:r>
          </w:p>
        </w:tc>
        <w:tc>
          <w:tcPr>
            <w:tcW w:w="3643" w:type="dxa"/>
            <w:tcBorders>
              <w:top w:val="nil"/>
            </w:tcBorders>
          </w:tcPr>
          <w:p w:rsidR="00000000" w:rsidRDefault="00000000">
            <w:pPr>
              <w:spacing w:before="60" w:line="240" w:lineRule="exact"/>
              <w:ind w:right="970"/>
              <w:jc w:val="right"/>
              <w:rPr>
                <w:spacing w:val="4"/>
                <w:sz w:val="20"/>
              </w:rPr>
            </w:pPr>
            <w:r>
              <w:rPr>
                <w:spacing w:val="4"/>
                <w:sz w:val="20"/>
              </w:rPr>
              <w:t>5</w:t>
            </w:r>
          </w:p>
        </w:tc>
      </w:tr>
      <w:tr w:rsidR="00000000">
        <w:tblPrEx>
          <w:tblCellMar>
            <w:top w:w="0" w:type="dxa"/>
            <w:bottom w:w="0" w:type="dxa"/>
          </w:tblCellMar>
        </w:tblPrEx>
        <w:tc>
          <w:tcPr>
            <w:tcW w:w="3507" w:type="dxa"/>
          </w:tcPr>
          <w:p w:rsidR="00000000" w:rsidRDefault="00000000">
            <w:pPr>
              <w:spacing w:before="60" w:line="240" w:lineRule="exact"/>
              <w:rPr>
                <w:rFonts w:hint="eastAsia"/>
                <w:spacing w:val="4"/>
                <w:sz w:val="20"/>
              </w:rPr>
            </w:pPr>
            <w:r>
              <w:rPr>
                <w:rFonts w:hint="eastAsia"/>
                <w:spacing w:val="4"/>
                <w:sz w:val="20"/>
              </w:rPr>
              <w:t>总</w:t>
            </w:r>
            <w:r>
              <w:rPr>
                <w:rFonts w:hint="eastAsia"/>
                <w:spacing w:val="4"/>
                <w:sz w:val="20"/>
              </w:rPr>
              <w:t xml:space="preserve">  </w:t>
            </w:r>
            <w:r>
              <w:rPr>
                <w:rFonts w:hint="eastAsia"/>
                <w:spacing w:val="4"/>
                <w:sz w:val="20"/>
              </w:rPr>
              <w:t>计</w:t>
            </w:r>
          </w:p>
        </w:tc>
        <w:tc>
          <w:tcPr>
            <w:tcW w:w="3643" w:type="dxa"/>
          </w:tcPr>
          <w:p w:rsidR="00000000" w:rsidRDefault="00000000">
            <w:pPr>
              <w:spacing w:before="60" w:line="240" w:lineRule="exact"/>
              <w:ind w:right="970"/>
              <w:jc w:val="right"/>
              <w:rPr>
                <w:rFonts w:hint="eastAsia"/>
                <w:spacing w:val="4"/>
                <w:sz w:val="20"/>
              </w:rPr>
            </w:pPr>
            <w:r>
              <w:rPr>
                <w:spacing w:val="4"/>
                <w:sz w:val="20"/>
              </w:rPr>
              <w:t>97</w:t>
            </w:r>
          </w:p>
        </w:tc>
      </w:tr>
    </w:tbl>
    <w:p w:rsidR="00000000" w:rsidRDefault="00000000">
      <w:pPr>
        <w:pStyle w:val="FootnoteText"/>
        <w:spacing w:before="120"/>
        <w:rPr>
          <w:rFonts w:hint="eastAsia"/>
          <w:sz w:val="22"/>
        </w:rPr>
      </w:pPr>
      <w:r>
        <w:rPr>
          <w:rFonts w:hint="eastAsia"/>
          <w:sz w:val="22"/>
          <w:u w:val="single"/>
        </w:rPr>
        <w:t>资料来源</w:t>
      </w:r>
      <w:r>
        <w:rPr>
          <w:rFonts w:hint="eastAsia"/>
          <w:sz w:val="22"/>
        </w:rPr>
        <w:t>：国家发展委员会。</w:t>
      </w:r>
    </w:p>
    <w:p w:rsidR="00000000" w:rsidRDefault="00000000">
      <w:pPr>
        <w:rPr>
          <w:rFonts w:hint="eastAsia"/>
        </w:rPr>
      </w:pPr>
      <w:r>
        <w:rPr>
          <w:rFonts w:hint="eastAsia"/>
        </w:rPr>
        <w:tab/>
        <w:t xml:space="preserve">366.  </w:t>
      </w:r>
      <w:r>
        <w:rPr>
          <w:rFonts w:hint="eastAsia"/>
        </w:rPr>
        <w:t>统计与普查所打算于</w:t>
      </w:r>
      <w:r>
        <w:rPr>
          <w:rFonts w:hint="eastAsia"/>
        </w:rPr>
        <w:t>2000</w:t>
      </w:r>
      <w:r>
        <w:rPr>
          <w:rFonts w:hint="eastAsia"/>
        </w:rPr>
        <w:t>年</w:t>
      </w:r>
      <w:r>
        <w:rPr>
          <w:rFonts w:hint="eastAsia"/>
        </w:rPr>
        <w:t>10</w:t>
      </w:r>
      <w:r>
        <w:rPr>
          <w:rFonts w:hint="eastAsia"/>
        </w:rPr>
        <w:t>月至</w:t>
      </w:r>
      <w:r>
        <w:rPr>
          <w:rFonts w:hint="eastAsia"/>
        </w:rPr>
        <w:t>12</w:t>
      </w:r>
      <w:r>
        <w:rPr>
          <w:rFonts w:hint="eastAsia"/>
        </w:rPr>
        <w:t>月进行一次农业普查。这次普查的目的是了解关于土地所有权、土地使用、农村生产和家畜数量以及从事这些生产的人数、所用的能源和机械等信息。第六次人口普查和第五次住房普查计划于</w:t>
      </w:r>
      <w:r>
        <w:rPr>
          <w:rFonts w:hint="eastAsia"/>
        </w:rPr>
        <w:t>2001</w:t>
      </w:r>
      <w:r>
        <w:rPr>
          <w:rFonts w:hint="eastAsia"/>
        </w:rPr>
        <w:t>年进行。该两次普查将提供人口的教育和经济特点等信息、关于生育率和死亡率的资料、可提供的基本服务及其他信息。</w:t>
      </w:r>
    </w:p>
    <w:p w:rsidR="00000000" w:rsidRDefault="00000000">
      <w:pPr>
        <w:pStyle w:val="Heading4"/>
        <w:spacing w:before="300"/>
        <w:rPr>
          <w:rFonts w:eastAsia="KaiTi_GB2312" w:hint="eastAsia"/>
          <w:snapToGrid/>
          <w:spacing w:val="0"/>
          <w:u w:val="none"/>
        </w:rPr>
      </w:pPr>
      <w:r>
        <w:rPr>
          <w:rFonts w:eastAsia="KaiTi_GB2312" w:hint="eastAsia"/>
          <w:snapToGrid/>
          <w:spacing w:val="0"/>
          <w:u w:val="none"/>
        </w:rPr>
        <w:t>住房发展政策</w:t>
      </w:r>
    </w:p>
    <w:p w:rsidR="00000000" w:rsidRDefault="00000000">
      <w:pPr>
        <w:rPr>
          <w:rFonts w:hint="eastAsia"/>
        </w:rPr>
      </w:pPr>
      <w:r>
        <w:rPr>
          <w:rFonts w:hint="eastAsia"/>
        </w:rPr>
        <w:tab/>
        <w:t>367.  1996</w:t>
      </w:r>
      <w:r>
        <w:rPr>
          <w:rFonts w:hint="eastAsia"/>
        </w:rPr>
        <w:t>年在西斯托·杜兰·巴连总统任期结束时，厄瓜多尔通过了一套住房政策，建立了住房奖励制度。尽管国家政局不稳定</w:t>
      </w:r>
      <w:r>
        <w:rPr>
          <w:rFonts w:hint="eastAsia"/>
        </w:rPr>
        <w:t>(</w:t>
      </w:r>
      <w:r>
        <w:rPr>
          <w:rFonts w:hint="eastAsia"/>
        </w:rPr>
        <w:t>不到四年换了五位总统</w:t>
      </w:r>
      <w:r>
        <w:rPr>
          <w:rFonts w:hint="eastAsia"/>
        </w:rPr>
        <w:t>)</w:t>
      </w:r>
      <w:r>
        <w:rPr>
          <w:rFonts w:hint="eastAsia"/>
        </w:rPr>
        <w:t>，但这一制度得以保留下来。按照过去的住房模式，由国家执行大型住房项目并建造大量住房，投标人无法直接参与，分配制度也常常容易引起腐败现象。现在国家通过住房部成为贷款的促成者和二级银行，为建筑商和金融机构融资，并通过建立按揭市场确保整个系统财政的可持续性。</w:t>
      </w:r>
    </w:p>
    <w:p w:rsidR="00000000" w:rsidRDefault="00000000">
      <w:pPr>
        <w:rPr>
          <w:rFonts w:hint="eastAsia"/>
        </w:rPr>
      </w:pPr>
      <w:r>
        <w:rPr>
          <w:rFonts w:hint="eastAsia"/>
        </w:rPr>
        <w:tab/>
        <w:t xml:space="preserve">368.  </w:t>
      </w:r>
      <w:r>
        <w:rPr>
          <w:rFonts w:hint="eastAsia"/>
        </w:rPr>
        <w:t>这一新的住房制度也为最穷的人口提供财政援助。该制度能对需求作出反应，并鼓励私营部门为项目提供住房和资金，通过住房部为低收入家庭购买和建造住房提供由国家供资的经济奖励。该住房补助金仅发放一次，不可退款。该奖励金的价值与住房的造价成反比，即：住房造价越低，供应的补助金就越高。</w:t>
      </w:r>
    </w:p>
    <w:p w:rsidR="00000000" w:rsidRDefault="00000000">
      <w:pPr>
        <w:rPr>
          <w:rFonts w:hint="eastAsia"/>
        </w:rPr>
      </w:pPr>
      <w:r>
        <w:rPr>
          <w:rFonts w:hint="eastAsia"/>
        </w:rPr>
        <w:tab/>
        <w:t xml:space="preserve">369.  </w:t>
      </w:r>
      <w:r>
        <w:rPr>
          <w:rFonts w:hint="eastAsia"/>
        </w:rPr>
        <w:t>整个程序十分简单：</w:t>
      </w:r>
      <w:r>
        <w:rPr>
          <w:rFonts w:hint="eastAsia"/>
        </w:rPr>
        <w:t>A+B+C</w:t>
      </w:r>
      <w:r>
        <w:rPr>
          <w:rFonts w:hint="eastAsia"/>
        </w:rPr>
        <w:t>，即：</w:t>
      </w:r>
    </w:p>
    <w:p w:rsidR="00000000" w:rsidRDefault="00000000">
      <w:pPr>
        <w:numPr>
          <w:ilvl w:val="0"/>
          <w:numId w:val="170"/>
        </w:numPr>
        <w:rPr>
          <w:rFonts w:hint="eastAsia"/>
        </w:rPr>
      </w:pPr>
      <w:r>
        <w:rPr>
          <w:rFonts w:hint="eastAsia"/>
        </w:rPr>
        <w:t>A</w:t>
      </w:r>
      <w:r>
        <w:rPr>
          <w:rFonts w:hint="eastAsia"/>
        </w:rPr>
        <w:t>：即“</w:t>
      </w:r>
      <w:r>
        <w:t>aporte</w:t>
      </w:r>
      <w:r>
        <w:rPr>
          <w:rFonts w:hint="eastAsia"/>
        </w:rPr>
        <w:t>”，</w:t>
      </w:r>
      <w:r>
        <w:rPr>
          <w:rFonts w:hint="eastAsia"/>
          <w:lang w:val="fr-CH"/>
        </w:rPr>
        <w:t>家庭自出</w:t>
      </w:r>
      <w:r>
        <w:rPr>
          <w:rFonts w:hint="eastAsia"/>
        </w:rPr>
        <w:t>，</w:t>
      </w:r>
      <w:r>
        <w:rPr>
          <w:rFonts w:hint="eastAsia"/>
          <w:lang w:val="fr-CH"/>
        </w:rPr>
        <w:t>可以是存款、土地或劳力</w:t>
      </w:r>
      <w:r>
        <w:rPr>
          <w:rFonts w:hint="eastAsia"/>
        </w:rPr>
        <w:t>；</w:t>
      </w:r>
    </w:p>
    <w:p w:rsidR="00000000" w:rsidRDefault="00000000">
      <w:pPr>
        <w:numPr>
          <w:ilvl w:val="0"/>
          <w:numId w:val="170"/>
        </w:numPr>
        <w:rPr>
          <w:rFonts w:hint="eastAsia"/>
        </w:rPr>
      </w:pPr>
      <w:r>
        <w:rPr>
          <w:rFonts w:hint="eastAsia"/>
        </w:rPr>
        <w:t>B</w:t>
      </w:r>
      <w:r>
        <w:rPr>
          <w:rFonts w:hint="eastAsia"/>
        </w:rPr>
        <w:t>：</w:t>
      </w:r>
      <w:r>
        <w:rPr>
          <w:rFonts w:hint="eastAsia"/>
          <w:lang w:val="fr-CH"/>
        </w:rPr>
        <w:t>即</w:t>
      </w:r>
      <w:r>
        <w:rPr>
          <w:rFonts w:hint="eastAsia"/>
        </w:rPr>
        <w:t>“</w:t>
      </w:r>
      <w:r>
        <w:t>bono</w:t>
      </w:r>
      <w:r>
        <w:rPr>
          <w:rFonts w:hint="eastAsia"/>
        </w:rPr>
        <w:t>”，国家政府的补助金，最多可达项目费用的</w:t>
      </w:r>
      <w:r>
        <w:rPr>
          <w:rFonts w:hint="eastAsia"/>
        </w:rPr>
        <w:t>60%</w:t>
      </w:r>
      <w:r>
        <w:rPr>
          <w:rFonts w:hint="eastAsia"/>
        </w:rPr>
        <w:t>；</w:t>
      </w:r>
    </w:p>
    <w:p w:rsidR="00000000" w:rsidRDefault="00000000">
      <w:pPr>
        <w:numPr>
          <w:ilvl w:val="0"/>
          <w:numId w:val="170"/>
        </w:numPr>
        <w:ind w:left="2040" w:hanging="1020"/>
        <w:rPr>
          <w:rFonts w:hint="eastAsia"/>
          <w:lang w:val="fr-CH"/>
        </w:rPr>
      </w:pPr>
      <w:r>
        <w:rPr>
          <w:rFonts w:hint="eastAsia"/>
          <w:lang w:val="fr-CH"/>
        </w:rPr>
        <w:t>C</w:t>
      </w:r>
      <w:r>
        <w:rPr>
          <w:rFonts w:hint="eastAsia"/>
          <w:lang w:val="fr-CH"/>
        </w:rPr>
        <w:t>：</w:t>
      </w:r>
      <w:r>
        <w:rPr>
          <w:rFonts w:hint="eastAsia"/>
        </w:rPr>
        <w:t>即</w:t>
      </w:r>
      <w:r>
        <w:rPr>
          <w:rFonts w:hint="eastAsia"/>
          <w:lang w:val="fr-CH"/>
        </w:rPr>
        <w:t>“</w:t>
      </w:r>
      <w:r>
        <w:rPr>
          <w:lang w:val="fr-CH"/>
        </w:rPr>
        <w:t>crédito</w:t>
      </w:r>
      <w:r>
        <w:rPr>
          <w:rFonts w:hint="eastAsia"/>
          <w:lang w:val="fr-CH"/>
        </w:rPr>
        <w:t>”，来自金融系统或社区合作、市政或参与项目的非政府组织的贷款。</w:t>
      </w:r>
    </w:p>
    <w:p w:rsidR="00000000" w:rsidRDefault="00000000">
      <w:pPr>
        <w:rPr>
          <w:rFonts w:hint="eastAsia"/>
          <w:lang w:val="fr-CH"/>
        </w:rPr>
      </w:pPr>
      <w:r>
        <w:rPr>
          <w:rFonts w:hint="eastAsia"/>
          <w:lang w:val="fr-CH"/>
        </w:rPr>
        <w:tab/>
        <w:t xml:space="preserve">370.  </w:t>
      </w:r>
      <w:r>
        <w:rPr>
          <w:rFonts w:hint="eastAsia"/>
          <w:lang w:val="fr-CH"/>
        </w:rPr>
        <w:t>获得住房补助金的条件如下。申请人必须：</w:t>
      </w:r>
    </w:p>
    <w:p w:rsidR="00000000" w:rsidRDefault="00000000">
      <w:pPr>
        <w:numPr>
          <w:ilvl w:val="0"/>
          <w:numId w:val="172"/>
        </w:numPr>
        <w:rPr>
          <w:rFonts w:hint="eastAsia"/>
          <w:lang w:val="fr-CH"/>
        </w:rPr>
      </w:pPr>
      <w:r>
        <w:rPr>
          <w:rFonts w:hint="eastAsia"/>
          <w:lang w:val="fr-CH"/>
        </w:rPr>
        <w:t>是厄瓜多尔成年公民；</w:t>
      </w:r>
    </w:p>
    <w:p w:rsidR="00000000" w:rsidRDefault="00000000">
      <w:pPr>
        <w:numPr>
          <w:ilvl w:val="0"/>
          <w:numId w:val="172"/>
        </w:numPr>
        <w:rPr>
          <w:rFonts w:hint="eastAsia"/>
          <w:lang w:val="fr-CH"/>
        </w:rPr>
      </w:pPr>
      <w:r>
        <w:rPr>
          <w:rFonts w:hint="eastAsia"/>
          <w:lang w:val="fr-CH"/>
        </w:rPr>
        <w:t>在厄瓜多尔不拥有任何住房；</w:t>
      </w:r>
    </w:p>
    <w:p w:rsidR="00000000" w:rsidRDefault="00000000">
      <w:pPr>
        <w:numPr>
          <w:ilvl w:val="0"/>
          <w:numId w:val="172"/>
        </w:numPr>
        <w:rPr>
          <w:rFonts w:hint="eastAsia"/>
          <w:lang w:val="fr-CH"/>
        </w:rPr>
      </w:pPr>
      <w:r>
        <w:rPr>
          <w:rFonts w:hint="eastAsia"/>
          <w:lang w:val="fr-CH"/>
        </w:rPr>
        <w:t>收入不超过</w:t>
      </w:r>
      <w:r>
        <w:rPr>
          <w:rFonts w:hint="eastAsia"/>
          <w:lang w:val="fr-CH"/>
        </w:rPr>
        <w:t>600</w:t>
      </w:r>
      <w:r>
        <w:rPr>
          <w:rFonts w:hint="eastAsia"/>
          <w:lang w:val="fr-CH"/>
        </w:rPr>
        <w:t>万苏克雷；</w:t>
      </w:r>
      <w:r>
        <w:rPr>
          <w:rFonts w:hint="eastAsia"/>
          <w:b/>
          <w:vertAlign w:val="superscript"/>
          <w:lang w:val="fr-CH"/>
        </w:rPr>
        <w:t>48</w:t>
      </w:r>
    </w:p>
    <w:p w:rsidR="00000000" w:rsidRDefault="00000000">
      <w:pPr>
        <w:numPr>
          <w:ilvl w:val="0"/>
          <w:numId w:val="172"/>
        </w:numPr>
        <w:rPr>
          <w:rFonts w:hint="eastAsia"/>
          <w:lang w:val="fr-CH"/>
        </w:rPr>
      </w:pPr>
      <w:r>
        <w:rPr>
          <w:rFonts w:hint="eastAsia"/>
          <w:lang w:val="fr-CH"/>
        </w:rPr>
        <w:t>在参加住房奖励制度的任何金融机构开立住房帐户。</w:t>
      </w:r>
    </w:p>
    <w:p w:rsidR="00000000" w:rsidRDefault="00000000">
      <w:pPr>
        <w:pageBreakBefore/>
        <w:widowControl w:val="0"/>
        <w:rPr>
          <w:rFonts w:hint="eastAsia"/>
          <w:lang w:val="fr-CH"/>
        </w:rPr>
      </w:pPr>
      <w:r>
        <w:rPr>
          <w:rFonts w:hint="eastAsia"/>
          <w:lang w:val="fr-CH"/>
        </w:rPr>
        <w:t>一直执行到</w:t>
      </w:r>
      <w:r>
        <w:rPr>
          <w:rFonts w:hint="eastAsia"/>
          <w:lang w:val="fr-CH"/>
        </w:rPr>
        <w:t>1999</w:t>
      </w:r>
      <w:r>
        <w:rPr>
          <w:rFonts w:hint="eastAsia"/>
          <w:lang w:val="fr-CH"/>
        </w:rPr>
        <w:t>年</w:t>
      </w:r>
      <w:r>
        <w:rPr>
          <w:rFonts w:hint="eastAsia"/>
          <w:lang w:val="fr-CH"/>
        </w:rPr>
        <w:t>12</w:t>
      </w:r>
      <w:r>
        <w:rPr>
          <w:rFonts w:hint="eastAsia"/>
          <w:lang w:val="fr-CH"/>
        </w:rPr>
        <w:t>月为止的</w:t>
      </w:r>
      <w:r>
        <w:rPr>
          <w:rFonts w:hint="eastAsia"/>
          <w:lang w:val="fr-CH"/>
        </w:rPr>
        <w:t>ABC</w:t>
      </w:r>
      <w:r>
        <w:rPr>
          <w:rFonts w:hint="eastAsia"/>
          <w:lang w:val="fr-CH"/>
        </w:rPr>
        <w:t>住房计划的执行情况如下：</w:t>
      </w:r>
    </w:p>
    <w:p w:rsidR="00000000" w:rsidRDefault="00000000">
      <w:pPr>
        <w:pStyle w:val="Heading3"/>
        <w:spacing w:before="300" w:after="240"/>
        <w:rPr>
          <w:rFonts w:eastAsia="KaiTi_GB2312" w:hint="eastAsia"/>
          <w:snapToGrid/>
          <w:spacing w:val="0"/>
          <w:kern w:val="0"/>
          <w:u w:val="none"/>
          <w:lang w:val="fr-CH"/>
        </w:rPr>
      </w:pPr>
      <w:r>
        <w:rPr>
          <w:rFonts w:hint="eastAsia"/>
          <w:lang w:val="fr-CH"/>
        </w:rPr>
        <w:t>ABC</w:t>
      </w:r>
      <w:r>
        <w:rPr>
          <w:rFonts w:hint="eastAsia"/>
          <w:lang w:val="fr-CH"/>
        </w:rPr>
        <w:t>新城市住房方案</w:t>
      </w:r>
      <w:r>
        <w:rPr>
          <w:lang w:val="fr-CH"/>
        </w:rPr>
        <w:br/>
      </w:r>
      <w:r>
        <w:rPr>
          <w:rFonts w:eastAsia="KaiTi_GB2312" w:hint="eastAsia"/>
          <w:snapToGrid/>
          <w:spacing w:val="0"/>
          <w:kern w:val="0"/>
          <w:u w:val="none"/>
          <w:lang w:val="fr-CH"/>
        </w:rPr>
        <w:t>(</w:t>
      </w:r>
      <w:r>
        <w:rPr>
          <w:rFonts w:eastAsia="KaiTi_GB2312" w:hint="eastAsia"/>
          <w:snapToGrid/>
          <w:spacing w:val="0"/>
          <w:kern w:val="0"/>
          <w:u w:val="none"/>
          <w:lang w:val="fr-CH"/>
        </w:rPr>
        <w:t>单位：苏克雷</w:t>
      </w:r>
      <w:r>
        <w:rPr>
          <w:rFonts w:eastAsia="KaiTi_GB2312" w:hint="eastAsia"/>
          <w:snapToGrid/>
          <w:spacing w:val="0"/>
          <w:kern w:val="0"/>
          <w:u w:val="none"/>
          <w:lang w:val="fr-CH"/>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000000">
        <w:tblPrEx>
          <w:tblCellMar>
            <w:top w:w="0" w:type="dxa"/>
            <w:bottom w:w="0" w:type="dxa"/>
          </w:tblCellMar>
        </w:tblPrEx>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lang w:val="fr-CH"/>
              </w:rPr>
            </w:pPr>
            <w:r>
              <w:rPr>
                <w:rFonts w:hint="eastAsia"/>
                <w:spacing w:val="4"/>
                <w:sz w:val="20"/>
                <w:u w:val="single"/>
                <w:lang w:val="fr-CH"/>
              </w:rPr>
              <w:t>住房类型</w:t>
            </w:r>
          </w:p>
        </w:tc>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lang w:val="fr-CH"/>
              </w:rPr>
            </w:pPr>
            <w:r>
              <w:rPr>
                <w:rFonts w:hint="eastAsia"/>
                <w:spacing w:val="4"/>
                <w:sz w:val="20"/>
                <w:u w:val="single"/>
                <w:lang w:val="fr-CH"/>
              </w:rPr>
              <w:t>最高价格</w:t>
            </w:r>
          </w:p>
        </w:tc>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lang w:val="fr-CH"/>
              </w:rPr>
            </w:pPr>
            <w:r>
              <w:rPr>
                <w:rFonts w:hint="eastAsia"/>
                <w:spacing w:val="4"/>
                <w:sz w:val="20"/>
                <w:u w:val="single"/>
                <w:lang w:val="fr-CH"/>
              </w:rPr>
              <w:t>首付</w:t>
            </w:r>
          </w:p>
        </w:tc>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lang w:val="fr-CH"/>
              </w:rPr>
            </w:pPr>
            <w:r>
              <w:rPr>
                <w:rFonts w:hint="eastAsia"/>
                <w:spacing w:val="4"/>
                <w:sz w:val="20"/>
                <w:u w:val="single"/>
                <w:lang w:val="fr-CH"/>
              </w:rPr>
              <w:t>补助金额</w:t>
            </w:r>
            <w:r>
              <w:rPr>
                <w:spacing w:val="4"/>
                <w:sz w:val="20"/>
                <w:u w:val="single"/>
                <w:lang w:val="fr-CH"/>
              </w:rPr>
              <w:br/>
            </w:r>
            <w:r>
              <w:rPr>
                <w:rFonts w:hint="eastAsia"/>
                <w:spacing w:val="4"/>
                <w:sz w:val="20"/>
                <w:lang w:val="fr-CH"/>
              </w:rPr>
              <w:t>(</w:t>
            </w:r>
            <w:r>
              <w:rPr>
                <w:rFonts w:hint="eastAsia"/>
                <w:spacing w:val="4"/>
                <w:sz w:val="20"/>
                <w:lang w:val="fr-CH"/>
              </w:rPr>
              <w:t>造价百分比</w:t>
            </w:r>
            <w:r>
              <w:rPr>
                <w:rFonts w:hint="eastAsia"/>
                <w:spacing w:val="4"/>
                <w:sz w:val="20"/>
                <w:lang w:val="fr-CH"/>
              </w:rPr>
              <w:t>)</w:t>
            </w:r>
          </w:p>
        </w:tc>
        <w:tc>
          <w:tcPr>
            <w:tcW w:w="1914" w:type="dxa"/>
            <w:tcBorders>
              <w:bottom w:val="single" w:sz="4" w:space="0" w:color="auto"/>
            </w:tcBorders>
            <w:vAlign w:val="center"/>
          </w:tcPr>
          <w:p w:rsidR="00000000" w:rsidRDefault="00000000">
            <w:pPr>
              <w:spacing w:before="60" w:line="240" w:lineRule="exact"/>
              <w:jc w:val="center"/>
              <w:rPr>
                <w:rFonts w:hint="eastAsia"/>
                <w:spacing w:val="4"/>
                <w:sz w:val="20"/>
                <w:u w:val="single"/>
                <w:lang w:val="fr-CH"/>
              </w:rPr>
            </w:pPr>
            <w:r>
              <w:rPr>
                <w:rFonts w:hint="eastAsia"/>
                <w:spacing w:val="4"/>
                <w:sz w:val="20"/>
                <w:u w:val="single"/>
                <w:lang w:val="fr-CH"/>
              </w:rPr>
              <w:t>贷</w:t>
            </w:r>
            <w:r>
              <w:rPr>
                <w:rFonts w:hint="eastAsia"/>
                <w:spacing w:val="4"/>
                <w:sz w:val="20"/>
                <w:u w:val="single"/>
                <w:lang w:val="fr-CH"/>
              </w:rPr>
              <w:t xml:space="preserve"> </w:t>
            </w:r>
            <w:r>
              <w:rPr>
                <w:rFonts w:hint="eastAsia"/>
                <w:spacing w:val="4"/>
                <w:sz w:val="20"/>
                <w:u w:val="single"/>
                <w:lang w:val="fr-CH"/>
              </w:rPr>
              <w:t>款</w:t>
            </w:r>
            <w:r>
              <w:rPr>
                <w:rFonts w:hint="eastAsia"/>
                <w:spacing w:val="4"/>
                <w:sz w:val="20"/>
                <w:lang w:val="fr-CH"/>
              </w:rPr>
              <w:t xml:space="preserve"> *</w:t>
            </w:r>
          </w:p>
        </w:tc>
      </w:tr>
      <w:tr w:rsidR="00000000">
        <w:tblPrEx>
          <w:tblCellMar>
            <w:top w:w="0" w:type="dxa"/>
            <w:bottom w:w="0" w:type="dxa"/>
          </w:tblCellMar>
        </w:tblPrEx>
        <w:tc>
          <w:tcPr>
            <w:tcW w:w="1914" w:type="dxa"/>
            <w:tcBorders>
              <w:bottom w:val="nil"/>
            </w:tcBorders>
          </w:tcPr>
          <w:p w:rsidR="00000000" w:rsidRDefault="00000000">
            <w:pPr>
              <w:spacing w:before="60" w:line="240" w:lineRule="exact"/>
              <w:jc w:val="center"/>
              <w:rPr>
                <w:spacing w:val="4"/>
                <w:sz w:val="20"/>
                <w:szCs w:val="23"/>
              </w:rPr>
            </w:pPr>
            <w:r>
              <w:rPr>
                <w:spacing w:val="4"/>
                <w:sz w:val="20"/>
                <w:szCs w:val="23"/>
              </w:rPr>
              <w:t>1</w:t>
            </w:r>
          </w:p>
        </w:tc>
        <w:tc>
          <w:tcPr>
            <w:tcW w:w="1914" w:type="dxa"/>
            <w:tcBorders>
              <w:bottom w:val="nil"/>
            </w:tcBorders>
          </w:tcPr>
          <w:p w:rsidR="00000000" w:rsidRDefault="00000000">
            <w:pPr>
              <w:spacing w:before="60" w:line="240" w:lineRule="exact"/>
              <w:ind w:right="282"/>
              <w:jc w:val="right"/>
              <w:rPr>
                <w:spacing w:val="4"/>
                <w:sz w:val="20"/>
                <w:szCs w:val="23"/>
              </w:rPr>
            </w:pPr>
            <w:r>
              <w:rPr>
                <w:spacing w:val="4"/>
                <w:sz w:val="20"/>
                <w:szCs w:val="23"/>
              </w:rPr>
              <w:t>38,400,000</w:t>
            </w:r>
          </w:p>
        </w:tc>
        <w:tc>
          <w:tcPr>
            <w:tcW w:w="1914" w:type="dxa"/>
            <w:tcBorders>
              <w:bottom w:val="nil"/>
            </w:tcBorders>
          </w:tcPr>
          <w:p w:rsidR="00000000" w:rsidRDefault="00000000">
            <w:pPr>
              <w:spacing w:before="60" w:line="240" w:lineRule="exact"/>
              <w:ind w:right="375"/>
              <w:jc w:val="right"/>
              <w:rPr>
                <w:spacing w:val="4"/>
                <w:sz w:val="20"/>
                <w:szCs w:val="23"/>
              </w:rPr>
            </w:pPr>
            <w:r>
              <w:rPr>
                <w:spacing w:val="4"/>
                <w:sz w:val="20"/>
                <w:szCs w:val="23"/>
              </w:rPr>
              <w:t>3,840,000</w:t>
            </w:r>
          </w:p>
        </w:tc>
        <w:tc>
          <w:tcPr>
            <w:tcW w:w="1914" w:type="dxa"/>
            <w:tcBorders>
              <w:bottom w:val="nil"/>
            </w:tcBorders>
          </w:tcPr>
          <w:p w:rsidR="00000000" w:rsidRDefault="00000000">
            <w:pPr>
              <w:spacing w:before="60" w:line="240" w:lineRule="exact"/>
              <w:jc w:val="center"/>
              <w:rPr>
                <w:spacing w:val="4"/>
                <w:sz w:val="20"/>
              </w:rPr>
            </w:pPr>
            <w:r>
              <w:rPr>
                <w:spacing w:val="4"/>
                <w:sz w:val="20"/>
                <w:szCs w:val="23"/>
              </w:rPr>
              <w:t>60</w:t>
            </w:r>
          </w:p>
        </w:tc>
        <w:tc>
          <w:tcPr>
            <w:tcW w:w="1914" w:type="dxa"/>
            <w:tcBorders>
              <w:bottom w:val="nil"/>
            </w:tcBorders>
          </w:tcPr>
          <w:p w:rsidR="00000000" w:rsidRDefault="00000000">
            <w:pPr>
              <w:spacing w:before="60" w:line="240" w:lineRule="exact"/>
              <w:rPr>
                <w:rFonts w:hint="eastAsia"/>
                <w:spacing w:val="4"/>
                <w:sz w:val="20"/>
                <w:lang w:val="fr-CH"/>
              </w:rPr>
            </w:pPr>
          </w:p>
        </w:tc>
      </w:tr>
      <w:tr w:rsidR="00000000">
        <w:tblPrEx>
          <w:tblCellMar>
            <w:top w:w="0" w:type="dxa"/>
            <w:bottom w:w="0" w:type="dxa"/>
          </w:tblCellMar>
        </w:tblPrEx>
        <w:tc>
          <w:tcPr>
            <w:tcW w:w="1914" w:type="dxa"/>
            <w:tcBorders>
              <w:top w:val="nil"/>
              <w:bottom w:val="nil"/>
            </w:tcBorders>
          </w:tcPr>
          <w:p w:rsidR="00000000" w:rsidRDefault="00000000">
            <w:pPr>
              <w:spacing w:before="60" w:line="240" w:lineRule="exact"/>
              <w:jc w:val="center"/>
              <w:rPr>
                <w:spacing w:val="4"/>
                <w:sz w:val="20"/>
                <w:szCs w:val="23"/>
              </w:rPr>
            </w:pPr>
            <w:r>
              <w:rPr>
                <w:spacing w:val="4"/>
                <w:sz w:val="20"/>
                <w:szCs w:val="23"/>
              </w:rPr>
              <w:t>2</w:t>
            </w:r>
          </w:p>
        </w:tc>
        <w:tc>
          <w:tcPr>
            <w:tcW w:w="1914" w:type="dxa"/>
            <w:tcBorders>
              <w:top w:val="nil"/>
              <w:bottom w:val="nil"/>
            </w:tcBorders>
          </w:tcPr>
          <w:p w:rsidR="00000000" w:rsidRDefault="00000000">
            <w:pPr>
              <w:spacing w:before="60" w:line="240" w:lineRule="exact"/>
              <w:ind w:right="282"/>
              <w:jc w:val="right"/>
              <w:rPr>
                <w:spacing w:val="4"/>
                <w:sz w:val="20"/>
                <w:szCs w:val="23"/>
              </w:rPr>
            </w:pPr>
            <w:r>
              <w:rPr>
                <w:spacing w:val="4"/>
                <w:sz w:val="20"/>
                <w:szCs w:val="23"/>
              </w:rPr>
              <w:t>54,000,000</w:t>
            </w:r>
          </w:p>
        </w:tc>
        <w:tc>
          <w:tcPr>
            <w:tcW w:w="1914" w:type="dxa"/>
            <w:tcBorders>
              <w:top w:val="nil"/>
              <w:bottom w:val="nil"/>
            </w:tcBorders>
          </w:tcPr>
          <w:p w:rsidR="00000000" w:rsidRDefault="00000000">
            <w:pPr>
              <w:spacing w:before="60" w:line="240" w:lineRule="exact"/>
              <w:ind w:right="375"/>
              <w:jc w:val="right"/>
              <w:rPr>
                <w:spacing w:val="4"/>
                <w:sz w:val="20"/>
                <w:szCs w:val="23"/>
              </w:rPr>
            </w:pPr>
            <w:r>
              <w:rPr>
                <w:spacing w:val="4"/>
                <w:sz w:val="20"/>
                <w:szCs w:val="23"/>
              </w:rPr>
              <w:t>5,400,000</w:t>
            </w:r>
          </w:p>
        </w:tc>
        <w:tc>
          <w:tcPr>
            <w:tcW w:w="1914" w:type="dxa"/>
            <w:tcBorders>
              <w:top w:val="nil"/>
              <w:bottom w:val="nil"/>
            </w:tcBorders>
          </w:tcPr>
          <w:p w:rsidR="00000000" w:rsidRDefault="00000000">
            <w:pPr>
              <w:spacing w:before="60" w:line="240" w:lineRule="exact"/>
              <w:jc w:val="center"/>
              <w:rPr>
                <w:spacing w:val="4"/>
                <w:sz w:val="20"/>
              </w:rPr>
            </w:pPr>
            <w:r>
              <w:rPr>
                <w:spacing w:val="4"/>
                <w:sz w:val="20"/>
                <w:szCs w:val="23"/>
              </w:rPr>
              <w:t>50</w:t>
            </w:r>
          </w:p>
        </w:tc>
        <w:tc>
          <w:tcPr>
            <w:tcW w:w="1914" w:type="dxa"/>
            <w:tcBorders>
              <w:top w:val="nil"/>
              <w:bottom w:val="nil"/>
            </w:tcBorders>
          </w:tcPr>
          <w:p w:rsidR="00000000" w:rsidRDefault="00000000">
            <w:pPr>
              <w:spacing w:before="60" w:line="240" w:lineRule="exact"/>
              <w:rPr>
                <w:rFonts w:hint="eastAsia"/>
                <w:spacing w:val="4"/>
                <w:sz w:val="20"/>
                <w:lang w:val="fr-CH"/>
              </w:rPr>
            </w:pPr>
          </w:p>
        </w:tc>
      </w:tr>
      <w:tr w:rsidR="00000000">
        <w:tblPrEx>
          <w:tblCellMar>
            <w:top w:w="0" w:type="dxa"/>
            <w:bottom w:w="0" w:type="dxa"/>
          </w:tblCellMar>
        </w:tblPrEx>
        <w:tc>
          <w:tcPr>
            <w:tcW w:w="1914" w:type="dxa"/>
            <w:tcBorders>
              <w:top w:val="nil"/>
              <w:bottom w:val="nil"/>
            </w:tcBorders>
          </w:tcPr>
          <w:p w:rsidR="00000000" w:rsidRDefault="00000000">
            <w:pPr>
              <w:spacing w:before="60" w:line="240" w:lineRule="exact"/>
              <w:jc w:val="center"/>
              <w:rPr>
                <w:spacing w:val="4"/>
                <w:sz w:val="20"/>
                <w:szCs w:val="23"/>
              </w:rPr>
            </w:pPr>
            <w:r>
              <w:rPr>
                <w:spacing w:val="4"/>
                <w:sz w:val="20"/>
                <w:szCs w:val="23"/>
              </w:rPr>
              <w:t>3</w:t>
            </w:r>
          </w:p>
        </w:tc>
        <w:tc>
          <w:tcPr>
            <w:tcW w:w="1914" w:type="dxa"/>
            <w:tcBorders>
              <w:top w:val="nil"/>
              <w:bottom w:val="nil"/>
            </w:tcBorders>
          </w:tcPr>
          <w:p w:rsidR="00000000" w:rsidRDefault="00000000">
            <w:pPr>
              <w:spacing w:before="60" w:line="240" w:lineRule="exact"/>
              <w:ind w:right="282"/>
              <w:jc w:val="right"/>
              <w:rPr>
                <w:spacing w:val="4"/>
                <w:sz w:val="20"/>
                <w:szCs w:val="23"/>
              </w:rPr>
            </w:pPr>
            <w:r>
              <w:rPr>
                <w:spacing w:val="4"/>
                <w:sz w:val="20"/>
                <w:szCs w:val="23"/>
              </w:rPr>
              <w:t>66,000,000</w:t>
            </w:r>
          </w:p>
        </w:tc>
        <w:tc>
          <w:tcPr>
            <w:tcW w:w="1914" w:type="dxa"/>
            <w:tcBorders>
              <w:top w:val="nil"/>
              <w:bottom w:val="nil"/>
            </w:tcBorders>
          </w:tcPr>
          <w:p w:rsidR="00000000" w:rsidRDefault="00000000">
            <w:pPr>
              <w:spacing w:before="60" w:line="240" w:lineRule="exact"/>
              <w:ind w:right="375"/>
              <w:jc w:val="right"/>
              <w:rPr>
                <w:spacing w:val="4"/>
                <w:sz w:val="20"/>
                <w:szCs w:val="23"/>
              </w:rPr>
            </w:pPr>
            <w:r>
              <w:rPr>
                <w:spacing w:val="4"/>
                <w:sz w:val="20"/>
                <w:szCs w:val="23"/>
              </w:rPr>
              <w:t>6,600,000</w:t>
            </w:r>
          </w:p>
        </w:tc>
        <w:tc>
          <w:tcPr>
            <w:tcW w:w="1914" w:type="dxa"/>
            <w:tcBorders>
              <w:top w:val="nil"/>
              <w:bottom w:val="nil"/>
            </w:tcBorders>
          </w:tcPr>
          <w:p w:rsidR="00000000" w:rsidRDefault="00000000">
            <w:pPr>
              <w:spacing w:before="60" w:line="240" w:lineRule="exact"/>
              <w:jc w:val="center"/>
              <w:rPr>
                <w:spacing w:val="4"/>
                <w:sz w:val="20"/>
              </w:rPr>
            </w:pPr>
            <w:r>
              <w:rPr>
                <w:spacing w:val="4"/>
                <w:sz w:val="20"/>
                <w:szCs w:val="23"/>
              </w:rPr>
              <w:t>40</w:t>
            </w:r>
          </w:p>
        </w:tc>
        <w:tc>
          <w:tcPr>
            <w:tcW w:w="1914" w:type="dxa"/>
            <w:tcBorders>
              <w:top w:val="nil"/>
              <w:bottom w:val="nil"/>
            </w:tcBorders>
          </w:tcPr>
          <w:p w:rsidR="00000000" w:rsidRDefault="00000000">
            <w:pPr>
              <w:spacing w:before="60" w:line="240" w:lineRule="exact"/>
              <w:rPr>
                <w:rFonts w:hint="eastAsia"/>
                <w:spacing w:val="4"/>
                <w:sz w:val="20"/>
                <w:lang w:val="fr-CH"/>
              </w:rPr>
            </w:pPr>
          </w:p>
        </w:tc>
      </w:tr>
      <w:tr w:rsidR="00000000">
        <w:tblPrEx>
          <w:tblCellMar>
            <w:top w:w="0" w:type="dxa"/>
            <w:bottom w:w="0" w:type="dxa"/>
          </w:tblCellMar>
        </w:tblPrEx>
        <w:tc>
          <w:tcPr>
            <w:tcW w:w="1914" w:type="dxa"/>
            <w:tcBorders>
              <w:top w:val="nil"/>
              <w:bottom w:val="nil"/>
            </w:tcBorders>
          </w:tcPr>
          <w:p w:rsidR="00000000" w:rsidRDefault="00000000">
            <w:pPr>
              <w:spacing w:before="60" w:line="240" w:lineRule="exact"/>
              <w:jc w:val="center"/>
              <w:rPr>
                <w:spacing w:val="4"/>
                <w:sz w:val="20"/>
                <w:szCs w:val="23"/>
              </w:rPr>
            </w:pPr>
            <w:r>
              <w:rPr>
                <w:spacing w:val="4"/>
                <w:sz w:val="20"/>
                <w:szCs w:val="23"/>
              </w:rPr>
              <w:t>4</w:t>
            </w:r>
          </w:p>
        </w:tc>
        <w:tc>
          <w:tcPr>
            <w:tcW w:w="1914" w:type="dxa"/>
            <w:tcBorders>
              <w:top w:val="nil"/>
              <w:bottom w:val="nil"/>
            </w:tcBorders>
          </w:tcPr>
          <w:p w:rsidR="00000000" w:rsidRDefault="00000000">
            <w:pPr>
              <w:spacing w:before="60" w:line="240" w:lineRule="exact"/>
              <w:ind w:right="282"/>
              <w:jc w:val="right"/>
              <w:rPr>
                <w:spacing w:val="4"/>
                <w:sz w:val="20"/>
                <w:szCs w:val="23"/>
              </w:rPr>
            </w:pPr>
            <w:r>
              <w:rPr>
                <w:spacing w:val="4"/>
                <w:sz w:val="20"/>
                <w:szCs w:val="23"/>
              </w:rPr>
              <w:t>78,000,000</w:t>
            </w:r>
          </w:p>
        </w:tc>
        <w:tc>
          <w:tcPr>
            <w:tcW w:w="1914" w:type="dxa"/>
            <w:tcBorders>
              <w:top w:val="nil"/>
              <w:bottom w:val="nil"/>
            </w:tcBorders>
          </w:tcPr>
          <w:p w:rsidR="00000000" w:rsidRDefault="00000000">
            <w:pPr>
              <w:spacing w:before="60" w:line="240" w:lineRule="exact"/>
              <w:ind w:right="375"/>
              <w:jc w:val="right"/>
              <w:rPr>
                <w:spacing w:val="4"/>
                <w:sz w:val="20"/>
                <w:szCs w:val="23"/>
              </w:rPr>
            </w:pPr>
            <w:r>
              <w:rPr>
                <w:spacing w:val="4"/>
                <w:sz w:val="20"/>
                <w:szCs w:val="23"/>
              </w:rPr>
              <w:t>11,700,000</w:t>
            </w:r>
          </w:p>
        </w:tc>
        <w:tc>
          <w:tcPr>
            <w:tcW w:w="1914" w:type="dxa"/>
            <w:tcBorders>
              <w:top w:val="nil"/>
              <w:bottom w:val="nil"/>
            </w:tcBorders>
          </w:tcPr>
          <w:p w:rsidR="00000000" w:rsidRDefault="00000000">
            <w:pPr>
              <w:spacing w:before="60" w:line="240" w:lineRule="exact"/>
              <w:jc w:val="center"/>
              <w:rPr>
                <w:spacing w:val="4"/>
                <w:sz w:val="20"/>
              </w:rPr>
            </w:pPr>
            <w:r>
              <w:rPr>
                <w:spacing w:val="4"/>
                <w:sz w:val="20"/>
                <w:szCs w:val="23"/>
              </w:rPr>
              <w:t>30</w:t>
            </w:r>
          </w:p>
        </w:tc>
        <w:tc>
          <w:tcPr>
            <w:tcW w:w="1914" w:type="dxa"/>
            <w:tcBorders>
              <w:top w:val="nil"/>
              <w:bottom w:val="nil"/>
            </w:tcBorders>
          </w:tcPr>
          <w:p w:rsidR="00000000" w:rsidRDefault="00000000">
            <w:pPr>
              <w:spacing w:before="60" w:line="240" w:lineRule="exact"/>
              <w:rPr>
                <w:rFonts w:hint="eastAsia"/>
                <w:spacing w:val="4"/>
                <w:sz w:val="20"/>
                <w:lang w:val="fr-CH"/>
              </w:rPr>
            </w:pPr>
          </w:p>
        </w:tc>
      </w:tr>
      <w:tr w:rsidR="00000000">
        <w:tblPrEx>
          <w:tblCellMar>
            <w:top w:w="0" w:type="dxa"/>
            <w:bottom w:w="0" w:type="dxa"/>
          </w:tblCellMar>
        </w:tblPrEx>
        <w:tc>
          <w:tcPr>
            <w:tcW w:w="1914" w:type="dxa"/>
            <w:tcBorders>
              <w:top w:val="nil"/>
              <w:bottom w:val="nil"/>
            </w:tcBorders>
          </w:tcPr>
          <w:p w:rsidR="00000000" w:rsidRDefault="00000000">
            <w:pPr>
              <w:spacing w:before="60" w:line="240" w:lineRule="exact"/>
              <w:jc w:val="center"/>
              <w:rPr>
                <w:spacing w:val="4"/>
                <w:sz w:val="20"/>
                <w:szCs w:val="23"/>
              </w:rPr>
            </w:pPr>
            <w:r>
              <w:rPr>
                <w:spacing w:val="4"/>
                <w:sz w:val="20"/>
                <w:szCs w:val="23"/>
              </w:rPr>
              <w:t>5</w:t>
            </w:r>
          </w:p>
        </w:tc>
        <w:tc>
          <w:tcPr>
            <w:tcW w:w="1914" w:type="dxa"/>
            <w:tcBorders>
              <w:top w:val="nil"/>
              <w:bottom w:val="nil"/>
            </w:tcBorders>
          </w:tcPr>
          <w:p w:rsidR="00000000" w:rsidRDefault="00000000">
            <w:pPr>
              <w:spacing w:before="60" w:line="240" w:lineRule="exact"/>
              <w:ind w:right="282"/>
              <w:jc w:val="right"/>
              <w:rPr>
                <w:spacing w:val="4"/>
                <w:sz w:val="20"/>
                <w:szCs w:val="23"/>
              </w:rPr>
            </w:pPr>
            <w:r>
              <w:rPr>
                <w:spacing w:val="4"/>
                <w:sz w:val="20"/>
                <w:szCs w:val="23"/>
              </w:rPr>
              <w:t>90,000,000</w:t>
            </w:r>
          </w:p>
        </w:tc>
        <w:tc>
          <w:tcPr>
            <w:tcW w:w="1914" w:type="dxa"/>
            <w:tcBorders>
              <w:top w:val="nil"/>
              <w:bottom w:val="nil"/>
            </w:tcBorders>
          </w:tcPr>
          <w:p w:rsidR="00000000" w:rsidRDefault="00000000">
            <w:pPr>
              <w:spacing w:before="60" w:line="240" w:lineRule="exact"/>
              <w:ind w:right="375"/>
              <w:jc w:val="right"/>
              <w:rPr>
                <w:spacing w:val="4"/>
                <w:sz w:val="20"/>
                <w:szCs w:val="23"/>
              </w:rPr>
            </w:pPr>
            <w:r>
              <w:rPr>
                <w:spacing w:val="4"/>
                <w:sz w:val="20"/>
                <w:szCs w:val="23"/>
              </w:rPr>
              <w:t>13,500,000</w:t>
            </w:r>
          </w:p>
        </w:tc>
        <w:tc>
          <w:tcPr>
            <w:tcW w:w="1914" w:type="dxa"/>
            <w:tcBorders>
              <w:top w:val="nil"/>
              <w:bottom w:val="nil"/>
            </w:tcBorders>
          </w:tcPr>
          <w:p w:rsidR="00000000" w:rsidRDefault="00000000">
            <w:pPr>
              <w:spacing w:before="60" w:line="240" w:lineRule="exact"/>
              <w:jc w:val="center"/>
              <w:rPr>
                <w:spacing w:val="4"/>
                <w:sz w:val="20"/>
              </w:rPr>
            </w:pPr>
            <w:r>
              <w:rPr>
                <w:spacing w:val="4"/>
                <w:sz w:val="20"/>
                <w:szCs w:val="23"/>
              </w:rPr>
              <w:t>20</w:t>
            </w:r>
          </w:p>
        </w:tc>
        <w:tc>
          <w:tcPr>
            <w:tcW w:w="1914" w:type="dxa"/>
            <w:tcBorders>
              <w:top w:val="nil"/>
              <w:bottom w:val="nil"/>
            </w:tcBorders>
          </w:tcPr>
          <w:p w:rsidR="00000000" w:rsidRDefault="00000000">
            <w:pPr>
              <w:spacing w:before="60" w:line="240" w:lineRule="exact"/>
              <w:rPr>
                <w:rFonts w:hint="eastAsia"/>
                <w:spacing w:val="4"/>
                <w:sz w:val="20"/>
                <w:lang w:val="fr-CH"/>
              </w:rPr>
            </w:pPr>
          </w:p>
        </w:tc>
      </w:tr>
      <w:tr w:rsidR="00000000">
        <w:tblPrEx>
          <w:tblCellMar>
            <w:top w:w="0" w:type="dxa"/>
            <w:bottom w:w="0" w:type="dxa"/>
          </w:tblCellMar>
        </w:tblPrEx>
        <w:tc>
          <w:tcPr>
            <w:tcW w:w="1914" w:type="dxa"/>
            <w:tcBorders>
              <w:top w:val="nil"/>
            </w:tcBorders>
          </w:tcPr>
          <w:p w:rsidR="00000000" w:rsidRDefault="00000000">
            <w:pPr>
              <w:spacing w:before="60" w:line="240" w:lineRule="exact"/>
              <w:jc w:val="center"/>
              <w:rPr>
                <w:spacing w:val="4"/>
                <w:sz w:val="20"/>
                <w:szCs w:val="23"/>
              </w:rPr>
            </w:pPr>
            <w:r>
              <w:rPr>
                <w:spacing w:val="4"/>
                <w:sz w:val="20"/>
                <w:szCs w:val="23"/>
              </w:rPr>
              <w:t>6</w:t>
            </w:r>
          </w:p>
        </w:tc>
        <w:tc>
          <w:tcPr>
            <w:tcW w:w="1914" w:type="dxa"/>
            <w:tcBorders>
              <w:top w:val="nil"/>
            </w:tcBorders>
          </w:tcPr>
          <w:p w:rsidR="00000000" w:rsidRDefault="00000000">
            <w:pPr>
              <w:spacing w:before="60" w:line="240" w:lineRule="exact"/>
              <w:ind w:right="282"/>
              <w:jc w:val="right"/>
              <w:rPr>
                <w:spacing w:val="4"/>
                <w:sz w:val="20"/>
                <w:szCs w:val="23"/>
              </w:rPr>
            </w:pPr>
            <w:r>
              <w:rPr>
                <w:spacing w:val="4"/>
                <w:sz w:val="20"/>
                <w:szCs w:val="23"/>
              </w:rPr>
              <w:t>102,000,000</w:t>
            </w:r>
          </w:p>
        </w:tc>
        <w:tc>
          <w:tcPr>
            <w:tcW w:w="1914" w:type="dxa"/>
            <w:tcBorders>
              <w:top w:val="nil"/>
            </w:tcBorders>
          </w:tcPr>
          <w:p w:rsidR="00000000" w:rsidRDefault="00000000">
            <w:pPr>
              <w:spacing w:before="60" w:line="240" w:lineRule="exact"/>
              <w:ind w:right="375"/>
              <w:jc w:val="right"/>
              <w:rPr>
                <w:spacing w:val="4"/>
                <w:sz w:val="20"/>
                <w:szCs w:val="23"/>
              </w:rPr>
            </w:pPr>
            <w:r>
              <w:rPr>
                <w:spacing w:val="4"/>
                <w:sz w:val="20"/>
                <w:szCs w:val="23"/>
              </w:rPr>
              <w:t>15,300,000</w:t>
            </w:r>
          </w:p>
        </w:tc>
        <w:tc>
          <w:tcPr>
            <w:tcW w:w="1914" w:type="dxa"/>
            <w:tcBorders>
              <w:top w:val="nil"/>
            </w:tcBorders>
          </w:tcPr>
          <w:p w:rsidR="00000000" w:rsidRDefault="00000000">
            <w:pPr>
              <w:spacing w:before="60" w:line="240" w:lineRule="exact"/>
              <w:jc w:val="center"/>
              <w:rPr>
                <w:spacing w:val="4"/>
                <w:sz w:val="20"/>
              </w:rPr>
            </w:pPr>
            <w:r>
              <w:rPr>
                <w:spacing w:val="4"/>
                <w:sz w:val="20"/>
                <w:szCs w:val="23"/>
              </w:rPr>
              <w:t>10</w:t>
            </w:r>
          </w:p>
        </w:tc>
        <w:tc>
          <w:tcPr>
            <w:tcW w:w="1914" w:type="dxa"/>
            <w:tcBorders>
              <w:top w:val="nil"/>
            </w:tcBorders>
          </w:tcPr>
          <w:p w:rsidR="00000000" w:rsidRDefault="00000000">
            <w:pPr>
              <w:spacing w:before="60" w:line="240" w:lineRule="exact"/>
              <w:rPr>
                <w:rFonts w:hint="eastAsia"/>
                <w:spacing w:val="4"/>
                <w:sz w:val="20"/>
                <w:lang w:val="fr-CH"/>
              </w:rPr>
            </w:pPr>
          </w:p>
        </w:tc>
      </w:tr>
    </w:tbl>
    <w:p w:rsidR="00000000" w:rsidRDefault="00000000">
      <w:pPr>
        <w:pStyle w:val="FootnoteText"/>
        <w:spacing w:before="300"/>
        <w:rPr>
          <w:rFonts w:hint="eastAsia"/>
          <w:lang w:val="fr-CH"/>
        </w:rPr>
      </w:pPr>
      <w:r>
        <w:rPr>
          <w:rFonts w:hint="eastAsia"/>
          <w:lang w:val="fr-CH"/>
        </w:rPr>
        <w:t>注：价值定期调整。</w:t>
      </w:r>
    </w:p>
    <w:p w:rsidR="00000000" w:rsidRDefault="00000000">
      <w:pPr>
        <w:pStyle w:val="FootnoteText"/>
        <w:spacing w:after="240"/>
        <w:rPr>
          <w:rFonts w:hint="eastAsia"/>
          <w:lang w:val="fr-CH"/>
        </w:rPr>
      </w:pPr>
      <w:r>
        <w:rPr>
          <w:rFonts w:hint="eastAsia"/>
          <w:lang w:val="fr-CH"/>
        </w:rPr>
        <w:t>*</w:t>
      </w:r>
      <w:r>
        <w:rPr>
          <w:rFonts w:hint="eastAsia"/>
          <w:lang w:val="fr-CH"/>
        </w:rPr>
        <w:tab/>
      </w:r>
      <w:r>
        <w:rPr>
          <w:rFonts w:hint="eastAsia"/>
          <w:lang w:val="fr-CH"/>
        </w:rPr>
        <w:t>贷款金额为补足买房人希望购买的住房价格的金额。</w:t>
      </w:r>
    </w:p>
    <w:p w:rsidR="00000000" w:rsidRDefault="00000000">
      <w:pPr>
        <w:rPr>
          <w:rFonts w:hint="eastAsia"/>
        </w:rPr>
      </w:pPr>
      <w:r>
        <w:rPr>
          <w:rFonts w:hint="eastAsia"/>
        </w:rPr>
        <w:tab/>
        <w:t xml:space="preserve">371.  </w:t>
      </w:r>
      <w:r>
        <w:rPr>
          <w:rFonts w:hint="eastAsia"/>
        </w:rPr>
        <w:t>“城市住房翻新补助金”直接发放给家庭，以供给翻新、整修、扩大或更换住房。申请人必须：</w:t>
      </w:r>
    </w:p>
    <w:p w:rsidR="00000000" w:rsidRDefault="00000000">
      <w:pPr>
        <w:numPr>
          <w:ilvl w:val="0"/>
          <w:numId w:val="173"/>
        </w:numPr>
        <w:rPr>
          <w:rFonts w:hint="eastAsia"/>
        </w:rPr>
      </w:pPr>
      <w:r>
        <w:rPr>
          <w:rFonts w:hint="eastAsia"/>
        </w:rPr>
        <w:t>是厄瓜多尔成年公民；</w:t>
      </w:r>
    </w:p>
    <w:p w:rsidR="00000000" w:rsidRDefault="00000000">
      <w:pPr>
        <w:numPr>
          <w:ilvl w:val="0"/>
          <w:numId w:val="173"/>
        </w:numPr>
        <w:rPr>
          <w:rFonts w:hint="eastAsia"/>
        </w:rPr>
      </w:pPr>
      <w:r>
        <w:rPr>
          <w:rFonts w:hint="eastAsia"/>
        </w:rPr>
        <w:t>待翻新的房屋为自己拥有；</w:t>
      </w:r>
    </w:p>
    <w:p w:rsidR="00000000" w:rsidRDefault="00000000">
      <w:pPr>
        <w:numPr>
          <w:ilvl w:val="0"/>
          <w:numId w:val="173"/>
        </w:numPr>
        <w:rPr>
          <w:rFonts w:hint="eastAsia"/>
        </w:rPr>
      </w:pPr>
      <w:r>
        <w:rPr>
          <w:rFonts w:hint="eastAsia"/>
        </w:rPr>
        <w:t>家庭月收入不超过</w:t>
      </w:r>
      <w:r>
        <w:rPr>
          <w:rFonts w:hint="eastAsia"/>
        </w:rPr>
        <w:t>330</w:t>
      </w:r>
      <w:r>
        <w:rPr>
          <w:rFonts w:hint="eastAsia"/>
        </w:rPr>
        <w:t>万苏克雷；</w:t>
      </w:r>
    </w:p>
    <w:p w:rsidR="00000000" w:rsidRDefault="00000000">
      <w:pPr>
        <w:numPr>
          <w:ilvl w:val="0"/>
          <w:numId w:val="173"/>
        </w:numPr>
        <w:rPr>
          <w:rFonts w:hint="eastAsia"/>
        </w:rPr>
      </w:pPr>
      <w:r>
        <w:rPr>
          <w:rFonts w:hint="eastAsia"/>
        </w:rPr>
        <w:t>住在城市地区；</w:t>
      </w:r>
    </w:p>
    <w:p w:rsidR="00000000" w:rsidRDefault="00000000">
      <w:pPr>
        <w:numPr>
          <w:ilvl w:val="0"/>
          <w:numId w:val="173"/>
        </w:numPr>
        <w:rPr>
          <w:rFonts w:hint="eastAsia"/>
        </w:rPr>
      </w:pPr>
      <w:r>
        <w:rPr>
          <w:rFonts w:hint="eastAsia"/>
        </w:rPr>
        <w:t>自己拥有的待改善的住房连地皮在一起价值不超过</w:t>
      </w:r>
      <w:r>
        <w:rPr>
          <w:rFonts w:hint="eastAsia"/>
        </w:rPr>
        <w:t>6,000</w:t>
      </w:r>
      <w:r>
        <w:rPr>
          <w:rFonts w:hint="eastAsia"/>
        </w:rPr>
        <w:t>万苏克雷。</w:t>
      </w:r>
    </w:p>
    <w:p w:rsidR="00000000" w:rsidRDefault="00000000">
      <w:pPr>
        <w:rPr>
          <w:rFonts w:hint="eastAsia"/>
        </w:rPr>
      </w:pPr>
      <w:r>
        <w:rPr>
          <w:rFonts w:hint="eastAsia"/>
        </w:rPr>
        <w:tab/>
        <w:t xml:space="preserve">372.  </w:t>
      </w:r>
      <w:r>
        <w:rPr>
          <w:rFonts w:hint="eastAsia"/>
        </w:rPr>
        <w:t>农村和城郊地区住房</w:t>
      </w:r>
      <w:r>
        <w:rPr>
          <w:rFonts w:hint="eastAsia"/>
        </w:rPr>
        <w:t>ABC</w:t>
      </w:r>
      <w:r>
        <w:rPr>
          <w:rFonts w:hint="eastAsia"/>
        </w:rPr>
        <w:t>计划的组织形式如下：</w:t>
      </w:r>
    </w:p>
    <w:p w:rsidR="00000000" w:rsidRDefault="00000000">
      <w:pPr>
        <w:pStyle w:val="a0"/>
        <w:ind w:left="1995" w:hanging="975"/>
        <w:rPr>
          <w:rFonts w:hint="eastAsia"/>
        </w:rPr>
      </w:pPr>
      <w:r>
        <w:rPr>
          <w:rFonts w:hint="eastAsia"/>
        </w:rPr>
        <w:t>A</w:t>
      </w:r>
      <w:r>
        <w:rPr>
          <w:rFonts w:hint="eastAsia"/>
        </w:rPr>
        <w:t>：是指</w:t>
      </w:r>
      <w:r>
        <w:t>ahorro</w:t>
      </w:r>
      <w:r>
        <w:rPr>
          <w:rFonts w:hint="eastAsia"/>
        </w:rPr>
        <w:t>(</w:t>
      </w:r>
      <w:r>
        <w:rPr>
          <w:rFonts w:hint="eastAsia"/>
        </w:rPr>
        <w:t>储蓄</w:t>
      </w:r>
      <w:r>
        <w:rPr>
          <w:rFonts w:hint="eastAsia"/>
        </w:rPr>
        <w:t>)</w:t>
      </w:r>
      <w:r>
        <w:rPr>
          <w:rFonts w:hint="eastAsia"/>
        </w:rPr>
        <w:t>、</w:t>
      </w:r>
      <w:r>
        <w:t>autogestión(</w:t>
      </w:r>
      <w:r>
        <w:rPr>
          <w:rFonts w:hint="eastAsia"/>
        </w:rPr>
        <w:t>自己管理</w:t>
      </w:r>
      <w:r>
        <w:rPr>
          <w:rFonts w:hint="eastAsia"/>
        </w:rPr>
        <w:t>)</w:t>
      </w:r>
      <w:r>
        <w:rPr>
          <w:rFonts w:hint="eastAsia"/>
        </w:rPr>
        <w:t>和</w:t>
      </w:r>
      <w:r>
        <w:t>autoconstrucción</w:t>
      </w:r>
      <w:r>
        <w:rPr>
          <w:rFonts w:hint="eastAsia"/>
        </w:rPr>
        <w:t>(</w:t>
      </w:r>
      <w:r>
        <w:rPr>
          <w:rFonts w:hint="eastAsia"/>
        </w:rPr>
        <w:t>自己建造</w:t>
      </w:r>
      <w:r>
        <w:rPr>
          <w:rFonts w:hint="eastAsia"/>
        </w:rPr>
        <w:t>)</w:t>
      </w:r>
      <w:r>
        <w:rPr>
          <w:rFonts w:hint="eastAsia"/>
        </w:rPr>
        <w:t>；</w:t>
      </w:r>
    </w:p>
    <w:p w:rsidR="00000000" w:rsidRDefault="00000000">
      <w:pPr>
        <w:pStyle w:val="a0"/>
        <w:ind w:left="1530"/>
        <w:rPr>
          <w:rFonts w:hint="eastAsia"/>
        </w:rPr>
      </w:pPr>
      <w:r>
        <w:rPr>
          <w:rFonts w:hint="eastAsia"/>
        </w:rPr>
        <w:t>B</w:t>
      </w:r>
      <w:r>
        <w:rPr>
          <w:rFonts w:hint="eastAsia"/>
        </w:rPr>
        <w:t>：是指</w:t>
      </w:r>
      <w:r>
        <w:t xml:space="preserve">bono, </w:t>
      </w:r>
      <w:r>
        <w:rPr>
          <w:rFonts w:hint="eastAsia"/>
        </w:rPr>
        <w:t>即政府的建筑或翻新补助金；</w:t>
      </w:r>
    </w:p>
    <w:p w:rsidR="00000000" w:rsidRDefault="00000000">
      <w:pPr>
        <w:pStyle w:val="a0"/>
        <w:ind w:left="1995" w:hanging="975"/>
        <w:rPr>
          <w:rFonts w:hint="eastAsia"/>
        </w:rPr>
      </w:pPr>
      <w:r>
        <w:rPr>
          <w:rFonts w:hint="eastAsia"/>
        </w:rPr>
        <w:t>C</w:t>
      </w:r>
      <w:r>
        <w:rPr>
          <w:rFonts w:hint="eastAsia"/>
        </w:rPr>
        <w:t>：是指</w:t>
      </w:r>
      <w:r>
        <w:rPr>
          <w:rFonts w:hint="eastAsia"/>
        </w:rPr>
        <w:t xml:space="preserve">comunidad, </w:t>
      </w:r>
      <w:r>
        <w:rPr>
          <w:rFonts w:hint="eastAsia"/>
        </w:rPr>
        <w:t>即社区，社区的支持同非政府组织和当地政府的支持一样极为重要。</w:t>
      </w:r>
    </w:p>
    <w:p w:rsidR="00000000" w:rsidRDefault="00000000">
      <w:pPr>
        <w:rPr>
          <w:rFonts w:hint="eastAsia"/>
        </w:rPr>
      </w:pPr>
      <w:r>
        <w:rPr>
          <w:rFonts w:hint="eastAsia"/>
        </w:rPr>
        <w:tab/>
        <w:t xml:space="preserve">373.  </w:t>
      </w:r>
      <w:r>
        <w:rPr>
          <w:rFonts w:hint="eastAsia"/>
        </w:rPr>
        <w:t>参加该计划的人包括农村和城郊地区的无房户，支持社区翻新住房的非政府组织和当地机构，参与生产建筑材料的单位，以及小企业。</w:t>
      </w:r>
    </w:p>
    <w:p w:rsidR="00000000" w:rsidRDefault="00000000">
      <w:pPr>
        <w:rPr>
          <w:rFonts w:hint="eastAsia"/>
        </w:rPr>
      </w:pPr>
      <w:r>
        <w:rPr>
          <w:rFonts w:hint="eastAsia"/>
        </w:rPr>
        <w:tab/>
        <w:t xml:space="preserve">374.  </w:t>
      </w:r>
      <w:r>
        <w:rPr>
          <w:rFonts w:hint="eastAsia"/>
        </w:rPr>
        <w:t>申请人与住房部专家共同进行设计，使用当地材料和传统技术建筑符合其生境和文化的住房。住房部最多提供</w:t>
      </w:r>
      <w:r>
        <w:rPr>
          <w:rFonts w:hint="eastAsia"/>
        </w:rPr>
        <w:t>500</w:t>
      </w:r>
      <w:r>
        <w:rPr>
          <w:rFonts w:hint="eastAsia"/>
        </w:rPr>
        <w:t>万苏克雷的材料补助金，受益者在住房部提供的技术援助下建房。</w:t>
      </w:r>
    </w:p>
    <w:p w:rsidR="00000000" w:rsidRDefault="00000000">
      <w:pPr>
        <w:spacing w:after="320"/>
        <w:rPr>
          <w:rFonts w:hint="eastAsia"/>
        </w:rPr>
      </w:pPr>
      <w:r>
        <w:rPr>
          <w:rFonts w:hint="eastAsia"/>
        </w:rPr>
        <w:tab/>
        <w:t>375.  2000</w:t>
      </w:r>
      <w:r>
        <w:rPr>
          <w:rFonts w:hint="eastAsia"/>
        </w:rPr>
        <w:t>年，雅米子·马瓦德先生的政府执行了</w:t>
      </w:r>
      <w:r>
        <w:rPr>
          <w:rFonts w:hint="eastAsia"/>
        </w:rPr>
        <w:t>56,857</w:t>
      </w:r>
      <w:r>
        <w:rPr>
          <w:rFonts w:hint="eastAsia"/>
        </w:rPr>
        <w:t>项住房项目，其中包括建造新的住房单位和翻新现有的住房单位。</w:t>
      </w:r>
    </w:p>
    <w:p w:rsidR="00000000" w:rsidRDefault="00000000">
      <w:pPr>
        <w:pStyle w:val="Heading3"/>
        <w:rPr>
          <w:rFonts w:hint="eastAsia"/>
        </w:rPr>
      </w:pPr>
      <w:r>
        <w:rPr>
          <w:rFonts w:hint="eastAsia"/>
        </w:rPr>
        <w:t>1998</w:t>
      </w:r>
      <w:r>
        <w:rPr>
          <w:rFonts w:hint="eastAsia"/>
        </w:rPr>
        <w:t>年</w:t>
      </w:r>
      <w:r>
        <w:rPr>
          <w:rFonts w:hint="eastAsia"/>
        </w:rPr>
        <w:t>8</w:t>
      </w:r>
      <w:r>
        <w:rPr>
          <w:rFonts w:hint="eastAsia"/>
        </w:rPr>
        <w:t>月至</w:t>
      </w:r>
      <w:r>
        <w:rPr>
          <w:rFonts w:hint="eastAsia"/>
        </w:rPr>
        <w:t>1999</w:t>
      </w:r>
      <w:r>
        <w:rPr>
          <w:rFonts w:hint="eastAsia"/>
        </w:rPr>
        <w:t>年</w:t>
      </w:r>
      <w:r>
        <w:rPr>
          <w:rFonts w:hint="eastAsia"/>
        </w:rPr>
        <w:t>12</w:t>
      </w:r>
      <w:r>
        <w:rPr>
          <w:rFonts w:hint="eastAsia"/>
        </w:rPr>
        <w:t>月住房情况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9"/>
        <w:gridCol w:w="1191"/>
        <w:gridCol w:w="1782"/>
        <w:gridCol w:w="1648"/>
        <w:gridCol w:w="1650"/>
        <w:gridCol w:w="1650"/>
      </w:tblGrid>
      <w:tr w:rsidR="00000000">
        <w:tblPrEx>
          <w:tblCellMar>
            <w:top w:w="0" w:type="dxa"/>
            <w:bottom w:w="0" w:type="dxa"/>
          </w:tblCellMar>
        </w:tblPrEx>
        <w:tc>
          <w:tcPr>
            <w:tcW w:w="862" w:type="pct"/>
          </w:tcPr>
          <w:p w:rsidR="00000000" w:rsidRDefault="00000000">
            <w:pPr>
              <w:pStyle w:val="a2"/>
              <w:spacing w:before="120"/>
              <w:jc w:val="center"/>
              <w:rPr>
                <w:rFonts w:ascii="Time New Roman" w:eastAsia="SimHei" w:hAnsi="Time New Roman" w:hint="eastAsia"/>
              </w:rPr>
            </w:pPr>
            <w:r>
              <w:rPr>
                <w:rFonts w:ascii="Time New Roman" w:eastAsia="SimHei" w:hAnsi="Time New Roman" w:hint="eastAsia"/>
              </w:rPr>
              <w:t>地</w:t>
            </w:r>
            <w:r>
              <w:rPr>
                <w:rFonts w:ascii="Time New Roman" w:eastAsia="SimHei" w:hAnsi="Time New Roman" w:hint="eastAsia"/>
              </w:rPr>
              <w:t xml:space="preserve">  </w:t>
            </w:r>
            <w:r>
              <w:rPr>
                <w:rFonts w:ascii="Time New Roman" w:eastAsia="SimHei" w:hAnsi="Time New Roman" w:hint="eastAsia"/>
              </w:rPr>
              <w:t>区</w:t>
            </w:r>
          </w:p>
        </w:tc>
        <w:tc>
          <w:tcPr>
            <w:tcW w:w="622" w:type="pct"/>
          </w:tcPr>
          <w:p w:rsidR="00000000" w:rsidRDefault="00000000">
            <w:pPr>
              <w:pStyle w:val="a2"/>
              <w:spacing w:before="120"/>
              <w:jc w:val="center"/>
              <w:rPr>
                <w:rFonts w:ascii="Time New Roman" w:eastAsia="SimHei" w:hAnsi="Time New Roman" w:hint="eastAsia"/>
              </w:rPr>
            </w:pPr>
            <w:r>
              <w:rPr>
                <w:rFonts w:ascii="Time New Roman" w:eastAsia="SimHei" w:hAnsi="Time New Roman" w:hint="eastAsia"/>
              </w:rPr>
              <w:t>农</w:t>
            </w:r>
            <w:r>
              <w:rPr>
                <w:rFonts w:ascii="Time New Roman" w:eastAsia="SimHei" w:hAnsi="Time New Roman" w:hint="eastAsia"/>
              </w:rPr>
              <w:t xml:space="preserve">  </w:t>
            </w:r>
            <w:r>
              <w:rPr>
                <w:rFonts w:ascii="Time New Roman" w:eastAsia="SimHei" w:hAnsi="Time New Roman" w:hint="eastAsia"/>
              </w:rPr>
              <w:t>村</w:t>
            </w:r>
          </w:p>
        </w:tc>
        <w:tc>
          <w:tcPr>
            <w:tcW w:w="931" w:type="pct"/>
          </w:tcPr>
          <w:p w:rsidR="00000000" w:rsidRDefault="00000000">
            <w:pPr>
              <w:pStyle w:val="a2"/>
              <w:jc w:val="center"/>
              <w:rPr>
                <w:rFonts w:ascii="Time New Roman" w:eastAsia="SimHei" w:hAnsi="Time New Roman" w:hint="eastAsia"/>
              </w:rPr>
            </w:pPr>
            <w:r>
              <w:rPr>
                <w:rFonts w:ascii="Time New Roman" w:eastAsia="SimHei" w:hAnsi="Time New Roman" w:hint="eastAsia"/>
              </w:rPr>
              <w:t>城郊</w:t>
            </w:r>
            <w:r>
              <w:rPr>
                <w:rFonts w:ascii="Time New Roman" w:eastAsia="SimHei" w:hAnsi="Time New Roman" w:hint="eastAsia"/>
              </w:rPr>
              <w:t>(</w:t>
            </w:r>
            <w:r>
              <w:rPr>
                <w:rFonts w:ascii="Time New Roman" w:eastAsia="SimHei" w:hAnsi="Time New Roman" w:hint="eastAsia"/>
              </w:rPr>
              <w:t>新建、翻新，厄尔尼诺</w:t>
            </w:r>
            <w:r>
              <w:rPr>
                <w:rFonts w:ascii="Time New Roman" w:eastAsia="SimHei" w:hAnsi="Time New Roman" w:hint="eastAsia"/>
              </w:rPr>
              <w:t>)</w:t>
            </w:r>
          </w:p>
        </w:tc>
        <w:tc>
          <w:tcPr>
            <w:tcW w:w="861" w:type="pct"/>
          </w:tcPr>
          <w:p w:rsidR="00000000" w:rsidRDefault="00000000">
            <w:pPr>
              <w:pStyle w:val="a2"/>
              <w:jc w:val="center"/>
              <w:rPr>
                <w:rFonts w:ascii="Time New Roman" w:eastAsia="SimHei" w:hAnsi="Time New Roman" w:hint="eastAsia"/>
              </w:rPr>
            </w:pPr>
            <w:r>
              <w:rPr>
                <w:rFonts w:ascii="Time New Roman" w:eastAsia="SimHei" w:hAnsi="Time New Roman" w:hint="eastAsia"/>
              </w:rPr>
              <w:t>根据奖励制度提供的补助金</w:t>
            </w:r>
          </w:p>
        </w:tc>
        <w:tc>
          <w:tcPr>
            <w:tcW w:w="862" w:type="pct"/>
          </w:tcPr>
          <w:p w:rsidR="00000000" w:rsidRDefault="00000000">
            <w:pPr>
              <w:pStyle w:val="a2"/>
              <w:jc w:val="center"/>
              <w:rPr>
                <w:rFonts w:ascii="Time New Roman" w:eastAsia="SimHei" w:hAnsi="Time New Roman" w:hint="eastAsia"/>
              </w:rPr>
            </w:pPr>
            <w:r>
              <w:rPr>
                <w:rFonts w:ascii="Time New Roman" w:eastAsia="SimHei" w:hAnsi="Time New Roman" w:hint="eastAsia"/>
              </w:rPr>
              <w:t>厄瓜多尔</w:t>
            </w:r>
            <w:r>
              <w:rPr>
                <w:rFonts w:ascii="Time New Roman" w:eastAsia="SimHei" w:hAnsi="Time New Roman"/>
              </w:rPr>
              <w:br/>
            </w:r>
            <w:r>
              <w:rPr>
                <w:rFonts w:ascii="Time New Roman" w:eastAsia="SimHei" w:hAnsi="Time New Roman" w:hint="eastAsia"/>
              </w:rPr>
              <w:t>住房银行</w:t>
            </w:r>
          </w:p>
        </w:tc>
        <w:tc>
          <w:tcPr>
            <w:tcW w:w="863" w:type="pct"/>
          </w:tcPr>
          <w:p w:rsidR="00000000" w:rsidRDefault="00000000">
            <w:pPr>
              <w:pStyle w:val="a2"/>
              <w:spacing w:before="120"/>
              <w:jc w:val="center"/>
              <w:rPr>
                <w:rFonts w:ascii="Time New Roman" w:eastAsia="SimHei" w:hAnsi="Time New Roman" w:hint="eastAsia"/>
              </w:rPr>
            </w:pPr>
            <w:r>
              <w:rPr>
                <w:rFonts w:ascii="Time New Roman" w:eastAsia="SimHei" w:hAnsi="Time New Roman" w:hint="eastAsia"/>
              </w:rPr>
              <w:t>住房总数</w:t>
            </w:r>
          </w:p>
        </w:tc>
      </w:tr>
      <w:tr w:rsidR="00000000">
        <w:tblPrEx>
          <w:tblCellMar>
            <w:top w:w="0" w:type="dxa"/>
            <w:bottom w:w="0" w:type="dxa"/>
          </w:tblCellMar>
        </w:tblPrEx>
        <w:tc>
          <w:tcPr>
            <w:tcW w:w="862" w:type="pct"/>
            <w:tcBorders>
              <w:bottom w:val="nil"/>
            </w:tcBorders>
          </w:tcPr>
          <w:p w:rsidR="00000000" w:rsidRDefault="00000000">
            <w:pPr>
              <w:pStyle w:val="a2"/>
              <w:rPr>
                <w:rFonts w:hint="eastAsia"/>
              </w:rPr>
            </w:pPr>
            <w:r>
              <w:rPr>
                <w:rFonts w:hint="eastAsia"/>
              </w:rPr>
              <w:t>沿海</w:t>
            </w:r>
          </w:p>
        </w:tc>
        <w:tc>
          <w:tcPr>
            <w:tcW w:w="622" w:type="pct"/>
            <w:tcBorders>
              <w:bottom w:val="nil"/>
            </w:tcBorders>
          </w:tcPr>
          <w:p w:rsidR="00000000" w:rsidRDefault="00000000">
            <w:pPr>
              <w:pStyle w:val="a2"/>
              <w:tabs>
                <w:tab w:val="decimal" w:pos="661"/>
              </w:tabs>
            </w:pPr>
            <w:r>
              <w:t>1,670</w:t>
            </w:r>
          </w:p>
        </w:tc>
        <w:tc>
          <w:tcPr>
            <w:tcW w:w="931" w:type="pct"/>
            <w:tcBorders>
              <w:bottom w:val="nil"/>
            </w:tcBorders>
          </w:tcPr>
          <w:p w:rsidR="00000000" w:rsidRDefault="00000000">
            <w:pPr>
              <w:pStyle w:val="a2"/>
              <w:tabs>
                <w:tab w:val="decimal" w:pos="940"/>
              </w:tabs>
            </w:pPr>
            <w:r>
              <w:t>6,318</w:t>
            </w:r>
          </w:p>
        </w:tc>
        <w:tc>
          <w:tcPr>
            <w:tcW w:w="861" w:type="pct"/>
            <w:tcBorders>
              <w:bottom w:val="nil"/>
            </w:tcBorders>
          </w:tcPr>
          <w:p w:rsidR="00000000" w:rsidRDefault="00000000">
            <w:pPr>
              <w:pStyle w:val="a2"/>
              <w:tabs>
                <w:tab w:val="decimal" w:pos="940"/>
              </w:tabs>
            </w:pPr>
            <w:r>
              <w:t>330</w:t>
            </w:r>
          </w:p>
        </w:tc>
        <w:tc>
          <w:tcPr>
            <w:tcW w:w="862" w:type="pct"/>
            <w:tcBorders>
              <w:bottom w:val="nil"/>
            </w:tcBorders>
          </w:tcPr>
          <w:p w:rsidR="00000000" w:rsidRDefault="00000000">
            <w:pPr>
              <w:pStyle w:val="a2"/>
              <w:tabs>
                <w:tab w:val="decimal" w:pos="940"/>
              </w:tabs>
            </w:pPr>
            <w:r>
              <w:t>132</w:t>
            </w:r>
          </w:p>
        </w:tc>
        <w:tc>
          <w:tcPr>
            <w:tcW w:w="863" w:type="pct"/>
            <w:tcBorders>
              <w:bottom w:val="nil"/>
            </w:tcBorders>
          </w:tcPr>
          <w:p w:rsidR="00000000" w:rsidRDefault="00000000">
            <w:pPr>
              <w:pStyle w:val="a2"/>
              <w:tabs>
                <w:tab w:val="decimal" w:pos="940"/>
              </w:tabs>
            </w:pPr>
            <w:r>
              <w:t>8,450</w:t>
            </w:r>
          </w:p>
        </w:tc>
      </w:tr>
      <w:tr w:rsidR="00000000">
        <w:tblPrEx>
          <w:tblCellMar>
            <w:top w:w="0" w:type="dxa"/>
            <w:bottom w:w="0" w:type="dxa"/>
          </w:tblCellMar>
        </w:tblPrEx>
        <w:tc>
          <w:tcPr>
            <w:tcW w:w="862" w:type="pct"/>
            <w:tcBorders>
              <w:top w:val="nil"/>
              <w:bottom w:val="nil"/>
            </w:tcBorders>
          </w:tcPr>
          <w:p w:rsidR="00000000" w:rsidRDefault="00000000">
            <w:pPr>
              <w:pStyle w:val="a2"/>
              <w:rPr>
                <w:rFonts w:hint="eastAsia"/>
              </w:rPr>
            </w:pPr>
            <w:r>
              <w:rPr>
                <w:rFonts w:hint="eastAsia"/>
              </w:rPr>
              <w:t>东部</w:t>
            </w:r>
          </w:p>
        </w:tc>
        <w:tc>
          <w:tcPr>
            <w:tcW w:w="622" w:type="pct"/>
            <w:tcBorders>
              <w:top w:val="nil"/>
              <w:bottom w:val="nil"/>
            </w:tcBorders>
          </w:tcPr>
          <w:p w:rsidR="00000000" w:rsidRDefault="00000000">
            <w:pPr>
              <w:pStyle w:val="a2"/>
              <w:tabs>
                <w:tab w:val="decimal" w:pos="661"/>
              </w:tabs>
            </w:pPr>
            <w:r>
              <w:t>681</w:t>
            </w:r>
          </w:p>
        </w:tc>
        <w:tc>
          <w:tcPr>
            <w:tcW w:w="931" w:type="pct"/>
            <w:tcBorders>
              <w:top w:val="nil"/>
              <w:bottom w:val="nil"/>
            </w:tcBorders>
          </w:tcPr>
          <w:p w:rsidR="00000000" w:rsidRDefault="00000000">
            <w:pPr>
              <w:pStyle w:val="a2"/>
              <w:tabs>
                <w:tab w:val="decimal" w:pos="940"/>
              </w:tabs>
            </w:pPr>
            <w:r>
              <w:t>85</w:t>
            </w:r>
          </w:p>
        </w:tc>
        <w:tc>
          <w:tcPr>
            <w:tcW w:w="861" w:type="pct"/>
            <w:tcBorders>
              <w:top w:val="nil"/>
              <w:bottom w:val="nil"/>
            </w:tcBorders>
          </w:tcPr>
          <w:p w:rsidR="00000000" w:rsidRDefault="00000000">
            <w:pPr>
              <w:pStyle w:val="a2"/>
              <w:tabs>
                <w:tab w:val="decimal" w:pos="940"/>
              </w:tabs>
            </w:pPr>
            <w:r>
              <w:t>8</w:t>
            </w:r>
          </w:p>
        </w:tc>
        <w:tc>
          <w:tcPr>
            <w:tcW w:w="862" w:type="pct"/>
            <w:tcBorders>
              <w:top w:val="nil"/>
              <w:bottom w:val="nil"/>
            </w:tcBorders>
          </w:tcPr>
          <w:p w:rsidR="00000000" w:rsidRDefault="00000000">
            <w:pPr>
              <w:pStyle w:val="a2"/>
              <w:tabs>
                <w:tab w:val="decimal" w:pos="940"/>
              </w:tabs>
            </w:pPr>
            <w:r>
              <w:t>38</w:t>
            </w:r>
          </w:p>
        </w:tc>
        <w:tc>
          <w:tcPr>
            <w:tcW w:w="863" w:type="pct"/>
            <w:tcBorders>
              <w:top w:val="nil"/>
              <w:bottom w:val="nil"/>
            </w:tcBorders>
          </w:tcPr>
          <w:p w:rsidR="00000000" w:rsidRDefault="00000000">
            <w:pPr>
              <w:pStyle w:val="a2"/>
              <w:tabs>
                <w:tab w:val="decimal" w:pos="940"/>
              </w:tabs>
            </w:pPr>
            <w:r>
              <w:t>812</w:t>
            </w:r>
          </w:p>
        </w:tc>
      </w:tr>
      <w:tr w:rsidR="00000000">
        <w:tblPrEx>
          <w:tblCellMar>
            <w:top w:w="0" w:type="dxa"/>
            <w:bottom w:w="0" w:type="dxa"/>
          </w:tblCellMar>
        </w:tblPrEx>
        <w:tc>
          <w:tcPr>
            <w:tcW w:w="862" w:type="pct"/>
            <w:tcBorders>
              <w:top w:val="nil"/>
            </w:tcBorders>
          </w:tcPr>
          <w:p w:rsidR="00000000" w:rsidRDefault="00000000">
            <w:pPr>
              <w:pStyle w:val="a2"/>
              <w:rPr>
                <w:rFonts w:hint="eastAsia"/>
              </w:rPr>
            </w:pPr>
            <w:r>
              <w:rPr>
                <w:rFonts w:hint="eastAsia"/>
              </w:rPr>
              <w:t>高地</w:t>
            </w:r>
          </w:p>
        </w:tc>
        <w:tc>
          <w:tcPr>
            <w:tcW w:w="622" w:type="pct"/>
            <w:tcBorders>
              <w:top w:val="nil"/>
            </w:tcBorders>
          </w:tcPr>
          <w:p w:rsidR="00000000" w:rsidRDefault="00000000">
            <w:pPr>
              <w:pStyle w:val="a2"/>
              <w:tabs>
                <w:tab w:val="decimal" w:pos="661"/>
              </w:tabs>
            </w:pPr>
            <w:r>
              <w:t>4,289</w:t>
            </w:r>
          </w:p>
        </w:tc>
        <w:tc>
          <w:tcPr>
            <w:tcW w:w="931" w:type="pct"/>
            <w:tcBorders>
              <w:top w:val="nil"/>
            </w:tcBorders>
          </w:tcPr>
          <w:p w:rsidR="00000000" w:rsidRDefault="00000000">
            <w:pPr>
              <w:pStyle w:val="a2"/>
              <w:tabs>
                <w:tab w:val="decimal" w:pos="940"/>
              </w:tabs>
            </w:pPr>
            <w:r>
              <w:t>1,496</w:t>
            </w:r>
          </w:p>
        </w:tc>
        <w:tc>
          <w:tcPr>
            <w:tcW w:w="861" w:type="pct"/>
            <w:tcBorders>
              <w:top w:val="nil"/>
            </w:tcBorders>
          </w:tcPr>
          <w:p w:rsidR="00000000" w:rsidRDefault="00000000">
            <w:pPr>
              <w:pStyle w:val="a2"/>
              <w:tabs>
                <w:tab w:val="decimal" w:pos="940"/>
              </w:tabs>
            </w:pPr>
            <w:r>
              <w:t>3,261</w:t>
            </w:r>
          </w:p>
        </w:tc>
        <w:tc>
          <w:tcPr>
            <w:tcW w:w="862" w:type="pct"/>
            <w:tcBorders>
              <w:top w:val="nil"/>
            </w:tcBorders>
          </w:tcPr>
          <w:p w:rsidR="00000000" w:rsidRDefault="00000000">
            <w:pPr>
              <w:pStyle w:val="a2"/>
              <w:tabs>
                <w:tab w:val="decimal" w:pos="940"/>
              </w:tabs>
            </w:pPr>
            <w:r>
              <w:t>862</w:t>
            </w:r>
          </w:p>
        </w:tc>
        <w:tc>
          <w:tcPr>
            <w:tcW w:w="863" w:type="pct"/>
            <w:tcBorders>
              <w:top w:val="nil"/>
            </w:tcBorders>
          </w:tcPr>
          <w:p w:rsidR="00000000" w:rsidRDefault="00000000">
            <w:pPr>
              <w:pStyle w:val="a2"/>
              <w:tabs>
                <w:tab w:val="decimal" w:pos="940"/>
              </w:tabs>
            </w:pPr>
            <w:r>
              <w:t>9,908</w:t>
            </w:r>
          </w:p>
        </w:tc>
      </w:tr>
      <w:tr w:rsidR="00000000">
        <w:tblPrEx>
          <w:tblCellMar>
            <w:top w:w="0" w:type="dxa"/>
            <w:bottom w:w="0" w:type="dxa"/>
          </w:tblCellMar>
        </w:tblPrEx>
        <w:tc>
          <w:tcPr>
            <w:tcW w:w="862" w:type="pct"/>
          </w:tcPr>
          <w:p w:rsidR="00000000" w:rsidRDefault="00000000">
            <w:pPr>
              <w:pStyle w:val="a2"/>
              <w:spacing w:before="120" w:after="60"/>
              <w:rPr>
                <w:rFonts w:hint="eastAsia"/>
              </w:rPr>
            </w:pPr>
            <w:r>
              <w:t xml:space="preserve">  </w:t>
            </w:r>
            <w:r>
              <w:rPr>
                <w:rFonts w:hint="eastAsia"/>
              </w:rPr>
              <w:t>全国总计</w:t>
            </w:r>
          </w:p>
        </w:tc>
        <w:tc>
          <w:tcPr>
            <w:tcW w:w="622" w:type="pct"/>
          </w:tcPr>
          <w:p w:rsidR="00000000" w:rsidRDefault="00000000">
            <w:pPr>
              <w:pStyle w:val="a2"/>
              <w:tabs>
                <w:tab w:val="decimal" w:pos="661"/>
              </w:tabs>
              <w:spacing w:before="120" w:after="60"/>
            </w:pPr>
            <w:r>
              <w:t>6,640</w:t>
            </w:r>
          </w:p>
        </w:tc>
        <w:tc>
          <w:tcPr>
            <w:tcW w:w="931" w:type="pct"/>
          </w:tcPr>
          <w:p w:rsidR="00000000" w:rsidRDefault="00000000">
            <w:pPr>
              <w:pStyle w:val="a2"/>
              <w:tabs>
                <w:tab w:val="decimal" w:pos="940"/>
              </w:tabs>
              <w:spacing w:before="120" w:after="60"/>
            </w:pPr>
            <w:r>
              <w:t>7,899</w:t>
            </w:r>
          </w:p>
        </w:tc>
        <w:tc>
          <w:tcPr>
            <w:tcW w:w="861" w:type="pct"/>
          </w:tcPr>
          <w:p w:rsidR="00000000" w:rsidRDefault="00000000">
            <w:pPr>
              <w:pStyle w:val="a2"/>
              <w:tabs>
                <w:tab w:val="decimal" w:pos="940"/>
              </w:tabs>
              <w:spacing w:before="120" w:after="60"/>
            </w:pPr>
            <w:r>
              <w:t>3,599</w:t>
            </w:r>
          </w:p>
        </w:tc>
        <w:tc>
          <w:tcPr>
            <w:tcW w:w="862" w:type="pct"/>
          </w:tcPr>
          <w:p w:rsidR="00000000" w:rsidRDefault="00000000">
            <w:pPr>
              <w:pStyle w:val="a2"/>
              <w:tabs>
                <w:tab w:val="decimal" w:pos="940"/>
              </w:tabs>
              <w:spacing w:before="120" w:after="60"/>
            </w:pPr>
            <w:r>
              <w:t>1,032</w:t>
            </w:r>
          </w:p>
        </w:tc>
        <w:tc>
          <w:tcPr>
            <w:tcW w:w="863" w:type="pct"/>
          </w:tcPr>
          <w:p w:rsidR="00000000" w:rsidRDefault="00000000">
            <w:pPr>
              <w:pStyle w:val="a2"/>
              <w:tabs>
                <w:tab w:val="decimal" w:pos="940"/>
              </w:tabs>
              <w:spacing w:before="120" w:after="60"/>
            </w:pPr>
            <w:r>
              <w:t>19,170</w:t>
            </w:r>
          </w:p>
        </w:tc>
      </w:tr>
    </w:tbl>
    <w:p w:rsidR="00000000" w:rsidRDefault="00000000">
      <w:pPr>
        <w:pStyle w:val="a2"/>
        <w:rPr>
          <w:rFonts w:hint="eastAsia"/>
          <w:szCs w:val="22"/>
        </w:rPr>
      </w:pPr>
    </w:p>
    <w:p w:rsidR="00000000" w:rsidRDefault="00000000">
      <w:pPr>
        <w:pStyle w:val="Heading3"/>
        <w:rPr>
          <w:rFonts w:hint="eastAsia"/>
        </w:rPr>
      </w:pPr>
      <w:r>
        <w:rPr>
          <w:rFonts w:hint="eastAsia"/>
        </w:rPr>
        <w:t>1999</w:t>
      </w:r>
      <w:r>
        <w:rPr>
          <w:rFonts w:hint="eastAsia"/>
        </w:rPr>
        <w:t>年</w:t>
      </w:r>
      <w:r>
        <w:rPr>
          <w:rFonts w:hint="eastAsia"/>
        </w:rPr>
        <w:t>1</w:t>
      </w:r>
      <w:r>
        <w:rPr>
          <w:rFonts w:hint="eastAsia"/>
        </w:rPr>
        <w:t>月至</w:t>
      </w:r>
      <w:r>
        <w:rPr>
          <w:rFonts w:hint="eastAsia"/>
        </w:rPr>
        <w:t>1999</w:t>
      </w:r>
      <w:r>
        <w:rPr>
          <w:rFonts w:hint="eastAsia"/>
        </w:rPr>
        <w:t>年</w:t>
      </w:r>
      <w:r>
        <w:rPr>
          <w:rFonts w:hint="eastAsia"/>
        </w:rPr>
        <w:t>12</w:t>
      </w:r>
      <w:r>
        <w:rPr>
          <w:rFonts w:hint="eastAsia"/>
        </w:rPr>
        <w:t>月住房情况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8"/>
        <w:gridCol w:w="1296"/>
        <w:gridCol w:w="1587"/>
        <w:gridCol w:w="1378"/>
        <w:gridCol w:w="1252"/>
        <w:gridCol w:w="1359"/>
      </w:tblGrid>
      <w:tr w:rsidR="00000000">
        <w:tblPrEx>
          <w:tblCellMar>
            <w:top w:w="0" w:type="dxa"/>
            <w:bottom w:w="0" w:type="dxa"/>
          </w:tblCellMar>
        </w:tblPrEx>
        <w:tc>
          <w:tcPr>
            <w:tcW w:w="1410" w:type="pct"/>
          </w:tcPr>
          <w:p w:rsidR="00000000" w:rsidRDefault="00000000">
            <w:pPr>
              <w:pStyle w:val="a2"/>
              <w:spacing w:before="120"/>
              <w:jc w:val="center"/>
              <w:rPr>
                <w:rFonts w:hint="eastAsia"/>
              </w:rPr>
            </w:pPr>
            <w:r>
              <w:rPr>
                <w:rFonts w:hint="eastAsia"/>
              </w:rPr>
              <w:t>地</w:t>
            </w:r>
            <w:r>
              <w:rPr>
                <w:rFonts w:hint="eastAsia"/>
              </w:rPr>
              <w:t xml:space="preserve">  </w:t>
            </w:r>
            <w:r>
              <w:rPr>
                <w:rFonts w:hint="eastAsia"/>
              </w:rPr>
              <w:t>区</w:t>
            </w:r>
          </w:p>
        </w:tc>
        <w:tc>
          <w:tcPr>
            <w:tcW w:w="677" w:type="pct"/>
          </w:tcPr>
          <w:p w:rsidR="00000000" w:rsidRDefault="00000000">
            <w:pPr>
              <w:pStyle w:val="a2"/>
              <w:rPr>
                <w:rFonts w:hint="eastAsia"/>
              </w:rPr>
            </w:pPr>
            <w:r>
              <w:rPr>
                <w:rFonts w:hint="eastAsia"/>
              </w:rPr>
              <w:t>农村</w:t>
            </w:r>
            <w:r>
              <w:rPr>
                <w:rFonts w:hint="eastAsia"/>
              </w:rPr>
              <w:t>*</w:t>
            </w:r>
            <w:r>
              <w:rPr>
                <w:rFonts w:hint="eastAsia"/>
              </w:rPr>
              <w:t>，</w:t>
            </w:r>
            <w:r>
              <w:rPr>
                <w:rFonts w:hint="eastAsia"/>
              </w:rPr>
              <w:t>(</w:t>
            </w:r>
            <w:r>
              <w:rPr>
                <w:rFonts w:hint="eastAsia"/>
              </w:rPr>
              <w:t>新建和翻新</w:t>
            </w:r>
            <w:r>
              <w:rPr>
                <w:rFonts w:hint="eastAsia"/>
              </w:rPr>
              <w:t>)</w:t>
            </w:r>
          </w:p>
        </w:tc>
        <w:tc>
          <w:tcPr>
            <w:tcW w:w="829" w:type="pct"/>
          </w:tcPr>
          <w:p w:rsidR="00000000" w:rsidRDefault="00000000">
            <w:pPr>
              <w:pStyle w:val="a2"/>
              <w:rPr>
                <w:rFonts w:hint="eastAsia"/>
                <w:spacing w:val="-10"/>
              </w:rPr>
            </w:pPr>
            <w:r>
              <w:rPr>
                <w:rFonts w:hint="eastAsia"/>
                <w:spacing w:val="-10"/>
              </w:rPr>
              <w:t>城郊</w:t>
            </w:r>
            <w:r>
              <w:rPr>
                <w:rFonts w:hint="eastAsia"/>
                <w:spacing w:val="-10"/>
              </w:rPr>
              <w:t>*(</w:t>
            </w:r>
            <w:r>
              <w:rPr>
                <w:rFonts w:hint="eastAsia"/>
                <w:spacing w:val="-10"/>
              </w:rPr>
              <w:t>新建，翻新，厄尔尼诺</w:t>
            </w:r>
            <w:r>
              <w:rPr>
                <w:rFonts w:hint="eastAsia"/>
                <w:spacing w:val="-10"/>
              </w:rPr>
              <w:t>)</w:t>
            </w:r>
          </w:p>
        </w:tc>
        <w:tc>
          <w:tcPr>
            <w:tcW w:w="720" w:type="pct"/>
          </w:tcPr>
          <w:p w:rsidR="00000000" w:rsidRDefault="00000000">
            <w:pPr>
              <w:pStyle w:val="a2"/>
              <w:jc w:val="center"/>
              <w:rPr>
                <w:rFonts w:hint="eastAsia"/>
              </w:rPr>
            </w:pPr>
            <w:r>
              <w:rPr>
                <w:rFonts w:hint="eastAsia"/>
              </w:rPr>
              <w:t>住房奖励</w:t>
            </w:r>
            <w:r>
              <w:br/>
            </w:r>
            <w:r>
              <w:rPr>
                <w:rFonts w:hint="eastAsia"/>
              </w:rPr>
              <w:t>制度－城市</w:t>
            </w:r>
          </w:p>
        </w:tc>
        <w:tc>
          <w:tcPr>
            <w:tcW w:w="654" w:type="pct"/>
          </w:tcPr>
          <w:p w:rsidR="00000000" w:rsidRDefault="00000000">
            <w:pPr>
              <w:pStyle w:val="a2"/>
              <w:jc w:val="center"/>
              <w:rPr>
                <w:rFonts w:hint="eastAsia"/>
              </w:rPr>
            </w:pPr>
            <w:r>
              <w:rPr>
                <w:rFonts w:hint="eastAsia"/>
              </w:rPr>
              <w:t>厄瓜多尔住房银行</w:t>
            </w:r>
          </w:p>
        </w:tc>
        <w:tc>
          <w:tcPr>
            <w:tcW w:w="711" w:type="pct"/>
          </w:tcPr>
          <w:p w:rsidR="00000000" w:rsidRDefault="00000000">
            <w:pPr>
              <w:pStyle w:val="a2"/>
              <w:spacing w:before="120"/>
              <w:jc w:val="center"/>
              <w:rPr>
                <w:rFonts w:hint="eastAsia"/>
              </w:rPr>
            </w:pPr>
            <w:r>
              <w:rPr>
                <w:rFonts w:hint="eastAsia"/>
              </w:rPr>
              <w:t>住房总数</w:t>
            </w:r>
          </w:p>
        </w:tc>
      </w:tr>
      <w:tr w:rsidR="00000000">
        <w:tblPrEx>
          <w:tblCellMar>
            <w:top w:w="0" w:type="dxa"/>
            <w:bottom w:w="0" w:type="dxa"/>
          </w:tblCellMar>
        </w:tblPrEx>
        <w:tc>
          <w:tcPr>
            <w:tcW w:w="1410" w:type="pct"/>
            <w:tcBorders>
              <w:bottom w:val="nil"/>
            </w:tcBorders>
          </w:tcPr>
          <w:p w:rsidR="00000000" w:rsidRDefault="00000000">
            <w:pPr>
              <w:pStyle w:val="a2"/>
              <w:rPr>
                <w:rFonts w:hint="eastAsia"/>
              </w:rPr>
            </w:pPr>
            <w:r>
              <w:rPr>
                <w:rFonts w:hint="eastAsia"/>
              </w:rPr>
              <w:t>沿海</w:t>
            </w:r>
          </w:p>
        </w:tc>
        <w:tc>
          <w:tcPr>
            <w:tcW w:w="677" w:type="pct"/>
            <w:tcBorders>
              <w:bottom w:val="nil"/>
            </w:tcBorders>
          </w:tcPr>
          <w:p w:rsidR="00000000" w:rsidRDefault="00000000">
            <w:pPr>
              <w:pStyle w:val="a2"/>
              <w:tabs>
                <w:tab w:val="decimal" w:pos="767"/>
              </w:tabs>
            </w:pPr>
            <w:r>
              <w:t>7,220</w:t>
            </w:r>
          </w:p>
        </w:tc>
        <w:tc>
          <w:tcPr>
            <w:tcW w:w="829" w:type="pct"/>
            <w:tcBorders>
              <w:bottom w:val="nil"/>
            </w:tcBorders>
          </w:tcPr>
          <w:p w:rsidR="00000000" w:rsidRDefault="00000000">
            <w:pPr>
              <w:pStyle w:val="a2"/>
              <w:tabs>
                <w:tab w:val="decimal" w:pos="767"/>
              </w:tabs>
            </w:pPr>
            <w:r>
              <w:t>1,786</w:t>
            </w:r>
          </w:p>
        </w:tc>
        <w:tc>
          <w:tcPr>
            <w:tcW w:w="720" w:type="pct"/>
            <w:tcBorders>
              <w:bottom w:val="nil"/>
            </w:tcBorders>
          </w:tcPr>
          <w:p w:rsidR="00000000" w:rsidRDefault="00000000">
            <w:pPr>
              <w:pStyle w:val="a2"/>
              <w:tabs>
                <w:tab w:val="decimal" w:pos="767"/>
              </w:tabs>
            </w:pPr>
            <w:r>
              <w:t>7,890</w:t>
            </w:r>
          </w:p>
        </w:tc>
        <w:tc>
          <w:tcPr>
            <w:tcW w:w="654" w:type="pct"/>
            <w:tcBorders>
              <w:bottom w:val="nil"/>
            </w:tcBorders>
          </w:tcPr>
          <w:p w:rsidR="00000000" w:rsidRDefault="00000000">
            <w:pPr>
              <w:pStyle w:val="a2"/>
              <w:tabs>
                <w:tab w:val="decimal" w:pos="767"/>
              </w:tabs>
            </w:pPr>
            <w:r>
              <w:t>599</w:t>
            </w:r>
          </w:p>
        </w:tc>
        <w:tc>
          <w:tcPr>
            <w:tcW w:w="711" w:type="pct"/>
            <w:tcBorders>
              <w:bottom w:val="nil"/>
            </w:tcBorders>
          </w:tcPr>
          <w:p w:rsidR="00000000" w:rsidRDefault="00000000">
            <w:pPr>
              <w:pStyle w:val="a2"/>
              <w:tabs>
                <w:tab w:val="decimal" w:pos="767"/>
              </w:tabs>
            </w:pPr>
            <w:r>
              <w:t>17,495</w:t>
            </w:r>
          </w:p>
        </w:tc>
      </w:tr>
      <w:tr w:rsidR="00000000">
        <w:tblPrEx>
          <w:tblCellMar>
            <w:top w:w="0" w:type="dxa"/>
            <w:bottom w:w="0" w:type="dxa"/>
          </w:tblCellMar>
        </w:tblPrEx>
        <w:tc>
          <w:tcPr>
            <w:tcW w:w="1410" w:type="pct"/>
            <w:tcBorders>
              <w:top w:val="nil"/>
              <w:bottom w:val="nil"/>
            </w:tcBorders>
          </w:tcPr>
          <w:p w:rsidR="00000000" w:rsidRDefault="00000000">
            <w:pPr>
              <w:pStyle w:val="a2"/>
              <w:rPr>
                <w:rFonts w:hint="eastAsia"/>
              </w:rPr>
            </w:pPr>
            <w:r>
              <w:rPr>
                <w:rFonts w:hint="eastAsia"/>
              </w:rPr>
              <w:t>东部</w:t>
            </w:r>
          </w:p>
        </w:tc>
        <w:tc>
          <w:tcPr>
            <w:tcW w:w="677" w:type="pct"/>
            <w:tcBorders>
              <w:top w:val="nil"/>
              <w:bottom w:val="nil"/>
            </w:tcBorders>
          </w:tcPr>
          <w:p w:rsidR="00000000" w:rsidRDefault="00000000">
            <w:pPr>
              <w:pStyle w:val="a2"/>
              <w:tabs>
                <w:tab w:val="decimal" w:pos="767"/>
              </w:tabs>
            </w:pPr>
            <w:r>
              <w:t>977</w:t>
            </w:r>
          </w:p>
        </w:tc>
        <w:tc>
          <w:tcPr>
            <w:tcW w:w="829" w:type="pct"/>
            <w:tcBorders>
              <w:top w:val="nil"/>
              <w:bottom w:val="nil"/>
            </w:tcBorders>
          </w:tcPr>
          <w:p w:rsidR="00000000" w:rsidRDefault="00000000">
            <w:pPr>
              <w:pStyle w:val="a2"/>
              <w:tabs>
                <w:tab w:val="decimal" w:pos="767"/>
              </w:tabs>
            </w:pPr>
            <w:r>
              <w:t>0</w:t>
            </w:r>
          </w:p>
        </w:tc>
        <w:tc>
          <w:tcPr>
            <w:tcW w:w="720" w:type="pct"/>
            <w:tcBorders>
              <w:top w:val="nil"/>
              <w:bottom w:val="nil"/>
            </w:tcBorders>
          </w:tcPr>
          <w:p w:rsidR="00000000" w:rsidRDefault="00000000">
            <w:pPr>
              <w:pStyle w:val="a2"/>
              <w:tabs>
                <w:tab w:val="decimal" w:pos="767"/>
              </w:tabs>
            </w:pPr>
            <w:r>
              <w:t>805</w:t>
            </w:r>
          </w:p>
        </w:tc>
        <w:tc>
          <w:tcPr>
            <w:tcW w:w="654" w:type="pct"/>
            <w:tcBorders>
              <w:top w:val="nil"/>
              <w:bottom w:val="nil"/>
            </w:tcBorders>
          </w:tcPr>
          <w:p w:rsidR="00000000" w:rsidRDefault="00000000">
            <w:pPr>
              <w:pStyle w:val="a2"/>
              <w:tabs>
                <w:tab w:val="decimal" w:pos="767"/>
              </w:tabs>
            </w:pPr>
            <w:r>
              <w:t>29</w:t>
            </w:r>
          </w:p>
        </w:tc>
        <w:tc>
          <w:tcPr>
            <w:tcW w:w="711" w:type="pct"/>
            <w:tcBorders>
              <w:top w:val="nil"/>
              <w:bottom w:val="nil"/>
            </w:tcBorders>
          </w:tcPr>
          <w:p w:rsidR="00000000" w:rsidRDefault="00000000">
            <w:pPr>
              <w:pStyle w:val="a2"/>
              <w:tabs>
                <w:tab w:val="decimal" w:pos="767"/>
              </w:tabs>
            </w:pPr>
            <w:r>
              <w:t>1,811</w:t>
            </w:r>
          </w:p>
        </w:tc>
      </w:tr>
      <w:tr w:rsidR="00000000">
        <w:tblPrEx>
          <w:tblCellMar>
            <w:top w:w="0" w:type="dxa"/>
            <w:bottom w:w="0" w:type="dxa"/>
          </w:tblCellMar>
        </w:tblPrEx>
        <w:tc>
          <w:tcPr>
            <w:tcW w:w="1410" w:type="pct"/>
            <w:tcBorders>
              <w:top w:val="nil"/>
            </w:tcBorders>
          </w:tcPr>
          <w:p w:rsidR="00000000" w:rsidRDefault="00000000">
            <w:pPr>
              <w:pStyle w:val="a2"/>
              <w:rPr>
                <w:rFonts w:hint="eastAsia"/>
              </w:rPr>
            </w:pPr>
            <w:r>
              <w:rPr>
                <w:rFonts w:hint="eastAsia"/>
              </w:rPr>
              <w:t>高地</w:t>
            </w:r>
          </w:p>
        </w:tc>
        <w:tc>
          <w:tcPr>
            <w:tcW w:w="677" w:type="pct"/>
            <w:tcBorders>
              <w:top w:val="nil"/>
            </w:tcBorders>
          </w:tcPr>
          <w:p w:rsidR="00000000" w:rsidRDefault="00000000">
            <w:pPr>
              <w:pStyle w:val="a2"/>
              <w:tabs>
                <w:tab w:val="decimal" w:pos="767"/>
              </w:tabs>
            </w:pPr>
            <w:r>
              <w:t>4,611</w:t>
            </w:r>
          </w:p>
        </w:tc>
        <w:tc>
          <w:tcPr>
            <w:tcW w:w="829" w:type="pct"/>
            <w:tcBorders>
              <w:top w:val="nil"/>
            </w:tcBorders>
          </w:tcPr>
          <w:p w:rsidR="00000000" w:rsidRDefault="00000000">
            <w:pPr>
              <w:pStyle w:val="a2"/>
              <w:tabs>
                <w:tab w:val="decimal" w:pos="767"/>
              </w:tabs>
            </w:pPr>
            <w:r>
              <w:t>456</w:t>
            </w:r>
          </w:p>
        </w:tc>
        <w:tc>
          <w:tcPr>
            <w:tcW w:w="720" w:type="pct"/>
            <w:tcBorders>
              <w:top w:val="nil"/>
            </w:tcBorders>
          </w:tcPr>
          <w:p w:rsidR="00000000" w:rsidRDefault="00000000">
            <w:pPr>
              <w:pStyle w:val="a2"/>
              <w:tabs>
                <w:tab w:val="decimal" w:pos="767"/>
              </w:tabs>
            </w:pPr>
            <w:r>
              <w:t>12,639</w:t>
            </w:r>
          </w:p>
        </w:tc>
        <w:tc>
          <w:tcPr>
            <w:tcW w:w="654" w:type="pct"/>
            <w:tcBorders>
              <w:top w:val="nil"/>
            </w:tcBorders>
          </w:tcPr>
          <w:p w:rsidR="00000000" w:rsidRDefault="00000000">
            <w:pPr>
              <w:pStyle w:val="a2"/>
              <w:tabs>
                <w:tab w:val="decimal" w:pos="767"/>
              </w:tabs>
            </w:pPr>
            <w:r>
              <w:t>675</w:t>
            </w:r>
          </w:p>
        </w:tc>
        <w:tc>
          <w:tcPr>
            <w:tcW w:w="711" w:type="pct"/>
            <w:tcBorders>
              <w:top w:val="nil"/>
            </w:tcBorders>
          </w:tcPr>
          <w:p w:rsidR="00000000" w:rsidRDefault="00000000">
            <w:pPr>
              <w:pStyle w:val="a2"/>
              <w:tabs>
                <w:tab w:val="decimal" w:pos="767"/>
              </w:tabs>
            </w:pPr>
            <w:r>
              <w:t>18,381</w:t>
            </w:r>
          </w:p>
        </w:tc>
      </w:tr>
      <w:tr w:rsidR="00000000">
        <w:tblPrEx>
          <w:tblCellMar>
            <w:top w:w="0" w:type="dxa"/>
            <w:bottom w:w="0" w:type="dxa"/>
          </w:tblCellMar>
        </w:tblPrEx>
        <w:tc>
          <w:tcPr>
            <w:tcW w:w="1410" w:type="pct"/>
          </w:tcPr>
          <w:p w:rsidR="00000000" w:rsidRDefault="00000000">
            <w:pPr>
              <w:pStyle w:val="a2"/>
              <w:spacing w:before="120" w:after="120"/>
              <w:rPr>
                <w:rFonts w:hint="eastAsia"/>
              </w:rPr>
            </w:pPr>
            <w:r>
              <w:rPr>
                <w:rFonts w:hint="eastAsia"/>
              </w:rPr>
              <w:t>全国总计</w:t>
            </w:r>
          </w:p>
        </w:tc>
        <w:tc>
          <w:tcPr>
            <w:tcW w:w="677" w:type="pct"/>
          </w:tcPr>
          <w:p w:rsidR="00000000" w:rsidRDefault="00000000">
            <w:pPr>
              <w:pStyle w:val="a2"/>
              <w:tabs>
                <w:tab w:val="decimal" w:pos="767"/>
              </w:tabs>
              <w:spacing w:before="120" w:after="120"/>
            </w:pPr>
            <w:r>
              <w:t>12,808</w:t>
            </w:r>
          </w:p>
        </w:tc>
        <w:tc>
          <w:tcPr>
            <w:tcW w:w="829" w:type="pct"/>
          </w:tcPr>
          <w:p w:rsidR="00000000" w:rsidRDefault="00000000">
            <w:pPr>
              <w:pStyle w:val="a2"/>
              <w:tabs>
                <w:tab w:val="decimal" w:pos="767"/>
              </w:tabs>
              <w:spacing w:before="120" w:after="120"/>
            </w:pPr>
            <w:r>
              <w:t>2,242</w:t>
            </w:r>
          </w:p>
        </w:tc>
        <w:tc>
          <w:tcPr>
            <w:tcW w:w="720" w:type="pct"/>
          </w:tcPr>
          <w:p w:rsidR="00000000" w:rsidRDefault="00000000">
            <w:pPr>
              <w:pStyle w:val="a2"/>
              <w:tabs>
                <w:tab w:val="decimal" w:pos="767"/>
              </w:tabs>
              <w:spacing w:before="120" w:after="120"/>
            </w:pPr>
            <w:r>
              <w:t>21,334</w:t>
            </w:r>
          </w:p>
        </w:tc>
        <w:tc>
          <w:tcPr>
            <w:tcW w:w="654" w:type="pct"/>
          </w:tcPr>
          <w:p w:rsidR="00000000" w:rsidRDefault="00000000">
            <w:pPr>
              <w:pStyle w:val="a2"/>
              <w:tabs>
                <w:tab w:val="decimal" w:pos="767"/>
              </w:tabs>
              <w:spacing w:before="120" w:after="120"/>
            </w:pPr>
            <w:r>
              <w:t>1,303</w:t>
            </w:r>
          </w:p>
        </w:tc>
        <w:tc>
          <w:tcPr>
            <w:tcW w:w="711" w:type="pct"/>
          </w:tcPr>
          <w:p w:rsidR="00000000" w:rsidRDefault="00000000">
            <w:pPr>
              <w:pStyle w:val="a2"/>
              <w:tabs>
                <w:tab w:val="decimal" w:pos="767"/>
              </w:tabs>
              <w:spacing w:before="120" w:after="120"/>
            </w:pPr>
            <w:r>
              <w:t>37,687</w:t>
            </w:r>
          </w:p>
        </w:tc>
      </w:tr>
      <w:tr w:rsidR="00000000">
        <w:tblPrEx>
          <w:tblCellMar>
            <w:top w:w="0" w:type="dxa"/>
            <w:bottom w:w="0" w:type="dxa"/>
          </w:tblCellMar>
        </w:tblPrEx>
        <w:tc>
          <w:tcPr>
            <w:tcW w:w="1410" w:type="pct"/>
          </w:tcPr>
          <w:p w:rsidR="00000000" w:rsidRDefault="00000000">
            <w:pPr>
              <w:pStyle w:val="a2"/>
              <w:rPr>
                <w:rFonts w:hint="eastAsia"/>
              </w:rPr>
            </w:pPr>
            <w:r>
              <w:rPr>
                <w:rFonts w:hint="eastAsia"/>
              </w:rPr>
              <w:t>1998-1999</w:t>
            </w:r>
            <w:r>
              <w:rPr>
                <w:rFonts w:hint="eastAsia"/>
              </w:rPr>
              <w:t>年总计</w:t>
            </w:r>
          </w:p>
        </w:tc>
        <w:tc>
          <w:tcPr>
            <w:tcW w:w="677" w:type="pct"/>
          </w:tcPr>
          <w:p w:rsidR="00000000" w:rsidRDefault="00000000">
            <w:pPr>
              <w:pStyle w:val="a2"/>
              <w:tabs>
                <w:tab w:val="decimal" w:pos="767"/>
              </w:tabs>
            </w:pPr>
            <w:r>
              <w:t>19,448</w:t>
            </w:r>
          </w:p>
        </w:tc>
        <w:tc>
          <w:tcPr>
            <w:tcW w:w="829" w:type="pct"/>
          </w:tcPr>
          <w:p w:rsidR="00000000" w:rsidRDefault="00000000">
            <w:pPr>
              <w:pStyle w:val="a2"/>
              <w:tabs>
                <w:tab w:val="decimal" w:pos="767"/>
              </w:tabs>
            </w:pPr>
            <w:r>
              <w:t>10,141</w:t>
            </w:r>
          </w:p>
        </w:tc>
        <w:tc>
          <w:tcPr>
            <w:tcW w:w="720" w:type="pct"/>
          </w:tcPr>
          <w:p w:rsidR="00000000" w:rsidRDefault="00000000">
            <w:pPr>
              <w:pStyle w:val="a2"/>
              <w:tabs>
                <w:tab w:val="decimal" w:pos="767"/>
              </w:tabs>
            </w:pPr>
            <w:r>
              <w:t>24,933</w:t>
            </w:r>
          </w:p>
        </w:tc>
        <w:tc>
          <w:tcPr>
            <w:tcW w:w="654" w:type="pct"/>
          </w:tcPr>
          <w:p w:rsidR="00000000" w:rsidRDefault="00000000">
            <w:pPr>
              <w:pStyle w:val="a2"/>
              <w:tabs>
                <w:tab w:val="decimal" w:pos="767"/>
              </w:tabs>
            </w:pPr>
            <w:r>
              <w:t>2,335</w:t>
            </w:r>
          </w:p>
        </w:tc>
        <w:tc>
          <w:tcPr>
            <w:tcW w:w="711" w:type="pct"/>
          </w:tcPr>
          <w:p w:rsidR="00000000" w:rsidRDefault="00000000">
            <w:pPr>
              <w:pStyle w:val="a2"/>
              <w:tabs>
                <w:tab w:val="decimal" w:pos="767"/>
              </w:tabs>
            </w:pPr>
            <w:r>
              <w:t>56,857</w:t>
            </w:r>
          </w:p>
        </w:tc>
      </w:tr>
    </w:tbl>
    <w:p w:rsidR="00000000" w:rsidRDefault="00000000">
      <w:pPr>
        <w:spacing w:before="120"/>
        <w:rPr>
          <w:rFonts w:eastAsia="KaiTi_GB2312" w:hint="eastAsia"/>
          <w:spacing w:val="0"/>
        </w:rPr>
      </w:pPr>
      <w:r>
        <w:rPr>
          <w:rFonts w:hint="eastAsia"/>
        </w:rPr>
        <w:tab/>
      </w:r>
      <w:r>
        <w:rPr>
          <w:rFonts w:eastAsia="KaiTi_GB2312" w:hint="eastAsia"/>
          <w:spacing w:val="0"/>
          <w:u w:val="single"/>
        </w:rPr>
        <w:t>资料来源</w:t>
      </w:r>
      <w:r>
        <w:rPr>
          <w:rFonts w:eastAsia="KaiTi_GB2312" w:hint="eastAsia"/>
          <w:spacing w:val="0"/>
        </w:rPr>
        <w:t>：住房与城市发展部，计划总局。</w:t>
      </w:r>
    </w:p>
    <w:p w:rsidR="00000000" w:rsidRDefault="00000000">
      <w:pPr>
        <w:rPr>
          <w:rFonts w:eastAsia="KaiTi_GB2312" w:hint="eastAsia"/>
          <w:spacing w:val="0"/>
        </w:rPr>
      </w:pPr>
      <w:r>
        <w:rPr>
          <w:rFonts w:eastAsia="KaiTi_GB2312" w:hint="eastAsia"/>
          <w:spacing w:val="0"/>
        </w:rPr>
        <w:tab/>
        <w:t>*</w:t>
      </w:r>
      <w:r>
        <w:rPr>
          <w:rFonts w:eastAsia="KaiTi_GB2312" w:hint="eastAsia"/>
          <w:spacing w:val="0"/>
        </w:rPr>
        <w:tab/>
      </w:r>
      <w:r>
        <w:rPr>
          <w:rFonts w:eastAsia="KaiTi_GB2312" w:hint="eastAsia"/>
          <w:spacing w:val="0"/>
        </w:rPr>
        <w:t>已提供补助金。</w:t>
      </w:r>
    </w:p>
    <w:p w:rsidR="00000000" w:rsidRDefault="00000000">
      <w:pPr>
        <w:pStyle w:val="Heading4"/>
        <w:spacing w:before="300"/>
        <w:rPr>
          <w:rFonts w:eastAsia="KaiTi_GB2312" w:hint="eastAsia"/>
          <w:snapToGrid/>
          <w:spacing w:val="0"/>
          <w:u w:val="none"/>
        </w:rPr>
      </w:pPr>
      <w:r>
        <w:rPr>
          <w:rFonts w:eastAsia="KaiTi_GB2312" w:hint="eastAsia"/>
          <w:snapToGrid/>
          <w:spacing w:val="0"/>
          <w:u w:val="none"/>
        </w:rPr>
        <w:t>国际合作</w:t>
      </w:r>
    </w:p>
    <w:p w:rsidR="00000000" w:rsidRDefault="00000000">
      <w:pPr>
        <w:spacing w:after="320"/>
        <w:rPr>
          <w:rFonts w:hint="eastAsia"/>
        </w:rPr>
      </w:pPr>
      <w:r>
        <w:rPr>
          <w:rFonts w:hint="eastAsia"/>
        </w:rPr>
        <w:tab/>
        <w:t xml:space="preserve">376.  </w:t>
      </w:r>
      <w:r>
        <w:rPr>
          <w:rFonts w:hint="eastAsia"/>
        </w:rPr>
        <w:t>为了让厄瓜多尔的低收入国民住上房子，保证住房建筑业的公共投资更加有效、公平，并奖励私营部门更大程度地参与进来，厄瓜多尔政府通过住房部，与美洲开发银行合作，决定执行住房建筑业支助方案。</w:t>
      </w:r>
    </w:p>
    <w:p w:rsidR="00000000" w:rsidRDefault="00000000">
      <w:pPr>
        <w:pStyle w:val="Heading3"/>
        <w:rPr>
          <w:rFonts w:hint="eastAsia"/>
        </w:rPr>
      </w:pPr>
      <w:r>
        <w:rPr>
          <w:rFonts w:hint="eastAsia"/>
        </w:rPr>
        <w:t>第</w:t>
      </w:r>
      <w:r>
        <w:rPr>
          <w:rFonts w:hint="eastAsia"/>
        </w:rPr>
        <w:t xml:space="preserve"> </w:t>
      </w:r>
      <w:r>
        <w:rPr>
          <w:rFonts w:hint="eastAsia"/>
        </w:rPr>
        <w:t>十二</w:t>
      </w:r>
      <w:r>
        <w:rPr>
          <w:rFonts w:hint="eastAsia"/>
        </w:rPr>
        <w:t xml:space="preserve"> </w:t>
      </w:r>
      <w:r>
        <w:rPr>
          <w:rFonts w:hint="eastAsia"/>
        </w:rPr>
        <w:t>条</w:t>
      </w:r>
    </w:p>
    <w:p w:rsidR="00000000" w:rsidRDefault="00000000">
      <w:pPr>
        <w:pStyle w:val="Heading3"/>
        <w:rPr>
          <w:rFonts w:hint="eastAsia"/>
        </w:rPr>
      </w:pPr>
      <w:r>
        <w:rPr>
          <w:rFonts w:hint="eastAsia"/>
          <w:u w:val="none"/>
        </w:rPr>
        <w:t xml:space="preserve">1.  </w:t>
      </w:r>
      <w:r>
        <w:rPr>
          <w:rFonts w:hint="eastAsia"/>
        </w:rPr>
        <w:t>卫生政策</w:t>
      </w:r>
    </w:p>
    <w:p w:rsidR="00000000" w:rsidRDefault="00000000">
      <w:pPr>
        <w:rPr>
          <w:rFonts w:hint="eastAsia"/>
        </w:rPr>
      </w:pPr>
      <w:r>
        <w:rPr>
          <w:rFonts w:hint="eastAsia"/>
        </w:rPr>
        <w:tab/>
        <w:t xml:space="preserve">377.  </w:t>
      </w:r>
      <w:r>
        <w:rPr>
          <w:rFonts w:hint="eastAsia"/>
        </w:rPr>
        <w:t>卫生方面的现状，尤其是过去二十年以来，受到了一些错综复杂的情况和困难的影响，致使卫生领域这一厄瓜多尔社会经济发展中占居根本地位的领域发展倒退。至所以可称之为发展倒退，不仅是因为死亡率、疾病率等宏观指标比十年前还糟糕，而且还因为这些指标居高不下。保健工作的覆盖面没有扩大，质量也没有提高，不平等现象增多，穷人得不到支持的现象更为突出。各级卫生部门管理不善，加上</w:t>
      </w:r>
      <w:r>
        <w:rPr>
          <w:rFonts w:hint="eastAsia"/>
        </w:rPr>
        <w:t>(</w:t>
      </w:r>
      <w:r>
        <w:rPr>
          <w:rFonts w:hint="eastAsia"/>
        </w:rPr>
        <w:t>政党、个人</w:t>
      </w:r>
      <w:r>
        <w:rPr>
          <w:rFonts w:hint="eastAsia"/>
        </w:rPr>
        <w:t>)</w:t>
      </w:r>
      <w:r>
        <w:rPr>
          <w:rFonts w:hint="eastAsia"/>
        </w:rPr>
        <w:t>的政治管理方式，使整个形势雪上添霜。</w:t>
      </w:r>
    </w:p>
    <w:p w:rsidR="00000000" w:rsidRDefault="00000000">
      <w:pPr>
        <w:rPr>
          <w:rFonts w:hint="eastAsia"/>
        </w:rPr>
      </w:pPr>
      <w:r>
        <w:rPr>
          <w:rFonts w:hint="eastAsia"/>
        </w:rPr>
        <w:tab/>
        <w:t>378.  1998</w:t>
      </w:r>
      <w:r>
        <w:rPr>
          <w:rFonts w:hint="eastAsia"/>
        </w:rPr>
        <w:t>年制宪大会通过的《宪法》规定了制定真正的国家卫生政策的原则：普遍性、全面性、团结、优质高效，这些原则被看成是一套真正的国家卫生制度开展的一个全新的进程中的重要内容。</w:t>
      </w:r>
      <w:r>
        <w:rPr>
          <w:rFonts w:hint="eastAsia"/>
          <w:b/>
          <w:vertAlign w:val="superscript"/>
        </w:rPr>
        <w:t>49</w:t>
      </w:r>
    </w:p>
    <w:p w:rsidR="00000000" w:rsidRDefault="00000000">
      <w:pPr>
        <w:rPr>
          <w:rFonts w:hint="eastAsia"/>
          <w:vertAlign w:val="superscript"/>
        </w:rPr>
      </w:pPr>
      <w:r>
        <w:rPr>
          <w:rFonts w:hint="eastAsia"/>
        </w:rPr>
        <w:tab/>
        <w:t xml:space="preserve">379.  </w:t>
      </w:r>
      <w:r>
        <w:rPr>
          <w:rFonts w:hint="eastAsia"/>
        </w:rPr>
        <w:t>公共卫生部在国家心理健康计划中对卫生状况进行的评估表明，国家当前的社会经济形势是与发生复杂的流行病情况分不开的。这些流行病不仅包括感染</w:t>
      </w:r>
      <w:r>
        <w:rPr>
          <w:rFonts w:hint="eastAsia"/>
        </w:rPr>
        <w:t>/</w:t>
      </w:r>
      <w:r>
        <w:rPr>
          <w:rFonts w:hint="eastAsia"/>
        </w:rPr>
        <w:t>传染病和寄生虫病，慢性和变性疾病，严重营养不良症，肿瘤病，而且还包括交通事故和一切形式的暴力。还有人担心会再度爆发结核病这种确凿表明存在贫困现象的疾病，自杀率会上升“尤其是青少年自杀”，会爆发霍乱和登革热等地方病，疟疾发病率高，以及心理社会问题增多，如酗</w:t>
      </w:r>
      <w:r>
        <w:rPr>
          <w:rFonts w:hint="eastAsia"/>
          <w:spacing w:val="4"/>
        </w:rPr>
        <w:t>酒、吸毒、虐待儿童</w:t>
      </w:r>
      <w:r>
        <w:rPr>
          <w:rFonts w:hint="eastAsia"/>
        </w:rPr>
        <w:t>和妇女及其他形式的暴力行为。</w:t>
      </w:r>
      <w:r>
        <w:rPr>
          <w:rFonts w:hint="eastAsia"/>
          <w:b/>
          <w:vertAlign w:val="superscript"/>
        </w:rPr>
        <w:t>50</w:t>
      </w:r>
      <w:r>
        <w:rPr>
          <w:rFonts w:hint="eastAsia"/>
          <w:vertAlign w:val="superscript"/>
        </w:rPr>
        <w:t xml:space="preserve"> </w:t>
      </w:r>
    </w:p>
    <w:p w:rsidR="00000000" w:rsidRDefault="00000000">
      <w:pPr>
        <w:rPr>
          <w:rFonts w:hint="eastAsia"/>
        </w:rPr>
      </w:pPr>
      <w:r>
        <w:rPr>
          <w:rFonts w:hint="eastAsia"/>
          <w:vertAlign w:val="superscript"/>
        </w:rPr>
        <w:tab/>
      </w:r>
      <w:r>
        <w:rPr>
          <w:rFonts w:hint="eastAsia"/>
        </w:rPr>
        <w:t xml:space="preserve">380.  </w:t>
      </w:r>
      <w:r>
        <w:rPr>
          <w:rFonts w:hint="eastAsia"/>
        </w:rPr>
        <w:t>厄瓜多尔生病或死亡的危险性也分布不均：城郊地区和农村较高，尤其在土著居民高度集中的地区更如此。例如，</w:t>
      </w:r>
      <w:r>
        <w:t>Guayas</w:t>
      </w:r>
      <w:r>
        <w:rPr>
          <w:rFonts w:hint="eastAsia"/>
        </w:rPr>
        <w:t>或</w:t>
      </w:r>
      <w:r>
        <w:t>Pichincha</w:t>
      </w:r>
      <w:r>
        <w:rPr>
          <w:rFonts w:hint="eastAsia"/>
        </w:rPr>
        <w:t>省每死一名儿童，在</w:t>
      </w:r>
      <w:r>
        <w:t>Chimborazo</w:t>
      </w:r>
      <w:r>
        <w:rPr>
          <w:rFonts w:hint="eastAsia"/>
        </w:rPr>
        <w:t>儿童死亡人数便是</w:t>
      </w:r>
      <w:r>
        <w:rPr>
          <w:rFonts w:hint="eastAsia"/>
        </w:rPr>
        <w:t>3</w:t>
      </w:r>
      <w:r>
        <w:rPr>
          <w:rFonts w:hint="eastAsia"/>
        </w:rPr>
        <w:t>人；</w:t>
      </w:r>
      <w:r>
        <w:rPr>
          <w:rFonts w:hint="eastAsia"/>
          <w:b/>
          <w:vertAlign w:val="superscript"/>
        </w:rPr>
        <w:t>51</w:t>
      </w:r>
      <w:r>
        <w:rPr>
          <w:rFonts w:hint="eastAsia"/>
        </w:rPr>
        <w:t xml:space="preserve"> </w:t>
      </w:r>
      <w:r>
        <w:rPr>
          <w:rFonts w:hint="eastAsia"/>
        </w:rPr>
        <w:t>发病率、获得保健服务的机会、入学率其他方面的指标也有同样的趋势。</w:t>
      </w:r>
      <w:r>
        <w:rPr>
          <w:rFonts w:hint="eastAsia"/>
          <w:b/>
          <w:vertAlign w:val="superscript"/>
        </w:rPr>
        <w:t>52</w:t>
      </w:r>
      <w:r>
        <w:rPr>
          <w:rFonts w:hint="eastAsia"/>
        </w:rPr>
        <w:t xml:space="preserve"> </w:t>
      </w:r>
    </w:p>
    <w:p w:rsidR="00000000" w:rsidRDefault="00000000">
      <w:pPr>
        <w:rPr>
          <w:rFonts w:hint="eastAsia"/>
        </w:rPr>
      </w:pPr>
      <w:r>
        <w:rPr>
          <w:rFonts w:hint="eastAsia"/>
        </w:rPr>
        <w:tab/>
        <w:t xml:space="preserve">381.  </w:t>
      </w:r>
      <w:r>
        <w:rPr>
          <w:rFonts w:hint="eastAsia"/>
        </w:rPr>
        <w:t>国家心理健康计划表明，因心理健康问题，尤其是抑郁、癫痫伴随着心理问题及其酒精中毒问题就疹的情况越来越常见。</w:t>
      </w:r>
    </w:p>
    <w:p w:rsidR="00000000" w:rsidRDefault="00000000">
      <w:pPr>
        <w:spacing w:after="320"/>
        <w:rPr>
          <w:rFonts w:hint="eastAsia"/>
        </w:rPr>
      </w:pPr>
      <w:r>
        <w:rPr>
          <w:rFonts w:hint="eastAsia"/>
        </w:rPr>
        <w:tab/>
        <w:t xml:space="preserve">382.  </w:t>
      </w:r>
      <w:r>
        <w:rPr>
          <w:rFonts w:hint="eastAsia"/>
        </w:rPr>
        <w:t>全国调查表明，因任何健康问题就疹的病人中</w:t>
      </w:r>
      <w:r>
        <w:rPr>
          <w:rFonts w:hint="eastAsia"/>
        </w:rPr>
        <w:t>25%</w:t>
      </w:r>
      <w:r>
        <w:rPr>
          <w:rFonts w:hint="eastAsia"/>
        </w:rPr>
        <w:t>有心理方面的问题或需要进行某种心理健康治疗；而住院病人的这一比例更高些，因而对护理的需求越来越高。</w:t>
      </w:r>
    </w:p>
    <w:p w:rsidR="00000000" w:rsidRDefault="00000000">
      <w:pPr>
        <w:pStyle w:val="Heading3"/>
        <w:rPr>
          <w:rFonts w:hint="eastAsia"/>
          <w:bCs/>
        </w:rPr>
      </w:pPr>
      <w:r>
        <w:rPr>
          <w:bCs/>
        </w:rPr>
        <w:t>1994</w:t>
      </w:r>
      <w:r>
        <w:rPr>
          <w:rFonts w:hint="eastAsia"/>
          <w:bCs/>
        </w:rPr>
        <w:t>年至</w:t>
      </w:r>
      <w:r>
        <w:rPr>
          <w:bCs/>
        </w:rPr>
        <w:t>2000</w:t>
      </w:r>
      <w:r>
        <w:rPr>
          <w:rFonts w:hint="eastAsia"/>
          <w:bCs/>
        </w:rPr>
        <w:t>年厄瓜多尔若干选定的心理问题的年度发病率</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9"/>
        <w:gridCol w:w="1131"/>
        <w:gridCol w:w="1170"/>
        <w:gridCol w:w="1092"/>
        <w:gridCol w:w="1131"/>
        <w:gridCol w:w="1092"/>
        <w:gridCol w:w="907"/>
      </w:tblGrid>
      <w:tr w:rsidR="00000000">
        <w:tblPrEx>
          <w:tblCellMar>
            <w:top w:w="0" w:type="dxa"/>
            <w:bottom w:w="0" w:type="dxa"/>
          </w:tblCellMar>
        </w:tblPrEx>
        <w:tc>
          <w:tcPr>
            <w:tcW w:w="2769" w:type="dxa"/>
            <w:tcBorders>
              <w:bottom w:val="single" w:sz="4" w:space="0" w:color="auto"/>
            </w:tcBorders>
            <w:vAlign w:val="center"/>
          </w:tcPr>
          <w:p w:rsidR="00000000" w:rsidRDefault="00000000">
            <w:pPr>
              <w:pStyle w:val="a2"/>
              <w:spacing w:before="80" w:after="40"/>
              <w:jc w:val="center"/>
              <w:rPr>
                <w:rFonts w:hint="eastAsia"/>
              </w:rPr>
            </w:pPr>
            <w:r>
              <w:rPr>
                <w:rFonts w:hint="eastAsia"/>
              </w:rPr>
              <w:t>心理问题</w:t>
            </w:r>
          </w:p>
        </w:tc>
        <w:tc>
          <w:tcPr>
            <w:tcW w:w="1131" w:type="dxa"/>
            <w:tcBorders>
              <w:bottom w:val="single" w:sz="4" w:space="0" w:color="auto"/>
            </w:tcBorders>
            <w:vAlign w:val="center"/>
          </w:tcPr>
          <w:p w:rsidR="00000000" w:rsidRDefault="00000000">
            <w:pPr>
              <w:pStyle w:val="a2"/>
              <w:spacing w:before="80" w:after="40"/>
              <w:jc w:val="center"/>
            </w:pPr>
            <w:r>
              <w:t>1994</w:t>
            </w:r>
          </w:p>
        </w:tc>
        <w:tc>
          <w:tcPr>
            <w:tcW w:w="1170" w:type="dxa"/>
            <w:tcBorders>
              <w:bottom w:val="single" w:sz="4" w:space="0" w:color="auto"/>
            </w:tcBorders>
            <w:vAlign w:val="center"/>
          </w:tcPr>
          <w:p w:rsidR="00000000" w:rsidRDefault="00000000">
            <w:pPr>
              <w:pStyle w:val="a2"/>
              <w:spacing w:before="80" w:after="40"/>
              <w:jc w:val="center"/>
            </w:pPr>
            <w:r>
              <w:t>1995</w:t>
            </w:r>
          </w:p>
        </w:tc>
        <w:tc>
          <w:tcPr>
            <w:tcW w:w="1092" w:type="dxa"/>
            <w:tcBorders>
              <w:bottom w:val="single" w:sz="4" w:space="0" w:color="auto"/>
            </w:tcBorders>
            <w:vAlign w:val="center"/>
          </w:tcPr>
          <w:p w:rsidR="00000000" w:rsidRDefault="00000000">
            <w:pPr>
              <w:pStyle w:val="a2"/>
              <w:spacing w:before="80" w:after="40"/>
              <w:jc w:val="center"/>
            </w:pPr>
            <w:r>
              <w:t>1996</w:t>
            </w:r>
          </w:p>
        </w:tc>
        <w:tc>
          <w:tcPr>
            <w:tcW w:w="1131" w:type="dxa"/>
            <w:tcBorders>
              <w:bottom w:val="single" w:sz="4" w:space="0" w:color="auto"/>
            </w:tcBorders>
            <w:vAlign w:val="center"/>
          </w:tcPr>
          <w:p w:rsidR="00000000" w:rsidRDefault="00000000">
            <w:pPr>
              <w:pStyle w:val="a2"/>
              <w:spacing w:before="80" w:after="40"/>
              <w:jc w:val="center"/>
            </w:pPr>
            <w:r>
              <w:t>1997</w:t>
            </w:r>
          </w:p>
        </w:tc>
        <w:tc>
          <w:tcPr>
            <w:tcW w:w="1092" w:type="dxa"/>
            <w:tcBorders>
              <w:bottom w:val="single" w:sz="4" w:space="0" w:color="auto"/>
            </w:tcBorders>
            <w:vAlign w:val="center"/>
          </w:tcPr>
          <w:p w:rsidR="00000000" w:rsidRDefault="00000000">
            <w:pPr>
              <w:pStyle w:val="a2"/>
              <w:spacing w:before="80" w:after="40"/>
              <w:jc w:val="center"/>
            </w:pPr>
            <w:r>
              <w:t>1998</w:t>
            </w:r>
          </w:p>
        </w:tc>
        <w:tc>
          <w:tcPr>
            <w:tcW w:w="907" w:type="dxa"/>
            <w:tcBorders>
              <w:bottom w:val="single" w:sz="4" w:space="0" w:color="auto"/>
            </w:tcBorders>
            <w:vAlign w:val="center"/>
          </w:tcPr>
          <w:p w:rsidR="00000000" w:rsidRDefault="00000000">
            <w:pPr>
              <w:pStyle w:val="a2"/>
              <w:spacing w:before="80" w:after="40"/>
              <w:jc w:val="center"/>
            </w:pPr>
            <w:r>
              <w:t>2000</w:t>
            </w:r>
          </w:p>
        </w:tc>
      </w:tr>
      <w:tr w:rsidR="00000000">
        <w:tblPrEx>
          <w:tblCellMar>
            <w:top w:w="0" w:type="dxa"/>
            <w:bottom w:w="0" w:type="dxa"/>
          </w:tblCellMar>
        </w:tblPrEx>
        <w:tc>
          <w:tcPr>
            <w:tcW w:w="2769" w:type="dxa"/>
            <w:tcBorders>
              <w:bottom w:val="nil"/>
            </w:tcBorders>
          </w:tcPr>
          <w:p w:rsidR="00000000" w:rsidRDefault="00000000">
            <w:pPr>
              <w:pStyle w:val="a2"/>
              <w:spacing w:line="240" w:lineRule="auto"/>
              <w:rPr>
                <w:rFonts w:hint="eastAsia"/>
                <w:szCs w:val="23"/>
              </w:rPr>
            </w:pPr>
            <w:r>
              <w:rPr>
                <w:rFonts w:hint="eastAsia"/>
                <w:szCs w:val="23"/>
              </w:rPr>
              <w:t>吸毒</w:t>
            </w:r>
          </w:p>
        </w:tc>
        <w:tc>
          <w:tcPr>
            <w:tcW w:w="1131" w:type="dxa"/>
            <w:tcBorders>
              <w:bottom w:val="nil"/>
            </w:tcBorders>
          </w:tcPr>
          <w:p w:rsidR="00000000" w:rsidRDefault="00000000">
            <w:pPr>
              <w:pStyle w:val="a2"/>
              <w:tabs>
                <w:tab w:val="decimal" w:pos="416"/>
              </w:tabs>
              <w:spacing w:line="240" w:lineRule="auto"/>
              <w:rPr>
                <w:szCs w:val="23"/>
              </w:rPr>
            </w:pPr>
            <w:r>
              <w:rPr>
                <w:szCs w:val="23"/>
              </w:rPr>
              <w:t>1.69</w:t>
            </w:r>
          </w:p>
        </w:tc>
        <w:tc>
          <w:tcPr>
            <w:tcW w:w="1170" w:type="dxa"/>
            <w:tcBorders>
              <w:bottom w:val="nil"/>
            </w:tcBorders>
          </w:tcPr>
          <w:p w:rsidR="00000000" w:rsidRDefault="00000000">
            <w:pPr>
              <w:pStyle w:val="a2"/>
              <w:tabs>
                <w:tab w:val="decimal" w:pos="416"/>
              </w:tabs>
              <w:spacing w:line="240" w:lineRule="auto"/>
              <w:rPr>
                <w:szCs w:val="23"/>
              </w:rPr>
            </w:pPr>
            <w:r>
              <w:rPr>
                <w:szCs w:val="23"/>
              </w:rPr>
              <w:t>2.67</w:t>
            </w:r>
          </w:p>
        </w:tc>
        <w:tc>
          <w:tcPr>
            <w:tcW w:w="1092" w:type="dxa"/>
            <w:tcBorders>
              <w:bottom w:val="nil"/>
            </w:tcBorders>
          </w:tcPr>
          <w:p w:rsidR="00000000" w:rsidRDefault="00000000">
            <w:pPr>
              <w:pStyle w:val="a2"/>
              <w:tabs>
                <w:tab w:val="decimal" w:pos="416"/>
              </w:tabs>
              <w:spacing w:line="240" w:lineRule="auto"/>
              <w:rPr>
                <w:szCs w:val="23"/>
              </w:rPr>
            </w:pPr>
            <w:r>
              <w:rPr>
                <w:szCs w:val="23"/>
              </w:rPr>
              <w:t>2.42</w:t>
            </w:r>
          </w:p>
        </w:tc>
        <w:tc>
          <w:tcPr>
            <w:tcW w:w="1131" w:type="dxa"/>
            <w:tcBorders>
              <w:bottom w:val="nil"/>
            </w:tcBorders>
          </w:tcPr>
          <w:p w:rsidR="00000000" w:rsidRDefault="00000000">
            <w:pPr>
              <w:pStyle w:val="a2"/>
              <w:tabs>
                <w:tab w:val="decimal" w:pos="416"/>
              </w:tabs>
              <w:spacing w:line="240" w:lineRule="auto"/>
              <w:rPr>
                <w:szCs w:val="23"/>
              </w:rPr>
            </w:pPr>
            <w:r>
              <w:rPr>
                <w:szCs w:val="23"/>
              </w:rPr>
              <w:t>2.11</w:t>
            </w:r>
          </w:p>
        </w:tc>
        <w:tc>
          <w:tcPr>
            <w:tcW w:w="1092" w:type="dxa"/>
            <w:tcBorders>
              <w:bottom w:val="nil"/>
            </w:tcBorders>
          </w:tcPr>
          <w:p w:rsidR="00000000" w:rsidRDefault="00000000">
            <w:pPr>
              <w:pStyle w:val="a2"/>
              <w:tabs>
                <w:tab w:val="decimal" w:pos="416"/>
              </w:tabs>
              <w:spacing w:line="240" w:lineRule="auto"/>
              <w:rPr>
                <w:szCs w:val="23"/>
              </w:rPr>
            </w:pPr>
            <w:r>
              <w:rPr>
                <w:szCs w:val="23"/>
              </w:rPr>
              <w:t>1.87</w:t>
            </w:r>
          </w:p>
        </w:tc>
        <w:tc>
          <w:tcPr>
            <w:tcW w:w="907" w:type="dxa"/>
            <w:tcBorders>
              <w:bottom w:val="nil"/>
            </w:tcBorders>
          </w:tcPr>
          <w:p w:rsidR="00000000" w:rsidRDefault="00000000">
            <w:pPr>
              <w:pStyle w:val="a2"/>
              <w:tabs>
                <w:tab w:val="decimal" w:pos="416"/>
              </w:tabs>
              <w:spacing w:line="240" w:lineRule="auto"/>
            </w:pPr>
            <w:r>
              <w:rPr>
                <w:szCs w:val="23"/>
              </w:rPr>
              <w:t>2.01</w:t>
            </w:r>
          </w:p>
        </w:tc>
      </w:tr>
      <w:tr w:rsidR="00000000">
        <w:tblPrEx>
          <w:tblCellMar>
            <w:top w:w="0" w:type="dxa"/>
            <w:bottom w:w="0" w:type="dxa"/>
          </w:tblCellMar>
        </w:tblPrEx>
        <w:tc>
          <w:tcPr>
            <w:tcW w:w="2769" w:type="dxa"/>
            <w:tcBorders>
              <w:top w:val="nil"/>
              <w:bottom w:val="nil"/>
            </w:tcBorders>
          </w:tcPr>
          <w:p w:rsidR="00000000" w:rsidRDefault="00000000">
            <w:pPr>
              <w:pStyle w:val="a2"/>
              <w:spacing w:line="240" w:lineRule="auto"/>
              <w:rPr>
                <w:rFonts w:hint="eastAsia"/>
                <w:szCs w:val="23"/>
              </w:rPr>
            </w:pPr>
            <w:r>
              <w:rPr>
                <w:rFonts w:hint="eastAsia"/>
                <w:szCs w:val="23"/>
              </w:rPr>
              <w:t>酗酒</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23.28</w:t>
            </w:r>
          </w:p>
        </w:tc>
        <w:tc>
          <w:tcPr>
            <w:tcW w:w="1170" w:type="dxa"/>
            <w:tcBorders>
              <w:top w:val="nil"/>
              <w:bottom w:val="nil"/>
            </w:tcBorders>
          </w:tcPr>
          <w:p w:rsidR="00000000" w:rsidRDefault="00000000">
            <w:pPr>
              <w:pStyle w:val="a2"/>
              <w:tabs>
                <w:tab w:val="decimal" w:pos="416"/>
              </w:tabs>
              <w:spacing w:line="240" w:lineRule="auto"/>
              <w:rPr>
                <w:szCs w:val="23"/>
              </w:rPr>
            </w:pPr>
            <w:r>
              <w:rPr>
                <w:szCs w:val="23"/>
              </w:rPr>
              <w:t>25.29</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25.81</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21.50</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18.52</w:t>
            </w:r>
          </w:p>
        </w:tc>
        <w:tc>
          <w:tcPr>
            <w:tcW w:w="907" w:type="dxa"/>
            <w:tcBorders>
              <w:top w:val="nil"/>
              <w:bottom w:val="nil"/>
            </w:tcBorders>
          </w:tcPr>
          <w:p w:rsidR="00000000" w:rsidRDefault="00000000">
            <w:pPr>
              <w:pStyle w:val="a2"/>
              <w:tabs>
                <w:tab w:val="decimal" w:pos="416"/>
              </w:tabs>
              <w:spacing w:line="240" w:lineRule="auto"/>
            </w:pPr>
            <w:r>
              <w:rPr>
                <w:szCs w:val="23"/>
              </w:rPr>
              <w:t>19.82</w:t>
            </w:r>
          </w:p>
        </w:tc>
      </w:tr>
      <w:tr w:rsidR="00000000">
        <w:tblPrEx>
          <w:tblCellMar>
            <w:top w:w="0" w:type="dxa"/>
            <w:bottom w:w="0" w:type="dxa"/>
          </w:tblCellMar>
        </w:tblPrEx>
        <w:tc>
          <w:tcPr>
            <w:tcW w:w="2769" w:type="dxa"/>
            <w:tcBorders>
              <w:top w:val="nil"/>
              <w:bottom w:val="nil"/>
            </w:tcBorders>
          </w:tcPr>
          <w:p w:rsidR="00000000" w:rsidRDefault="00000000">
            <w:pPr>
              <w:pStyle w:val="a2"/>
              <w:spacing w:line="240" w:lineRule="auto"/>
              <w:rPr>
                <w:rFonts w:hint="eastAsia"/>
                <w:szCs w:val="23"/>
              </w:rPr>
            </w:pPr>
            <w:r>
              <w:rPr>
                <w:rFonts w:hint="eastAsia"/>
                <w:szCs w:val="23"/>
              </w:rPr>
              <w:t>抑郁</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29.76</w:t>
            </w:r>
          </w:p>
        </w:tc>
        <w:tc>
          <w:tcPr>
            <w:tcW w:w="1170" w:type="dxa"/>
            <w:tcBorders>
              <w:top w:val="nil"/>
              <w:bottom w:val="nil"/>
            </w:tcBorders>
          </w:tcPr>
          <w:p w:rsidR="00000000" w:rsidRDefault="00000000">
            <w:pPr>
              <w:pStyle w:val="a2"/>
              <w:tabs>
                <w:tab w:val="decimal" w:pos="416"/>
              </w:tabs>
              <w:spacing w:line="240" w:lineRule="auto"/>
              <w:rPr>
                <w:szCs w:val="23"/>
              </w:rPr>
            </w:pPr>
            <w:r>
              <w:rPr>
                <w:szCs w:val="23"/>
              </w:rPr>
              <w:t>31.89</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38.65</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31.78</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31.12</w:t>
            </w:r>
          </w:p>
        </w:tc>
        <w:tc>
          <w:tcPr>
            <w:tcW w:w="907" w:type="dxa"/>
            <w:tcBorders>
              <w:top w:val="nil"/>
              <w:bottom w:val="nil"/>
            </w:tcBorders>
          </w:tcPr>
          <w:p w:rsidR="00000000" w:rsidRDefault="00000000">
            <w:pPr>
              <w:pStyle w:val="a2"/>
              <w:tabs>
                <w:tab w:val="decimal" w:pos="416"/>
              </w:tabs>
              <w:spacing w:line="240" w:lineRule="auto"/>
            </w:pPr>
            <w:r>
              <w:rPr>
                <w:szCs w:val="23"/>
              </w:rPr>
              <w:t>32.03</w:t>
            </w:r>
          </w:p>
        </w:tc>
      </w:tr>
      <w:tr w:rsidR="00000000">
        <w:tblPrEx>
          <w:tblCellMar>
            <w:top w:w="0" w:type="dxa"/>
            <w:bottom w:w="0" w:type="dxa"/>
          </w:tblCellMar>
        </w:tblPrEx>
        <w:tc>
          <w:tcPr>
            <w:tcW w:w="2769" w:type="dxa"/>
            <w:tcBorders>
              <w:top w:val="nil"/>
              <w:bottom w:val="nil"/>
            </w:tcBorders>
          </w:tcPr>
          <w:p w:rsidR="00000000" w:rsidRDefault="00000000">
            <w:pPr>
              <w:pStyle w:val="a2"/>
              <w:spacing w:line="240" w:lineRule="auto"/>
              <w:rPr>
                <w:rFonts w:hint="eastAsia"/>
                <w:szCs w:val="23"/>
              </w:rPr>
            </w:pPr>
            <w:r>
              <w:rPr>
                <w:rFonts w:hint="eastAsia"/>
                <w:szCs w:val="23"/>
              </w:rPr>
              <w:t>自杀未遂</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6.73</w:t>
            </w:r>
          </w:p>
        </w:tc>
        <w:tc>
          <w:tcPr>
            <w:tcW w:w="1170" w:type="dxa"/>
            <w:tcBorders>
              <w:top w:val="nil"/>
              <w:bottom w:val="nil"/>
            </w:tcBorders>
          </w:tcPr>
          <w:p w:rsidR="00000000" w:rsidRDefault="00000000">
            <w:pPr>
              <w:pStyle w:val="a2"/>
              <w:tabs>
                <w:tab w:val="decimal" w:pos="416"/>
              </w:tabs>
              <w:spacing w:line="240" w:lineRule="auto"/>
              <w:rPr>
                <w:szCs w:val="23"/>
              </w:rPr>
            </w:pPr>
            <w:r>
              <w:rPr>
                <w:szCs w:val="23"/>
              </w:rPr>
              <w:t>7.75</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8.80</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9.96</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9.09</w:t>
            </w:r>
          </w:p>
        </w:tc>
        <w:tc>
          <w:tcPr>
            <w:tcW w:w="907" w:type="dxa"/>
            <w:tcBorders>
              <w:top w:val="nil"/>
              <w:bottom w:val="nil"/>
            </w:tcBorders>
          </w:tcPr>
          <w:p w:rsidR="00000000" w:rsidRDefault="00000000">
            <w:pPr>
              <w:pStyle w:val="a2"/>
              <w:tabs>
                <w:tab w:val="decimal" w:pos="416"/>
              </w:tabs>
              <w:spacing w:line="240" w:lineRule="auto"/>
            </w:pPr>
            <w:r>
              <w:rPr>
                <w:szCs w:val="23"/>
              </w:rPr>
              <w:t>9.89</w:t>
            </w:r>
          </w:p>
        </w:tc>
      </w:tr>
      <w:tr w:rsidR="00000000">
        <w:tblPrEx>
          <w:tblCellMar>
            <w:top w:w="0" w:type="dxa"/>
            <w:bottom w:w="0" w:type="dxa"/>
          </w:tblCellMar>
        </w:tblPrEx>
        <w:tc>
          <w:tcPr>
            <w:tcW w:w="2769" w:type="dxa"/>
            <w:tcBorders>
              <w:top w:val="nil"/>
              <w:bottom w:val="nil"/>
            </w:tcBorders>
          </w:tcPr>
          <w:p w:rsidR="00000000" w:rsidRDefault="00000000">
            <w:pPr>
              <w:pStyle w:val="a2"/>
              <w:spacing w:line="240" w:lineRule="auto"/>
              <w:rPr>
                <w:rFonts w:hint="eastAsia"/>
                <w:szCs w:val="23"/>
              </w:rPr>
            </w:pPr>
            <w:r>
              <w:rPr>
                <w:rFonts w:hint="eastAsia"/>
                <w:szCs w:val="23"/>
              </w:rPr>
              <w:t>自杀成功</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0.70</w:t>
            </w:r>
          </w:p>
        </w:tc>
        <w:tc>
          <w:tcPr>
            <w:tcW w:w="1170" w:type="dxa"/>
            <w:tcBorders>
              <w:top w:val="nil"/>
              <w:bottom w:val="nil"/>
            </w:tcBorders>
          </w:tcPr>
          <w:p w:rsidR="00000000" w:rsidRDefault="00000000">
            <w:pPr>
              <w:pStyle w:val="a2"/>
              <w:tabs>
                <w:tab w:val="decimal" w:pos="416"/>
              </w:tabs>
              <w:spacing w:line="240" w:lineRule="auto"/>
              <w:rPr>
                <w:szCs w:val="23"/>
              </w:rPr>
            </w:pPr>
            <w:r>
              <w:rPr>
                <w:szCs w:val="23"/>
              </w:rPr>
              <w:t>1.00</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0.65</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0.77</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0.67</w:t>
            </w:r>
          </w:p>
        </w:tc>
        <w:tc>
          <w:tcPr>
            <w:tcW w:w="907" w:type="dxa"/>
            <w:tcBorders>
              <w:top w:val="nil"/>
              <w:bottom w:val="nil"/>
            </w:tcBorders>
          </w:tcPr>
          <w:p w:rsidR="00000000" w:rsidRDefault="00000000">
            <w:pPr>
              <w:pStyle w:val="a2"/>
              <w:tabs>
                <w:tab w:val="decimal" w:pos="416"/>
              </w:tabs>
              <w:spacing w:line="240" w:lineRule="auto"/>
            </w:pPr>
            <w:r>
              <w:rPr>
                <w:szCs w:val="23"/>
              </w:rPr>
              <w:t>0.71</w:t>
            </w:r>
          </w:p>
        </w:tc>
      </w:tr>
      <w:tr w:rsidR="00000000">
        <w:tblPrEx>
          <w:tblCellMar>
            <w:top w:w="0" w:type="dxa"/>
            <w:bottom w:w="0" w:type="dxa"/>
          </w:tblCellMar>
        </w:tblPrEx>
        <w:tc>
          <w:tcPr>
            <w:tcW w:w="2769" w:type="dxa"/>
            <w:tcBorders>
              <w:top w:val="nil"/>
              <w:bottom w:val="nil"/>
            </w:tcBorders>
          </w:tcPr>
          <w:p w:rsidR="00000000" w:rsidRDefault="00000000">
            <w:pPr>
              <w:pStyle w:val="a2"/>
              <w:spacing w:line="240" w:lineRule="auto"/>
              <w:rPr>
                <w:rFonts w:hint="eastAsia"/>
                <w:szCs w:val="23"/>
              </w:rPr>
            </w:pPr>
            <w:r>
              <w:rPr>
                <w:rFonts w:hint="eastAsia"/>
                <w:szCs w:val="23"/>
              </w:rPr>
              <w:t>暴力和虐待</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33.07</w:t>
            </w:r>
          </w:p>
        </w:tc>
        <w:tc>
          <w:tcPr>
            <w:tcW w:w="1170" w:type="dxa"/>
            <w:tcBorders>
              <w:top w:val="nil"/>
              <w:bottom w:val="nil"/>
            </w:tcBorders>
          </w:tcPr>
          <w:p w:rsidR="00000000" w:rsidRDefault="00000000">
            <w:pPr>
              <w:pStyle w:val="a2"/>
              <w:tabs>
                <w:tab w:val="decimal" w:pos="416"/>
              </w:tabs>
              <w:spacing w:line="240" w:lineRule="auto"/>
              <w:rPr>
                <w:szCs w:val="23"/>
              </w:rPr>
            </w:pPr>
            <w:r>
              <w:rPr>
                <w:szCs w:val="23"/>
              </w:rPr>
              <w:t>35.12</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27.91</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33.63</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35.28</w:t>
            </w:r>
          </w:p>
        </w:tc>
        <w:tc>
          <w:tcPr>
            <w:tcW w:w="907" w:type="dxa"/>
            <w:tcBorders>
              <w:top w:val="nil"/>
              <w:bottom w:val="nil"/>
            </w:tcBorders>
          </w:tcPr>
          <w:p w:rsidR="00000000" w:rsidRDefault="00000000">
            <w:pPr>
              <w:pStyle w:val="a2"/>
              <w:tabs>
                <w:tab w:val="decimal" w:pos="416"/>
              </w:tabs>
              <w:spacing w:line="240" w:lineRule="auto"/>
            </w:pPr>
            <w:r>
              <w:rPr>
                <w:szCs w:val="23"/>
              </w:rPr>
              <w:t>34.02</w:t>
            </w:r>
          </w:p>
        </w:tc>
      </w:tr>
      <w:tr w:rsidR="00000000">
        <w:tblPrEx>
          <w:tblCellMar>
            <w:top w:w="0" w:type="dxa"/>
            <w:bottom w:w="0" w:type="dxa"/>
          </w:tblCellMar>
        </w:tblPrEx>
        <w:tc>
          <w:tcPr>
            <w:tcW w:w="2769" w:type="dxa"/>
            <w:tcBorders>
              <w:top w:val="nil"/>
              <w:bottom w:val="nil"/>
            </w:tcBorders>
          </w:tcPr>
          <w:p w:rsidR="00000000" w:rsidRDefault="00000000">
            <w:pPr>
              <w:pStyle w:val="a2"/>
              <w:spacing w:line="240" w:lineRule="auto"/>
              <w:rPr>
                <w:rFonts w:hint="eastAsia"/>
                <w:szCs w:val="22"/>
              </w:rPr>
            </w:pPr>
            <w:r>
              <w:rPr>
                <w:rFonts w:hint="eastAsia"/>
                <w:szCs w:val="22"/>
              </w:rPr>
              <w:t>精神病</w:t>
            </w:r>
          </w:p>
        </w:tc>
        <w:tc>
          <w:tcPr>
            <w:tcW w:w="1131" w:type="dxa"/>
            <w:tcBorders>
              <w:top w:val="nil"/>
              <w:bottom w:val="nil"/>
            </w:tcBorders>
          </w:tcPr>
          <w:p w:rsidR="00000000" w:rsidRDefault="00000000">
            <w:pPr>
              <w:pStyle w:val="a2"/>
              <w:tabs>
                <w:tab w:val="decimal" w:pos="416"/>
              </w:tabs>
              <w:spacing w:line="240" w:lineRule="auto"/>
              <w:rPr>
                <w:szCs w:val="22"/>
              </w:rPr>
            </w:pPr>
            <w:r>
              <w:rPr>
                <w:szCs w:val="22"/>
              </w:rPr>
              <w:t>3.70</w:t>
            </w:r>
          </w:p>
        </w:tc>
        <w:tc>
          <w:tcPr>
            <w:tcW w:w="1170" w:type="dxa"/>
            <w:tcBorders>
              <w:top w:val="nil"/>
              <w:bottom w:val="nil"/>
            </w:tcBorders>
          </w:tcPr>
          <w:p w:rsidR="00000000" w:rsidRDefault="00000000">
            <w:pPr>
              <w:pStyle w:val="a2"/>
              <w:tabs>
                <w:tab w:val="decimal" w:pos="416"/>
              </w:tabs>
              <w:spacing w:line="240" w:lineRule="auto"/>
              <w:rPr>
                <w:szCs w:val="22"/>
              </w:rPr>
            </w:pPr>
            <w:r>
              <w:rPr>
                <w:szCs w:val="22"/>
              </w:rPr>
              <w:t>3.72</w:t>
            </w:r>
          </w:p>
        </w:tc>
        <w:tc>
          <w:tcPr>
            <w:tcW w:w="1092" w:type="dxa"/>
            <w:tcBorders>
              <w:top w:val="nil"/>
              <w:bottom w:val="nil"/>
            </w:tcBorders>
          </w:tcPr>
          <w:p w:rsidR="00000000" w:rsidRDefault="00000000">
            <w:pPr>
              <w:pStyle w:val="a2"/>
              <w:tabs>
                <w:tab w:val="decimal" w:pos="416"/>
              </w:tabs>
              <w:spacing w:line="240" w:lineRule="auto"/>
              <w:rPr>
                <w:szCs w:val="22"/>
              </w:rPr>
            </w:pPr>
            <w:r>
              <w:rPr>
                <w:szCs w:val="22"/>
              </w:rPr>
              <w:t>5.48</w:t>
            </w:r>
          </w:p>
        </w:tc>
        <w:tc>
          <w:tcPr>
            <w:tcW w:w="1131" w:type="dxa"/>
            <w:tcBorders>
              <w:top w:val="nil"/>
              <w:bottom w:val="nil"/>
            </w:tcBorders>
          </w:tcPr>
          <w:p w:rsidR="00000000" w:rsidRDefault="00000000">
            <w:pPr>
              <w:pStyle w:val="a2"/>
              <w:tabs>
                <w:tab w:val="decimal" w:pos="416"/>
              </w:tabs>
              <w:spacing w:line="240" w:lineRule="auto"/>
              <w:rPr>
                <w:szCs w:val="22"/>
              </w:rPr>
            </w:pPr>
            <w:r>
              <w:rPr>
                <w:szCs w:val="22"/>
              </w:rPr>
              <w:t>5.58</w:t>
            </w:r>
          </w:p>
        </w:tc>
        <w:tc>
          <w:tcPr>
            <w:tcW w:w="1092" w:type="dxa"/>
            <w:tcBorders>
              <w:top w:val="nil"/>
              <w:bottom w:val="nil"/>
            </w:tcBorders>
          </w:tcPr>
          <w:p w:rsidR="00000000" w:rsidRDefault="00000000">
            <w:pPr>
              <w:pStyle w:val="a2"/>
              <w:tabs>
                <w:tab w:val="decimal" w:pos="416"/>
              </w:tabs>
              <w:spacing w:line="240" w:lineRule="auto"/>
              <w:rPr>
                <w:szCs w:val="22"/>
              </w:rPr>
            </w:pPr>
            <w:r>
              <w:rPr>
                <w:szCs w:val="22"/>
              </w:rPr>
              <w:t>4.21</w:t>
            </w:r>
          </w:p>
        </w:tc>
        <w:tc>
          <w:tcPr>
            <w:tcW w:w="907" w:type="dxa"/>
            <w:tcBorders>
              <w:top w:val="nil"/>
              <w:bottom w:val="nil"/>
            </w:tcBorders>
          </w:tcPr>
          <w:p w:rsidR="00000000" w:rsidRDefault="00000000">
            <w:pPr>
              <w:pStyle w:val="a2"/>
              <w:tabs>
                <w:tab w:val="decimal" w:pos="416"/>
              </w:tabs>
              <w:spacing w:line="240" w:lineRule="auto"/>
            </w:pPr>
            <w:r>
              <w:rPr>
                <w:szCs w:val="22"/>
              </w:rPr>
              <w:t>4.77</w:t>
            </w:r>
          </w:p>
        </w:tc>
      </w:tr>
      <w:tr w:rsidR="00000000">
        <w:tblPrEx>
          <w:tblCellMar>
            <w:top w:w="0" w:type="dxa"/>
            <w:bottom w:w="0" w:type="dxa"/>
          </w:tblCellMar>
        </w:tblPrEx>
        <w:tc>
          <w:tcPr>
            <w:tcW w:w="2769" w:type="dxa"/>
            <w:tcBorders>
              <w:top w:val="nil"/>
              <w:bottom w:val="nil"/>
            </w:tcBorders>
          </w:tcPr>
          <w:p w:rsidR="00000000" w:rsidRDefault="00000000">
            <w:pPr>
              <w:pStyle w:val="a2"/>
              <w:spacing w:line="240" w:lineRule="auto"/>
              <w:rPr>
                <w:rFonts w:hint="eastAsia"/>
                <w:szCs w:val="23"/>
              </w:rPr>
            </w:pPr>
            <w:r>
              <w:rPr>
                <w:rFonts w:hint="eastAsia"/>
                <w:szCs w:val="23"/>
              </w:rPr>
              <w:t>痴呆</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0.98</w:t>
            </w:r>
          </w:p>
        </w:tc>
        <w:tc>
          <w:tcPr>
            <w:tcW w:w="1170" w:type="dxa"/>
            <w:tcBorders>
              <w:top w:val="nil"/>
              <w:bottom w:val="nil"/>
            </w:tcBorders>
          </w:tcPr>
          <w:p w:rsidR="00000000" w:rsidRDefault="00000000">
            <w:pPr>
              <w:pStyle w:val="a2"/>
              <w:tabs>
                <w:tab w:val="decimal" w:pos="416"/>
              </w:tabs>
              <w:spacing w:line="240" w:lineRule="auto"/>
              <w:rPr>
                <w:szCs w:val="23"/>
              </w:rPr>
            </w:pPr>
            <w:r>
              <w:rPr>
                <w:szCs w:val="23"/>
              </w:rPr>
              <w:t>1.12</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1.36</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1.04</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0.72</w:t>
            </w:r>
          </w:p>
        </w:tc>
        <w:tc>
          <w:tcPr>
            <w:tcW w:w="907" w:type="dxa"/>
            <w:tcBorders>
              <w:top w:val="nil"/>
              <w:bottom w:val="nil"/>
            </w:tcBorders>
          </w:tcPr>
          <w:p w:rsidR="00000000" w:rsidRDefault="00000000">
            <w:pPr>
              <w:pStyle w:val="a2"/>
              <w:tabs>
                <w:tab w:val="decimal" w:pos="416"/>
              </w:tabs>
              <w:spacing w:line="240" w:lineRule="auto"/>
            </w:pPr>
            <w:r>
              <w:rPr>
                <w:szCs w:val="23"/>
              </w:rPr>
              <w:t>0.89</w:t>
            </w:r>
          </w:p>
        </w:tc>
      </w:tr>
      <w:tr w:rsidR="00000000">
        <w:tblPrEx>
          <w:tblCellMar>
            <w:top w:w="0" w:type="dxa"/>
            <w:bottom w:w="0" w:type="dxa"/>
          </w:tblCellMar>
        </w:tblPrEx>
        <w:tc>
          <w:tcPr>
            <w:tcW w:w="2769" w:type="dxa"/>
            <w:tcBorders>
              <w:top w:val="nil"/>
              <w:bottom w:val="nil"/>
            </w:tcBorders>
          </w:tcPr>
          <w:p w:rsidR="00000000" w:rsidRDefault="00000000">
            <w:pPr>
              <w:pStyle w:val="a2"/>
              <w:spacing w:line="240" w:lineRule="auto"/>
              <w:rPr>
                <w:rFonts w:hint="eastAsia"/>
                <w:szCs w:val="23"/>
              </w:rPr>
            </w:pPr>
            <w:r>
              <w:rPr>
                <w:rFonts w:hint="eastAsia"/>
                <w:szCs w:val="23"/>
              </w:rPr>
              <w:t>智力迟钝</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4.58</w:t>
            </w:r>
          </w:p>
        </w:tc>
        <w:tc>
          <w:tcPr>
            <w:tcW w:w="1170" w:type="dxa"/>
            <w:tcBorders>
              <w:top w:val="nil"/>
              <w:bottom w:val="nil"/>
            </w:tcBorders>
          </w:tcPr>
          <w:p w:rsidR="00000000" w:rsidRDefault="00000000">
            <w:pPr>
              <w:pStyle w:val="a2"/>
              <w:tabs>
                <w:tab w:val="decimal" w:pos="416"/>
              </w:tabs>
              <w:spacing w:line="240" w:lineRule="auto"/>
              <w:rPr>
                <w:szCs w:val="23"/>
              </w:rPr>
            </w:pPr>
            <w:r>
              <w:rPr>
                <w:szCs w:val="23"/>
              </w:rPr>
              <w:t>4.66</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5.75</w:t>
            </w:r>
          </w:p>
        </w:tc>
        <w:tc>
          <w:tcPr>
            <w:tcW w:w="1131" w:type="dxa"/>
            <w:tcBorders>
              <w:top w:val="nil"/>
              <w:bottom w:val="nil"/>
            </w:tcBorders>
          </w:tcPr>
          <w:p w:rsidR="00000000" w:rsidRDefault="00000000">
            <w:pPr>
              <w:pStyle w:val="a2"/>
              <w:tabs>
                <w:tab w:val="decimal" w:pos="416"/>
              </w:tabs>
              <w:spacing w:line="240" w:lineRule="auto"/>
              <w:rPr>
                <w:szCs w:val="23"/>
              </w:rPr>
            </w:pPr>
            <w:r>
              <w:rPr>
                <w:szCs w:val="23"/>
              </w:rPr>
              <w:t>4.49</w:t>
            </w:r>
          </w:p>
        </w:tc>
        <w:tc>
          <w:tcPr>
            <w:tcW w:w="1092" w:type="dxa"/>
            <w:tcBorders>
              <w:top w:val="nil"/>
              <w:bottom w:val="nil"/>
            </w:tcBorders>
          </w:tcPr>
          <w:p w:rsidR="00000000" w:rsidRDefault="00000000">
            <w:pPr>
              <w:pStyle w:val="a2"/>
              <w:tabs>
                <w:tab w:val="decimal" w:pos="416"/>
              </w:tabs>
              <w:spacing w:line="240" w:lineRule="auto"/>
              <w:rPr>
                <w:szCs w:val="23"/>
              </w:rPr>
            </w:pPr>
            <w:r>
              <w:rPr>
                <w:szCs w:val="23"/>
              </w:rPr>
              <w:t>4.67</w:t>
            </w:r>
          </w:p>
        </w:tc>
        <w:tc>
          <w:tcPr>
            <w:tcW w:w="907" w:type="dxa"/>
            <w:tcBorders>
              <w:top w:val="nil"/>
              <w:bottom w:val="nil"/>
            </w:tcBorders>
          </w:tcPr>
          <w:p w:rsidR="00000000" w:rsidRDefault="00000000">
            <w:pPr>
              <w:pStyle w:val="a2"/>
              <w:tabs>
                <w:tab w:val="decimal" w:pos="416"/>
              </w:tabs>
              <w:spacing w:line="240" w:lineRule="auto"/>
            </w:pPr>
            <w:r>
              <w:rPr>
                <w:szCs w:val="23"/>
              </w:rPr>
              <w:t>4.87</w:t>
            </w:r>
          </w:p>
        </w:tc>
      </w:tr>
      <w:tr w:rsidR="00000000">
        <w:tblPrEx>
          <w:tblCellMar>
            <w:top w:w="0" w:type="dxa"/>
            <w:bottom w:w="0" w:type="dxa"/>
          </w:tblCellMar>
        </w:tblPrEx>
        <w:tc>
          <w:tcPr>
            <w:tcW w:w="2769" w:type="dxa"/>
            <w:tcBorders>
              <w:top w:val="nil"/>
              <w:bottom w:val="single" w:sz="4" w:space="0" w:color="auto"/>
            </w:tcBorders>
          </w:tcPr>
          <w:p w:rsidR="00000000" w:rsidRDefault="00000000">
            <w:pPr>
              <w:pStyle w:val="a2"/>
              <w:spacing w:line="240" w:lineRule="auto"/>
              <w:rPr>
                <w:rFonts w:hint="eastAsia"/>
                <w:szCs w:val="22"/>
              </w:rPr>
            </w:pPr>
            <w:r>
              <w:rPr>
                <w:rFonts w:hint="eastAsia"/>
                <w:szCs w:val="22"/>
              </w:rPr>
              <w:t>癫痫</w:t>
            </w:r>
          </w:p>
        </w:tc>
        <w:tc>
          <w:tcPr>
            <w:tcW w:w="1131" w:type="dxa"/>
            <w:tcBorders>
              <w:top w:val="nil"/>
              <w:bottom w:val="single" w:sz="4" w:space="0" w:color="auto"/>
            </w:tcBorders>
          </w:tcPr>
          <w:p w:rsidR="00000000" w:rsidRDefault="00000000">
            <w:pPr>
              <w:pStyle w:val="a2"/>
              <w:tabs>
                <w:tab w:val="decimal" w:pos="416"/>
              </w:tabs>
              <w:spacing w:line="240" w:lineRule="auto"/>
              <w:rPr>
                <w:szCs w:val="22"/>
              </w:rPr>
            </w:pPr>
            <w:r>
              <w:rPr>
                <w:szCs w:val="22"/>
              </w:rPr>
              <w:t>25.78</w:t>
            </w:r>
          </w:p>
        </w:tc>
        <w:tc>
          <w:tcPr>
            <w:tcW w:w="1170" w:type="dxa"/>
            <w:tcBorders>
              <w:top w:val="nil"/>
              <w:bottom w:val="single" w:sz="4" w:space="0" w:color="auto"/>
            </w:tcBorders>
          </w:tcPr>
          <w:p w:rsidR="00000000" w:rsidRDefault="00000000">
            <w:pPr>
              <w:pStyle w:val="a2"/>
              <w:tabs>
                <w:tab w:val="decimal" w:pos="416"/>
              </w:tabs>
              <w:spacing w:line="240" w:lineRule="auto"/>
              <w:rPr>
                <w:szCs w:val="22"/>
              </w:rPr>
            </w:pPr>
            <w:r>
              <w:rPr>
                <w:szCs w:val="22"/>
              </w:rPr>
              <w:t>29.90</w:t>
            </w:r>
          </w:p>
        </w:tc>
        <w:tc>
          <w:tcPr>
            <w:tcW w:w="1092" w:type="dxa"/>
            <w:tcBorders>
              <w:top w:val="nil"/>
              <w:bottom w:val="single" w:sz="4" w:space="0" w:color="auto"/>
            </w:tcBorders>
          </w:tcPr>
          <w:p w:rsidR="00000000" w:rsidRDefault="00000000">
            <w:pPr>
              <w:pStyle w:val="a2"/>
              <w:tabs>
                <w:tab w:val="decimal" w:pos="416"/>
              </w:tabs>
              <w:spacing w:line="240" w:lineRule="auto"/>
              <w:rPr>
                <w:szCs w:val="22"/>
              </w:rPr>
            </w:pPr>
            <w:r>
              <w:rPr>
                <w:szCs w:val="22"/>
              </w:rPr>
              <w:t>33.43</w:t>
            </w:r>
          </w:p>
        </w:tc>
        <w:tc>
          <w:tcPr>
            <w:tcW w:w="1131" w:type="dxa"/>
            <w:tcBorders>
              <w:top w:val="nil"/>
              <w:bottom w:val="single" w:sz="4" w:space="0" w:color="auto"/>
            </w:tcBorders>
          </w:tcPr>
          <w:p w:rsidR="00000000" w:rsidRDefault="00000000">
            <w:pPr>
              <w:pStyle w:val="a2"/>
              <w:tabs>
                <w:tab w:val="decimal" w:pos="416"/>
              </w:tabs>
              <w:spacing w:line="240" w:lineRule="auto"/>
              <w:rPr>
                <w:szCs w:val="22"/>
              </w:rPr>
            </w:pPr>
            <w:r>
              <w:rPr>
                <w:szCs w:val="22"/>
              </w:rPr>
              <w:t>23.07</w:t>
            </w:r>
          </w:p>
        </w:tc>
        <w:tc>
          <w:tcPr>
            <w:tcW w:w="1092" w:type="dxa"/>
            <w:tcBorders>
              <w:top w:val="nil"/>
              <w:bottom w:val="single" w:sz="4" w:space="0" w:color="auto"/>
            </w:tcBorders>
          </w:tcPr>
          <w:p w:rsidR="00000000" w:rsidRDefault="00000000">
            <w:pPr>
              <w:pStyle w:val="a2"/>
              <w:tabs>
                <w:tab w:val="decimal" w:pos="416"/>
              </w:tabs>
              <w:spacing w:line="240" w:lineRule="auto"/>
              <w:rPr>
                <w:szCs w:val="22"/>
              </w:rPr>
            </w:pPr>
            <w:r>
              <w:rPr>
                <w:szCs w:val="22"/>
              </w:rPr>
              <w:t>23.24</w:t>
            </w:r>
          </w:p>
        </w:tc>
        <w:tc>
          <w:tcPr>
            <w:tcW w:w="907" w:type="dxa"/>
            <w:tcBorders>
              <w:top w:val="nil"/>
              <w:bottom w:val="single" w:sz="4" w:space="0" w:color="auto"/>
            </w:tcBorders>
          </w:tcPr>
          <w:p w:rsidR="00000000" w:rsidRDefault="00000000">
            <w:pPr>
              <w:pStyle w:val="a2"/>
              <w:tabs>
                <w:tab w:val="decimal" w:pos="416"/>
              </w:tabs>
              <w:spacing w:line="240" w:lineRule="auto"/>
            </w:pPr>
            <w:r>
              <w:rPr>
                <w:szCs w:val="22"/>
              </w:rPr>
              <w:t>23.22</w:t>
            </w:r>
          </w:p>
        </w:tc>
      </w:tr>
    </w:tbl>
    <w:p w:rsidR="00000000" w:rsidRDefault="00000000">
      <w:pPr>
        <w:spacing w:before="120" w:line="312" w:lineRule="auto"/>
        <w:rPr>
          <w:rFonts w:eastAsia="KaiTi_GB2312" w:hint="eastAsia"/>
          <w:spacing w:val="0"/>
        </w:rPr>
      </w:pPr>
      <w:r>
        <w:rPr>
          <w:rFonts w:eastAsia="KaiTi_GB2312"/>
          <w:spacing w:val="0"/>
        </w:rPr>
        <w:tab/>
      </w:r>
      <w:r>
        <w:rPr>
          <w:rFonts w:eastAsia="KaiTi_GB2312" w:hint="eastAsia"/>
          <w:spacing w:val="0"/>
          <w:u w:val="single"/>
        </w:rPr>
        <w:t>资料来源</w:t>
      </w:r>
      <w:r>
        <w:rPr>
          <w:rFonts w:eastAsia="KaiTi_GB2312" w:hint="eastAsia"/>
          <w:spacing w:val="0"/>
        </w:rPr>
        <w:t>：公共卫生部，国家流行病司，</w:t>
      </w:r>
      <w:r>
        <w:rPr>
          <w:rFonts w:eastAsia="KaiTi_GB2312" w:hint="eastAsia"/>
          <w:spacing w:val="0"/>
        </w:rPr>
        <w:t>1998-2000</w:t>
      </w:r>
      <w:r>
        <w:rPr>
          <w:rFonts w:eastAsia="KaiTi_GB2312" w:hint="eastAsia"/>
          <w:spacing w:val="0"/>
        </w:rPr>
        <w:t>年。</w:t>
      </w:r>
    </w:p>
    <w:p w:rsidR="00000000" w:rsidRDefault="00000000">
      <w:pPr>
        <w:spacing w:line="312" w:lineRule="auto"/>
        <w:rPr>
          <w:rFonts w:eastAsia="KaiTi_GB2312" w:hint="eastAsia"/>
          <w:spacing w:val="0"/>
        </w:rPr>
      </w:pPr>
      <w:r>
        <w:rPr>
          <w:rFonts w:eastAsia="KaiTi_GB2312" w:hint="eastAsia"/>
          <w:spacing w:val="0"/>
        </w:rPr>
        <w:tab/>
      </w:r>
      <w:r>
        <w:rPr>
          <w:rFonts w:eastAsia="KaiTi_GB2312" w:hint="eastAsia"/>
          <w:spacing w:val="0"/>
          <w:u w:val="single"/>
        </w:rPr>
        <w:t>注</w:t>
      </w:r>
      <w:r>
        <w:rPr>
          <w:rFonts w:eastAsia="KaiTi_GB2312" w:hint="eastAsia"/>
          <w:spacing w:val="0"/>
        </w:rPr>
        <w:t>：比率为每</w:t>
      </w:r>
      <w:r>
        <w:rPr>
          <w:rFonts w:eastAsia="KaiTi_GB2312" w:hint="eastAsia"/>
          <w:spacing w:val="0"/>
        </w:rPr>
        <w:t>100,000</w:t>
      </w:r>
      <w:r>
        <w:rPr>
          <w:rFonts w:eastAsia="KaiTi_GB2312" w:hint="eastAsia"/>
          <w:spacing w:val="0"/>
        </w:rPr>
        <w:t>名居民。</w:t>
      </w:r>
    </w:p>
    <w:p w:rsidR="00000000" w:rsidRDefault="00000000">
      <w:pPr>
        <w:spacing w:line="312" w:lineRule="auto"/>
        <w:rPr>
          <w:rFonts w:eastAsia="KaiTi_GB2312"/>
          <w:spacing w:val="0"/>
        </w:rPr>
      </w:pPr>
    </w:p>
    <w:p w:rsidR="00000000" w:rsidRDefault="00000000">
      <w:pPr>
        <w:rPr>
          <w:rFonts w:hint="eastAsia"/>
        </w:rPr>
      </w:pPr>
      <w:r>
        <w:rPr>
          <w:rFonts w:hint="eastAsia"/>
        </w:rPr>
        <w:tab/>
        <w:t xml:space="preserve">383.  </w:t>
      </w:r>
      <w:r>
        <w:rPr>
          <w:rFonts w:hint="eastAsia"/>
        </w:rPr>
        <w:t>根据公共卫生部的国家流行病监测系统的报告，并考虑到医疗队很难了解哪些人有心理健康的问题，因此可以对需要加以监测的心理卫生问题得出如下评估意见：</w:t>
      </w:r>
    </w:p>
    <w:p w:rsidR="00000000" w:rsidRDefault="00000000">
      <w:pPr>
        <w:numPr>
          <w:ilvl w:val="0"/>
          <w:numId w:val="174"/>
        </w:numPr>
        <w:rPr>
          <w:rFonts w:hint="eastAsia"/>
        </w:rPr>
      </w:pPr>
      <w:r>
        <w:rPr>
          <w:rFonts w:hint="eastAsia"/>
        </w:rPr>
        <w:t>厄瓜多尔心理健康的流行情况表明，因一切表现形式的暴力行为</w:t>
      </w:r>
      <w:r>
        <w:rPr>
          <w:rFonts w:hint="eastAsia"/>
        </w:rPr>
        <w:t>(</w:t>
      </w:r>
      <w:r>
        <w:rPr>
          <w:rFonts w:hint="eastAsia"/>
        </w:rPr>
        <w:t>针对儿童和妇女的暴力、杀人、青少年团伙</w:t>
      </w:r>
      <w:r>
        <w:rPr>
          <w:rFonts w:hint="eastAsia"/>
        </w:rPr>
        <w:t>)</w:t>
      </w:r>
      <w:r>
        <w:rPr>
          <w:rFonts w:hint="eastAsia"/>
        </w:rPr>
        <w:t>、抑郁和自杀等心理社会冲突以及与压力、酗酒和吸毒等有关的问题而引发病理现象越来越多；</w:t>
      </w:r>
    </w:p>
    <w:p w:rsidR="00000000" w:rsidRDefault="00000000">
      <w:pPr>
        <w:numPr>
          <w:ilvl w:val="0"/>
          <w:numId w:val="174"/>
        </w:numPr>
        <w:rPr>
          <w:rFonts w:hint="eastAsia"/>
        </w:rPr>
      </w:pPr>
      <w:r>
        <w:rPr>
          <w:rFonts w:hint="eastAsia"/>
        </w:rPr>
        <w:t>与癫痫和智力迟钝等身体伤害有关的病理现象仍很常见；痴呆病人略有增加。国际病症类似的典型精神病</w:t>
      </w:r>
      <w:r>
        <w:rPr>
          <w:rFonts w:hint="eastAsia"/>
        </w:rPr>
        <w:t>(</w:t>
      </w:r>
      <w:r>
        <w:rPr>
          <w:rFonts w:hint="eastAsia"/>
        </w:rPr>
        <w:t>精神分裂症、情感性精神病其他类型的精神病</w:t>
      </w:r>
      <w:r>
        <w:rPr>
          <w:rFonts w:hint="eastAsia"/>
        </w:rPr>
        <w:t>)</w:t>
      </w:r>
      <w:r>
        <w:rPr>
          <w:rFonts w:hint="eastAsia"/>
        </w:rPr>
        <w:t>仍然盛行。</w:t>
      </w:r>
    </w:p>
    <w:p w:rsidR="00000000" w:rsidRDefault="00000000">
      <w:pPr>
        <w:spacing w:after="240"/>
        <w:rPr>
          <w:rFonts w:hint="eastAsia"/>
        </w:rPr>
      </w:pPr>
      <w:r>
        <w:rPr>
          <w:rFonts w:hint="eastAsia"/>
        </w:rPr>
        <w:tab/>
        <w:t xml:space="preserve">384.  </w:t>
      </w:r>
      <w:r>
        <w:rPr>
          <w:rFonts w:hint="eastAsia"/>
        </w:rPr>
        <w:t>正如流行病研究所表明的，健康－疾病方面的情况与社会发展之间有着密切的相关性，即：当发生社会－政治和经济危机，人们收入下降、政局不稳定和出现失业时，国民的健康也随同受到严重的影响。因此完全可以假定厄瓜多尔过去十年、尤其过去两年中的变化，对人民带来严重影响，对公共卫生产生了负面影响。由于目前严重缺乏专门资源，初级保健队伍的培训也青黄不接，因此未来几年的情况会更糟。国际组织建议</w:t>
      </w:r>
      <w:r>
        <w:rPr>
          <w:rFonts w:hint="eastAsia"/>
        </w:rPr>
        <w:t>2000</w:t>
      </w:r>
      <w:r>
        <w:rPr>
          <w:rFonts w:hint="eastAsia"/>
        </w:rPr>
        <w:t>年前增加专门负责心理保健和康复的专业人员的人数，因为随着人口的变化，低收入人群中患精神分裂症的总人数将增加</w:t>
      </w:r>
      <w:r>
        <w:rPr>
          <w:rFonts w:hint="eastAsia"/>
        </w:rPr>
        <w:t>45%</w:t>
      </w:r>
      <w:r>
        <w:rPr>
          <w:rFonts w:hint="eastAsia"/>
        </w:rPr>
        <w:t>，目前出现的问题将翻倍，社会暴力现象将呈现上升趋势，其后果不堪设想。</w:t>
      </w:r>
      <w:r>
        <w:rPr>
          <w:rFonts w:hint="eastAsia"/>
          <w:b/>
          <w:vertAlign w:val="superscript"/>
        </w:rPr>
        <w:t>53</w:t>
      </w:r>
      <w:r>
        <w:rPr>
          <w:rFonts w:hint="eastAsia"/>
          <w:vertAlign w:val="superscript"/>
        </w:rPr>
        <w:t xml:space="preserve"> </w:t>
      </w:r>
    </w:p>
    <w:p w:rsidR="00000000" w:rsidRDefault="00000000">
      <w:pPr>
        <w:pStyle w:val="Heading4"/>
        <w:rPr>
          <w:rFonts w:hint="eastAsia"/>
        </w:rPr>
      </w:pPr>
      <w:r>
        <w:rPr>
          <w:rFonts w:hint="eastAsia"/>
        </w:rPr>
        <w:t>初级卫生保健</w:t>
      </w:r>
    </w:p>
    <w:p w:rsidR="00000000" w:rsidRDefault="00000000">
      <w:pPr>
        <w:rPr>
          <w:rFonts w:hint="eastAsia"/>
        </w:rPr>
      </w:pPr>
      <w:r>
        <w:rPr>
          <w:rFonts w:hint="eastAsia"/>
        </w:rPr>
        <w:tab/>
        <w:t xml:space="preserve">385.  </w:t>
      </w:r>
      <w:r>
        <w:rPr>
          <w:rFonts w:hint="eastAsia"/>
        </w:rPr>
        <w:t>公共卫生部认为，卫生是可持续人类发展的基石，因此是国民政府的优先重点。卫生是一项公共责任，如同公民权利或义务一样，而且应作为整体来看待，是根据公平性、普遍性、团结和高质量原则开展跨部门卫生宣传和保健活动的结果。</w:t>
      </w:r>
    </w:p>
    <w:p w:rsidR="00000000" w:rsidRDefault="00000000">
      <w:pPr>
        <w:rPr>
          <w:rFonts w:hint="eastAsia"/>
        </w:rPr>
      </w:pPr>
      <w:r>
        <w:rPr>
          <w:rFonts w:hint="eastAsia"/>
        </w:rPr>
        <w:tab/>
        <w:t xml:space="preserve">386.  </w:t>
      </w:r>
      <w:r>
        <w:rPr>
          <w:rFonts w:hint="eastAsia"/>
        </w:rPr>
        <w:t>理想的健康社会应当是人人都能一视同仁地得到身体、情感和社会幸福；都能生活在一个有利于成长不受任何污染的家庭和社会环境；有充足的食物和营养；有机会得到关于卫生的资讯和教育，并能获得高质量的医疗服务。</w:t>
      </w:r>
    </w:p>
    <w:p w:rsidR="00000000" w:rsidRDefault="00000000">
      <w:pPr>
        <w:rPr>
          <w:rFonts w:hint="eastAsia"/>
        </w:rPr>
      </w:pPr>
      <w:r>
        <w:rPr>
          <w:rFonts w:hint="eastAsia"/>
        </w:rPr>
        <w:tab/>
        <w:t xml:space="preserve">387.  </w:t>
      </w:r>
      <w:r>
        <w:rPr>
          <w:rFonts w:hint="eastAsia"/>
        </w:rPr>
        <w:t>为实现这些目标，可以采取以下一些总战略：</w:t>
      </w:r>
    </w:p>
    <w:p w:rsidR="00000000" w:rsidRDefault="00000000">
      <w:pPr>
        <w:numPr>
          <w:ilvl w:val="0"/>
          <w:numId w:val="175"/>
        </w:numPr>
        <w:rPr>
          <w:rFonts w:hint="eastAsia"/>
        </w:rPr>
      </w:pPr>
      <w:r>
        <w:rPr>
          <w:rFonts w:hint="eastAsia"/>
        </w:rPr>
        <w:t>将社会事务、卫生以及使国家经济和社会发展融入总战略中视为政治上具有重要意义的事项；</w:t>
      </w:r>
    </w:p>
    <w:p w:rsidR="00000000" w:rsidRDefault="00000000">
      <w:pPr>
        <w:numPr>
          <w:ilvl w:val="0"/>
          <w:numId w:val="175"/>
        </w:numPr>
        <w:rPr>
          <w:rFonts w:hint="eastAsia"/>
        </w:rPr>
      </w:pPr>
      <w:r>
        <w:rPr>
          <w:rFonts w:hint="eastAsia"/>
        </w:rPr>
        <w:t>鼓励根据普遍同意的政策和被证明在技术上和财政上可持续的建议对卫生部门进行改革；</w:t>
      </w:r>
    </w:p>
    <w:p w:rsidR="00000000" w:rsidRDefault="00000000">
      <w:pPr>
        <w:numPr>
          <w:ilvl w:val="0"/>
          <w:numId w:val="175"/>
        </w:numPr>
        <w:rPr>
          <w:rFonts w:hint="eastAsia"/>
        </w:rPr>
      </w:pPr>
      <w:r>
        <w:rPr>
          <w:rFonts w:hint="eastAsia"/>
        </w:rPr>
        <w:t>强化国家的新指导作用，以社会、政治和经济上可持续的方式，在个人、家庭和社区各层次促进将卫生宣传和保健相结合的卫生模式；</w:t>
      </w:r>
    </w:p>
    <w:p w:rsidR="00000000" w:rsidRDefault="00000000">
      <w:pPr>
        <w:numPr>
          <w:ilvl w:val="0"/>
          <w:numId w:val="175"/>
        </w:numPr>
        <w:rPr>
          <w:rFonts w:hint="eastAsia"/>
        </w:rPr>
      </w:pPr>
      <w:r>
        <w:rPr>
          <w:rFonts w:hint="eastAsia"/>
        </w:rPr>
        <w:t>进行分权、放手和参与式管理；</w:t>
      </w:r>
    </w:p>
    <w:p w:rsidR="00000000" w:rsidRDefault="00000000">
      <w:pPr>
        <w:numPr>
          <w:ilvl w:val="0"/>
          <w:numId w:val="175"/>
        </w:numPr>
        <w:spacing w:after="240"/>
        <w:rPr>
          <w:rFonts w:hint="eastAsia"/>
        </w:rPr>
      </w:pPr>
      <w:r>
        <w:rPr>
          <w:rFonts w:hint="eastAsia"/>
        </w:rPr>
        <w:t>将国家卫生部门组织起来，以优化方式开展工作和利用资源，以扩大卫生服务的覆盖面并提高其质量。</w:t>
      </w:r>
    </w:p>
    <w:p w:rsidR="00000000" w:rsidRDefault="00000000">
      <w:pPr>
        <w:pStyle w:val="Heading4"/>
        <w:rPr>
          <w:rFonts w:eastAsia="KaiTi_GB2312" w:hint="eastAsia"/>
          <w:snapToGrid/>
          <w:spacing w:val="0"/>
          <w:u w:val="none"/>
        </w:rPr>
      </w:pPr>
      <w:r>
        <w:rPr>
          <w:rFonts w:eastAsia="KaiTi_GB2312" w:hint="eastAsia"/>
          <w:snapToGrid/>
          <w:spacing w:val="0"/>
          <w:u w:val="none"/>
        </w:rPr>
        <w:t>卫生预算</w:t>
      </w:r>
    </w:p>
    <w:p w:rsidR="00000000" w:rsidRDefault="00000000">
      <w:pPr>
        <w:rPr>
          <w:rFonts w:hint="eastAsia"/>
        </w:rPr>
      </w:pPr>
      <w:r>
        <w:rPr>
          <w:rFonts w:hint="eastAsia"/>
        </w:rPr>
        <w:tab/>
        <w:t xml:space="preserve">388.  </w:t>
      </w:r>
      <w:r>
        <w:rPr>
          <w:rFonts w:hint="eastAsia"/>
        </w:rPr>
        <w:t>用于卫生保健方面的预算相对于需求而言，历来就很少；过去十年以来有一种停滞、甚至减少的趋势。</w:t>
      </w:r>
    </w:p>
    <w:p w:rsidR="00000000" w:rsidRDefault="00000000">
      <w:pPr>
        <w:rPr>
          <w:rFonts w:hint="eastAsia"/>
        </w:rPr>
      </w:pPr>
      <w:r>
        <w:rPr>
          <w:rFonts w:hint="eastAsia"/>
        </w:rPr>
        <w:tab/>
        <w:t xml:space="preserve">389.  </w:t>
      </w:r>
      <w:r>
        <w:rPr>
          <w:rFonts w:hint="eastAsia"/>
        </w:rPr>
        <w:t>看一看国家预算中用于卫生部的专项资源可得知，</w:t>
      </w:r>
      <w:r>
        <w:rPr>
          <w:rFonts w:hint="eastAsia"/>
        </w:rPr>
        <w:t>1998</w:t>
      </w:r>
      <w:r>
        <w:rPr>
          <w:rFonts w:hint="eastAsia"/>
        </w:rPr>
        <w:t>年为</w:t>
      </w:r>
      <w:r>
        <w:rPr>
          <w:rFonts w:hint="eastAsia"/>
        </w:rPr>
        <w:t>9,724</w:t>
      </w:r>
      <w:r>
        <w:rPr>
          <w:rFonts w:hint="eastAsia"/>
        </w:rPr>
        <w:t>亿苏克雷，占总支出的</w:t>
      </w:r>
      <w:r>
        <w:rPr>
          <w:rFonts w:hint="eastAsia"/>
        </w:rPr>
        <w:t>4.71%</w:t>
      </w:r>
      <w:r>
        <w:rPr>
          <w:rFonts w:hint="eastAsia"/>
        </w:rPr>
        <w:t>，并占国内总产值的</w:t>
      </w:r>
      <w:r>
        <w:rPr>
          <w:rFonts w:hint="eastAsia"/>
        </w:rPr>
        <w:t>0.91%</w:t>
      </w:r>
      <w:r>
        <w:rPr>
          <w:rFonts w:hint="eastAsia"/>
        </w:rPr>
        <w:t>。用于卫生部门的拨款连国内总产值的</w:t>
      </w:r>
      <w:r>
        <w:rPr>
          <w:rFonts w:hint="eastAsia"/>
        </w:rPr>
        <w:t>1%</w:t>
      </w:r>
      <w:r>
        <w:rPr>
          <w:rFonts w:hint="eastAsia"/>
        </w:rPr>
        <w:t>都不到；这明显表明政府仍然将对卫生方面的投资视为开支，而不是投资，忘记了人们身体健康便能提高生产力，厄瓜多尔经济的可持续发展，乃至全国的全民进步，都要靠提高产量。</w:t>
      </w:r>
    </w:p>
    <w:p w:rsidR="00000000" w:rsidRDefault="00000000">
      <w:pPr>
        <w:spacing w:after="320"/>
        <w:rPr>
          <w:rFonts w:hint="eastAsia"/>
        </w:rPr>
      </w:pPr>
      <w:r>
        <w:rPr>
          <w:rFonts w:hint="eastAsia"/>
        </w:rPr>
        <w:tab/>
        <w:t>390.  1990</w:t>
      </w:r>
      <w:r>
        <w:rPr>
          <w:rFonts w:hint="eastAsia"/>
        </w:rPr>
        <w:t>年至</w:t>
      </w:r>
      <w:r>
        <w:rPr>
          <w:rFonts w:hint="eastAsia"/>
        </w:rPr>
        <w:t>1998</w:t>
      </w:r>
      <w:r>
        <w:rPr>
          <w:rFonts w:hint="eastAsia"/>
        </w:rPr>
        <w:t>年之间，卫生开支在国内总产值中所占的比例有所下降：从</w:t>
      </w:r>
      <w:r>
        <w:rPr>
          <w:rFonts w:hint="eastAsia"/>
        </w:rPr>
        <w:t>1990</w:t>
      </w:r>
      <w:r>
        <w:rPr>
          <w:rFonts w:hint="eastAsia"/>
        </w:rPr>
        <w:t>年的</w:t>
      </w:r>
      <w:r>
        <w:rPr>
          <w:rFonts w:hint="eastAsia"/>
        </w:rPr>
        <w:t>1.2%</w:t>
      </w:r>
      <w:r>
        <w:rPr>
          <w:rFonts w:hint="eastAsia"/>
        </w:rPr>
        <w:t>降至</w:t>
      </w:r>
      <w:r>
        <w:rPr>
          <w:rFonts w:hint="eastAsia"/>
        </w:rPr>
        <w:t>1998</w:t>
      </w:r>
      <w:r>
        <w:rPr>
          <w:rFonts w:hint="eastAsia"/>
        </w:rPr>
        <w:t>年的</w:t>
      </w:r>
      <w:r>
        <w:rPr>
          <w:rFonts w:hint="eastAsia"/>
        </w:rPr>
        <w:t>0.91%</w:t>
      </w:r>
      <w:r>
        <w:rPr>
          <w:rFonts w:hint="eastAsia"/>
        </w:rPr>
        <w:t>。同一时期，其在总预算中所占的比例也有所下降，从</w:t>
      </w:r>
      <w:r>
        <w:rPr>
          <w:rFonts w:hint="eastAsia"/>
        </w:rPr>
        <w:t>8.16%</w:t>
      </w:r>
      <w:r>
        <w:rPr>
          <w:rFonts w:hint="eastAsia"/>
        </w:rPr>
        <w:t>降至</w:t>
      </w:r>
      <w:r>
        <w:rPr>
          <w:rFonts w:hint="eastAsia"/>
        </w:rPr>
        <w:t>4.71% (1996</w:t>
      </w:r>
      <w:r>
        <w:rPr>
          <w:rFonts w:hint="eastAsia"/>
        </w:rPr>
        <w:t>年除外</w:t>
      </w:r>
      <w:r>
        <w:rPr>
          <w:rFonts w:hint="eastAsia"/>
        </w:rPr>
        <w:t>)</w:t>
      </w:r>
      <w:r>
        <w:rPr>
          <w:rFonts w:hint="eastAsia"/>
        </w:rPr>
        <w:t>。</w:t>
      </w:r>
    </w:p>
    <w:p w:rsidR="00000000" w:rsidRDefault="00000000">
      <w:pPr>
        <w:pStyle w:val="Heading3"/>
        <w:rPr>
          <w:rFonts w:eastAsia="KaiTi_GB2312" w:hint="eastAsia"/>
          <w:bCs/>
          <w:snapToGrid/>
          <w:spacing w:val="0"/>
          <w:kern w:val="0"/>
          <w:u w:val="none"/>
        </w:rPr>
      </w:pPr>
      <w:r>
        <w:rPr>
          <w:rFonts w:hint="eastAsia"/>
          <w:bCs/>
        </w:rPr>
        <w:t>1990</w:t>
      </w:r>
      <w:r>
        <w:rPr>
          <w:rFonts w:hint="eastAsia"/>
          <w:bCs/>
        </w:rPr>
        <w:t>年至</w:t>
      </w:r>
      <w:r>
        <w:rPr>
          <w:rFonts w:hint="eastAsia"/>
          <w:bCs/>
        </w:rPr>
        <w:t>1998</w:t>
      </w:r>
      <w:r>
        <w:rPr>
          <w:rFonts w:hint="eastAsia"/>
          <w:bCs/>
        </w:rPr>
        <w:t>年用于卫生部门的实际开支</w:t>
      </w:r>
      <w:r>
        <w:rPr>
          <w:bCs/>
        </w:rPr>
        <w:br/>
      </w:r>
      <w:r>
        <w:rPr>
          <w:rFonts w:eastAsia="KaiTi_GB2312" w:hint="eastAsia"/>
          <w:bCs/>
          <w:snapToGrid/>
          <w:spacing w:val="0"/>
          <w:kern w:val="0"/>
          <w:u w:val="none"/>
        </w:rPr>
        <w:t>(</w:t>
      </w:r>
      <w:r>
        <w:rPr>
          <w:rFonts w:eastAsia="KaiTi_GB2312" w:hint="eastAsia"/>
          <w:bCs/>
          <w:snapToGrid/>
          <w:spacing w:val="0"/>
          <w:kern w:val="0"/>
          <w:u w:val="none"/>
        </w:rPr>
        <w:t>单位：</w:t>
      </w:r>
      <w:r>
        <w:rPr>
          <w:rFonts w:eastAsia="KaiTi_GB2312" w:hint="eastAsia"/>
          <w:bCs/>
          <w:snapToGrid/>
          <w:spacing w:val="0"/>
          <w:kern w:val="0"/>
          <w:u w:val="none"/>
        </w:rPr>
        <w:t>10</w:t>
      </w:r>
      <w:r>
        <w:rPr>
          <w:rFonts w:eastAsia="KaiTi_GB2312" w:hint="eastAsia"/>
          <w:bCs/>
          <w:snapToGrid/>
          <w:spacing w:val="0"/>
          <w:kern w:val="0"/>
          <w:u w:val="none"/>
        </w:rPr>
        <w:t>亿苏克雷，以及占国内总产值的百分比</w:t>
      </w:r>
      <w:r>
        <w:rPr>
          <w:rFonts w:eastAsia="KaiTi_GB2312" w:hint="eastAsia"/>
          <w:bCs/>
          <w:snapToGrid/>
          <w:spacing w:val="0"/>
          <w:kern w:val="0"/>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2"/>
        <w:gridCol w:w="788"/>
        <w:gridCol w:w="788"/>
        <w:gridCol w:w="788"/>
        <w:gridCol w:w="788"/>
        <w:gridCol w:w="788"/>
        <w:gridCol w:w="788"/>
        <w:gridCol w:w="788"/>
        <w:gridCol w:w="788"/>
        <w:gridCol w:w="788"/>
      </w:tblGrid>
      <w:tr w:rsidR="00000000">
        <w:tblPrEx>
          <w:tblCellMar>
            <w:top w:w="0" w:type="dxa"/>
            <w:bottom w:w="0" w:type="dxa"/>
          </w:tblCellMar>
        </w:tblPrEx>
        <w:tc>
          <w:tcPr>
            <w:tcW w:w="1304" w:type="pct"/>
            <w:tcBorders>
              <w:bottom w:val="single" w:sz="4" w:space="0" w:color="auto"/>
            </w:tcBorders>
            <w:vAlign w:val="center"/>
          </w:tcPr>
          <w:p w:rsidR="00000000" w:rsidRDefault="00000000">
            <w:pPr>
              <w:pStyle w:val="a2"/>
              <w:spacing w:before="120" w:after="20" w:line="288" w:lineRule="auto"/>
              <w:jc w:val="center"/>
              <w:rPr>
                <w:rFonts w:hint="eastAsia"/>
              </w:rPr>
            </w:pPr>
            <w:r>
              <w:rPr>
                <w:rFonts w:hint="eastAsia"/>
              </w:rPr>
              <w:t>卫生部门</w:t>
            </w:r>
          </w:p>
        </w:tc>
        <w:tc>
          <w:tcPr>
            <w:tcW w:w="409" w:type="pct"/>
            <w:tcBorders>
              <w:bottom w:val="single" w:sz="4" w:space="0" w:color="auto"/>
            </w:tcBorders>
            <w:vAlign w:val="center"/>
          </w:tcPr>
          <w:p w:rsidR="00000000" w:rsidRDefault="00000000">
            <w:pPr>
              <w:pStyle w:val="a2"/>
              <w:spacing w:before="120" w:after="20" w:line="288" w:lineRule="auto"/>
              <w:jc w:val="center"/>
            </w:pPr>
            <w:r>
              <w:t>1990</w:t>
            </w:r>
          </w:p>
        </w:tc>
        <w:tc>
          <w:tcPr>
            <w:tcW w:w="409" w:type="pct"/>
            <w:tcBorders>
              <w:bottom w:val="single" w:sz="4" w:space="0" w:color="auto"/>
            </w:tcBorders>
            <w:vAlign w:val="center"/>
          </w:tcPr>
          <w:p w:rsidR="00000000" w:rsidRDefault="00000000">
            <w:pPr>
              <w:pStyle w:val="a2"/>
              <w:spacing w:before="120" w:after="20" w:line="288" w:lineRule="auto"/>
              <w:jc w:val="center"/>
            </w:pPr>
            <w:r>
              <w:t>1991</w:t>
            </w:r>
          </w:p>
        </w:tc>
        <w:tc>
          <w:tcPr>
            <w:tcW w:w="409" w:type="pct"/>
            <w:tcBorders>
              <w:bottom w:val="single" w:sz="4" w:space="0" w:color="auto"/>
            </w:tcBorders>
            <w:vAlign w:val="center"/>
          </w:tcPr>
          <w:p w:rsidR="00000000" w:rsidRDefault="00000000">
            <w:pPr>
              <w:pStyle w:val="a2"/>
              <w:spacing w:before="120" w:after="20" w:line="288" w:lineRule="auto"/>
              <w:jc w:val="center"/>
            </w:pPr>
            <w:r>
              <w:t>1992</w:t>
            </w:r>
          </w:p>
        </w:tc>
        <w:tc>
          <w:tcPr>
            <w:tcW w:w="409" w:type="pct"/>
            <w:tcBorders>
              <w:bottom w:val="single" w:sz="4" w:space="0" w:color="auto"/>
            </w:tcBorders>
            <w:vAlign w:val="center"/>
          </w:tcPr>
          <w:p w:rsidR="00000000" w:rsidRDefault="00000000">
            <w:pPr>
              <w:pStyle w:val="a2"/>
              <w:spacing w:before="120" w:after="20" w:line="288" w:lineRule="auto"/>
              <w:jc w:val="center"/>
            </w:pPr>
            <w:r>
              <w:t>1993</w:t>
            </w:r>
          </w:p>
        </w:tc>
        <w:tc>
          <w:tcPr>
            <w:tcW w:w="436" w:type="pct"/>
            <w:tcBorders>
              <w:bottom w:val="single" w:sz="4" w:space="0" w:color="auto"/>
            </w:tcBorders>
            <w:vAlign w:val="center"/>
          </w:tcPr>
          <w:p w:rsidR="00000000" w:rsidRDefault="00000000">
            <w:pPr>
              <w:pStyle w:val="a2"/>
              <w:spacing w:before="120" w:after="20" w:line="288" w:lineRule="auto"/>
              <w:jc w:val="center"/>
            </w:pPr>
            <w:r>
              <w:t>1994</w:t>
            </w:r>
          </w:p>
        </w:tc>
        <w:tc>
          <w:tcPr>
            <w:tcW w:w="382" w:type="pct"/>
            <w:tcBorders>
              <w:bottom w:val="single" w:sz="4" w:space="0" w:color="auto"/>
            </w:tcBorders>
            <w:vAlign w:val="center"/>
          </w:tcPr>
          <w:p w:rsidR="00000000" w:rsidRDefault="00000000">
            <w:pPr>
              <w:pStyle w:val="a2"/>
              <w:spacing w:before="120" w:after="20" w:line="288" w:lineRule="auto"/>
              <w:jc w:val="center"/>
            </w:pPr>
            <w:r>
              <w:t>1995</w:t>
            </w:r>
          </w:p>
        </w:tc>
        <w:tc>
          <w:tcPr>
            <w:tcW w:w="409" w:type="pct"/>
            <w:tcBorders>
              <w:bottom w:val="single" w:sz="4" w:space="0" w:color="auto"/>
            </w:tcBorders>
            <w:vAlign w:val="center"/>
          </w:tcPr>
          <w:p w:rsidR="00000000" w:rsidRDefault="00000000">
            <w:pPr>
              <w:pStyle w:val="a2"/>
              <w:spacing w:before="120" w:after="20" w:line="288" w:lineRule="auto"/>
              <w:jc w:val="center"/>
            </w:pPr>
            <w:r>
              <w:t>1996*</w:t>
            </w:r>
          </w:p>
        </w:tc>
        <w:tc>
          <w:tcPr>
            <w:tcW w:w="409" w:type="pct"/>
            <w:tcBorders>
              <w:bottom w:val="single" w:sz="4" w:space="0" w:color="auto"/>
            </w:tcBorders>
            <w:vAlign w:val="center"/>
          </w:tcPr>
          <w:p w:rsidR="00000000" w:rsidRDefault="00000000">
            <w:pPr>
              <w:pStyle w:val="a2"/>
              <w:spacing w:before="120" w:after="20" w:line="288" w:lineRule="auto"/>
              <w:jc w:val="center"/>
            </w:pPr>
            <w:r>
              <w:t>1997*</w:t>
            </w:r>
          </w:p>
        </w:tc>
        <w:tc>
          <w:tcPr>
            <w:tcW w:w="423" w:type="pct"/>
            <w:tcBorders>
              <w:bottom w:val="single" w:sz="4" w:space="0" w:color="auto"/>
            </w:tcBorders>
            <w:vAlign w:val="center"/>
          </w:tcPr>
          <w:p w:rsidR="00000000" w:rsidRDefault="00000000">
            <w:pPr>
              <w:pStyle w:val="a2"/>
              <w:spacing w:before="120" w:after="20" w:line="288" w:lineRule="auto"/>
              <w:jc w:val="center"/>
            </w:pPr>
            <w:r>
              <w:t>1998*</w:t>
            </w:r>
          </w:p>
        </w:tc>
      </w:tr>
      <w:tr w:rsidR="00000000">
        <w:tblPrEx>
          <w:tblCellMar>
            <w:top w:w="0" w:type="dxa"/>
            <w:bottom w:w="0" w:type="dxa"/>
          </w:tblCellMar>
        </w:tblPrEx>
        <w:tc>
          <w:tcPr>
            <w:tcW w:w="1304" w:type="pct"/>
            <w:tcBorders>
              <w:bottom w:val="nil"/>
            </w:tcBorders>
          </w:tcPr>
          <w:p w:rsidR="00000000" w:rsidRDefault="00000000">
            <w:pPr>
              <w:pStyle w:val="a2"/>
              <w:spacing w:before="40" w:after="20" w:line="288" w:lineRule="auto"/>
              <w:rPr>
                <w:rFonts w:hint="eastAsia"/>
              </w:rPr>
            </w:pPr>
            <w:r>
              <w:rPr>
                <w:rFonts w:hint="eastAsia"/>
              </w:rPr>
              <w:t>苏克雷</w:t>
            </w:r>
          </w:p>
        </w:tc>
        <w:tc>
          <w:tcPr>
            <w:tcW w:w="409" w:type="pct"/>
            <w:tcBorders>
              <w:bottom w:val="nil"/>
            </w:tcBorders>
          </w:tcPr>
          <w:p w:rsidR="00000000" w:rsidRDefault="00000000">
            <w:pPr>
              <w:pStyle w:val="a2"/>
              <w:tabs>
                <w:tab w:val="decimal" w:pos="355"/>
              </w:tabs>
              <w:spacing w:before="40" w:after="20" w:line="288" w:lineRule="auto"/>
            </w:pPr>
            <w:r>
              <w:t>98.5</w:t>
            </w:r>
          </w:p>
        </w:tc>
        <w:tc>
          <w:tcPr>
            <w:tcW w:w="409" w:type="pct"/>
            <w:tcBorders>
              <w:bottom w:val="nil"/>
            </w:tcBorders>
          </w:tcPr>
          <w:p w:rsidR="00000000" w:rsidRDefault="00000000">
            <w:pPr>
              <w:pStyle w:val="a2"/>
              <w:tabs>
                <w:tab w:val="decimal" w:pos="355"/>
              </w:tabs>
              <w:spacing w:before="40" w:after="20" w:line="288" w:lineRule="auto"/>
            </w:pPr>
            <w:r>
              <w:t>110.0</w:t>
            </w:r>
          </w:p>
        </w:tc>
        <w:tc>
          <w:tcPr>
            <w:tcW w:w="409" w:type="pct"/>
            <w:tcBorders>
              <w:bottom w:val="nil"/>
            </w:tcBorders>
          </w:tcPr>
          <w:p w:rsidR="00000000" w:rsidRDefault="00000000">
            <w:pPr>
              <w:pStyle w:val="a2"/>
              <w:tabs>
                <w:tab w:val="decimal" w:pos="355"/>
              </w:tabs>
              <w:spacing w:before="40" w:after="20" w:line="288" w:lineRule="auto"/>
            </w:pPr>
            <w:r>
              <w:t>200.4</w:t>
            </w:r>
          </w:p>
        </w:tc>
        <w:tc>
          <w:tcPr>
            <w:tcW w:w="409" w:type="pct"/>
            <w:tcBorders>
              <w:bottom w:val="nil"/>
            </w:tcBorders>
          </w:tcPr>
          <w:p w:rsidR="00000000" w:rsidRDefault="00000000">
            <w:pPr>
              <w:pStyle w:val="a2"/>
              <w:tabs>
                <w:tab w:val="decimal" w:pos="355"/>
              </w:tabs>
              <w:spacing w:before="40" w:after="20" w:line="288" w:lineRule="auto"/>
            </w:pPr>
            <w:r>
              <w:t>207.3</w:t>
            </w:r>
          </w:p>
        </w:tc>
        <w:tc>
          <w:tcPr>
            <w:tcW w:w="436" w:type="pct"/>
            <w:tcBorders>
              <w:bottom w:val="nil"/>
            </w:tcBorders>
          </w:tcPr>
          <w:p w:rsidR="00000000" w:rsidRDefault="00000000">
            <w:pPr>
              <w:pStyle w:val="a2"/>
              <w:tabs>
                <w:tab w:val="decimal" w:pos="355"/>
              </w:tabs>
              <w:spacing w:before="40" w:after="20" w:line="288" w:lineRule="auto"/>
            </w:pPr>
            <w:r>
              <w:t>279.2</w:t>
            </w:r>
          </w:p>
        </w:tc>
        <w:tc>
          <w:tcPr>
            <w:tcW w:w="382" w:type="pct"/>
            <w:tcBorders>
              <w:bottom w:val="nil"/>
            </w:tcBorders>
          </w:tcPr>
          <w:p w:rsidR="00000000" w:rsidRDefault="00000000">
            <w:pPr>
              <w:pStyle w:val="a2"/>
              <w:tabs>
                <w:tab w:val="decimal" w:pos="355"/>
              </w:tabs>
              <w:spacing w:before="40" w:after="20" w:line="288" w:lineRule="auto"/>
            </w:pPr>
            <w:r>
              <w:t>497.2</w:t>
            </w:r>
          </w:p>
        </w:tc>
        <w:tc>
          <w:tcPr>
            <w:tcW w:w="409" w:type="pct"/>
            <w:tcBorders>
              <w:bottom w:val="nil"/>
            </w:tcBorders>
          </w:tcPr>
          <w:p w:rsidR="00000000" w:rsidRDefault="00000000">
            <w:pPr>
              <w:pStyle w:val="a2"/>
              <w:tabs>
                <w:tab w:val="decimal" w:pos="355"/>
              </w:tabs>
              <w:spacing w:before="40" w:after="20" w:line="288" w:lineRule="auto"/>
            </w:pPr>
            <w:r>
              <w:t>627.6</w:t>
            </w:r>
          </w:p>
        </w:tc>
        <w:tc>
          <w:tcPr>
            <w:tcW w:w="409" w:type="pct"/>
            <w:tcBorders>
              <w:bottom w:val="nil"/>
            </w:tcBorders>
          </w:tcPr>
          <w:p w:rsidR="00000000" w:rsidRDefault="00000000">
            <w:pPr>
              <w:pStyle w:val="a2"/>
              <w:tabs>
                <w:tab w:val="decimal" w:pos="355"/>
              </w:tabs>
              <w:spacing w:before="40" w:after="20" w:line="288" w:lineRule="auto"/>
            </w:pPr>
            <w:r>
              <w:t>735.4</w:t>
            </w:r>
          </w:p>
        </w:tc>
        <w:tc>
          <w:tcPr>
            <w:tcW w:w="423" w:type="pct"/>
            <w:tcBorders>
              <w:bottom w:val="nil"/>
            </w:tcBorders>
          </w:tcPr>
          <w:p w:rsidR="00000000" w:rsidRDefault="00000000">
            <w:pPr>
              <w:pStyle w:val="a2"/>
              <w:tabs>
                <w:tab w:val="decimal" w:pos="355"/>
              </w:tabs>
              <w:spacing w:before="40" w:after="20" w:line="288" w:lineRule="auto"/>
            </w:pPr>
            <w:r>
              <w:t>972.4</w:t>
            </w:r>
          </w:p>
        </w:tc>
      </w:tr>
      <w:tr w:rsidR="00000000">
        <w:tblPrEx>
          <w:tblCellMar>
            <w:top w:w="0" w:type="dxa"/>
            <w:bottom w:w="0" w:type="dxa"/>
          </w:tblCellMar>
        </w:tblPrEx>
        <w:tc>
          <w:tcPr>
            <w:tcW w:w="1304" w:type="pct"/>
            <w:tcBorders>
              <w:top w:val="nil"/>
              <w:bottom w:val="nil"/>
            </w:tcBorders>
          </w:tcPr>
          <w:p w:rsidR="00000000" w:rsidRDefault="00000000">
            <w:pPr>
              <w:pStyle w:val="a2"/>
              <w:spacing w:before="40" w:after="20" w:line="288" w:lineRule="auto"/>
              <w:rPr>
                <w:rFonts w:hint="eastAsia"/>
                <w:spacing w:val="0"/>
              </w:rPr>
            </w:pPr>
            <w:r>
              <w:rPr>
                <w:rFonts w:hint="eastAsia"/>
                <w:spacing w:val="0"/>
              </w:rPr>
              <w:t>占国内总产值的百分比</w:t>
            </w:r>
          </w:p>
        </w:tc>
        <w:tc>
          <w:tcPr>
            <w:tcW w:w="409" w:type="pct"/>
            <w:tcBorders>
              <w:top w:val="nil"/>
              <w:bottom w:val="nil"/>
            </w:tcBorders>
          </w:tcPr>
          <w:p w:rsidR="00000000" w:rsidRDefault="00000000">
            <w:pPr>
              <w:pStyle w:val="a2"/>
              <w:tabs>
                <w:tab w:val="decimal" w:pos="355"/>
              </w:tabs>
              <w:spacing w:before="40" w:after="20" w:line="288" w:lineRule="auto"/>
            </w:pPr>
            <w:r>
              <w:t>1.20</w:t>
            </w:r>
          </w:p>
        </w:tc>
        <w:tc>
          <w:tcPr>
            <w:tcW w:w="409" w:type="pct"/>
            <w:tcBorders>
              <w:top w:val="nil"/>
              <w:bottom w:val="nil"/>
            </w:tcBorders>
          </w:tcPr>
          <w:p w:rsidR="00000000" w:rsidRDefault="00000000">
            <w:pPr>
              <w:pStyle w:val="a2"/>
              <w:tabs>
                <w:tab w:val="decimal" w:pos="355"/>
              </w:tabs>
              <w:spacing w:before="40" w:after="20" w:line="288" w:lineRule="auto"/>
            </w:pPr>
            <w:r>
              <w:t>0.89</w:t>
            </w:r>
          </w:p>
        </w:tc>
        <w:tc>
          <w:tcPr>
            <w:tcW w:w="409" w:type="pct"/>
            <w:tcBorders>
              <w:top w:val="nil"/>
              <w:bottom w:val="nil"/>
            </w:tcBorders>
          </w:tcPr>
          <w:p w:rsidR="00000000" w:rsidRDefault="00000000">
            <w:pPr>
              <w:pStyle w:val="a2"/>
              <w:tabs>
                <w:tab w:val="decimal" w:pos="355"/>
              </w:tabs>
              <w:spacing w:before="40" w:after="20" w:line="288" w:lineRule="auto"/>
            </w:pPr>
            <w:r>
              <w:t>1.03</w:t>
            </w:r>
          </w:p>
        </w:tc>
        <w:tc>
          <w:tcPr>
            <w:tcW w:w="409" w:type="pct"/>
            <w:tcBorders>
              <w:top w:val="nil"/>
              <w:bottom w:val="nil"/>
            </w:tcBorders>
          </w:tcPr>
          <w:p w:rsidR="00000000" w:rsidRDefault="00000000">
            <w:pPr>
              <w:pStyle w:val="a2"/>
              <w:tabs>
                <w:tab w:val="decimal" w:pos="355"/>
              </w:tabs>
              <w:spacing w:before="40" w:after="20" w:line="288" w:lineRule="auto"/>
            </w:pPr>
            <w:r>
              <w:t>0.76</w:t>
            </w:r>
          </w:p>
        </w:tc>
        <w:tc>
          <w:tcPr>
            <w:tcW w:w="436" w:type="pct"/>
            <w:tcBorders>
              <w:top w:val="nil"/>
              <w:bottom w:val="nil"/>
            </w:tcBorders>
          </w:tcPr>
          <w:p w:rsidR="00000000" w:rsidRDefault="00000000">
            <w:pPr>
              <w:pStyle w:val="a2"/>
              <w:tabs>
                <w:tab w:val="decimal" w:pos="355"/>
              </w:tabs>
              <w:spacing w:before="40" w:after="20" w:line="288" w:lineRule="auto"/>
            </w:pPr>
            <w:r>
              <w:t>0.77</w:t>
            </w:r>
          </w:p>
        </w:tc>
        <w:tc>
          <w:tcPr>
            <w:tcW w:w="382" w:type="pct"/>
            <w:tcBorders>
              <w:top w:val="nil"/>
              <w:bottom w:val="nil"/>
            </w:tcBorders>
          </w:tcPr>
          <w:p w:rsidR="00000000" w:rsidRDefault="00000000">
            <w:pPr>
              <w:pStyle w:val="a2"/>
              <w:tabs>
                <w:tab w:val="decimal" w:pos="355"/>
              </w:tabs>
              <w:spacing w:before="40" w:after="20" w:line="288" w:lineRule="auto"/>
            </w:pPr>
            <w:r>
              <w:t>1.08</w:t>
            </w:r>
          </w:p>
        </w:tc>
        <w:tc>
          <w:tcPr>
            <w:tcW w:w="409" w:type="pct"/>
            <w:tcBorders>
              <w:top w:val="nil"/>
              <w:bottom w:val="nil"/>
            </w:tcBorders>
          </w:tcPr>
          <w:p w:rsidR="00000000" w:rsidRDefault="00000000">
            <w:pPr>
              <w:pStyle w:val="a2"/>
              <w:tabs>
                <w:tab w:val="decimal" w:pos="355"/>
              </w:tabs>
              <w:spacing w:before="40" w:after="20" w:line="288" w:lineRule="auto"/>
            </w:pPr>
            <w:r>
              <w:t>1.03</w:t>
            </w:r>
          </w:p>
        </w:tc>
        <w:tc>
          <w:tcPr>
            <w:tcW w:w="409" w:type="pct"/>
            <w:tcBorders>
              <w:top w:val="nil"/>
              <w:bottom w:val="nil"/>
            </w:tcBorders>
          </w:tcPr>
          <w:p w:rsidR="00000000" w:rsidRDefault="00000000">
            <w:pPr>
              <w:pStyle w:val="a2"/>
              <w:tabs>
                <w:tab w:val="decimal" w:pos="355"/>
              </w:tabs>
              <w:spacing w:before="40" w:after="20" w:line="288" w:lineRule="auto"/>
            </w:pPr>
            <w:r>
              <w:t>0.93</w:t>
            </w:r>
          </w:p>
        </w:tc>
        <w:tc>
          <w:tcPr>
            <w:tcW w:w="423" w:type="pct"/>
            <w:tcBorders>
              <w:top w:val="nil"/>
              <w:bottom w:val="nil"/>
            </w:tcBorders>
          </w:tcPr>
          <w:p w:rsidR="00000000" w:rsidRDefault="00000000">
            <w:pPr>
              <w:pStyle w:val="a2"/>
              <w:tabs>
                <w:tab w:val="decimal" w:pos="355"/>
              </w:tabs>
              <w:spacing w:before="40" w:after="20" w:line="288" w:lineRule="auto"/>
            </w:pPr>
            <w:r>
              <w:t>0.91</w:t>
            </w:r>
          </w:p>
        </w:tc>
      </w:tr>
      <w:tr w:rsidR="00000000">
        <w:tblPrEx>
          <w:tblCellMar>
            <w:top w:w="0" w:type="dxa"/>
            <w:bottom w:w="0" w:type="dxa"/>
          </w:tblCellMar>
        </w:tblPrEx>
        <w:tc>
          <w:tcPr>
            <w:tcW w:w="1304" w:type="pct"/>
            <w:tcBorders>
              <w:top w:val="nil"/>
              <w:bottom w:val="single" w:sz="4" w:space="0" w:color="auto"/>
            </w:tcBorders>
          </w:tcPr>
          <w:p w:rsidR="00000000" w:rsidRDefault="00000000">
            <w:pPr>
              <w:pStyle w:val="a2"/>
              <w:spacing w:before="40" w:after="20" w:line="288" w:lineRule="auto"/>
              <w:rPr>
                <w:rFonts w:hint="eastAsia"/>
              </w:rPr>
            </w:pPr>
            <w:r>
              <w:rPr>
                <w:rFonts w:hint="eastAsia"/>
              </w:rPr>
              <w:t>占总开支的百分比</w:t>
            </w:r>
          </w:p>
        </w:tc>
        <w:tc>
          <w:tcPr>
            <w:tcW w:w="409" w:type="pct"/>
            <w:tcBorders>
              <w:top w:val="nil"/>
              <w:bottom w:val="single" w:sz="4" w:space="0" w:color="auto"/>
            </w:tcBorders>
          </w:tcPr>
          <w:p w:rsidR="00000000" w:rsidRDefault="00000000">
            <w:pPr>
              <w:pStyle w:val="a2"/>
              <w:tabs>
                <w:tab w:val="decimal" w:pos="355"/>
              </w:tabs>
              <w:spacing w:before="40" w:after="20" w:line="288" w:lineRule="auto"/>
            </w:pPr>
            <w:r>
              <w:t>8.16</w:t>
            </w:r>
          </w:p>
        </w:tc>
        <w:tc>
          <w:tcPr>
            <w:tcW w:w="409" w:type="pct"/>
            <w:tcBorders>
              <w:top w:val="nil"/>
              <w:bottom w:val="single" w:sz="4" w:space="0" w:color="auto"/>
            </w:tcBorders>
          </w:tcPr>
          <w:p w:rsidR="00000000" w:rsidRDefault="00000000">
            <w:pPr>
              <w:pStyle w:val="a2"/>
              <w:tabs>
                <w:tab w:val="decimal" w:pos="355"/>
              </w:tabs>
              <w:spacing w:before="40" w:after="20" w:line="288" w:lineRule="auto"/>
            </w:pPr>
            <w:r>
              <w:t>6.69</w:t>
            </w:r>
          </w:p>
        </w:tc>
        <w:tc>
          <w:tcPr>
            <w:tcW w:w="409" w:type="pct"/>
            <w:tcBorders>
              <w:top w:val="nil"/>
              <w:bottom w:val="single" w:sz="4" w:space="0" w:color="auto"/>
            </w:tcBorders>
          </w:tcPr>
          <w:p w:rsidR="00000000" w:rsidRDefault="00000000">
            <w:pPr>
              <w:pStyle w:val="a2"/>
              <w:tabs>
                <w:tab w:val="decimal" w:pos="355"/>
              </w:tabs>
              <w:spacing w:before="40" w:after="20" w:line="288" w:lineRule="auto"/>
            </w:pPr>
            <w:r>
              <w:t>7.87</w:t>
            </w:r>
          </w:p>
        </w:tc>
        <w:tc>
          <w:tcPr>
            <w:tcW w:w="409" w:type="pct"/>
            <w:tcBorders>
              <w:top w:val="nil"/>
              <w:bottom w:val="single" w:sz="4" w:space="0" w:color="auto"/>
            </w:tcBorders>
          </w:tcPr>
          <w:p w:rsidR="00000000" w:rsidRDefault="00000000">
            <w:pPr>
              <w:pStyle w:val="a2"/>
              <w:tabs>
                <w:tab w:val="decimal" w:pos="355"/>
              </w:tabs>
              <w:spacing w:before="40" w:after="20" w:line="288" w:lineRule="auto"/>
            </w:pPr>
            <w:r>
              <w:t>5.51</w:t>
            </w:r>
          </w:p>
        </w:tc>
        <w:tc>
          <w:tcPr>
            <w:tcW w:w="436" w:type="pct"/>
            <w:tcBorders>
              <w:top w:val="nil"/>
              <w:bottom w:val="single" w:sz="4" w:space="0" w:color="auto"/>
            </w:tcBorders>
          </w:tcPr>
          <w:p w:rsidR="00000000" w:rsidRDefault="00000000">
            <w:pPr>
              <w:pStyle w:val="a2"/>
              <w:tabs>
                <w:tab w:val="decimal" w:pos="355"/>
              </w:tabs>
              <w:spacing w:before="40" w:after="20" w:line="288" w:lineRule="auto"/>
            </w:pPr>
            <w:r>
              <w:t>5.05</w:t>
            </w:r>
          </w:p>
        </w:tc>
        <w:tc>
          <w:tcPr>
            <w:tcW w:w="382" w:type="pct"/>
            <w:tcBorders>
              <w:top w:val="nil"/>
              <w:bottom w:val="single" w:sz="4" w:space="0" w:color="auto"/>
            </w:tcBorders>
          </w:tcPr>
          <w:p w:rsidR="00000000" w:rsidRDefault="00000000">
            <w:pPr>
              <w:pStyle w:val="a2"/>
              <w:tabs>
                <w:tab w:val="decimal" w:pos="355"/>
              </w:tabs>
              <w:spacing w:before="40" w:after="20" w:line="288" w:lineRule="auto"/>
            </w:pPr>
            <w:r>
              <w:t>5.88</w:t>
            </w:r>
          </w:p>
        </w:tc>
        <w:tc>
          <w:tcPr>
            <w:tcW w:w="409" w:type="pct"/>
            <w:tcBorders>
              <w:top w:val="nil"/>
              <w:bottom w:val="single" w:sz="4" w:space="0" w:color="auto"/>
            </w:tcBorders>
          </w:tcPr>
          <w:p w:rsidR="00000000" w:rsidRDefault="00000000">
            <w:pPr>
              <w:pStyle w:val="a2"/>
              <w:tabs>
                <w:tab w:val="decimal" w:pos="355"/>
              </w:tabs>
              <w:spacing w:before="40" w:after="20" w:line="288" w:lineRule="auto"/>
            </w:pPr>
            <w:r>
              <w:t>7.62</w:t>
            </w:r>
          </w:p>
        </w:tc>
        <w:tc>
          <w:tcPr>
            <w:tcW w:w="409" w:type="pct"/>
            <w:tcBorders>
              <w:top w:val="nil"/>
              <w:bottom w:val="single" w:sz="4" w:space="0" w:color="auto"/>
            </w:tcBorders>
          </w:tcPr>
          <w:p w:rsidR="00000000" w:rsidRDefault="00000000">
            <w:pPr>
              <w:pStyle w:val="a2"/>
              <w:tabs>
                <w:tab w:val="decimal" w:pos="355"/>
              </w:tabs>
              <w:spacing w:before="40" w:after="20" w:line="288" w:lineRule="auto"/>
            </w:pPr>
            <w:r>
              <w:t>7.44</w:t>
            </w:r>
          </w:p>
        </w:tc>
        <w:tc>
          <w:tcPr>
            <w:tcW w:w="423" w:type="pct"/>
            <w:tcBorders>
              <w:top w:val="nil"/>
              <w:bottom w:val="single" w:sz="4" w:space="0" w:color="auto"/>
            </w:tcBorders>
          </w:tcPr>
          <w:p w:rsidR="00000000" w:rsidRDefault="00000000">
            <w:pPr>
              <w:pStyle w:val="a2"/>
              <w:tabs>
                <w:tab w:val="decimal" w:pos="355"/>
              </w:tabs>
              <w:spacing w:before="40" w:after="20" w:line="288" w:lineRule="auto"/>
            </w:pPr>
            <w:r>
              <w:t>4.71</w:t>
            </w:r>
          </w:p>
        </w:tc>
      </w:tr>
    </w:tbl>
    <w:p w:rsidR="00000000" w:rsidRDefault="00000000">
      <w:pPr>
        <w:spacing w:before="120" w:line="288" w:lineRule="auto"/>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：财政与公共借贷部。</w:t>
      </w:r>
    </w:p>
    <w:p w:rsidR="00000000" w:rsidRDefault="00000000">
      <w:pPr>
        <w:spacing w:line="288" w:lineRule="auto"/>
        <w:rPr>
          <w:rFonts w:eastAsia="KaiTi_GB2312" w:hint="eastAsia"/>
          <w:spacing w:val="0"/>
        </w:rPr>
      </w:pPr>
      <w:r>
        <w:rPr>
          <w:rFonts w:eastAsia="KaiTi_GB2312" w:hint="eastAsia"/>
          <w:spacing w:val="0"/>
        </w:rPr>
        <w:tab/>
        <w:t>*</w:t>
      </w:r>
      <w:r>
        <w:rPr>
          <w:rFonts w:eastAsia="KaiTi_GB2312" w:hint="eastAsia"/>
          <w:spacing w:val="0"/>
        </w:rPr>
        <w:tab/>
      </w:r>
      <w:r>
        <w:rPr>
          <w:rFonts w:eastAsia="KaiTi_GB2312" w:hint="eastAsia"/>
          <w:spacing w:val="0"/>
        </w:rPr>
        <w:t>临时数据。</w:t>
      </w:r>
    </w:p>
    <w:p w:rsidR="00000000" w:rsidRDefault="00000000">
      <w:pPr>
        <w:spacing w:line="288" w:lineRule="auto"/>
        <w:rPr>
          <w:rFonts w:eastAsia="KaiTi_GB2312" w:hint="eastAsia"/>
          <w:spacing w:val="0"/>
        </w:rPr>
      </w:pPr>
    </w:p>
    <w:p w:rsidR="00000000" w:rsidRDefault="00000000">
      <w:pPr>
        <w:spacing w:after="240"/>
        <w:rPr>
          <w:rFonts w:hint="eastAsia"/>
        </w:rPr>
      </w:pPr>
      <w:r>
        <w:rPr>
          <w:rFonts w:eastAsia="KaiTi_GB2312" w:hint="eastAsia"/>
          <w:spacing w:val="0"/>
        </w:rPr>
        <w:tab/>
      </w:r>
      <w:r>
        <w:rPr>
          <w:rFonts w:hint="eastAsia"/>
        </w:rPr>
        <w:t xml:space="preserve">391.  </w:t>
      </w:r>
      <w:r>
        <w:rPr>
          <w:rFonts w:hint="eastAsia"/>
        </w:rPr>
        <w:t>仔细看一看过去的两个半年</w:t>
      </w:r>
      <w:r>
        <w:rPr>
          <w:rFonts w:hint="eastAsia"/>
        </w:rPr>
        <w:t>(2002</w:t>
      </w:r>
      <w:r>
        <w:rPr>
          <w:rFonts w:hint="eastAsia"/>
        </w:rPr>
        <w:t>年</w:t>
      </w:r>
      <w:r>
        <w:rPr>
          <w:rFonts w:hint="eastAsia"/>
        </w:rPr>
        <w:t>)</w:t>
      </w:r>
      <w:r>
        <w:rPr>
          <w:rFonts w:hint="eastAsia"/>
        </w:rPr>
        <w:t>开支减少的政府部门的情况可得知，教育、卫生和公共工程的情况一样。由于有对公路的公共投资，加上国家的大部分租让道路的运作令人满意这一事实，公路网络中大部分公路虽然年久失修，但尚能维持。因此用于公共工程的开支可有所减少而不致产生重要政治影响。然而，教育和卫生方面的主要开支是用于工资方面，因此减少开支很可能意味着会拖欠工资。这种情况从长远来看是不能持久的，势必会引起更尖锐的劳资冲突。</w:t>
      </w:r>
    </w:p>
    <w:p w:rsidR="00000000" w:rsidRDefault="00000000">
      <w:pPr>
        <w:pStyle w:val="Heading4"/>
        <w:rPr>
          <w:rFonts w:eastAsia="KaiTi_GB2312" w:hint="eastAsia"/>
          <w:snapToGrid/>
          <w:spacing w:val="0"/>
          <w:u w:val="none"/>
        </w:rPr>
      </w:pPr>
      <w:r>
        <w:rPr>
          <w:rFonts w:eastAsia="KaiTi_GB2312" w:hint="eastAsia"/>
          <w:snapToGrid/>
          <w:spacing w:val="0"/>
          <w:u w:val="none"/>
        </w:rPr>
        <w:t>婴儿死亡率</w:t>
      </w:r>
    </w:p>
    <w:p w:rsidR="00000000" w:rsidRDefault="00000000">
      <w:pPr>
        <w:rPr>
          <w:rFonts w:hint="eastAsia"/>
        </w:rPr>
      </w:pPr>
      <w:r>
        <w:rPr>
          <w:rFonts w:hint="eastAsia"/>
        </w:rPr>
        <w:tab/>
        <w:t>392.  1994</w:t>
      </w:r>
      <w:r>
        <w:rPr>
          <w:rFonts w:hint="eastAsia"/>
        </w:rPr>
        <w:t>年进行的人口与母婴健康调查</w:t>
      </w:r>
      <w:r>
        <w:rPr>
          <w:rFonts w:hint="eastAsia"/>
        </w:rPr>
        <w:t>(94</w:t>
      </w:r>
      <w:r>
        <w:rPr>
          <w:rFonts w:hint="eastAsia"/>
        </w:rPr>
        <w:t>年调查</w:t>
      </w:r>
      <w:r>
        <w:rPr>
          <w:rFonts w:hint="eastAsia"/>
        </w:rPr>
        <w:t>)</w:t>
      </w:r>
      <w:r>
        <w:rPr>
          <w:rFonts w:hint="eastAsia"/>
        </w:rPr>
        <w:t>显示，厄瓜多尔的婴儿死亡率在下降：与</w:t>
      </w:r>
      <w:r>
        <w:rPr>
          <w:rFonts w:hint="eastAsia"/>
        </w:rPr>
        <w:t>87</w:t>
      </w:r>
      <w:r>
        <w:rPr>
          <w:rFonts w:hint="eastAsia"/>
        </w:rPr>
        <w:t>年调查相比，当时</w:t>
      </w:r>
      <w:r>
        <w:rPr>
          <w:rFonts w:hint="eastAsia"/>
        </w:rPr>
        <w:t>1982</w:t>
      </w:r>
      <w:r>
        <w:rPr>
          <w:rFonts w:hint="eastAsia"/>
        </w:rPr>
        <w:t>年至</w:t>
      </w:r>
      <w:r>
        <w:rPr>
          <w:rFonts w:hint="eastAsia"/>
        </w:rPr>
        <w:t>1987</w:t>
      </w:r>
      <w:r>
        <w:rPr>
          <w:rFonts w:hint="eastAsia"/>
        </w:rPr>
        <w:t>年五年期的婴儿死亡率为</w:t>
      </w:r>
      <w:r>
        <w:rPr>
          <w:rFonts w:hint="eastAsia"/>
        </w:rPr>
        <w:t>58</w:t>
      </w:r>
      <w:r>
        <w:t>‰</w:t>
      </w:r>
      <w:r>
        <w:rPr>
          <w:rFonts w:hint="eastAsia"/>
        </w:rPr>
        <w:t>，而</w:t>
      </w:r>
      <w:r>
        <w:rPr>
          <w:rFonts w:hint="eastAsia"/>
        </w:rPr>
        <w:t>94</w:t>
      </w:r>
      <w:r>
        <w:rPr>
          <w:rFonts w:hint="eastAsia"/>
        </w:rPr>
        <w:t>年调查的结果为</w:t>
      </w:r>
      <w:r>
        <w:rPr>
          <w:rFonts w:hint="eastAsia"/>
        </w:rPr>
        <w:t>40</w:t>
      </w:r>
      <w:r>
        <w:t>‰</w:t>
      </w:r>
      <w:r>
        <w:rPr>
          <w:rFonts w:hint="eastAsia"/>
        </w:rPr>
        <w:t>。比例明显下降了，但仍然太高。统计表明七年期间每千名活产婴儿的平均婴儿死亡率下降了</w:t>
      </w:r>
      <w:r>
        <w:rPr>
          <w:rFonts w:hint="eastAsia"/>
        </w:rPr>
        <w:t>31%</w:t>
      </w:r>
      <w:r>
        <w:rPr>
          <w:rFonts w:hint="eastAsia"/>
        </w:rPr>
        <w:t>。</w:t>
      </w:r>
      <w:r>
        <w:rPr>
          <w:rFonts w:hint="eastAsia"/>
          <w:b/>
          <w:vertAlign w:val="superscript"/>
        </w:rPr>
        <w:t>54</w:t>
      </w:r>
      <w:r>
        <w:rPr>
          <w:rFonts w:hint="eastAsia"/>
          <w:vertAlign w:val="superscript"/>
        </w:rPr>
        <w:t xml:space="preserve"> </w:t>
      </w:r>
    </w:p>
    <w:p w:rsidR="00000000" w:rsidRDefault="00000000">
      <w:pPr>
        <w:rPr>
          <w:rFonts w:hint="eastAsia"/>
        </w:rPr>
      </w:pPr>
      <w:r>
        <w:rPr>
          <w:rFonts w:hint="eastAsia"/>
        </w:rPr>
        <w:tab/>
        <w:t xml:space="preserve">393.  </w:t>
      </w:r>
      <w:r>
        <w:rPr>
          <w:rFonts w:hint="eastAsia"/>
        </w:rPr>
        <w:t>根据</w:t>
      </w:r>
      <w:r>
        <w:rPr>
          <w:rFonts w:hint="eastAsia"/>
        </w:rPr>
        <w:t>99</w:t>
      </w:r>
      <w:r>
        <w:rPr>
          <w:rFonts w:hint="eastAsia"/>
        </w:rPr>
        <w:t>年调查，</w:t>
      </w:r>
      <w:r>
        <w:rPr>
          <w:rFonts w:hint="eastAsia"/>
        </w:rPr>
        <w:t>1999</w:t>
      </w:r>
      <w:r>
        <w:rPr>
          <w:rFonts w:hint="eastAsia"/>
        </w:rPr>
        <w:t>年厄瓜多尔的婴儿死亡率为每千名活产婴儿死亡</w:t>
      </w:r>
      <w:r>
        <w:rPr>
          <w:rFonts w:hint="eastAsia"/>
        </w:rPr>
        <w:t>30</w:t>
      </w:r>
      <w:r>
        <w:rPr>
          <w:rFonts w:hint="eastAsia"/>
        </w:rPr>
        <w:t>名；城市比例为每千名活产婴儿死亡</w:t>
      </w:r>
      <w:r>
        <w:rPr>
          <w:rFonts w:hint="eastAsia"/>
        </w:rPr>
        <w:t>22</w:t>
      </w:r>
      <w:r>
        <w:rPr>
          <w:rFonts w:hint="eastAsia"/>
        </w:rPr>
        <w:t>名，为农村地区比例</w:t>
      </w:r>
      <w:r>
        <w:rPr>
          <w:rFonts w:hint="eastAsia"/>
        </w:rPr>
        <w:t>(40</w:t>
      </w:r>
      <w:r>
        <w:t>‰</w:t>
      </w:r>
      <w:r>
        <w:rPr>
          <w:rFonts w:hint="eastAsia"/>
        </w:rPr>
        <w:t>)</w:t>
      </w:r>
      <w:r>
        <w:rPr>
          <w:rFonts w:hint="eastAsia"/>
        </w:rPr>
        <w:t>的一半多一点。</w:t>
      </w:r>
    </w:p>
    <w:p w:rsidR="00000000" w:rsidRDefault="00000000">
      <w:pPr>
        <w:rPr>
          <w:rFonts w:hint="eastAsia"/>
        </w:rPr>
      </w:pPr>
      <w:r>
        <w:rPr>
          <w:rFonts w:hint="eastAsia"/>
        </w:rPr>
        <w:tab/>
        <w:t xml:space="preserve">394.  </w:t>
      </w:r>
      <w:r>
        <w:rPr>
          <w:rFonts w:hint="eastAsia"/>
        </w:rPr>
        <w:t>据公共卫生部统计司称，</w:t>
      </w:r>
      <w:r>
        <w:rPr>
          <w:rFonts w:hint="eastAsia"/>
        </w:rPr>
        <w:t>2000</w:t>
      </w:r>
      <w:r>
        <w:rPr>
          <w:rFonts w:hint="eastAsia"/>
        </w:rPr>
        <w:t>年婴儿死亡率降为每千名活产婴儿死亡</w:t>
      </w:r>
      <w:r>
        <w:rPr>
          <w:rFonts w:hint="eastAsia"/>
        </w:rPr>
        <w:t>27</w:t>
      </w:r>
      <w:r>
        <w:rPr>
          <w:rFonts w:hint="eastAsia"/>
        </w:rPr>
        <w:t>名；必须指出，这一数字未包括滞后登记的活产婴儿。</w:t>
      </w:r>
    </w:p>
    <w:p w:rsidR="00000000" w:rsidRDefault="00000000">
      <w:pPr>
        <w:rPr>
          <w:rFonts w:hint="eastAsia"/>
        </w:rPr>
      </w:pPr>
      <w:r>
        <w:rPr>
          <w:rFonts w:hint="eastAsia"/>
        </w:rPr>
        <w:tab/>
        <w:t xml:space="preserve">395.  </w:t>
      </w:r>
      <w:r>
        <w:rPr>
          <w:rFonts w:hint="eastAsia"/>
        </w:rPr>
        <w:t>城镇新生儿的婴儿死亡率很高，</w:t>
      </w:r>
      <w:r>
        <w:rPr>
          <w:rFonts w:hint="eastAsia"/>
        </w:rPr>
        <w:t>68%</w:t>
      </w:r>
      <w:r>
        <w:rPr>
          <w:rFonts w:hint="eastAsia"/>
        </w:rPr>
        <w:t>的死亡儿童为新生儿，而农村地区只有</w:t>
      </w:r>
      <w:r>
        <w:rPr>
          <w:rFonts w:hint="eastAsia"/>
        </w:rPr>
        <w:t>60%</w:t>
      </w:r>
      <w:r>
        <w:rPr>
          <w:rFonts w:hint="eastAsia"/>
        </w:rPr>
        <w:t>，这是因两个地区的不同发展水平的影响所致。</w:t>
      </w:r>
    </w:p>
    <w:p w:rsidR="00000000" w:rsidRDefault="00000000">
      <w:pPr>
        <w:rPr>
          <w:rFonts w:hint="eastAsia"/>
        </w:rPr>
      </w:pPr>
      <w:r>
        <w:rPr>
          <w:rFonts w:hint="eastAsia"/>
        </w:rPr>
        <w:tab/>
        <w:t xml:space="preserve">396.  </w:t>
      </w:r>
      <w:r>
        <w:rPr>
          <w:rFonts w:hint="eastAsia"/>
        </w:rPr>
        <w:t>这一情况在儿童死亡率数字中有所反映，其中城市地区刚刚占四分之一，并在</w:t>
      </w:r>
      <w:r>
        <w:rPr>
          <w:rFonts w:hint="eastAsia"/>
        </w:rPr>
        <w:t>(0-4</w:t>
      </w:r>
      <w:r>
        <w:rPr>
          <w:rFonts w:hint="eastAsia"/>
        </w:rPr>
        <w:t>岁儿童</w:t>
      </w:r>
      <w:r>
        <w:rPr>
          <w:rFonts w:hint="eastAsia"/>
        </w:rPr>
        <w:t>)</w:t>
      </w:r>
      <w:r>
        <w:rPr>
          <w:rFonts w:hint="eastAsia"/>
        </w:rPr>
        <w:t>死亡登记情况中有所反映，其中农村地区的比例为二倍以上。</w:t>
      </w:r>
    </w:p>
    <w:p w:rsidR="00000000" w:rsidRDefault="00000000">
      <w:pPr>
        <w:spacing w:after="320"/>
        <w:rPr>
          <w:rFonts w:hint="eastAsia"/>
        </w:rPr>
      </w:pPr>
      <w:r>
        <w:rPr>
          <w:rFonts w:hint="eastAsia"/>
        </w:rPr>
        <w:tab/>
        <w:t xml:space="preserve">397.  </w:t>
      </w:r>
      <w:r>
        <w:rPr>
          <w:rFonts w:hint="eastAsia"/>
        </w:rPr>
        <w:t>沿海地区的婴儿死亡率</w:t>
      </w:r>
      <w:r>
        <w:rPr>
          <w:rFonts w:hint="eastAsia"/>
        </w:rPr>
        <w:t>(25</w:t>
      </w:r>
      <w:r>
        <w:t>‰</w:t>
      </w:r>
      <w:r>
        <w:rPr>
          <w:rFonts w:hint="eastAsia"/>
        </w:rPr>
        <w:t>)</w:t>
      </w:r>
      <w:r>
        <w:rPr>
          <w:rFonts w:hint="eastAsia"/>
        </w:rPr>
        <w:t>低于</w:t>
      </w:r>
      <w:r>
        <w:t>Sierra</w:t>
      </w:r>
      <w:r>
        <w:rPr>
          <w:rFonts w:hint="eastAsia"/>
        </w:rPr>
        <w:t>和</w:t>
      </w:r>
      <w:r>
        <w:t>Amazonia</w:t>
      </w:r>
      <w:r>
        <w:rPr>
          <w:rFonts w:hint="eastAsia"/>
        </w:rPr>
        <w:t>(34</w:t>
      </w:r>
      <w:r>
        <w:t>‰</w:t>
      </w:r>
      <w:r>
        <w:rPr>
          <w:rFonts w:hint="eastAsia"/>
        </w:rPr>
        <w:t>和</w:t>
      </w:r>
      <w:r>
        <w:rPr>
          <w:rFonts w:hint="eastAsia"/>
        </w:rPr>
        <w:t>38</w:t>
      </w:r>
      <w:r>
        <w:t>‰</w:t>
      </w:r>
      <w:r>
        <w:rPr>
          <w:rFonts w:hint="eastAsia"/>
        </w:rPr>
        <w:t>)</w:t>
      </w:r>
      <w:r>
        <w:rPr>
          <w:rFonts w:hint="eastAsia"/>
        </w:rPr>
        <w:t>；调查中没有发现岛屿地区有</w:t>
      </w:r>
      <w:r>
        <w:rPr>
          <w:rFonts w:hint="eastAsia"/>
        </w:rPr>
        <w:t>1</w:t>
      </w:r>
      <w:r>
        <w:rPr>
          <w:rFonts w:hint="eastAsia"/>
        </w:rPr>
        <w:t>岁以下儿童死亡的情况，这一情况得到公共登记的肯定，根据公共登记情况，</w:t>
      </w:r>
      <w:r>
        <w:rPr>
          <w:rFonts w:hint="eastAsia"/>
        </w:rPr>
        <w:t>1997</w:t>
      </w:r>
      <w:r>
        <w:rPr>
          <w:rFonts w:hint="eastAsia"/>
        </w:rPr>
        <w:t>年只有</w:t>
      </w:r>
      <w:r>
        <w:rPr>
          <w:rFonts w:hint="eastAsia"/>
        </w:rPr>
        <w:t>3</w:t>
      </w:r>
      <w:r>
        <w:rPr>
          <w:rFonts w:hint="eastAsia"/>
        </w:rPr>
        <w:t>例死亡。</w:t>
      </w:r>
      <w:r>
        <w:rPr>
          <w:rFonts w:hint="eastAsia"/>
          <w:b/>
          <w:vertAlign w:val="superscript"/>
        </w:rPr>
        <w:t>55</w:t>
      </w:r>
      <w:r>
        <w:rPr>
          <w:rFonts w:hint="eastAsia"/>
        </w:rPr>
        <w:t xml:space="preserve"> </w:t>
      </w:r>
    </w:p>
    <w:p w:rsidR="00000000" w:rsidRDefault="00000000">
      <w:pPr>
        <w:pStyle w:val="Heading3"/>
        <w:rPr>
          <w:rFonts w:hint="eastAsia"/>
          <w:sz w:val="20"/>
        </w:rPr>
      </w:pPr>
      <w:r>
        <w:rPr>
          <w:rFonts w:hint="eastAsia"/>
        </w:rPr>
        <w:t>根据各次调查得出的婴儿和儿童死亡率</w:t>
      </w: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2"/>
        <w:gridCol w:w="1134"/>
        <w:gridCol w:w="1559"/>
        <w:gridCol w:w="1276"/>
        <w:gridCol w:w="1275"/>
        <w:gridCol w:w="1418"/>
      </w:tblGrid>
      <w:tr w:rsidR="00000000">
        <w:tblPrEx>
          <w:tblCellMar>
            <w:top w:w="0" w:type="dxa"/>
            <w:bottom w:w="0" w:type="dxa"/>
          </w:tblCellMar>
        </w:tblPrEx>
        <w:tc>
          <w:tcPr>
            <w:tcW w:w="2662" w:type="dxa"/>
            <w:tcBorders>
              <w:bottom w:val="single" w:sz="4" w:space="0" w:color="auto"/>
            </w:tcBorders>
          </w:tcPr>
          <w:p w:rsidR="00000000" w:rsidRDefault="00000000">
            <w:pPr>
              <w:pStyle w:val="a2"/>
              <w:spacing w:before="240"/>
              <w:jc w:val="center"/>
              <w:rPr>
                <w:rFonts w:hint="eastAsia"/>
              </w:rPr>
            </w:pPr>
            <w:r>
              <w:rPr>
                <w:rFonts w:hint="eastAsia"/>
              </w:rPr>
              <w:t>调</w:t>
            </w:r>
            <w:r>
              <w:rPr>
                <w:rFonts w:hint="eastAsia"/>
              </w:rPr>
              <w:t xml:space="preserve">  </w:t>
            </w:r>
            <w:r>
              <w:rPr>
                <w:rFonts w:hint="eastAsia"/>
              </w:rPr>
              <w:t>查</w:t>
            </w:r>
          </w:p>
        </w:tc>
        <w:tc>
          <w:tcPr>
            <w:tcW w:w="1134" w:type="dxa"/>
            <w:tcBorders>
              <w:bottom w:val="single" w:sz="4" w:space="0" w:color="auto"/>
            </w:tcBorders>
          </w:tcPr>
          <w:p w:rsidR="00000000" w:rsidRDefault="00000000">
            <w:pPr>
              <w:pStyle w:val="a2"/>
              <w:spacing w:before="120" w:after="60" w:line="240" w:lineRule="exact"/>
              <w:jc w:val="center"/>
              <w:rPr>
                <w:rFonts w:hint="eastAsia"/>
                <w:spacing w:val="-6"/>
              </w:rPr>
            </w:pPr>
            <w:r>
              <w:rPr>
                <w:rFonts w:hint="eastAsia"/>
                <w:spacing w:val="-6"/>
              </w:rPr>
              <w:t>新生儿</w:t>
            </w:r>
            <w:r>
              <w:rPr>
                <w:spacing w:val="-6"/>
              </w:rPr>
              <w:br/>
            </w:r>
            <w:r>
              <w:rPr>
                <w:rFonts w:hint="eastAsia"/>
                <w:spacing w:val="-6"/>
              </w:rPr>
              <w:t>死亡率</w:t>
            </w:r>
          </w:p>
        </w:tc>
        <w:tc>
          <w:tcPr>
            <w:tcW w:w="1559" w:type="dxa"/>
            <w:tcBorders>
              <w:bottom w:val="single" w:sz="4" w:space="0" w:color="auto"/>
            </w:tcBorders>
          </w:tcPr>
          <w:p w:rsidR="00000000" w:rsidRDefault="00000000">
            <w:pPr>
              <w:pStyle w:val="a2"/>
              <w:spacing w:before="120" w:after="60" w:line="240" w:lineRule="exact"/>
              <w:jc w:val="center"/>
              <w:rPr>
                <w:rFonts w:hint="eastAsia"/>
                <w:spacing w:val="-6"/>
              </w:rPr>
            </w:pPr>
            <w:r>
              <w:rPr>
                <w:rFonts w:hint="eastAsia"/>
                <w:spacing w:val="-6"/>
              </w:rPr>
              <w:t>新生儿后</w:t>
            </w:r>
            <w:r>
              <w:rPr>
                <w:spacing w:val="-6"/>
              </w:rPr>
              <w:br/>
            </w:r>
            <w:r>
              <w:rPr>
                <w:rFonts w:hint="eastAsia"/>
                <w:spacing w:val="-6"/>
              </w:rPr>
              <w:t>期死亡率</w:t>
            </w:r>
          </w:p>
        </w:tc>
        <w:tc>
          <w:tcPr>
            <w:tcW w:w="1276" w:type="dxa"/>
            <w:tcBorders>
              <w:bottom w:val="single" w:sz="4" w:space="0" w:color="auto"/>
            </w:tcBorders>
          </w:tcPr>
          <w:p w:rsidR="00000000" w:rsidRDefault="00000000">
            <w:pPr>
              <w:pStyle w:val="a2"/>
              <w:spacing w:before="180"/>
              <w:jc w:val="center"/>
              <w:rPr>
                <w:rFonts w:hint="eastAsia"/>
                <w:spacing w:val="-6"/>
              </w:rPr>
            </w:pPr>
            <w:r>
              <w:rPr>
                <w:rFonts w:hint="eastAsia"/>
                <w:spacing w:val="-6"/>
              </w:rPr>
              <w:t>婴儿死亡率</w:t>
            </w:r>
          </w:p>
        </w:tc>
        <w:tc>
          <w:tcPr>
            <w:tcW w:w="1275" w:type="dxa"/>
            <w:tcBorders>
              <w:bottom w:val="single" w:sz="4" w:space="0" w:color="auto"/>
            </w:tcBorders>
          </w:tcPr>
          <w:p w:rsidR="00000000" w:rsidRDefault="00000000">
            <w:pPr>
              <w:pStyle w:val="a2"/>
              <w:spacing w:before="180"/>
              <w:jc w:val="center"/>
              <w:rPr>
                <w:rFonts w:hint="eastAsia"/>
                <w:spacing w:val="-6"/>
              </w:rPr>
            </w:pPr>
            <w:r>
              <w:rPr>
                <w:rFonts w:hint="eastAsia"/>
                <w:spacing w:val="-6"/>
              </w:rPr>
              <w:t>儿童死亡率</w:t>
            </w:r>
          </w:p>
        </w:tc>
        <w:tc>
          <w:tcPr>
            <w:tcW w:w="1418" w:type="dxa"/>
            <w:tcBorders>
              <w:bottom w:val="single" w:sz="4" w:space="0" w:color="auto"/>
            </w:tcBorders>
          </w:tcPr>
          <w:p w:rsidR="00000000" w:rsidRDefault="00000000">
            <w:pPr>
              <w:pStyle w:val="a2"/>
              <w:spacing w:before="120" w:after="60" w:line="240" w:lineRule="exact"/>
              <w:jc w:val="center"/>
              <w:rPr>
                <w:rFonts w:hint="eastAsia"/>
                <w:spacing w:val="-6"/>
              </w:rPr>
            </w:pPr>
            <w:r>
              <w:rPr>
                <w:rFonts w:hint="eastAsia"/>
                <w:spacing w:val="-6"/>
              </w:rPr>
              <w:t>5</w:t>
            </w:r>
            <w:r>
              <w:rPr>
                <w:rFonts w:hint="eastAsia"/>
                <w:spacing w:val="-6"/>
              </w:rPr>
              <w:t>岁以下</w:t>
            </w:r>
            <w:r>
              <w:rPr>
                <w:spacing w:val="-6"/>
              </w:rPr>
              <w:br/>
            </w:r>
            <w:r>
              <w:rPr>
                <w:rFonts w:hint="eastAsia"/>
                <w:spacing w:val="-6"/>
              </w:rPr>
              <w:t>儿童死亡率</w:t>
            </w:r>
          </w:p>
        </w:tc>
      </w:tr>
      <w:tr w:rsidR="00000000">
        <w:tblPrEx>
          <w:tblCellMar>
            <w:top w:w="0" w:type="dxa"/>
            <w:bottom w:w="0" w:type="dxa"/>
          </w:tblCellMar>
        </w:tblPrEx>
        <w:tc>
          <w:tcPr>
            <w:tcW w:w="2662" w:type="dxa"/>
            <w:tcBorders>
              <w:bottom w:val="nil"/>
            </w:tcBorders>
          </w:tcPr>
          <w:p w:rsidR="00000000" w:rsidRDefault="00000000">
            <w:pPr>
              <w:pStyle w:val="a2"/>
              <w:rPr>
                <w:rFonts w:hint="eastAsia"/>
                <w:lang w:val="fr-CH"/>
              </w:rPr>
            </w:pPr>
            <w:r>
              <w:rPr>
                <w:rFonts w:hint="eastAsia"/>
                <w:lang w:val="fr-CH"/>
              </w:rPr>
              <w:t>87</w:t>
            </w:r>
            <w:r>
              <w:rPr>
                <w:rFonts w:hint="eastAsia"/>
                <w:lang w:val="fr-CH"/>
              </w:rPr>
              <w:t>年调查</w:t>
            </w:r>
            <w:r>
              <w:rPr>
                <w:rFonts w:hint="eastAsia"/>
                <w:lang w:val="fr-CH"/>
              </w:rPr>
              <w:t>(82-87)</w:t>
            </w:r>
          </w:p>
        </w:tc>
        <w:tc>
          <w:tcPr>
            <w:tcW w:w="1134" w:type="dxa"/>
            <w:tcBorders>
              <w:bottom w:val="nil"/>
            </w:tcBorders>
          </w:tcPr>
          <w:p w:rsidR="00000000" w:rsidRDefault="00000000">
            <w:pPr>
              <w:pStyle w:val="a2"/>
              <w:tabs>
                <w:tab w:val="decimal" w:pos="596"/>
              </w:tabs>
              <w:rPr>
                <w:lang w:val="fr-CH"/>
              </w:rPr>
            </w:pPr>
            <w:r>
              <w:rPr>
                <w:lang w:val="fr-CH"/>
              </w:rPr>
              <w:t>36</w:t>
            </w:r>
          </w:p>
        </w:tc>
        <w:tc>
          <w:tcPr>
            <w:tcW w:w="1559" w:type="dxa"/>
            <w:tcBorders>
              <w:bottom w:val="nil"/>
            </w:tcBorders>
          </w:tcPr>
          <w:p w:rsidR="00000000" w:rsidRDefault="00000000">
            <w:pPr>
              <w:pStyle w:val="a2"/>
              <w:tabs>
                <w:tab w:val="decimal" w:pos="596"/>
              </w:tabs>
              <w:rPr>
                <w:lang w:val="fr-CH"/>
              </w:rPr>
            </w:pPr>
            <w:r>
              <w:rPr>
                <w:lang w:val="fr-CH"/>
              </w:rPr>
              <w:t>22</w:t>
            </w:r>
          </w:p>
        </w:tc>
        <w:tc>
          <w:tcPr>
            <w:tcW w:w="1276" w:type="dxa"/>
            <w:tcBorders>
              <w:bottom w:val="nil"/>
            </w:tcBorders>
          </w:tcPr>
          <w:p w:rsidR="00000000" w:rsidRDefault="00000000">
            <w:pPr>
              <w:pStyle w:val="a2"/>
              <w:tabs>
                <w:tab w:val="decimal" w:pos="596"/>
              </w:tabs>
              <w:rPr>
                <w:lang w:val="fr-CH"/>
              </w:rPr>
            </w:pPr>
            <w:r>
              <w:rPr>
                <w:lang w:val="fr-CH"/>
              </w:rPr>
              <w:t>58</w:t>
            </w:r>
          </w:p>
        </w:tc>
        <w:tc>
          <w:tcPr>
            <w:tcW w:w="1275" w:type="dxa"/>
            <w:tcBorders>
              <w:bottom w:val="nil"/>
            </w:tcBorders>
          </w:tcPr>
          <w:p w:rsidR="00000000" w:rsidRDefault="00000000">
            <w:pPr>
              <w:pStyle w:val="a2"/>
              <w:tabs>
                <w:tab w:val="decimal" w:pos="596"/>
              </w:tabs>
              <w:rPr>
                <w:lang w:val="fr-CH"/>
              </w:rPr>
            </w:pPr>
            <w:r>
              <w:rPr>
                <w:lang w:val="fr-CH"/>
              </w:rPr>
              <w:t>25</w:t>
            </w:r>
          </w:p>
        </w:tc>
        <w:tc>
          <w:tcPr>
            <w:tcW w:w="1418" w:type="dxa"/>
            <w:tcBorders>
              <w:bottom w:val="nil"/>
            </w:tcBorders>
          </w:tcPr>
          <w:p w:rsidR="00000000" w:rsidRDefault="00000000">
            <w:pPr>
              <w:pStyle w:val="a2"/>
              <w:tabs>
                <w:tab w:val="decimal" w:pos="596"/>
              </w:tabs>
              <w:rPr>
                <w:lang w:val="fr-CH"/>
              </w:rPr>
            </w:pPr>
            <w:r>
              <w:rPr>
                <w:lang w:val="fr-CH"/>
              </w:rPr>
              <w:t>82</w:t>
            </w:r>
          </w:p>
        </w:tc>
      </w:tr>
      <w:tr w:rsidR="00000000">
        <w:tblPrEx>
          <w:tblCellMar>
            <w:top w:w="0" w:type="dxa"/>
            <w:bottom w:w="0" w:type="dxa"/>
          </w:tblCellMar>
        </w:tblPrEx>
        <w:tc>
          <w:tcPr>
            <w:tcW w:w="2662" w:type="dxa"/>
            <w:tcBorders>
              <w:top w:val="nil"/>
              <w:bottom w:val="nil"/>
            </w:tcBorders>
          </w:tcPr>
          <w:p w:rsidR="00000000" w:rsidRDefault="00000000">
            <w:pPr>
              <w:pStyle w:val="a2"/>
              <w:rPr>
                <w:rFonts w:hint="eastAsia"/>
                <w:lang w:val="fr-CH"/>
              </w:rPr>
            </w:pPr>
            <w:r>
              <w:rPr>
                <w:rFonts w:hint="eastAsia"/>
                <w:lang w:val="fr-CH"/>
              </w:rPr>
              <w:t>89</w:t>
            </w:r>
            <w:r>
              <w:rPr>
                <w:rFonts w:hint="eastAsia"/>
                <w:lang w:val="fr-CH"/>
              </w:rPr>
              <w:t>年调查</w:t>
            </w:r>
            <w:r>
              <w:rPr>
                <w:rFonts w:hint="eastAsia"/>
                <w:lang w:val="fr-CH"/>
              </w:rPr>
              <w:t>(87)*</w:t>
            </w:r>
          </w:p>
        </w:tc>
        <w:tc>
          <w:tcPr>
            <w:tcW w:w="1134" w:type="dxa"/>
            <w:tcBorders>
              <w:top w:val="nil"/>
              <w:bottom w:val="nil"/>
            </w:tcBorders>
          </w:tcPr>
          <w:p w:rsidR="00000000" w:rsidRDefault="00000000">
            <w:pPr>
              <w:pStyle w:val="a2"/>
              <w:tabs>
                <w:tab w:val="decimal" w:pos="596"/>
              </w:tabs>
              <w:rPr>
                <w:lang w:val="fr-CH"/>
              </w:rPr>
            </w:pPr>
          </w:p>
        </w:tc>
        <w:tc>
          <w:tcPr>
            <w:tcW w:w="1559" w:type="dxa"/>
            <w:tcBorders>
              <w:top w:val="nil"/>
              <w:bottom w:val="nil"/>
            </w:tcBorders>
          </w:tcPr>
          <w:p w:rsidR="00000000" w:rsidRDefault="00000000">
            <w:pPr>
              <w:pStyle w:val="a2"/>
              <w:tabs>
                <w:tab w:val="decimal" w:pos="596"/>
              </w:tabs>
              <w:rPr>
                <w:lang w:val="fr-CH"/>
              </w:rPr>
            </w:pPr>
          </w:p>
        </w:tc>
        <w:tc>
          <w:tcPr>
            <w:tcW w:w="1276" w:type="dxa"/>
            <w:tcBorders>
              <w:top w:val="nil"/>
              <w:bottom w:val="nil"/>
            </w:tcBorders>
          </w:tcPr>
          <w:p w:rsidR="00000000" w:rsidRDefault="00000000">
            <w:pPr>
              <w:pStyle w:val="a2"/>
              <w:tabs>
                <w:tab w:val="decimal" w:pos="596"/>
              </w:tabs>
              <w:rPr>
                <w:lang w:val="fr-CH"/>
              </w:rPr>
            </w:pPr>
            <w:r>
              <w:rPr>
                <w:lang w:val="fr-CH"/>
              </w:rPr>
              <w:t>53</w:t>
            </w:r>
          </w:p>
        </w:tc>
        <w:tc>
          <w:tcPr>
            <w:tcW w:w="1275" w:type="dxa"/>
            <w:tcBorders>
              <w:top w:val="nil"/>
              <w:bottom w:val="nil"/>
            </w:tcBorders>
          </w:tcPr>
          <w:p w:rsidR="00000000" w:rsidRDefault="00000000">
            <w:pPr>
              <w:pStyle w:val="a2"/>
              <w:tabs>
                <w:tab w:val="decimal" w:pos="596"/>
              </w:tabs>
              <w:rPr>
                <w:lang w:val="fr-CH"/>
              </w:rPr>
            </w:pPr>
            <w:r>
              <w:rPr>
                <w:lang w:val="fr-CH"/>
              </w:rPr>
              <w:t>17</w:t>
            </w:r>
          </w:p>
        </w:tc>
        <w:tc>
          <w:tcPr>
            <w:tcW w:w="1418" w:type="dxa"/>
            <w:tcBorders>
              <w:top w:val="nil"/>
              <w:bottom w:val="nil"/>
            </w:tcBorders>
          </w:tcPr>
          <w:p w:rsidR="00000000" w:rsidRDefault="00000000">
            <w:pPr>
              <w:pStyle w:val="a2"/>
              <w:tabs>
                <w:tab w:val="decimal" w:pos="596"/>
              </w:tabs>
              <w:rPr>
                <w:lang w:val="fr-CH"/>
              </w:rPr>
            </w:pPr>
            <w:r>
              <w:rPr>
                <w:lang w:val="fr-CH"/>
              </w:rPr>
              <w:t>70</w:t>
            </w:r>
          </w:p>
        </w:tc>
      </w:tr>
      <w:tr w:rsidR="00000000">
        <w:tblPrEx>
          <w:tblCellMar>
            <w:top w:w="0" w:type="dxa"/>
            <w:bottom w:w="0" w:type="dxa"/>
          </w:tblCellMar>
        </w:tblPrEx>
        <w:tc>
          <w:tcPr>
            <w:tcW w:w="2662" w:type="dxa"/>
            <w:tcBorders>
              <w:top w:val="nil"/>
              <w:bottom w:val="nil"/>
            </w:tcBorders>
          </w:tcPr>
          <w:p w:rsidR="00000000" w:rsidRDefault="00000000">
            <w:pPr>
              <w:pStyle w:val="a2"/>
              <w:rPr>
                <w:rFonts w:hint="eastAsia"/>
                <w:lang w:val="fr-CH"/>
              </w:rPr>
            </w:pPr>
            <w:r>
              <w:rPr>
                <w:rFonts w:hint="eastAsia"/>
                <w:lang w:val="fr-CH"/>
              </w:rPr>
              <w:t>94</w:t>
            </w:r>
            <w:r>
              <w:rPr>
                <w:rFonts w:hint="eastAsia"/>
                <w:lang w:val="fr-CH"/>
              </w:rPr>
              <w:t>年调查</w:t>
            </w:r>
            <w:r>
              <w:rPr>
                <w:rFonts w:hint="eastAsia"/>
                <w:lang w:val="fr-CH"/>
              </w:rPr>
              <w:t>(89-94)</w:t>
            </w:r>
          </w:p>
        </w:tc>
        <w:tc>
          <w:tcPr>
            <w:tcW w:w="1134" w:type="dxa"/>
            <w:tcBorders>
              <w:top w:val="nil"/>
              <w:bottom w:val="nil"/>
            </w:tcBorders>
          </w:tcPr>
          <w:p w:rsidR="00000000" w:rsidRDefault="00000000">
            <w:pPr>
              <w:pStyle w:val="a2"/>
              <w:tabs>
                <w:tab w:val="decimal" w:pos="596"/>
              </w:tabs>
              <w:rPr>
                <w:lang w:val="fr-CH"/>
              </w:rPr>
            </w:pPr>
            <w:r>
              <w:rPr>
                <w:lang w:val="fr-CH"/>
              </w:rPr>
              <w:t>22</w:t>
            </w:r>
          </w:p>
        </w:tc>
        <w:tc>
          <w:tcPr>
            <w:tcW w:w="1559" w:type="dxa"/>
            <w:tcBorders>
              <w:top w:val="nil"/>
              <w:bottom w:val="nil"/>
            </w:tcBorders>
          </w:tcPr>
          <w:p w:rsidR="00000000" w:rsidRDefault="00000000">
            <w:pPr>
              <w:pStyle w:val="a2"/>
              <w:tabs>
                <w:tab w:val="decimal" w:pos="596"/>
              </w:tabs>
              <w:rPr>
                <w:lang w:val="fr-CH"/>
              </w:rPr>
            </w:pPr>
            <w:r>
              <w:rPr>
                <w:lang w:val="fr-CH"/>
              </w:rPr>
              <w:t>18</w:t>
            </w:r>
          </w:p>
        </w:tc>
        <w:tc>
          <w:tcPr>
            <w:tcW w:w="1276" w:type="dxa"/>
            <w:tcBorders>
              <w:top w:val="nil"/>
              <w:bottom w:val="nil"/>
            </w:tcBorders>
          </w:tcPr>
          <w:p w:rsidR="00000000" w:rsidRDefault="00000000">
            <w:pPr>
              <w:pStyle w:val="a2"/>
              <w:tabs>
                <w:tab w:val="decimal" w:pos="596"/>
              </w:tabs>
              <w:rPr>
                <w:lang w:val="fr-CH"/>
              </w:rPr>
            </w:pPr>
            <w:r>
              <w:rPr>
                <w:lang w:val="fr-CH"/>
              </w:rPr>
              <w:t>40</w:t>
            </w:r>
          </w:p>
        </w:tc>
        <w:tc>
          <w:tcPr>
            <w:tcW w:w="1275" w:type="dxa"/>
            <w:tcBorders>
              <w:top w:val="nil"/>
              <w:bottom w:val="nil"/>
            </w:tcBorders>
          </w:tcPr>
          <w:p w:rsidR="00000000" w:rsidRDefault="00000000">
            <w:pPr>
              <w:pStyle w:val="a2"/>
              <w:tabs>
                <w:tab w:val="decimal" w:pos="596"/>
              </w:tabs>
              <w:rPr>
                <w:lang w:val="fr-CH"/>
              </w:rPr>
            </w:pPr>
            <w:r>
              <w:rPr>
                <w:lang w:val="fr-CH"/>
              </w:rPr>
              <w:t>12</w:t>
            </w:r>
          </w:p>
        </w:tc>
        <w:tc>
          <w:tcPr>
            <w:tcW w:w="1418" w:type="dxa"/>
            <w:tcBorders>
              <w:top w:val="nil"/>
              <w:bottom w:val="nil"/>
            </w:tcBorders>
          </w:tcPr>
          <w:p w:rsidR="00000000" w:rsidRDefault="00000000">
            <w:pPr>
              <w:pStyle w:val="a2"/>
              <w:tabs>
                <w:tab w:val="decimal" w:pos="596"/>
              </w:tabs>
              <w:rPr>
                <w:lang w:val="fr-CH"/>
              </w:rPr>
            </w:pPr>
            <w:r>
              <w:rPr>
                <w:lang w:val="fr-CH"/>
              </w:rPr>
              <w:t>51</w:t>
            </w:r>
          </w:p>
        </w:tc>
      </w:tr>
      <w:tr w:rsidR="00000000">
        <w:tblPrEx>
          <w:tblCellMar>
            <w:top w:w="0" w:type="dxa"/>
            <w:bottom w:w="0" w:type="dxa"/>
          </w:tblCellMar>
        </w:tblPrEx>
        <w:tc>
          <w:tcPr>
            <w:tcW w:w="2662" w:type="dxa"/>
            <w:tcBorders>
              <w:top w:val="nil"/>
              <w:bottom w:val="single" w:sz="4" w:space="0" w:color="auto"/>
            </w:tcBorders>
          </w:tcPr>
          <w:p w:rsidR="00000000" w:rsidRDefault="00000000">
            <w:pPr>
              <w:pStyle w:val="a2"/>
              <w:rPr>
                <w:rFonts w:hint="eastAsia"/>
                <w:lang w:val="fr-CH"/>
              </w:rPr>
            </w:pPr>
            <w:r>
              <w:rPr>
                <w:rFonts w:hint="eastAsia"/>
                <w:lang w:val="fr-CH"/>
              </w:rPr>
              <w:t>99</w:t>
            </w:r>
            <w:r>
              <w:rPr>
                <w:rFonts w:hint="eastAsia"/>
                <w:lang w:val="fr-CH"/>
              </w:rPr>
              <w:t>年调查</w:t>
            </w:r>
          </w:p>
        </w:tc>
        <w:tc>
          <w:tcPr>
            <w:tcW w:w="1134" w:type="dxa"/>
            <w:tcBorders>
              <w:top w:val="nil"/>
              <w:bottom w:val="single" w:sz="4" w:space="0" w:color="auto"/>
            </w:tcBorders>
          </w:tcPr>
          <w:p w:rsidR="00000000" w:rsidRDefault="00000000">
            <w:pPr>
              <w:pStyle w:val="a2"/>
              <w:tabs>
                <w:tab w:val="decimal" w:pos="596"/>
              </w:tabs>
              <w:rPr>
                <w:lang w:val="fr-CH"/>
              </w:rPr>
            </w:pPr>
            <w:r>
              <w:rPr>
                <w:lang w:val="fr-CH"/>
              </w:rPr>
              <w:t>19</w:t>
            </w:r>
          </w:p>
        </w:tc>
        <w:tc>
          <w:tcPr>
            <w:tcW w:w="1559" w:type="dxa"/>
            <w:tcBorders>
              <w:top w:val="nil"/>
              <w:bottom w:val="single" w:sz="4" w:space="0" w:color="auto"/>
            </w:tcBorders>
          </w:tcPr>
          <w:p w:rsidR="00000000" w:rsidRDefault="00000000">
            <w:pPr>
              <w:pStyle w:val="a2"/>
              <w:tabs>
                <w:tab w:val="decimal" w:pos="596"/>
              </w:tabs>
              <w:rPr>
                <w:lang w:val="fr-CH"/>
              </w:rPr>
            </w:pPr>
            <w:r>
              <w:rPr>
                <w:lang w:val="fr-CH"/>
              </w:rPr>
              <w:t>11</w:t>
            </w:r>
          </w:p>
        </w:tc>
        <w:tc>
          <w:tcPr>
            <w:tcW w:w="1276" w:type="dxa"/>
            <w:tcBorders>
              <w:top w:val="nil"/>
              <w:bottom w:val="single" w:sz="4" w:space="0" w:color="auto"/>
            </w:tcBorders>
          </w:tcPr>
          <w:p w:rsidR="00000000" w:rsidRDefault="00000000">
            <w:pPr>
              <w:pStyle w:val="a2"/>
              <w:tabs>
                <w:tab w:val="decimal" w:pos="596"/>
              </w:tabs>
              <w:rPr>
                <w:lang w:val="fr-CH"/>
              </w:rPr>
            </w:pPr>
            <w:r>
              <w:rPr>
                <w:lang w:val="fr-CH"/>
              </w:rPr>
              <w:t>30</w:t>
            </w:r>
          </w:p>
        </w:tc>
        <w:tc>
          <w:tcPr>
            <w:tcW w:w="1275" w:type="dxa"/>
            <w:tcBorders>
              <w:top w:val="nil"/>
              <w:bottom w:val="single" w:sz="4" w:space="0" w:color="auto"/>
            </w:tcBorders>
          </w:tcPr>
          <w:p w:rsidR="00000000" w:rsidRDefault="00000000">
            <w:pPr>
              <w:pStyle w:val="a2"/>
              <w:tabs>
                <w:tab w:val="decimal" w:pos="596"/>
              </w:tabs>
              <w:rPr>
                <w:lang w:val="fr-CH"/>
              </w:rPr>
            </w:pPr>
            <w:r>
              <w:rPr>
                <w:lang w:val="fr-CH"/>
              </w:rPr>
              <w:t>9</w:t>
            </w:r>
          </w:p>
        </w:tc>
        <w:tc>
          <w:tcPr>
            <w:tcW w:w="1418" w:type="dxa"/>
            <w:tcBorders>
              <w:top w:val="nil"/>
              <w:bottom w:val="single" w:sz="4" w:space="0" w:color="auto"/>
            </w:tcBorders>
          </w:tcPr>
          <w:p w:rsidR="00000000" w:rsidRDefault="00000000">
            <w:pPr>
              <w:pStyle w:val="a2"/>
              <w:tabs>
                <w:tab w:val="decimal" w:pos="596"/>
              </w:tabs>
              <w:rPr>
                <w:lang w:val="fr-CH"/>
              </w:rPr>
            </w:pPr>
            <w:r>
              <w:rPr>
                <w:lang w:val="fr-CH"/>
              </w:rPr>
              <w:t>39</w:t>
            </w:r>
          </w:p>
        </w:tc>
      </w:tr>
    </w:tbl>
    <w:p w:rsidR="00000000" w:rsidRDefault="00000000">
      <w:pPr>
        <w:spacing w:before="120"/>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w:t>
      </w:r>
      <w:r>
        <w:rPr>
          <w:rFonts w:eastAsia="KaiTi_GB2312" w:hint="eastAsia"/>
          <w:spacing w:val="0"/>
        </w:rPr>
        <w:t>94</w:t>
      </w:r>
      <w:r>
        <w:rPr>
          <w:rFonts w:eastAsia="KaiTi_GB2312" w:hint="eastAsia"/>
          <w:spacing w:val="0"/>
        </w:rPr>
        <w:t>年调查，</w:t>
      </w:r>
      <w:r>
        <w:rPr>
          <w:rFonts w:eastAsia="KaiTi_GB2312" w:hint="eastAsia"/>
          <w:spacing w:val="0"/>
        </w:rPr>
        <w:t>99</w:t>
      </w:r>
      <w:r>
        <w:rPr>
          <w:rFonts w:eastAsia="KaiTi_GB2312" w:hint="eastAsia"/>
          <w:spacing w:val="0"/>
        </w:rPr>
        <w:t>年调查。</w:t>
      </w:r>
    </w:p>
    <w:p w:rsidR="00000000" w:rsidRDefault="00000000">
      <w:pPr>
        <w:rPr>
          <w:rFonts w:eastAsia="KaiTi_GB2312" w:hint="eastAsia"/>
          <w:spacing w:val="0"/>
        </w:rPr>
      </w:pPr>
      <w:r>
        <w:rPr>
          <w:rFonts w:eastAsia="KaiTi_GB2312" w:hint="eastAsia"/>
          <w:spacing w:val="0"/>
        </w:rPr>
        <w:tab/>
        <w:t>*</w:t>
      </w:r>
      <w:r>
        <w:rPr>
          <w:rFonts w:eastAsia="KaiTi_GB2312" w:hint="eastAsia"/>
          <w:spacing w:val="0"/>
        </w:rPr>
        <w:tab/>
        <w:t>1989</w:t>
      </w:r>
      <w:r>
        <w:rPr>
          <w:rFonts w:eastAsia="KaiTi_GB2312" w:hint="eastAsia"/>
          <w:spacing w:val="0"/>
        </w:rPr>
        <w:t>年间接办法。</w:t>
      </w:r>
    </w:p>
    <w:p w:rsidR="00000000" w:rsidRDefault="00000000">
      <w:pPr>
        <w:rPr>
          <w:rFonts w:eastAsia="KaiTi_GB2312" w:hint="eastAsia"/>
          <w:spacing w:val="0"/>
        </w:rPr>
      </w:pPr>
    </w:p>
    <w:p w:rsidR="00000000" w:rsidRDefault="00000000">
      <w:pPr>
        <w:spacing w:after="320"/>
        <w:rPr>
          <w:rFonts w:hint="eastAsia"/>
          <w:spacing w:val="6"/>
        </w:rPr>
      </w:pPr>
      <w:r>
        <w:rPr>
          <w:rFonts w:hint="eastAsia"/>
        </w:rPr>
        <w:tab/>
        <w:t xml:space="preserve">398.  </w:t>
      </w:r>
      <w:r>
        <w:rPr>
          <w:rFonts w:hint="eastAsia"/>
          <w:spacing w:val="6"/>
        </w:rPr>
        <w:t>根据</w:t>
      </w:r>
      <w:r>
        <w:rPr>
          <w:rFonts w:hint="eastAsia"/>
          <w:spacing w:val="6"/>
        </w:rPr>
        <w:t>94</w:t>
      </w:r>
      <w:r>
        <w:rPr>
          <w:rFonts w:hint="eastAsia"/>
          <w:spacing w:val="6"/>
        </w:rPr>
        <w:t>年调查结果，城市婴儿死亡率为每千名活产婴儿死亡</w:t>
      </w:r>
      <w:r>
        <w:rPr>
          <w:rFonts w:hint="eastAsia"/>
          <w:spacing w:val="6"/>
        </w:rPr>
        <w:t>30</w:t>
      </w:r>
      <w:r>
        <w:rPr>
          <w:rFonts w:hint="eastAsia"/>
          <w:spacing w:val="6"/>
        </w:rPr>
        <w:t>名，略高于农村地区的</w:t>
      </w:r>
      <w:r>
        <w:rPr>
          <w:rFonts w:hint="eastAsia"/>
          <w:spacing w:val="6"/>
        </w:rPr>
        <w:t>52</w:t>
      </w:r>
      <w:r>
        <w:rPr>
          <w:spacing w:val="6"/>
        </w:rPr>
        <w:t>‰</w:t>
      </w:r>
      <w:r>
        <w:rPr>
          <w:rFonts w:hint="eastAsia"/>
          <w:spacing w:val="6"/>
        </w:rPr>
        <w:t>这一死亡率。城市地区的婴儿死亡还是集中于新生儿死亡，占婴儿死亡的</w:t>
      </w:r>
      <w:r>
        <w:rPr>
          <w:rFonts w:hint="eastAsia"/>
          <w:spacing w:val="6"/>
        </w:rPr>
        <w:t>60%</w:t>
      </w:r>
      <w:r>
        <w:rPr>
          <w:rFonts w:hint="eastAsia"/>
          <w:spacing w:val="6"/>
        </w:rPr>
        <w:t>，而农村地区为</w:t>
      </w:r>
      <w:r>
        <w:rPr>
          <w:rFonts w:hint="eastAsia"/>
          <w:spacing w:val="6"/>
        </w:rPr>
        <w:t>54%</w:t>
      </w:r>
      <w:r>
        <w:rPr>
          <w:rFonts w:hint="eastAsia"/>
          <w:spacing w:val="6"/>
        </w:rPr>
        <w:t>，真实地反映了这两个不同地区和周边的条件。</w:t>
      </w:r>
      <w:r>
        <w:rPr>
          <w:rFonts w:hint="eastAsia"/>
          <w:b/>
          <w:spacing w:val="6"/>
          <w:vertAlign w:val="superscript"/>
        </w:rPr>
        <w:t>56</w:t>
      </w:r>
      <w:r>
        <w:rPr>
          <w:rFonts w:hint="eastAsia"/>
          <w:spacing w:val="6"/>
        </w:rPr>
        <w:t xml:space="preserve"> </w:t>
      </w:r>
    </w:p>
    <w:p w:rsidR="00000000" w:rsidRDefault="00000000">
      <w:pPr>
        <w:pStyle w:val="Heading3"/>
        <w:rPr>
          <w:rFonts w:hint="eastAsia"/>
        </w:rPr>
      </w:pPr>
      <w:r>
        <w:rPr>
          <w:rFonts w:hint="eastAsia"/>
        </w:rPr>
        <w:t>婴儿和儿童死亡率</w:t>
      </w:r>
      <w:r>
        <w:rPr>
          <w:rFonts w:hint="eastAsia"/>
        </w:rPr>
        <w:t>(1989</w:t>
      </w:r>
      <w:r>
        <w:rPr>
          <w:rFonts w:hint="eastAsia"/>
        </w:rPr>
        <w:t>年至</w:t>
      </w:r>
      <w:r>
        <w:rPr>
          <w:rFonts w:hint="eastAsia"/>
        </w:rPr>
        <w:t>1994</w:t>
      </w:r>
      <w:r>
        <w:rPr>
          <w:rFonts w:hint="eastAsia"/>
        </w:rPr>
        <w:t>年调查</w:t>
      </w:r>
      <w:r>
        <w:rPr>
          <w:rFonts w:hint="eastAsi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355"/>
        <w:gridCol w:w="1356"/>
        <w:gridCol w:w="1867"/>
        <w:gridCol w:w="1865"/>
        <w:gridCol w:w="1865"/>
      </w:tblGrid>
      <w:tr w:rsidR="00000000">
        <w:tblPrEx>
          <w:tblCellMar>
            <w:top w:w="0" w:type="dxa"/>
            <w:bottom w:w="0" w:type="dxa"/>
          </w:tblCellMar>
        </w:tblPrEx>
        <w:trPr>
          <w:cantSplit/>
          <w:jc w:val="center"/>
        </w:trPr>
        <w:tc>
          <w:tcPr>
            <w:tcW w:w="625" w:type="pct"/>
            <w:vMerge w:val="restart"/>
            <w:vAlign w:val="center"/>
          </w:tcPr>
          <w:p w:rsidR="00000000" w:rsidRDefault="00000000">
            <w:pPr>
              <w:pStyle w:val="a2"/>
            </w:pPr>
          </w:p>
        </w:tc>
        <w:tc>
          <w:tcPr>
            <w:tcW w:w="2411" w:type="pct"/>
            <w:gridSpan w:val="3"/>
            <w:vAlign w:val="center"/>
          </w:tcPr>
          <w:p w:rsidR="00000000" w:rsidRDefault="00000000">
            <w:pPr>
              <w:pStyle w:val="a2"/>
              <w:jc w:val="center"/>
              <w:rPr>
                <w:rFonts w:hint="eastAsia"/>
              </w:rPr>
            </w:pPr>
            <w:r>
              <w:rPr>
                <w:rFonts w:hint="eastAsia"/>
              </w:rPr>
              <w:t>婴</w:t>
            </w:r>
            <w:r>
              <w:rPr>
                <w:rFonts w:hint="eastAsia"/>
              </w:rPr>
              <w:t xml:space="preserve">  </w:t>
            </w:r>
            <w:r>
              <w:rPr>
                <w:rFonts w:hint="eastAsia"/>
              </w:rPr>
              <w:t>儿</w:t>
            </w:r>
          </w:p>
        </w:tc>
        <w:tc>
          <w:tcPr>
            <w:tcW w:w="982" w:type="pct"/>
            <w:vMerge w:val="restart"/>
            <w:vAlign w:val="center"/>
          </w:tcPr>
          <w:p w:rsidR="00000000" w:rsidRDefault="00000000">
            <w:pPr>
              <w:pStyle w:val="a2"/>
              <w:jc w:val="center"/>
              <w:rPr>
                <w:rFonts w:hint="eastAsia"/>
              </w:rPr>
            </w:pPr>
            <w:r>
              <w:rPr>
                <w:rFonts w:hint="eastAsia"/>
              </w:rPr>
              <w:t>儿</w:t>
            </w:r>
            <w:r>
              <w:rPr>
                <w:rFonts w:hint="eastAsia"/>
              </w:rPr>
              <w:t xml:space="preserve">  </w:t>
            </w:r>
            <w:r>
              <w:rPr>
                <w:rFonts w:hint="eastAsia"/>
              </w:rPr>
              <w:t>童</w:t>
            </w:r>
            <w:r>
              <w:br/>
            </w:r>
            <w:r>
              <w:rPr>
                <w:rFonts w:hint="eastAsia"/>
              </w:rPr>
              <w:t>(1</w:t>
            </w:r>
            <w:r>
              <w:rPr>
                <w:rFonts w:hint="eastAsia"/>
              </w:rPr>
              <w:t>至</w:t>
            </w:r>
            <w:r>
              <w:rPr>
                <w:rFonts w:hint="eastAsia"/>
              </w:rPr>
              <w:t>4</w:t>
            </w:r>
            <w:r>
              <w:rPr>
                <w:rFonts w:hint="eastAsia"/>
              </w:rPr>
              <w:t>岁</w:t>
            </w:r>
            <w:r>
              <w:rPr>
                <w:rFonts w:hint="eastAsia"/>
              </w:rPr>
              <w:t>)</w:t>
            </w:r>
          </w:p>
        </w:tc>
        <w:tc>
          <w:tcPr>
            <w:tcW w:w="982" w:type="pct"/>
            <w:vMerge w:val="restart"/>
            <w:vAlign w:val="center"/>
          </w:tcPr>
          <w:p w:rsidR="00000000" w:rsidRDefault="00000000">
            <w:pPr>
              <w:pStyle w:val="a2"/>
              <w:jc w:val="center"/>
              <w:rPr>
                <w:rFonts w:hint="eastAsia"/>
              </w:rPr>
            </w:pPr>
            <w:r>
              <w:rPr>
                <w:rFonts w:hint="eastAsia"/>
              </w:rPr>
              <w:t>共</w:t>
            </w:r>
            <w:r>
              <w:rPr>
                <w:rFonts w:hint="eastAsia"/>
              </w:rPr>
              <w:t xml:space="preserve">  </w:t>
            </w:r>
            <w:r>
              <w:rPr>
                <w:rFonts w:hint="eastAsia"/>
              </w:rPr>
              <w:t>计</w:t>
            </w:r>
            <w:r>
              <w:br/>
            </w:r>
            <w:r>
              <w:rPr>
                <w:rFonts w:hint="eastAsia"/>
              </w:rPr>
              <w:t>(0</w:t>
            </w:r>
            <w:r>
              <w:rPr>
                <w:rFonts w:hint="eastAsia"/>
              </w:rPr>
              <w:t>至</w:t>
            </w:r>
            <w:r>
              <w:rPr>
                <w:rFonts w:hint="eastAsia"/>
              </w:rPr>
              <w:t>4</w:t>
            </w:r>
            <w:r>
              <w:rPr>
                <w:rFonts w:hint="eastAsia"/>
              </w:rPr>
              <w:t>岁</w:t>
            </w:r>
            <w:r>
              <w:rPr>
                <w:rFonts w:hint="eastAsia"/>
              </w:rPr>
              <w:t>)</w:t>
            </w:r>
          </w:p>
        </w:tc>
      </w:tr>
      <w:tr w:rsidR="00000000">
        <w:tblPrEx>
          <w:tblCellMar>
            <w:top w:w="0" w:type="dxa"/>
            <w:bottom w:w="0" w:type="dxa"/>
          </w:tblCellMar>
        </w:tblPrEx>
        <w:trPr>
          <w:cantSplit/>
          <w:jc w:val="center"/>
        </w:trPr>
        <w:tc>
          <w:tcPr>
            <w:tcW w:w="625" w:type="pct"/>
            <w:vMerge/>
            <w:tcBorders>
              <w:bottom w:val="single" w:sz="4" w:space="0" w:color="auto"/>
            </w:tcBorders>
          </w:tcPr>
          <w:p w:rsidR="00000000" w:rsidRDefault="00000000">
            <w:pPr>
              <w:pStyle w:val="a2"/>
            </w:pPr>
          </w:p>
        </w:tc>
        <w:tc>
          <w:tcPr>
            <w:tcW w:w="714" w:type="pct"/>
            <w:tcBorders>
              <w:bottom w:val="single" w:sz="4" w:space="0" w:color="auto"/>
            </w:tcBorders>
            <w:vAlign w:val="center"/>
          </w:tcPr>
          <w:p w:rsidR="00000000" w:rsidRDefault="00000000">
            <w:pPr>
              <w:pStyle w:val="a2"/>
              <w:jc w:val="center"/>
              <w:rPr>
                <w:rFonts w:hint="eastAsia"/>
              </w:rPr>
            </w:pPr>
            <w:r>
              <w:rPr>
                <w:rFonts w:hint="eastAsia"/>
              </w:rPr>
              <w:t>合</w:t>
            </w:r>
            <w:r>
              <w:rPr>
                <w:rFonts w:hint="eastAsia"/>
              </w:rPr>
              <w:t xml:space="preserve">  </w:t>
            </w:r>
            <w:r>
              <w:rPr>
                <w:rFonts w:hint="eastAsia"/>
              </w:rPr>
              <w:t>计</w:t>
            </w:r>
          </w:p>
        </w:tc>
        <w:tc>
          <w:tcPr>
            <w:tcW w:w="714" w:type="pct"/>
            <w:tcBorders>
              <w:bottom w:val="single" w:sz="4" w:space="0" w:color="auto"/>
            </w:tcBorders>
            <w:vAlign w:val="center"/>
          </w:tcPr>
          <w:p w:rsidR="00000000" w:rsidRDefault="00000000">
            <w:pPr>
              <w:pStyle w:val="a2"/>
              <w:jc w:val="center"/>
              <w:rPr>
                <w:rFonts w:hint="eastAsia"/>
              </w:rPr>
            </w:pPr>
            <w:r>
              <w:rPr>
                <w:rFonts w:hint="eastAsia"/>
              </w:rPr>
              <w:t>新生儿</w:t>
            </w:r>
          </w:p>
        </w:tc>
        <w:tc>
          <w:tcPr>
            <w:tcW w:w="983" w:type="pct"/>
            <w:tcBorders>
              <w:bottom w:val="single" w:sz="4" w:space="0" w:color="auto"/>
            </w:tcBorders>
            <w:vAlign w:val="center"/>
          </w:tcPr>
          <w:p w:rsidR="00000000" w:rsidRDefault="00000000">
            <w:pPr>
              <w:pStyle w:val="a2"/>
              <w:jc w:val="center"/>
              <w:rPr>
                <w:rFonts w:hint="eastAsia"/>
              </w:rPr>
            </w:pPr>
            <w:r>
              <w:rPr>
                <w:rFonts w:hint="eastAsia"/>
              </w:rPr>
              <w:t>新生儿后期</w:t>
            </w:r>
          </w:p>
        </w:tc>
        <w:tc>
          <w:tcPr>
            <w:tcW w:w="982" w:type="pct"/>
            <w:vMerge/>
            <w:tcBorders>
              <w:bottom w:val="single" w:sz="4" w:space="0" w:color="auto"/>
            </w:tcBorders>
          </w:tcPr>
          <w:p w:rsidR="00000000" w:rsidRDefault="00000000">
            <w:pPr>
              <w:pStyle w:val="a2"/>
            </w:pPr>
          </w:p>
        </w:tc>
        <w:tc>
          <w:tcPr>
            <w:tcW w:w="982" w:type="pct"/>
            <w:vMerge/>
            <w:tcBorders>
              <w:bottom w:val="single" w:sz="4" w:space="0" w:color="auto"/>
            </w:tcBorders>
          </w:tcPr>
          <w:p w:rsidR="00000000" w:rsidRDefault="00000000">
            <w:pPr>
              <w:pStyle w:val="a2"/>
            </w:pPr>
          </w:p>
        </w:tc>
      </w:tr>
      <w:tr w:rsidR="00000000">
        <w:tblPrEx>
          <w:tblCellMar>
            <w:top w:w="0" w:type="dxa"/>
            <w:bottom w:w="0" w:type="dxa"/>
          </w:tblCellMar>
        </w:tblPrEx>
        <w:trPr>
          <w:jc w:val="center"/>
        </w:trPr>
        <w:tc>
          <w:tcPr>
            <w:tcW w:w="625" w:type="pct"/>
            <w:tcBorders>
              <w:bottom w:val="nil"/>
            </w:tcBorders>
          </w:tcPr>
          <w:p w:rsidR="00000000" w:rsidRDefault="00000000">
            <w:pPr>
              <w:pStyle w:val="a2"/>
              <w:rPr>
                <w:rFonts w:hint="eastAsia"/>
              </w:rPr>
            </w:pPr>
            <w:r>
              <w:rPr>
                <w:rFonts w:hint="eastAsia"/>
              </w:rPr>
              <w:t>共计</w:t>
            </w:r>
          </w:p>
        </w:tc>
        <w:tc>
          <w:tcPr>
            <w:tcW w:w="714" w:type="pct"/>
            <w:tcBorders>
              <w:bottom w:val="nil"/>
            </w:tcBorders>
          </w:tcPr>
          <w:p w:rsidR="00000000" w:rsidRDefault="00000000">
            <w:pPr>
              <w:pStyle w:val="a2"/>
              <w:tabs>
                <w:tab w:val="decimal" w:pos="179"/>
              </w:tabs>
              <w:jc w:val="center"/>
            </w:pPr>
            <w:r>
              <w:t>40</w:t>
            </w:r>
          </w:p>
        </w:tc>
        <w:tc>
          <w:tcPr>
            <w:tcW w:w="714" w:type="pct"/>
            <w:tcBorders>
              <w:bottom w:val="nil"/>
            </w:tcBorders>
          </w:tcPr>
          <w:p w:rsidR="00000000" w:rsidRDefault="00000000">
            <w:pPr>
              <w:pStyle w:val="a2"/>
              <w:tabs>
                <w:tab w:val="decimal" w:pos="179"/>
              </w:tabs>
              <w:jc w:val="center"/>
            </w:pPr>
            <w:r>
              <w:t>22</w:t>
            </w:r>
          </w:p>
        </w:tc>
        <w:tc>
          <w:tcPr>
            <w:tcW w:w="983" w:type="pct"/>
            <w:tcBorders>
              <w:bottom w:val="nil"/>
            </w:tcBorders>
          </w:tcPr>
          <w:p w:rsidR="00000000" w:rsidRDefault="00000000">
            <w:pPr>
              <w:pStyle w:val="a2"/>
              <w:tabs>
                <w:tab w:val="decimal" w:pos="179"/>
              </w:tabs>
              <w:jc w:val="center"/>
            </w:pPr>
            <w:r>
              <w:t>18</w:t>
            </w:r>
          </w:p>
        </w:tc>
        <w:tc>
          <w:tcPr>
            <w:tcW w:w="982" w:type="pct"/>
            <w:tcBorders>
              <w:bottom w:val="nil"/>
            </w:tcBorders>
          </w:tcPr>
          <w:p w:rsidR="00000000" w:rsidRDefault="00000000">
            <w:pPr>
              <w:pStyle w:val="a2"/>
              <w:tabs>
                <w:tab w:val="decimal" w:pos="179"/>
              </w:tabs>
              <w:jc w:val="center"/>
            </w:pPr>
            <w:r>
              <w:t>12</w:t>
            </w:r>
          </w:p>
        </w:tc>
        <w:tc>
          <w:tcPr>
            <w:tcW w:w="982" w:type="pct"/>
            <w:tcBorders>
              <w:bottom w:val="nil"/>
            </w:tcBorders>
          </w:tcPr>
          <w:p w:rsidR="00000000" w:rsidRDefault="00000000">
            <w:pPr>
              <w:pStyle w:val="a2"/>
              <w:tabs>
                <w:tab w:val="decimal" w:pos="179"/>
              </w:tabs>
              <w:jc w:val="center"/>
            </w:pPr>
            <w:r>
              <w:t>51</w:t>
            </w:r>
          </w:p>
        </w:tc>
      </w:tr>
      <w:tr w:rsidR="00000000">
        <w:tblPrEx>
          <w:tblCellMar>
            <w:top w:w="0" w:type="dxa"/>
            <w:bottom w:w="0" w:type="dxa"/>
          </w:tblCellMar>
        </w:tblPrEx>
        <w:trPr>
          <w:jc w:val="center"/>
        </w:trPr>
        <w:tc>
          <w:tcPr>
            <w:tcW w:w="625" w:type="pct"/>
            <w:tcBorders>
              <w:top w:val="nil"/>
              <w:bottom w:val="nil"/>
            </w:tcBorders>
          </w:tcPr>
          <w:p w:rsidR="00000000" w:rsidRDefault="00000000">
            <w:pPr>
              <w:pStyle w:val="a2"/>
              <w:rPr>
                <w:rFonts w:hint="eastAsia"/>
              </w:rPr>
            </w:pPr>
            <w:r>
              <w:rPr>
                <w:rFonts w:hint="eastAsia"/>
              </w:rPr>
              <w:t>城市</w:t>
            </w:r>
          </w:p>
        </w:tc>
        <w:tc>
          <w:tcPr>
            <w:tcW w:w="714" w:type="pct"/>
            <w:tcBorders>
              <w:top w:val="nil"/>
              <w:bottom w:val="nil"/>
            </w:tcBorders>
          </w:tcPr>
          <w:p w:rsidR="00000000" w:rsidRDefault="00000000">
            <w:pPr>
              <w:pStyle w:val="a2"/>
              <w:tabs>
                <w:tab w:val="decimal" w:pos="179"/>
              </w:tabs>
              <w:jc w:val="center"/>
            </w:pPr>
            <w:r>
              <w:t>30</w:t>
            </w:r>
          </w:p>
        </w:tc>
        <w:tc>
          <w:tcPr>
            <w:tcW w:w="714" w:type="pct"/>
            <w:tcBorders>
              <w:top w:val="nil"/>
              <w:bottom w:val="nil"/>
            </w:tcBorders>
          </w:tcPr>
          <w:p w:rsidR="00000000" w:rsidRDefault="00000000">
            <w:pPr>
              <w:pStyle w:val="a2"/>
              <w:tabs>
                <w:tab w:val="decimal" w:pos="179"/>
              </w:tabs>
              <w:jc w:val="center"/>
            </w:pPr>
            <w:r>
              <w:t>18</w:t>
            </w:r>
          </w:p>
        </w:tc>
        <w:tc>
          <w:tcPr>
            <w:tcW w:w="983" w:type="pct"/>
            <w:tcBorders>
              <w:top w:val="nil"/>
              <w:bottom w:val="nil"/>
            </w:tcBorders>
          </w:tcPr>
          <w:p w:rsidR="00000000" w:rsidRDefault="00000000">
            <w:pPr>
              <w:pStyle w:val="a2"/>
              <w:tabs>
                <w:tab w:val="decimal" w:pos="179"/>
              </w:tabs>
              <w:jc w:val="center"/>
            </w:pPr>
            <w:r>
              <w:t>12</w:t>
            </w:r>
          </w:p>
        </w:tc>
        <w:tc>
          <w:tcPr>
            <w:tcW w:w="982" w:type="pct"/>
            <w:tcBorders>
              <w:top w:val="nil"/>
              <w:bottom w:val="nil"/>
            </w:tcBorders>
          </w:tcPr>
          <w:p w:rsidR="00000000" w:rsidRDefault="00000000">
            <w:pPr>
              <w:pStyle w:val="a2"/>
              <w:tabs>
                <w:tab w:val="decimal" w:pos="179"/>
              </w:tabs>
              <w:jc w:val="center"/>
            </w:pPr>
            <w:r>
              <w:t>7</w:t>
            </w:r>
          </w:p>
        </w:tc>
        <w:tc>
          <w:tcPr>
            <w:tcW w:w="982" w:type="pct"/>
            <w:tcBorders>
              <w:top w:val="nil"/>
              <w:bottom w:val="nil"/>
            </w:tcBorders>
          </w:tcPr>
          <w:p w:rsidR="00000000" w:rsidRDefault="00000000">
            <w:pPr>
              <w:pStyle w:val="a2"/>
              <w:tabs>
                <w:tab w:val="decimal" w:pos="179"/>
              </w:tabs>
              <w:jc w:val="center"/>
            </w:pPr>
            <w:r>
              <w:t>35</w:t>
            </w:r>
          </w:p>
        </w:tc>
      </w:tr>
      <w:tr w:rsidR="00000000">
        <w:tblPrEx>
          <w:tblCellMar>
            <w:top w:w="0" w:type="dxa"/>
            <w:bottom w:w="0" w:type="dxa"/>
          </w:tblCellMar>
        </w:tblPrEx>
        <w:trPr>
          <w:jc w:val="center"/>
        </w:trPr>
        <w:tc>
          <w:tcPr>
            <w:tcW w:w="625" w:type="pct"/>
            <w:tcBorders>
              <w:top w:val="nil"/>
              <w:bottom w:val="single" w:sz="4" w:space="0" w:color="auto"/>
            </w:tcBorders>
          </w:tcPr>
          <w:p w:rsidR="00000000" w:rsidRDefault="00000000">
            <w:pPr>
              <w:pStyle w:val="a2"/>
              <w:rPr>
                <w:rFonts w:hint="eastAsia"/>
              </w:rPr>
            </w:pPr>
            <w:r>
              <w:rPr>
                <w:rFonts w:hint="eastAsia"/>
              </w:rPr>
              <w:t>农村</w:t>
            </w:r>
          </w:p>
        </w:tc>
        <w:tc>
          <w:tcPr>
            <w:tcW w:w="714" w:type="pct"/>
            <w:tcBorders>
              <w:top w:val="nil"/>
              <w:bottom w:val="single" w:sz="4" w:space="0" w:color="auto"/>
            </w:tcBorders>
          </w:tcPr>
          <w:p w:rsidR="00000000" w:rsidRDefault="00000000">
            <w:pPr>
              <w:pStyle w:val="a2"/>
              <w:tabs>
                <w:tab w:val="decimal" w:pos="179"/>
              </w:tabs>
              <w:jc w:val="center"/>
            </w:pPr>
            <w:r>
              <w:t>52</w:t>
            </w:r>
          </w:p>
        </w:tc>
        <w:tc>
          <w:tcPr>
            <w:tcW w:w="714" w:type="pct"/>
            <w:tcBorders>
              <w:top w:val="nil"/>
              <w:bottom w:val="single" w:sz="4" w:space="0" w:color="auto"/>
            </w:tcBorders>
          </w:tcPr>
          <w:p w:rsidR="00000000" w:rsidRDefault="00000000">
            <w:pPr>
              <w:pStyle w:val="a2"/>
              <w:tabs>
                <w:tab w:val="decimal" w:pos="179"/>
              </w:tabs>
              <w:jc w:val="center"/>
            </w:pPr>
            <w:r>
              <w:t>28</w:t>
            </w:r>
          </w:p>
        </w:tc>
        <w:tc>
          <w:tcPr>
            <w:tcW w:w="983" w:type="pct"/>
            <w:tcBorders>
              <w:top w:val="nil"/>
              <w:bottom w:val="single" w:sz="4" w:space="0" w:color="auto"/>
            </w:tcBorders>
          </w:tcPr>
          <w:p w:rsidR="00000000" w:rsidRDefault="00000000">
            <w:pPr>
              <w:pStyle w:val="a2"/>
              <w:tabs>
                <w:tab w:val="decimal" w:pos="179"/>
              </w:tabs>
              <w:jc w:val="center"/>
            </w:pPr>
            <w:r>
              <w:t>24</w:t>
            </w:r>
          </w:p>
        </w:tc>
        <w:tc>
          <w:tcPr>
            <w:tcW w:w="982" w:type="pct"/>
            <w:tcBorders>
              <w:top w:val="nil"/>
              <w:bottom w:val="single" w:sz="4" w:space="0" w:color="auto"/>
            </w:tcBorders>
          </w:tcPr>
          <w:p w:rsidR="00000000" w:rsidRDefault="00000000">
            <w:pPr>
              <w:pStyle w:val="a2"/>
              <w:tabs>
                <w:tab w:val="decimal" w:pos="179"/>
              </w:tabs>
              <w:jc w:val="center"/>
            </w:pPr>
            <w:r>
              <w:t>16</w:t>
            </w:r>
          </w:p>
        </w:tc>
        <w:tc>
          <w:tcPr>
            <w:tcW w:w="982" w:type="pct"/>
            <w:tcBorders>
              <w:top w:val="nil"/>
              <w:bottom w:val="single" w:sz="4" w:space="0" w:color="auto"/>
            </w:tcBorders>
          </w:tcPr>
          <w:p w:rsidR="00000000" w:rsidRDefault="00000000">
            <w:pPr>
              <w:pStyle w:val="a2"/>
              <w:tabs>
                <w:tab w:val="decimal" w:pos="179"/>
              </w:tabs>
              <w:jc w:val="center"/>
            </w:pPr>
            <w:r>
              <w:t>67</w:t>
            </w:r>
          </w:p>
        </w:tc>
      </w:tr>
    </w:tbl>
    <w:p w:rsidR="00000000" w:rsidRDefault="00000000">
      <w:pPr>
        <w:spacing w:before="120"/>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w:t>
      </w:r>
      <w:r>
        <w:rPr>
          <w:rFonts w:eastAsia="KaiTi_GB2312" w:hint="eastAsia"/>
          <w:spacing w:val="0"/>
        </w:rPr>
        <w:t>94</w:t>
      </w:r>
      <w:r>
        <w:rPr>
          <w:rFonts w:eastAsia="KaiTi_GB2312" w:hint="eastAsia"/>
          <w:spacing w:val="0"/>
        </w:rPr>
        <w:t>年调查。</w:t>
      </w:r>
    </w:p>
    <w:p w:rsidR="00000000" w:rsidRDefault="00000000">
      <w:pPr>
        <w:pStyle w:val="Heading3"/>
        <w:spacing w:after="160"/>
        <w:rPr>
          <w:rFonts w:hint="eastAsia"/>
        </w:rPr>
      </w:pPr>
      <w:r>
        <w:br w:type="page"/>
      </w:r>
      <w:r>
        <w:rPr>
          <w:rFonts w:hint="eastAsia"/>
        </w:rPr>
        <w:t>(1994</w:t>
      </w:r>
      <w:r>
        <w:rPr>
          <w:rFonts w:hint="eastAsia"/>
        </w:rPr>
        <w:t>年至</w:t>
      </w:r>
      <w:r>
        <w:rPr>
          <w:rFonts w:hint="eastAsia"/>
        </w:rPr>
        <w:t>1999</w:t>
      </w:r>
      <w:r>
        <w:rPr>
          <w:rFonts w:hint="eastAsia"/>
        </w:rPr>
        <w:t>年调查</w:t>
      </w:r>
      <w:r>
        <w:rPr>
          <w:rFonts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779"/>
        <w:gridCol w:w="780"/>
        <w:gridCol w:w="750"/>
        <w:gridCol w:w="572"/>
        <w:gridCol w:w="178"/>
        <w:gridCol w:w="750"/>
        <w:gridCol w:w="750"/>
        <w:gridCol w:w="720"/>
        <w:gridCol w:w="839"/>
        <w:gridCol w:w="841"/>
        <w:gridCol w:w="665"/>
      </w:tblGrid>
      <w:tr w:rsidR="00000000">
        <w:tblPrEx>
          <w:tblCellMar>
            <w:top w:w="0" w:type="dxa"/>
            <w:bottom w:w="0" w:type="dxa"/>
          </w:tblCellMar>
        </w:tblPrEx>
        <w:trPr>
          <w:cantSplit/>
          <w:tblHeader/>
        </w:trPr>
        <w:tc>
          <w:tcPr>
            <w:tcW w:w="985" w:type="pct"/>
            <w:vMerge w:val="restart"/>
          </w:tcPr>
          <w:p w:rsidR="00000000" w:rsidRDefault="00000000">
            <w:pPr>
              <w:pStyle w:val="a2"/>
              <w:spacing w:line="240" w:lineRule="auto"/>
              <w:rPr>
                <w:rFonts w:hint="eastAsia"/>
              </w:rPr>
            </w:pPr>
          </w:p>
        </w:tc>
        <w:tc>
          <w:tcPr>
            <w:tcW w:w="821" w:type="pct"/>
            <w:gridSpan w:val="2"/>
            <w:vMerge w:val="restart"/>
          </w:tcPr>
          <w:p w:rsidR="00000000" w:rsidRDefault="00000000">
            <w:pPr>
              <w:pStyle w:val="a2"/>
              <w:spacing w:before="240" w:line="240" w:lineRule="auto"/>
              <w:jc w:val="center"/>
              <w:rPr>
                <w:rFonts w:hint="eastAsia"/>
              </w:rPr>
            </w:pPr>
            <w:r>
              <w:rPr>
                <w:rFonts w:hint="eastAsia"/>
              </w:rPr>
              <w:t>合</w:t>
            </w:r>
            <w:r>
              <w:rPr>
                <w:rFonts w:hint="eastAsia"/>
              </w:rPr>
              <w:t xml:space="preserve">  </w:t>
            </w:r>
            <w:r>
              <w:rPr>
                <w:rFonts w:hint="eastAsia"/>
              </w:rPr>
              <w:t>计</w:t>
            </w:r>
          </w:p>
        </w:tc>
        <w:tc>
          <w:tcPr>
            <w:tcW w:w="1580" w:type="pct"/>
            <w:gridSpan w:val="5"/>
          </w:tcPr>
          <w:p w:rsidR="00000000" w:rsidRDefault="00000000">
            <w:pPr>
              <w:pStyle w:val="a2"/>
              <w:spacing w:line="240" w:lineRule="auto"/>
              <w:jc w:val="center"/>
              <w:rPr>
                <w:rFonts w:hint="eastAsia"/>
              </w:rPr>
            </w:pPr>
            <w:r>
              <w:rPr>
                <w:rFonts w:hint="eastAsia"/>
              </w:rPr>
              <w:t>婴</w:t>
            </w:r>
            <w:r>
              <w:rPr>
                <w:rFonts w:hint="eastAsia"/>
              </w:rPr>
              <w:t xml:space="preserve">  </w:t>
            </w:r>
            <w:r>
              <w:rPr>
                <w:rFonts w:hint="eastAsia"/>
              </w:rPr>
              <w:t>儿</w:t>
            </w:r>
          </w:p>
        </w:tc>
        <w:tc>
          <w:tcPr>
            <w:tcW w:w="821" w:type="pct"/>
            <w:gridSpan w:val="2"/>
            <w:vMerge w:val="restart"/>
          </w:tcPr>
          <w:p w:rsidR="00000000" w:rsidRDefault="00000000">
            <w:pPr>
              <w:pStyle w:val="a2"/>
              <w:spacing w:before="180" w:line="240" w:lineRule="auto"/>
              <w:jc w:val="center"/>
              <w:rPr>
                <w:rFonts w:hint="eastAsia"/>
              </w:rPr>
            </w:pPr>
            <w:r>
              <w:rPr>
                <w:rFonts w:hint="eastAsia"/>
              </w:rPr>
              <w:t>儿</w:t>
            </w:r>
            <w:r>
              <w:rPr>
                <w:rFonts w:hint="eastAsia"/>
              </w:rPr>
              <w:t xml:space="preserve">  </w:t>
            </w:r>
            <w:r>
              <w:rPr>
                <w:rFonts w:hint="eastAsia"/>
              </w:rPr>
              <w:t>童</w:t>
            </w:r>
            <w:r>
              <w:br/>
            </w:r>
            <w:r>
              <w:rPr>
                <w:rFonts w:hint="eastAsia"/>
              </w:rPr>
              <w:t>(1</w:t>
            </w:r>
            <w:r>
              <w:rPr>
                <w:rFonts w:hint="eastAsia"/>
              </w:rPr>
              <w:t>至</w:t>
            </w:r>
            <w:r>
              <w:rPr>
                <w:rFonts w:hint="eastAsia"/>
              </w:rPr>
              <w:t>4</w:t>
            </w:r>
            <w:r>
              <w:rPr>
                <w:rFonts w:hint="eastAsia"/>
              </w:rPr>
              <w:t>岁</w:t>
            </w:r>
            <w:r>
              <w:rPr>
                <w:rFonts w:hint="eastAsia"/>
              </w:rPr>
              <w:t>)</w:t>
            </w:r>
          </w:p>
        </w:tc>
        <w:tc>
          <w:tcPr>
            <w:tcW w:w="793" w:type="pct"/>
            <w:gridSpan w:val="2"/>
            <w:vMerge w:val="restart"/>
          </w:tcPr>
          <w:p w:rsidR="00000000" w:rsidRDefault="00000000">
            <w:pPr>
              <w:pStyle w:val="a2"/>
              <w:spacing w:before="180" w:line="240" w:lineRule="auto"/>
              <w:jc w:val="center"/>
              <w:rPr>
                <w:rFonts w:hint="eastAsia"/>
              </w:rPr>
            </w:pPr>
            <w:r>
              <w:rPr>
                <w:rFonts w:hint="eastAsia"/>
              </w:rPr>
              <w:t>共</w:t>
            </w:r>
            <w:r>
              <w:rPr>
                <w:rFonts w:hint="eastAsia"/>
              </w:rPr>
              <w:t xml:space="preserve">  </w:t>
            </w:r>
            <w:r>
              <w:rPr>
                <w:rFonts w:hint="eastAsia"/>
              </w:rPr>
              <w:t>计</w:t>
            </w:r>
            <w:r>
              <w:br/>
            </w:r>
            <w:r>
              <w:rPr>
                <w:rFonts w:hint="eastAsia"/>
              </w:rPr>
              <w:t>(0</w:t>
            </w:r>
            <w:r>
              <w:rPr>
                <w:rFonts w:hint="eastAsia"/>
              </w:rPr>
              <w:t>至</w:t>
            </w:r>
            <w:r>
              <w:rPr>
                <w:rFonts w:hint="eastAsia"/>
              </w:rPr>
              <w:t>4</w:t>
            </w:r>
            <w:r>
              <w:rPr>
                <w:rFonts w:hint="eastAsia"/>
              </w:rPr>
              <w:t>岁</w:t>
            </w:r>
            <w:r>
              <w:rPr>
                <w:rFonts w:hint="eastAsia"/>
              </w:rPr>
              <w:t>)</w:t>
            </w:r>
          </w:p>
        </w:tc>
      </w:tr>
      <w:tr w:rsidR="00000000">
        <w:tblPrEx>
          <w:tblCellMar>
            <w:top w:w="0" w:type="dxa"/>
            <w:bottom w:w="0" w:type="dxa"/>
          </w:tblCellMar>
        </w:tblPrEx>
        <w:trPr>
          <w:cantSplit/>
          <w:tblHeader/>
        </w:trPr>
        <w:tc>
          <w:tcPr>
            <w:tcW w:w="985" w:type="pct"/>
            <w:vMerge/>
          </w:tcPr>
          <w:p w:rsidR="00000000" w:rsidRDefault="00000000">
            <w:pPr>
              <w:pStyle w:val="a2"/>
              <w:spacing w:line="240" w:lineRule="auto"/>
            </w:pPr>
          </w:p>
        </w:tc>
        <w:tc>
          <w:tcPr>
            <w:tcW w:w="821" w:type="pct"/>
            <w:gridSpan w:val="2"/>
            <w:vMerge/>
          </w:tcPr>
          <w:p w:rsidR="00000000" w:rsidRDefault="00000000">
            <w:pPr>
              <w:pStyle w:val="a2"/>
              <w:spacing w:line="240" w:lineRule="auto"/>
              <w:jc w:val="center"/>
            </w:pPr>
          </w:p>
        </w:tc>
        <w:tc>
          <w:tcPr>
            <w:tcW w:w="696" w:type="pct"/>
            <w:gridSpan w:val="2"/>
          </w:tcPr>
          <w:p w:rsidR="00000000" w:rsidRDefault="00000000">
            <w:pPr>
              <w:pStyle w:val="a2"/>
              <w:spacing w:before="120" w:line="240" w:lineRule="auto"/>
              <w:jc w:val="center"/>
              <w:rPr>
                <w:rFonts w:hint="eastAsia"/>
              </w:rPr>
            </w:pPr>
            <w:r>
              <w:rPr>
                <w:rFonts w:hint="eastAsia"/>
              </w:rPr>
              <w:t>新生儿</w:t>
            </w:r>
          </w:p>
        </w:tc>
        <w:tc>
          <w:tcPr>
            <w:tcW w:w="884" w:type="pct"/>
            <w:gridSpan w:val="3"/>
          </w:tcPr>
          <w:p w:rsidR="00000000" w:rsidRDefault="00000000">
            <w:pPr>
              <w:pStyle w:val="a2"/>
              <w:spacing w:before="120" w:line="240" w:lineRule="auto"/>
              <w:jc w:val="center"/>
              <w:rPr>
                <w:rFonts w:hint="eastAsia"/>
              </w:rPr>
            </w:pPr>
            <w:r>
              <w:rPr>
                <w:rFonts w:hint="eastAsia"/>
              </w:rPr>
              <w:t>新生儿后期</w:t>
            </w:r>
          </w:p>
        </w:tc>
        <w:tc>
          <w:tcPr>
            <w:tcW w:w="821" w:type="pct"/>
            <w:gridSpan w:val="2"/>
            <w:vMerge/>
          </w:tcPr>
          <w:p w:rsidR="00000000" w:rsidRDefault="00000000">
            <w:pPr>
              <w:pStyle w:val="a2"/>
              <w:spacing w:line="240" w:lineRule="auto"/>
              <w:jc w:val="center"/>
            </w:pPr>
          </w:p>
        </w:tc>
        <w:tc>
          <w:tcPr>
            <w:tcW w:w="793" w:type="pct"/>
            <w:gridSpan w:val="2"/>
            <w:vMerge/>
          </w:tcPr>
          <w:p w:rsidR="00000000" w:rsidRDefault="00000000">
            <w:pPr>
              <w:pStyle w:val="a2"/>
              <w:spacing w:line="240" w:lineRule="auto"/>
              <w:jc w:val="center"/>
            </w:pPr>
          </w:p>
        </w:tc>
      </w:tr>
      <w:tr w:rsidR="00000000">
        <w:tblPrEx>
          <w:tblCellMar>
            <w:top w:w="0" w:type="dxa"/>
            <w:bottom w:w="0" w:type="dxa"/>
          </w:tblCellMar>
        </w:tblPrEx>
        <w:trPr>
          <w:cantSplit/>
          <w:tblHeader/>
        </w:trPr>
        <w:tc>
          <w:tcPr>
            <w:tcW w:w="985" w:type="pct"/>
            <w:vMerge/>
            <w:tcBorders>
              <w:bottom w:val="single" w:sz="4" w:space="0" w:color="auto"/>
            </w:tcBorders>
          </w:tcPr>
          <w:p w:rsidR="00000000" w:rsidRDefault="00000000">
            <w:pPr>
              <w:pStyle w:val="a2"/>
              <w:spacing w:line="240" w:lineRule="auto"/>
            </w:pPr>
          </w:p>
        </w:tc>
        <w:tc>
          <w:tcPr>
            <w:tcW w:w="410" w:type="pct"/>
            <w:tcBorders>
              <w:bottom w:val="single" w:sz="4" w:space="0" w:color="auto"/>
            </w:tcBorders>
            <w:vAlign w:val="center"/>
          </w:tcPr>
          <w:p w:rsidR="00000000" w:rsidRDefault="00000000">
            <w:pPr>
              <w:pStyle w:val="a2"/>
              <w:spacing w:line="240" w:lineRule="auto"/>
              <w:jc w:val="center"/>
            </w:pPr>
            <w:r>
              <w:t>1994</w:t>
            </w:r>
          </w:p>
        </w:tc>
        <w:tc>
          <w:tcPr>
            <w:tcW w:w="411" w:type="pct"/>
            <w:tcBorders>
              <w:bottom w:val="single" w:sz="4" w:space="0" w:color="auto"/>
            </w:tcBorders>
            <w:vAlign w:val="center"/>
          </w:tcPr>
          <w:p w:rsidR="00000000" w:rsidRDefault="00000000">
            <w:pPr>
              <w:pStyle w:val="a2"/>
              <w:spacing w:line="240" w:lineRule="auto"/>
              <w:jc w:val="center"/>
            </w:pPr>
            <w:r>
              <w:t>1999</w:t>
            </w:r>
          </w:p>
        </w:tc>
        <w:tc>
          <w:tcPr>
            <w:tcW w:w="395" w:type="pct"/>
            <w:tcBorders>
              <w:bottom w:val="single" w:sz="4" w:space="0" w:color="auto"/>
            </w:tcBorders>
            <w:vAlign w:val="center"/>
          </w:tcPr>
          <w:p w:rsidR="00000000" w:rsidRDefault="00000000">
            <w:pPr>
              <w:pStyle w:val="a2"/>
              <w:spacing w:line="240" w:lineRule="auto"/>
              <w:jc w:val="center"/>
            </w:pPr>
            <w:r>
              <w:t>1994</w:t>
            </w:r>
          </w:p>
        </w:tc>
        <w:tc>
          <w:tcPr>
            <w:tcW w:w="395" w:type="pct"/>
            <w:gridSpan w:val="2"/>
            <w:tcBorders>
              <w:bottom w:val="single" w:sz="4" w:space="0" w:color="auto"/>
            </w:tcBorders>
            <w:vAlign w:val="center"/>
          </w:tcPr>
          <w:p w:rsidR="00000000" w:rsidRDefault="00000000">
            <w:pPr>
              <w:pStyle w:val="a2"/>
              <w:spacing w:line="240" w:lineRule="auto"/>
              <w:jc w:val="center"/>
            </w:pPr>
            <w:r>
              <w:t>1999</w:t>
            </w:r>
          </w:p>
        </w:tc>
        <w:tc>
          <w:tcPr>
            <w:tcW w:w="395" w:type="pct"/>
            <w:tcBorders>
              <w:bottom w:val="single" w:sz="4" w:space="0" w:color="auto"/>
            </w:tcBorders>
            <w:vAlign w:val="center"/>
          </w:tcPr>
          <w:p w:rsidR="00000000" w:rsidRDefault="00000000">
            <w:pPr>
              <w:pStyle w:val="a2"/>
              <w:spacing w:line="240" w:lineRule="auto"/>
              <w:jc w:val="center"/>
            </w:pPr>
            <w:r>
              <w:t>1994</w:t>
            </w:r>
          </w:p>
        </w:tc>
        <w:tc>
          <w:tcPr>
            <w:tcW w:w="395" w:type="pct"/>
            <w:tcBorders>
              <w:bottom w:val="single" w:sz="4" w:space="0" w:color="auto"/>
            </w:tcBorders>
            <w:vAlign w:val="center"/>
          </w:tcPr>
          <w:p w:rsidR="00000000" w:rsidRDefault="00000000">
            <w:pPr>
              <w:pStyle w:val="a2"/>
              <w:spacing w:line="240" w:lineRule="auto"/>
              <w:jc w:val="center"/>
            </w:pPr>
            <w:r>
              <w:t>1999</w:t>
            </w:r>
          </w:p>
        </w:tc>
        <w:tc>
          <w:tcPr>
            <w:tcW w:w="379" w:type="pct"/>
            <w:tcBorders>
              <w:bottom w:val="single" w:sz="4" w:space="0" w:color="auto"/>
            </w:tcBorders>
            <w:vAlign w:val="center"/>
          </w:tcPr>
          <w:p w:rsidR="00000000" w:rsidRDefault="00000000">
            <w:pPr>
              <w:pStyle w:val="a2"/>
              <w:spacing w:line="240" w:lineRule="auto"/>
              <w:jc w:val="center"/>
            </w:pPr>
            <w:r>
              <w:t>1994</w:t>
            </w:r>
          </w:p>
        </w:tc>
        <w:tc>
          <w:tcPr>
            <w:tcW w:w="442" w:type="pct"/>
            <w:tcBorders>
              <w:bottom w:val="single" w:sz="4" w:space="0" w:color="auto"/>
            </w:tcBorders>
            <w:vAlign w:val="center"/>
          </w:tcPr>
          <w:p w:rsidR="00000000" w:rsidRDefault="00000000">
            <w:pPr>
              <w:pStyle w:val="a2"/>
              <w:spacing w:line="240" w:lineRule="auto"/>
              <w:jc w:val="center"/>
            </w:pPr>
            <w:r>
              <w:t>1999</w:t>
            </w:r>
          </w:p>
        </w:tc>
        <w:tc>
          <w:tcPr>
            <w:tcW w:w="443" w:type="pct"/>
            <w:tcBorders>
              <w:bottom w:val="single" w:sz="4" w:space="0" w:color="auto"/>
            </w:tcBorders>
            <w:vAlign w:val="center"/>
          </w:tcPr>
          <w:p w:rsidR="00000000" w:rsidRDefault="00000000">
            <w:pPr>
              <w:pStyle w:val="a2"/>
              <w:spacing w:line="240" w:lineRule="auto"/>
              <w:jc w:val="center"/>
            </w:pPr>
            <w:r>
              <w:t>1994</w:t>
            </w:r>
          </w:p>
        </w:tc>
        <w:tc>
          <w:tcPr>
            <w:tcW w:w="350" w:type="pct"/>
            <w:tcBorders>
              <w:bottom w:val="single" w:sz="4" w:space="0" w:color="auto"/>
            </w:tcBorders>
            <w:vAlign w:val="center"/>
          </w:tcPr>
          <w:p w:rsidR="00000000" w:rsidRDefault="00000000">
            <w:pPr>
              <w:pStyle w:val="a2"/>
              <w:spacing w:line="240" w:lineRule="auto"/>
              <w:jc w:val="center"/>
            </w:pPr>
            <w:r>
              <w:t>1999</w:t>
            </w:r>
          </w:p>
        </w:tc>
      </w:tr>
      <w:tr w:rsidR="00000000">
        <w:tblPrEx>
          <w:tblCellMar>
            <w:top w:w="0" w:type="dxa"/>
            <w:bottom w:w="0" w:type="dxa"/>
          </w:tblCellMar>
        </w:tblPrEx>
        <w:tc>
          <w:tcPr>
            <w:tcW w:w="985" w:type="pct"/>
            <w:tcBorders>
              <w:bottom w:val="nil"/>
            </w:tcBorders>
          </w:tcPr>
          <w:p w:rsidR="00000000" w:rsidRDefault="00000000">
            <w:pPr>
              <w:pStyle w:val="a2"/>
              <w:spacing w:line="240" w:lineRule="auto"/>
              <w:rPr>
                <w:rFonts w:hint="eastAsia"/>
              </w:rPr>
            </w:pPr>
            <w:r>
              <w:rPr>
                <w:rFonts w:hint="eastAsia"/>
              </w:rPr>
              <w:t>共计</w:t>
            </w:r>
          </w:p>
        </w:tc>
        <w:tc>
          <w:tcPr>
            <w:tcW w:w="410" w:type="pct"/>
            <w:tcBorders>
              <w:bottom w:val="nil"/>
            </w:tcBorders>
          </w:tcPr>
          <w:p w:rsidR="00000000" w:rsidRDefault="00000000">
            <w:pPr>
              <w:pStyle w:val="a2"/>
              <w:tabs>
                <w:tab w:val="decimal" w:pos="335"/>
              </w:tabs>
              <w:spacing w:line="240" w:lineRule="auto"/>
            </w:pPr>
            <w:r>
              <w:t>40</w:t>
            </w:r>
          </w:p>
        </w:tc>
        <w:tc>
          <w:tcPr>
            <w:tcW w:w="411" w:type="pct"/>
            <w:tcBorders>
              <w:bottom w:val="nil"/>
            </w:tcBorders>
          </w:tcPr>
          <w:p w:rsidR="00000000" w:rsidRDefault="00000000">
            <w:pPr>
              <w:pStyle w:val="a2"/>
              <w:tabs>
                <w:tab w:val="decimal" w:pos="335"/>
              </w:tabs>
              <w:spacing w:line="240" w:lineRule="auto"/>
            </w:pPr>
            <w:r>
              <w:t>30</w:t>
            </w:r>
          </w:p>
        </w:tc>
        <w:tc>
          <w:tcPr>
            <w:tcW w:w="395" w:type="pct"/>
            <w:tcBorders>
              <w:bottom w:val="nil"/>
            </w:tcBorders>
          </w:tcPr>
          <w:p w:rsidR="00000000" w:rsidRDefault="00000000">
            <w:pPr>
              <w:pStyle w:val="a2"/>
              <w:tabs>
                <w:tab w:val="decimal" w:pos="335"/>
              </w:tabs>
              <w:spacing w:line="240" w:lineRule="auto"/>
            </w:pPr>
            <w:r>
              <w:t>22</w:t>
            </w:r>
          </w:p>
        </w:tc>
        <w:tc>
          <w:tcPr>
            <w:tcW w:w="395" w:type="pct"/>
            <w:gridSpan w:val="2"/>
            <w:tcBorders>
              <w:bottom w:val="nil"/>
            </w:tcBorders>
          </w:tcPr>
          <w:p w:rsidR="00000000" w:rsidRDefault="00000000">
            <w:pPr>
              <w:pStyle w:val="a2"/>
              <w:tabs>
                <w:tab w:val="decimal" w:pos="335"/>
              </w:tabs>
              <w:spacing w:line="240" w:lineRule="auto"/>
            </w:pPr>
            <w:r>
              <w:t>19</w:t>
            </w:r>
          </w:p>
        </w:tc>
        <w:tc>
          <w:tcPr>
            <w:tcW w:w="395" w:type="pct"/>
            <w:tcBorders>
              <w:bottom w:val="nil"/>
            </w:tcBorders>
          </w:tcPr>
          <w:p w:rsidR="00000000" w:rsidRDefault="00000000">
            <w:pPr>
              <w:pStyle w:val="a2"/>
              <w:tabs>
                <w:tab w:val="decimal" w:pos="335"/>
              </w:tabs>
              <w:spacing w:line="240" w:lineRule="auto"/>
            </w:pPr>
            <w:r>
              <w:t>18</w:t>
            </w:r>
          </w:p>
        </w:tc>
        <w:tc>
          <w:tcPr>
            <w:tcW w:w="395" w:type="pct"/>
            <w:tcBorders>
              <w:bottom w:val="nil"/>
            </w:tcBorders>
          </w:tcPr>
          <w:p w:rsidR="00000000" w:rsidRDefault="00000000">
            <w:pPr>
              <w:pStyle w:val="a2"/>
              <w:tabs>
                <w:tab w:val="decimal" w:pos="335"/>
              </w:tabs>
              <w:spacing w:line="240" w:lineRule="auto"/>
            </w:pPr>
            <w:r>
              <w:t>11</w:t>
            </w:r>
          </w:p>
        </w:tc>
        <w:tc>
          <w:tcPr>
            <w:tcW w:w="379" w:type="pct"/>
            <w:tcBorders>
              <w:bottom w:val="nil"/>
            </w:tcBorders>
          </w:tcPr>
          <w:p w:rsidR="00000000" w:rsidRDefault="00000000">
            <w:pPr>
              <w:pStyle w:val="a2"/>
              <w:tabs>
                <w:tab w:val="decimal" w:pos="335"/>
              </w:tabs>
              <w:spacing w:line="240" w:lineRule="auto"/>
            </w:pPr>
            <w:r>
              <w:t>12</w:t>
            </w:r>
          </w:p>
        </w:tc>
        <w:tc>
          <w:tcPr>
            <w:tcW w:w="442" w:type="pct"/>
            <w:tcBorders>
              <w:bottom w:val="nil"/>
            </w:tcBorders>
          </w:tcPr>
          <w:p w:rsidR="00000000" w:rsidRDefault="00000000">
            <w:pPr>
              <w:pStyle w:val="a2"/>
              <w:tabs>
                <w:tab w:val="decimal" w:pos="335"/>
              </w:tabs>
              <w:spacing w:line="240" w:lineRule="auto"/>
            </w:pPr>
            <w:r>
              <w:t>9</w:t>
            </w:r>
          </w:p>
        </w:tc>
        <w:tc>
          <w:tcPr>
            <w:tcW w:w="443" w:type="pct"/>
            <w:tcBorders>
              <w:bottom w:val="nil"/>
            </w:tcBorders>
          </w:tcPr>
          <w:p w:rsidR="00000000" w:rsidRDefault="00000000">
            <w:pPr>
              <w:pStyle w:val="a2"/>
              <w:tabs>
                <w:tab w:val="decimal" w:pos="335"/>
              </w:tabs>
              <w:spacing w:line="240" w:lineRule="auto"/>
            </w:pPr>
            <w:r>
              <w:t>51</w:t>
            </w:r>
          </w:p>
        </w:tc>
        <w:tc>
          <w:tcPr>
            <w:tcW w:w="350" w:type="pct"/>
            <w:tcBorders>
              <w:bottom w:val="nil"/>
            </w:tcBorders>
          </w:tcPr>
          <w:p w:rsidR="00000000" w:rsidRDefault="00000000">
            <w:pPr>
              <w:pStyle w:val="a2"/>
              <w:tabs>
                <w:tab w:val="decimal" w:pos="335"/>
              </w:tabs>
              <w:spacing w:line="240" w:lineRule="auto"/>
            </w:pPr>
            <w:r>
              <w:t>37</w:t>
            </w: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rPr>
                <w:rFonts w:hint="eastAsia"/>
              </w:rPr>
            </w:pPr>
            <w:r>
              <w:rPr>
                <w:rFonts w:hint="eastAsia"/>
              </w:rPr>
              <w:t>地区</w:t>
            </w:r>
          </w:p>
        </w:tc>
        <w:tc>
          <w:tcPr>
            <w:tcW w:w="410" w:type="pct"/>
            <w:tcBorders>
              <w:top w:val="nil"/>
              <w:bottom w:val="nil"/>
            </w:tcBorders>
          </w:tcPr>
          <w:p w:rsidR="00000000" w:rsidRDefault="00000000">
            <w:pPr>
              <w:pStyle w:val="a2"/>
              <w:tabs>
                <w:tab w:val="decimal" w:pos="335"/>
              </w:tabs>
              <w:spacing w:line="240" w:lineRule="auto"/>
            </w:pPr>
          </w:p>
        </w:tc>
        <w:tc>
          <w:tcPr>
            <w:tcW w:w="411" w:type="pct"/>
            <w:tcBorders>
              <w:top w:val="nil"/>
              <w:bottom w:val="nil"/>
            </w:tcBorders>
          </w:tcPr>
          <w:p w:rsidR="00000000" w:rsidRDefault="00000000">
            <w:pPr>
              <w:pStyle w:val="a2"/>
              <w:tabs>
                <w:tab w:val="decimal" w:pos="335"/>
              </w:tabs>
              <w:spacing w:line="240" w:lineRule="auto"/>
            </w:pPr>
          </w:p>
        </w:tc>
        <w:tc>
          <w:tcPr>
            <w:tcW w:w="395" w:type="pct"/>
            <w:tcBorders>
              <w:top w:val="nil"/>
              <w:bottom w:val="nil"/>
            </w:tcBorders>
          </w:tcPr>
          <w:p w:rsidR="00000000" w:rsidRDefault="00000000">
            <w:pPr>
              <w:pStyle w:val="a2"/>
              <w:tabs>
                <w:tab w:val="decimal" w:pos="335"/>
              </w:tabs>
              <w:spacing w:line="240" w:lineRule="auto"/>
            </w:pPr>
          </w:p>
        </w:tc>
        <w:tc>
          <w:tcPr>
            <w:tcW w:w="395" w:type="pct"/>
            <w:gridSpan w:val="2"/>
            <w:tcBorders>
              <w:top w:val="nil"/>
              <w:bottom w:val="nil"/>
            </w:tcBorders>
          </w:tcPr>
          <w:p w:rsidR="00000000" w:rsidRDefault="00000000">
            <w:pPr>
              <w:pStyle w:val="a2"/>
              <w:tabs>
                <w:tab w:val="decimal" w:pos="335"/>
              </w:tabs>
              <w:spacing w:line="240" w:lineRule="auto"/>
            </w:pPr>
          </w:p>
        </w:tc>
        <w:tc>
          <w:tcPr>
            <w:tcW w:w="395" w:type="pct"/>
            <w:tcBorders>
              <w:top w:val="nil"/>
              <w:bottom w:val="nil"/>
            </w:tcBorders>
          </w:tcPr>
          <w:p w:rsidR="00000000" w:rsidRDefault="00000000">
            <w:pPr>
              <w:pStyle w:val="a2"/>
              <w:tabs>
                <w:tab w:val="decimal" w:pos="335"/>
              </w:tabs>
              <w:spacing w:line="240" w:lineRule="auto"/>
            </w:pPr>
          </w:p>
        </w:tc>
        <w:tc>
          <w:tcPr>
            <w:tcW w:w="395" w:type="pct"/>
            <w:tcBorders>
              <w:top w:val="nil"/>
              <w:bottom w:val="nil"/>
            </w:tcBorders>
          </w:tcPr>
          <w:p w:rsidR="00000000" w:rsidRDefault="00000000">
            <w:pPr>
              <w:pStyle w:val="a2"/>
              <w:tabs>
                <w:tab w:val="decimal" w:pos="335"/>
              </w:tabs>
              <w:spacing w:line="240" w:lineRule="auto"/>
            </w:pPr>
          </w:p>
        </w:tc>
        <w:tc>
          <w:tcPr>
            <w:tcW w:w="379" w:type="pct"/>
            <w:tcBorders>
              <w:top w:val="nil"/>
              <w:bottom w:val="nil"/>
            </w:tcBorders>
          </w:tcPr>
          <w:p w:rsidR="00000000" w:rsidRDefault="00000000">
            <w:pPr>
              <w:pStyle w:val="a2"/>
              <w:tabs>
                <w:tab w:val="decimal" w:pos="335"/>
              </w:tabs>
              <w:spacing w:line="240" w:lineRule="auto"/>
            </w:pPr>
          </w:p>
        </w:tc>
        <w:tc>
          <w:tcPr>
            <w:tcW w:w="442" w:type="pct"/>
            <w:tcBorders>
              <w:top w:val="nil"/>
              <w:bottom w:val="nil"/>
            </w:tcBorders>
          </w:tcPr>
          <w:p w:rsidR="00000000" w:rsidRDefault="00000000">
            <w:pPr>
              <w:pStyle w:val="a2"/>
              <w:tabs>
                <w:tab w:val="decimal" w:pos="335"/>
              </w:tabs>
              <w:spacing w:line="240" w:lineRule="auto"/>
            </w:pPr>
          </w:p>
        </w:tc>
        <w:tc>
          <w:tcPr>
            <w:tcW w:w="443" w:type="pct"/>
            <w:tcBorders>
              <w:top w:val="nil"/>
              <w:bottom w:val="nil"/>
            </w:tcBorders>
          </w:tcPr>
          <w:p w:rsidR="00000000" w:rsidRDefault="00000000">
            <w:pPr>
              <w:pStyle w:val="a2"/>
              <w:tabs>
                <w:tab w:val="decimal" w:pos="335"/>
              </w:tabs>
              <w:spacing w:line="240" w:lineRule="auto"/>
            </w:pPr>
          </w:p>
        </w:tc>
        <w:tc>
          <w:tcPr>
            <w:tcW w:w="350" w:type="pct"/>
            <w:tcBorders>
              <w:top w:val="nil"/>
              <w:bottom w:val="nil"/>
            </w:tcBorders>
          </w:tcPr>
          <w:p w:rsidR="00000000" w:rsidRDefault="00000000">
            <w:pPr>
              <w:pStyle w:val="a2"/>
              <w:tabs>
                <w:tab w:val="decimal" w:pos="335"/>
              </w:tabs>
              <w:spacing w:line="240" w:lineRule="auto"/>
            </w:pP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ind w:left="510"/>
              <w:rPr>
                <w:rFonts w:hint="eastAsia"/>
              </w:rPr>
            </w:pPr>
            <w:r>
              <w:rPr>
                <w:rFonts w:hint="eastAsia"/>
              </w:rPr>
              <w:t>城市</w:t>
            </w:r>
          </w:p>
        </w:tc>
        <w:tc>
          <w:tcPr>
            <w:tcW w:w="410" w:type="pct"/>
            <w:tcBorders>
              <w:top w:val="nil"/>
              <w:bottom w:val="nil"/>
            </w:tcBorders>
          </w:tcPr>
          <w:p w:rsidR="00000000" w:rsidRDefault="00000000">
            <w:pPr>
              <w:pStyle w:val="a2"/>
              <w:tabs>
                <w:tab w:val="decimal" w:pos="335"/>
              </w:tabs>
              <w:spacing w:line="240" w:lineRule="auto"/>
            </w:pPr>
            <w:r>
              <w:t>30</w:t>
            </w:r>
          </w:p>
        </w:tc>
        <w:tc>
          <w:tcPr>
            <w:tcW w:w="411" w:type="pct"/>
            <w:tcBorders>
              <w:top w:val="nil"/>
              <w:bottom w:val="nil"/>
            </w:tcBorders>
          </w:tcPr>
          <w:p w:rsidR="00000000" w:rsidRDefault="00000000">
            <w:pPr>
              <w:pStyle w:val="a2"/>
              <w:tabs>
                <w:tab w:val="decimal" w:pos="335"/>
              </w:tabs>
              <w:spacing w:line="240" w:lineRule="auto"/>
            </w:pPr>
            <w:r>
              <w:t>22</w:t>
            </w:r>
          </w:p>
        </w:tc>
        <w:tc>
          <w:tcPr>
            <w:tcW w:w="395" w:type="pct"/>
            <w:tcBorders>
              <w:top w:val="nil"/>
              <w:bottom w:val="nil"/>
            </w:tcBorders>
          </w:tcPr>
          <w:p w:rsidR="00000000" w:rsidRDefault="00000000">
            <w:pPr>
              <w:pStyle w:val="a2"/>
              <w:tabs>
                <w:tab w:val="decimal" w:pos="335"/>
              </w:tabs>
              <w:spacing w:line="240" w:lineRule="auto"/>
            </w:pPr>
            <w:r>
              <w:t>18</w:t>
            </w:r>
          </w:p>
        </w:tc>
        <w:tc>
          <w:tcPr>
            <w:tcW w:w="395" w:type="pct"/>
            <w:gridSpan w:val="2"/>
            <w:tcBorders>
              <w:top w:val="nil"/>
              <w:bottom w:val="nil"/>
            </w:tcBorders>
          </w:tcPr>
          <w:p w:rsidR="00000000" w:rsidRDefault="00000000">
            <w:pPr>
              <w:pStyle w:val="a2"/>
              <w:tabs>
                <w:tab w:val="decimal" w:pos="335"/>
              </w:tabs>
              <w:spacing w:line="240" w:lineRule="auto"/>
            </w:pPr>
            <w:r>
              <w:t>15</w:t>
            </w:r>
          </w:p>
        </w:tc>
        <w:tc>
          <w:tcPr>
            <w:tcW w:w="395" w:type="pct"/>
            <w:tcBorders>
              <w:top w:val="nil"/>
              <w:bottom w:val="nil"/>
            </w:tcBorders>
          </w:tcPr>
          <w:p w:rsidR="00000000" w:rsidRDefault="00000000">
            <w:pPr>
              <w:pStyle w:val="a2"/>
              <w:tabs>
                <w:tab w:val="decimal" w:pos="335"/>
              </w:tabs>
              <w:spacing w:line="240" w:lineRule="auto"/>
            </w:pPr>
            <w:r>
              <w:t>12</w:t>
            </w:r>
          </w:p>
        </w:tc>
        <w:tc>
          <w:tcPr>
            <w:tcW w:w="395" w:type="pct"/>
            <w:tcBorders>
              <w:top w:val="nil"/>
              <w:bottom w:val="nil"/>
            </w:tcBorders>
          </w:tcPr>
          <w:p w:rsidR="00000000" w:rsidRDefault="00000000">
            <w:pPr>
              <w:pStyle w:val="a2"/>
              <w:tabs>
                <w:tab w:val="decimal" w:pos="335"/>
              </w:tabs>
              <w:spacing w:line="240" w:lineRule="auto"/>
            </w:pPr>
            <w:r>
              <w:t>7</w:t>
            </w:r>
          </w:p>
        </w:tc>
        <w:tc>
          <w:tcPr>
            <w:tcW w:w="379" w:type="pct"/>
            <w:tcBorders>
              <w:top w:val="nil"/>
              <w:bottom w:val="nil"/>
            </w:tcBorders>
          </w:tcPr>
          <w:p w:rsidR="00000000" w:rsidRDefault="00000000">
            <w:pPr>
              <w:pStyle w:val="a2"/>
              <w:tabs>
                <w:tab w:val="decimal" w:pos="335"/>
              </w:tabs>
              <w:spacing w:line="240" w:lineRule="auto"/>
            </w:pPr>
            <w:r>
              <w:t>7</w:t>
            </w:r>
          </w:p>
        </w:tc>
        <w:tc>
          <w:tcPr>
            <w:tcW w:w="442" w:type="pct"/>
            <w:tcBorders>
              <w:top w:val="nil"/>
              <w:bottom w:val="nil"/>
            </w:tcBorders>
          </w:tcPr>
          <w:p w:rsidR="00000000" w:rsidRDefault="00000000">
            <w:pPr>
              <w:pStyle w:val="a2"/>
              <w:tabs>
                <w:tab w:val="decimal" w:pos="335"/>
              </w:tabs>
              <w:spacing w:line="240" w:lineRule="auto"/>
            </w:pPr>
            <w:r>
              <w:t>3</w:t>
            </w:r>
          </w:p>
        </w:tc>
        <w:tc>
          <w:tcPr>
            <w:tcW w:w="443" w:type="pct"/>
            <w:tcBorders>
              <w:top w:val="nil"/>
              <w:bottom w:val="nil"/>
            </w:tcBorders>
          </w:tcPr>
          <w:p w:rsidR="00000000" w:rsidRDefault="00000000">
            <w:pPr>
              <w:pStyle w:val="a2"/>
              <w:tabs>
                <w:tab w:val="decimal" w:pos="335"/>
              </w:tabs>
              <w:spacing w:line="240" w:lineRule="auto"/>
            </w:pPr>
            <w:r>
              <w:t>35</w:t>
            </w:r>
          </w:p>
        </w:tc>
        <w:tc>
          <w:tcPr>
            <w:tcW w:w="350" w:type="pct"/>
            <w:tcBorders>
              <w:top w:val="nil"/>
              <w:bottom w:val="nil"/>
            </w:tcBorders>
          </w:tcPr>
          <w:p w:rsidR="00000000" w:rsidRDefault="00000000">
            <w:pPr>
              <w:pStyle w:val="a2"/>
              <w:tabs>
                <w:tab w:val="decimal" w:pos="335"/>
              </w:tabs>
              <w:spacing w:line="240" w:lineRule="auto"/>
            </w:pPr>
            <w:r>
              <w:t>25</w:t>
            </w: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ind w:left="510"/>
              <w:rPr>
                <w:rFonts w:hint="eastAsia"/>
              </w:rPr>
            </w:pPr>
            <w:r>
              <w:rPr>
                <w:rFonts w:hint="eastAsia"/>
              </w:rPr>
              <w:t>农村</w:t>
            </w:r>
          </w:p>
        </w:tc>
        <w:tc>
          <w:tcPr>
            <w:tcW w:w="410" w:type="pct"/>
            <w:tcBorders>
              <w:top w:val="nil"/>
              <w:bottom w:val="nil"/>
            </w:tcBorders>
          </w:tcPr>
          <w:p w:rsidR="00000000" w:rsidRDefault="00000000">
            <w:pPr>
              <w:pStyle w:val="a2"/>
              <w:tabs>
                <w:tab w:val="decimal" w:pos="335"/>
              </w:tabs>
              <w:spacing w:line="240" w:lineRule="auto"/>
            </w:pPr>
            <w:r>
              <w:t>52</w:t>
            </w:r>
          </w:p>
        </w:tc>
        <w:tc>
          <w:tcPr>
            <w:tcW w:w="411" w:type="pct"/>
            <w:tcBorders>
              <w:top w:val="nil"/>
              <w:bottom w:val="nil"/>
            </w:tcBorders>
          </w:tcPr>
          <w:p w:rsidR="00000000" w:rsidRDefault="00000000">
            <w:pPr>
              <w:pStyle w:val="a2"/>
              <w:tabs>
                <w:tab w:val="decimal" w:pos="335"/>
              </w:tabs>
              <w:spacing w:line="240" w:lineRule="auto"/>
            </w:pPr>
            <w:r>
              <w:t>40</w:t>
            </w:r>
          </w:p>
        </w:tc>
        <w:tc>
          <w:tcPr>
            <w:tcW w:w="395" w:type="pct"/>
            <w:tcBorders>
              <w:top w:val="nil"/>
              <w:bottom w:val="nil"/>
            </w:tcBorders>
          </w:tcPr>
          <w:p w:rsidR="00000000" w:rsidRDefault="00000000">
            <w:pPr>
              <w:pStyle w:val="a2"/>
              <w:tabs>
                <w:tab w:val="decimal" w:pos="335"/>
              </w:tabs>
              <w:spacing w:line="240" w:lineRule="auto"/>
            </w:pPr>
            <w:r>
              <w:t>28</w:t>
            </w:r>
          </w:p>
        </w:tc>
        <w:tc>
          <w:tcPr>
            <w:tcW w:w="395" w:type="pct"/>
            <w:gridSpan w:val="2"/>
            <w:tcBorders>
              <w:top w:val="nil"/>
              <w:bottom w:val="nil"/>
            </w:tcBorders>
          </w:tcPr>
          <w:p w:rsidR="00000000" w:rsidRDefault="00000000">
            <w:pPr>
              <w:pStyle w:val="a2"/>
              <w:tabs>
                <w:tab w:val="decimal" w:pos="335"/>
              </w:tabs>
              <w:spacing w:line="240" w:lineRule="auto"/>
            </w:pPr>
            <w:r>
              <w:t>24</w:t>
            </w:r>
          </w:p>
        </w:tc>
        <w:tc>
          <w:tcPr>
            <w:tcW w:w="395" w:type="pct"/>
            <w:tcBorders>
              <w:top w:val="nil"/>
              <w:bottom w:val="nil"/>
            </w:tcBorders>
          </w:tcPr>
          <w:p w:rsidR="00000000" w:rsidRDefault="00000000">
            <w:pPr>
              <w:pStyle w:val="a2"/>
              <w:tabs>
                <w:tab w:val="decimal" w:pos="335"/>
              </w:tabs>
              <w:spacing w:line="240" w:lineRule="auto"/>
            </w:pPr>
            <w:r>
              <w:t>24</w:t>
            </w:r>
          </w:p>
        </w:tc>
        <w:tc>
          <w:tcPr>
            <w:tcW w:w="395" w:type="pct"/>
            <w:tcBorders>
              <w:top w:val="nil"/>
              <w:bottom w:val="nil"/>
            </w:tcBorders>
          </w:tcPr>
          <w:p w:rsidR="00000000" w:rsidRDefault="00000000">
            <w:pPr>
              <w:pStyle w:val="a2"/>
              <w:tabs>
                <w:tab w:val="decimal" w:pos="335"/>
              </w:tabs>
              <w:spacing w:line="240" w:lineRule="auto"/>
            </w:pPr>
            <w:r>
              <w:t>16</w:t>
            </w:r>
          </w:p>
        </w:tc>
        <w:tc>
          <w:tcPr>
            <w:tcW w:w="379" w:type="pct"/>
            <w:tcBorders>
              <w:top w:val="nil"/>
              <w:bottom w:val="nil"/>
            </w:tcBorders>
          </w:tcPr>
          <w:p w:rsidR="00000000" w:rsidRDefault="00000000">
            <w:pPr>
              <w:pStyle w:val="a2"/>
              <w:tabs>
                <w:tab w:val="decimal" w:pos="335"/>
              </w:tabs>
              <w:spacing w:line="240" w:lineRule="auto"/>
            </w:pPr>
            <w:r>
              <w:t>16</w:t>
            </w:r>
          </w:p>
        </w:tc>
        <w:tc>
          <w:tcPr>
            <w:tcW w:w="442" w:type="pct"/>
            <w:tcBorders>
              <w:top w:val="nil"/>
              <w:bottom w:val="nil"/>
            </w:tcBorders>
          </w:tcPr>
          <w:p w:rsidR="00000000" w:rsidRDefault="00000000">
            <w:pPr>
              <w:pStyle w:val="a2"/>
              <w:tabs>
                <w:tab w:val="decimal" w:pos="335"/>
              </w:tabs>
              <w:spacing w:line="240" w:lineRule="auto"/>
            </w:pPr>
            <w:r>
              <w:t>12</w:t>
            </w:r>
          </w:p>
        </w:tc>
        <w:tc>
          <w:tcPr>
            <w:tcW w:w="443" w:type="pct"/>
            <w:tcBorders>
              <w:top w:val="nil"/>
              <w:bottom w:val="nil"/>
            </w:tcBorders>
          </w:tcPr>
          <w:p w:rsidR="00000000" w:rsidRDefault="00000000">
            <w:pPr>
              <w:pStyle w:val="a2"/>
              <w:tabs>
                <w:tab w:val="decimal" w:pos="335"/>
              </w:tabs>
              <w:spacing w:line="240" w:lineRule="auto"/>
            </w:pPr>
            <w:r>
              <w:t>67</w:t>
            </w:r>
          </w:p>
        </w:tc>
        <w:tc>
          <w:tcPr>
            <w:tcW w:w="350" w:type="pct"/>
            <w:tcBorders>
              <w:top w:val="nil"/>
              <w:bottom w:val="nil"/>
            </w:tcBorders>
          </w:tcPr>
          <w:p w:rsidR="00000000" w:rsidRDefault="00000000">
            <w:pPr>
              <w:pStyle w:val="a2"/>
              <w:tabs>
                <w:tab w:val="decimal" w:pos="335"/>
              </w:tabs>
              <w:spacing w:line="240" w:lineRule="auto"/>
            </w:pPr>
            <w:r>
              <w:t>52</w:t>
            </w: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rPr>
                <w:rFonts w:hint="eastAsia"/>
              </w:rPr>
            </w:pPr>
            <w:r>
              <w:rPr>
                <w:rFonts w:hint="eastAsia"/>
              </w:rPr>
              <w:t>区域</w:t>
            </w:r>
          </w:p>
        </w:tc>
        <w:tc>
          <w:tcPr>
            <w:tcW w:w="410" w:type="pct"/>
            <w:tcBorders>
              <w:top w:val="nil"/>
              <w:bottom w:val="nil"/>
            </w:tcBorders>
          </w:tcPr>
          <w:p w:rsidR="00000000" w:rsidRDefault="00000000">
            <w:pPr>
              <w:pStyle w:val="a2"/>
              <w:tabs>
                <w:tab w:val="decimal" w:pos="335"/>
              </w:tabs>
              <w:spacing w:line="240" w:lineRule="auto"/>
            </w:pPr>
          </w:p>
        </w:tc>
        <w:tc>
          <w:tcPr>
            <w:tcW w:w="411" w:type="pct"/>
            <w:tcBorders>
              <w:top w:val="nil"/>
              <w:bottom w:val="nil"/>
            </w:tcBorders>
          </w:tcPr>
          <w:p w:rsidR="00000000" w:rsidRDefault="00000000">
            <w:pPr>
              <w:pStyle w:val="a2"/>
              <w:tabs>
                <w:tab w:val="decimal" w:pos="335"/>
              </w:tabs>
              <w:spacing w:line="240" w:lineRule="auto"/>
            </w:pPr>
          </w:p>
        </w:tc>
        <w:tc>
          <w:tcPr>
            <w:tcW w:w="395" w:type="pct"/>
            <w:tcBorders>
              <w:top w:val="nil"/>
              <w:bottom w:val="nil"/>
            </w:tcBorders>
          </w:tcPr>
          <w:p w:rsidR="00000000" w:rsidRDefault="00000000">
            <w:pPr>
              <w:pStyle w:val="a2"/>
              <w:tabs>
                <w:tab w:val="decimal" w:pos="335"/>
              </w:tabs>
              <w:spacing w:line="240" w:lineRule="auto"/>
            </w:pPr>
          </w:p>
        </w:tc>
        <w:tc>
          <w:tcPr>
            <w:tcW w:w="395" w:type="pct"/>
            <w:gridSpan w:val="2"/>
            <w:tcBorders>
              <w:top w:val="nil"/>
              <w:bottom w:val="nil"/>
            </w:tcBorders>
          </w:tcPr>
          <w:p w:rsidR="00000000" w:rsidRDefault="00000000">
            <w:pPr>
              <w:pStyle w:val="a2"/>
              <w:tabs>
                <w:tab w:val="decimal" w:pos="335"/>
              </w:tabs>
              <w:spacing w:line="240" w:lineRule="auto"/>
            </w:pPr>
          </w:p>
        </w:tc>
        <w:tc>
          <w:tcPr>
            <w:tcW w:w="395" w:type="pct"/>
            <w:tcBorders>
              <w:top w:val="nil"/>
              <w:bottom w:val="nil"/>
            </w:tcBorders>
          </w:tcPr>
          <w:p w:rsidR="00000000" w:rsidRDefault="00000000">
            <w:pPr>
              <w:pStyle w:val="a2"/>
              <w:tabs>
                <w:tab w:val="decimal" w:pos="335"/>
              </w:tabs>
              <w:spacing w:line="240" w:lineRule="auto"/>
            </w:pPr>
          </w:p>
        </w:tc>
        <w:tc>
          <w:tcPr>
            <w:tcW w:w="395" w:type="pct"/>
            <w:tcBorders>
              <w:top w:val="nil"/>
              <w:bottom w:val="nil"/>
            </w:tcBorders>
          </w:tcPr>
          <w:p w:rsidR="00000000" w:rsidRDefault="00000000">
            <w:pPr>
              <w:pStyle w:val="a2"/>
              <w:tabs>
                <w:tab w:val="decimal" w:pos="335"/>
              </w:tabs>
              <w:spacing w:line="240" w:lineRule="auto"/>
            </w:pPr>
          </w:p>
        </w:tc>
        <w:tc>
          <w:tcPr>
            <w:tcW w:w="379" w:type="pct"/>
            <w:tcBorders>
              <w:top w:val="nil"/>
              <w:bottom w:val="nil"/>
            </w:tcBorders>
          </w:tcPr>
          <w:p w:rsidR="00000000" w:rsidRDefault="00000000">
            <w:pPr>
              <w:pStyle w:val="a2"/>
              <w:tabs>
                <w:tab w:val="decimal" w:pos="335"/>
              </w:tabs>
              <w:spacing w:line="240" w:lineRule="auto"/>
            </w:pPr>
          </w:p>
        </w:tc>
        <w:tc>
          <w:tcPr>
            <w:tcW w:w="442" w:type="pct"/>
            <w:tcBorders>
              <w:top w:val="nil"/>
              <w:bottom w:val="nil"/>
            </w:tcBorders>
          </w:tcPr>
          <w:p w:rsidR="00000000" w:rsidRDefault="00000000">
            <w:pPr>
              <w:pStyle w:val="a2"/>
              <w:tabs>
                <w:tab w:val="decimal" w:pos="335"/>
              </w:tabs>
              <w:spacing w:line="240" w:lineRule="auto"/>
            </w:pPr>
          </w:p>
        </w:tc>
        <w:tc>
          <w:tcPr>
            <w:tcW w:w="443" w:type="pct"/>
            <w:tcBorders>
              <w:top w:val="nil"/>
              <w:bottom w:val="nil"/>
            </w:tcBorders>
          </w:tcPr>
          <w:p w:rsidR="00000000" w:rsidRDefault="00000000">
            <w:pPr>
              <w:pStyle w:val="a2"/>
              <w:tabs>
                <w:tab w:val="decimal" w:pos="335"/>
              </w:tabs>
              <w:spacing w:line="240" w:lineRule="auto"/>
            </w:pPr>
          </w:p>
        </w:tc>
        <w:tc>
          <w:tcPr>
            <w:tcW w:w="350" w:type="pct"/>
            <w:tcBorders>
              <w:top w:val="nil"/>
              <w:bottom w:val="nil"/>
            </w:tcBorders>
          </w:tcPr>
          <w:p w:rsidR="00000000" w:rsidRDefault="00000000">
            <w:pPr>
              <w:pStyle w:val="a2"/>
              <w:tabs>
                <w:tab w:val="decimal" w:pos="335"/>
              </w:tabs>
              <w:spacing w:line="240" w:lineRule="auto"/>
            </w:pP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ind w:left="510"/>
              <w:rPr>
                <w:rFonts w:hint="eastAsia"/>
              </w:rPr>
            </w:pPr>
            <w:r>
              <w:rPr>
                <w:rFonts w:hint="eastAsia"/>
              </w:rPr>
              <w:t>沿海</w:t>
            </w:r>
          </w:p>
        </w:tc>
        <w:tc>
          <w:tcPr>
            <w:tcW w:w="410" w:type="pct"/>
            <w:tcBorders>
              <w:top w:val="nil"/>
              <w:bottom w:val="nil"/>
            </w:tcBorders>
          </w:tcPr>
          <w:p w:rsidR="00000000" w:rsidRDefault="00000000">
            <w:pPr>
              <w:pStyle w:val="a2"/>
              <w:tabs>
                <w:tab w:val="decimal" w:pos="335"/>
              </w:tabs>
              <w:spacing w:line="240" w:lineRule="auto"/>
              <w:rPr>
                <w:lang w:val="fr-CH"/>
              </w:rPr>
            </w:pPr>
            <w:r>
              <w:rPr>
                <w:lang w:val="fr-CH"/>
              </w:rPr>
              <w:t>32</w:t>
            </w:r>
          </w:p>
        </w:tc>
        <w:tc>
          <w:tcPr>
            <w:tcW w:w="411" w:type="pct"/>
            <w:tcBorders>
              <w:top w:val="nil"/>
              <w:bottom w:val="nil"/>
            </w:tcBorders>
          </w:tcPr>
          <w:p w:rsidR="00000000" w:rsidRDefault="00000000">
            <w:pPr>
              <w:pStyle w:val="a2"/>
              <w:tabs>
                <w:tab w:val="decimal" w:pos="335"/>
              </w:tabs>
              <w:spacing w:line="240" w:lineRule="auto"/>
              <w:rPr>
                <w:lang w:val="fr-CH"/>
              </w:rPr>
            </w:pPr>
            <w:r>
              <w:rPr>
                <w:lang w:val="fr-CH"/>
              </w:rPr>
              <w:t>25</w:t>
            </w:r>
          </w:p>
        </w:tc>
        <w:tc>
          <w:tcPr>
            <w:tcW w:w="395" w:type="pct"/>
            <w:tcBorders>
              <w:top w:val="nil"/>
              <w:bottom w:val="nil"/>
            </w:tcBorders>
          </w:tcPr>
          <w:p w:rsidR="00000000" w:rsidRDefault="00000000">
            <w:pPr>
              <w:pStyle w:val="a2"/>
              <w:tabs>
                <w:tab w:val="decimal" w:pos="335"/>
              </w:tabs>
              <w:spacing w:line="240" w:lineRule="auto"/>
              <w:rPr>
                <w:lang w:val="fr-CH"/>
              </w:rPr>
            </w:pPr>
            <w:r>
              <w:rPr>
                <w:lang w:val="fr-CH"/>
              </w:rPr>
              <w:t>19</w:t>
            </w:r>
          </w:p>
        </w:tc>
        <w:tc>
          <w:tcPr>
            <w:tcW w:w="395" w:type="pct"/>
            <w:gridSpan w:val="2"/>
            <w:tcBorders>
              <w:top w:val="nil"/>
              <w:bottom w:val="nil"/>
            </w:tcBorders>
          </w:tcPr>
          <w:p w:rsidR="00000000" w:rsidRDefault="00000000">
            <w:pPr>
              <w:pStyle w:val="a2"/>
              <w:tabs>
                <w:tab w:val="decimal" w:pos="335"/>
              </w:tabs>
              <w:spacing w:line="240" w:lineRule="auto"/>
              <w:rPr>
                <w:lang w:val="fr-CH"/>
              </w:rPr>
            </w:pPr>
            <w:r>
              <w:rPr>
                <w:lang w:val="fr-CH"/>
              </w:rPr>
              <w:t>16</w:t>
            </w:r>
          </w:p>
        </w:tc>
        <w:tc>
          <w:tcPr>
            <w:tcW w:w="395" w:type="pct"/>
            <w:tcBorders>
              <w:top w:val="nil"/>
              <w:bottom w:val="nil"/>
            </w:tcBorders>
          </w:tcPr>
          <w:p w:rsidR="00000000" w:rsidRDefault="00000000">
            <w:pPr>
              <w:pStyle w:val="a2"/>
              <w:tabs>
                <w:tab w:val="decimal" w:pos="335"/>
              </w:tabs>
              <w:spacing w:line="240" w:lineRule="auto"/>
              <w:rPr>
                <w:lang w:val="fr-CH"/>
              </w:rPr>
            </w:pPr>
            <w:r>
              <w:rPr>
                <w:lang w:val="fr-CH"/>
              </w:rPr>
              <w:t>13</w:t>
            </w:r>
          </w:p>
        </w:tc>
        <w:tc>
          <w:tcPr>
            <w:tcW w:w="395" w:type="pct"/>
            <w:tcBorders>
              <w:top w:val="nil"/>
              <w:bottom w:val="nil"/>
            </w:tcBorders>
          </w:tcPr>
          <w:p w:rsidR="00000000" w:rsidRDefault="00000000">
            <w:pPr>
              <w:pStyle w:val="a2"/>
              <w:tabs>
                <w:tab w:val="decimal" w:pos="335"/>
              </w:tabs>
              <w:spacing w:line="240" w:lineRule="auto"/>
              <w:rPr>
                <w:lang w:val="fr-CH"/>
              </w:rPr>
            </w:pPr>
            <w:r>
              <w:rPr>
                <w:lang w:val="fr-CH"/>
              </w:rPr>
              <w:t>9</w:t>
            </w:r>
          </w:p>
        </w:tc>
        <w:tc>
          <w:tcPr>
            <w:tcW w:w="379" w:type="pct"/>
            <w:tcBorders>
              <w:top w:val="nil"/>
              <w:bottom w:val="nil"/>
            </w:tcBorders>
          </w:tcPr>
          <w:p w:rsidR="00000000" w:rsidRDefault="00000000">
            <w:pPr>
              <w:pStyle w:val="a2"/>
              <w:tabs>
                <w:tab w:val="decimal" w:pos="335"/>
              </w:tabs>
              <w:spacing w:line="240" w:lineRule="auto"/>
              <w:rPr>
                <w:lang w:val="fr-CH"/>
              </w:rPr>
            </w:pPr>
            <w:r>
              <w:rPr>
                <w:lang w:val="fr-CH"/>
              </w:rPr>
              <w:t>7</w:t>
            </w:r>
          </w:p>
        </w:tc>
        <w:tc>
          <w:tcPr>
            <w:tcW w:w="442" w:type="pct"/>
            <w:tcBorders>
              <w:top w:val="nil"/>
              <w:bottom w:val="nil"/>
            </w:tcBorders>
          </w:tcPr>
          <w:p w:rsidR="00000000" w:rsidRDefault="00000000">
            <w:pPr>
              <w:pStyle w:val="a2"/>
              <w:tabs>
                <w:tab w:val="decimal" w:pos="335"/>
              </w:tabs>
              <w:spacing w:line="240" w:lineRule="auto"/>
              <w:rPr>
                <w:lang w:val="fr-CH"/>
              </w:rPr>
            </w:pPr>
            <w:r>
              <w:rPr>
                <w:lang w:val="fr-CH"/>
              </w:rPr>
              <w:t>4</w:t>
            </w:r>
          </w:p>
        </w:tc>
        <w:tc>
          <w:tcPr>
            <w:tcW w:w="443" w:type="pct"/>
            <w:tcBorders>
              <w:top w:val="nil"/>
              <w:bottom w:val="nil"/>
            </w:tcBorders>
          </w:tcPr>
          <w:p w:rsidR="00000000" w:rsidRDefault="00000000">
            <w:pPr>
              <w:pStyle w:val="a2"/>
              <w:tabs>
                <w:tab w:val="decimal" w:pos="335"/>
              </w:tabs>
              <w:spacing w:line="240" w:lineRule="auto"/>
              <w:rPr>
                <w:lang w:val="fr-CH"/>
              </w:rPr>
            </w:pPr>
            <w:r>
              <w:rPr>
                <w:lang w:val="fr-CH"/>
              </w:rPr>
              <w:t>38</w:t>
            </w:r>
          </w:p>
        </w:tc>
        <w:tc>
          <w:tcPr>
            <w:tcW w:w="350" w:type="pct"/>
            <w:tcBorders>
              <w:top w:val="nil"/>
              <w:bottom w:val="nil"/>
            </w:tcBorders>
          </w:tcPr>
          <w:p w:rsidR="00000000" w:rsidRDefault="00000000">
            <w:pPr>
              <w:pStyle w:val="a2"/>
              <w:tabs>
                <w:tab w:val="decimal" w:pos="335"/>
              </w:tabs>
              <w:spacing w:line="240" w:lineRule="auto"/>
              <w:rPr>
                <w:lang w:val="fr-CH"/>
              </w:rPr>
            </w:pPr>
            <w:r>
              <w:rPr>
                <w:lang w:val="fr-CH"/>
              </w:rPr>
              <w:t>29</w:t>
            </w: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ind w:left="510"/>
              <w:rPr>
                <w:lang w:val="fr-CH"/>
              </w:rPr>
            </w:pPr>
            <w:r>
              <w:rPr>
                <w:lang w:val="fr-CH"/>
              </w:rPr>
              <w:t>Sierra</w:t>
            </w:r>
          </w:p>
        </w:tc>
        <w:tc>
          <w:tcPr>
            <w:tcW w:w="410" w:type="pct"/>
            <w:tcBorders>
              <w:top w:val="nil"/>
              <w:bottom w:val="nil"/>
            </w:tcBorders>
          </w:tcPr>
          <w:p w:rsidR="00000000" w:rsidRDefault="00000000">
            <w:pPr>
              <w:pStyle w:val="a2"/>
              <w:tabs>
                <w:tab w:val="decimal" w:pos="335"/>
              </w:tabs>
              <w:spacing w:line="240" w:lineRule="auto"/>
              <w:rPr>
                <w:lang w:val="fr-CH"/>
              </w:rPr>
            </w:pPr>
            <w:r>
              <w:rPr>
                <w:lang w:val="fr-CH"/>
              </w:rPr>
              <w:t>47</w:t>
            </w:r>
          </w:p>
        </w:tc>
        <w:tc>
          <w:tcPr>
            <w:tcW w:w="411" w:type="pct"/>
            <w:tcBorders>
              <w:top w:val="nil"/>
              <w:bottom w:val="nil"/>
            </w:tcBorders>
          </w:tcPr>
          <w:p w:rsidR="00000000" w:rsidRDefault="00000000">
            <w:pPr>
              <w:pStyle w:val="a2"/>
              <w:tabs>
                <w:tab w:val="decimal" w:pos="335"/>
              </w:tabs>
              <w:spacing w:line="240" w:lineRule="auto"/>
              <w:rPr>
                <w:lang w:val="fr-CH"/>
              </w:rPr>
            </w:pPr>
            <w:r>
              <w:rPr>
                <w:lang w:val="fr-CH"/>
              </w:rPr>
              <w:t>34</w:t>
            </w:r>
          </w:p>
        </w:tc>
        <w:tc>
          <w:tcPr>
            <w:tcW w:w="395" w:type="pct"/>
            <w:tcBorders>
              <w:top w:val="nil"/>
              <w:bottom w:val="nil"/>
            </w:tcBorders>
          </w:tcPr>
          <w:p w:rsidR="00000000" w:rsidRDefault="00000000">
            <w:pPr>
              <w:pStyle w:val="a2"/>
              <w:tabs>
                <w:tab w:val="decimal" w:pos="335"/>
              </w:tabs>
              <w:spacing w:line="240" w:lineRule="auto"/>
              <w:rPr>
                <w:lang w:val="fr-CH"/>
              </w:rPr>
            </w:pPr>
            <w:r>
              <w:rPr>
                <w:lang w:val="fr-CH"/>
              </w:rPr>
              <w:t>25</w:t>
            </w:r>
          </w:p>
        </w:tc>
        <w:tc>
          <w:tcPr>
            <w:tcW w:w="395" w:type="pct"/>
            <w:gridSpan w:val="2"/>
            <w:tcBorders>
              <w:top w:val="nil"/>
              <w:bottom w:val="nil"/>
            </w:tcBorders>
          </w:tcPr>
          <w:p w:rsidR="00000000" w:rsidRDefault="00000000">
            <w:pPr>
              <w:pStyle w:val="a2"/>
              <w:tabs>
                <w:tab w:val="decimal" w:pos="335"/>
              </w:tabs>
              <w:spacing w:line="240" w:lineRule="auto"/>
              <w:rPr>
                <w:lang w:val="fr-CH"/>
              </w:rPr>
            </w:pPr>
            <w:r>
              <w:rPr>
                <w:lang w:val="fr-CH"/>
              </w:rPr>
              <w:t>21</w:t>
            </w:r>
          </w:p>
        </w:tc>
        <w:tc>
          <w:tcPr>
            <w:tcW w:w="395" w:type="pct"/>
            <w:tcBorders>
              <w:top w:val="nil"/>
              <w:bottom w:val="nil"/>
            </w:tcBorders>
          </w:tcPr>
          <w:p w:rsidR="00000000" w:rsidRDefault="00000000">
            <w:pPr>
              <w:pStyle w:val="a2"/>
              <w:tabs>
                <w:tab w:val="decimal" w:pos="335"/>
              </w:tabs>
              <w:spacing w:line="240" w:lineRule="auto"/>
              <w:rPr>
                <w:lang w:val="fr-CH"/>
              </w:rPr>
            </w:pPr>
            <w:r>
              <w:rPr>
                <w:lang w:val="fr-CH"/>
              </w:rPr>
              <w:t>22</w:t>
            </w:r>
          </w:p>
        </w:tc>
        <w:tc>
          <w:tcPr>
            <w:tcW w:w="395" w:type="pct"/>
            <w:tcBorders>
              <w:top w:val="nil"/>
              <w:bottom w:val="nil"/>
            </w:tcBorders>
          </w:tcPr>
          <w:p w:rsidR="00000000" w:rsidRDefault="00000000">
            <w:pPr>
              <w:pStyle w:val="a2"/>
              <w:tabs>
                <w:tab w:val="decimal" w:pos="335"/>
              </w:tabs>
              <w:spacing w:line="240" w:lineRule="auto"/>
              <w:rPr>
                <w:lang w:val="fr-CH"/>
              </w:rPr>
            </w:pPr>
            <w:r>
              <w:rPr>
                <w:lang w:val="fr-CH"/>
              </w:rPr>
              <w:t>13</w:t>
            </w:r>
          </w:p>
        </w:tc>
        <w:tc>
          <w:tcPr>
            <w:tcW w:w="379" w:type="pct"/>
            <w:tcBorders>
              <w:top w:val="nil"/>
              <w:bottom w:val="nil"/>
            </w:tcBorders>
          </w:tcPr>
          <w:p w:rsidR="00000000" w:rsidRDefault="00000000">
            <w:pPr>
              <w:pStyle w:val="a2"/>
              <w:tabs>
                <w:tab w:val="decimal" w:pos="335"/>
              </w:tabs>
              <w:spacing w:line="240" w:lineRule="auto"/>
              <w:rPr>
                <w:lang w:val="fr-CH"/>
              </w:rPr>
            </w:pPr>
            <w:r>
              <w:rPr>
                <w:lang w:val="fr-CH"/>
              </w:rPr>
              <w:t>16</w:t>
            </w:r>
          </w:p>
        </w:tc>
        <w:tc>
          <w:tcPr>
            <w:tcW w:w="442" w:type="pct"/>
            <w:tcBorders>
              <w:top w:val="nil"/>
              <w:bottom w:val="nil"/>
            </w:tcBorders>
          </w:tcPr>
          <w:p w:rsidR="00000000" w:rsidRDefault="00000000">
            <w:pPr>
              <w:pStyle w:val="a2"/>
              <w:tabs>
                <w:tab w:val="decimal" w:pos="335"/>
              </w:tabs>
              <w:spacing w:line="240" w:lineRule="auto"/>
              <w:rPr>
                <w:lang w:val="fr-CH"/>
              </w:rPr>
            </w:pPr>
            <w:r>
              <w:rPr>
                <w:lang w:val="fr-CH"/>
              </w:rPr>
              <w:t>10</w:t>
            </w:r>
          </w:p>
        </w:tc>
        <w:tc>
          <w:tcPr>
            <w:tcW w:w="443" w:type="pct"/>
            <w:tcBorders>
              <w:top w:val="nil"/>
              <w:bottom w:val="nil"/>
            </w:tcBorders>
          </w:tcPr>
          <w:p w:rsidR="00000000" w:rsidRDefault="00000000">
            <w:pPr>
              <w:pStyle w:val="a2"/>
              <w:tabs>
                <w:tab w:val="decimal" w:pos="335"/>
              </w:tabs>
              <w:spacing w:line="240" w:lineRule="auto"/>
              <w:rPr>
                <w:lang w:val="fr-CH"/>
              </w:rPr>
            </w:pPr>
            <w:r>
              <w:rPr>
                <w:lang w:val="fr-CH"/>
              </w:rPr>
              <w:t>63</w:t>
            </w:r>
          </w:p>
        </w:tc>
        <w:tc>
          <w:tcPr>
            <w:tcW w:w="350" w:type="pct"/>
            <w:tcBorders>
              <w:top w:val="nil"/>
              <w:bottom w:val="nil"/>
            </w:tcBorders>
          </w:tcPr>
          <w:p w:rsidR="00000000" w:rsidRDefault="00000000">
            <w:pPr>
              <w:pStyle w:val="a2"/>
              <w:tabs>
                <w:tab w:val="decimal" w:pos="335"/>
              </w:tabs>
              <w:spacing w:line="240" w:lineRule="auto"/>
              <w:rPr>
                <w:lang w:val="fr-CH"/>
              </w:rPr>
            </w:pPr>
            <w:r>
              <w:rPr>
                <w:lang w:val="fr-CH"/>
              </w:rPr>
              <w:t>44</w:t>
            </w: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rPr>
                <w:rFonts w:hint="eastAsia"/>
                <w:lang w:val="fr-CH"/>
              </w:rPr>
            </w:pPr>
            <w:r>
              <w:rPr>
                <w:rFonts w:hint="eastAsia"/>
                <w:lang w:val="fr-CH"/>
              </w:rPr>
              <w:t>教育程度</w:t>
            </w:r>
          </w:p>
        </w:tc>
        <w:tc>
          <w:tcPr>
            <w:tcW w:w="410" w:type="pct"/>
            <w:tcBorders>
              <w:top w:val="nil"/>
              <w:bottom w:val="nil"/>
            </w:tcBorders>
          </w:tcPr>
          <w:p w:rsidR="00000000" w:rsidRDefault="00000000">
            <w:pPr>
              <w:pStyle w:val="a2"/>
              <w:tabs>
                <w:tab w:val="decimal" w:pos="335"/>
              </w:tabs>
              <w:spacing w:line="240" w:lineRule="auto"/>
              <w:rPr>
                <w:lang w:val="fr-CH"/>
              </w:rPr>
            </w:pPr>
          </w:p>
        </w:tc>
        <w:tc>
          <w:tcPr>
            <w:tcW w:w="411" w:type="pct"/>
            <w:tcBorders>
              <w:top w:val="nil"/>
              <w:bottom w:val="nil"/>
            </w:tcBorders>
          </w:tcPr>
          <w:p w:rsidR="00000000" w:rsidRDefault="00000000">
            <w:pPr>
              <w:pStyle w:val="a2"/>
              <w:tabs>
                <w:tab w:val="decimal" w:pos="335"/>
              </w:tabs>
              <w:spacing w:line="240" w:lineRule="auto"/>
              <w:rPr>
                <w:lang w:val="fr-CH"/>
              </w:rPr>
            </w:pPr>
          </w:p>
        </w:tc>
        <w:tc>
          <w:tcPr>
            <w:tcW w:w="395" w:type="pct"/>
            <w:tcBorders>
              <w:top w:val="nil"/>
              <w:bottom w:val="nil"/>
            </w:tcBorders>
          </w:tcPr>
          <w:p w:rsidR="00000000" w:rsidRDefault="00000000">
            <w:pPr>
              <w:pStyle w:val="a2"/>
              <w:tabs>
                <w:tab w:val="decimal" w:pos="335"/>
              </w:tabs>
              <w:spacing w:line="240" w:lineRule="auto"/>
              <w:rPr>
                <w:lang w:val="fr-CH"/>
              </w:rPr>
            </w:pPr>
          </w:p>
        </w:tc>
        <w:tc>
          <w:tcPr>
            <w:tcW w:w="395" w:type="pct"/>
            <w:gridSpan w:val="2"/>
            <w:tcBorders>
              <w:top w:val="nil"/>
              <w:bottom w:val="nil"/>
            </w:tcBorders>
          </w:tcPr>
          <w:p w:rsidR="00000000" w:rsidRDefault="00000000">
            <w:pPr>
              <w:pStyle w:val="a2"/>
              <w:tabs>
                <w:tab w:val="decimal" w:pos="335"/>
              </w:tabs>
              <w:spacing w:line="240" w:lineRule="auto"/>
              <w:rPr>
                <w:lang w:val="fr-CH"/>
              </w:rPr>
            </w:pPr>
          </w:p>
        </w:tc>
        <w:tc>
          <w:tcPr>
            <w:tcW w:w="395" w:type="pct"/>
            <w:tcBorders>
              <w:top w:val="nil"/>
              <w:bottom w:val="nil"/>
            </w:tcBorders>
          </w:tcPr>
          <w:p w:rsidR="00000000" w:rsidRDefault="00000000">
            <w:pPr>
              <w:pStyle w:val="a2"/>
              <w:tabs>
                <w:tab w:val="decimal" w:pos="335"/>
              </w:tabs>
              <w:spacing w:line="240" w:lineRule="auto"/>
              <w:rPr>
                <w:lang w:val="fr-CH"/>
              </w:rPr>
            </w:pPr>
          </w:p>
        </w:tc>
        <w:tc>
          <w:tcPr>
            <w:tcW w:w="395" w:type="pct"/>
            <w:tcBorders>
              <w:top w:val="nil"/>
              <w:bottom w:val="nil"/>
            </w:tcBorders>
          </w:tcPr>
          <w:p w:rsidR="00000000" w:rsidRDefault="00000000">
            <w:pPr>
              <w:pStyle w:val="a2"/>
              <w:tabs>
                <w:tab w:val="decimal" w:pos="335"/>
              </w:tabs>
              <w:spacing w:line="240" w:lineRule="auto"/>
              <w:rPr>
                <w:lang w:val="fr-CH"/>
              </w:rPr>
            </w:pPr>
          </w:p>
        </w:tc>
        <w:tc>
          <w:tcPr>
            <w:tcW w:w="379" w:type="pct"/>
            <w:tcBorders>
              <w:top w:val="nil"/>
              <w:bottom w:val="nil"/>
            </w:tcBorders>
          </w:tcPr>
          <w:p w:rsidR="00000000" w:rsidRDefault="00000000">
            <w:pPr>
              <w:pStyle w:val="a2"/>
              <w:tabs>
                <w:tab w:val="decimal" w:pos="335"/>
              </w:tabs>
              <w:spacing w:line="240" w:lineRule="auto"/>
              <w:rPr>
                <w:lang w:val="fr-CH"/>
              </w:rPr>
            </w:pPr>
          </w:p>
        </w:tc>
        <w:tc>
          <w:tcPr>
            <w:tcW w:w="442" w:type="pct"/>
            <w:tcBorders>
              <w:top w:val="nil"/>
              <w:bottom w:val="nil"/>
            </w:tcBorders>
          </w:tcPr>
          <w:p w:rsidR="00000000" w:rsidRDefault="00000000">
            <w:pPr>
              <w:pStyle w:val="a2"/>
              <w:tabs>
                <w:tab w:val="decimal" w:pos="335"/>
              </w:tabs>
              <w:spacing w:line="240" w:lineRule="auto"/>
              <w:rPr>
                <w:lang w:val="fr-CH"/>
              </w:rPr>
            </w:pPr>
          </w:p>
        </w:tc>
        <w:tc>
          <w:tcPr>
            <w:tcW w:w="443" w:type="pct"/>
            <w:tcBorders>
              <w:top w:val="nil"/>
              <w:bottom w:val="nil"/>
            </w:tcBorders>
          </w:tcPr>
          <w:p w:rsidR="00000000" w:rsidRDefault="00000000">
            <w:pPr>
              <w:pStyle w:val="a2"/>
              <w:tabs>
                <w:tab w:val="decimal" w:pos="335"/>
              </w:tabs>
              <w:spacing w:line="240" w:lineRule="auto"/>
              <w:rPr>
                <w:lang w:val="fr-CH"/>
              </w:rPr>
            </w:pPr>
          </w:p>
        </w:tc>
        <w:tc>
          <w:tcPr>
            <w:tcW w:w="350" w:type="pct"/>
            <w:tcBorders>
              <w:top w:val="nil"/>
              <w:bottom w:val="nil"/>
            </w:tcBorders>
          </w:tcPr>
          <w:p w:rsidR="00000000" w:rsidRDefault="00000000">
            <w:pPr>
              <w:pStyle w:val="a2"/>
              <w:tabs>
                <w:tab w:val="decimal" w:pos="335"/>
              </w:tabs>
              <w:spacing w:line="240" w:lineRule="auto"/>
              <w:rPr>
                <w:lang w:val="fr-CH"/>
              </w:rPr>
            </w:pP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ind w:left="510"/>
              <w:rPr>
                <w:rFonts w:hint="eastAsia"/>
                <w:lang w:val="fr-CH"/>
              </w:rPr>
            </w:pPr>
            <w:r>
              <w:rPr>
                <w:rFonts w:hint="eastAsia"/>
                <w:lang w:val="fr-CH"/>
              </w:rPr>
              <w:t>无</w:t>
            </w:r>
          </w:p>
        </w:tc>
        <w:tc>
          <w:tcPr>
            <w:tcW w:w="410" w:type="pct"/>
            <w:tcBorders>
              <w:top w:val="nil"/>
              <w:bottom w:val="nil"/>
            </w:tcBorders>
          </w:tcPr>
          <w:p w:rsidR="00000000" w:rsidRDefault="00000000">
            <w:pPr>
              <w:pStyle w:val="a2"/>
              <w:tabs>
                <w:tab w:val="decimal" w:pos="335"/>
              </w:tabs>
              <w:spacing w:line="240" w:lineRule="auto"/>
            </w:pPr>
            <w:r>
              <w:t>79</w:t>
            </w:r>
          </w:p>
        </w:tc>
        <w:tc>
          <w:tcPr>
            <w:tcW w:w="411" w:type="pct"/>
            <w:tcBorders>
              <w:top w:val="nil"/>
              <w:bottom w:val="nil"/>
            </w:tcBorders>
          </w:tcPr>
          <w:p w:rsidR="00000000" w:rsidRDefault="00000000">
            <w:pPr>
              <w:pStyle w:val="a2"/>
              <w:tabs>
                <w:tab w:val="decimal" w:pos="335"/>
              </w:tabs>
              <w:spacing w:line="240" w:lineRule="auto"/>
            </w:pPr>
            <w:r>
              <w:t>50</w:t>
            </w:r>
          </w:p>
        </w:tc>
        <w:tc>
          <w:tcPr>
            <w:tcW w:w="395" w:type="pct"/>
            <w:tcBorders>
              <w:top w:val="nil"/>
              <w:bottom w:val="nil"/>
            </w:tcBorders>
          </w:tcPr>
          <w:p w:rsidR="00000000" w:rsidRDefault="00000000">
            <w:pPr>
              <w:pStyle w:val="a2"/>
              <w:tabs>
                <w:tab w:val="decimal" w:pos="335"/>
              </w:tabs>
              <w:spacing w:line="240" w:lineRule="auto"/>
            </w:pPr>
            <w:r>
              <w:t>41</w:t>
            </w:r>
          </w:p>
        </w:tc>
        <w:tc>
          <w:tcPr>
            <w:tcW w:w="395" w:type="pct"/>
            <w:gridSpan w:val="2"/>
            <w:tcBorders>
              <w:top w:val="nil"/>
              <w:bottom w:val="nil"/>
            </w:tcBorders>
          </w:tcPr>
          <w:p w:rsidR="00000000" w:rsidRDefault="00000000">
            <w:pPr>
              <w:pStyle w:val="a2"/>
              <w:tabs>
                <w:tab w:val="decimal" w:pos="335"/>
              </w:tabs>
              <w:spacing w:line="240" w:lineRule="auto"/>
            </w:pPr>
            <w:r>
              <w:t>23</w:t>
            </w:r>
          </w:p>
        </w:tc>
        <w:tc>
          <w:tcPr>
            <w:tcW w:w="395" w:type="pct"/>
            <w:tcBorders>
              <w:top w:val="nil"/>
              <w:bottom w:val="nil"/>
            </w:tcBorders>
          </w:tcPr>
          <w:p w:rsidR="00000000" w:rsidRDefault="00000000">
            <w:pPr>
              <w:pStyle w:val="a2"/>
              <w:tabs>
                <w:tab w:val="decimal" w:pos="335"/>
              </w:tabs>
              <w:spacing w:line="240" w:lineRule="auto"/>
            </w:pPr>
            <w:r>
              <w:t>38</w:t>
            </w:r>
          </w:p>
        </w:tc>
        <w:tc>
          <w:tcPr>
            <w:tcW w:w="395" w:type="pct"/>
            <w:tcBorders>
              <w:top w:val="nil"/>
              <w:bottom w:val="nil"/>
            </w:tcBorders>
          </w:tcPr>
          <w:p w:rsidR="00000000" w:rsidRDefault="00000000">
            <w:pPr>
              <w:pStyle w:val="a2"/>
              <w:tabs>
                <w:tab w:val="decimal" w:pos="335"/>
              </w:tabs>
              <w:spacing w:line="240" w:lineRule="auto"/>
            </w:pPr>
            <w:r>
              <w:t>27</w:t>
            </w:r>
          </w:p>
        </w:tc>
        <w:tc>
          <w:tcPr>
            <w:tcW w:w="379" w:type="pct"/>
            <w:tcBorders>
              <w:top w:val="nil"/>
              <w:bottom w:val="nil"/>
            </w:tcBorders>
          </w:tcPr>
          <w:p w:rsidR="00000000" w:rsidRDefault="00000000">
            <w:pPr>
              <w:pStyle w:val="a2"/>
              <w:tabs>
                <w:tab w:val="decimal" w:pos="335"/>
              </w:tabs>
              <w:spacing w:line="240" w:lineRule="auto"/>
            </w:pPr>
            <w:r>
              <w:t>23</w:t>
            </w:r>
          </w:p>
        </w:tc>
        <w:tc>
          <w:tcPr>
            <w:tcW w:w="442" w:type="pct"/>
            <w:tcBorders>
              <w:top w:val="nil"/>
              <w:bottom w:val="nil"/>
            </w:tcBorders>
          </w:tcPr>
          <w:p w:rsidR="00000000" w:rsidRDefault="00000000">
            <w:pPr>
              <w:pStyle w:val="a2"/>
              <w:tabs>
                <w:tab w:val="decimal" w:pos="335"/>
              </w:tabs>
              <w:spacing w:line="240" w:lineRule="auto"/>
            </w:pPr>
            <w:r>
              <w:t>14</w:t>
            </w:r>
          </w:p>
        </w:tc>
        <w:tc>
          <w:tcPr>
            <w:tcW w:w="443" w:type="pct"/>
            <w:tcBorders>
              <w:top w:val="nil"/>
              <w:bottom w:val="nil"/>
            </w:tcBorders>
          </w:tcPr>
          <w:p w:rsidR="00000000" w:rsidRDefault="00000000">
            <w:pPr>
              <w:pStyle w:val="a2"/>
              <w:tabs>
                <w:tab w:val="decimal" w:pos="335"/>
              </w:tabs>
              <w:spacing w:line="240" w:lineRule="auto"/>
            </w:pPr>
            <w:r>
              <w:t>101</w:t>
            </w:r>
          </w:p>
        </w:tc>
        <w:tc>
          <w:tcPr>
            <w:tcW w:w="350" w:type="pct"/>
            <w:tcBorders>
              <w:top w:val="nil"/>
              <w:bottom w:val="nil"/>
            </w:tcBorders>
          </w:tcPr>
          <w:p w:rsidR="00000000" w:rsidRDefault="00000000">
            <w:pPr>
              <w:pStyle w:val="a2"/>
              <w:tabs>
                <w:tab w:val="decimal" w:pos="335"/>
              </w:tabs>
              <w:spacing w:line="240" w:lineRule="auto"/>
            </w:pPr>
            <w:r>
              <w:t>64</w:t>
            </w: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ind w:left="510"/>
              <w:rPr>
                <w:rFonts w:hint="eastAsia"/>
              </w:rPr>
            </w:pPr>
            <w:r>
              <w:rPr>
                <w:rFonts w:hint="eastAsia"/>
              </w:rPr>
              <w:t>小学</w:t>
            </w:r>
          </w:p>
        </w:tc>
        <w:tc>
          <w:tcPr>
            <w:tcW w:w="410" w:type="pct"/>
            <w:tcBorders>
              <w:top w:val="nil"/>
              <w:bottom w:val="nil"/>
            </w:tcBorders>
          </w:tcPr>
          <w:p w:rsidR="00000000" w:rsidRDefault="00000000">
            <w:pPr>
              <w:pStyle w:val="a2"/>
              <w:tabs>
                <w:tab w:val="decimal" w:pos="335"/>
              </w:tabs>
              <w:spacing w:line="240" w:lineRule="auto"/>
            </w:pPr>
            <w:r>
              <w:t>44</w:t>
            </w:r>
          </w:p>
        </w:tc>
        <w:tc>
          <w:tcPr>
            <w:tcW w:w="411" w:type="pct"/>
            <w:tcBorders>
              <w:top w:val="nil"/>
              <w:bottom w:val="nil"/>
            </w:tcBorders>
          </w:tcPr>
          <w:p w:rsidR="00000000" w:rsidRDefault="00000000">
            <w:pPr>
              <w:pStyle w:val="a2"/>
              <w:tabs>
                <w:tab w:val="decimal" w:pos="335"/>
              </w:tabs>
              <w:spacing w:line="240" w:lineRule="auto"/>
            </w:pPr>
            <w:r>
              <w:t>35</w:t>
            </w:r>
          </w:p>
        </w:tc>
        <w:tc>
          <w:tcPr>
            <w:tcW w:w="395" w:type="pct"/>
            <w:tcBorders>
              <w:top w:val="nil"/>
              <w:bottom w:val="nil"/>
            </w:tcBorders>
          </w:tcPr>
          <w:p w:rsidR="00000000" w:rsidRDefault="00000000">
            <w:pPr>
              <w:pStyle w:val="a2"/>
              <w:tabs>
                <w:tab w:val="decimal" w:pos="335"/>
              </w:tabs>
              <w:spacing w:line="240" w:lineRule="auto"/>
            </w:pPr>
            <w:r>
              <w:t>24</w:t>
            </w:r>
          </w:p>
        </w:tc>
        <w:tc>
          <w:tcPr>
            <w:tcW w:w="395" w:type="pct"/>
            <w:gridSpan w:val="2"/>
            <w:tcBorders>
              <w:top w:val="nil"/>
              <w:bottom w:val="nil"/>
            </w:tcBorders>
          </w:tcPr>
          <w:p w:rsidR="00000000" w:rsidRDefault="00000000">
            <w:pPr>
              <w:pStyle w:val="a2"/>
              <w:tabs>
                <w:tab w:val="decimal" w:pos="335"/>
              </w:tabs>
              <w:spacing w:line="240" w:lineRule="auto"/>
            </w:pPr>
            <w:r>
              <w:t>20</w:t>
            </w:r>
          </w:p>
        </w:tc>
        <w:tc>
          <w:tcPr>
            <w:tcW w:w="395" w:type="pct"/>
            <w:tcBorders>
              <w:top w:val="nil"/>
              <w:bottom w:val="nil"/>
            </w:tcBorders>
          </w:tcPr>
          <w:p w:rsidR="00000000" w:rsidRDefault="00000000">
            <w:pPr>
              <w:pStyle w:val="a2"/>
              <w:tabs>
                <w:tab w:val="decimal" w:pos="335"/>
              </w:tabs>
              <w:spacing w:line="240" w:lineRule="auto"/>
            </w:pPr>
            <w:r>
              <w:t>20</w:t>
            </w:r>
          </w:p>
        </w:tc>
        <w:tc>
          <w:tcPr>
            <w:tcW w:w="395" w:type="pct"/>
            <w:tcBorders>
              <w:top w:val="nil"/>
              <w:bottom w:val="nil"/>
            </w:tcBorders>
          </w:tcPr>
          <w:p w:rsidR="00000000" w:rsidRDefault="00000000">
            <w:pPr>
              <w:pStyle w:val="a2"/>
              <w:tabs>
                <w:tab w:val="decimal" w:pos="335"/>
              </w:tabs>
              <w:spacing w:line="240" w:lineRule="auto"/>
            </w:pPr>
            <w:r>
              <w:t>15</w:t>
            </w:r>
          </w:p>
        </w:tc>
        <w:tc>
          <w:tcPr>
            <w:tcW w:w="379" w:type="pct"/>
            <w:tcBorders>
              <w:top w:val="nil"/>
              <w:bottom w:val="nil"/>
            </w:tcBorders>
          </w:tcPr>
          <w:p w:rsidR="00000000" w:rsidRDefault="00000000">
            <w:pPr>
              <w:pStyle w:val="a2"/>
              <w:tabs>
                <w:tab w:val="decimal" w:pos="335"/>
              </w:tabs>
              <w:spacing w:line="240" w:lineRule="auto"/>
            </w:pPr>
            <w:r>
              <w:t>16</w:t>
            </w:r>
          </w:p>
        </w:tc>
        <w:tc>
          <w:tcPr>
            <w:tcW w:w="442" w:type="pct"/>
            <w:tcBorders>
              <w:top w:val="nil"/>
              <w:bottom w:val="nil"/>
            </w:tcBorders>
          </w:tcPr>
          <w:p w:rsidR="00000000" w:rsidRDefault="00000000">
            <w:pPr>
              <w:pStyle w:val="a2"/>
              <w:tabs>
                <w:tab w:val="decimal" w:pos="335"/>
              </w:tabs>
              <w:spacing w:line="240" w:lineRule="auto"/>
            </w:pPr>
            <w:r>
              <w:t>10</w:t>
            </w:r>
          </w:p>
        </w:tc>
        <w:tc>
          <w:tcPr>
            <w:tcW w:w="443" w:type="pct"/>
            <w:tcBorders>
              <w:top w:val="nil"/>
              <w:bottom w:val="nil"/>
            </w:tcBorders>
          </w:tcPr>
          <w:p w:rsidR="00000000" w:rsidRDefault="00000000">
            <w:pPr>
              <w:pStyle w:val="a2"/>
              <w:tabs>
                <w:tab w:val="decimal" w:pos="335"/>
              </w:tabs>
              <w:spacing w:line="240" w:lineRule="auto"/>
            </w:pPr>
            <w:r>
              <w:t>59</w:t>
            </w:r>
          </w:p>
        </w:tc>
        <w:tc>
          <w:tcPr>
            <w:tcW w:w="350" w:type="pct"/>
            <w:tcBorders>
              <w:top w:val="nil"/>
              <w:bottom w:val="nil"/>
            </w:tcBorders>
          </w:tcPr>
          <w:p w:rsidR="00000000" w:rsidRDefault="00000000">
            <w:pPr>
              <w:pStyle w:val="a2"/>
              <w:tabs>
                <w:tab w:val="decimal" w:pos="335"/>
              </w:tabs>
              <w:spacing w:line="240" w:lineRule="auto"/>
            </w:pPr>
            <w:r>
              <w:t>44</w:t>
            </w:r>
          </w:p>
        </w:tc>
      </w:tr>
      <w:tr w:rsidR="00000000">
        <w:tblPrEx>
          <w:tblCellMar>
            <w:top w:w="0" w:type="dxa"/>
            <w:bottom w:w="0" w:type="dxa"/>
          </w:tblCellMar>
        </w:tblPrEx>
        <w:tc>
          <w:tcPr>
            <w:tcW w:w="985" w:type="pct"/>
            <w:tcBorders>
              <w:top w:val="nil"/>
              <w:bottom w:val="nil"/>
            </w:tcBorders>
          </w:tcPr>
          <w:p w:rsidR="00000000" w:rsidRDefault="00000000">
            <w:pPr>
              <w:pStyle w:val="a2"/>
              <w:spacing w:line="240" w:lineRule="auto"/>
              <w:ind w:left="510"/>
              <w:rPr>
                <w:rFonts w:hint="eastAsia"/>
              </w:rPr>
            </w:pPr>
            <w:r>
              <w:rPr>
                <w:rFonts w:hint="eastAsia"/>
              </w:rPr>
              <w:t>中学</w:t>
            </w:r>
          </w:p>
        </w:tc>
        <w:tc>
          <w:tcPr>
            <w:tcW w:w="410" w:type="pct"/>
            <w:tcBorders>
              <w:top w:val="nil"/>
              <w:bottom w:val="nil"/>
            </w:tcBorders>
          </w:tcPr>
          <w:p w:rsidR="00000000" w:rsidRDefault="00000000">
            <w:pPr>
              <w:pStyle w:val="a2"/>
              <w:tabs>
                <w:tab w:val="decimal" w:pos="335"/>
              </w:tabs>
              <w:spacing w:line="240" w:lineRule="auto"/>
            </w:pPr>
            <w:r>
              <w:t>31</w:t>
            </w:r>
          </w:p>
        </w:tc>
        <w:tc>
          <w:tcPr>
            <w:tcW w:w="411" w:type="pct"/>
            <w:tcBorders>
              <w:top w:val="nil"/>
              <w:bottom w:val="nil"/>
            </w:tcBorders>
          </w:tcPr>
          <w:p w:rsidR="00000000" w:rsidRDefault="00000000">
            <w:pPr>
              <w:pStyle w:val="a2"/>
              <w:tabs>
                <w:tab w:val="decimal" w:pos="335"/>
              </w:tabs>
              <w:spacing w:line="240" w:lineRule="auto"/>
            </w:pPr>
            <w:r>
              <w:t>25</w:t>
            </w:r>
          </w:p>
        </w:tc>
        <w:tc>
          <w:tcPr>
            <w:tcW w:w="395" w:type="pct"/>
            <w:tcBorders>
              <w:top w:val="nil"/>
              <w:bottom w:val="nil"/>
            </w:tcBorders>
          </w:tcPr>
          <w:p w:rsidR="00000000" w:rsidRDefault="00000000">
            <w:pPr>
              <w:pStyle w:val="a2"/>
              <w:tabs>
                <w:tab w:val="decimal" w:pos="335"/>
              </w:tabs>
              <w:spacing w:line="240" w:lineRule="auto"/>
            </w:pPr>
            <w:r>
              <w:t>20</w:t>
            </w:r>
          </w:p>
        </w:tc>
        <w:tc>
          <w:tcPr>
            <w:tcW w:w="395" w:type="pct"/>
            <w:gridSpan w:val="2"/>
            <w:tcBorders>
              <w:top w:val="nil"/>
              <w:bottom w:val="nil"/>
            </w:tcBorders>
          </w:tcPr>
          <w:p w:rsidR="00000000" w:rsidRDefault="00000000">
            <w:pPr>
              <w:pStyle w:val="a2"/>
              <w:tabs>
                <w:tab w:val="decimal" w:pos="335"/>
              </w:tabs>
              <w:spacing w:line="240" w:lineRule="auto"/>
            </w:pPr>
            <w:r>
              <w:t>19</w:t>
            </w:r>
          </w:p>
        </w:tc>
        <w:tc>
          <w:tcPr>
            <w:tcW w:w="395" w:type="pct"/>
            <w:tcBorders>
              <w:top w:val="nil"/>
              <w:bottom w:val="nil"/>
            </w:tcBorders>
          </w:tcPr>
          <w:p w:rsidR="00000000" w:rsidRDefault="00000000">
            <w:pPr>
              <w:pStyle w:val="a2"/>
              <w:tabs>
                <w:tab w:val="decimal" w:pos="335"/>
              </w:tabs>
              <w:spacing w:line="240" w:lineRule="auto"/>
            </w:pPr>
            <w:r>
              <w:t>11</w:t>
            </w:r>
          </w:p>
        </w:tc>
        <w:tc>
          <w:tcPr>
            <w:tcW w:w="395" w:type="pct"/>
            <w:tcBorders>
              <w:top w:val="nil"/>
              <w:bottom w:val="nil"/>
            </w:tcBorders>
          </w:tcPr>
          <w:p w:rsidR="00000000" w:rsidRDefault="00000000">
            <w:pPr>
              <w:pStyle w:val="a2"/>
              <w:tabs>
                <w:tab w:val="decimal" w:pos="335"/>
              </w:tabs>
              <w:spacing w:line="240" w:lineRule="auto"/>
            </w:pPr>
            <w:r>
              <w:t>5</w:t>
            </w:r>
          </w:p>
        </w:tc>
        <w:tc>
          <w:tcPr>
            <w:tcW w:w="379" w:type="pct"/>
            <w:tcBorders>
              <w:top w:val="nil"/>
              <w:bottom w:val="nil"/>
            </w:tcBorders>
          </w:tcPr>
          <w:p w:rsidR="00000000" w:rsidRDefault="00000000">
            <w:pPr>
              <w:pStyle w:val="a2"/>
              <w:tabs>
                <w:tab w:val="decimal" w:pos="335"/>
              </w:tabs>
              <w:spacing w:line="240" w:lineRule="auto"/>
            </w:pPr>
            <w:r>
              <w:t>3</w:t>
            </w:r>
          </w:p>
        </w:tc>
        <w:tc>
          <w:tcPr>
            <w:tcW w:w="442" w:type="pct"/>
            <w:tcBorders>
              <w:top w:val="nil"/>
              <w:bottom w:val="nil"/>
            </w:tcBorders>
          </w:tcPr>
          <w:p w:rsidR="00000000" w:rsidRDefault="00000000">
            <w:pPr>
              <w:pStyle w:val="a2"/>
              <w:tabs>
                <w:tab w:val="decimal" w:pos="335"/>
              </w:tabs>
              <w:spacing w:line="240" w:lineRule="auto"/>
            </w:pPr>
            <w:r>
              <w:t>5</w:t>
            </w:r>
          </w:p>
        </w:tc>
        <w:tc>
          <w:tcPr>
            <w:tcW w:w="443" w:type="pct"/>
            <w:tcBorders>
              <w:top w:val="nil"/>
              <w:bottom w:val="nil"/>
            </w:tcBorders>
          </w:tcPr>
          <w:p w:rsidR="00000000" w:rsidRDefault="00000000">
            <w:pPr>
              <w:pStyle w:val="a2"/>
              <w:tabs>
                <w:tab w:val="decimal" w:pos="335"/>
              </w:tabs>
              <w:spacing w:line="240" w:lineRule="auto"/>
            </w:pPr>
            <w:r>
              <w:t>34</w:t>
            </w:r>
          </w:p>
        </w:tc>
        <w:tc>
          <w:tcPr>
            <w:tcW w:w="350" w:type="pct"/>
            <w:tcBorders>
              <w:top w:val="nil"/>
              <w:bottom w:val="nil"/>
            </w:tcBorders>
          </w:tcPr>
          <w:p w:rsidR="00000000" w:rsidRDefault="00000000">
            <w:pPr>
              <w:pStyle w:val="a2"/>
              <w:tabs>
                <w:tab w:val="decimal" w:pos="335"/>
              </w:tabs>
              <w:spacing w:line="240" w:lineRule="auto"/>
            </w:pPr>
            <w:r>
              <w:t>30</w:t>
            </w:r>
          </w:p>
        </w:tc>
      </w:tr>
      <w:tr w:rsidR="00000000">
        <w:tblPrEx>
          <w:tblCellMar>
            <w:top w:w="0" w:type="dxa"/>
            <w:bottom w:w="0" w:type="dxa"/>
          </w:tblCellMar>
        </w:tblPrEx>
        <w:tc>
          <w:tcPr>
            <w:tcW w:w="985" w:type="pct"/>
            <w:tcBorders>
              <w:top w:val="nil"/>
            </w:tcBorders>
          </w:tcPr>
          <w:p w:rsidR="00000000" w:rsidRDefault="00000000">
            <w:pPr>
              <w:pStyle w:val="a2"/>
              <w:spacing w:line="240" w:lineRule="auto"/>
              <w:ind w:left="510"/>
              <w:rPr>
                <w:rFonts w:hint="eastAsia"/>
              </w:rPr>
            </w:pPr>
            <w:r>
              <w:rPr>
                <w:rFonts w:hint="eastAsia"/>
              </w:rPr>
              <w:t>大学</w:t>
            </w:r>
            <w:r>
              <w:rPr>
                <w:rFonts w:hint="eastAsia"/>
              </w:rPr>
              <w:t>/</w:t>
            </w:r>
            <w:r>
              <w:rPr>
                <w:rFonts w:hint="eastAsia"/>
              </w:rPr>
              <w:t>研究生</w:t>
            </w:r>
          </w:p>
        </w:tc>
        <w:tc>
          <w:tcPr>
            <w:tcW w:w="410" w:type="pct"/>
            <w:tcBorders>
              <w:top w:val="nil"/>
            </w:tcBorders>
          </w:tcPr>
          <w:p w:rsidR="00000000" w:rsidRDefault="00000000">
            <w:pPr>
              <w:pStyle w:val="a2"/>
              <w:tabs>
                <w:tab w:val="decimal" w:pos="335"/>
              </w:tabs>
              <w:spacing w:line="240" w:lineRule="auto"/>
            </w:pPr>
            <w:r>
              <w:t>11</w:t>
            </w:r>
          </w:p>
        </w:tc>
        <w:tc>
          <w:tcPr>
            <w:tcW w:w="411" w:type="pct"/>
            <w:tcBorders>
              <w:top w:val="nil"/>
            </w:tcBorders>
          </w:tcPr>
          <w:p w:rsidR="00000000" w:rsidRDefault="00000000">
            <w:pPr>
              <w:pStyle w:val="a2"/>
              <w:tabs>
                <w:tab w:val="decimal" w:pos="335"/>
              </w:tabs>
              <w:spacing w:line="240" w:lineRule="auto"/>
            </w:pPr>
            <w:r>
              <w:t>11</w:t>
            </w:r>
          </w:p>
        </w:tc>
        <w:tc>
          <w:tcPr>
            <w:tcW w:w="395" w:type="pct"/>
            <w:tcBorders>
              <w:top w:val="nil"/>
            </w:tcBorders>
          </w:tcPr>
          <w:p w:rsidR="00000000" w:rsidRDefault="00000000">
            <w:pPr>
              <w:pStyle w:val="a2"/>
              <w:tabs>
                <w:tab w:val="decimal" w:pos="335"/>
              </w:tabs>
              <w:spacing w:line="240" w:lineRule="auto"/>
            </w:pPr>
            <w:r>
              <w:t>7</w:t>
            </w:r>
          </w:p>
        </w:tc>
        <w:tc>
          <w:tcPr>
            <w:tcW w:w="395" w:type="pct"/>
            <w:gridSpan w:val="2"/>
            <w:tcBorders>
              <w:top w:val="nil"/>
            </w:tcBorders>
          </w:tcPr>
          <w:p w:rsidR="00000000" w:rsidRDefault="00000000">
            <w:pPr>
              <w:pStyle w:val="a2"/>
              <w:tabs>
                <w:tab w:val="decimal" w:pos="335"/>
              </w:tabs>
              <w:spacing w:line="240" w:lineRule="auto"/>
            </w:pPr>
            <w:r>
              <w:t>9</w:t>
            </w:r>
          </w:p>
        </w:tc>
        <w:tc>
          <w:tcPr>
            <w:tcW w:w="395" w:type="pct"/>
            <w:tcBorders>
              <w:top w:val="nil"/>
            </w:tcBorders>
          </w:tcPr>
          <w:p w:rsidR="00000000" w:rsidRDefault="00000000">
            <w:pPr>
              <w:pStyle w:val="a2"/>
              <w:tabs>
                <w:tab w:val="decimal" w:pos="335"/>
              </w:tabs>
              <w:spacing w:line="240" w:lineRule="auto"/>
            </w:pPr>
            <w:r>
              <w:t>4</w:t>
            </w:r>
          </w:p>
        </w:tc>
        <w:tc>
          <w:tcPr>
            <w:tcW w:w="395" w:type="pct"/>
            <w:tcBorders>
              <w:top w:val="nil"/>
            </w:tcBorders>
          </w:tcPr>
          <w:p w:rsidR="00000000" w:rsidRDefault="00000000">
            <w:pPr>
              <w:pStyle w:val="a2"/>
              <w:tabs>
                <w:tab w:val="decimal" w:pos="335"/>
              </w:tabs>
              <w:spacing w:line="240" w:lineRule="auto"/>
            </w:pPr>
            <w:r>
              <w:t>1</w:t>
            </w:r>
          </w:p>
        </w:tc>
        <w:tc>
          <w:tcPr>
            <w:tcW w:w="379" w:type="pct"/>
            <w:tcBorders>
              <w:top w:val="nil"/>
            </w:tcBorders>
          </w:tcPr>
          <w:p w:rsidR="00000000" w:rsidRDefault="00000000">
            <w:pPr>
              <w:pStyle w:val="a2"/>
              <w:tabs>
                <w:tab w:val="decimal" w:pos="335"/>
              </w:tabs>
              <w:spacing w:line="240" w:lineRule="auto"/>
            </w:pPr>
            <w:r>
              <w:t>1</w:t>
            </w:r>
          </w:p>
        </w:tc>
        <w:tc>
          <w:tcPr>
            <w:tcW w:w="442" w:type="pct"/>
            <w:tcBorders>
              <w:top w:val="nil"/>
            </w:tcBorders>
          </w:tcPr>
          <w:p w:rsidR="00000000" w:rsidRDefault="00000000">
            <w:pPr>
              <w:pStyle w:val="a2"/>
              <w:tabs>
                <w:tab w:val="decimal" w:pos="335"/>
              </w:tabs>
              <w:spacing w:line="240" w:lineRule="auto"/>
            </w:pPr>
            <w:r>
              <w:t>1</w:t>
            </w:r>
          </w:p>
        </w:tc>
        <w:tc>
          <w:tcPr>
            <w:tcW w:w="443" w:type="pct"/>
            <w:tcBorders>
              <w:top w:val="nil"/>
            </w:tcBorders>
          </w:tcPr>
          <w:p w:rsidR="00000000" w:rsidRDefault="00000000">
            <w:pPr>
              <w:pStyle w:val="a2"/>
              <w:tabs>
                <w:tab w:val="decimal" w:pos="335"/>
              </w:tabs>
              <w:spacing w:line="240" w:lineRule="auto"/>
            </w:pPr>
            <w:r>
              <w:t>13</w:t>
            </w:r>
          </w:p>
        </w:tc>
        <w:tc>
          <w:tcPr>
            <w:tcW w:w="350" w:type="pct"/>
            <w:tcBorders>
              <w:top w:val="nil"/>
            </w:tcBorders>
          </w:tcPr>
          <w:p w:rsidR="00000000" w:rsidRDefault="00000000">
            <w:pPr>
              <w:pStyle w:val="a2"/>
              <w:tabs>
                <w:tab w:val="decimal" w:pos="335"/>
              </w:tabs>
              <w:spacing w:line="240" w:lineRule="auto"/>
            </w:pPr>
            <w:r>
              <w:t>12</w:t>
            </w:r>
          </w:p>
        </w:tc>
      </w:tr>
    </w:tbl>
    <w:p w:rsidR="00000000" w:rsidRDefault="00000000">
      <w:pPr>
        <w:spacing w:line="240" w:lineRule="auto"/>
        <w:rPr>
          <w:rFonts w:hint="eastAsia"/>
        </w:rPr>
      </w:pPr>
    </w:p>
    <w:p w:rsidR="00000000" w:rsidRDefault="00000000">
      <w:pPr>
        <w:rPr>
          <w:rFonts w:hint="eastAsia"/>
        </w:rPr>
      </w:pPr>
      <w:r>
        <w:rPr>
          <w:rFonts w:hint="eastAsia"/>
        </w:rPr>
        <w:tab/>
        <w:t xml:space="preserve">399.  </w:t>
      </w:r>
      <w:r>
        <w:rPr>
          <w:rFonts w:hint="eastAsia"/>
        </w:rPr>
        <w:t>婴儿死亡率总数下降了</w:t>
      </w:r>
      <w:r>
        <w:rPr>
          <w:rFonts w:hint="eastAsia"/>
        </w:rPr>
        <w:t>25%</w:t>
      </w:r>
      <w:r>
        <w:rPr>
          <w:rFonts w:hint="eastAsia"/>
        </w:rPr>
        <w:t>，从</w:t>
      </w:r>
      <w:r>
        <w:rPr>
          <w:rFonts w:hint="eastAsia"/>
        </w:rPr>
        <w:t>40</w:t>
      </w:r>
      <w:r>
        <w:t>‰</w:t>
      </w:r>
      <w:r>
        <w:rPr>
          <w:rFonts w:hint="eastAsia"/>
        </w:rPr>
        <w:t>降至</w:t>
      </w:r>
      <w:r>
        <w:rPr>
          <w:rFonts w:hint="eastAsia"/>
        </w:rPr>
        <w:t>30</w:t>
      </w:r>
      <w:r>
        <w:t>‰</w:t>
      </w:r>
      <w:r>
        <w:rPr>
          <w:rFonts w:hint="eastAsia"/>
        </w:rPr>
        <w:t>，即过去五年中每年平均降低</w:t>
      </w:r>
      <w:r>
        <w:rPr>
          <w:rFonts w:hint="eastAsia"/>
        </w:rPr>
        <w:t>5%</w:t>
      </w:r>
      <w:r>
        <w:rPr>
          <w:rFonts w:hint="eastAsia"/>
        </w:rPr>
        <w:t>，下降幅度最大的是新生儿后期死亡率，共降低</w:t>
      </w:r>
      <w:r>
        <w:rPr>
          <w:rFonts w:hint="eastAsia"/>
        </w:rPr>
        <w:t>39%</w:t>
      </w:r>
      <w:r>
        <w:rPr>
          <w:rFonts w:hint="eastAsia"/>
        </w:rPr>
        <w:t>。</w:t>
      </w:r>
    </w:p>
    <w:p w:rsidR="00000000" w:rsidRDefault="00000000">
      <w:pPr>
        <w:rPr>
          <w:rFonts w:hint="eastAsia"/>
        </w:rPr>
      </w:pPr>
      <w:r>
        <w:rPr>
          <w:rFonts w:hint="eastAsia"/>
        </w:rPr>
        <w:tab/>
        <w:t xml:space="preserve">400.  </w:t>
      </w:r>
      <w:r>
        <w:rPr>
          <w:rFonts w:hint="eastAsia"/>
        </w:rPr>
        <w:t>沿海地区新生儿后期死亡数占总死亡率的</w:t>
      </w:r>
      <w:r>
        <w:rPr>
          <w:rFonts w:hint="eastAsia"/>
        </w:rPr>
        <w:t>36%</w:t>
      </w:r>
      <w:r>
        <w:rPr>
          <w:rFonts w:hint="eastAsia"/>
        </w:rPr>
        <w:t>。在</w:t>
      </w:r>
      <w:r>
        <w:t>Sierra</w:t>
      </w:r>
      <w:r>
        <w:rPr>
          <w:rFonts w:hint="eastAsia"/>
        </w:rPr>
        <w:t>地区升至</w:t>
      </w:r>
      <w:r>
        <w:rPr>
          <w:rFonts w:hint="eastAsia"/>
        </w:rPr>
        <w:t>38%</w:t>
      </w:r>
      <w:r>
        <w:rPr>
          <w:rFonts w:hint="eastAsia"/>
        </w:rPr>
        <w:t>，</w:t>
      </w:r>
      <w:r>
        <w:t>Amazonia</w:t>
      </w:r>
      <w:r>
        <w:rPr>
          <w:rFonts w:hint="eastAsia"/>
        </w:rPr>
        <w:t>地区升至</w:t>
      </w:r>
      <w:r>
        <w:rPr>
          <w:rFonts w:hint="eastAsia"/>
        </w:rPr>
        <w:t>47%</w:t>
      </w:r>
      <w:r>
        <w:rPr>
          <w:rFonts w:hint="eastAsia"/>
        </w:rPr>
        <w:t>，这表明需要对这些地区开展卫生宣传运动，通过开展卫生宣传运动可以大大降低婴儿死亡率。</w:t>
      </w:r>
    </w:p>
    <w:p w:rsidR="00000000" w:rsidRDefault="00000000">
      <w:pPr>
        <w:rPr>
          <w:rFonts w:hint="eastAsia"/>
        </w:rPr>
      </w:pPr>
      <w:r>
        <w:rPr>
          <w:rFonts w:hint="eastAsia"/>
        </w:rPr>
        <w:tab/>
        <w:t xml:space="preserve">401.  </w:t>
      </w:r>
      <w:r>
        <w:rPr>
          <w:rFonts w:hint="eastAsia"/>
        </w:rPr>
        <w:t>教育对于婴儿死亡率是一种决定性因素。教育可以改变人们对健康和卫生的看法和实际做法。未受过教育的母亲子女的死亡率</w:t>
      </w:r>
      <w:r>
        <w:rPr>
          <w:rFonts w:hint="eastAsia"/>
        </w:rPr>
        <w:t>(52</w:t>
      </w:r>
      <w:r>
        <w:t>‰</w:t>
      </w:r>
      <w:r>
        <w:rPr>
          <w:rFonts w:hint="eastAsia"/>
        </w:rPr>
        <w:t>)</w:t>
      </w:r>
      <w:r>
        <w:rPr>
          <w:rFonts w:hint="eastAsia"/>
        </w:rPr>
        <w:t>比受过中学教育的母亲子女的死亡率</w:t>
      </w:r>
      <w:r>
        <w:rPr>
          <w:rFonts w:hint="eastAsia"/>
        </w:rPr>
        <w:t>(26</w:t>
      </w:r>
      <w:r>
        <w:t>‰</w:t>
      </w:r>
      <w:r>
        <w:rPr>
          <w:rFonts w:hint="eastAsia"/>
        </w:rPr>
        <w:t>)</w:t>
      </w:r>
      <w:r>
        <w:rPr>
          <w:rFonts w:hint="eastAsia"/>
        </w:rPr>
        <w:t>高一倍，教育程度越高死亡率就越低；这在</w:t>
      </w:r>
      <w:r>
        <w:rPr>
          <w:rFonts w:hint="eastAsia"/>
        </w:rPr>
        <w:t>0</w:t>
      </w:r>
      <w:r>
        <w:rPr>
          <w:rFonts w:hint="eastAsia"/>
        </w:rPr>
        <w:t>至</w:t>
      </w:r>
      <w:r>
        <w:rPr>
          <w:rFonts w:hint="eastAsia"/>
        </w:rPr>
        <w:t>4</w:t>
      </w:r>
      <w:r>
        <w:rPr>
          <w:rFonts w:hint="eastAsia"/>
        </w:rPr>
        <w:t>岁儿童的死亡率数字上很明显，未受过教育的母亲与受过高等教育的和</w:t>
      </w:r>
      <w:r>
        <w:rPr>
          <w:rFonts w:hint="eastAsia"/>
        </w:rPr>
        <w:t>/</w:t>
      </w:r>
      <w:r>
        <w:rPr>
          <w:rFonts w:hint="eastAsia"/>
        </w:rPr>
        <w:t>或研究生教育的母亲之间子女的死亡率相差系数为</w:t>
      </w:r>
      <w:r>
        <w:rPr>
          <w:rFonts w:hint="eastAsia"/>
        </w:rPr>
        <w:t>6</w:t>
      </w:r>
      <w:r>
        <w:rPr>
          <w:rFonts w:hint="eastAsia"/>
        </w:rPr>
        <w:t>。</w:t>
      </w:r>
    </w:p>
    <w:p w:rsidR="00000000" w:rsidRDefault="00000000">
      <w:pPr>
        <w:spacing w:after="160"/>
        <w:rPr>
          <w:rFonts w:hint="eastAsia"/>
        </w:rPr>
      </w:pPr>
      <w:r>
        <w:rPr>
          <w:rFonts w:hint="eastAsia"/>
        </w:rPr>
        <w:tab/>
        <w:t xml:space="preserve">402.  </w:t>
      </w:r>
      <w:r>
        <w:rPr>
          <w:rFonts w:hint="eastAsia"/>
        </w:rPr>
        <w:t>根据公共卫生部的资料，</w:t>
      </w:r>
      <w:r>
        <w:rPr>
          <w:rFonts w:hint="eastAsia"/>
        </w:rPr>
        <w:t>1998</w:t>
      </w:r>
      <w:r>
        <w:rPr>
          <w:rFonts w:hint="eastAsia"/>
        </w:rPr>
        <w:t>年婴儿死亡率的指标如下：</w:t>
      </w:r>
    </w:p>
    <w:p w:rsidR="00000000" w:rsidRDefault="00000000">
      <w:pPr>
        <w:pStyle w:val="Heading3"/>
        <w:spacing w:after="160"/>
        <w:rPr>
          <w:rFonts w:eastAsia="KaiTi_GB2312"/>
          <w:snapToGrid/>
          <w:spacing w:val="0"/>
          <w:kern w:val="0"/>
          <w:u w:val="none"/>
        </w:rPr>
      </w:pPr>
      <w:r>
        <w:rPr>
          <w:rFonts w:hint="eastAsia"/>
          <w:bCs/>
        </w:rPr>
        <w:t>1998</w:t>
      </w:r>
      <w:r>
        <w:rPr>
          <w:rFonts w:hint="eastAsia"/>
          <w:bCs/>
        </w:rPr>
        <w:t>年人口指标</w:t>
      </w:r>
      <w:r>
        <w:rPr>
          <w:bCs/>
        </w:rPr>
        <w:br/>
      </w:r>
      <w:r>
        <w:rPr>
          <w:rFonts w:eastAsia="KaiTi_GB2312"/>
          <w:snapToGrid/>
          <w:spacing w:val="0"/>
          <w:kern w:val="0"/>
          <w:u w:val="none"/>
        </w:rPr>
        <w:t>(</w:t>
      </w:r>
      <w:r>
        <w:rPr>
          <w:rFonts w:eastAsia="KaiTi_GB2312" w:hint="eastAsia"/>
          <w:snapToGrid/>
          <w:spacing w:val="0"/>
          <w:kern w:val="0"/>
          <w:u w:val="none"/>
        </w:rPr>
        <w:t>公共卫生部</w:t>
      </w:r>
      <w:r>
        <w:rPr>
          <w:rFonts w:eastAsia="KaiTi_GB2312"/>
          <w:snapToGrid/>
          <w:spacing w:val="0"/>
          <w:kern w:val="0"/>
          <w:u w:val="none"/>
        </w:rPr>
        <w:t>)</w:t>
      </w:r>
    </w:p>
    <w:tbl>
      <w:tblPr>
        <w:tblW w:w="3207" w:type="pct"/>
        <w:jc w:val="center"/>
        <w:tblInd w:w="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18"/>
        <w:gridCol w:w="1471"/>
      </w:tblGrid>
      <w:tr w:rsidR="00000000">
        <w:tblPrEx>
          <w:tblCellMar>
            <w:top w:w="0" w:type="dxa"/>
            <w:bottom w:w="0" w:type="dxa"/>
          </w:tblCellMar>
        </w:tblPrEx>
        <w:trPr>
          <w:jc w:val="center"/>
        </w:trPr>
        <w:tc>
          <w:tcPr>
            <w:tcW w:w="3792" w:type="pct"/>
            <w:tcBorders>
              <w:bottom w:val="nil"/>
            </w:tcBorders>
          </w:tcPr>
          <w:p w:rsidR="00000000" w:rsidRDefault="00000000">
            <w:pPr>
              <w:pStyle w:val="a2"/>
            </w:pPr>
            <w:r>
              <w:rPr>
                <w:rFonts w:hint="eastAsia"/>
              </w:rPr>
              <w:t>婴儿死亡率</w:t>
            </w:r>
            <w:r>
              <w:t>*</w:t>
            </w:r>
          </w:p>
        </w:tc>
        <w:tc>
          <w:tcPr>
            <w:tcW w:w="1208" w:type="pct"/>
            <w:tcBorders>
              <w:bottom w:val="nil"/>
            </w:tcBorders>
          </w:tcPr>
          <w:p w:rsidR="00000000" w:rsidRDefault="00000000">
            <w:pPr>
              <w:pStyle w:val="a2"/>
            </w:pPr>
            <w:r>
              <w:t>32.2</w:t>
            </w:r>
          </w:p>
        </w:tc>
      </w:tr>
      <w:tr w:rsidR="00000000">
        <w:tblPrEx>
          <w:tblCellMar>
            <w:top w:w="0" w:type="dxa"/>
            <w:bottom w:w="0" w:type="dxa"/>
          </w:tblCellMar>
        </w:tblPrEx>
        <w:trPr>
          <w:jc w:val="center"/>
        </w:trPr>
        <w:tc>
          <w:tcPr>
            <w:tcW w:w="3792" w:type="pct"/>
            <w:tcBorders>
              <w:top w:val="nil"/>
              <w:bottom w:val="nil"/>
            </w:tcBorders>
          </w:tcPr>
          <w:p w:rsidR="00000000" w:rsidRDefault="00000000">
            <w:pPr>
              <w:pStyle w:val="a2"/>
            </w:pPr>
            <w:r>
              <w:rPr>
                <w:rFonts w:hint="eastAsia"/>
              </w:rPr>
              <w:t>新生儿死亡率</w:t>
            </w:r>
            <w:r>
              <w:t>*</w:t>
            </w:r>
          </w:p>
        </w:tc>
        <w:tc>
          <w:tcPr>
            <w:tcW w:w="1208" w:type="pct"/>
            <w:tcBorders>
              <w:top w:val="nil"/>
              <w:bottom w:val="nil"/>
            </w:tcBorders>
          </w:tcPr>
          <w:p w:rsidR="00000000" w:rsidRDefault="00000000">
            <w:pPr>
              <w:pStyle w:val="a2"/>
            </w:pPr>
            <w:r>
              <w:t>14.5</w:t>
            </w:r>
          </w:p>
        </w:tc>
      </w:tr>
      <w:tr w:rsidR="00000000">
        <w:tblPrEx>
          <w:tblCellMar>
            <w:top w:w="0" w:type="dxa"/>
            <w:bottom w:w="0" w:type="dxa"/>
          </w:tblCellMar>
        </w:tblPrEx>
        <w:trPr>
          <w:jc w:val="center"/>
        </w:trPr>
        <w:tc>
          <w:tcPr>
            <w:tcW w:w="3792" w:type="pct"/>
            <w:tcBorders>
              <w:top w:val="nil"/>
              <w:bottom w:val="nil"/>
            </w:tcBorders>
          </w:tcPr>
          <w:p w:rsidR="00000000" w:rsidRDefault="00000000">
            <w:pPr>
              <w:pStyle w:val="a2"/>
            </w:pPr>
            <w:r>
              <w:rPr>
                <w:rFonts w:hint="eastAsia"/>
              </w:rPr>
              <w:t>新生儿后期死亡率</w:t>
            </w:r>
            <w:r>
              <w:t>*</w:t>
            </w:r>
          </w:p>
        </w:tc>
        <w:tc>
          <w:tcPr>
            <w:tcW w:w="1208" w:type="pct"/>
            <w:tcBorders>
              <w:top w:val="nil"/>
              <w:bottom w:val="nil"/>
            </w:tcBorders>
          </w:tcPr>
          <w:p w:rsidR="00000000" w:rsidRDefault="00000000">
            <w:pPr>
              <w:pStyle w:val="a2"/>
            </w:pPr>
            <w:r>
              <w:t>17.7</w:t>
            </w:r>
          </w:p>
        </w:tc>
      </w:tr>
      <w:tr w:rsidR="00000000">
        <w:tblPrEx>
          <w:tblCellMar>
            <w:top w:w="0" w:type="dxa"/>
            <w:bottom w:w="0" w:type="dxa"/>
          </w:tblCellMar>
        </w:tblPrEx>
        <w:trPr>
          <w:jc w:val="center"/>
        </w:trPr>
        <w:tc>
          <w:tcPr>
            <w:tcW w:w="3792" w:type="pct"/>
            <w:tcBorders>
              <w:top w:val="nil"/>
              <w:bottom w:val="single" w:sz="4" w:space="0" w:color="auto"/>
            </w:tcBorders>
          </w:tcPr>
          <w:p w:rsidR="00000000" w:rsidRDefault="00000000">
            <w:pPr>
              <w:pStyle w:val="a2"/>
            </w:pPr>
            <w:r>
              <w:rPr>
                <w:rFonts w:hint="eastAsia"/>
              </w:rPr>
              <w:t>围产期死亡率</w:t>
            </w:r>
            <w:r>
              <w:t>*</w:t>
            </w:r>
          </w:p>
        </w:tc>
        <w:tc>
          <w:tcPr>
            <w:tcW w:w="1208" w:type="pct"/>
            <w:tcBorders>
              <w:top w:val="nil"/>
              <w:bottom w:val="single" w:sz="4" w:space="0" w:color="auto"/>
            </w:tcBorders>
          </w:tcPr>
          <w:p w:rsidR="00000000" w:rsidRDefault="00000000">
            <w:pPr>
              <w:pStyle w:val="a2"/>
            </w:pPr>
            <w:r>
              <w:t>19.7</w:t>
            </w:r>
          </w:p>
        </w:tc>
      </w:tr>
      <w:tr w:rsidR="00000000">
        <w:tblPrEx>
          <w:tblCellMar>
            <w:top w:w="0" w:type="dxa"/>
            <w:bottom w:w="0" w:type="dxa"/>
          </w:tblCellMar>
        </w:tblPrEx>
        <w:trPr>
          <w:cantSplit/>
          <w:jc w:val="center"/>
        </w:trPr>
        <w:tc>
          <w:tcPr>
            <w:tcW w:w="5000" w:type="pct"/>
            <w:gridSpan w:val="2"/>
            <w:tcBorders>
              <w:top w:val="single" w:sz="4" w:space="0" w:color="auto"/>
              <w:left w:val="nil"/>
              <w:bottom w:val="nil"/>
              <w:right w:val="nil"/>
            </w:tcBorders>
          </w:tcPr>
          <w:p w:rsidR="00000000" w:rsidRDefault="00000000">
            <w:pPr>
              <w:pStyle w:val="a2"/>
              <w:spacing w:before="120"/>
              <w:rPr>
                <w:rFonts w:hint="eastAsia"/>
                <w:sz w:val="20"/>
              </w:rPr>
            </w:pPr>
            <w:r>
              <w:rPr>
                <w:rFonts w:hint="eastAsia"/>
                <w:sz w:val="20"/>
              </w:rPr>
              <w:tab/>
            </w:r>
            <w:r>
              <w:rPr>
                <w:sz w:val="20"/>
              </w:rPr>
              <w:t>*</w:t>
            </w:r>
            <w:r>
              <w:rPr>
                <w:rFonts w:hint="eastAsia"/>
                <w:sz w:val="20"/>
              </w:rPr>
              <w:tab/>
            </w:r>
            <w:r>
              <w:rPr>
                <w:rFonts w:eastAsia="KaiTi_GB2312" w:hint="eastAsia"/>
                <w:snapToGrid/>
                <w:sz w:val="20"/>
              </w:rPr>
              <w:t>每千名活产婴儿比例。</w:t>
            </w:r>
          </w:p>
        </w:tc>
      </w:tr>
    </w:tbl>
    <w:p w:rsidR="00000000" w:rsidRDefault="00000000">
      <w:pPr>
        <w:pStyle w:val="Heading4"/>
        <w:rPr>
          <w:rFonts w:eastAsia="KaiTi_GB2312" w:hint="eastAsia"/>
          <w:snapToGrid/>
          <w:spacing w:val="0"/>
          <w:u w:val="none"/>
        </w:rPr>
      </w:pPr>
      <w:r>
        <w:rPr>
          <w:rFonts w:eastAsia="KaiTi_GB2312" w:hint="eastAsia"/>
          <w:snapToGrid/>
          <w:spacing w:val="0"/>
          <w:u w:val="none"/>
        </w:rPr>
        <w:t>饮用水的供应</w:t>
      </w:r>
    </w:p>
    <w:p w:rsidR="00000000" w:rsidRDefault="00000000">
      <w:pPr>
        <w:rPr>
          <w:rFonts w:hint="eastAsia"/>
        </w:rPr>
      </w:pPr>
      <w:r>
        <w:rPr>
          <w:rFonts w:hint="eastAsia"/>
        </w:rPr>
        <w:tab/>
        <w:t xml:space="preserve">403.  </w:t>
      </w:r>
      <w:r>
        <w:rPr>
          <w:rFonts w:hint="eastAsia"/>
        </w:rPr>
        <w:t>获得饮用水最可靠的途径是通过公共供水网，因为通过公共供水网的水应该都经过处理，适合人类饮用。全国</w:t>
      </w:r>
      <w:r>
        <w:rPr>
          <w:rFonts w:hint="eastAsia"/>
        </w:rPr>
        <w:t>73%</w:t>
      </w:r>
      <w:r>
        <w:rPr>
          <w:rFonts w:hint="eastAsia"/>
        </w:rPr>
        <w:t>的城市人口，</w:t>
      </w:r>
      <w:r>
        <w:rPr>
          <w:rFonts w:hint="eastAsia"/>
        </w:rPr>
        <w:t>32.5%</w:t>
      </w:r>
      <w:r>
        <w:rPr>
          <w:rFonts w:hint="eastAsia"/>
        </w:rPr>
        <w:t>的农村人口可以获得这种饮用水供应。</w:t>
      </w:r>
    </w:p>
    <w:p w:rsidR="00000000" w:rsidRDefault="00000000">
      <w:pPr>
        <w:rPr>
          <w:rFonts w:hint="eastAsia"/>
        </w:rPr>
      </w:pPr>
      <w:r>
        <w:rPr>
          <w:rFonts w:hint="eastAsia"/>
        </w:rPr>
        <w:tab/>
        <w:t xml:space="preserve">404.  </w:t>
      </w:r>
      <w:r>
        <w:rPr>
          <w:rFonts w:hint="eastAsia"/>
        </w:rPr>
        <w:t>在大多数城市，尤其是小城市，由于现有基础设施的缺陷，很难保证不停水；网络运行和维护也要求不得不对用户限量和间歇性供水。</w:t>
      </w:r>
    </w:p>
    <w:p w:rsidR="00000000" w:rsidRDefault="00000000">
      <w:pPr>
        <w:rPr>
          <w:rFonts w:hint="eastAsia"/>
        </w:rPr>
      </w:pPr>
      <w:r>
        <w:rPr>
          <w:rFonts w:hint="eastAsia"/>
        </w:rPr>
        <w:tab/>
        <w:t xml:space="preserve">405.  </w:t>
      </w:r>
      <w:r>
        <w:rPr>
          <w:rFonts w:hint="eastAsia"/>
        </w:rPr>
        <w:t>许多供水系统在水处理方面存在严重的技术问题，因此，所供应的水从化学和细菌学的角度看水质很差。水的净化工作也很不认真。除此以外，用于运行和维护的资源也有限。</w:t>
      </w:r>
    </w:p>
    <w:p w:rsidR="00000000" w:rsidRDefault="00000000">
      <w:pPr>
        <w:rPr>
          <w:rFonts w:hint="eastAsia"/>
        </w:rPr>
      </w:pPr>
      <w:r>
        <w:rPr>
          <w:rFonts w:hint="eastAsia"/>
        </w:rPr>
        <w:tab/>
        <w:t xml:space="preserve">406.  </w:t>
      </w:r>
      <w:r>
        <w:rPr>
          <w:rFonts w:hint="eastAsia"/>
        </w:rPr>
        <w:t>在厄瓜多尔，基础服务的行政管理和经营由市政府负责。</w:t>
      </w:r>
    </w:p>
    <w:p w:rsidR="00000000" w:rsidRDefault="00000000">
      <w:pPr>
        <w:rPr>
          <w:rFonts w:hint="eastAsia"/>
        </w:rPr>
      </w:pPr>
      <w:r>
        <w:rPr>
          <w:rFonts w:hint="eastAsia"/>
        </w:rPr>
        <w:tab/>
        <w:t xml:space="preserve">407.  </w:t>
      </w:r>
      <w:r>
        <w:rPr>
          <w:rFonts w:hint="eastAsia"/>
        </w:rPr>
        <w:t>全国</w:t>
      </w:r>
      <w:r>
        <w:rPr>
          <w:rFonts w:hint="eastAsia"/>
        </w:rPr>
        <w:t>214</w:t>
      </w:r>
      <w:r>
        <w:rPr>
          <w:rFonts w:hint="eastAsia"/>
        </w:rPr>
        <w:t>个市有</w:t>
      </w:r>
      <w:r>
        <w:rPr>
          <w:rFonts w:hint="eastAsia"/>
        </w:rPr>
        <w:t>12</w:t>
      </w:r>
      <w:r>
        <w:rPr>
          <w:rFonts w:hint="eastAsia"/>
        </w:rPr>
        <w:t>个市建立了民政服务－管理企业。</w:t>
      </w:r>
    </w:p>
    <w:p w:rsidR="00000000" w:rsidRDefault="00000000">
      <w:pPr>
        <w:rPr>
          <w:rFonts w:hint="eastAsia"/>
        </w:rPr>
      </w:pPr>
      <w:r>
        <w:rPr>
          <w:rFonts w:hint="eastAsia"/>
        </w:rPr>
        <w:tab/>
        <w:t xml:space="preserve">408.  </w:t>
      </w:r>
      <w:r>
        <w:rPr>
          <w:rFonts w:hint="eastAsia"/>
        </w:rPr>
        <w:t>农村地区饮用水系统的行政管理、经营和维护由饮用水管理委员会负责，全国约有</w:t>
      </w:r>
      <w:r>
        <w:rPr>
          <w:rFonts w:hint="eastAsia"/>
        </w:rPr>
        <w:t>3,000</w:t>
      </w:r>
      <w:r>
        <w:rPr>
          <w:rFonts w:hint="eastAsia"/>
        </w:rPr>
        <w:t>个饮用水委员会。</w:t>
      </w:r>
    </w:p>
    <w:p w:rsidR="00000000" w:rsidRDefault="00000000">
      <w:pPr>
        <w:rPr>
          <w:rFonts w:hint="eastAsia"/>
        </w:rPr>
      </w:pPr>
      <w:r>
        <w:rPr>
          <w:rFonts w:hint="eastAsia"/>
        </w:rPr>
        <w:tab/>
        <w:t xml:space="preserve">409.  </w:t>
      </w:r>
      <w:r>
        <w:rPr>
          <w:rFonts w:hint="eastAsia"/>
        </w:rPr>
        <w:t>城市发展与住房部和国家现代化委员会在执行国家技术援助项目</w:t>
      </w:r>
      <w:r>
        <w:rPr>
          <w:rFonts w:hint="eastAsia"/>
        </w:rPr>
        <w:t>(MOSTA)</w:t>
      </w:r>
      <w:r>
        <w:rPr>
          <w:rFonts w:hint="eastAsia"/>
        </w:rPr>
        <w:t>时对饮用水和环卫部门的关键特点及技术、社会、财政和机构等方面的问题进行了分析与评价。这为制定这一领域的中长期发展的国家政策提供了依据，从而可以缩小其覆盖面方面的差距及更好地提供这些服务。</w:t>
      </w:r>
    </w:p>
    <w:p w:rsidR="00000000" w:rsidRDefault="00000000">
      <w:pPr>
        <w:rPr>
          <w:rFonts w:hint="eastAsia"/>
        </w:rPr>
      </w:pPr>
      <w:r>
        <w:rPr>
          <w:rFonts w:hint="eastAsia"/>
        </w:rPr>
        <w:tab/>
        <w:t xml:space="preserve">410.  </w:t>
      </w:r>
      <w:r>
        <w:rPr>
          <w:rFonts w:hint="eastAsia"/>
        </w:rPr>
        <w:t>城市发展与住房部正在通过执行国家农村社区和小城市的水与环卫方案，争取提高农村和城市地区居民的生活质量，该方案要求扩大覆盖面，采用适合于在小城市提供可持续的服务的管理模式。</w:t>
      </w:r>
    </w:p>
    <w:p w:rsidR="00000000" w:rsidRDefault="00000000">
      <w:pPr>
        <w:rPr>
          <w:rFonts w:hint="eastAsia"/>
        </w:rPr>
      </w:pPr>
      <w:r>
        <w:rPr>
          <w:rFonts w:hint="eastAsia"/>
        </w:rPr>
        <w:tab/>
        <w:t xml:space="preserve">411.  </w:t>
      </w:r>
      <w:r>
        <w:rPr>
          <w:rFonts w:hint="eastAsia"/>
        </w:rPr>
        <w:t>该方案共分三个阶段：</w:t>
      </w:r>
    </w:p>
    <w:p w:rsidR="00000000" w:rsidRDefault="00000000">
      <w:pPr>
        <w:numPr>
          <w:ilvl w:val="0"/>
          <w:numId w:val="176"/>
        </w:numPr>
        <w:rPr>
          <w:rFonts w:hint="eastAsia"/>
        </w:rPr>
      </w:pPr>
      <w:r>
        <w:rPr>
          <w:rFonts w:hint="eastAsia"/>
        </w:rPr>
        <w:t>提高人口不到</w:t>
      </w:r>
      <w:r>
        <w:rPr>
          <w:rFonts w:hint="eastAsia"/>
        </w:rPr>
        <w:t>1</w:t>
      </w:r>
      <w:r>
        <w:rPr>
          <w:rFonts w:hint="eastAsia"/>
        </w:rPr>
        <w:t>万居民的小城市的农村部分和区行政中心的用水覆盖面。所供应的水应适于人类用，并将采取措施使这一服务可持续进行；</w:t>
      </w:r>
    </w:p>
    <w:p w:rsidR="00000000" w:rsidRDefault="00000000">
      <w:pPr>
        <w:numPr>
          <w:ilvl w:val="0"/>
          <w:numId w:val="176"/>
        </w:numPr>
        <w:rPr>
          <w:rFonts w:hint="eastAsia"/>
        </w:rPr>
      </w:pPr>
      <w:r>
        <w:rPr>
          <w:rFonts w:hint="eastAsia"/>
        </w:rPr>
        <w:t>对市政当局和一组社区用水协会进行能力建设，让它们能有效管理该项服务，所采取的途径应涉及行政、经营、商业方面、计划、财政和为顾客提供的服务；</w:t>
      </w:r>
    </w:p>
    <w:p w:rsidR="00000000" w:rsidRDefault="00000000">
      <w:pPr>
        <w:numPr>
          <w:ilvl w:val="0"/>
          <w:numId w:val="176"/>
        </w:numPr>
        <w:rPr>
          <w:rFonts w:hint="eastAsia"/>
        </w:rPr>
      </w:pPr>
      <w:r>
        <w:rPr>
          <w:rFonts w:hint="eastAsia"/>
        </w:rPr>
        <w:t>确定该部门机构的层次，确定每一个层次在国家权力下放所规定的框架中的作用。</w:t>
      </w:r>
    </w:p>
    <w:p w:rsidR="00000000" w:rsidRDefault="00000000">
      <w:pPr>
        <w:spacing w:after="240"/>
        <w:rPr>
          <w:rFonts w:hint="eastAsia"/>
        </w:rPr>
      </w:pPr>
      <w:r>
        <w:rPr>
          <w:rFonts w:hint="eastAsia"/>
        </w:rPr>
        <w:tab/>
        <w:t xml:space="preserve">412.  </w:t>
      </w:r>
      <w:r>
        <w:rPr>
          <w:rFonts w:hint="eastAsia"/>
        </w:rPr>
        <w:t>该方案将由世界银行供资。</w:t>
      </w:r>
    </w:p>
    <w:p w:rsidR="00000000" w:rsidRDefault="00000000">
      <w:pPr>
        <w:pStyle w:val="Heading4"/>
        <w:rPr>
          <w:rFonts w:hint="eastAsia"/>
        </w:rPr>
      </w:pPr>
      <w:r>
        <w:rPr>
          <w:rFonts w:hint="eastAsia"/>
        </w:rPr>
        <w:t>污水处理</w:t>
      </w:r>
    </w:p>
    <w:p w:rsidR="00000000" w:rsidRDefault="00000000">
      <w:pPr>
        <w:rPr>
          <w:rFonts w:hint="eastAsia"/>
        </w:rPr>
      </w:pPr>
      <w:r>
        <w:rPr>
          <w:rFonts w:hint="eastAsia"/>
        </w:rPr>
        <w:tab/>
        <w:t xml:space="preserve">413.  </w:t>
      </w:r>
      <w:r>
        <w:rPr>
          <w:rFonts w:hint="eastAsia"/>
        </w:rPr>
        <w:t>全国</w:t>
      </w:r>
      <w:r>
        <w:rPr>
          <w:rFonts w:hint="eastAsia"/>
        </w:rPr>
        <w:t>53%</w:t>
      </w:r>
      <w:r>
        <w:rPr>
          <w:rFonts w:hint="eastAsia"/>
        </w:rPr>
        <w:t>的城市家庭均与排污网络联通；农村地区只有</w:t>
      </w:r>
      <w:r>
        <w:rPr>
          <w:rFonts w:hint="eastAsia"/>
        </w:rPr>
        <w:t>11%</w:t>
      </w:r>
      <w:r>
        <w:rPr>
          <w:rFonts w:hint="eastAsia"/>
        </w:rPr>
        <w:t>。废水不处理，直接排入江河，因此造成了严重的污染问题。</w:t>
      </w:r>
    </w:p>
    <w:p w:rsidR="00000000" w:rsidRDefault="00000000">
      <w:r>
        <w:rPr>
          <w:rFonts w:hint="eastAsia"/>
        </w:rPr>
        <w:tab/>
        <w:t xml:space="preserve">414.  </w:t>
      </w:r>
      <w:r>
        <w:rPr>
          <w:rFonts w:hint="eastAsia"/>
        </w:rPr>
        <w:t>已建立的分别排污系统在处理汇成一股的污水</w:t>
      </w:r>
      <w:r>
        <w:rPr>
          <w:rFonts w:hint="eastAsia"/>
        </w:rPr>
        <w:t>(</w:t>
      </w:r>
      <w:r>
        <w:rPr>
          <w:rFonts w:hint="eastAsia"/>
        </w:rPr>
        <w:t>雨水和污水</w:t>
      </w:r>
      <w:r>
        <w:rPr>
          <w:rFonts w:hint="eastAsia"/>
        </w:rPr>
        <w:t>)</w:t>
      </w:r>
      <w:r>
        <w:rPr>
          <w:rFonts w:hint="eastAsia"/>
        </w:rPr>
        <w:t>时问题严重，而且在进行预防性维修时也未引起重视。</w:t>
      </w:r>
    </w:p>
    <w:p w:rsidR="00000000" w:rsidRDefault="00000000">
      <w:pPr>
        <w:rPr>
          <w:rFonts w:hint="eastAsia"/>
        </w:rPr>
      </w:pPr>
      <w:r>
        <w:rPr>
          <w:rFonts w:hint="eastAsia"/>
        </w:rPr>
        <w:tab/>
        <w:t xml:space="preserve">415.  </w:t>
      </w:r>
      <w:r>
        <w:rPr>
          <w:rFonts w:hint="eastAsia"/>
        </w:rPr>
        <w:t>全国</w:t>
      </w:r>
      <w:r>
        <w:rPr>
          <w:rFonts w:hint="eastAsia"/>
        </w:rPr>
        <w:t>31%</w:t>
      </w:r>
      <w:r>
        <w:rPr>
          <w:rFonts w:hint="eastAsia"/>
        </w:rPr>
        <w:t>的城市住房，</w:t>
      </w:r>
      <w:r>
        <w:rPr>
          <w:rFonts w:hint="eastAsia"/>
        </w:rPr>
        <w:t>20%</w:t>
      </w:r>
      <w:r>
        <w:rPr>
          <w:rFonts w:hint="eastAsia"/>
        </w:rPr>
        <w:t>的农村住房使用粪坑处理大小便。</w:t>
      </w:r>
    </w:p>
    <w:p w:rsidR="00000000" w:rsidRDefault="00000000">
      <w:pPr>
        <w:rPr>
          <w:rFonts w:hint="eastAsia"/>
        </w:rPr>
      </w:pPr>
      <w:r>
        <w:rPr>
          <w:rFonts w:hint="eastAsia"/>
        </w:rPr>
        <w:tab/>
        <w:t xml:space="preserve">416.  </w:t>
      </w:r>
      <w:r>
        <w:rPr>
          <w:rFonts w:hint="eastAsia"/>
        </w:rPr>
        <w:t>中小城市综合固体废物管理方案试图对营利和</w:t>
      </w:r>
      <w:r>
        <w:rPr>
          <w:rFonts w:hint="eastAsia"/>
        </w:rPr>
        <w:t>/</w:t>
      </w:r>
      <w:r>
        <w:rPr>
          <w:rFonts w:hint="eastAsia"/>
        </w:rPr>
        <w:t>或提供就业的服务采用变通管理办法。该方案将由世界银行的</w:t>
      </w:r>
      <w:r>
        <w:rPr>
          <w:rFonts w:hint="eastAsia"/>
        </w:rPr>
        <w:t>PATRA</w:t>
      </w:r>
      <w:r>
        <w:rPr>
          <w:rFonts w:hint="eastAsia"/>
        </w:rPr>
        <w:t>资源供资。</w:t>
      </w:r>
    </w:p>
    <w:p w:rsidR="00000000" w:rsidRDefault="00000000">
      <w:pPr>
        <w:rPr>
          <w:rFonts w:hint="eastAsia"/>
        </w:rPr>
      </w:pPr>
      <w:r>
        <w:rPr>
          <w:rFonts w:hint="eastAsia"/>
        </w:rPr>
        <w:tab/>
        <w:t xml:space="preserve">417.  </w:t>
      </w:r>
      <w:r>
        <w:rPr>
          <w:rFonts w:hint="eastAsia"/>
        </w:rPr>
        <w:t>已利用美洲开发银行的资源起草了关于这一主题的法案。</w:t>
      </w:r>
    </w:p>
    <w:p w:rsidR="00000000" w:rsidRDefault="00000000">
      <w:pPr>
        <w:rPr>
          <w:rFonts w:hint="eastAsia"/>
        </w:rPr>
      </w:pPr>
      <w:r>
        <w:rPr>
          <w:rFonts w:hint="eastAsia"/>
        </w:rPr>
        <w:tab/>
        <w:t xml:space="preserve">418.  </w:t>
      </w:r>
      <w:r>
        <w:rPr>
          <w:rFonts w:hint="eastAsia"/>
        </w:rPr>
        <w:t>公共卫生部提倡的防疫方案有助于普通公众认识在厄瓜多尔改善保健文化的必要性，争取实现政府所确定的保持高防疫率和降低对儿童健康带来的危险的指标，从而降低死于可预防的疾病的婴儿的死亡发生率。</w:t>
      </w:r>
    </w:p>
    <w:p w:rsidR="00000000" w:rsidRDefault="00000000">
      <w:pPr>
        <w:spacing w:after="240"/>
        <w:rPr>
          <w:rFonts w:hint="eastAsia"/>
        </w:rPr>
      </w:pPr>
      <w:r>
        <w:rPr>
          <w:rFonts w:hint="eastAsia"/>
        </w:rPr>
        <w:tab/>
        <w:t xml:space="preserve">419.  </w:t>
      </w:r>
      <w:r>
        <w:rPr>
          <w:rFonts w:hint="eastAsia"/>
        </w:rPr>
        <w:t>预防结核病的卡介苗是近年来普及最成功的接种疫苗。白百破疫苗接种运动是最荒废的。</w:t>
      </w:r>
    </w:p>
    <w:p w:rsidR="00000000" w:rsidRDefault="00000000">
      <w:pPr>
        <w:pStyle w:val="Heading3"/>
        <w:rPr>
          <w:rFonts w:hint="eastAsia"/>
        </w:rPr>
      </w:pPr>
      <w:r>
        <w:rPr>
          <w:rFonts w:hint="eastAsia"/>
        </w:rPr>
        <w:t>按全国和地区分列的一岁以下和五岁以下</w:t>
      </w:r>
      <w:r>
        <w:br/>
      </w:r>
      <w:r>
        <w:rPr>
          <w:rFonts w:hint="eastAsia"/>
        </w:rPr>
        <w:t>儿童疫苗接种情况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5"/>
        <w:gridCol w:w="1489"/>
        <w:gridCol w:w="1378"/>
        <w:gridCol w:w="1380"/>
        <w:gridCol w:w="1397"/>
        <w:gridCol w:w="1380"/>
        <w:gridCol w:w="1271"/>
      </w:tblGrid>
      <w:tr w:rsidR="00000000">
        <w:tblPrEx>
          <w:tblCellMar>
            <w:top w:w="0" w:type="dxa"/>
            <w:bottom w:w="0" w:type="dxa"/>
          </w:tblCellMar>
        </w:tblPrEx>
        <w:trPr>
          <w:cantSplit/>
        </w:trPr>
        <w:tc>
          <w:tcPr>
            <w:tcW w:w="666" w:type="pct"/>
            <w:vMerge w:val="restart"/>
          </w:tcPr>
          <w:p w:rsidR="00000000" w:rsidRDefault="00000000">
            <w:pPr>
              <w:pStyle w:val="a2"/>
              <w:spacing w:before="240"/>
              <w:rPr>
                <w:rFonts w:hint="eastAsia"/>
              </w:rPr>
            </w:pPr>
            <w:r>
              <w:rPr>
                <w:rFonts w:hint="eastAsia"/>
              </w:rPr>
              <w:t>年</w:t>
            </w:r>
            <w:r>
              <w:rPr>
                <w:rFonts w:hint="eastAsia"/>
              </w:rPr>
              <w:t xml:space="preserve">  </w:t>
            </w:r>
            <w:r>
              <w:rPr>
                <w:rFonts w:hint="eastAsia"/>
              </w:rPr>
              <w:t>份</w:t>
            </w:r>
          </w:p>
        </w:tc>
        <w:tc>
          <w:tcPr>
            <w:tcW w:w="2219" w:type="pct"/>
            <w:gridSpan w:val="3"/>
          </w:tcPr>
          <w:p w:rsidR="00000000" w:rsidRDefault="00000000">
            <w:pPr>
              <w:pStyle w:val="a2"/>
              <w:jc w:val="center"/>
              <w:rPr>
                <w:rFonts w:hint="eastAsia"/>
              </w:rPr>
            </w:pPr>
            <w:r>
              <w:rPr>
                <w:rFonts w:hint="eastAsia"/>
              </w:rPr>
              <w:t>结核病</w:t>
            </w:r>
            <w:r>
              <w:rPr>
                <w:rFonts w:hint="eastAsia"/>
              </w:rPr>
              <w:t>(</w:t>
            </w:r>
            <w:r>
              <w:rPr>
                <w:rFonts w:hint="eastAsia"/>
              </w:rPr>
              <w:t>卡介苗</w:t>
            </w:r>
            <w:r>
              <w:rPr>
                <w:rFonts w:hint="eastAsia"/>
              </w:rPr>
              <w:t>)</w:t>
            </w:r>
          </w:p>
        </w:tc>
        <w:tc>
          <w:tcPr>
            <w:tcW w:w="2115" w:type="pct"/>
            <w:gridSpan w:val="3"/>
          </w:tcPr>
          <w:p w:rsidR="00000000" w:rsidRDefault="00000000">
            <w:pPr>
              <w:pStyle w:val="a2"/>
              <w:jc w:val="center"/>
              <w:rPr>
                <w:rFonts w:hint="eastAsia"/>
              </w:rPr>
            </w:pPr>
            <w:r>
              <w:rPr>
                <w:rFonts w:hint="eastAsia"/>
              </w:rPr>
              <w:t>白喉、百日咳和破伤风</w:t>
            </w:r>
            <w:r>
              <w:rPr>
                <w:rFonts w:hint="eastAsia"/>
              </w:rPr>
              <w:t>(</w:t>
            </w:r>
            <w:r>
              <w:rPr>
                <w:rFonts w:hint="eastAsia"/>
              </w:rPr>
              <w:t>白百破</w:t>
            </w:r>
            <w:r>
              <w:rPr>
                <w:rFonts w:hint="eastAsia"/>
              </w:rPr>
              <w:t>)</w:t>
            </w:r>
          </w:p>
        </w:tc>
      </w:tr>
      <w:tr w:rsidR="00000000">
        <w:tblPrEx>
          <w:tblCellMar>
            <w:top w:w="0" w:type="dxa"/>
            <w:bottom w:w="0" w:type="dxa"/>
          </w:tblCellMar>
        </w:tblPrEx>
        <w:trPr>
          <w:cantSplit/>
        </w:trPr>
        <w:tc>
          <w:tcPr>
            <w:tcW w:w="666" w:type="pct"/>
            <w:vMerge/>
          </w:tcPr>
          <w:p w:rsidR="00000000" w:rsidRDefault="00000000">
            <w:pPr>
              <w:pStyle w:val="a2"/>
            </w:pPr>
          </w:p>
        </w:tc>
        <w:tc>
          <w:tcPr>
            <w:tcW w:w="4334" w:type="pct"/>
            <w:gridSpan w:val="6"/>
          </w:tcPr>
          <w:p w:rsidR="00000000" w:rsidRDefault="00000000">
            <w:pPr>
              <w:pStyle w:val="a2"/>
              <w:jc w:val="center"/>
              <w:rPr>
                <w:rFonts w:hint="eastAsia"/>
              </w:rPr>
            </w:pPr>
            <w:r>
              <w:rPr>
                <w:rFonts w:hint="eastAsia"/>
              </w:rPr>
              <w:t>1</w:t>
            </w:r>
            <w:r>
              <w:rPr>
                <w:rFonts w:hint="eastAsia"/>
              </w:rPr>
              <w:t>岁以下</w:t>
            </w:r>
          </w:p>
        </w:tc>
      </w:tr>
      <w:tr w:rsidR="00000000">
        <w:tblPrEx>
          <w:tblCellMar>
            <w:top w:w="0" w:type="dxa"/>
            <w:bottom w:w="0" w:type="dxa"/>
          </w:tblCellMar>
        </w:tblPrEx>
        <w:trPr>
          <w:cantSplit/>
        </w:trPr>
        <w:tc>
          <w:tcPr>
            <w:tcW w:w="666" w:type="pct"/>
            <w:vMerge/>
            <w:tcBorders>
              <w:bottom w:val="single" w:sz="4" w:space="0" w:color="auto"/>
            </w:tcBorders>
          </w:tcPr>
          <w:p w:rsidR="00000000" w:rsidRDefault="00000000">
            <w:pPr>
              <w:pStyle w:val="a2"/>
            </w:pPr>
          </w:p>
        </w:tc>
        <w:tc>
          <w:tcPr>
            <w:tcW w:w="778" w:type="pct"/>
            <w:tcBorders>
              <w:bottom w:val="single" w:sz="4" w:space="0" w:color="auto"/>
            </w:tcBorders>
          </w:tcPr>
          <w:p w:rsidR="00000000" w:rsidRDefault="00000000">
            <w:pPr>
              <w:pStyle w:val="a2"/>
              <w:jc w:val="center"/>
              <w:rPr>
                <w:rFonts w:hint="eastAsia"/>
              </w:rPr>
            </w:pPr>
            <w:r>
              <w:rPr>
                <w:rFonts w:hint="eastAsia"/>
              </w:rPr>
              <w:t>全</w:t>
            </w:r>
            <w:r>
              <w:rPr>
                <w:rFonts w:hint="eastAsia"/>
              </w:rPr>
              <w:t xml:space="preserve">  </w:t>
            </w:r>
            <w:r>
              <w:rPr>
                <w:rFonts w:hint="eastAsia"/>
              </w:rPr>
              <w:t>国</w:t>
            </w:r>
          </w:p>
        </w:tc>
        <w:tc>
          <w:tcPr>
            <w:tcW w:w="720" w:type="pct"/>
            <w:tcBorders>
              <w:bottom w:val="single" w:sz="4" w:space="0" w:color="auto"/>
            </w:tcBorders>
          </w:tcPr>
          <w:p w:rsidR="00000000" w:rsidRDefault="00000000">
            <w:pPr>
              <w:pStyle w:val="a2"/>
              <w:jc w:val="center"/>
              <w:rPr>
                <w:rFonts w:hint="eastAsia"/>
              </w:rPr>
            </w:pPr>
            <w:r>
              <w:rPr>
                <w:rFonts w:hint="eastAsia"/>
              </w:rPr>
              <w:t>城</w:t>
            </w:r>
            <w:r>
              <w:rPr>
                <w:rFonts w:hint="eastAsia"/>
              </w:rPr>
              <w:t xml:space="preserve">  </w:t>
            </w:r>
            <w:r>
              <w:rPr>
                <w:rFonts w:hint="eastAsia"/>
              </w:rPr>
              <w:t>市</w:t>
            </w:r>
          </w:p>
        </w:tc>
        <w:tc>
          <w:tcPr>
            <w:tcW w:w="720" w:type="pct"/>
            <w:tcBorders>
              <w:bottom w:val="single" w:sz="4" w:space="0" w:color="auto"/>
            </w:tcBorders>
          </w:tcPr>
          <w:p w:rsidR="00000000" w:rsidRDefault="00000000">
            <w:pPr>
              <w:pStyle w:val="a2"/>
              <w:jc w:val="center"/>
              <w:rPr>
                <w:rFonts w:hint="eastAsia"/>
              </w:rPr>
            </w:pPr>
            <w:r>
              <w:rPr>
                <w:rFonts w:hint="eastAsia"/>
              </w:rPr>
              <w:t>农</w:t>
            </w:r>
            <w:r>
              <w:rPr>
                <w:rFonts w:hint="eastAsia"/>
              </w:rPr>
              <w:t xml:space="preserve">  </w:t>
            </w:r>
            <w:r>
              <w:rPr>
                <w:rFonts w:hint="eastAsia"/>
              </w:rPr>
              <w:t>村</w:t>
            </w:r>
          </w:p>
        </w:tc>
        <w:tc>
          <w:tcPr>
            <w:tcW w:w="730" w:type="pct"/>
            <w:tcBorders>
              <w:bottom w:val="single" w:sz="4" w:space="0" w:color="auto"/>
            </w:tcBorders>
          </w:tcPr>
          <w:p w:rsidR="00000000" w:rsidRDefault="00000000">
            <w:pPr>
              <w:pStyle w:val="a2"/>
              <w:jc w:val="center"/>
              <w:rPr>
                <w:rFonts w:hint="eastAsia"/>
              </w:rPr>
            </w:pPr>
            <w:r>
              <w:rPr>
                <w:rFonts w:hint="eastAsia"/>
              </w:rPr>
              <w:t>全</w:t>
            </w:r>
            <w:r>
              <w:rPr>
                <w:rFonts w:hint="eastAsia"/>
              </w:rPr>
              <w:t xml:space="preserve">  </w:t>
            </w:r>
            <w:r>
              <w:rPr>
                <w:rFonts w:hint="eastAsia"/>
              </w:rPr>
              <w:t>国</w:t>
            </w:r>
          </w:p>
        </w:tc>
        <w:tc>
          <w:tcPr>
            <w:tcW w:w="721" w:type="pct"/>
            <w:tcBorders>
              <w:bottom w:val="single" w:sz="4" w:space="0" w:color="auto"/>
            </w:tcBorders>
          </w:tcPr>
          <w:p w:rsidR="00000000" w:rsidRDefault="00000000">
            <w:pPr>
              <w:pStyle w:val="a2"/>
              <w:jc w:val="center"/>
              <w:rPr>
                <w:rFonts w:hint="eastAsia"/>
              </w:rPr>
            </w:pPr>
            <w:r>
              <w:rPr>
                <w:rFonts w:hint="eastAsia"/>
              </w:rPr>
              <w:t>城</w:t>
            </w:r>
            <w:r>
              <w:rPr>
                <w:rFonts w:hint="eastAsia"/>
              </w:rPr>
              <w:t xml:space="preserve">  </w:t>
            </w:r>
            <w:r>
              <w:rPr>
                <w:rFonts w:hint="eastAsia"/>
              </w:rPr>
              <w:t>市</w:t>
            </w:r>
          </w:p>
        </w:tc>
        <w:tc>
          <w:tcPr>
            <w:tcW w:w="664" w:type="pct"/>
            <w:tcBorders>
              <w:bottom w:val="single" w:sz="4" w:space="0" w:color="auto"/>
            </w:tcBorders>
          </w:tcPr>
          <w:p w:rsidR="00000000" w:rsidRDefault="00000000">
            <w:pPr>
              <w:pStyle w:val="a2"/>
              <w:jc w:val="center"/>
              <w:rPr>
                <w:rFonts w:hint="eastAsia"/>
              </w:rPr>
            </w:pPr>
            <w:r>
              <w:rPr>
                <w:rFonts w:hint="eastAsia"/>
              </w:rPr>
              <w:t>农</w:t>
            </w:r>
            <w:r>
              <w:rPr>
                <w:rFonts w:hint="eastAsia"/>
              </w:rPr>
              <w:t xml:space="preserve">  </w:t>
            </w:r>
            <w:r>
              <w:rPr>
                <w:rFonts w:hint="eastAsia"/>
              </w:rPr>
              <w:t>村</w:t>
            </w:r>
          </w:p>
        </w:tc>
      </w:tr>
      <w:tr w:rsidR="00000000">
        <w:tblPrEx>
          <w:tblCellMar>
            <w:top w:w="0" w:type="dxa"/>
            <w:bottom w:w="0" w:type="dxa"/>
          </w:tblCellMar>
        </w:tblPrEx>
        <w:tc>
          <w:tcPr>
            <w:tcW w:w="666" w:type="pct"/>
            <w:tcBorders>
              <w:bottom w:val="nil"/>
            </w:tcBorders>
          </w:tcPr>
          <w:p w:rsidR="00000000" w:rsidRDefault="00000000">
            <w:pPr>
              <w:pStyle w:val="a2"/>
            </w:pPr>
            <w:r>
              <w:t>1994</w:t>
            </w:r>
          </w:p>
        </w:tc>
        <w:tc>
          <w:tcPr>
            <w:tcW w:w="778" w:type="pct"/>
            <w:tcBorders>
              <w:bottom w:val="nil"/>
            </w:tcBorders>
          </w:tcPr>
          <w:p w:rsidR="00000000" w:rsidRDefault="00000000">
            <w:pPr>
              <w:pStyle w:val="a2"/>
              <w:tabs>
                <w:tab w:val="decimal" w:pos="615"/>
              </w:tabs>
            </w:pPr>
            <w:r>
              <w:t>91.4</w:t>
            </w:r>
          </w:p>
        </w:tc>
        <w:tc>
          <w:tcPr>
            <w:tcW w:w="720" w:type="pct"/>
            <w:tcBorders>
              <w:bottom w:val="nil"/>
            </w:tcBorders>
          </w:tcPr>
          <w:p w:rsidR="00000000" w:rsidRDefault="00000000">
            <w:pPr>
              <w:pStyle w:val="a2"/>
              <w:tabs>
                <w:tab w:val="decimal" w:pos="615"/>
              </w:tabs>
            </w:pPr>
            <w:r>
              <w:t>94.6</w:t>
            </w:r>
          </w:p>
        </w:tc>
        <w:tc>
          <w:tcPr>
            <w:tcW w:w="720" w:type="pct"/>
            <w:tcBorders>
              <w:bottom w:val="nil"/>
            </w:tcBorders>
          </w:tcPr>
          <w:p w:rsidR="00000000" w:rsidRDefault="00000000">
            <w:pPr>
              <w:pStyle w:val="a2"/>
              <w:tabs>
                <w:tab w:val="decimal" w:pos="615"/>
              </w:tabs>
            </w:pPr>
            <w:r>
              <w:t>87.6</w:t>
            </w:r>
          </w:p>
        </w:tc>
        <w:tc>
          <w:tcPr>
            <w:tcW w:w="730" w:type="pct"/>
            <w:tcBorders>
              <w:bottom w:val="nil"/>
            </w:tcBorders>
          </w:tcPr>
          <w:p w:rsidR="00000000" w:rsidRDefault="00000000">
            <w:pPr>
              <w:pStyle w:val="a2"/>
              <w:tabs>
                <w:tab w:val="decimal" w:pos="615"/>
              </w:tabs>
            </w:pPr>
            <w:r>
              <w:t>50.6</w:t>
            </w:r>
          </w:p>
        </w:tc>
        <w:tc>
          <w:tcPr>
            <w:tcW w:w="721" w:type="pct"/>
            <w:tcBorders>
              <w:bottom w:val="nil"/>
            </w:tcBorders>
          </w:tcPr>
          <w:p w:rsidR="00000000" w:rsidRDefault="00000000">
            <w:pPr>
              <w:pStyle w:val="a2"/>
              <w:tabs>
                <w:tab w:val="decimal" w:pos="615"/>
              </w:tabs>
            </w:pPr>
            <w:r>
              <w:t>55.3</w:t>
            </w:r>
          </w:p>
        </w:tc>
        <w:tc>
          <w:tcPr>
            <w:tcW w:w="664" w:type="pct"/>
            <w:tcBorders>
              <w:bottom w:val="nil"/>
            </w:tcBorders>
          </w:tcPr>
          <w:p w:rsidR="00000000" w:rsidRDefault="00000000">
            <w:pPr>
              <w:pStyle w:val="a2"/>
              <w:tabs>
                <w:tab w:val="decimal" w:pos="615"/>
              </w:tabs>
            </w:pPr>
            <w:r>
              <w:t>45.0</w:t>
            </w:r>
          </w:p>
        </w:tc>
      </w:tr>
      <w:tr w:rsidR="00000000">
        <w:tblPrEx>
          <w:tblCellMar>
            <w:top w:w="0" w:type="dxa"/>
            <w:bottom w:w="0" w:type="dxa"/>
          </w:tblCellMar>
        </w:tblPrEx>
        <w:tc>
          <w:tcPr>
            <w:tcW w:w="666" w:type="pct"/>
            <w:tcBorders>
              <w:top w:val="nil"/>
              <w:bottom w:val="nil"/>
            </w:tcBorders>
          </w:tcPr>
          <w:p w:rsidR="00000000" w:rsidRDefault="00000000">
            <w:pPr>
              <w:pStyle w:val="a2"/>
            </w:pPr>
            <w:r>
              <w:t>1995</w:t>
            </w:r>
          </w:p>
        </w:tc>
        <w:tc>
          <w:tcPr>
            <w:tcW w:w="778" w:type="pct"/>
            <w:tcBorders>
              <w:top w:val="nil"/>
              <w:bottom w:val="nil"/>
            </w:tcBorders>
          </w:tcPr>
          <w:p w:rsidR="00000000" w:rsidRDefault="00000000">
            <w:pPr>
              <w:pStyle w:val="a2"/>
              <w:tabs>
                <w:tab w:val="decimal" w:pos="615"/>
              </w:tabs>
            </w:pPr>
            <w:r>
              <w:t>89.5</w:t>
            </w:r>
          </w:p>
        </w:tc>
        <w:tc>
          <w:tcPr>
            <w:tcW w:w="720" w:type="pct"/>
            <w:tcBorders>
              <w:top w:val="nil"/>
              <w:bottom w:val="nil"/>
            </w:tcBorders>
          </w:tcPr>
          <w:p w:rsidR="00000000" w:rsidRDefault="00000000">
            <w:pPr>
              <w:pStyle w:val="a2"/>
              <w:tabs>
                <w:tab w:val="decimal" w:pos="615"/>
              </w:tabs>
            </w:pPr>
            <w:r>
              <w:t>95.2</w:t>
            </w:r>
          </w:p>
        </w:tc>
        <w:tc>
          <w:tcPr>
            <w:tcW w:w="720" w:type="pct"/>
            <w:tcBorders>
              <w:top w:val="nil"/>
              <w:bottom w:val="nil"/>
            </w:tcBorders>
          </w:tcPr>
          <w:p w:rsidR="00000000" w:rsidRDefault="00000000">
            <w:pPr>
              <w:pStyle w:val="a2"/>
              <w:tabs>
                <w:tab w:val="decimal" w:pos="615"/>
              </w:tabs>
            </w:pPr>
            <w:r>
              <w:t>81.8</w:t>
            </w:r>
          </w:p>
        </w:tc>
        <w:tc>
          <w:tcPr>
            <w:tcW w:w="730" w:type="pct"/>
            <w:tcBorders>
              <w:top w:val="nil"/>
              <w:bottom w:val="nil"/>
            </w:tcBorders>
          </w:tcPr>
          <w:p w:rsidR="00000000" w:rsidRDefault="00000000">
            <w:pPr>
              <w:pStyle w:val="a2"/>
              <w:tabs>
                <w:tab w:val="decimal" w:pos="615"/>
              </w:tabs>
            </w:pPr>
            <w:r>
              <w:t>45.8</w:t>
            </w:r>
          </w:p>
        </w:tc>
        <w:tc>
          <w:tcPr>
            <w:tcW w:w="721" w:type="pct"/>
            <w:tcBorders>
              <w:top w:val="nil"/>
              <w:bottom w:val="nil"/>
            </w:tcBorders>
          </w:tcPr>
          <w:p w:rsidR="00000000" w:rsidRDefault="00000000">
            <w:pPr>
              <w:pStyle w:val="a2"/>
              <w:tabs>
                <w:tab w:val="decimal" w:pos="615"/>
              </w:tabs>
            </w:pPr>
            <w:r>
              <w:t>48.8</w:t>
            </w:r>
          </w:p>
        </w:tc>
        <w:tc>
          <w:tcPr>
            <w:tcW w:w="664" w:type="pct"/>
            <w:tcBorders>
              <w:top w:val="nil"/>
              <w:bottom w:val="nil"/>
            </w:tcBorders>
          </w:tcPr>
          <w:p w:rsidR="00000000" w:rsidRDefault="00000000">
            <w:pPr>
              <w:pStyle w:val="a2"/>
              <w:tabs>
                <w:tab w:val="decimal" w:pos="615"/>
              </w:tabs>
            </w:pPr>
            <w:r>
              <w:t>41.6</w:t>
            </w:r>
          </w:p>
        </w:tc>
      </w:tr>
      <w:tr w:rsidR="00000000">
        <w:tblPrEx>
          <w:tblCellMar>
            <w:top w:w="0" w:type="dxa"/>
            <w:bottom w:w="0" w:type="dxa"/>
          </w:tblCellMar>
        </w:tblPrEx>
        <w:tc>
          <w:tcPr>
            <w:tcW w:w="666" w:type="pct"/>
            <w:tcBorders>
              <w:top w:val="nil"/>
              <w:bottom w:val="nil"/>
            </w:tcBorders>
          </w:tcPr>
          <w:p w:rsidR="00000000" w:rsidRDefault="00000000">
            <w:pPr>
              <w:pStyle w:val="a2"/>
            </w:pPr>
            <w:r>
              <w:t>1998</w:t>
            </w:r>
          </w:p>
        </w:tc>
        <w:tc>
          <w:tcPr>
            <w:tcW w:w="778" w:type="pct"/>
            <w:tcBorders>
              <w:top w:val="nil"/>
              <w:bottom w:val="nil"/>
            </w:tcBorders>
          </w:tcPr>
          <w:p w:rsidR="00000000" w:rsidRDefault="00000000">
            <w:pPr>
              <w:pStyle w:val="a2"/>
              <w:tabs>
                <w:tab w:val="decimal" w:pos="615"/>
              </w:tabs>
            </w:pPr>
            <w:r>
              <w:t>81.8</w:t>
            </w:r>
          </w:p>
        </w:tc>
        <w:tc>
          <w:tcPr>
            <w:tcW w:w="720" w:type="pct"/>
            <w:tcBorders>
              <w:top w:val="nil"/>
              <w:bottom w:val="nil"/>
            </w:tcBorders>
          </w:tcPr>
          <w:p w:rsidR="00000000" w:rsidRDefault="00000000">
            <w:pPr>
              <w:pStyle w:val="a2"/>
              <w:tabs>
                <w:tab w:val="decimal" w:pos="615"/>
              </w:tabs>
            </w:pPr>
            <w:r>
              <w:t>79.6</w:t>
            </w:r>
          </w:p>
        </w:tc>
        <w:tc>
          <w:tcPr>
            <w:tcW w:w="720" w:type="pct"/>
            <w:tcBorders>
              <w:top w:val="nil"/>
              <w:bottom w:val="nil"/>
            </w:tcBorders>
          </w:tcPr>
          <w:p w:rsidR="00000000" w:rsidRDefault="00000000">
            <w:pPr>
              <w:pStyle w:val="a2"/>
              <w:tabs>
                <w:tab w:val="decimal" w:pos="615"/>
              </w:tabs>
            </w:pPr>
            <w:r>
              <w:t>85.4</w:t>
            </w:r>
          </w:p>
        </w:tc>
        <w:tc>
          <w:tcPr>
            <w:tcW w:w="730" w:type="pct"/>
            <w:tcBorders>
              <w:top w:val="nil"/>
              <w:bottom w:val="nil"/>
            </w:tcBorders>
          </w:tcPr>
          <w:p w:rsidR="00000000" w:rsidRDefault="00000000">
            <w:pPr>
              <w:pStyle w:val="a2"/>
              <w:tabs>
                <w:tab w:val="decimal" w:pos="615"/>
              </w:tabs>
            </w:pPr>
            <w:r>
              <w:t>58.3</w:t>
            </w:r>
          </w:p>
        </w:tc>
        <w:tc>
          <w:tcPr>
            <w:tcW w:w="721" w:type="pct"/>
            <w:tcBorders>
              <w:top w:val="nil"/>
              <w:bottom w:val="nil"/>
            </w:tcBorders>
          </w:tcPr>
          <w:p w:rsidR="00000000" w:rsidRDefault="00000000">
            <w:pPr>
              <w:pStyle w:val="a2"/>
              <w:tabs>
                <w:tab w:val="decimal" w:pos="615"/>
              </w:tabs>
            </w:pPr>
            <w:r>
              <w:t>59.4</w:t>
            </w:r>
          </w:p>
        </w:tc>
        <w:tc>
          <w:tcPr>
            <w:tcW w:w="664" w:type="pct"/>
            <w:tcBorders>
              <w:top w:val="nil"/>
              <w:bottom w:val="nil"/>
            </w:tcBorders>
          </w:tcPr>
          <w:p w:rsidR="00000000" w:rsidRDefault="00000000">
            <w:pPr>
              <w:pStyle w:val="a2"/>
              <w:tabs>
                <w:tab w:val="decimal" w:pos="615"/>
              </w:tabs>
            </w:pPr>
            <w:r>
              <w:t>56.9</w:t>
            </w:r>
          </w:p>
        </w:tc>
      </w:tr>
      <w:tr w:rsidR="00000000">
        <w:tblPrEx>
          <w:tblCellMar>
            <w:top w:w="0" w:type="dxa"/>
            <w:bottom w:w="0" w:type="dxa"/>
          </w:tblCellMar>
        </w:tblPrEx>
        <w:tc>
          <w:tcPr>
            <w:tcW w:w="666" w:type="pct"/>
            <w:tcBorders>
              <w:top w:val="nil"/>
            </w:tcBorders>
          </w:tcPr>
          <w:p w:rsidR="00000000" w:rsidRDefault="00000000">
            <w:pPr>
              <w:pStyle w:val="a2"/>
            </w:pPr>
            <w:r>
              <w:t>1999</w:t>
            </w:r>
          </w:p>
        </w:tc>
        <w:tc>
          <w:tcPr>
            <w:tcW w:w="778" w:type="pct"/>
            <w:tcBorders>
              <w:top w:val="nil"/>
            </w:tcBorders>
          </w:tcPr>
          <w:p w:rsidR="00000000" w:rsidRDefault="00000000">
            <w:pPr>
              <w:pStyle w:val="a2"/>
              <w:tabs>
                <w:tab w:val="decimal" w:pos="615"/>
              </w:tabs>
            </w:pPr>
            <w:r>
              <w:t>89.8</w:t>
            </w:r>
          </w:p>
        </w:tc>
        <w:tc>
          <w:tcPr>
            <w:tcW w:w="720" w:type="pct"/>
            <w:tcBorders>
              <w:top w:val="nil"/>
            </w:tcBorders>
          </w:tcPr>
          <w:p w:rsidR="00000000" w:rsidRDefault="00000000">
            <w:pPr>
              <w:pStyle w:val="a2"/>
              <w:tabs>
                <w:tab w:val="decimal" w:pos="615"/>
              </w:tabs>
            </w:pPr>
            <w:r>
              <w:t>91.8</w:t>
            </w:r>
          </w:p>
        </w:tc>
        <w:tc>
          <w:tcPr>
            <w:tcW w:w="720" w:type="pct"/>
            <w:tcBorders>
              <w:top w:val="nil"/>
            </w:tcBorders>
          </w:tcPr>
          <w:p w:rsidR="00000000" w:rsidRDefault="00000000">
            <w:pPr>
              <w:pStyle w:val="a2"/>
              <w:tabs>
                <w:tab w:val="decimal" w:pos="615"/>
              </w:tabs>
            </w:pPr>
            <w:r>
              <w:t>87.7</w:t>
            </w:r>
          </w:p>
        </w:tc>
        <w:tc>
          <w:tcPr>
            <w:tcW w:w="730" w:type="pct"/>
            <w:tcBorders>
              <w:top w:val="nil"/>
            </w:tcBorders>
          </w:tcPr>
          <w:p w:rsidR="00000000" w:rsidRDefault="00000000">
            <w:pPr>
              <w:pStyle w:val="a2"/>
              <w:tabs>
                <w:tab w:val="decimal" w:pos="615"/>
              </w:tabs>
            </w:pPr>
            <w:r>
              <w:t>57.6</w:t>
            </w:r>
          </w:p>
        </w:tc>
        <w:tc>
          <w:tcPr>
            <w:tcW w:w="721" w:type="pct"/>
            <w:tcBorders>
              <w:top w:val="nil"/>
            </w:tcBorders>
          </w:tcPr>
          <w:p w:rsidR="00000000" w:rsidRDefault="00000000">
            <w:pPr>
              <w:pStyle w:val="a2"/>
              <w:tabs>
                <w:tab w:val="decimal" w:pos="615"/>
              </w:tabs>
            </w:pPr>
            <w:r>
              <w:t>61.6</w:t>
            </w:r>
          </w:p>
        </w:tc>
        <w:tc>
          <w:tcPr>
            <w:tcW w:w="664" w:type="pct"/>
            <w:tcBorders>
              <w:top w:val="nil"/>
            </w:tcBorders>
          </w:tcPr>
          <w:p w:rsidR="00000000" w:rsidRDefault="00000000">
            <w:pPr>
              <w:pStyle w:val="a2"/>
              <w:tabs>
                <w:tab w:val="decimal" w:pos="615"/>
              </w:tabs>
            </w:pPr>
            <w:r>
              <w:t>52.7</w:t>
            </w:r>
          </w:p>
        </w:tc>
      </w:tr>
      <w:tr w:rsidR="00000000">
        <w:tblPrEx>
          <w:tblCellMar>
            <w:top w:w="0" w:type="dxa"/>
            <w:bottom w:w="0" w:type="dxa"/>
          </w:tblCellMar>
        </w:tblPrEx>
        <w:trPr>
          <w:cantSplit/>
        </w:trPr>
        <w:tc>
          <w:tcPr>
            <w:tcW w:w="666" w:type="pct"/>
            <w:tcBorders>
              <w:bottom w:val="single" w:sz="4" w:space="0" w:color="auto"/>
            </w:tcBorders>
          </w:tcPr>
          <w:p w:rsidR="00000000" w:rsidRDefault="00000000">
            <w:pPr>
              <w:pStyle w:val="a2"/>
            </w:pPr>
          </w:p>
        </w:tc>
        <w:tc>
          <w:tcPr>
            <w:tcW w:w="4334" w:type="pct"/>
            <w:gridSpan w:val="6"/>
            <w:tcBorders>
              <w:bottom w:val="single" w:sz="4" w:space="0" w:color="auto"/>
            </w:tcBorders>
          </w:tcPr>
          <w:p w:rsidR="00000000" w:rsidRDefault="00000000">
            <w:pPr>
              <w:pStyle w:val="a2"/>
              <w:jc w:val="center"/>
              <w:rPr>
                <w:rFonts w:hint="eastAsia"/>
              </w:rPr>
            </w:pPr>
            <w:r>
              <w:rPr>
                <w:rFonts w:hint="eastAsia"/>
              </w:rPr>
              <w:t>5</w:t>
            </w:r>
            <w:r>
              <w:rPr>
                <w:rFonts w:hint="eastAsia"/>
              </w:rPr>
              <w:t>岁以下</w:t>
            </w:r>
          </w:p>
        </w:tc>
      </w:tr>
      <w:tr w:rsidR="00000000">
        <w:tblPrEx>
          <w:tblCellMar>
            <w:top w:w="0" w:type="dxa"/>
            <w:bottom w:w="0" w:type="dxa"/>
          </w:tblCellMar>
        </w:tblPrEx>
        <w:tc>
          <w:tcPr>
            <w:tcW w:w="666" w:type="pct"/>
            <w:tcBorders>
              <w:bottom w:val="nil"/>
            </w:tcBorders>
          </w:tcPr>
          <w:p w:rsidR="00000000" w:rsidRDefault="00000000">
            <w:pPr>
              <w:pStyle w:val="a2"/>
            </w:pPr>
            <w:r>
              <w:t>1994</w:t>
            </w:r>
          </w:p>
        </w:tc>
        <w:tc>
          <w:tcPr>
            <w:tcW w:w="778" w:type="pct"/>
            <w:tcBorders>
              <w:bottom w:val="nil"/>
            </w:tcBorders>
          </w:tcPr>
          <w:p w:rsidR="00000000" w:rsidRDefault="00000000">
            <w:pPr>
              <w:pStyle w:val="a2"/>
              <w:tabs>
                <w:tab w:val="decimal" w:pos="615"/>
              </w:tabs>
            </w:pPr>
            <w:r>
              <w:t>97.0</w:t>
            </w:r>
          </w:p>
        </w:tc>
        <w:tc>
          <w:tcPr>
            <w:tcW w:w="720" w:type="pct"/>
            <w:tcBorders>
              <w:bottom w:val="nil"/>
            </w:tcBorders>
          </w:tcPr>
          <w:p w:rsidR="00000000" w:rsidRDefault="00000000">
            <w:pPr>
              <w:pStyle w:val="a2"/>
              <w:tabs>
                <w:tab w:val="decimal" w:pos="615"/>
              </w:tabs>
            </w:pPr>
            <w:r>
              <w:t>98.7</w:t>
            </w:r>
          </w:p>
        </w:tc>
        <w:tc>
          <w:tcPr>
            <w:tcW w:w="720" w:type="pct"/>
            <w:tcBorders>
              <w:bottom w:val="nil"/>
            </w:tcBorders>
          </w:tcPr>
          <w:p w:rsidR="00000000" w:rsidRDefault="00000000">
            <w:pPr>
              <w:pStyle w:val="a2"/>
              <w:tabs>
                <w:tab w:val="decimal" w:pos="615"/>
              </w:tabs>
            </w:pPr>
            <w:r>
              <w:t>95.1</w:t>
            </w:r>
          </w:p>
        </w:tc>
        <w:tc>
          <w:tcPr>
            <w:tcW w:w="730" w:type="pct"/>
            <w:tcBorders>
              <w:bottom w:val="nil"/>
            </w:tcBorders>
          </w:tcPr>
          <w:p w:rsidR="00000000" w:rsidRDefault="00000000">
            <w:pPr>
              <w:pStyle w:val="a2"/>
              <w:tabs>
                <w:tab w:val="decimal" w:pos="615"/>
              </w:tabs>
            </w:pPr>
            <w:r>
              <w:t>50.6</w:t>
            </w:r>
          </w:p>
        </w:tc>
        <w:tc>
          <w:tcPr>
            <w:tcW w:w="721" w:type="pct"/>
            <w:tcBorders>
              <w:bottom w:val="nil"/>
            </w:tcBorders>
          </w:tcPr>
          <w:p w:rsidR="00000000" w:rsidRDefault="00000000">
            <w:pPr>
              <w:pStyle w:val="a2"/>
              <w:tabs>
                <w:tab w:val="decimal" w:pos="615"/>
              </w:tabs>
            </w:pPr>
            <w:r>
              <w:t>85.6</w:t>
            </w:r>
          </w:p>
        </w:tc>
        <w:tc>
          <w:tcPr>
            <w:tcW w:w="664" w:type="pct"/>
            <w:tcBorders>
              <w:bottom w:val="nil"/>
            </w:tcBorders>
          </w:tcPr>
          <w:p w:rsidR="00000000" w:rsidRDefault="00000000">
            <w:pPr>
              <w:pStyle w:val="a2"/>
              <w:tabs>
                <w:tab w:val="decimal" w:pos="615"/>
              </w:tabs>
            </w:pPr>
            <w:r>
              <w:t>72.6</w:t>
            </w:r>
          </w:p>
        </w:tc>
      </w:tr>
      <w:tr w:rsidR="00000000">
        <w:tblPrEx>
          <w:tblCellMar>
            <w:top w:w="0" w:type="dxa"/>
            <w:bottom w:w="0" w:type="dxa"/>
          </w:tblCellMar>
        </w:tblPrEx>
        <w:tc>
          <w:tcPr>
            <w:tcW w:w="666" w:type="pct"/>
            <w:tcBorders>
              <w:top w:val="nil"/>
              <w:bottom w:val="nil"/>
            </w:tcBorders>
          </w:tcPr>
          <w:p w:rsidR="00000000" w:rsidRDefault="00000000">
            <w:pPr>
              <w:pStyle w:val="a2"/>
            </w:pPr>
            <w:r>
              <w:t>1995</w:t>
            </w:r>
          </w:p>
        </w:tc>
        <w:tc>
          <w:tcPr>
            <w:tcW w:w="778" w:type="pct"/>
            <w:tcBorders>
              <w:top w:val="nil"/>
              <w:bottom w:val="nil"/>
            </w:tcBorders>
          </w:tcPr>
          <w:p w:rsidR="00000000" w:rsidRDefault="00000000">
            <w:pPr>
              <w:pStyle w:val="a2"/>
              <w:tabs>
                <w:tab w:val="decimal" w:pos="615"/>
              </w:tabs>
            </w:pPr>
            <w:r>
              <w:t>96.2</w:t>
            </w:r>
          </w:p>
        </w:tc>
        <w:tc>
          <w:tcPr>
            <w:tcW w:w="720" w:type="pct"/>
            <w:tcBorders>
              <w:top w:val="nil"/>
              <w:bottom w:val="nil"/>
            </w:tcBorders>
          </w:tcPr>
          <w:p w:rsidR="00000000" w:rsidRDefault="00000000">
            <w:pPr>
              <w:pStyle w:val="a2"/>
              <w:tabs>
                <w:tab w:val="decimal" w:pos="615"/>
              </w:tabs>
            </w:pPr>
            <w:r>
              <w:t>98.5</w:t>
            </w:r>
          </w:p>
        </w:tc>
        <w:tc>
          <w:tcPr>
            <w:tcW w:w="720" w:type="pct"/>
            <w:tcBorders>
              <w:top w:val="nil"/>
              <w:bottom w:val="nil"/>
            </w:tcBorders>
          </w:tcPr>
          <w:p w:rsidR="00000000" w:rsidRDefault="00000000">
            <w:pPr>
              <w:pStyle w:val="a2"/>
              <w:tabs>
                <w:tab w:val="decimal" w:pos="615"/>
              </w:tabs>
            </w:pPr>
            <w:r>
              <w:t>93.2</w:t>
            </w:r>
          </w:p>
        </w:tc>
        <w:tc>
          <w:tcPr>
            <w:tcW w:w="730" w:type="pct"/>
            <w:tcBorders>
              <w:top w:val="nil"/>
              <w:bottom w:val="nil"/>
            </w:tcBorders>
          </w:tcPr>
          <w:p w:rsidR="00000000" w:rsidRDefault="00000000">
            <w:pPr>
              <w:pStyle w:val="a2"/>
              <w:tabs>
                <w:tab w:val="decimal" w:pos="615"/>
              </w:tabs>
            </w:pPr>
            <w:r>
              <w:t>45.8</w:t>
            </w:r>
          </w:p>
        </w:tc>
        <w:tc>
          <w:tcPr>
            <w:tcW w:w="721" w:type="pct"/>
            <w:tcBorders>
              <w:top w:val="nil"/>
              <w:bottom w:val="nil"/>
            </w:tcBorders>
          </w:tcPr>
          <w:p w:rsidR="00000000" w:rsidRDefault="00000000">
            <w:pPr>
              <w:pStyle w:val="a2"/>
              <w:tabs>
                <w:tab w:val="decimal" w:pos="615"/>
              </w:tabs>
            </w:pPr>
            <w:r>
              <w:t>82.1</w:t>
            </w:r>
          </w:p>
        </w:tc>
        <w:tc>
          <w:tcPr>
            <w:tcW w:w="664" w:type="pct"/>
            <w:tcBorders>
              <w:top w:val="nil"/>
              <w:bottom w:val="nil"/>
            </w:tcBorders>
          </w:tcPr>
          <w:p w:rsidR="00000000" w:rsidRDefault="00000000">
            <w:pPr>
              <w:pStyle w:val="a2"/>
              <w:tabs>
                <w:tab w:val="decimal" w:pos="615"/>
              </w:tabs>
            </w:pPr>
            <w:r>
              <w:t>72.6</w:t>
            </w:r>
          </w:p>
        </w:tc>
      </w:tr>
      <w:tr w:rsidR="00000000">
        <w:tblPrEx>
          <w:tblCellMar>
            <w:top w:w="0" w:type="dxa"/>
            <w:bottom w:w="0" w:type="dxa"/>
          </w:tblCellMar>
        </w:tblPrEx>
        <w:tc>
          <w:tcPr>
            <w:tcW w:w="666" w:type="pct"/>
            <w:tcBorders>
              <w:top w:val="nil"/>
            </w:tcBorders>
          </w:tcPr>
          <w:p w:rsidR="00000000" w:rsidRDefault="00000000">
            <w:pPr>
              <w:pStyle w:val="a2"/>
            </w:pPr>
            <w:r>
              <w:t>1999</w:t>
            </w:r>
          </w:p>
        </w:tc>
        <w:tc>
          <w:tcPr>
            <w:tcW w:w="778" w:type="pct"/>
            <w:tcBorders>
              <w:top w:val="nil"/>
            </w:tcBorders>
          </w:tcPr>
          <w:p w:rsidR="00000000" w:rsidRDefault="00000000">
            <w:pPr>
              <w:pStyle w:val="a2"/>
              <w:tabs>
                <w:tab w:val="decimal" w:pos="615"/>
              </w:tabs>
            </w:pPr>
            <w:r>
              <w:t>97.0</w:t>
            </w:r>
          </w:p>
        </w:tc>
        <w:tc>
          <w:tcPr>
            <w:tcW w:w="720" w:type="pct"/>
            <w:tcBorders>
              <w:top w:val="nil"/>
            </w:tcBorders>
          </w:tcPr>
          <w:p w:rsidR="00000000" w:rsidRDefault="00000000">
            <w:pPr>
              <w:pStyle w:val="a2"/>
              <w:tabs>
                <w:tab w:val="decimal" w:pos="615"/>
              </w:tabs>
            </w:pPr>
            <w:r>
              <w:t>97.5</w:t>
            </w:r>
          </w:p>
        </w:tc>
        <w:tc>
          <w:tcPr>
            <w:tcW w:w="720" w:type="pct"/>
            <w:tcBorders>
              <w:top w:val="nil"/>
            </w:tcBorders>
          </w:tcPr>
          <w:p w:rsidR="00000000" w:rsidRDefault="00000000">
            <w:pPr>
              <w:pStyle w:val="a2"/>
              <w:tabs>
                <w:tab w:val="decimal" w:pos="615"/>
              </w:tabs>
            </w:pPr>
            <w:r>
              <w:t>96.4</w:t>
            </w:r>
          </w:p>
        </w:tc>
        <w:tc>
          <w:tcPr>
            <w:tcW w:w="730" w:type="pct"/>
            <w:tcBorders>
              <w:top w:val="nil"/>
            </w:tcBorders>
          </w:tcPr>
          <w:p w:rsidR="00000000" w:rsidRDefault="00000000">
            <w:pPr>
              <w:pStyle w:val="a2"/>
              <w:tabs>
                <w:tab w:val="decimal" w:pos="615"/>
              </w:tabs>
            </w:pPr>
            <w:r>
              <w:t>57.6</w:t>
            </w:r>
          </w:p>
        </w:tc>
        <w:tc>
          <w:tcPr>
            <w:tcW w:w="721" w:type="pct"/>
            <w:tcBorders>
              <w:top w:val="nil"/>
            </w:tcBorders>
          </w:tcPr>
          <w:p w:rsidR="00000000" w:rsidRDefault="00000000">
            <w:pPr>
              <w:pStyle w:val="a2"/>
              <w:tabs>
                <w:tab w:val="decimal" w:pos="615"/>
              </w:tabs>
            </w:pPr>
            <w:r>
              <w:t>87.9</w:t>
            </w:r>
          </w:p>
        </w:tc>
        <w:tc>
          <w:tcPr>
            <w:tcW w:w="664" w:type="pct"/>
            <w:tcBorders>
              <w:top w:val="nil"/>
            </w:tcBorders>
          </w:tcPr>
          <w:p w:rsidR="00000000" w:rsidRDefault="00000000">
            <w:pPr>
              <w:pStyle w:val="a2"/>
              <w:tabs>
                <w:tab w:val="decimal" w:pos="615"/>
              </w:tabs>
            </w:pPr>
            <w:r>
              <w:t>74.9</w:t>
            </w:r>
          </w:p>
        </w:tc>
      </w:tr>
    </w:tbl>
    <w:p w:rsidR="00000000" w:rsidRDefault="00000000">
      <w:pPr>
        <w:spacing w:before="12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 xml:space="preserve">: </w:t>
      </w:r>
      <w:r>
        <w:rPr>
          <w:rFonts w:eastAsia="KaiTi_GB2312" w:hint="eastAsia"/>
          <w:snapToGrid/>
          <w:spacing w:val="0"/>
        </w:rPr>
        <w:t>亚太经社会，生活条件调查，</w:t>
      </w:r>
      <w:r>
        <w:rPr>
          <w:rFonts w:eastAsia="KaiTi_GB2312" w:hint="eastAsia"/>
          <w:snapToGrid/>
          <w:spacing w:val="0"/>
        </w:rPr>
        <w:t>1994</w:t>
      </w:r>
      <w:r>
        <w:rPr>
          <w:rFonts w:eastAsia="KaiTi_GB2312" w:hint="eastAsia"/>
          <w:snapToGrid/>
          <w:spacing w:val="0"/>
        </w:rPr>
        <w:t>年，国家统计局</w:t>
      </w:r>
      <w:r>
        <w:rPr>
          <w:rFonts w:eastAsia="KaiTi_GB2312" w:hint="eastAsia"/>
          <w:snapToGrid/>
          <w:spacing w:val="0"/>
        </w:rPr>
        <w:t>1995-1999</w:t>
      </w:r>
      <w:r>
        <w:rPr>
          <w:rFonts w:eastAsia="KaiTi_GB2312" w:hint="eastAsia"/>
          <w:snapToGrid/>
          <w:spacing w:val="0"/>
        </w:rPr>
        <w:t>年。</w:t>
      </w:r>
    </w:p>
    <w:p w:rsidR="00000000" w:rsidRDefault="00000000">
      <w:pPr>
        <w:rPr>
          <w:rFonts w:hint="eastAsia"/>
        </w:rPr>
      </w:pPr>
      <w:r>
        <w:rPr>
          <w:rFonts w:hint="eastAsia"/>
        </w:rPr>
        <w:tab/>
        <w:t xml:space="preserve">420.  </w:t>
      </w:r>
      <w:r>
        <w:rPr>
          <w:rFonts w:hint="eastAsia"/>
        </w:rPr>
        <w:t>厄瓜多尔最近获世界卫生组织认明，已不存在小儿麻痹症。三磷酸腺苷疫苗接种率远低于</w:t>
      </w:r>
      <w:r>
        <w:rPr>
          <w:rFonts w:hint="eastAsia"/>
        </w:rPr>
        <w:t>2000</w:t>
      </w:r>
      <w:r>
        <w:rPr>
          <w:rFonts w:hint="eastAsia"/>
        </w:rPr>
        <w:t>年所确定的覆盖率</w:t>
      </w:r>
      <w:r>
        <w:rPr>
          <w:rFonts w:hint="eastAsia"/>
        </w:rPr>
        <w:t>90%</w:t>
      </w:r>
      <w:r>
        <w:rPr>
          <w:rFonts w:hint="eastAsia"/>
        </w:rPr>
        <w:t>这一地区指标。</w:t>
      </w:r>
    </w:p>
    <w:p w:rsidR="00000000" w:rsidRDefault="00000000">
      <w:pPr>
        <w:rPr>
          <w:rFonts w:hint="eastAsia"/>
        </w:rPr>
      </w:pPr>
      <w:r>
        <w:rPr>
          <w:rFonts w:hint="eastAsia"/>
        </w:rPr>
        <w:tab/>
        <w:t xml:space="preserve">421.  </w:t>
      </w:r>
      <w:r>
        <w:rPr>
          <w:rFonts w:hint="eastAsia"/>
        </w:rPr>
        <w:t>从</w:t>
      </w:r>
      <w:r>
        <w:rPr>
          <w:rFonts w:hint="eastAsia"/>
        </w:rPr>
        <w:t>1990</w:t>
      </w:r>
      <w:r>
        <w:rPr>
          <w:rFonts w:hint="eastAsia"/>
        </w:rPr>
        <w:t>年起，开展了大规模的疫苗接种运动，争取在</w:t>
      </w:r>
      <w:r>
        <w:rPr>
          <w:rFonts w:hint="eastAsia"/>
        </w:rPr>
        <w:t>5</w:t>
      </w:r>
      <w:r>
        <w:rPr>
          <w:rFonts w:hint="eastAsia"/>
        </w:rPr>
        <w:t>岁以下儿童中消灭麻疹病。</w:t>
      </w:r>
    </w:p>
    <w:p w:rsidR="00000000" w:rsidRDefault="00000000">
      <w:pPr>
        <w:spacing w:after="320"/>
        <w:rPr>
          <w:rFonts w:hint="eastAsia"/>
        </w:rPr>
      </w:pPr>
      <w:r>
        <w:rPr>
          <w:rFonts w:hint="eastAsia"/>
        </w:rPr>
        <w:tab/>
        <w:t>422.  1994</w:t>
      </w:r>
      <w:r>
        <w:rPr>
          <w:rFonts w:hint="eastAsia"/>
        </w:rPr>
        <w:t>年至</w:t>
      </w:r>
      <w:r>
        <w:rPr>
          <w:rFonts w:hint="eastAsia"/>
        </w:rPr>
        <w:t>1999</w:t>
      </w:r>
      <w:r>
        <w:rPr>
          <w:rFonts w:hint="eastAsia"/>
        </w:rPr>
        <w:t>年间，全国麻疹的发病率呈下降趋势，尤其是未满</w:t>
      </w:r>
      <w:r>
        <w:rPr>
          <w:rFonts w:hint="eastAsia"/>
        </w:rPr>
        <w:t>1</w:t>
      </w:r>
      <w:r>
        <w:rPr>
          <w:rFonts w:hint="eastAsia"/>
        </w:rPr>
        <w:t>岁的儿童。另一方面，这一期间不同地区却变化情况不一：城市地区</w:t>
      </w:r>
      <w:r>
        <w:rPr>
          <w:rFonts w:hint="eastAsia"/>
        </w:rPr>
        <w:t>1999</w:t>
      </w:r>
      <w:r>
        <w:rPr>
          <w:rFonts w:hint="eastAsia"/>
        </w:rPr>
        <w:t>年比</w:t>
      </w:r>
      <w:r>
        <w:rPr>
          <w:rFonts w:hint="eastAsia"/>
        </w:rPr>
        <w:t>1998</w:t>
      </w:r>
      <w:r>
        <w:rPr>
          <w:rFonts w:hint="eastAsia"/>
        </w:rPr>
        <w:t>年略有增长。农村地区麻疹的防疫覆盖情况不一，但呈下降趋势。</w:t>
      </w:r>
      <w:r>
        <w:rPr>
          <w:rFonts w:hint="eastAsia"/>
          <w:b/>
          <w:vertAlign w:val="superscript"/>
        </w:rPr>
        <w:t>57</w:t>
      </w:r>
      <w:r>
        <w:rPr>
          <w:rFonts w:hint="eastAsia"/>
        </w:rPr>
        <w:t xml:space="preserve"> </w:t>
      </w:r>
    </w:p>
    <w:p w:rsidR="00000000" w:rsidRDefault="00000000">
      <w:pPr>
        <w:pStyle w:val="Heading3"/>
        <w:rPr>
          <w:rFonts w:hint="eastAsia"/>
        </w:rPr>
      </w:pPr>
      <w:r>
        <w:rPr>
          <w:rFonts w:hint="eastAsia"/>
        </w:rPr>
        <w:t>按全国和地区分列的一岁以下和五岁以下</w:t>
      </w:r>
      <w:r>
        <w:br/>
      </w:r>
      <w:r>
        <w:rPr>
          <w:rFonts w:hint="eastAsia"/>
        </w:rPr>
        <w:t>儿童疫苗接种情况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5"/>
        <w:gridCol w:w="1489"/>
        <w:gridCol w:w="1378"/>
        <w:gridCol w:w="1380"/>
        <w:gridCol w:w="1397"/>
        <w:gridCol w:w="1380"/>
        <w:gridCol w:w="1271"/>
      </w:tblGrid>
      <w:tr w:rsidR="00000000">
        <w:tblPrEx>
          <w:tblCellMar>
            <w:top w:w="0" w:type="dxa"/>
            <w:bottom w:w="0" w:type="dxa"/>
          </w:tblCellMar>
        </w:tblPrEx>
        <w:trPr>
          <w:cantSplit/>
        </w:trPr>
        <w:tc>
          <w:tcPr>
            <w:tcW w:w="666" w:type="pct"/>
            <w:vMerge w:val="restart"/>
          </w:tcPr>
          <w:p w:rsidR="00000000" w:rsidRDefault="00000000">
            <w:pPr>
              <w:pStyle w:val="a2"/>
              <w:spacing w:before="240"/>
              <w:rPr>
                <w:rFonts w:hint="eastAsia"/>
              </w:rPr>
            </w:pPr>
            <w:r>
              <w:rPr>
                <w:rFonts w:hint="eastAsia"/>
              </w:rPr>
              <w:t>年</w:t>
            </w:r>
            <w:r>
              <w:rPr>
                <w:rFonts w:hint="eastAsia"/>
              </w:rPr>
              <w:t xml:space="preserve">  </w:t>
            </w:r>
            <w:r>
              <w:rPr>
                <w:rFonts w:hint="eastAsia"/>
              </w:rPr>
              <w:t>份</w:t>
            </w:r>
          </w:p>
        </w:tc>
        <w:tc>
          <w:tcPr>
            <w:tcW w:w="2219" w:type="pct"/>
            <w:gridSpan w:val="3"/>
          </w:tcPr>
          <w:p w:rsidR="00000000" w:rsidRDefault="00000000">
            <w:pPr>
              <w:pStyle w:val="a2"/>
              <w:jc w:val="center"/>
              <w:rPr>
                <w:rFonts w:hint="eastAsia"/>
              </w:rPr>
            </w:pPr>
            <w:r>
              <w:rPr>
                <w:rFonts w:hint="eastAsia"/>
              </w:rPr>
              <w:t>小儿麻痹症</w:t>
            </w:r>
            <w:r>
              <w:rPr>
                <w:rFonts w:hint="eastAsia"/>
              </w:rPr>
              <w:t>(</w:t>
            </w:r>
            <w:r>
              <w:rPr>
                <w:rFonts w:hint="eastAsia"/>
              </w:rPr>
              <w:t>三磷酸腺苷</w:t>
            </w:r>
            <w:r>
              <w:rPr>
                <w:rFonts w:hint="eastAsia"/>
              </w:rPr>
              <w:t>)</w:t>
            </w:r>
          </w:p>
        </w:tc>
        <w:tc>
          <w:tcPr>
            <w:tcW w:w="2115" w:type="pct"/>
            <w:gridSpan w:val="3"/>
          </w:tcPr>
          <w:p w:rsidR="00000000" w:rsidRDefault="00000000">
            <w:pPr>
              <w:pStyle w:val="a2"/>
              <w:jc w:val="center"/>
              <w:rPr>
                <w:rFonts w:hint="eastAsia"/>
              </w:rPr>
            </w:pPr>
            <w:r>
              <w:rPr>
                <w:rFonts w:hint="eastAsia"/>
              </w:rPr>
              <w:t>麻</w:t>
            </w:r>
            <w:r>
              <w:rPr>
                <w:rFonts w:hint="eastAsia"/>
              </w:rPr>
              <w:t xml:space="preserve">  </w:t>
            </w:r>
            <w:r>
              <w:rPr>
                <w:rFonts w:hint="eastAsia"/>
              </w:rPr>
              <w:t>疹</w:t>
            </w:r>
          </w:p>
        </w:tc>
      </w:tr>
      <w:tr w:rsidR="00000000">
        <w:tblPrEx>
          <w:tblCellMar>
            <w:top w:w="0" w:type="dxa"/>
            <w:bottom w:w="0" w:type="dxa"/>
          </w:tblCellMar>
        </w:tblPrEx>
        <w:trPr>
          <w:cantSplit/>
        </w:trPr>
        <w:tc>
          <w:tcPr>
            <w:tcW w:w="666" w:type="pct"/>
            <w:vMerge/>
          </w:tcPr>
          <w:p w:rsidR="00000000" w:rsidRDefault="00000000"/>
        </w:tc>
        <w:tc>
          <w:tcPr>
            <w:tcW w:w="4334" w:type="pct"/>
            <w:gridSpan w:val="6"/>
          </w:tcPr>
          <w:p w:rsidR="00000000" w:rsidRDefault="00000000">
            <w:pPr>
              <w:pStyle w:val="a2"/>
              <w:jc w:val="center"/>
              <w:rPr>
                <w:rFonts w:hint="eastAsia"/>
              </w:rPr>
            </w:pPr>
            <w:r>
              <w:rPr>
                <w:rFonts w:hint="eastAsia"/>
              </w:rPr>
              <w:t>一岁以下</w:t>
            </w:r>
          </w:p>
        </w:tc>
      </w:tr>
      <w:tr w:rsidR="00000000">
        <w:tblPrEx>
          <w:tblCellMar>
            <w:top w:w="0" w:type="dxa"/>
            <w:bottom w:w="0" w:type="dxa"/>
          </w:tblCellMar>
        </w:tblPrEx>
        <w:trPr>
          <w:cantSplit/>
        </w:trPr>
        <w:tc>
          <w:tcPr>
            <w:tcW w:w="666" w:type="pct"/>
            <w:vMerge/>
            <w:tcBorders>
              <w:bottom w:val="single" w:sz="4" w:space="0" w:color="auto"/>
            </w:tcBorders>
          </w:tcPr>
          <w:p w:rsidR="00000000" w:rsidRDefault="00000000">
            <w:pPr>
              <w:pStyle w:val="a2"/>
            </w:pPr>
          </w:p>
        </w:tc>
        <w:tc>
          <w:tcPr>
            <w:tcW w:w="778" w:type="pct"/>
            <w:tcBorders>
              <w:bottom w:val="single" w:sz="4" w:space="0" w:color="auto"/>
            </w:tcBorders>
          </w:tcPr>
          <w:p w:rsidR="00000000" w:rsidRDefault="00000000">
            <w:pPr>
              <w:pStyle w:val="a2"/>
              <w:jc w:val="center"/>
              <w:rPr>
                <w:rFonts w:hint="eastAsia"/>
              </w:rPr>
            </w:pPr>
            <w:r>
              <w:rPr>
                <w:rFonts w:hint="eastAsia"/>
              </w:rPr>
              <w:t>全</w:t>
            </w:r>
            <w:r>
              <w:rPr>
                <w:rFonts w:hint="eastAsia"/>
              </w:rPr>
              <w:t xml:space="preserve">  </w:t>
            </w:r>
            <w:r>
              <w:rPr>
                <w:rFonts w:hint="eastAsia"/>
              </w:rPr>
              <w:t>国</w:t>
            </w:r>
          </w:p>
        </w:tc>
        <w:tc>
          <w:tcPr>
            <w:tcW w:w="720" w:type="pct"/>
            <w:tcBorders>
              <w:bottom w:val="single" w:sz="4" w:space="0" w:color="auto"/>
            </w:tcBorders>
          </w:tcPr>
          <w:p w:rsidR="00000000" w:rsidRDefault="00000000">
            <w:pPr>
              <w:pStyle w:val="a2"/>
              <w:jc w:val="center"/>
              <w:rPr>
                <w:rFonts w:hint="eastAsia"/>
              </w:rPr>
            </w:pPr>
            <w:r>
              <w:rPr>
                <w:rFonts w:hint="eastAsia"/>
              </w:rPr>
              <w:t>城</w:t>
            </w:r>
            <w:r>
              <w:rPr>
                <w:rFonts w:hint="eastAsia"/>
              </w:rPr>
              <w:t xml:space="preserve">  </w:t>
            </w:r>
            <w:r>
              <w:rPr>
                <w:rFonts w:hint="eastAsia"/>
              </w:rPr>
              <w:t>市</w:t>
            </w:r>
          </w:p>
        </w:tc>
        <w:tc>
          <w:tcPr>
            <w:tcW w:w="721" w:type="pct"/>
            <w:tcBorders>
              <w:bottom w:val="single" w:sz="4" w:space="0" w:color="auto"/>
            </w:tcBorders>
          </w:tcPr>
          <w:p w:rsidR="00000000" w:rsidRDefault="00000000">
            <w:pPr>
              <w:pStyle w:val="a2"/>
              <w:jc w:val="center"/>
              <w:rPr>
                <w:rFonts w:hint="eastAsia"/>
              </w:rPr>
            </w:pPr>
            <w:r>
              <w:rPr>
                <w:rFonts w:hint="eastAsia"/>
              </w:rPr>
              <w:t>农</w:t>
            </w:r>
            <w:r>
              <w:rPr>
                <w:rFonts w:hint="eastAsia"/>
              </w:rPr>
              <w:t xml:space="preserve">  </w:t>
            </w:r>
            <w:r>
              <w:rPr>
                <w:rFonts w:hint="eastAsia"/>
              </w:rPr>
              <w:t>村</w:t>
            </w:r>
          </w:p>
        </w:tc>
        <w:tc>
          <w:tcPr>
            <w:tcW w:w="730" w:type="pct"/>
            <w:tcBorders>
              <w:bottom w:val="single" w:sz="4" w:space="0" w:color="auto"/>
            </w:tcBorders>
          </w:tcPr>
          <w:p w:rsidR="00000000" w:rsidRDefault="00000000">
            <w:pPr>
              <w:pStyle w:val="a2"/>
              <w:jc w:val="center"/>
              <w:rPr>
                <w:rFonts w:hint="eastAsia"/>
              </w:rPr>
            </w:pPr>
            <w:r>
              <w:rPr>
                <w:rFonts w:hint="eastAsia"/>
              </w:rPr>
              <w:t>全</w:t>
            </w:r>
            <w:r>
              <w:rPr>
                <w:rFonts w:hint="eastAsia"/>
              </w:rPr>
              <w:t xml:space="preserve">  </w:t>
            </w:r>
            <w:r>
              <w:rPr>
                <w:rFonts w:hint="eastAsia"/>
              </w:rPr>
              <w:t>国</w:t>
            </w:r>
          </w:p>
        </w:tc>
        <w:tc>
          <w:tcPr>
            <w:tcW w:w="721" w:type="pct"/>
            <w:tcBorders>
              <w:bottom w:val="single" w:sz="4" w:space="0" w:color="auto"/>
            </w:tcBorders>
          </w:tcPr>
          <w:p w:rsidR="00000000" w:rsidRDefault="00000000">
            <w:pPr>
              <w:pStyle w:val="a2"/>
              <w:jc w:val="center"/>
              <w:rPr>
                <w:rFonts w:hint="eastAsia"/>
              </w:rPr>
            </w:pPr>
            <w:r>
              <w:rPr>
                <w:rFonts w:hint="eastAsia"/>
              </w:rPr>
              <w:t>城</w:t>
            </w:r>
            <w:r>
              <w:rPr>
                <w:rFonts w:hint="eastAsia"/>
              </w:rPr>
              <w:t xml:space="preserve">  </w:t>
            </w:r>
            <w:r>
              <w:rPr>
                <w:rFonts w:hint="eastAsia"/>
              </w:rPr>
              <w:t>市</w:t>
            </w:r>
          </w:p>
        </w:tc>
        <w:tc>
          <w:tcPr>
            <w:tcW w:w="664" w:type="pct"/>
            <w:tcBorders>
              <w:bottom w:val="single" w:sz="4" w:space="0" w:color="auto"/>
            </w:tcBorders>
          </w:tcPr>
          <w:p w:rsidR="00000000" w:rsidRDefault="00000000">
            <w:pPr>
              <w:pStyle w:val="a2"/>
              <w:jc w:val="center"/>
              <w:rPr>
                <w:rFonts w:hint="eastAsia"/>
              </w:rPr>
            </w:pPr>
            <w:r>
              <w:rPr>
                <w:rFonts w:hint="eastAsia"/>
              </w:rPr>
              <w:t>农</w:t>
            </w:r>
            <w:r>
              <w:rPr>
                <w:rFonts w:hint="eastAsia"/>
              </w:rPr>
              <w:t xml:space="preserve">  </w:t>
            </w:r>
            <w:r>
              <w:rPr>
                <w:rFonts w:hint="eastAsia"/>
              </w:rPr>
              <w:t>村</w:t>
            </w:r>
          </w:p>
        </w:tc>
      </w:tr>
      <w:tr w:rsidR="00000000">
        <w:tblPrEx>
          <w:tblCellMar>
            <w:top w:w="0" w:type="dxa"/>
            <w:bottom w:w="0" w:type="dxa"/>
          </w:tblCellMar>
        </w:tblPrEx>
        <w:tc>
          <w:tcPr>
            <w:tcW w:w="666" w:type="pct"/>
            <w:tcBorders>
              <w:bottom w:val="nil"/>
            </w:tcBorders>
          </w:tcPr>
          <w:p w:rsidR="00000000" w:rsidRDefault="00000000">
            <w:pPr>
              <w:pStyle w:val="a2"/>
              <w:spacing w:line="264" w:lineRule="auto"/>
            </w:pPr>
            <w:r>
              <w:t>1994</w:t>
            </w:r>
          </w:p>
        </w:tc>
        <w:tc>
          <w:tcPr>
            <w:tcW w:w="778" w:type="pct"/>
            <w:tcBorders>
              <w:bottom w:val="nil"/>
            </w:tcBorders>
          </w:tcPr>
          <w:p w:rsidR="00000000" w:rsidRDefault="00000000">
            <w:pPr>
              <w:pStyle w:val="a2"/>
              <w:tabs>
                <w:tab w:val="decimal" w:pos="510"/>
              </w:tabs>
              <w:spacing w:line="264" w:lineRule="auto"/>
            </w:pPr>
            <w:r>
              <w:t>47.7</w:t>
            </w:r>
          </w:p>
        </w:tc>
        <w:tc>
          <w:tcPr>
            <w:tcW w:w="720" w:type="pct"/>
            <w:tcBorders>
              <w:bottom w:val="nil"/>
            </w:tcBorders>
          </w:tcPr>
          <w:p w:rsidR="00000000" w:rsidRDefault="00000000">
            <w:pPr>
              <w:pStyle w:val="a2"/>
              <w:tabs>
                <w:tab w:val="decimal" w:pos="510"/>
              </w:tabs>
              <w:spacing w:line="264" w:lineRule="auto"/>
            </w:pPr>
            <w:r>
              <w:t>52.7</w:t>
            </w:r>
          </w:p>
        </w:tc>
        <w:tc>
          <w:tcPr>
            <w:tcW w:w="721" w:type="pct"/>
            <w:tcBorders>
              <w:bottom w:val="nil"/>
            </w:tcBorders>
          </w:tcPr>
          <w:p w:rsidR="00000000" w:rsidRDefault="00000000">
            <w:pPr>
              <w:pStyle w:val="a2"/>
              <w:tabs>
                <w:tab w:val="decimal" w:pos="510"/>
              </w:tabs>
              <w:spacing w:line="264" w:lineRule="auto"/>
            </w:pPr>
            <w:r>
              <w:t>41.7</w:t>
            </w:r>
          </w:p>
        </w:tc>
        <w:tc>
          <w:tcPr>
            <w:tcW w:w="730" w:type="pct"/>
            <w:tcBorders>
              <w:bottom w:val="nil"/>
            </w:tcBorders>
          </w:tcPr>
          <w:p w:rsidR="00000000" w:rsidRDefault="00000000">
            <w:pPr>
              <w:pStyle w:val="a2"/>
              <w:tabs>
                <w:tab w:val="decimal" w:pos="510"/>
              </w:tabs>
              <w:spacing w:line="264" w:lineRule="auto"/>
            </w:pPr>
            <w:r>
              <w:t>62.0</w:t>
            </w:r>
          </w:p>
        </w:tc>
        <w:tc>
          <w:tcPr>
            <w:tcW w:w="721" w:type="pct"/>
            <w:tcBorders>
              <w:bottom w:val="nil"/>
            </w:tcBorders>
          </w:tcPr>
          <w:p w:rsidR="00000000" w:rsidRDefault="00000000">
            <w:pPr>
              <w:pStyle w:val="a2"/>
              <w:tabs>
                <w:tab w:val="decimal" w:pos="510"/>
              </w:tabs>
              <w:spacing w:line="264" w:lineRule="auto"/>
            </w:pPr>
            <w:r>
              <w:t>69.8</w:t>
            </w:r>
          </w:p>
        </w:tc>
        <w:tc>
          <w:tcPr>
            <w:tcW w:w="664" w:type="pct"/>
            <w:tcBorders>
              <w:bottom w:val="nil"/>
            </w:tcBorders>
          </w:tcPr>
          <w:p w:rsidR="00000000" w:rsidRDefault="00000000">
            <w:pPr>
              <w:pStyle w:val="a2"/>
              <w:tabs>
                <w:tab w:val="decimal" w:pos="510"/>
              </w:tabs>
              <w:spacing w:line="264" w:lineRule="auto"/>
            </w:pPr>
            <w:r>
              <w:t>52.8</w:t>
            </w:r>
          </w:p>
        </w:tc>
      </w:tr>
      <w:tr w:rsidR="00000000">
        <w:tblPrEx>
          <w:tblCellMar>
            <w:top w:w="0" w:type="dxa"/>
            <w:bottom w:w="0" w:type="dxa"/>
          </w:tblCellMar>
        </w:tblPrEx>
        <w:tc>
          <w:tcPr>
            <w:tcW w:w="666" w:type="pct"/>
            <w:tcBorders>
              <w:top w:val="nil"/>
              <w:bottom w:val="nil"/>
            </w:tcBorders>
          </w:tcPr>
          <w:p w:rsidR="00000000" w:rsidRDefault="00000000">
            <w:pPr>
              <w:pStyle w:val="a2"/>
              <w:spacing w:line="264" w:lineRule="auto"/>
            </w:pPr>
            <w:r>
              <w:t>1995</w:t>
            </w:r>
          </w:p>
        </w:tc>
        <w:tc>
          <w:tcPr>
            <w:tcW w:w="778" w:type="pct"/>
            <w:tcBorders>
              <w:top w:val="nil"/>
              <w:bottom w:val="nil"/>
            </w:tcBorders>
          </w:tcPr>
          <w:p w:rsidR="00000000" w:rsidRDefault="00000000">
            <w:pPr>
              <w:pStyle w:val="a2"/>
              <w:tabs>
                <w:tab w:val="decimal" w:pos="510"/>
              </w:tabs>
              <w:spacing w:line="264" w:lineRule="auto"/>
            </w:pPr>
            <w:r>
              <w:t>43.4</w:t>
            </w:r>
          </w:p>
        </w:tc>
        <w:tc>
          <w:tcPr>
            <w:tcW w:w="720" w:type="pct"/>
            <w:tcBorders>
              <w:top w:val="nil"/>
              <w:bottom w:val="nil"/>
            </w:tcBorders>
          </w:tcPr>
          <w:p w:rsidR="00000000" w:rsidRDefault="00000000">
            <w:pPr>
              <w:pStyle w:val="a2"/>
              <w:tabs>
                <w:tab w:val="decimal" w:pos="510"/>
              </w:tabs>
              <w:spacing w:line="264" w:lineRule="auto"/>
            </w:pPr>
            <w:r>
              <w:t>45.7</w:t>
            </w:r>
          </w:p>
        </w:tc>
        <w:tc>
          <w:tcPr>
            <w:tcW w:w="721" w:type="pct"/>
            <w:tcBorders>
              <w:top w:val="nil"/>
              <w:bottom w:val="nil"/>
            </w:tcBorders>
          </w:tcPr>
          <w:p w:rsidR="00000000" w:rsidRDefault="00000000">
            <w:pPr>
              <w:pStyle w:val="a2"/>
              <w:tabs>
                <w:tab w:val="decimal" w:pos="510"/>
              </w:tabs>
              <w:spacing w:line="264" w:lineRule="auto"/>
            </w:pPr>
            <w:r>
              <w:t>40.2</w:t>
            </w:r>
          </w:p>
        </w:tc>
        <w:tc>
          <w:tcPr>
            <w:tcW w:w="730" w:type="pct"/>
            <w:tcBorders>
              <w:top w:val="nil"/>
              <w:bottom w:val="nil"/>
            </w:tcBorders>
          </w:tcPr>
          <w:p w:rsidR="00000000" w:rsidRDefault="00000000">
            <w:pPr>
              <w:pStyle w:val="a2"/>
              <w:tabs>
                <w:tab w:val="decimal" w:pos="510"/>
              </w:tabs>
              <w:spacing w:line="264" w:lineRule="auto"/>
            </w:pPr>
            <w:r>
              <w:t>60.3</w:t>
            </w:r>
          </w:p>
        </w:tc>
        <w:tc>
          <w:tcPr>
            <w:tcW w:w="721" w:type="pct"/>
            <w:tcBorders>
              <w:top w:val="nil"/>
              <w:bottom w:val="nil"/>
            </w:tcBorders>
          </w:tcPr>
          <w:p w:rsidR="00000000" w:rsidRDefault="00000000">
            <w:pPr>
              <w:pStyle w:val="a2"/>
              <w:tabs>
                <w:tab w:val="decimal" w:pos="510"/>
              </w:tabs>
              <w:spacing w:line="264" w:lineRule="auto"/>
            </w:pPr>
            <w:r>
              <w:t>64.1</w:t>
            </w:r>
          </w:p>
        </w:tc>
        <w:tc>
          <w:tcPr>
            <w:tcW w:w="664" w:type="pct"/>
            <w:tcBorders>
              <w:top w:val="nil"/>
              <w:bottom w:val="nil"/>
            </w:tcBorders>
          </w:tcPr>
          <w:p w:rsidR="00000000" w:rsidRDefault="00000000">
            <w:pPr>
              <w:pStyle w:val="a2"/>
              <w:tabs>
                <w:tab w:val="decimal" w:pos="510"/>
              </w:tabs>
              <w:spacing w:line="264" w:lineRule="auto"/>
            </w:pPr>
            <w:r>
              <w:t>55.5</w:t>
            </w:r>
          </w:p>
        </w:tc>
      </w:tr>
      <w:tr w:rsidR="00000000">
        <w:tblPrEx>
          <w:tblCellMar>
            <w:top w:w="0" w:type="dxa"/>
            <w:bottom w:w="0" w:type="dxa"/>
          </w:tblCellMar>
        </w:tblPrEx>
        <w:tc>
          <w:tcPr>
            <w:tcW w:w="666" w:type="pct"/>
            <w:tcBorders>
              <w:top w:val="nil"/>
              <w:bottom w:val="nil"/>
            </w:tcBorders>
          </w:tcPr>
          <w:p w:rsidR="00000000" w:rsidRDefault="00000000">
            <w:pPr>
              <w:pStyle w:val="a2"/>
              <w:spacing w:line="264" w:lineRule="auto"/>
            </w:pPr>
            <w:r>
              <w:t>1998</w:t>
            </w:r>
          </w:p>
        </w:tc>
        <w:tc>
          <w:tcPr>
            <w:tcW w:w="778" w:type="pct"/>
            <w:tcBorders>
              <w:top w:val="nil"/>
              <w:bottom w:val="nil"/>
            </w:tcBorders>
          </w:tcPr>
          <w:p w:rsidR="00000000" w:rsidRDefault="00000000">
            <w:pPr>
              <w:pStyle w:val="a2"/>
              <w:tabs>
                <w:tab w:val="decimal" w:pos="510"/>
              </w:tabs>
              <w:spacing w:line="264" w:lineRule="auto"/>
            </w:pPr>
            <w:r>
              <w:t>52.5</w:t>
            </w:r>
          </w:p>
        </w:tc>
        <w:tc>
          <w:tcPr>
            <w:tcW w:w="720" w:type="pct"/>
            <w:tcBorders>
              <w:top w:val="nil"/>
              <w:bottom w:val="nil"/>
            </w:tcBorders>
          </w:tcPr>
          <w:p w:rsidR="00000000" w:rsidRDefault="00000000">
            <w:pPr>
              <w:pStyle w:val="a2"/>
              <w:tabs>
                <w:tab w:val="decimal" w:pos="510"/>
              </w:tabs>
              <w:spacing w:line="264" w:lineRule="auto"/>
            </w:pPr>
            <w:r>
              <w:t>52.4</w:t>
            </w:r>
          </w:p>
        </w:tc>
        <w:tc>
          <w:tcPr>
            <w:tcW w:w="721" w:type="pct"/>
            <w:tcBorders>
              <w:top w:val="nil"/>
              <w:bottom w:val="nil"/>
            </w:tcBorders>
          </w:tcPr>
          <w:p w:rsidR="00000000" w:rsidRDefault="00000000">
            <w:pPr>
              <w:pStyle w:val="a2"/>
              <w:tabs>
                <w:tab w:val="decimal" w:pos="510"/>
              </w:tabs>
              <w:spacing w:line="264" w:lineRule="auto"/>
            </w:pPr>
            <w:r>
              <w:t>52.7</w:t>
            </w:r>
          </w:p>
        </w:tc>
        <w:tc>
          <w:tcPr>
            <w:tcW w:w="730" w:type="pct"/>
            <w:tcBorders>
              <w:top w:val="nil"/>
              <w:bottom w:val="nil"/>
            </w:tcBorders>
          </w:tcPr>
          <w:p w:rsidR="00000000" w:rsidRDefault="00000000">
            <w:pPr>
              <w:pStyle w:val="a2"/>
              <w:tabs>
                <w:tab w:val="decimal" w:pos="510"/>
              </w:tabs>
              <w:spacing w:line="264" w:lineRule="auto"/>
            </w:pPr>
            <w:r>
              <w:t>52.3</w:t>
            </w:r>
          </w:p>
        </w:tc>
        <w:tc>
          <w:tcPr>
            <w:tcW w:w="721" w:type="pct"/>
            <w:tcBorders>
              <w:top w:val="nil"/>
              <w:bottom w:val="nil"/>
            </w:tcBorders>
          </w:tcPr>
          <w:p w:rsidR="00000000" w:rsidRDefault="00000000">
            <w:pPr>
              <w:pStyle w:val="a2"/>
              <w:tabs>
                <w:tab w:val="decimal" w:pos="510"/>
              </w:tabs>
              <w:spacing w:line="264" w:lineRule="auto"/>
            </w:pPr>
            <w:r>
              <w:t>55.7</w:t>
            </w:r>
          </w:p>
        </w:tc>
        <w:tc>
          <w:tcPr>
            <w:tcW w:w="664" w:type="pct"/>
            <w:tcBorders>
              <w:top w:val="nil"/>
              <w:bottom w:val="nil"/>
            </w:tcBorders>
          </w:tcPr>
          <w:p w:rsidR="00000000" w:rsidRDefault="00000000">
            <w:pPr>
              <w:pStyle w:val="a2"/>
              <w:tabs>
                <w:tab w:val="decimal" w:pos="510"/>
              </w:tabs>
              <w:spacing w:line="264" w:lineRule="auto"/>
            </w:pPr>
            <w:r>
              <w:t>48.5</w:t>
            </w:r>
          </w:p>
        </w:tc>
      </w:tr>
      <w:tr w:rsidR="00000000">
        <w:tblPrEx>
          <w:tblCellMar>
            <w:top w:w="0" w:type="dxa"/>
            <w:bottom w:w="0" w:type="dxa"/>
          </w:tblCellMar>
        </w:tblPrEx>
        <w:tc>
          <w:tcPr>
            <w:tcW w:w="666" w:type="pct"/>
            <w:tcBorders>
              <w:top w:val="nil"/>
            </w:tcBorders>
          </w:tcPr>
          <w:p w:rsidR="00000000" w:rsidRDefault="00000000">
            <w:pPr>
              <w:pStyle w:val="a2"/>
              <w:spacing w:line="264" w:lineRule="auto"/>
            </w:pPr>
            <w:r>
              <w:t>1999</w:t>
            </w:r>
          </w:p>
        </w:tc>
        <w:tc>
          <w:tcPr>
            <w:tcW w:w="778" w:type="pct"/>
            <w:tcBorders>
              <w:top w:val="nil"/>
            </w:tcBorders>
          </w:tcPr>
          <w:p w:rsidR="00000000" w:rsidRDefault="00000000">
            <w:pPr>
              <w:pStyle w:val="a2"/>
              <w:tabs>
                <w:tab w:val="decimal" w:pos="510"/>
              </w:tabs>
              <w:spacing w:line="264" w:lineRule="auto"/>
            </w:pPr>
            <w:r>
              <w:t>56.3</w:t>
            </w:r>
          </w:p>
        </w:tc>
        <w:tc>
          <w:tcPr>
            <w:tcW w:w="720" w:type="pct"/>
            <w:tcBorders>
              <w:top w:val="nil"/>
            </w:tcBorders>
          </w:tcPr>
          <w:p w:rsidR="00000000" w:rsidRDefault="00000000">
            <w:pPr>
              <w:pStyle w:val="a2"/>
              <w:tabs>
                <w:tab w:val="decimal" w:pos="510"/>
              </w:tabs>
              <w:spacing w:line="264" w:lineRule="auto"/>
            </w:pPr>
            <w:r>
              <w:t>61.6</w:t>
            </w:r>
          </w:p>
        </w:tc>
        <w:tc>
          <w:tcPr>
            <w:tcW w:w="721" w:type="pct"/>
            <w:tcBorders>
              <w:top w:val="nil"/>
            </w:tcBorders>
          </w:tcPr>
          <w:p w:rsidR="00000000" w:rsidRDefault="00000000">
            <w:pPr>
              <w:pStyle w:val="a2"/>
              <w:tabs>
                <w:tab w:val="decimal" w:pos="510"/>
              </w:tabs>
              <w:spacing w:line="264" w:lineRule="auto"/>
            </w:pPr>
            <w:r>
              <w:t>49.8</w:t>
            </w:r>
          </w:p>
        </w:tc>
        <w:tc>
          <w:tcPr>
            <w:tcW w:w="730" w:type="pct"/>
            <w:tcBorders>
              <w:top w:val="nil"/>
            </w:tcBorders>
          </w:tcPr>
          <w:p w:rsidR="00000000" w:rsidRDefault="00000000">
            <w:pPr>
              <w:pStyle w:val="a2"/>
              <w:tabs>
                <w:tab w:val="decimal" w:pos="510"/>
              </w:tabs>
              <w:spacing w:line="264" w:lineRule="auto"/>
            </w:pPr>
            <w:r>
              <w:t>52.8</w:t>
            </w:r>
          </w:p>
        </w:tc>
        <w:tc>
          <w:tcPr>
            <w:tcW w:w="721" w:type="pct"/>
            <w:tcBorders>
              <w:top w:val="nil"/>
            </w:tcBorders>
          </w:tcPr>
          <w:p w:rsidR="00000000" w:rsidRDefault="00000000">
            <w:pPr>
              <w:pStyle w:val="a2"/>
              <w:tabs>
                <w:tab w:val="decimal" w:pos="510"/>
              </w:tabs>
              <w:spacing w:line="264" w:lineRule="auto"/>
            </w:pPr>
            <w:r>
              <w:t>59.5</w:t>
            </w:r>
          </w:p>
        </w:tc>
        <w:tc>
          <w:tcPr>
            <w:tcW w:w="664" w:type="pct"/>
            <w:tcBorders>
              <w:top w:val="nil"/>
            </w:tcBorders>
          </w:tcPr>
          <w:p w:rsidR="00000000" w:rsidRDefault="00000000">
            <w:pPr>
              <w:pStyle w:val="a2"/>
              <w:tabs>
                <w:tab w:val="decimal" w:pos="510"/>
              </w:tabs>
              <w:spacing w:line="264" w:lineRule="auto"/>
            </w:pPr>
            <w:r>
              <w:t>41.3</w:t>
            </w:r>
          </w:p>
        </w:tc>
      </w:tr>
      <w:tr w:rsidR="00000000">
        <w:tblPrEx>
          <w:tblCellMar>
            <w:top w:w="0" w:type="dxa"/>
            <w:bottom w:w="0" w:type="dxa"/>
          </w:tblCellMar>
        </w:tblPrEx>
        <w:trPr>
          <w:cantSplit/>
        </w:trPr>
        <w:tc>
          <w:tcPr>
            <w:tcW w:w="666" w:type="pct"/>
            <w:tcBorders>
              <w:bottom w:val="single" w:sz="4" w:space="0" w:color="auto"/>
            </w:tcBorders>
          </w:tcPr>
          <w:p w:rsidR="00000000" w:rsidRDefault="00000000">
            <w:pPr>
              <w:pStyle w:val="a2"/>
              <w:spacing w:line="264" w:lineRule="auto"/>
            </w:pPr>
          </w:p>
        </w:tc>
        <w:tc>
          <w:tcPr>
            <w:tcW w:w="4334" w:type="pct"/>
            <w:gridSpan w:val="6"/>
            <w:tcBorders>
              <w:bottom w:val="single" w:sz="4" w:space="0" w:color="auto"/>
            </w:tcBorders>
          </w:tcPr>
          <w:p w:rsidR="00000000" w:rsidRDefault="00000000">
            <w:pPr>
              <w:pStyle w:val="a2"/>
              <w:tabs>
                <w:tab w:val="decimal" w:pos="510"/>
              </w:tabs>
              <w:spacing w:line="264" w:lineRule="auto"/>
              <w:jc w:val="center"/>
              <w:rPr>
                <w:rFonts w:hint="eastAsia"/>
              </w:rPr>
            </w:pPr>
            <w:r>
              <w:rPr>
                <w:rFonts w:hint="eastAsia"/>
              </w:rPr>
              <w:t>五岁以下</w:t>
            </w:r>
          </w:p>
        </w:tc>
      </w:tr>
      <w:tr w:rsidR="00000000">
        <w:tblPrEx>
          <w:tblCellMar>
            <w:top w:w="0" w:type="dxa"/>
            <w:bottom w:w="0" w:type="dxa"/>
          </w:tblCellMar>
        </w:tblPrEx>
        <w:tc>
          <w:tcPr>
            <w:tcW w:w="666" w:type="pct"/>
            <w:tcBorders>
              <w:bottom w:val="nil"/>
            </w:tcBorders>
          </w:tcPr>
          <w:p w:rsidR="00000000" w:rsidRDefault="00000000">
            <w:pPr>
              <w:pStyle w:val="a2"/>
              <w:spacing w:line="264" w:lineRule="auto"/>
            </w:pPr>
            <w:r>
              <w:t>1994</w:t>
            </w:r>
          </w:p>
        </w:tc>
        <w:tc>
          <w:tcPr>
            <w:tcW w:w="778" w:type="pct"/>
            <w:tcBorders>
              <w:bottom w:val="nil"/>
            </w:tcBorders>
          </w:tcPr>
          <w:p w:rsidR="00000000" w:rsidRDefault="00000000">
            <w:pPr>
              <w:pStyle w:val="a2"/>
              <w:tabs>
                <w:tab w:val="decimal" w:pos="510"/>
              </w:tabs>
              <w:spacing w:line="264" w:lineRule="auto"/>
            </w:pPr>
            <w:r>
              <w:t>78.3</w:t>
            </w:r>
          </w:p>
        </w:tc>
        <w:tc>
          <w:tcPr>
            <w:tcW w:w="720" w:type="pct"/>
            <w:tcBorders>
              <w:bottom w:val="nil"/>
            </w:tcBorders>
          </w:tcPr>
          <w:p w:rsidR="00000000" w:rsidRDefault="00000000">
            <w:pPr>
              <w:pStyle w:val="a2"/>
              <w:tabs>
                <w:tab w:val="decimal" w:pos="510"/>
              </w:tabs>
              <w:spacing w:line="264" w:lineRule="auto"/>
            </w:pPr>
            <w:r>
              <w:t>85.0</w:t>
            </w:r>
          </w:p>
        </w:tc>
        <w:tc>
          <w:tcPr>
            <w:tcW w:w="721" w:type="pct"/>
            <w:tcBorders>
              <w:bottom w:val="nil"/>
            </w:tcBorders>
          </w:tcPr>
          <w:p w:rsidR="00000000" w:rsidRDefault="00000000">
            <w:pPr>
              <w:pStyle w:val="a2"/>
              <w:tabs>
                <w:tab w:val="decimal" w:pos="510"/>
              </w:tabs>
              <w:spacing w:line="264" w:lineRule="auto"/>
            </w:pPr>
            <w:r>
              <w:t>70.9</w:t>
            </w:r>
          </w:p>
        </w:tc>
        <w:tc>
          <w:tcPr>
            <w:tcW w:w="730" w:type="pct"/>
            <w:tcBorders>
              <w:bottom w:val="nil"/>
            </w:tcBorders>
          </w:tcPr>
          <w:p w:rsidR="00000000" w:rsidRDefault="00000000">
            <w:pPr>
              <w:pStyle w:val="a2"/>
              <w:tabs>
                <w:tab w:val="decimal" w:pos="510"/>
              </w:tabs>
              <w:spacing w:line="264" w:lineRule="auto"/>
            </w:pPr>
            <w:r>
              <w:t>62.0</w:t>
            </w:r>
          </w:p>
        </w:tc>
        <w:tc>
          <w:tcPr>
            <w:tcW w:w="721" w:type="pct"/>
            <w:tcBorders>
              <w:bottom w:val="nil"/>
            </w:tcBorders>
          </w:tcPr>
          <w:p w:rsidR="00000000" w:rsidRDefault="00000000">
            <w:pPr>
              <w:pStyle w:val="a2"/>
              <w:tabs>
                <w:tab w:val="decimal" w:pos="510"/>
              </w:tabs>
              <w:spacing w:line="264" w:lineRule="auto"/>
            </w:pPr>
            <w:r>
              <w:t>92.0</w:t>
            </w:r>
          </w:p>
        </w:tc>
        <w:tc>
          <w:tcPr>
            <w:tcW w:w="664" w:type="pct"/>
            <w:tcBorders>
              <w:bottom w:val="nil"/>
            </w:tcBorders>
          </w:tcPr>
          <w:p w:rsidR="00000000" w:rsidRDefault="00000000">
            <w:pPr>
              <w:pStyle w:val="a2"/>
              <w:tabs>
                <w:tab w:val="decimal" w:pos="510"/>
              </w:tabs>
              <w:spacing w:line="264" w:lineRule="auto"/>
            </w:pPr>
            <w:r>
              <w:t>81.6</w:t>
            </w:r>
          </w:p>
        </w:tc>
      </w:tr>
      <w:tr w:rsidR="00000000">
        <w:tblPrEx>
          <w:tblCellMar>
            <w:top w:w="0" w:type="dxa"/>
            <w:bottom w:w="0" w:type="dxa"/>
          </w:tblCellMar>
        </w:tblPrEx>
        <w:tc>
          <w:tcPr>
            <w:tcW w:w="666" w:type="pct"/>
            <w:tcBorders>
              <w:top w:val="nil"/>
              <w:bottom w:val="nil"/>
            </w:tcBorders>
          </w:tcPr>
          <w:p w:rsidR="00000000" w:rsidRDefault="00000000">
            <w:pPr>
              <w:pStyle w:val="a2"/>
              <w:spacing w:line="264" w:lineRule="auto"/>
            </w:pPr>
            <w:r>
              <w:t>1995</w:t>
            </w:r>
          </w:p>
        </w:tc>
        <w:tc>
          <w:tcPr>
            <w:tcW w:w="778" w:type="pct"/>
            <w:tcBorders>
              <w:top w:val="nil"/>
              <w:bottom w:val="nil"/>
            </w:tcBorders>
          </w:tcPr>
          <w:p w:rsidR="00000000" w:rsidRDefault="00000000">
            <w:pPr>
              <w:pStyle w:val="a2"/>
              <w:tabs>
                <w:tab w:val="decimal" w:pos="510"/>
              </w:tabs>
              <w:spacing w:line="264" w:lineRule="auto"/>
            </w:pPr>
            <w:r>
              <w:t>77.0</w:t>
            </w:r>
          </w:p>
        </w:tc>
        <w:tc>
          <w:tcPr>
            <w:tcW w:w="720" w:type="pct"/>
            <w:tcBorders>
              <w:top w:val="nil"/>
              <w:bottom w:val="nil"/>
            </w:tcBorders>
          </w:tcPr>
          <w:p w:rsidR="00000000" w:rsidRDefault="00000000">
            <w:pPr>
              <w:pStyle w:val="a2"/>
              <w:tabs>
                <w:tab w:val="decimal" w:pos="510"/>
              </w:tabs>
              <w:spacing w:line="264" w:lineRule="auto"/>
            </w:pPr>
            <w:r>
              <w:t>81.5</w:t>
            </w:r>
          </w:p>
        </w:tc>
        <w:tc>
          <w:tcPr>
            <w:tcW w:w="721" w:type="pct"/>
            <w:tcBorders>
              <w:top w:val="nil"/>
              <w:bottom w:val="nil"/>
            </w:tcBorders>
          </w:tcPr>
          <w:p w:rsidR="00000000" w:rsidRDefault="00000000">
            <w:pPr>
              <w:pStyle w:val="a2"/>
              <w:tabs>
                <w:tab w:val="decimal" w:pos="510"/>
              </w:tabs>
              <w:spacing w:line="264" w:lineRule="auto"/>
            </w:pPr>
            <w:r>
              <w:t>71.1</w:t>
            </w:r>
          </w:p>
        </w:tc>
        <w:tc>
          <w:tcPr>
            <w:tcW w:w="730" w:type="pct"/>
            <w:tcBorders>
              <w:top w:val="nil"/>
              <w:bottom w:val="nil"/>
            </w:tcBorders>
          </w:tcPr>
          <w:p w:rsidR="00000000" w:rsidRDefault="00000000">
            <w:pPr>
              <w:pStyle w:val="a2"/>
              <w:tabs>
                <w:tab w:val="decimal" w:pos="510"/>
              </w:tabs>
              <w:spacing w:line="264" w:lineRule="auto"/>
            </w:pPr>
            <w:r>
              <w:t>60.3</w:t>
            </w:r>
          </w:p>
        </w:tc>
        <w:tc>
          <w:tcPr>
            <w:tcW w:w="721" w:type="pct"/>
            <w:tcBorders>
              <w:top w:val="nil"/>
              <w:bottom w:val="nil"/>
            </w:tcBorders>
          </w:tcPr>
          <w:p w:rsidR="00000000" w:rsidRDefault="00000000">
            <w:pPr>
              <w:pStyle w:val="a2"/>
              <w:tabs>
                <w:tab w:val="decimal" w:pos="510"/>
              </w:tabs>
              <w:spacing w:line="264" w:lineRule="auto"/>
            </w:pPr>
            <w:r>
              <w:t>90.1</w:t>
            </w:r>
          </w:p>
        </w:tc>
        <w:tc>
          <w:tcPr>
            <w:tcW w:w="664" w:type="pct"/>
            <w:tcBorders>
              <w:top w:val="nil"/>
              <w:bottom w:val="nil"/>
            </w:tcBorders>
          </w:tcPr>
          <w:p w:rsidR="00000000" w:rsidRDefault="00000000">
            <w:pPr>
              <w:pStyle w:val="a2"/>
              <w:tabs>
                <w:tab w:val="decimal" w:pos="510"/>
              </w:tabs>
              <w:spacing w:line="264" w:lineRule="auto"/>
            </w:pPr>
            <w:r>
              <w:t>84.5</w:t>
            </w:r>
          </w:p>
        </w:tc>
      </w:tr>
      <w:tr w:rsidR="00000000">
        <w:tblPrEx>
          <w:tblCellMar>
            <w:top w:w="0" w:type="dxa"/>
            <w:bottom w:w="0" w:type="dxa"/>
          </w:tblCellMar>
        </w:tblPrEx>
        <w:tc>
          <w:tcPr>
            <w:tcW w:w="666" w:type="pct"/>
            <w:tcBorders>
              <w:top w:val="nil"/>
              <w:bottom w:val="nil"/>
            </w:tcBorders>
          </w:tcPr>
          <w:p w:rsidR="00000000" w:rsidRDefault="00000000">
            <w:pPr>
              <w:pStyle w:val="a2"/>
              <w:spacing w:line="264" w:lineRule="auto"/>
            </w:pPr>
            <w:r>
              <w:t>1998</w:t>
            </w:r>
          </w:p>
        </w:tc>
        <w:tc>
          <w:tcPr>
            <w:tcW w:w="778" w:type="pct"/>
            <w:tcBorders>
              <w:top w:val="nil"/>
              <w:bottom w:val="nil"/>
            </w:tcBorders>
          </w:tcPr>
          <w:p w:rsidR="00000000" w:rsidRDefault="00000000">
            <w:pPr>
              <w:pStyle w:val="a2"/>
              <w:tabs>
                <w:tab w:val="decimal" w:pos="510"/>
              </w:tabs>
              <w:spacing w:line="264" w:lineRule="auto"/>
            </w:pPr>
            <w:r>
              <w:t>82.0</w:t>
            </w:r>
          </w:p>
        </w:tc>
        <w:tc>
          <w:tcPr>
            <w:tcW w:w="720" w:type="pct"/>
            <w:tcBorders>
              <w:top w:val="nil"/>
              <w:bottom w:val="nil"/>
            </w:tcBorders>
          </w:tcPr>
          <w:p w:rsidR="00000000" w:rsidRDefault="00000000">
            <w:pPr>
              <w:pStyle w:val="a2"/>
              <w:tabs>
                <w:tab w:val="decimal" w:pos="510"/>
              </w:tabs>
              <w:spacing w:line="264" w:lineRule="auto"/>
            </w:pPr>
            <w:r>
              <w:t>84.1</w:t>
            </w:r>
          </w:p>
        </w:tc>
        <w:tc>
          <w:tcPr>
            <w:tcW w:w="721" w:type="pct"/>
            <w:tcBorders>
              <w:top w:val="nil"/>
              <w:bottom w:val="nil"/>
            </w:tcBorders>
          </w:tcPr>
          <w:p w:rsidR="00000000" w:rsidRDefault="00000000">
            <w:pPr>
              <w:pStyle w:val="a2"/>
              <w:tabs>
                <w:tab w:val="decimal" w:pos="510"/>
              </w:tabs>
              <w:spacing w:line="264" w:lineRule="auto"/>
            </w:pPr>
            <w:r>
              <w:t>79.3</w:t>
            </w:r>
          </w:p>
        </w:tc>
        <w:tc>
          <w:tcPr>
            <w:tcW w:w="730" w:type="pct"/>
            <w:tcBorders>
              <w:top w:val="nil"/>
              <w:bottom w:val="nil"/>
            </w:tcBorders>
          </w:tcPr>
          <w:p w:rsidR="00000000" w:rsidRDefault="00000000">
            <w:pPr>
              <w:pStyle w:val="a2"/>
              <w:tabs>
                <w:tab w:val="decimal" w:pos="510"/>
              </w:tabs>
              <w:spacing w:line="264" w:lineRule="auto"/>
            </w:pPr>
            <w:r>
              <w:t>52.3</w:t>
            </w:r>
          </w:p>
        </w:tc>
        <w:tc>
          <w:tcPr>
            <w:tcW w:w="721" w:type="pct"/>
            <w:tcBorders>
              <w:top w:val="nil"/>
              <w:bottom w:val="nil"/>
            </w:tcBorders>
          </w:tcPr>
          <w:p w:rsidR="00000000" w:rsidRDefault="00000000">
            <w:pPr>
              <w:pStyle w:val="a2"/>
              <w:tabs>
                <w:tab w:val="decimal" w:pos="510"/>
              </w:tabs>
              <w:spacing w:line="264" w:lineRule="auto"/>
            </w:pPr>
            <w:r>
              <w:t>89.8</w:t>
            </w:r>
          </w:p>
        </w:tc>
        <w:tc>
          <w:tcPr>
            <w:tcW w:w="664" w:type="pct"/>
            <w:tcBorders>
              <w:top w:val="nil"/>
              <w:bottom w:val="nil"/>
            </w:tcBorders>
          </w:tcPr>
          <w:p w:rsidR="00000000" w:rsidRDefault="00000000">
            <w:pPr>
              <w:pStyle w:val="a2"/>
              <w:tabs>
                <w:tab w:val="decimal" w:pos="510"/>
              </w:tabs>
              <w:spacing w:line="264" w:lineRule="auto"/>
            </w:pPr>
            <w:r>
              <w:t>85.4</w:t>
            </w:r>
          </w:p>
        </w:tc>
      </w:tr>
      <w:tr w:rsidR="00000000">
        <w:tblPrEx>
          <w:tblCellMar>
            <w:top w:w="0" w:type="dxa"/>
            <w:bottom w:w="0" w:type="dxa"/>
          </w:tblCellMar>
        </w:tblPrEx>
        <w:tc>
          <w:tcPr>
            <w:tcW w:w="666" w:type="pct"/>
            <w:tcBorders>
              <w:top w:val="nil"/>
            </w:tcBorders>
          </w:tcPr>
          <w:p w:rsidR="00000000" w:rsidRDefault="00000000">
            <w:pPr>
              <w:pStyle w:val="a2"/>
              <w:spacing w:line="264" w:lineRule="auto"/>
            </w:pPr>
            <w:r>
              <w:t>1999</w:t>
            </w:r>
          </w:p>
        </w:tc>
        <w:tc>
          <w:tcPr>
            <w:tcW w:w="778" w:type="pct"/>
            <w:tcBorders>
              <w:top w:val="nil"/>
            </w:tcBorders>
          </w:tcPr>
          <w:p w:rsidR="00000000" w:rsidRDefault="00000000">
            <w:pPr>
              <w:pStyle w:val="a2"/>
              <w:tabs>
                <w:tab w:val="decimal" w:pos="510"/>
              </w:tabs>
              <w:spacing w:line="264" w:lineRule="auto"/>
            </w:pPr>
            <w:r>
              <w:t>81.6</w:t>
            </w:r>
          </w:p>
        </w:tc>
        <w:tc>
          <w:tcPr>
            <w:tcW w:w="720" w:type="pct"/>
            <w:tcBorders>
              <w:top w:val="nil"/>
            </w:tcBorders>
          </w:tcPr>
          <w:p w:rsidR="00000000" w:rsidRDefault="00000000">
            <w:pPr>
              <w:pStyle w:val="a2"/>
              <w:tabs>
                <w:tab w:val="decimal" w:pos="510"/>
              </w:tabs>
              <w:spacing w:line="264" w:lineRule="auto"/>
            </w:pPr>
            <w:r>
              <w:t>87.8</w:t>
            </w:r>
          </w:p>
        </w:tc>
        <w:tc>
          <w:tcPr>
            <w:tcW w:w="721" w:type="pct"/>
            <w:tcBorders>
              <w:top w:val="nil"/>
            </w:tcBorders>
          </w:tcPr>
          <w:p w:rsidR="00000000" w:rsidRDefault="00000000">
            <w:pPr>
              <w:pStyle w:val="a2"/>
              <w:tabs>
                <w:tab w:val="decimal" w:pos="510"/>
              </w:tabs>
              <w:spacing w:line="264" w:lineRule="auto"/>
            </w:pPr>
            <w:r>
              <w:t>74.1</w:t>
            </w:r>
          </w:p>
        </w:tc>
        <w:tc>
          <w:tcPr>
            <w:tcW w:w="730" w:type="pct"/>
            <w:tcBorders>
              <w:top w:val="nil"/>
            </w:tcBorders>
          </w:tcPr>
          <w:p w:rsidR="00000000" w:rsidRDefault="00000000">
            <w:pPr>
              <w:pStyle w:val="a2"/>
              <w:tabs>
                <w:tab w:val="decimal" w:pos="510"/>
              </w:tabs>
              <w:spacing w:line="264" w:lineRule="auto"/>
            </w:pPr>
            <w:r>
              <w:t>52.8</w:t>
            </w:r>
          </w:p>
        </w:tc>
        <w:tc>
          <w:tcPr>
            <w:tcW w:w="721" w:type="pct"/>
            <w:tcBorders>
              <w:top w:val="nil"/>
            </w:tcBorders>
          </w:tcPr>
          <w:p w:rsidR="00000000" w:rsidRDefault="00000000">
            <w:pPr>
              <w:pStyle w:val="a2"/>
              <w:tabs>
                <w:tab w:val="decimal" w:pos="510"/>
              </w:tabs>
              <w:spacing w:line="264" w:lineRule="auto"/>
            </w:pPr>
            <w:r>
              <w:t>90.5</w:t>
            </w:r>
          </w:p>
        </w:tc>
        <w:tc>
          <w:tcPr>
            <w:tcW w:w="664" w:type="pct"/>
            <w:tcBorders>
              <w:top w:val="nil"/>
            </w:tcBorders>
          </w:tcPr>
          <w:p w:rsidR="00000000" w:rsidRDefault="00000000">
            <w:pPr>
              <w:pStyle w:val="a2"/>
              <w:tabs>
                <w:tab w:val="decimal" w:pos="510"/>
              </w:tabs>
              <w:spacing w:line="264" w:lineRule="auto"/>
            </w:pPr>
            <w:r>
              <w:t>81.6</w:t>
            </w:r>
          </w:p>
        </w:tc>
      </w:tr>
    </w:tbl>
    <w:p w:rsidR="00000000" w:rsidRDefault="00000000">
      <w:pPr>
        <w:spacing w:before="120"/>
        <w:rPr>
          <w:rFonts w:eastAsia="KaiTi_GB2312" w:hint="eastAsia"/>
          <w:spacing w:val="0"/>
        </w:rPr>
      </w:pPr>
      <w:r>
        <w:rPr>
          <w:rFonts w:eastAsia="KaiTi_GB2312" w:hint="eastAsia"/>
          <w:spacing w:val="0"/>
        </w:rPr>
        <w:tab/>
      </w:r>
      <w:r>
        <w:rPr>
          <w:rFonts w:eastAsia="KaiTi_GB2312" w:hint="eastAsia"/>
          <w:spacing w:val="0"/>
          <w:u w:val="single"/>
        </w:rPr>
        <w:t>资料来源</w:t>
      </w:r>
      <w:r>
        <w:rPr>
          <w:rFonts w:eastAsia="KaiTi_GB2312" w:hint="eastAsia"/>
          <w:spacing w:val="0"/>
        </w:rPr>
        <w:t>：亚太经社会，生活条件调查，</w:t>
      </w:r>
      <w:r>
        <w:rPr>
          <w:rFonts w:eastAsia="KaiTi_GB2312" w:hint="eastAsia"/>
          <w:spacing w:val="0"/>
        </w:rPr>
        <w:t>1994</w:t>
      </w:r>
      <w:r>
        <w:rPr>
          <w:rFonts w:eastAsia="KaiTi_GB2312" w:hint="eastAsia"/>
          <w:spacing w:val="0"/>
        </w:rPr>
        <w:t>年，国家统计局</w:t>
      </w:r>
      <w:r>
        <w:rPr>
          <w:rFonts w:eastAsia="KaiTi_GB2312" w:hint="eastAsia"/>
          <w:spacing w:val="0"/>
        </w:rPr>
        <w:t>1995-1999</w:t>
      </w:r>
      <w:r>
        <w:rPr>
          <w:rFonts w:eastAsia="KaiTi_GB2312" w:hint="eastAsia"/>
          <w:spacing w:val="0"/>
        </w:rPr>
        <w:t>年。</w:t>
      </w:r>
    </w:p>
    <w:p w:rsidR="00000000" w:rsidRDefault="00000000">
      <w:pPr>
        <w:rPr>
          <w:rFonts w:hint="eastAsia"/>
        </w:rPr>
      </w:pPr>
    </w:p>
    <w:p w:rsidR="00000000" w:rsidRDefault="00000000">
      <w:pPr>
        <w:pStyle w:val="Heading4"/>
        <w:spacing w:after="160"/>
        <w:rPr>
          <w:rFonts w:hint="eastAsia"/>
        </w:rPr>
      </w:pPr>
      <w:r>
        <w:rPr>
          <w:rFonts w:hint="eastAsia"/>
        </w:rPr>
        <w:t>预期寿命</w:t>
      </w:r>
    </w:p>
    <w:p w:rsidR="00000000" w:rsidRDefault="00000000">
      <w:pPr>
        <w:rPr>
          <w:rFonts w:hint="eastAsia"/>
          <w:spacing w:val="0"/>
        </w:rPr>
      </w:pPr>
      <w:r>
        <w:rPr>
          <w:rFonts w:hint="eastAsia"/>
        </w:rPr>
        <w:tab/>
        <w:t xml:space="preserve">423.  </w:t>
      </w:r>
      <w:r>
        <w:rPr>
          <w:rFonts w:hint="eastAsia"/>
          <w:spacing w:val="0"/>
        </w:rPr>
        <w:t>1995</w:t>
      </w:r>
      <w:r>
        <w:rPr>
          <w:rFonts w:hint="eastAsia"/>
          <w:spacing w:val="0"/>
        </w:rPr>
        <w:t>至</w:t>
      </w:r>
      <w:r>
        <w:rPr>
          <w:rFonts w:hint="eastAsia"/>
          <w:spacing w:val="0"/>
        </w:rPr>
        <w:t>2000</w:t>
      </w:r>
      <w:r>
        <w:rPr>
          <w:rFonts w:hint="eastAsia"/>
          <w:spacing w:val="0"/>
        </w:rPr>
        <w:t>年厄瓜多尔的预期寿命为</w:t>
      </w:r>
      <w:r>
        <w:rPr>
          <w:rFonts w:hint="eastAsia"/>
          <w:spacing w:val="0"/>
        </w:rPr>
        <w:t>69.9</w:t>
      </w:r>
      <w:r>
        <w:rPr>
          <w:rFonts w:hint="eastAsia"/>
          <w:spacing w:val="0"/>
        </w:rPr>
        <w:t>岁：男性</w:t>
      </w:r>
      <w:r>
        <w:rPr>
          <w:rFonts w:hint="eastAsia"/>
          <w:spacing w:val="0"/>
        </w:rPr>
        <w:t>67.3</w:t>
      </w:r>
      <w:r>
        <w:rPr>
          <w:rFonts w:hint="eastAsia"/>
          <w:spacing w:val="0"/>
        </w:rPr>
        <w:t>岁，女性</w:t>
      </w:r>
      <w:r>
        <w:rPr>
          <w:rFonts w:hint="eastAsia"/>
          <w:spacing w:val="0"/>
        </w:rPr>
        <w:t>72.5</w:t>
      </w:r>
      <w:r>
        <w:rPr>
          <w:rFonts w:hint="eastAsia"/>
          <w:spacing w:val="0"/>
        </w:rPr>
        <w:t>岁。</w:t>
      </w:r>
    </w:p>
    <w:p w:rsidR="00000000" w:rsidRDefault="00000000">
      <w:pPr>
        <w:spacing w:after="160"/>
        <w:rPr>
          <w:rFonts w:hint="eastAsia"/>
        </w:rPr>
      </w:pPr>
      <w:r>
        <w:rPr>
          <w:rFonts w:hint="eastAsia"/>
        </w:rPr>
        <w:tab/>
        <w:t xml:space="preserve">424.  </w:t>
      </w:r>
      <w:r>
        <w:rPr>
          <w:rFonts w:hint="eastAsia"/>
        </w:rPr>
        <w:t>了解一个人能否在卫生服务单位得到治疗的情况固然重要，但这一信息必须要有一个关于一个人看医生次数的信息加以补充，因为每看一次病肯定会有各种开支。调查中获得的数据表明，就全国而言，在前一个月作过体检或检查的人中间多数人</w:t>
      </w:r>
      <w:r>
        <w:rPr>
          <w:rFonts w:hint="eastAsia"/>
        </w:rPr>
        <w:t>(66.55%)</w:t>
      </w:r>
      <w:r>
        <w:rPr>
          <w:rFonts w:hint="eastAsia"/>
        </w:rPr>
        <w:t>只看过一次医生；每一百人中有</w:t>
      </w:r>
      <w:r>
        <w:rPr>
          <w:rFonts w:hint="eastAsia"/>
        </w:rPr>
        <w:t>26</w:t>
      </w:r>
      <w:r>
        <w:rPr>
          <w:rFonts w:hint="eastAsia"/>
        </w:rPr>
        <w:t>人看过两次，看过三次或三次以上的人少之又少</w:t>
      </w:r>
      <w:r>
        <w:rPr>
          <w:rFonts w:hint="eastAsia"/>
        </w:rPr>
        <w:t>(7.6%)</w:t>
      </w:r>
      <w:r>
        <w:rPr>
          <w:rFonts w:hint="eastAsia"/>
        </w:rPr>
        <w:t>。没有关于开药的信息。</w:t>
      </w:r>
    </w:p>
    <w:p w:rsidR="00000000" w:rsidRDefault="00000000">
      <w:pPr>
        <w:pStyle w:val="Heading4"/>
        <w:spacing w:after="160"/>
        <w:rPr>
          <w:rFonts w:eastAsia="KaiTi_GB2312" w:hint="eastAsia"/>
          <w:snapToGrid/>
          <w:spacing w:val="0"/>
          <w:u w:val="none"/>
        </w:rPr>
      </w:pPr>
      <w:r>
        <w:rPr>
          <w:rFonts w:eastAsia="KaiTi_GB2312" w:hint="eastAsia"/>
          <w:snapToGrid/>
          <w:spacing w:val="0"/>
          <w:u w:val="none"/>
        </w:rPr>
        <w:t>生育护理</w:t>
      </w:r>
    </w:p>
    <w:p w:rsidR="00000000" w:rsidRDefault="00000000">
      <w:pPr>
        <w:rPr>
          <w:rFonts w:hint="eastAsia"/>
        </w:rPr>
      </w:pPr>
      <w:r>
        <w:rPr>
          <w:rFonts w:hint="eastAsia"/>
        </w:rPr>
        <w:tab/>
        <w:t>425.  99</w:t>
      </w:r>
      <w:r>
        <w:rPr>
          <w:rFonts w:hint="eastAsia"/>
        </w:rPr>
        <w:t>年调查的数字表明，</w:t>
      </w:r>
      <w:r>
        <w:rPr>
          <w:rFonts w:hint="eastAsia"/>
        </w:rPr>
        <w:t>1994</w:t>
      </w:r>
      <w:r>
        <w:rPr>
          <w:rFonts w:hint="eastAsia"/>
        </w:rPr>
        <w:t>年</w:t>
      </w:r>
      <w:r>
        <w:rPr>
          <w:rFonts w:hint="eastAsia"/>
        </w:rPr>
        <w:t>3</w:t>
      </w:r>
      <w:r>
        <w:rPr>
          <w:rFonts w:hint="eastAsia"/>
        </w:rPr>
        <w:t>月至</w:t>
      </w:r>
      <w:r>
        <w:rPr>
          <w:rFonts w:hint="eastAsia"/>
        </w:rPr>
        <w:t>1999</w:t>
      </w:r>
      <w:r>
        <w:rPr>
          <w:rFonts w:hint="eastAsia"/>
        </w:rPr>
        <w:t>年</w:t>
      </w:r>
      <w:r>
        <w:rPr>
          <w:rFonts w:hint="eastAsia"/>
        </w:rPr>
        <w:t>2</w:t>
      </w:r>
      <w:r>
        <w:rPr>
          <w:rFonts w:hint="eastAsia"/>
        </w:rPr>
        <w:t>月，全国活产儿童的母亲有</w:t>
      </w:r>
      <w:r>
        <w:rPr>
          <w:rFonts w:hint="eastAsia"/>
        </w:rPr>
        <w:t>80.6%</w:t>
      </w:r>
      <w:r>
        <w:rPr>
          <w:rFonts w:hint="eastAsia"/>
        </w:rPr>
        <w:t>至少进行过一次产前检查。城市高达</w:t>
      </w:r>
      <w:r>
        <w:rPr>
          <w:rFonts w:hint="eastAsia"/>
        </w:rPr>
        <w:t>89%</w:t>
      </w:r>
      <w:r>
        <w:rPr>
          <w:rFonts w:hint="eastAsia"/>
        </w:rPr>
        <w:t>，农村则低了</w:t>
      </w:r>
      <w:r>
        <w:rPr>
          <w:rFonts w:hint="eastAsia"/>
        </w:rPr>
        <w:t>18</w:t>
      </w:r>
      <w:r>
        <w:rPr>
          <w:rFonts w:hint="eastAsia"/>
        </w:rPr>
        <w:t>个百分点，只有</w:t>
      </w:r>
      <w:r>
        <w:rPr>
          <w:rFonts w:hint="eastAsia"/>
        </w:rPr>
        <w:t>71%</w:t>
      </w:r>
      <w:r>
        <w:rPr>
          <w:rFonts w:hint="eastAsia"/>
        </w:rPr>
        <w:t>。城乡百分比数字最高的是沿海地区。</w:t>
      </w:r>
      <w:r>
        <w:t xml:space="preserve">Amazonia </w:t>
      </w:r>
      <w:r>
        <w:rPr>
          <w:rFonts w:hint="eastAsia"/>
        </w:rPr>
        <w:t>的情况令人担忧，因为只有</w:t>
      </w:r>
      <w:r>
        <w:rPr>
          <w:rFonts w:hint="eastAsia"/>
        </w:rPr>
        <w:t>66%</w:t>
      </w:r>
      <w:r>
        <w:rPr>
          <w:rFonts w:hint="eastAsia"/>
        </w:rPr>
        <w:t>的母亲至少进行一次产前检查。</w:t>
      </w:r>
    </w:p>
    <w:p w:rsidR="00000000" w:rsidRDefault="00000000">
      <w:pPr>
        <w:rPr>
          <w:rFonts w:hint="eastAsia"/>
        </w:rPr>
      </w:pPr>
      <w:r>
        <w:rPr>
          <w:rFonts w:hint="eastAsia"/>
        </w:rPr>
        <w:tab/>
        <w:t xml:space="preserve">426.  </w:t>
      </w:r>
      <w:r>
        <w:rPr>
          <w:rFonts w:hint="eastAsia"/>
        </w:rPr>
        <w:t>该调查的前五年内生育过的全国所有母亲中，有</w:t>
      </w:r>
      <w:r>
        <w:rPr>
          <w:rFonts w:hint="eastAsia"/>
        </w:rPr>
        <w:t>69.2%</w:t>
      </w:r>
      <w:r>
        <w:rPr>
          <w:rFonts w:hint="eastAsia"/>
        </w:rPr>
        <w:t>在生产时和产后得到专业护理。</w:t>
      </w:r>
    </w:p>
    <w:p w:rsidR="00000000" w:rsidRDefault="00000000">
      <w:pPr>
        <w:rPr>
          <w:rFonts w:hint="eastAsia"/>
        </w:rPr>
      </w:pPr>
      <w:r>
        <w:rPr>
          <w:rFonts w:hint="eastAsia"/>
        </w:rPr>
        <w:tab/>
        <w:t xml:space="preserve">427.  </w:t>
      </w:r>
      <w:r>
        <w:rPr>
          <w:rFonts w:hint="eastAsia"/>
        </w:rPr>
        <w:t>城市地区的这一比例为</w:t>
      </w:r>
      <w:r>
        <w:rPr>
          <w:rFonts w:hint="eastAsia"/>
        </w:rPr>
        <w:t>86%</w:t>
      </w:r>
      <w:r>
        <w:rPr>
          <w:rFonts w:hint="eastAsia"/>
        </w:rPr>
        <w:t>，而农村地区只有一半，即</w:t>
      </w:r>
      <w:r>
        <w:rPr>
          <w:rFonts w:hint="eastAsia"/>
        </w:rPr>
        <w:t>49%</w:t>
      </w:r>
      <w:r>
        <w:rPr>
          <w:rFonts w:hint="eastAsia"/>
        </w:rPr>
        <w:t>由专业护理。比例最低的是</w:t>
      </w:r>
      <w:r>
        <w:t xml:space="preserve">Amazonia, </w:t>
      </w:r>
      <w:r>
        <w:rPr>
          <w:rFonts w:hint="eastAsia"/>
        </w:rPr>
        <w:t>所有母亲中不到一半人</w:t>
      </w:r>
      <w:r>
        <w:rPr>
          <w:rFonts w:hint="eastAsia"/>
        </w:rPr>
        <w:t>(47.9%)</w:t>
      </w:r>
      <w:r>
        <w:rPr>
          <w:rFonts w:hint="eastAsia"/>
        </w:rPr>
        <w:t>生产时由专业医务人员接生。这些数字值得引起该部门的关注，尤其鉴于厄瓜多尔预防产妇死亡和降低产妇死亡率的重要性。</w:t>
      </w:r>
    </w:p>
    <w:p w:rsidR="00000000" w:rsidRDefault="00000000">
      <w:pPr>
        <w:spacing w:after="160"/>
        <w:rPr>
          <w:rFonts w:hint="eastAsia"/>
        </w:rPr>
      </w:pPr>
      <w:r>
        <w:rPr>
          <w:rFonts w:hint="eastAsia"/>
        </w:rPr>
        <w:tab/>
        <w:t xml:space="preserve">428.  </w:t>
      </w:r>
      <w:r>
        <w:rPr>
          <w:rFonts w:hint="eastAsia"/>
        </w:rPr>
        <w:t>母亲在家生产，由助产妇或家庭成员接生或自己生产的情况，就全国而言为</w:t>
      </w:r>
      <w:r>
        <w:rPr>
          <w:rFonts w:hint="eastAsia"/>
        </w:rPr>
        <w:t>29%</w:t>
      </w:r>
      <w:r>
        <w:rPr>
          <w:rFonts w:hint="eastAsia"/>
        </w:rPr>
        <w:t>，而在农村地区半数母亲都采取这一做法。沿海地区的农村这一比例低一些，为</w:t>
      </w:r>
      <w:r>
        <w:rPr>
          <w:rFonts w:hint="eastAsia"/>
        </w:rPr>
        <w:t>40%</w:t>
      </w:r>
      <w:r>
        <w:rPr>
          <w:rFonts w:hint="eastAsia"/>
        </w:rPr>
        <w:t>。在</w:t>
      </w:r>
      <w:r>
        <w:rPr>
          <w:lang w:val="fr-CH"/>
        </w:rPr>
        <w:t>Sierra</w:t>
      </w:r>
      <w:r>
        <w:rPr>
          <w:rFonts w:hint="eastAsia"/>
        </w:rPr>
        <w:t>和</w:t>
      </w:r>
      <w:r>
        <w:rPr>
          <w:lang w:val="fr-CH"/>
        </w:rPr>
        <w:t>Amazonia</w:t>
      </w:r>
      <w:r>
        <w:rPr>
          <w:rFonts w:hint="eastAsia"/>
          <w:lang w:val="fr-CH"/>
        </w:rPr>
        <w:t>农村地区两名妇女中有一名是在危险的条件下生产的，在这种条件下往往会发生并发症，有时还会有令人</w:t>
      </w:r>
      <w:r>
        <w:rPr>
          <w:rFonts w:hint="eastAsia"/>
        </w:rPr>
        <w:t>追悔莫及的后果：这反映出这些地区缺乏母婴保健的情况。</w:t>
      </w:r>
    </w:p>
    <w:p w:rsidR="00000000" w:rsidRDefault="00000000">
      <w:pPr>
        <w:pStyle w:val="Heading3"/>
        <w:spacing w:after="160"/>
        <w:rPr>
          <w:rFonts w:hint="eastAsia"/>
          <w:bCs/>
        </w:rPr>
      </w:pPr>
      <w:r>
        <w:rPr>
          <w:rFonts w:hint="eastAsia"/>
          <w:bCs/>
        </w:rPr>
        <w:t>1994</w:t>
      </w:r>
      <w:r>
        <w:rPr>
          <w:rFonts w:hint="eastAsia"/>
          <w:bCs/>
        </w:rPr>
        <w:t>年</w:t>
      </w:r>
      <w:r>
        <w:rPr>
          <w:rFonts w:hint="eastAsia"/>
          <w:bCs/>
        </w:rPr>
        <w:t>3</w:t>
      </w:r>
      <w:r>
        <w:rPr>
          <w:rFonts w:hint="eastAsia"/>
          <w:bCs/>
        </w:rPr>
        <w:t>月至</w:t>
      </w:r>
      <w:r>
        <w:rPr>
          <w:rFonts w:hint="eastAsia"/>
          <w:bCs/>
        </w:rPr>
        <w:t>1999</w:t>
      </w:r>
      <w:r>
        <w:rPr>
          <w:rFonts w:hint="eastAsia"/>
          <w:bCs/>
        </w:rPr>
        <w:t>年</w:t>
      </w:r>
      <w:r>
        <w:rPr>
          <w:rFonts w:hint="eastAsia"/>
          <w:bCs/>
        </w:rPr>
        <w:t>2</w:t>
      </w:r>
      <w:r>
        <w:rPr>
          <w:rFonts w:hint="eastAsia"/>
          <w:bCs/>
        </w:rPr>
        <w:t>月按区别特征、</w:t>
      </w:r>
      <w:r>
        <w:rPr>
          <w:bCs/>
        </w:rPr>
        <w:br/>
      </w:r>
      <w:r>
        <w:rPr>
          <w:rFonts w:hint="eastAsia"/>
          <w:bCs/>
        </w:rPr>
        <w:t>活产儿分列的接生情况</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1"/>
        <w:gridCol w:w="1221"/>
        <w:gridCol w:w="491"/>
        <w:gridCol w:w="1220"/>
        <w:gridCol w:w="491"/>
        <w:gridCol w:w="1220"/>
        <w:gridCol w:w="370"/>
      </w:tblGrid>
      <w:tr w:rsidR="00000000">
        <w:tblPrEx>
          <w:tblCellMar>
            <w:top w:w="0" w:type="dxa"/>
            <w:bottom w:w="0" w:type="dxa"/>
          </w:tblCellMar>
        </w:tblPrEx>
        <w:trPr>
          <w:cantSplit/>
        </w:trPr>
        <w:tc>
          <w:tcPr>
            <w:tcW w:w="2317" w:type="pct"/>
          </w:tcPr>
          <w:p w:rsidR="00000000" w:rsidRDefault="00000000">
            <w:pPr>
              <w:pStyle w:val="a2"/>
              <w:spacing w:line="240" w:lineRule="auto"/>
              <w:jc w:val="center"/>
              <w:rPr>
                <w:rFonts w:hint="eastAsia"/>
              </w:rPr>
            </w:pPr>
            <w:r>
              <w:rPr>
                <w:rFonts w:hint="eastAsia"/>
              </w:rPr>
              <w:t>接</w:t>
            </w:r>
            <w:r>
              <w:rPr>
                <w:rFonts w:hint="eastAsia"/>
              </w:rPr>
              <w:t xml:space="preserve">  </w:t>
            </w:r>
            <w:r>
              <w:rPr>
                <w:rFonts w:hint="eastAsia"/>
              </w:rPr>
              <w:t>生</w:t>
            </w:r>
          </w:p>
        </w:tc>
        <w:tc>
          <w:tcPr>
            <w:tcW w:w="2683" w:type="pct"/>
            <w:gridSpan w:val="6"/>
          </w:tcPr>
          <w:p w:rsidR="00000000" w:rsidRDefault="00000000">
            <w:pPr>
              <w:pStyle w:val="a2"/>
              <w:spacing w:line="240" w:lineRule="auto"/>
              <w:jc w:val="center"/>
              <w:rPr>
                <w:rFonts w:hint="eastAsia"/>
              </w:rPr>
            </w:pPr>
            <w:r>
              <w:rPr>
                <w:rFonts w:hint="eastAsia"/>
              </w:rPr>
              <w:t>全</w:t>
            </w:r>
            <w:r>
              <w:rPr>
                <w:rFonts w:hint="eastAsia"/>
              </w:rPr>
              <w:t xml:space="preserve">  </w:t>
            </w:r>
            <w:r>
              <w:rPr>
                <w:rFonts w:hint="eastAsia"/>
              </w:rPr>
              <w:t>国</w:t>
            </w:r>
          </w:p>
        </w:tc>
      </w:tr>
      <w:tr w:rsidR="00000000">
        <w:tblPrEx>
          <w:tblCellMar>
            <w:top w:w="0" w:type="dxa"/>
            <w:bottom w:w="0" w:type="dxa"/>
          </w:tblCellMar>
        </w:tblPrEx>
        <w:trPr>
          <w:cantSplit/>
        </w:trPr>
        <w:tc>
          <w:tcPr>
            <w:tcW w:w="2317" w:type="pct"/>
            <w:tcBorders>
              <w:bottom w:val="single" w:sz="4" w:space="0" w:color="auto"/>
            </w:tcBorders>
          </w:tcPr>
          <w:p w:rsidR="00000000" w:rsidRDefault="00000000">
            <w:pPr>
              <w:pStyle w:val="a2"/>
              <w:spacing w:line="240" w:lineRule="auto"/>
              <w:jc w:val="center"/>
              <w:rPr>
                <w:rFonts w:hint="eastAsia"/>
              </w:rPr>
            </w:pPr>
            <w:r>
              <w:rPr>
                <w:rFonts w:hint="eastAsia"/>
              </w:rPr>
              <w:t>地</w:t>
            </w:r>
            <w:r>
              <w:rPr>
                <w:rFonts w:hint="eastAsia"/>
              </w:rPr>
              <w:t xml:space="preserve">  </w:t>
            </w:r>
            <w:r>
              <w:rPr>
                <w:rFonts w:hint="eastAsia"/>
              </w:rPr>
              <w:t>点</w:t>
            </w:r>
          </w:p>
        </w:tc>
        <w:tc>
          <w:tcPr>
            <w:tcW w:w="916" w:type="pct"/>
            <w:gridSpan w:val="2"/>
            <w:tcBorders>
              <w:bottom w:val="single" w:sz="4" w:space="0" w:color="auto"/>
            </w:tcBorders>
          </w:tcPr>
          <w:p w:rsidR="00000000" w:rsidRDefault="00000000">
            <w:pPr>
              <w:pStyle w:val="a2"/>
              <w:spacing w:line="240" w:lineRule="auto"/>
              <w:jc w:val="center"/>
              <w:rPr>
                <w:rFonts w:hint="eastAsia"/>
              </w:rPr>
            </w:pPr>
            <w:r>
              <w:rPr>
                <w:rFonts w:hint="eastAsia"/>
              </w:rPr>
              <w:t>整</w:t>
            </w:r>
            <w:r>
              <w:rPr>
                <w:rFonts w:hint="eastAsia"/>
              </w:rPr>
              <w:t xml:space="preserve">  </w:t>
            </w:r>
            <w:r>
              <w:rPr>
                <w:rFonts w:hint="eastAsia"/>
              </w:rPr>
              <w:t>体</w:t>
            </w:r>
          </w:p>
        </w:tc>
        <w:tc>
          <w:tcPr>
            <w:tcW w:w="916" w:type="pct"/>
            <w:gridSpan w:val="2"/>
            <w:tcBorders>
              <w:bottom w:val="single" w:sz="4" w:space="0" w:color="auto"/>
            </w:tcBorders>
          </w:tcPr>
          <w:p w:rsidR="00000000" w:rsidRDefault="00000000">
            <w:pPr>
              <w:pStyle w:val="a2"/>
              <w:spacing w:line="240" w:lineRule="auto"/>
              <w:jc w:val="center"/>
              <w:rPr>
                <w:rFonts w:hint="eastAsia"/>
              </w:rPr>
            </w:pPr>
            <w:r>
              <w:rPr>
                <w:rFonts w:hint="eastAsia"/>
              </w:rPr>
              <w:t>城</w:t>
            </w:r>
            <w:r>
              <w:rPr>
                <w:rFonts w:hint="eastAsia"/>
              </w:rPr>
              <w:t xml:space="preserve">  </w:t>
            </w:r>
            <w:r>
              <w:rPr>
                <w:rFonts w:hint="eastAsia"/>
              </w:rPr>
              <w:t>市</w:t>
            </w:r>
          </w:p>
        </w:tc>
        <w:tc>
          <w:tcPr>
            <w:tcW w:w="851" w:type="pct"/>
            <w:gridSpan w:val="2"/>
            <w:tcBorders>
              <w:bottom w:val="single" w:sz="4" w:space="0" w:color="auto"/>
            </w:tcBorders>
          </w:tcPr>
          <w:p w:rsidR="00000000" w:rsidRDefault="00000000">
            <w:pPr>
              <w:pStyle w:val="a2"/>
              <w:spacing w:line="240" w:lineRule="auto"/>
              <w:jc w:val="center"/>
              <w:rPr>
                <w:rFonts w:hint="eastAsia"/>
              </w:rPr>
            </w:pPr>
            <w:r>
              <w:rPr>
                <w:rFonts w:hint="eastAsia"/>
              </w:rPr>
              <w:t>农</w:t>
            </w:r>
            <w:r>
              <w:rPr>
                <w:rFonts w:hint="eastAsia"/>
              </w:rPr>
              <w:t xml:space="preserve">  </w:t>
            </w:r>
            <w:r>
              <w:rPr>
                <w:rFonts w:hint="eastAsia"/>
              </w:rPr>
              <w:t>村</w:t>
            </w:r>
          </w:p>
        </w:tc>
      </w:tr>
      <w:tr w:rsidR="00000000">
        <w:tblPrEx>
          <w:tblCellMar>
            <w:top w:w="0" w:type="dxa"/>
            <w:bottom w:w="0" w:type="dxa"/>
          </w:tblCellMar>
        </w:tblPrEx>
        <w:tc>
          <w:tcPr>
            <w:tcW w:w="2317" w:type="pct"/>
            <w:tcBorders>
              <w:bottom w:val="nil"/>
            </w:tcBorders>
          </w:tcPr>
          <w:p w:rsidR="00000000" w:rsidRDefault="00000000">
            <w:pPr>
              <w:pStyle w:val="a2"/>
              <w:spacing w:line="240" w:lineRule="auto"/>
              <w:rPr>
                <w:rFonts w:hint="eastAsia"/>
              </w:rPr>
            </w:pPr>
            <w:r>
              <w:rPr>
                <w:rFonts w:hint="eastAsia"/>
                <w:color w:val="000000"/>
                <w:szCs w:val="22"/>
              </w:rPr>
              <w:t>专业人员</w:t>
            </w:r>
          </w:p>
        </w:tc>
        <w:tc>
          <w:tcPr>
            <w:tcW w:w="653" w:type="pct"/>
            <w:tcBorders>
              <w:bottom w:val="nil"/>
              <w:right w:val="nil"/>
            </w:tcBorders>
          </w:tcPr>
          <w:p w:rsidR="00000000" w:rsidRDefault="00000000">
            <w:pPr>
              <w:pStyle w:val="a2"/>
              <w:tabs>
                <w:tab w:val="decimal" w:pos="706"/>
              </w:tabs>
              <w:spacing w:line="240" w:lineRule="auto"/>
              <w:rPr>
                <w:color w:val="000000"/>
                <w:szCs w:val="22"/>
              </w:rPr>
            </w:pPr>
            <w:r>
              <w:rPr>
                <w:color w:val="000000"/>
                <w:szCs w:val="22"/>
              </w:rPr>
              <w:t>69.2</w:t>
            </w:r>
          </w:p>
        </w:tc>
        <w:tc>
          <w:tcPr>
            <w:tcW w:w="263" w:type="pct"/>
            <w:tcBorders>
              <w:left w:val="nil"/>
              <w:bottom w:val="nil"/>
            </w:tcBorders>
          </w:tcPr>
          <w:p w:rsidR="00000000" w:rsidRDefault="00000000">
            <w:pPr>
              <w:pStyle w:val="a2"/>
              <w:tabs>
                <w:tab w:val="decimal" w:pos="706"/>
              </w:tabs>
              <w:spacing w:line="240" w:lineRule="auto"/>
            </w:pPr>
          </w:p>
        </w:tc>
        <w:tc>
          <w:tcPr>
            <w:tcW w:w="653" w:type="pct"/>
            <w:tcBorders>
              <w:bottom w:val="nil"/>
              <w:right w:val="nil"/>
            </w:tcBorders>
          </w:tcPr>
          <w:p w:rsidR="00000000" w:rsidRDefault="00000000">
            <w:pPr>
              <w:pStyle w:val="a2"/>
              <w:tabs>
                <w:tab w:val="decimal" w:pos="706"/>
              </w:tabs>
              <w:spacing w:line="240" w:lineRule="auto"/>
            </w:pPr>
            <w:r>
              <w:rPr>
                <w:color w:val="000000"/>
                <w:szCs w:val="22"/>
              </w:rPr>
              <w:t>86.2</w:t>
            </w:r>
          </w:p>
        </w:tc>
        <w:tc>
          <w:tcPr>
            <w:tcW w:w="263" w:type="pct"/>
            <w:tcBorders>
              <w:left w:val="nil"/>
              <w:bottom w:val="nil"/>
            </w:tcBorders>
          </w:tcPr>
          <w:p w:rsidR="00000000" w:rsidRDefault="00000000">
            <w:pPr>
              <w:pStyle w:val="a2"/>
              <w:tabs>
                <w:tab w:val="decimal" w:pos="706"/>
              </w:tabs>
              <w:spacing w:line="240" w:lineRule="auto"/>
            </w:pPr>
          </w:p>
        </w:tc>
        <w:tc>
          <w:tcPr>
            <w:tcW w:w="653" w:type="pct"/>
            <w:tcBorders>
              <w:bottom w:val="nil"/>
              <w:right w:val="nil"/>
            </w:tcBorders>
          </w:tcPr>
          <w:p w:rsidR="00000000" w:rsidRDefault="00000000">
            <w:pPr>
              <w:pStyle w:val="a2"/>
              <w:tabs>
                <w:tab w:val="decimal" w:pos="706"/>
              </w:tabs>
              <w:spacing w:line="240" w:lineRule="auto"/>
            </w:pPr>
            <w:r>
              <w:rPr>
                <w:color w:val="000000"/>
                <w:szCs w:val="22"/>
              </w:rPr>
              <w:t>49.0</w:t>
            </w:r>
          </w:p>
        </w:tc>
        <w:tc>
          <w:tcPr>
            <w:tcW w:w="198" w:type="pct"/>
            <w:tcBorders>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rPr>
                <w:rFonts w:hint="eastAsia"/>
                <w:color w:val="000000"/>
                <w:szCs w:val="22"/>
              </w:rPr>
            </w:pPr>
            <w:r>
              <w:rPr>
                <w:rFonts w:hint="eastAsia"/>
                <w:color w:val="000000"/>
                <w:szCs w:val="22"/>
              </w:rPr>
              <w:t>公共部门</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公共卫生部</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34.4</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36.6</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31.8</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其他公共部门</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16.0</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25.4</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4.7</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rPr>
                <w:rFonts w:hint="eastAsia"/>
                <w:color w:val="000000"/>
                <w:szCs w:val="22"/>
                <w:lang w:val="fr-FR"/>
              </w:rPr>
            </w:pPr>
            <w:r>
              <w:rPr>
                <w:rFonts w:hint="eastAsia"/>
                <w:color w:val="000000"/>
                <w:szCs w:val="22"/>
                <w:lang w:val="fr-FR"/>
              </w:rPr>
              <w:t>私营</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lang w:val="fr-FR"/>
              </w:rPr>
            </w:pPr>
            <w:r>
              <w:rPr>
                <w:color w:val="000000"/>
                <w:szCs w:val="22"/>
                <w:lang w:val="fr-FR"/>
              </w:rPr>
              <w:t>18.8</w:t>
            </w:r>
          </w:p>
        </w:tc>
        <w:tc>
          <w:tcPr>
            <w:tcW w:w="263" w:type="pct"/>
            <w:tcBorders>
              <w:top w:val="nil"/>
              <w:left w:val="nil"/>
              <w:bottom w:val="nil"/>
            </w:tcBorders>
          </w:tcPr>
          <w:p w:rsidR="00000000" w:rsidRDefault="00000000">
            <w:pPr>
              <w:pStyle w:val="a2"/>
              <w:tabs>
                <w:tab w:val="decimal" w:pos="706"/>
              </w:tabs>
              <w:spacing w:line="240" w:lineRule="auto"/>
              <w:rPr>
                <w:lang w:val="fr-FR"/>
              </w:rPr>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lang w:val="fr-FR"/>
              </w:rPr>
            </w:pPr>
            <w:r>
              <w:rPr>
                <w:color w:val="000000"/>
                <w:szCs w:val="22"/>
                <w:lang w:val="fr-FR"/>
              </w:rPr>
              <w:t>24.2</w:t>
            </w:r>
          </w:p>
        </w:tc>
        <w:tc>
          <w:tcPr>
            <w:tcW w:w="263" w:type="pct"/>
            <w:tcBorders>
              <w:top w:val="nil"/>
              <w:left w:val="nil"/>
              <w:bottom w:val="nil"/>
            </w:tcBorders>
          </w:tcPr>
          <w:p w:rsidR="00000000" w:rsidRDefault="00000000">
            <w:pPr>
              <w:pStyle w:val="a2"/>
              <w:tabs>
                <w:tab w:val="decimal" w:pos="706"/>
              </w:tabs>
              <w:spacing w:line="240" w:lineRule="auto"/>
              <w:rPr>
                <w:lang w:val="fr-FR"/>
              </w:rPr>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lang w:val="fr-FR"/>
              </w:rPr>
            </w:pPr>
            <w:r>
              <w:rPr>
                <w:color w:val="000000"/>
                <w:szCs w:val="22"/>
                <w:lang w:val="fr-FR"/>
              </w:rPr>
              <w:t>12.5</w:t>
            </w:r>
          </w:p>
        </w:tc>
        <w:tc>
          <w:tcPr>
            <w:tcW w:w="198" w:type="pct"/>
            <w:tcBorders>
              <w:top w:val="nil"/>
              <w:left w:val="nil"/>
              <w:bottom w:val="nil"/>
            </w:tcBorders>
          </w:tcPr>
          <w:p w:rsidR="00000000" w:rsidRDefault="00000000">
            <w:pPr>
              <w:pStyle w:val="a2"/>
              <w:spacing w:line="240" w:lineRule="auto"/>
              <w:rPr>
                <w:lang w:val="fr-FR"/>
              </w:rPr>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rPr>
                <w:rFonts w:hint="eastAsia"/>
                <w:color w:val="000000"/>
                <w:szCs w:val="22"/>
                <w:lang w:val="fr-FR"/>
              </w:rPr>
            </w:pPr>
            <w:r>
              <w:rPr>
                <w:rFonts w:hint="eastAsia"/>
                <w:color w:val="000000"/>
                <w:szCs w:val="22"/>
                <w:lang w:val="fr-FR"/>
              </w:rPr>
              <w:t>非专业人员</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29.0</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11.9</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49.3</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在家由助产妇</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14.3</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7.1</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22.9</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在家由家庭成员</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11.1</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3.8</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19.9</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自己生产</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3.5</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1.0</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6.5</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998"/>
              <w:rPr>
                <w:rFonts w:hint="eastAsia"/>
                <w:color w:val="000000"/>
                <w:szCs w:val="22"/>
              </w:rPr>
            </w:pPr>
            <w:r>
              <w:rPr>
                <w:rFonts w:hint="eastAsia"/>
                <w:color w:val="000000"/>
                <w:szCs w:val="22"/>
              </w:rPr>
              <w:t>未知</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1.8</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1.9</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1.7</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rPr>
                <w:rFonts w:hint="eastAsia"/>
                <w:color w:val="000000"/>
                <w:szCs w:val="22"/>
              </w:rPr>
            </w:pPr>
            <w:r>
              <w:rPr>
                <w:rFonts w:hint="eastAsia"/>
                <w:color w:val="000000"/>
                <w:szCs w:val="22"/>
              </w:rPr>
              <w:t>生产方式</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顺产</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80.1</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72.4</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89.3</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剖腹产</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19.9</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27.6</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10.7</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rPr>
                <w:rFonts w:hint="eastAsia"/>
                <w:color w:val="000000"/>
                <w:szCs w:val="22"/>
              </w:rPr>
            </w:pPr>
            <w:r>
              <w:rPr>
                <w:rFonts w:hint="eastAsia"/>
                <w:color w:val="000000"/>
                <w:szCs w:val="22"/>
              </w:rPr>
              <w:t>产后护理</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bottom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有</w:t>
            </w: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39.1</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47.5</w:t>
            </w:r>
          </w:p>
        </w:tc>
        <w:tc>
          <w:tcPr>
            <w:tcW w:w="263" w:type="pct"/>
            <w:tcBorders>
              <w:top w:val="nil"/>
              <w:left w:val="nil"/>
              <w:bottom w:val="nil"/>
            </w:tcBorders>
          </w:tcPr>
          <w:p w:rsidR="00000000" w:rsidRDefault="00000000">
            <w:pPr>
              <w:pStyle w:val="a2"/>
              <w:tabs>
                <w:tab w:val="decimal" w:pos="706"/>
              </w:tabs>
              <w:spacing w:line="240" w:lineRule="auto"/>
            </w:pPr>
          </w:p>
        </w:tc>
        <w:tc>
          <w:tcPr>
            <w:tcW w:w="653" w:type="pct"/>
            <w:tcBorders>
              <w:top w:val="nil"/>
              <w:bottom w:val="nil"/>
              <w:right w:val="nil"/>
            </w:tcBorders>
          </w:tcPr>
          <w:p w:rsidR="00000000" w:rsidRDefault="00000000">
            <w:pPr>
              <w:pStyle w:val="a2"/>
              <w:tabs>
                <w:tab w:val="decimal" w:pos="706"/>
              </w:tabs>
              <w:spacing w:line="240" w:lineRule="auto"/>
              <w:rPr>
                <w:color w:val="000000"/>
                <w:szCs w:val="22"/>
              </w:rPr>
            </w:pPr>
            <w:r>
              <w:rPr>
                <w:color w:val="000000"/>
                <w:szCs w:val="22"/>
              </w:rPr>
              <w:t>27.8</w:t>
            </w:r>
          </w:p>
        </w:tc>
        <w:tc>
          <w:tcPr>
            <w:tcW w:w="198" w:type="pct"/>
            <w:tcBorders>
              <w:top w:val="nil"/>
              <w:left w:val="nil"/>
              <w:bottom w:val="nil"/>
            </w:tcBorders>
          </w:tcPr>
          <w:p w:rsidR="00000000" w:rsidRDefault="00000000">
            <w:pPr>
              <w:pStyle w:val="a2"/>
              <w:spacing w:line="240" w:lineRule="auto"/>
            </w:pPr>
          </w:p>
        </w:tc>
      </w:tr>
      <w:tr w:rsidR="00000000">
        <w:tblPrEx>
          <w:tblCellMar>
            <w:top w:w="0" w:type="dxa"/>
            <w:bottom w:w="0" w:type="dxa"/>
          </w:tblCellMar>
        </w:tblPrEx>
        <w:tc>
          <w:tcPr>
            <w:tcW w:w="2317" w:type="pct"/>
            <w:tcBorders>
              <w:top w:val="nil"/>
            </w:tcBorders>
          </w:tcPr>
          <w:p w:rsidR="00000000" w:rsidRDefault="00000000">
            <w:pPr>
              <w:pStyle w:val="a2"/>
              <w:spacing w:line="240" w:lineRule="auto"/>
              <w:ind w:left="1020" w:hanging="608"/>
              <w:rPr>
                <w:rFonts w:hint="eastAsia"/>
                <w:color w:val="000000"/>
                <w:szCs w:val="22"/>
              </w:rPr>
            </w:pPr>
            <w:r>
              <w:rPr>
                <w:rFonts w:hint="eastAsia"/>
                <w:color w:val="000000"/>
                <w:szCs w:val="22"/>
              </w:rPr>
              <w:t>无</w:t>
            </w:r>
          </w:p>
        </w:tc>
        <w:tc>
          <w:tcPr>
            <w:tcW w:w="653" w:type="pct"/>
            <w:tcBorders>
              <w:top w:val="nil"/>
              <w:right w:val="nil"/>
            </w:tcBorders>
          </w:tcPr>
          <w:p w:rsidR="00000000" w:rsidRDefault="00000000">
            <w:pPr>
              <w:pStyle w:val="a2"/>
              <w:tabs>
                <w:tab w:val="decimal" w:pos="706"/>
              </w:tabs>
              <w:spacing w:line="240" w:lineRule="auto"/>
              <w:rPr>
                <w:color w:val="000000"/>
                <w:szCs w:val="22"/>
              </w:rPr>
            </w:pPr>
            <w:r>
              <w:rPr>
                <w:color w:val="000000"/>
                <w:szCs w:val="22"/>
              </w:rPr>
              <w:t>60.9</w:t>
            </w:r>
          </w:p>
        </w:tc>
        <w:tc>
          <w:tcPr>
            <w:tcW w:w="263" w:type="pct"/>
            <w:tcBorders>
              <w:top w:val="nil"/>
              <w:left w:val="nil"/>
            </w:tcBorders>
          </w:tcPr>
          <w:p w:rsidR="00000000" w:rsidRDefault="00000000">
            <w:pPr>
              <w:pStyle w:val="a2"/>
              <w:tabs>
                <w:tab w:val="decimal" w:pos="706"/>
              </w:tabs>
              <w:spacing w:line="240" w:lineRule="auto"/>
            </w:pPr>
          </w:p>
        </w:tc>
        <w:tc>
          <w:tcPr>
            <w:tcW w:w="653" w:type="pct"/>
            <w:tcBorders>
              <w:top w:val="nil"/>
              <w:right w:val="nil"/>
            </w:tcBorders>
          </w:tcPr>
          <w:p w:rsidR="00000000" w:rsidRDefault="00000000">
            <w:pPr>
              <w:pStyle w:val="a2"/>
              <w:tabs>
                <w:tab w:val="decimal" w:pos="706"/>
              </w:tabs>
              <w:spacing w:line="240" w:lineRule="auto"/>
              <w:rPr>
                <w:color w:val="000000"/>
                <w:szCs w:val="22"/>
              </w:rPr>
            </w:pPr>
            <w:r>
              <w:rPr>
                <w:color w:val="000000"/>
                <w:szCs w:val="22"/>
              </w:rPr>
              <w:t>52.5</w:t>
            </w:r>
          </w:p>
        </w:tc>
        <w:tc>
          <w:tcPr>
            <w:tcW w:w="263" w:type="pct"/>
            <w:tcBorders>
              <w:top w:val="nil"/>
              <w:left w:val="nil"/>
            </w:tcBorders>
          </w:tcPr>
          <w:p w:rsidR="00000000" w:rsidRDefault="00000000">
            <w:pPr>
              <w:pStyle w:val="a2"/>
              <w:tabs>
                <w:tab w:val="decimal" w:pos="706"/>
              </w:tabs>
              <w:spacing w:line="240" w:lineRule="auto"/>
            </w:pPr>
          </w:p>
        </w:tc>
        <w:tc>
          <w:tcPr>
            <w:tcW w:w="653" w:type="pct"/>
            <w:tcBorders>
              <w:top w:val="nil"/>
              <w:right w:val="nil"/>
            </w:tcBorders>
          </w:tcPr>
          <w:p w:rsidR="00000000" w:rsidRDefault="00000000">
            <w:pPr>
              <w:pStyle w:val="a2"/>
              <w:tabs>
                <w:tab w:val="decimal" w:pos="706"/>
              </w:tabs>
              <w:spacing w:line="240" w:lineRule="auto"/>
              <w:rPr>
                <w:color w:val="000000"/>
                <w:szCs w:val="22"/>
              </w:rPr>
            </w:pPr>
            <w:r>
              <w:rPr>
                <w:color w:val="000000"/>
                <w:szCs w:val="22"/>
              </w:rPr>
              <w:t>72.2</w:t>
            </w:r>
          </w:p>
        </w:tc>
        <w:tc>
          <w:tcPr>
            <w:tcW w:w="198" w:type="pct"/>
            <w:tcBorders>
              <w:top w:val="nil"/>
              <w:left w:val="nil"/>
            </w:tcBorders>
          </w:tcPr>
          <w:p w:rsidR="00000000" w:rsidRDefault="00000000">
            <w:pPr>
              <w:pStyle w:val="a2"/>
              <w:spacing w:line="240" w:lineRule="auto"/>
            </w:pPr>
          </w:p>
        </w:tc>
      </w:tr>
    </w:tbl>
    <w:p w:rsidR="00000000" w:rsidRDefault="00000000">
      <w:pPr>
        <w:spacing w:before="120" w:line="240" w:lineRule="auto"/>
        <w:rPr>
          <w:rFonts w:hint="eastAsia"/>
        </w:rPr>
      </w:pPr>
      <w:r>
        <w:rPr>
          <w:rFonts w:eastAsia="KaiTi_GB2312" w:hint="eastAsia"/>
          <w:spacing w:val="0"/>
        </w:rPr>
        <w:tab/>
      </w:r>
      <w:r>
        <w:rPr>
          <w:rFonts w:eastAsia="KaiTi_GB2312" w:hint="eastAsia"/>
          <w:spacing w:val="0"/>
          <w:u w:val="single"/>
        </w:rPr>
        <w:t>资料来源</w:t>
      </w:r>
      <w:r>
        <w:rPr>
          <w:rFonts w:eastAsia="KaiTi_GB2312" w:hint="eastAsia"/>
          <w:spacing w:val="0"/>
        </w:rPr>
        <w:t>：人口与计划生育研究中心</w:t>
      </w:r>
      <w:r>
        <w:rPr>
          <w:rFonts w:eastAsia="KaiTi_GB2312" w:hint="eastAsia"/>
          <w:spacing w:val="0"/>
        </w:rPr>
        <w:t>(CEPAR)</w:t>
      </w:r>
      <w:r>
        <w:rPr>
          <w:rFonts w:eastAsia="KaiTi_GB2312" w:hint="eastAsia"/>
          <w:spacing w:val="0"/>
        </w:rPr>
        <w:t>，</w:t>
      </w:r>
      <w:r>
        <w:rPr>
          <w:rFonts w:eastAsia="KaiTi_GB2312" w:hint="eastAsia"/>
          <w:spacing w:val="0"/>
        </w:rPr>
        <w:t>99</w:t>
      </w:r>
      <w:r>
        <w:rPr>
          <w:rFonts w:eastAsia="KaiTi_GB2312" w:hint="eastAsia"/>
          <w:spacing w:val="0"/>
        </w:rPr>
        <w:t>年调查。</w:t>
      </w:r>
    </w:p>
    <w:p w:rsidR="00000000" w:rsidRDefault="00000000">
      <w:pPr>
        <w:rPr>
          <w:rFonts w:hint="eastAsia"/>
          <w:lang w:val="fr-CH"/>
        </w:rPr>
      </w:pPr>
    </w:p>
    <w:p w:rsidR="00000000" w:rsidRDefault="00000000">
      <w:pPr>
        <w:rPr>
          <w:rFonts w:hint="eastAsia"/>
        </w:rPr>
      </w:pPr>
      <w:r>
        <w:rPr>
          <w:rFonts w:hint="eastAsia"/>
        </w:rPr>
        <w:tab/>
        <w:t xml:space="preserve">429.  </w:t>
      </w:r>
      <w:r>
        <w:rPr>
          <w:rFonts w:hint="eastAsia"/>
        </w:rPr>
        <w:t>全国只有</w:t>
      </w:r>
      <w:r>
        <w:rPr>
          <w:rFonts w:hint="eastAsia"/>
        </w:rPr>
        <w:t>39%</w:t>
      </w:r>
      <w:r>
        <w:rPr>
          <w:rFonts w:hint="eastAsia"/>
        </w:rPr>
        <w:t>的妇女进行产后检查；城市地区的比例略高一些，达</w:t>
      </w:r>
      <w:r>
        <w:rPr>
          <w:rFonts w:hint="eastAsia"/>
        </w:rPr>
        <w:t>47.5%</w:t>
      </w:r>
      <w:r>
        <w:rPr>
          <w:rFonts w:hint="eastAsia"/>
        </w:rPr>
        <w:t>。农村地区对母亲健康缺乏关心是很明显的，</w:t>
      </w:r>
      <w:r>
        <w:rPr>
          <w:rFonts w:hint="eastAsia"/>
        </w:rPr>
        <w:t>10</w:t>
      </w:r>
      <w:r>
        <w:rPr>
          <w:rFonts w:hint="eastAsia"/>
        </w:rPr>
        <w:t>名妇女中有</w:t>
      </w:r>
      <w:r>
        <w:rPr>
          <w:rFonts w:hint="eastAsia"/>
        </w:rPr>
        <w:t>7</w:t>
      </w:r>
      <w:r>
        <w:rPr>
          <w:rFonts w:hint="eastAsia"/>
        </w:rPr>
        <w:t>名生产后不进行任何产后检查。</w:t>
      </w:r>
    </w:p>
    <w:p w:rsidR="00000000" w:rsidRDefault="00000000">
      <w:pPr>
        <w:rPr>
          <w:rFonts w:hint="eastAsia"/>
        </w:rPr>
      </w:pPr>
      <w:r>
        <w:rPr>
          <w:rFonts w:hint="eastAsia"/>
        </w:rPr>
        <w:tab/>
        <w:t>430.  1997</w:t>
      </w:r>
      <w:r>
        <w:rPr>
          <w:rFonts w:hint="eastAsia"/>
        </w:rPr>
        <w:t>年，产妇死亡率为每</w:t>
      </w:r>
      <w:r>
        <w:rPr>
          <w:rFonts w:hint="eastAsia"/>
        </w:rPr>
        <w:t>10</w:t>
      </w:r>
      <w:r>
        <w:rPr>
          <w:rFonts w:hint="eastAsia"/>
        </w:rPr>
        <w:t>万次活产死亡</w:t>
      </w:r>
      <w:r>
        <w:rPr>
          <w:rFonts w:hint="eastAsia"/>
        </w:rPr>
        <w:t>93.7</w:t>
      </w:r>
      <w:r>
        <w:rPr>
          <w:rFonts w:hint="eastAsia"/>
        </w:rPr>
        <w:t>名产妇</w:t>
      </w:r>
      <w:r>
        <w:rPr>
          <w:rFonts w:hint="eastAsia"/>
        </w:rPr>
        <w:t>(</w:t>
      </w:r>
      <w:r>
        <w:rPr>
          <w:rFonts w:hint="eastAsia"/>
        </w:rPr>
        <w:t>国家统计局，</w:t>
      </w:r>
      <w:r>
        <w:rPr>
          <w:rFonts w:hint="eastAsia"/>
        </w:rPr>
        <w:t>1997</w:t>
      </w:r>
      <w:r>
        <w:rPr>
          <w:rFonts w:hint="eastAsia"/>
        </w:rPr>
        <w:t>年</w:t>
      </w:r>
      <w:r>
        <w:rPr>
          <w:rFonts w:hint="eastAsia"/>
        </w:rPr>
        <w:t>)</w:t>
      </w:r>
      <w:r>
        <w:rPr>
          <w:rFonts w:hint="eastAsia"/>
        </w:rPr>
        <w:t>，各区域之间差距很大，有的区域达每</w:t>
      </w:r>
      <w:r>
        <w:rPr>
          <w:rFonts w:hint="eastAsia"/>
        </w:rPr>
        <w:t>10</w:t>
      </w:r>
      <w:r>
        <w:rPr>
          <w:rFonts w:hint="eastAsia"/>
        </w:rPr>
        <w:t>万次活产死亡</w:t>
      </w:r>
      <w:r>
        <w:rPr>
          <w:rFonts w:hint="eastAsia"/>
        </w:rPr>
        <w:t>250</w:t>
      </w:r>
      <w:r>
        <w:rPr>
          <w:rFonts w:hint="eastAsia"/>
        </w:rPr>
        <w:t>名产妇。这一数字低于国际人口与发展会议确定的指标。</w:t>
      </w:r>
      <w:r>
        <w:rPr>
          <w:rFonts w:hint="eastAsia"/>
          <w:b/>
          <w:vertAlign w:val="superscript"/>
        </w:rPr>
        <w:t>58</w:t>
      </w:r>
    </w:p>
    <w:p w:rsidR="00000000" w:rsidRDefault="00000000">
      <w:pPr>
        <w:rPr>
          <w:rFonts w:hint="eastAsia"/>
        </w:rPr>
      </w:pPr>
      <w:r>
        <w:rPr>
          <w:rFonts w:hint="eastAsia"/>
        </w:rPr>
        <w:tab/>
        <w:t xml:space="preserve">431.  </w:t>
      </w:r>
      <w:r>
        <w:rPr>
          <w:rFonts w:hint="eastAsia"/>
        </w:rPr>
        <w:t>引起产妇死亡的主要直接原因是妊娠毒血症，占死亡人数的</w:t>
      </w:r>
      <w:r>
        <w:rPr>
          <w:rFonts w:hint="eastAsia"/>
        </w:rPr>
        <w:t>38%</w:t>
      </w:r>
      <w:r>
        <w:rPr>
          <w:rFonts w:hint="eastAsia"/>
        </w:rPr>
        <w:t>；其次是妊娠期或分娩时出血</w:t>
      </w:r>
      <w:r>
        <w:rPr>
          <w:rFonts w:hint="eastAsia"/>
        </w:rPr>
        <w:t>(23%)</w:t>
      </w:r>
      <w:r>
        <w:rPr>
          <w:rFonts w:hint="eastAsia"/>
        </w:rPr>
        <w:t>；流产</w:t>
      </w:r>
      <w:r>
        <w:rPr>
          <w:rFonts w:hint="eastAsia"/>
        </w:rPr>
        <w:t>(6%)</w:t>
      </w:r>
      <w:r>
        <w:rPr>
          <w:rFonts w:hint="eastAsia"/>
        </w:rPr>
        <w:t>；以及产褥并发症</w:t>
      </w:r>
      <w:r>
        <w:rPr>
          <w:rFonts w:hint="eastAsia"/>
        </w:rPr>
        <w:t>(4.2%)</w:t>
      </w:r>
      <w:r>
        <w:rPr>
          <w:rFonts w:hint="eastAsia"/>
        </w:rPr>
        <w:t>。与妊娠、分娩或产后直接或间接相关的其他原因占</w:t>
      </w:r>
      <w:r>
        <w:rPr>
          <w:rFonts w:hint="eastAsia"/>
        </w:rPr>
        <w:t>29%</w:t>
      </w:r>
      <w:r>
        <w:rPr>
          <w:rFonts w:hint="eastAsia"/>
        </w:rPr>
        <w:t>。</w:t>
      </w:r>
      <w:r>
        <w:rPr>
          <w:rFonts w:hint="eastAsia"/>
          <w:b/>
          <w:vertAlign w:val="superscript"/>
        </w:rPr>
        <w:t>59</w:t>
      </w:r>
    </w:p>
    <w:p w:rsidR="00000000" w:rsidRDefault="00000000">
      <w:pPr>
        <w:rPr>
          <w:rFonts w:hint="eastAsia"/>
        </w:rPr>
      </w:pPr>
      <w:r>
        <w:rPr>
          <w:rFonts w:hint="eastAsia"/>
        </w:rPr>
        <w:tab/>
        <w:t>432.  1990</w:t>
      </w:r>
      <w:r>
        <w:rPr>
          <w:rFonts w:hint="eastAsia"/>
        </w:rPr>
        <w:t>年年代公共卫生部提供的产妇保健服务的平均覆盖率显示以下趋势：</w:t>
      </w:r>
    </w:p>
    <w:p w:rsidR="00000000" w:rsidRDefault="00000000">
      <w:pPr>
        <w:numPr>
          <w:ilvl w:val="0"/>
          <w:numId w:val="180"/>
        </w:numPr>
        <w:rPr>
          <w:rFonts w:hint="eastAsia"/>
        </w:rPr>
      </w:pPr>
      <w:r>
        <w:rPr>
          <w:rFonts w:hint="eastAsia"/>
        </w:rPr>
        <w:t>产前保健从</w:t>
      </w:r>
      <w:r>
        <w:rPr>
          <w:rFonts w:hint="eastAsia"/>
        </w:rPr>
        <w:t>1990</w:t>
      </w:r>
      <w:r>
        <w:rPr>
          <w:rFonts w:hint="eastAsia"/>
        </w:rPr>
        <w:t>年的</w:t>
      </w:r>
      <w:r>
        <w:rPr>
          <w:rFonts w:hint="eastAsia"/>
        </w:rPr>
        <w:t>47.8%</w:t>
      </w:r>
      <w:r>
        <w:rPr>
          <w:rFonts w:hint="eastAsia"/>
        </w:rPr>
        <w:t>增加到</w:t>
      </w:r>
      <w:r>
        <w:rPr>
          <w:rFonts w:hint="eastAsia"/>
        </w:rPr>
        <w:t>1998</w:t>
      </w:r>
      <w:r>
        <w:rPr>
          <w:rFonts w:hint="eastAsia"/>
        </w:rPr>
        <w:t>年的</w:t>
      </w:r>
      <w:r>
        <w:rPr>
          <w:rFonts w:hint="eastAsia"/>
        </w:rPr>
        <w:t>69.3%</w:t>
      </w:r>
      <w:r>
        <w:rPr>
          <w:rFonts w:hint="eastAsia"/>
        </w:rPr>
        <w:t>；</w:t>
      </w:r>
      <w:r>
        <w:rPr>
          <w:rFonts w:hint="eastAsia"/>
          <w:b/>
          <w:vertAlign w:val="superscript"/>
        </w:rPr>
        <w:t>60</w:t>
      </w:r>
    </w:p>
    <w:p w:rsidR="00000000" w:rsidRDefault="00000000">
      <w:pPr>
        <w:numPr>
          <w:ilvl w:val="0"/>
          <w:numId w:val="180"/>
        </w:numPr>
        <w:spacing w:after="160"/>
        <w:rPr>
          <w:rFonts w:hint="eastAsia"/>
        </w:rPr>
      </w:pPr>
      <w:r>
        <w:rPr>
          <w:rFonts w:hint="eastAsia"/>
        </w:rPr>
        <w:t>过去</w:t>
      </w:r>
      <w:r>
        <w:rPr>
          <w:rFonts w:hint="eastAsia"/>
        </w:rPr>
        <w:t>6</w:t>
      </w:r>
      <w:r>
        <w:rPr>
          <w:rFonts w:hint="eastAsia"/>
        </w:rPr>
        <w:t>年中接生率几乎保持未变，从</w:t>
      </w:r>
      <w:r>
        <w:rPr>
          <w:rFonts w:hint="eastAsia"/>
        </w:rPr>
        <w:t>23.6%</w:t>
      </w:r>
      <w:r>
        <w:rPr>
          <w:rFonts w:hint="eastAsia"/>
        </w:rPr>
        <w:t>增加到</w:t>
      </w:r>
      <w:r>
        <w:rPr>
          <w:rFonts w:hint="eastAsia"/>
        </w:rPr>
        <w:t>1998</w:t>
      </w:r>
      <w:r>
        <w:rPr>
          <w:rFonts w:hint="eastAsia"/>
        </w:rPr>
        <w:t>年的</w:t>
      </w:r>
      <w:r>
        <w:rPr>
          <w:rFonts w:hint="eastAsia"/>
        </w:rPr>
        <w:t>26.9%</w:t>
      </w:r>
      <w:r>
        <w:rPr>
          <w:rFonts w:hint="eastAsia"/>
        </w:rPr>
        <w:t>；</w:t>
      </w:r>
    </w:p>
    <w:p w:rsidR="00000000" w:rsidRDefault="00000000">
      <w:pPr>
        <w:numPr>
          <w:ilvl w:val="0"/>
          <w:numId w:val="180"/>
        </w:numPr>
        <w:spacing w:after="320"/>
        <w:rPr>
          <w:rFonts w:hint="eastAsia"/>
        </w:rPr>
      </w:pPr>
      <w:r>
        <w:rPr>
          <w:rFonts w:hint="eastAsia"/>
        </w:rPr>
        <w:t>产后保健的情况类似，从</w:t>
      </w:r>
      <w:r>
        <w:rPr>
          <w:rFonts w:hint="eastAsia"/>
        </w:rPr>
        <w:t>1990</w:t>
      </w:r>
      <w:r>
        <w:rPr>
          <w:rFonts w:hint="eastAsia"/>
        </w:rPr>
        <w:t>年的</w:t>
      </w:r>
      <w:r>
        <w:rPr>
          <w:rFonts w:hint="eastAsia"/>
        </w:rPr>
        <w:t>11.6%</w:t>
      </w:r>
      <w:r>
        <w:rPr>
          <w:rFonts w:hint="eastAsia"/>
        </w:rPr>
        <w:t>增加到</w:t>
      </w:r>
      <w:r>
        <w:rPr>
          <w:rFonts w:hint="eastAsia"/>
        </w:rPr>
        <w:t>1998</w:t>
      </w:r>
      <w:r>
        <w:rPr>
          <w:rFonts w:hint="eastAsia"/>
        </w:rPr>
        <w:t>年的</w:t>
      </w:r>
      <w:r>
        <w:rPr>
          <w:rFonts w:hint="eastAsia"/>
        </w:rPr>
        <w:t>15.1%</w:t>
      </w:r>
      <w:r>
        <w:rPr>
          <w:rFonts w:hint="eastAsia"/>
        </w:rPr>
        <w:t>。</w:t>
      </w:r>
    </w:p>
    <w:p w:rsidR="00000000" w:rsidRDefault="00000000">
      <w:pPr>
        <w:pStyle w:val="Heading4"/>
        <w:rPr>
          <w:rFonts w:eastAsia="KaiTi_GB2312" w:hint="eastAsia"/>
          <w:snapToGrid/>
          <w:spacing w:val="0"/>
          <w:u w:val="none"/>
        </w:rPr>
      </w:pPr>
      <w:r>
        <w:rPr>
          <w:rFonts w:eastAsia="KaiTi_GB2312" w:hint="eastAsia"/>
          <w:snapToGrid/>
          <w:spacing w:val="0"/>
          <w:u w:val="none"/>
        </w:rPr>
        <w:t>儿童保健</w:t>
      </w:r>
    </w:p>
    <w:p w:rsidR="00000000" w:rsidRDefault="00000000">
      <w:pPr>
        <w:rPr>
          <w:rFonts w:hint="eastAsia"/>
        </w:rPr>
      </w:pPr>
      <w:r>
        <w:rPr>
          <w:rFonts w:hint="eastAsia"/>
        </w:rPr>
        <w:tab/>
        <w:t xml:space="preserve">433.  </w:t>
      </w:r>
      <w:r>
        <w:rPr>
          <w:rFonts w:hint="eastAsia"/>
        </w:rPr>
        <w:t>保健的级别与卫生服务的专业化、质量和基础设施密切相关。初级保健包括基本卫生保健，如教育、预防、宣传以及门诊部门治疗。二级保健中主要有四个科：妇产科、儿科、外科和内科。</w:t>
      </w:r>
    </w:p>
    <w:p w:rsidR="00000000" w:rsidRDefault="00000000">
      <w:pPr>
        <w:rPr>
          <w:rFonts w:hint="eastAsia"/>
        </w:rPr>
      </w:pPr>
      <w:r>
        <w:rPr>
          <w:rFonts w:hint="eastAsia"/>
        </w:rPr>
        <w:tab/>
        <w:t>434.  1994</w:t>
      </w:r>
      <w:r>
        <w:rPr>
          <w:rFonts w:hint="eastAsia"/>
        </w:rPr>
        <w:t>年至</w:t>
      </w:r>
      <w:r>
        <w:rPr>
          <w:rFonts w:hint="eastAsia"/>
        </w:rPr>
        <w:t>1999</w:t>
      </w:r>
      <w:r>
        <w:rPr>
          <w:rFonts w:hint="eastAsia"/>
        </w:rPr>
        <w:t>年，大部分厄瓜多尔人接受的是二级保健，一是因为缺乏预防性保健文化，二是因为缺乏经济资源方面，因为住在城市地区以及尤其是住在农村地区的人不大重视健康问题，直到他们患病需要专门治疗时才想起要重视。</w:t>
      </w:r>
    </w:p>
    <w:p w:rsidR="00000000" w:rsidRDefault="00000000">
      <w:pPr>
        <w:spacing w:after="320"/>
        <w:rPr>
          <w:rFonts w:hint="eastAsia"/>
        </w:rPr>
      </w:pPr>
      <w:r>
        <w:rPr>
          <w:rFonts w:hint="eastAsia"/>
        </w:rPr>
        <w:tab/>
        <w:t xml:space="preserve">435.  </w:t>
      </w:r>
      <w:r>
        <w:rPr>
          <w:rFonts w:hint="eastAsia"/>
        </w:rPr>
        <w:t>全国约</w:t>
      </w:r>
      <w:r>
        <w:rPr>
          <w:rFonts w:hint="eastAsia"/>
        </w:rPr>
        <w:t>91.3%</w:t>
      </w:r>
      <w:r>
        <w:rPr>
          <w:rFonts w:hint="eastAsia"/>
        </w:rPr>
        <w:t>的儿童从出生起便接受健康检查；农村地区这一数字低一些，为</w:t>
      </w:r>
      <w:r>
        <w:rPr>
          <w:rFonts w:hint="eastAsia"/>
        </w:rPr>
        <w:t>87.9%</w:t>
      </w:r>
      <w:r>
        <w:rPr>
          <w:rFonts w:hint="eastAsia"/>
        </w:rPr>
        <w:t>；</w:t>
      </w:r>
      <w:r>
        <w:rPr>
          <w:rFonts w:hint="eastAsia"/>
        </w:rPr>
        <w:t>A</w:t>
      </w:r>
      <w:r>
        <w:t>mazonia</w:t>
      </w:r>
      <w:r>
        <w:rPr>
          <w:rFonts w:hint="eastAsia"/>
        </w:rPr>
        <w:t>更低，</w:t>
      </w:r>
      <w:r>
        <w:rPr>
          <w:rFonts w:hint="eastAsia"/>
        </w:rPr>
        <w:t>16%</w:t>
      </w:r>
      <w:r>
        <w:rPr>
          <w:rFonts w:hint="eastAsia"/>
        </w:rPr>
        <w:t>的儿童从未进行过任何形式的体检。</w:t>
      </w:r>
      <w:r>
        <w:rPr>
          <w:rFonts w:hint="eastAsia"/>
          <w:b/>
          <w:vertAlign w:val="superscript"/>
        </w:rPr>
        <w:t>61</w:t>
      </w:r>
    </w:p>
    <w:p w:rsidR="00000000" w:rsidRDefault="00000000">
      <w:pPr>
        <w:pStyle w:val="Heading3"/>
        <w:rPr>
          <w:rFonts w:hint="eastAsia"/>
          <w:u w:val="none"/>
        </w:rPr>
      </w:pPr>
      <w:r>
        <w:br w:type="page"/>
      </w:r>
      <w:r>
        <w:rPr>
          <w:rFonts w:hint="eastAsia"/>
        </w:rPr>
        <w:t>按地区和区域分列的儿童体检情况</w:t>
      </w:r>
      <w:r>
        <w:br/>
      </w:r>
      <w:r>
        <w:rPr>
          <w:rFonts w:hint="eastAsia"/>
          <w:u w:val="none"/>
        </w:rPr>
        <w:t>(</w:t>
      </w:r>
      <w:r>
        <w:rPr>
          <w:rFonts w:hint="eastAsia"/>
        </w:rPr>
        <w:t>1994</w:t>
      </w:r>
      <w:r>
        <w:rPr>
          <w:rFonts w:hint="eastAsia"/>
        </w:rPr>
        <w:t>年</w:t>
      </w:r>
      <w:r>
        <w:rPr>
          <w:rFonts w:hint="eastAsia"/>
        </w:rPr>
        <w:t>3</w:t>
      </w:r>
      <w:r>
        <w:rPr>
          <w:rFonts w:hint="eastAsia"/>
        </w:rPr>
        <w:t>月至</w:t>
      </w:r>
      <w:r>
        <w:rPr>
          <w:rFonts w:hint="eastAsia"/>
        </w:rPr>
        <w:t>1999</w:t>
      </w:r>
      <w:r>
        <w:rPr>
          <w:rFonts w:hint="eastAsia"/>
        </w:rPr>
        <w:t>年</w:t>
      </w:r>
      <w:r>
        <w:rPr>
          <w:rFonts w:hint="eastAsia"/>
        </w:rPr>
        <w:t>2</w:t>
      </w:r>
      <w:r>
        <w:rPr>
          <w:rFonts w:hint="eastAsia"/>
        </w:rPr>
        <w:t>月</w:t>
      </w:r>
      <w:r>
        <w:rPr>
          <w:rFonts w:hint="eastAsia"/>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000000">
        <w:tblPrEx>
          <w:tblCellMar>
            <w:top w:w="0" w:type="dxa"/>
            <w:bottom w:w="0" w:type="dxa"/>
          </w:tblCellMar>
        </w:tblPrEx>
        <w:tc>
          <w:tcPr>
            <w:tcW w:w="3190" w:type="dxa"/>
          </w:tcPr>
          <w:p w:rsidR="00000000" w:rsidRDefault="00000000">
            <w:pPr>
              <w:pStyle w:val="a2"/>
              <w:spacing w:before="120"/>
              <w:jc w:val="center"/>
              <w:rPr>
                <w:rFonts w:hint="eastAsia"/>
                <w:u w:val="single"/>
              </w:rPr>
            </w:pPr>
            <w:r>
              <w:rPr>
                <w:rFonts w:hint="eastAsia"/>
                <w:u w:val="single"/>
              </w:rPr>
              <w:t>地区和区域</w:t>
            </w:r>
          </w:p>
        </w:tc>
        <w:tc>
          <w:tcPr>
            <w:tcW w:w="3190" w:type="dxa"/>
          </w:tcPr>
          <w:p w:rsidR="00000000" w:rsidRDefault="00000000">
            <w:pPr>
              <w:pStyle w:val="a2"/>
              <w:spacing w:before="120"/>
              <w:jc w:val="center"/>
              <w:rPr>
                <w:rFonts w:hint="eastAsia"/>
                <w:u w:val="single"/>
              </w:rPr>
            </w:pPr>
            <w:r>
              <w:rPr>
                <w:rFonts w:hint="eastAsia"/>
                <w:u w:val="single"/>
              </w:rPr>
              <w:t>体</w:t>
            </w:r>
            <w:r>
              <w:rPr>
                <w:rFonts w:hint="eastAsia"/>
                <w:u w:val="single"/>
              </w:rPr>
              <w:t xml:space="preserve">  </w:t>
            </w:r>
            <w:r>
              <w:rPr>
                <w:rFonts w:hint="eastAsia"/>
                <w:u w:val="single"/>
              </w:rPr>
              <w:t>检</w:t>
            </w:r>
          </w:p>
        </w:tc>
        <w:tc>
          <w:tcPr>
            <w:tcW w:w="3190" w:type="dxa"/>
          </w:tcPr>
          <w:p w:rsidR="00000000" w:rsidRDefault="00000000">
            <w:pPr>
              <w:pStyle w:val="a2"/>
              <w:spacing w:before="120"/>
              <w:jc w:val="center"/>
              <w:rPr>
                <w:rFonts w:hint="eastAsia"/>
                <w:u w:val="single"/>
              </w:rPr>
            </w:pPr>
            <w:r>
              <w:rPr>
                <w:rFonts w:hint="eastAsia"/>
                <w:u w:val="single"/>
              </w:rPr>
              <w:t>不</w:t>
            </w:r>
            <w:r>
              <w:rPr>
                <w:rFonts w:hint="eastAsia"/>
                <w:u w:val="single"/>
              </w:rPr>
              <w:t xml:space="preserve"> </w:t>
            </w:r>
            <w:r>
              <w:rPr>
                <w:rFonts w:hint="eastAsia"/>
                <w:u w:val="single"/>
              </w:rPr>
              <w:t>体</w:t>
            </w:r>
            <w:r>
              <w:rPr>
                <w:rFonts w:hint="eastAsia"/>
                <w:u w:val="single"/>
              </w:rPr>
              <w:t xml:space="preserve"> </w:t>
            </w:r>
            <w:r>
              <w:rPr>
                <w:rFonts w:hint="eastAsia"/>
                <w:u w:val="single"/>
              </w:rPr>
              <w:t>检</w:t>
            </w:r>
          </w:p>
        </w:tc>
      </w:tr>
      <w:tr w:rsidR="00000000">
        <w:tblPrEx>
          <w:tblCellMar>
            <w:top w:w="0" w:type="dxa"/>
            <w:bottom w:w="0" w:type="dxa"/>
          </w:tblCellMar>
        </w:tblPrEx>
        <w:tc>
          <w:tcPr>
            <w:tcW w:w="3190" w:type="dxa"/>
          </w:tcPr>
          <w:p w:rsidR="00000000" w:rsidRDefault="00000000">
            <w:pPr>
              <w:pStyle w:val="a2"/>
              <w:rPr>
                <w:rFonts w:hint="eastAsia"/>
              </w:rPr>
            </w:pPr>
            <w:r>
              <w:rPr>
                <w:rFonts w:hint="eastAsia"/>
              </w:rPr>
              <w:t>全国</w:t>
            </w:r>
          </w:p>
        </w:tc>
        <w:tc>
          <w:tcPr>
            <w:tcW w:w="3190" w:type="dxa"/>
          </w:tcPr>
          <w:p w:rsidR="00000000" w:rsidRDefault="00000000">
            <w:pPr>
              <w:pStyle w:val="a2"/>
              <w:jc w:val="center"/>
              <w:rPr>
                <w:rFonts w:hint="eastAsia"/>
              </w:rPr>
            </w:pPr>
            <w:r>
              <w:rPr>
                <w:rFonts w:hint="eastAsia"/>
              </w:rPr>
              <w:t>91.3</w:t>
            </w:r>
          </w:p>
        </w:tc>
        <w:tc>
          <w:tcPr>
            <w:tcW w:w="3190" w:type="dxa"/>
          </w:tcPr>
          <w:p w:rsidR="00000000" w:rsidRDefault="00000000">
            <w:pPr>
              <w:pStyle w:val="a2"/>
              <w:ind w:right="1134"/>
              <w:jc w:val="right"/>
              <w:rPr>
                <w:rFonts w:hint="eastAsia"/>
              </w:rPr>
            </w:pPr>
            <w:r>
              <w:rPr>
                <w:rFonts w:hint="eastAsia"/>
              </w:rPr>
              <w:t>8.7</w:t>
            </w:r>
          </w:p>
        </w:tc>
      </w:tr>
      <w:tr w:rsidR="00000000">
        <w:tblPrEx>
          <w:tblCellMar>
            <w:top w:w="0" w:type="dxa"/>
            <w:bottom w:w="0" w:type="dxa"/>
          </w:tblCellMar>
        </w:tblPrEx>
        <w:tc>
          <w:tcPr>
            <w:tcW w:w="3190" w:type="dxa"/>
          </w:tcPr>
          <w:p w:rsidR="00000000" w:rsidRDefault="00000000">
            <w:pPr>
              <w:pStyle w:val="a2"/>
              <w:rPr>
                <w:rFonts w:hint="eastAsia"/>
              </w:rPr>
            </w:pPr>
            <w:r>
              <w:rPr>
                <w:rFonts w:hint="eastAsia"/>
              </w:rPr>
              <w:t>地区</w:t>
            </w:r>
          </w:p>
        </w:tc>
        <w:tc>
          <w:tcPr>
            <w:tcW w:w="3190" w:type="dxa"/>
          </w:tcPr>
          <w:p w:rsidR="00000000" w:rsidRDefault="00000000">
            <w:pPr>
              <w:pStyle w:val="a2"/>
              <w:jc w:val="center"/>
              <w:rPr>
                <w:rFonts w:hint="eastAsia"/>
              </w:rPr>
            </w:pPr>
          </w:p>
        </w:tc>
        <w:tc>
          <w:tcPr>
            <w:tcW w:w="3190" w:type="dxa"/>
          </w:tcPr>
          <w:p w:rsidR="00000000" w:rsidRDefault="00000000">
            <w:pPr>
              <w:pStyle w:val="a2"/>
              <w:ind w:right="1134"/>
              <w:jc w:val="right"/>
              <w:rPr>
                <w:rFonts w:hint="eastAsia"/>
              </w:rPr>
            </w:pPr>
          </w:p>
        </w:tc>
      </w:tr>
      <w:tr w:rsidR="00000000">
        <w:tblPrEx>
          <w:tblCellMar>
            <w:top w:w="0" w:type="dxa"/>
            <w:bottom w:w="0" w:type="dxa"/>
          </w:tblCellMar>
        </w:tblPrEx>
        <w:tc>
          <w:tcPr>
            <w:tcW w:w="3190" w:type="dxa"/>
          </w:tcPr>
          <w:p w:rsidR="00000000" w:rsidRDefault="00000000">
            <w:pPr>
              <w:pStyle w:val="a2"/>
              <w:ind w:left="284"/>
              <w:rPr>
                <w:rFonts w:hint="eastAsia"/>
              </w:rPr>
            </w:pPr>
            <w:r>
              <w:rPr>
                <w:rFonts w:hint="eastAsia"/>
              </w:rPr>
              <w:t>城市</w:t>
            </w:r>
          </w:p>
        </w:tc>
        <w:tc>
          <w:tcPr>
            <w:tcW w:w="3190" w:type="dxa"/>
          </w:tcPr>
          <w:p w:rsidR="00000000" w:rsidRDefault="00000000">
            <w:pPr>
              <w:pStyle w:val="a2"/>
              <w:jc w:val="center"/>
              <w:rPr>
                <w:rFonts w:hint="eastAsia"/>
              </w:rPr>
            </w:pPr>
            <w:r>
              <w:rPr>
                <w:rFonts w:hint="eastAsia"/>
              </w:rPr>
              <w:t>94.1</w:t>
            </w:r>
          </w:p>
        </w:tc>
        <w:tc>
          <w:tcPr>
            <w:tcW w:w="3190" w:type="dxa"/>
          </w:tcPr>
          <w:p w:rsidR="00000000" w:rsidRDefault="00000000">
            <w:pPr>
              <w:pStyle w:val="a2"/>
              <w:ind w:right="1134"/>
              <w:jc w:val="right"/>
              <w:rPr>
                <w:rFonts w:hint="eastAsia"/>
              </w:rPr>
            </w:pPr>
            <w:r>
              <w:rPr>
                <w:rFonts w:hint="eastAsia"/>
              </w:rPr>
              <w:t>5.9</w:t>
            </w:r>
          </w:p>
        </w:tc>
      </w:tr>
      <w:tr w:rsidR="00000000">
        <w:tblPrEx>
          <w:tblCellMar>
            <w:top w:w="0" w:type="dxa"/>
            <w:bottom w:w="0" w:type="dxa"/>
          </w:tblCellMar>
        </w:tblPrEx>
        <w:tc>
          <w:tcPr>
            <w:tcW w:w="3190" w:type="dxa"/>
          </w:tcPr>
          <w:p w:rsidR="00000000" w:rsidRDefault="00000000">
            <w:pPr>
              <w:pStyle w:val="a2"/>
              <w:ind w:left="284"/>
              <w:rPr>
                <w:rFonts w:hint="eastAsia"/>
              </w:rPr>
            </w:pPr>
            <w:r>
              <w:rPr>
                <w:rFonts w:hint="eastAsia"/>
              </w:rPr>
              <w:t>农村</w:t>
            </w:r>
          </w:p>
        </w:tc>
        <w:tc>
          <w:tcPr>
            <w:tcW w:w="3190" w:type="dxa"/>
          </w:tcPr>
          <w:p w:rsidR="00000000" w:rsidRDefault="00000000">
            <w:pPr>
              <w:pStyle w:val="a2"/>
              <w:jc w:val="center"/>
              <w:rPr>
                <w:rFonts w:hint="eastAsia"/>
              </w:rPr>
            </w:pPr>
            <w:r>
              <w:rPr>
                <w:rFonts w:hint="eastAsia"/>
              </w:rPr>
              <w:t>87.9</w:t>
            </w:r>
          </w:p>
        </w:tc>
        <w:tc>
          <w:tcPr>
            <w:tcW w:w="3190" w:type="dxa"/>
          </w:tcPr>
          <w:p w:rsidR="00000000" w:rsidRDefault="00000000">
            <w:pPr>
              <w:pStyle w:val="a2"/>
              <w:ind w:right="1134"/>
              <w:jc w:val="right"/>
              <w:rPr>
                <w:rFonts w:hint="eastAsia"/>
              </w:rPr>
            </w:pPr>
            <w:r>
              <w:rPr>
                <w:rFonts w:hint="eastAsia"/>
              </w:rPr>
              <w:t>12.1</w:t>
            </w:r>
          </w:p>
        </w:tc>
      </w:tr>
      <w:tr w:rsidR="00000000">
        <w:tblPrEx>
          <w:tblCellMar>
            <w:top w:w="0" w:type="dxa"/>
            <w:bottom w:w="0" w:type="dxa"/>
          </w:tblCellMar>
        </w:tblPrEx>
        <w:tc>
          <w:tcPr>
            <w:tcW w:w="3190" w:type="dxa"/>
          </w:tcPr>
          <w:p w:rsidR="00000000" w:rsidRDefault="00000000">
            <w:pPr>
              <w:pStyle w:val="a2"/>
              <w:rPr>
                <w:rFonts w:hint="eastAsia"/>
              </w:rPr>
            </w:pPr>
            <w:r>
              <w:rPr>
                <w:rFonts w:hint="eastAsia"/>
              </w:rPr>
              <w:t>区域</w:t>
            </w:r>
          </w:p>
        </w:tc>
        <w:tc>
          <w:tcPr>
            <w:tcW w:w="3190" w:type="dxa"/>
          </w:tcPr>
          <w:p w:rsidR="00000000" w:rsidRDefault="00000000">
            <w:pPr>
              <w:pStyle w:val="a2"/>
              <w:jc w:val="center"/>
              <w:rPr>
                <w:rFonts w:hint="eastAsia"/>
              </w:rPr>
            </w:pPr>
          </w:p>
        </w:tc>
        <w:tc>
          <w:tcPr>
            <w:tcW w:w="3190" w:type="dxa"/>
          </w:tcPr>
          <w:p w:rsidR="00000000" w:rsidRDefault="00000000">
            <w:pPr>
              <w:pStyle w:val="a2"/>
              <w:ind w:right="1134"/>
              <w:jc w:val="right"/>
              <w:rPr>
                <w:rFonts w:hint="eastAsia"/>
              </w:rPr>
            </w:pPr>
          </w:p>
        </w:tc>
      </w:tr>
      <w:tr w:rsidR="00000000">
        <w:tblPrEx>
          <w:tblCellMar>
            <w:top w:w="0" w:type="dxa"/>
            <w:bottom w:w="0" w:type="dxa"/>
          </w:tblCellMar>
        </w:tblPrEx>
        <w:tc>
          <w:tcPr>
            <w:tcW w:w="3190" w:type="dxa"/>
          </w:tcPr>
          <w:p w:rsidR="00000000" w:rsidRDefault="00000000">
            <w:pPr>
              <w:pStyle w:val="a2"/>
              <w:ind w:left="284"/>
              <w:rPr>
                <w:rFonts w:hint="eastAsia"/>
              </w:rPr>
            </w:pPr>
            <w:r>
              <w:rPr>
                <w:rFonts w:hint="eastAsia"/>
              </w:rPr>
              <w:t>沿海</w:t>
            </w:r>
          </w:p>
        </w:tc>
        <w:tc>
          <w:tcPr>
            <w:tcW w:w="3190" w:type="dxa"/>
          </w:tcPr>
          <w:p w:rsidR="00000000" w:rsidRDefault="00000000">
            <w:pPr>
              <w:pStyle w:val="a2"/>
              <w:jc w:val="center"/>
              <w:rPr>
                <w:rFonts w:hint="eastAsia"/>
              </w:rPr>
            </w:pPr>
            <w:r>
              <w:rPr>
                <w:rFonts w:hint="eastAsia"/>
              </w:rPr>
              <w:t>92.7</w:t>
            </w:r>
          </w:p>
        </w:tc>
        <w:tc>
          <w:tcPr>
            <w:tcW w:w="3190" w:type="dxa"/>
          </w:tcPr>
          <w:p w:rsidR="00000000" w:rsidRDefault="00000000">
            <w:pPr>
              <w:pStyle w:val="a2"/>
              <w:ind w:right="1134"/>
              <w:jc w:val="right"/>
              <w:rPr>
                <w:rFonts w:hint="eastAsia"/>
              </w:rPr>
            </w:pPr>
            <w:r>
              <w:rPr>
                <w:rFonts w:hint="eastAsia"/>
              </w:rPr>
              <w:t>7.3</w:t>
            </w:r>
          </w:p>
        </w:tc>
      </w:tr>
      <w:tr w:rsidR="00000000">
        <w:tblPrEx>
          <w:tblCellMar>
            <w:top w:w="0" w:type="dxa"/>
            <w:bottom w:w="0" w:type="dxa"/>
          </w:tblCellMar>
        </w:tblPrEx>
        <w:tc>
          <w:tcPr>
            <w:tcW w:w="3190" w:type="dxa"/>
          </w:tcPr>
          <w:p w:rsidR="00000000" w:rsidRDefault="00000000">
            <w:pPr>
              <w:pStyle w:val="a2"/>
              <w:ind w:left="284"/>
              <w:rPr>
                <w:rFonts w:hint="eastAsia"/>
              </w:rPr>
            </w:pPr>
            <w:r>
              <w:rPr>
                <w:rFonts w:hint="eastAsia"/>
              </w:rPr>
              <w:t>S</w:t>
            </w:r>
            <w:r>
              <w:t>ierra</w:t>
            </w:r>
          </w:p>
        </w:tc>
        <w:tc>
          <w:tcPr>
            <w:tcW w:w="3190" w:type="dxa"/>
          </w:tcPr>
          <w:p w:rsidR="00000000" w:rsidRDefault="00000000">
            <w:pPr>
              <w:pStyle w:val="a2"/>
              <w:jc w:val="center"/>
              <w:rPr>
                <w:rFonts w:hint="eastAsia"/>
              </w:rPr>
            </w:pPr>
            <w:r>
              <w:rPr>
                <w:rFonts w:hint="eastAsia"/>
              </w:rPr>
              <w:t>90.9</w:t>
            </w:r>
          </w:p>
        </w:tc>
        <w:tc>
          <w:tcPr>
            <w:tcW w:w="3190" w:type="dxa"/>
          </w:tcPr>
          <w:p w:rsidR="00000000" w:rsidRDefault="00000000">
            <w:pPr>
              <w:pStyle w:val="a2"/>
              <w:ind w:right="1134"/>
              <w:jc w:val="right"/>
              <w:rPr>
                <w:rFonts w:hint="eastAsia"/>
              </w:rPr>
            </w:pPr>
            <w:r>
              <w:rPr>
                <w:rFonts w:hint="eastAsia"/>
              </w:rPr>
              <w:t>9.1</w:t>
            </w:r>
          </w:p>
        </w:tc>
      </w:tr>
      <w:tr w:rsidR="00000000">
        <w:tblPrEx>
          <w:tblCellMar>
            <w:top w:w="0" w:type="dxa"/>
            <w:bottom w:w="0" w:type="dxa"/>
          </w:tblCellMar>
        </w:tblPrEx>
        <w:tc>
          <w:tcPr>
            <w:tcW w:w="3190" w:type="dxa"/>
          </w:tcPr>
          <w:p w:rsidR="00000000" w:rsidRDefault="00000000">
            <w:pPr>
              <w:pStyle w:val="a2"/>
              <w:ind w:left="284"/>
            </w:pPr>
            <w:r>
              <w:rPr>
                <w:rFonts w:hint="eastAsia"/>
              </w:rPr>
              <w:t>A</w:t>
            </w:r>
            <w:r>
              <w:t>mazonia</w:t>
            </w:r>
          </w:p>
        </w:tc>
        <w:tc>
          <w:tcPr>
            <w:tcW w:w="3190" w:type="dxa"/>
          </w:tcPr>
          <w:p w:rsidR="00000000" w:rsidRDefault="00000000">
            <w:pPr>
              <w:pStyle w:val="a2"/>
              <w:jc w:val="center"/>
              <w:rPr>
                <w:rFonts w:hint="eastAsia"/>
              </w:rPr>
            </w:pPr>
            <w:r>
              <w:rPr>
                <w:rFonts w:hint="eastAsia"/>
              </w:rPr>
              <w:t>84.0</w:t>
            </w:r>
          </w:p>
        </w:tc>
        <w:tc>
          <w:tcPr>
            <w:tcW w:w="3190" w:type="dxa"/>
          </w:tcPr>
          <w:p w:rsidR="00000000" w:rsidRDefault="00000000">
            <w:pPr>
              <w:pStyle w:val="a2"/>
              <w:ind w:right="1134"/>
              <w:jc w:val="right"/>
              <w:rPr>
                <w:rFonts w:hint="eastAsia"/>
              </w:rPr>
            </w:pPr>
            <w:r>
              <w:rPr>
                <w:rFonts w:hint="eastAsia"/>
              </w:rPr>
              <w:t>16.0</w:t>
            </w:r>
          </w:p>
        </w:tc>
      </w:tr>
      <w:tr w:rsidR="00000000">
        <w:tblPrEx>
          <w:tblCellMar>
            <w:top w:w="0" w:type="dxa"/>
            <w:bottom w:w="0" w:type="dxa"/>
          </w:tblCellMar>
        </w:tblPrEx>
        <w:tc>
          <w:tcPr>
            <w:tcW w:w="3190" w:type="dxa"/>
          </w:tcPr>
          <w:p w:rsidR="00000000" w:rsidRDefault="00000000">
            <w:pPr>
              <w:pStyle w:val="a2"/>
              <w:ind w:left="284"/>
              <w:rPr>
                <w:rFonts w:hint="eastAsia"/>
              </w:rPr>
            </w:pPr>
            <w:r>
              <w:rPr>
                <w:rFonts w:hint="eastAsia"/>
              </w:rPr>
              <w:t>岛屿</w:t>
            </w:r>
          </w:p>
        </w:tc>
        <w:tc>
          <w:tcPr>
            <w:tcW w:w="3190" w:type="dxa"/>
          </w:tcPr>
          <w:p w:rsidR="00000000" w:rsidRDefault="00000000">
            <w:pPr>
              <w:pStyle w:val="a2"/>
              <w:jc w:val="center"/>
              <w:rPr>
                <w:rFonts w:hint="eastAsia"/>
              </w:rPr>
            </w:pPr>
            <w:r>
              <w:rPr>
                <w:rFonts w:hint="eastAsia"/>
              </w:rPr>
              <w:t>95.5</w:t>
            </w:r>
          </w:p>
        </w:tc>
        <w:tc>
          <w:tcPr>
            <w:tcW w:w="3190" w:type="dxa"/>
          </w:tcPr>
          <w:p w:rsidR="00000000" w:rsidRDefault="00000000">
            <w:pPr>
              <w:pStyle w:val="a2"/>
              <w:ind w:right="1134"/>
              <w:jc w:val="right"/>
              <w:rPr>
                <w:rFonts w:hint="eastAsia"/>
              </w:rPr>
            </w:pPr>
            <w:r>
              <w:rPr>
                <w:rFonts w:hint="eastAsia"/>
              </w:rPr>
              <w:t>4.5</w:t>
            </w:r>
          </w:p>
        </w:tc>
      </w:tr>
    </w:tbl>
    <w:p w:rsidR="00000000" w:rsidRDefault="00000000">
      <w:pPr>
        <w:rPr>
          <w:rFonts w:hint="eastAsia"/>
        </w:rPr>
      </w:pPr>
    </w:p>
    <w:p w:rsidR="00000000" w:rsidRDefault="00000000">
      <w:pPr>
        <w:spacing w:after="320"/>
        <w:rPr>
          <w:rFonts w:eastAsia="KaiTi_GB2312" w:hint="eastAsia"/>
          <w:spacing w:val="0"/>
        </w:rPr>
      </w:pPr>
      <w:r>
        <w:rPr>
          <w:rFonts w:eastAsia="KaiTi_GB2312" w:hint="eastAsia"/>
        </w:rPr>
        <w:tab/>
      </w:r>
      <w:r>
        <w:rPr>
          <w:rFonts w:eastAsia="KaiTi_GB2312" w:hint="eastAsia"/>
          <w:u w:val="single"/>
        </w:rPr>
        <w:t>资料来源</w:t>
      </w:r>
      <w:r>
        <w:rPr>
          <w:rFonts w:hint="eastAsia"/>
        </w:rPr>
        <w:t>：</w:t>
      </w:r>
      <w:r>
        <w:rPr>
          <w:rFonts w:eastAsia="KaiTi_GB2312" w:hint="eastAsia"/>
          <w:spacing w:val="0"/>
        </w:rPr>
        <w:t>人口与计划生育研究中心，</w:t>
      </w:r>
      <w:r>
        <w:rPr>
          <w:rFonts w:eastAsia="KaiTi_GB2312" w:hint="eastAsia"/>
          <w:spacing w:val="0"/>
        </w:rPr>
        <w:t>99</w:t>
      </w:r>
      <w:r>
        <w:rPr>
          <w:rFonts w:eastAsia="KaiTi_GB2312" w:hint="eastAsia"/>
          <w:spacing w:val="0"/>
        </w:rPr>
        <w:t>年调查。</w:t>
      </w:r>
    </w:p>
    <w:p w:rsidR="00000000" w:rsidRDefault="00000000">
      <w:pPr>
        <w:pStyle w:val="Heading4"/>
        <w:rPr>
          <w:rFonts w:eastAsia="KaiTi_GB2312" w:hint="eastAsia"/>
          <w:snapToGrid/>
          <w:spacing w:val="0"/>
          <w:u w:val="none"/>
        </w:rPr>
      </w:pPr>
      <w:r>
        <w:rPr>
          <w:rFonts w:eastAsia="KaiTi_GB2312" w:hint="eastAsia"/>
          <w:snapToGrid/>
          <w:spacing w:val="0"/>
          <w:u w:val="none"/>
        </w:rPr>
        <w:t>人民的处境</w:t>
      </w:r>
    </w:p>
    <w:p w:rsidR="00000000" w:rsidRDefault="00000000">
      <w:pPr>
        <w:rPr>
          <w:rFonts w:hint="eastAsia"/>
        </w:rPr>
      </w:pPr>
      <w:r>
        <w:rPr>
          <w:rFonts w:hint="eastAsia"/>
        </w:rPr>
        <w:tab/>
        <w:t xml:space="preserve">436.  </w:t>
      </w:r>
      <w:r>
        <w:rPr>
          <w:rFonts w:hint="eastAsia"/>
        </w:rPr>
        <w:t>厄瓜多尔最贫困的地区集中在主要为土著人和黑人居住的农村各州和区。这些地区持续贫困，具体表现为生活质量下降，卫生条件恶化，因为社会经济发展与卫生是密切相关的。生活在这些地区的人民的生存选择是要么继续生活在农村，要么开始向大城市或其他国家移民；在大城市或其他国家，他们面临更多经济问题</w:t>
      </w:r>
      <w:r>
        <w:t>：</w:t>
      </w:r>
      <w:r>
        <w:rPr>
          <w:rFonts w:hint="eastAsia"/>
        </w:rPr>
        <w:t>拥挤不堪</w:t>
      </w:r>
      <w:r>
        <w:t>，</w:t>
      </w:r>
      <w:r>
        <w:rPr>
          <w:rFonts w:hint="eastAsia"/>
        </w:rPr>
        <w:t>与世隔绝，还有一个更糟的问题，即</w:t>
      </w:r>
      <w:r>
        <w:t>，</w:t>
      </w:r>
      <w:r>
        <w:rPr>
          <w:rFonts w:hint="eastAsia"/>
        </w:rPr>
        <w:t>远离其自身的文化，这能滋生新的卫生问题，并打破流行病的格局。</w:t>
      </w:r>
    </w:p>
    <w:p w:rsidR="00000000" w:rsidRDefault="00000000">
      <w:pPr>
        <w:rPr>
          <w:rFonts w:hint="eastAsia"/>
        </w:rPr>
      </w:pPr>
      <w:r>
        <w:rPr>
          <w:rFonts w:hint="eastAsia"/>
        </w:rPr>
        <w:tab/>
        <w:t xml:space="preserve">437.  </w:t>
      </w:r>
      <w:r>
        <w:rPr>
          <w:rFonts w:hint="eastAsia"/>
        </w:rPr>
        <w:t>土著人民的卫生问题与贫困直接相关，尤其是营养不良、缺乏基本服务、没有基础设施、很难得到或没有饮用水、排污系统等，土著人多的省份死亡率高也说明了这一点，例如：</w:t>
      </w:r>
      <w:r>
        <w:rPr>
          <w:rFonts w:hint="eastAsia"/>
        </w:rPr>
        <w:t>B</w:t>
      </w:r>
      <w:r>
        <w:t>olívar</w:t>
      </w:r>
      <w:r>
        <w:rPr>
          <w:rFonts w:hint="eastAsia"/>
        </w:rPr>
        <w:t>(</w:t>
      </w:r>
      <w:r>
        <w:rPr>
          <w:rFonts w:hint="eastAsia"/>
        </w:rPr>
        <w:t>每</w:t>
      </w:r>
      <w:r>
        <w:rPr>
          <w:rFonts w:hint="eastAsia"/>
        </w:rPr>
        <w:t>10</w:t>
      </w:r>
      <w:r>
        <w:rPr>
          <w:rFonts w:hint="eastAsia"/>
        </w:rPr>
        <w:t>万名活产儿死亡</w:t>
      </w:r>
      <w:r>
        <w:rPr>
          <w:rFonts w:hint="eastAsia"/>
        </w:rPr>
        <w:t>5.8</w:t>
      </w:r>
      <w:r>
        <w:rPr>
          <w:rFonts w:hint="eastAsia"/>
        </w:rPr>
        <w:t>人</w:t>
      </w:r>
      <w:r>
        <w:rPr>
          <w:rFonts w:hint="eastAsia"/>
        </w:rPr>
        <w:t>)</w:t>
      </w:r>
      <w:r>
        <w:rPr>
          <w:rFonts w:hint="eastAsia"/>
        </w:rPr>
        <w:t>、</w:t>
      </w:r>
      <w:r>
        <w:rPr>
          <w:rFonts w:hint="eastAsia"/>
        </w:rPr>
        <w:t>C</w:t>
      </w:r>
      <w:r>
        <w:t>otopaxi</w:t>
      </w:r>
      <w:r>
        <w:rPr>
          <w:rFonts w:hint="eastAsia"/>
        </w:rPr>
        <w:t>(8.7)</w:t>
      </w:r>
      <w:r>
        <w:rPr>
          <w:rFonts w:hint="eastAsia"/>
        </w:rPr>
        <w:t>、</w:t>
      </w:r>
      <w:r>
        <w:rPr>
          <w:rFonts w:hint="eastAsia"/>
        </w:rPr>
        <w:t>C</w:t>
      </w:r>
      <w:r>
        <w:t>himborazo</w:t>
      </w:r>
      <w:r>
        <w:rPr>
          <w:rFonts w:hint="eastAsia"/>
        </w:rPr>
        <w:t>(6.8)</w:t>
      </w:r>
      <w:r>
        <w:rPr>
          <w:rFonts w:hint="eastAsia"/>
        </w:rPr>
        <w:t>、</w:t>
      </w:r>
      <w:r>
        <w:rPr>
          <w:rFonts w:hint="eastAsia"/>
        </w:rPr>
        <w:t>I</w:t>
      </w:r>
      <w:r>
        <w:t>nbabura</w:t>
      </w:r>
      <w:r>
        <w:rPr>
          <w:rFonts w:hint="eastAsia"/>
        </w:rPr>
        <w:t>(6.6)</w:t>
      </w:r>
      <w:r>
        <w:rPr>
          <w:rFonts w:hint="eastAsia"/>
        </w:rPr>
        <w:t>和</w:t>
      </w:r>
      <w:r>
        <w:rPr>
          <w:rFonts w:hint="eastAsia"/>
        </w:rPr>
        <w:t>T</w:t>
      </w:r>
      <w:r>
        <w:t>ungurahua</w:t>
      </w:r>
      <w:r>
        <w:rPr>
          <w:rFonts w:hint="eastAsia"/>
        </w:rPr>
        <w:t>(6.2)</w:t>
      </w:r>
      <w:r>
        <w:rPr>
          <w:rFonts w:hint="eastAsia"/>
        </w:rPr>
        <w:t>，而全国的死亡率只有每</w:t>
      </w:r>
      <w:r>
        <w:rPr>
          <w:rFonts w:hint="eastAsia"/>
        </w:rPr>
        <w:t>10</w:t>
      </w:r>
      <w:r>
        <w:rPr>
          <w:rFonts w:hint="eastAsia"/>
        </w:rPr>
        <w:t>万名活产儿死亡</w:t>
      </w:r>
      <w:r>
        <w:rPr>
          <w:rFonts w:hint="eastAsia"/>
        </w:rPr>
        <w:t>4.5</w:t>
      </w:r>
      <w:r>
        <w:rPr>
          <w:rFonts w:hint="eastAsia"/>
        </w:rPr>
        <w:t>人。</w:t>
      </w:r>
      <w:r>
        <w:rPr>
          <w:rFonts w:hint="eastAsia"/>
          <w:b/>
          <w:vertAlign w:val="superscript"/>
        </w:rPr>
        <w:t>62</w:t>
      </w:r>
    </w:p>
    <w:p w:rsidR="00000000" w:rsidRDefault="00000000">
      <w:pPr>
        <w:rPr>
          <w:rFonts w:hint="eastAsia"/>
        </w:rPr>
      </w:pPr>
      <w:r>
        <w:rPr>
          <w:rFonts w:hint="eastAsia"/>
        </w:rPr>
        <w:tab/>
        <w:t xml:space="preserve">438.  </w:t>
      </w:r>
      <w:r>
        <w:rPr>
          <w:rFonts w:hint="eastAsia"/>
        </w:rPr>
        <w:t>历史上官僚们便反对土著医学知识，将其视同巫术或庸医，并认为其缺乏科学依据；然而土著医学却流传下来了，而且被证明对多数土著人民很有效，因此土著人民看病找</w:t>
      </w:r>
      <w:r>
        <w:t>taitayachacs</w:t>
      </w:r>
      <w:r>
        <w:rPr>
          <w:rFonts w:hint="eastAsia"/>
        </w:rPr>
        <w:t>、</w:t>
      </w:r>
      <w:r>
        <w:t>cuyfichacs</w:t>
      </w:r>
      <w:r>
        <w:rPr>
          <w:rFonts w:hint="eastAsia"/>
        </w:rPr>
        <w:t>、</w:t>
      </w:r>
      <w:r>
        <w:t>mapachitadors</w:t>
      </w:r>
      <w:r>
        <w:rPr>
          <w:rFonts w:hint="eastAsia"/>
        </w:rPr>
        <w:t>、</w:t>
      </w:r>
      <w:r>
        <w:t>shamans</w:t>
      </w:r>
      <w:r>
        <w:rPr>
          <w:rFonts w:hint="eastAsia"/>
        </w:rPr>
        <w:t>等等。</w:t>
      </w:r>
    </w:p>
    <w:p w:rsidR="00000000" w:rsidRDefault="00000000">
      <w:pPr>
        <w:rPr>
          <w:rFonts w:hint="eastAsia"/>
        </w:rPr>
      </w:pPr>
      <w:r>
        <w:rPr>
          <w:rFonts w:hint="eastAsia"/>
        </w:rPr>
        <w:tab/>
        <w:t xml:space="preserve">439.  </w:t>
      </w:r>
      <w:r>
        <w:rPr>
          <w:rFonts w:hint="eastAsia"/>
        </w:rPr>
        <w:t>对</w:t>
      </w:r>
      <w:r>
        <w:rPr>
          <w:rFonts w:hint="eastAsia"/>
        </w:rPr>
        <w:t>O</w:t>
      </w:r>
      <w:r>
        <w:t>tavalo</w:t>
      </w:r>
      <w:r>
        <w:rPr>
          <w:rFonts w:hint="eastAsia"/>
        </w:rPr>
        <w:t xml:space="preserve"> 9</w:t>
      </w:r>
      <w:r>
        <w:rPr>
          <w:rFonts w:hint="eastAsia"/>
        </w:rPr>
        <w:t>个社区进行的研究表明，正规卫生服务机构不接受土著人；这基本上是因文化隔阂所制，因为卫生人们不了解土著人的宇宙观，也不能讲他们的语言，而且医疗费用太高。要解决这些问题，必须要举行土著医学与西方医学之间的平等对话，并设法建立一种“混合”卫生保健制度，在病人接受治疗的方式上允许存在文化差异，并运用两种医学知识。</w:t>
      </w:r>
    </w:p>
    <w:p w:rsidR="00000000" w:rsidRDefault="00000000">
      <w:pPr>
        <w:spacing w:after="320"/>
        <w:rPr>
          <w:rFonts w:hint="eastAsia"/>
        </w:rPr>
      </w:pPr>
      <w:r>
        <w:rPr>
          <w:rFonts w:hint="eastAsia"/>
        </w:rPr>
        <w:tab/>
        <w:t xml:space="preserve">440.  </w:t>
      </w:r>
      <w:r>
        <w:rPr>
          <w:rFonts w:hint="eastAsia"/>
        </w:rPr>
        <w:t>在这一方面进行的试验效果良好：试验是在</w:t>
      </w:r>
      <w:r>
        <w:t>Otavalo</w:t>
      </w:r>
      <w:r>
        <w:rPr>
          <w:rFonts w:hint="eastAsia"/>
        </w:rPr>
        <w:t>的</w:t>
      </w:r>
      <w:r>
        <w:rPr>
          <w:rFonts w:hint="eastAsia"/>
        </w:rPr>
        <w:t>J</w:t>
      </w:r>
      <w:r>
        <w:t>ambi Huasi</w:t>
      </w:r>
      <w:r>
        <w:rPr>
          <w:rFonts w:hint="eastAsia"/>
        </w:rPr>
        <w:t>和</w:t>
      </w:r>
      <w:r>
        <w:rPr>
          <w:rFonts w:hint="eastAsia"/>
        </w:rPr>
        <w:t>C</w:t>
      </w:r>
      <w:r>
        <w:t>otopaxi</w:t>
      </w:r>
      <w:r>
        <w:rPr>
          <w:rFonts w:hint="eastAsia"/>
        </w:rPr>
        <w:t>的</w:t>
      </w:r>
      <w:r>
        <w:t>Saquisilí</w:t>
      </w:r>
      <w:r>
        <w:rPr>
          <w:rFonts w:hint="eastAsia"/>
        </w:rPr>
        <w:t>进行的，保健服务在两种医学相互尊重、地位平等，病人可以选择自己希望接受的保健服务的条件下进行。这表明应将试验扩大到有土著人居住的国内其他地区。</w:t>
      </w:r>
      <w:r>
        <w:rPr>
          <w:rFonts w:hint="eastAsia"/>
          <w:b/>
          <w:bCs/>
          <w:vertAlign w:val="superscript"/>
        </w:rPr>
        <w:t>63</w:t>
      </w:r>
    </w:p>
    <w:p w:rsidR="00000000" w:rsidRDefault="00000000">
      <w:pPr>
        <w:pStyle w:val="Heading4"/>
        <w:rPr>
          <w:rFonts w:eastAsia="KaiTi_GB2312" w:hint="eastAsia"/>
          <w:snapToGrid/>
          <w:spacing w:val="0"/>
          <w:u w:val="none"/>
        </w:rPr>
      </w:pPr>
      <w:r>
        <w:rPr>
          <w:rFonts w:eastAsia="KaiTi_GB2312" w:hint="eastAsia"/>
          <w:snapToGrid/>
          <w:spacing w:val="0"/>
          <w:u w:val="none"/>
        </w:rPr>
        <w:t>为改善不卫生的条件而采取的行动</w:t>
      </w:r>
    </w:p>
    <w:p w:rsidR="00000000" w:rsidRDefault="00000000">
      <w:pPr>
        <w:rPr>
          <w:rFonts w:hint="eastAsia"/>
        </w:rPr>
      </w:pPr>
      <w:r>
        <w:rPr>
          <w:rFonts w:hint="eastAsia"/>
        </w:rPr>
        <w:tab/>
        <w:t xml:space="preserve">441.  </w:t>
      </w:r>
      <w:r>
        <w:rPr>
          <w:rFonts w:hint="eastAsia"/>
        </w:rPr>
        <w:t>厄瓜多尔已设法将饮用水供应、排污处理和垃圾处理的覆盖面比过去提高</w:t>
      </w:r>
      <w:r>
        <w:rPr>
          <w:rFonts w:hint="eastAsia"/>
        </w:rPr>
        <w:t>15%</w:t>
      </w:r>
      <w:r>
        <w:rPr>
          <w:rFonts w:hint="eastAsia"/>
        </w:rPr>
        <w:t>；已制订程序在保护公众健康方面确保适当质量，尤其是生产供人类消费的产品、药品、尤其是食品，以及提供卫生服务方面，不仅要让用户满意，而且要符合技术标准。其中最重要的是在卫生服务现场采取行动，进行培训和开发人力资源。</w:t>
      </w:r>
    </w:p>
    <w:p w:rsidR="00000000" w:rsidRDefault="00000000">
      <w:pPr>
        <w:rPr>
          <w:rFonts w:hint="eastAsia"/>
        </w:rPr>
      </w:pPr>
      <w:r>
        <w:rPr>
          <w:rFonts w:hint="eastAsia"/>
        </w:rPr>
        <w:tab/>
        <w:t xml:space="preserve">442.  </w:t>
      </w:r>
      <w:r>
        <w:rPr>
          <w:rFonts w:hint="eastAsia"/>
        </w:rPr>
        <w:t>为此目的，政府自</w:t>
      </w:r>
      <w:r>
        <w:rPr>
          <w:rFonts w:hint="eastAsia"/>
        </w:rPr>
        <w:t>1999</w:t>
      </w:r>
      <w:r>
        <w:rPr>
          <w:rFonts w:hint="eastAsia"/>
        </w:rPr>
        <w:t>年年底起已开始执行国家卫生计划；该计划现已在全国范围开展。</w:t>
      </w:r>
    </w:p>
    <w:p w:rsidR="00000000" w:rsidRDefault="00000000">
      <w:pPr>
        <w:rPr>
          <w:rFonts w:hint="eastAsia"/>
        </w:rPr>
      </w:pPr>
      <w:r>
        <w:rPr>
          <w:rFonts w:hint="eastAsia"/>
        </w:rPr>
        <w:tab/>
        <w:t xml:space="preserve">443.  </w:t>
      </w:r>
      <w:r>
        <w:rPr>
          <w:rFonts w:hint="eastAsia"/>
        </w:rPr>
        <w:t>全国对基本由从事卫生工作的机构所设想的卫生权利给予保障。</w:t>
      </w:r>
    </w:p>
    <w:p w:rsidR="00000000" w:rsidRDefault="00000000">
      <w:pPr>
        <w:rPr>
          <w:rFonts w:hint="eastAsia"/>
        </w:rPr>
      </w:pPr>
      <w:r>
        <w:rPr>
          <w:rFonts w:hint="eastAsia"/>
        </w:rPr>
        <w:tab/>
        <w:t xml:space="preserve">444.  </w:t>
      </w:r>
      <w:r>
        <w:rPr>
          <w:rFonts w:hint="eastAsia"/>
        </w:rPr>
        <w:t>根据现行法律结构，国家卫生系统由国家进行组织，与卫生部门的公共、自治和社区自办的单位相联系，并在职能上应作为一个分权、放手和参与性的机构。资金来自该系统中公共单位，其中包括有能力支付费用的用户的捐款。</w:t>
      </w:r>
    </w:p>
    <w:p w:rsidR="00000000" w:rsidRDefault="00000000">
      <w:pPr>
        <w:rPr>
          <w:rFonts w:hint="eastAsia"/>
        </w:rPr>
      </w:pPr>
      <w:r>
        <w:rPr>
          <w:rFonts w:hint="eastAsia"/>
        </w:rPr>
        <w:tab/>
        <w:t xml:space="preserve">445.  </w:t>
      </w:r>
      <w:r>
        <w:rPr>
          <w:rFonts w:hint="eastAsia"/>
        </w:rPr>
        <w:t>按计划，国家卫生计划为期五年，从</w:t>
      </w:r>
      <w:r>
        <w:rPr>
          <w:rFonts w:hint="eastAsia"/>
        </w:rPr>
        <w:t>2000</w:t>
      </w:r>
      <w:r>
        <w:rPr>
          <w:rFonts w:hint="eastAsia"/>
        </w:rPr>
        <w:t>年至</w:t>
      </w:r>
      <w:r>
        <w:rPr>
          <w:rFonts w:hint="eastAsia"/>
        </w:rPr>
        <w:t>2005</w:t>
      </w:r>
      <w:r>
        <w:rPr>
          <w:rFonts w:hint="eastAsia"/>
        </w:rPr>
        <w:t>年，目标如下：</w:t>
      </w:r>
    </w:p>
    <w:p w:rsidR="00000000" w:rsidRDefault="00000000">
      <w:pPr>
        <w:numPr>
          <w:ilvl w:val="0"/>
          <w:numId w:val="181"/>
        </w:numPr>
        <w:rPr>
          <w:rFonts w:hint="eastAsia"/>
        </w:rPr>
      </w:pPr>
      <w:r>
        <w:rPr>
          <w:rFonts w:hint="eastAsia"/>
        </w:rPr>
        <w:t>将婴儿死亡率减少</w:t>
      </w:r>
      <w:r>
        <w:rPr>
          <w:rFonts w:hint="eastAsia"/>
        </w:rPr>
        <w:t>25%</w:t>
      </w:r>
      <w:r>
        <w:rPr>
          <w:rFonts w:hint="eastAsia"/>
        </w:rPr>
        <w:t>；</w:t>
      </w:r>
    </w:p>
    <w:p w:rsidR="00000000" w:rsidRDefault="00000000">
      <w:pPr>
        <w:numPr>
          <w:ilvl w:val="0"/>
          <w:numId w:val="181"/>
        </w:numPr>
        <w:rPr>
          <w:rFonts w:hint="eastAsia"/>
        </w:rPr>
      </w:pPr>
      <w:r>
        <w:rPr>
          <w:rFonts w:hint="eastAsia"/>
        </w:rPr>
        <w:t>将产妇死亡率减少</w:t>
      </w:r>
      <w:r>
        <w:rPr>
          <w:rFonts w:hint="eastAsia"/>
        </w:rPr>
        <w:t>25%</w:t>
      </w:r>
      <w:r>
        <w:rPr>
          <w:rFonts w:hint="eastAsia"/>
        </w:rPr>
        <w:t>；</w:t>
      </w:r>
    </w:p>
    <w:p w:rsidR="00000000" w:rsidRDefault="00000000">
      <w:pPr>
        <w:numPr>
          <w:ilvl w:val="0"/>
          <w:numId w:val="181"/>
        </w:numPr>
        <w:rPr>
          <w:rFonts w:hint="eastAsia"/>
        </w:rPr>
      </w:pPr>
      <w:r>
        <w:rPr>
          <w:rFonts w:hint="eastAsia"/>
        </w:rPr>
        <w:t>减少这些病痛带来的影响；</w:t>
      </w:r>
    </w:p>
    <w:p w:rsidR="00000000" w:rsidRDefault="00000000">
      <w:pPr>
        <w:numPr>
          <w:ilvl w:val="0"/>
          <w:numId w:val="181"/>
        </w:numPr>
        <w:rPr>
          <w:rFonts w:hint="eastAsia"/>
        </w:rPr>
      </w:pPr>
      <w:r>
        <w:rPr>
          <w:rFonts w:hint="eastAsia"/>
        </w:rPr>
        <w:t>将死于突发性和再度突发性疾病的死亡率减少</w:t>
      </w:r>
      <w:r>
        <w:rPr>
          <w:rFonts w:hint="eastAsia"/>
        </w:rPr>
        <w:t>25%</w:t>
      </w:r>
      <w:r>
        <w:rPr>
          <w:rFonts w:hint="eastAsia"/>
        </w:rPr>
        <w:t>；</w:t>
      </w:r>
    </w:p>
    <w:p w:rsidR="00000000" w:rsidRDefault="00000000">
      <w:pPr>
        <w:numPr>
          <w:ilvl w:val="0"/>
          <w:numId w:val="181"/>
        </w:numPr>
        <w:rPr>
          <w:rFonts w:hint="eastAsia"/>
        </w:rPr>
      </w:pPr>
      <w:r>
        <w:rPr>
          <w:rFonts w:hint="eastAsia"/>
        </w:rPr>
        <w:t>将发病率和死亡率减少</w:t>
      </w:r>
      <w:r>
        <w:rPr>
          <w:rFonts w:hint="eastAsia"/>
        </w:rPr>
        <w:t>15%</w:t>
      </w:r>
      <w:r>
        <w:rPr>
          <w:rFonts w:hint="eastAsia"/>
        </w:rPr>
        <w:t>；</w:t>
      </w:r>
    </w:p>
    <w:p w:rsidR="00000000" w:rsidRDefault="00000000">
      <w:pPr>
        <w:numPr>
          <w:ilvl w:val="0"/>
          <w:numId w:val="181"/>
        </w:numPr>
        <w:rPr>
          <w:rFonts w:hint="eastAsia"/>
        </w:rPr>
      </w:pPr>
      <w:r>
        <w:rPr>
          <w:rFonts w:hint="eastAsia"/>
        </w:rPr>
        <w:t>将流行的龋齿和牙周疾病减少</w:t>
      </w:r>
      <w:r>
        <w:rPr>
          <w:rFonts w:hint="eastAsia"/>
        </w:rPr>
        <w:t>30%</w:t>
      </w:r>
      <w:r>
        <w:rPr>
          <w:rFonts w:hint="eastAsia"/>
        </w:rPr>
        <w:t>；</w:t>
      </w:r>
    </w:p>
    <w:p w:rsidR="00000000" w:rsidRDefault="00000000">
      <w:pPr>
        <w:numPr>
          <w:ilvl w:val="0"/>
          <w:numId w:val="181"/>
        </w:numPr>
        <w:rPr>
          <w:rFonts w:hint="eastAsia"/>
        </w:rPr>
      </w:pPr>
      <w:r>
        <w:rPr>
          <w:rFonts w:hint="eastAsia"/>
        </w:rPr>
        <w:t>将饮用水供应和排污处理的覆盖面在现有的水平基础上提高</w:t>
      </w:r>
      <w:r>
        <w:rPr>
          <w:rFonts w:hint="eastAsia"/>
        </w:rPr>
        <w:t>15%</w:t>
      </w:r>
      <w:r>
        <w:rPr>
          <w:rFonts w:hint="eastAsia"/>
        </w:rPr>
        <w:t>；</w:t>
      </w:r>
    </w:p>
    <w:p w:rsidR="00000000" w:rsidRDefault="00000000">
      <w:pPr>
        <w:numPr>
          <w:ilvl w:val="0"/>
          <w:numId w:val="181"/>
        </w:numPr>
        <w:rPr>
          <w:rFonts w:hint="eastAsia"/>
        </w:rPr>
      </w:pPr>
      <w:r>
        <w:rPr>
          <w:rFonts w:hint="eastAsia"/>
        </w:rPr>
        <w:t>将卫生服务的覆盖面在现有的水平基础上提高</w:t>
      </w:r>
      <w:r>
        <w:rPr>
          <w:rFonts w:hint="eastAsia"/>
        </w:rPr>
        <w:t>25%</w:t>
      </w:r>
      <w:r>
        <w:rPr>
          <w:rFonts w:hint="eastAsia"/>
        </w:rPr>
        <w:t>；</w:t>
      </w:r>
    </w:p>
    <w:p w:rsidR="00000000" w:rsidRDefault="00000000">
      <w:pPr>
        <w:numPr>
          <w:ilvl w:val="0"/>
          <w:numId w:val="181"/>
        </w:numPr>
        <w:rPr>
          <w:rFonts w:hint="eastAsia"/>
        </w:rPr>
      </w:pPr>
      <w:r>
        <w:rPr>
          <w:rFonts w:hint="eastAsia"/>
        </w:rPr>
        <w:t>对公共卫生部进行现代化改革，以发挥国家在卫生方面各级管理和业务单位的新作用。</w:t>
      </w:r>
    </w:p>
    <w:p w:rsidR="00000000" w:rsidRDefault="00000000">
      <w:pPr>
        <w:spacing w:after="320"/>
        <w:rPr>
          <w:rFonts w:hint="eastAsia"/>
        </w:rPr>
      </w:pPr>
      <w:r>
        <w:rPr>
          <w:rFonts w:hint="eastAsia"/>
        </w:rPr>
        <w:tab/>
        <w:t xml:space="preserve">446.  </w:t>
      </w:r>
      <w:r>
        <w:rPr>
          <w:rFonts w:hint="eastAsia"/>
        </w:rPr>
        <w:t>国家正在努力加强该部的国家环境卫生司的职能，并与住房部和环境部进行日常协调，把环境卫生作为政治问题来抓，建立环境卫生监测系统，并制订国家的初级环境保护指导方针：提供基本环卫设施，鼓励人们设计和使用安全用水供应和排污与垃圾处理的替代技术，尤其是农村地区；制订标准，监测环境灾害和自然灾害对卫生产生的影响；执行方案防治对水源、空气和土地的污染；执行医院废物管理方案；对职业灾害进行预防、提高早期预警和加以控制；建立职业病流行观察的系统；并与公共安全和工作场所卫生部门协调提供卫生服务。</w:t>
      </w:r>
    </w:p>
    <w:p w:rsidR="00000000" w:rsidRDefault="00000000">
      <w:pPr>
        <w:pStyle w:val="Heading4"/>
        <w:rPr>
          <w:rFonts w:hint="eastAsia"/>
          <w:snapToGrid/>
        </w:rPr>
      </w:pPr>
      <w:r>
        <w:rPr>
          <w:rFonts w:hint="eastAsia"/>
          <w:snapToGrid/>
        </w:rPr>
        <w:t>减少婴儿死亡率</w:t>
      </w:r>
    </w:p>
    <w:p w:rsidR="00000000" w:rsidRDefault="00000000">
      <w:pPr>
        <w:rPr>
          <w:rFonts w:hint="eastAsia"/>
        </w:rPr>
      </w:pPr>
      <w:r>
        <w:rPr>
          <w:rFonts w:hint="eastAsia"/>
        </w:rPr>
        <w:tab/>
        <w:t xml:space="preserve">447.  </w:t>
      </w:r>
      <w:r>
        <w:rPr>
          <w:rFonts w:hint="eastAsia"/>
        </w:rPr>
        <w:t>政府通过公共卫生部采取的减少婴儿死亡率和发病率的行动包括：</w:t>
      </w:r>
    </w:p>
    <w:p w:rsidR="00000000" w:rsidRDefault="00000000">
      <w:pPr>
        <w:numPr>
          <w:ilvl w:val="0"/>
          <w:numId w:val="182"/>
        </w:numPr>
        <w:rPr>
          <w:rFonts w:hint="eastAsia"/>
        </w:rPr>
      </w:pPr>
      <w:r>
        <w:rPr>
          <w:rFonts w:hint="eastAsia"/>
        </w:rPr>
        <w:t>监督儿童的发育和发展，以及时查明哪些儿童营养不足或会有可能营养不足，或心理运动发展困难；</w:t>
      </w:r>
    </w:p>
    <w:p w:rsidR="00000000" w:rsidRDefault="00000000">
      <w:pPr>
        <w:numPr>
          <w:ilvl w:val="0"/>
          <w:numId w:val="182"/>
        </w:numPr>
        <w:rPr>
          <w:rFonts w:hint="eastAsia"/>
        </w:rPr>
      </w:pPr>
      <w:r>
        <w:rPr>
          <w:rFonts w:hint="eastAsia"/>
        </w:rPr>
        <w:t>全面治疗盛行的儿童疾病。这是一项促进社区有效参与全面儿童保健的战略：采取行动针对常规疾病进行宣传、预防和确保及时康复；</w:t>
      </w:r>
    </w:p>
    <w:p w:rsidR="00000000" w:rsidRDefault="00000000">
      <w:pPr>
        <w:numPr>
          <w:ilvl w:val="0"/>
          <w:numId w:val="182"/>
        </w:numPr>
        <w:rPr>
          <w:rFonts w:hint="eastAsia"/>
        </w:rPr>
      </w:pPr>
      <w:r>
        <w:rPr>
          <w:rFonts w:hint="eastAsia"/>
        </w:rPr>
        <w:t>鼓励母乳喂养。儿童出生后最好的喂养办法是在</w:t>
      </w:r>
      <w:r>
        <w:rPr>
          <w:rFonts w:hint="eastAsia"/>
        </w:rPr>
        <w:t>6</w:t>
      </w:r>
      <w:r>
        <w:rPr>
          <w:rFonts w:hint="eastAsia"/>
        </w:rPr>
        <w:t>个月前一直坚持进行母乳喂养；</w:t>
      </w:r>
    </w:p>
    <w:p w:rsidR="00000000" w:rsidRDefault="00000000">
      <w:pPr>
        <w:numPr>
          <w:ilvl w:val="0"/>
          <w:numId w:val="182"/>
        </w:numPr>
        <w:rPr>
          <w:rFonts w:hint="eastAsia"/>
        </w:rPr>
      </w:pPr>
      <w:r>
        <w:rPr>
          <w:rFonts w:hint="eastAsia"/>
        </w:rPr>
        <w:t>扩大防疫方案。保持现有疫苗一定的覆盖水平，逐渐实行新的疫苗，例如预防德国麻疹、腮腺炎、乙型肝炎和脑膜炎的疫苗；为育龄妇女注射加强疫苗，并在危险区预防黄热病；</w:t>
      </w:r>
    </w:p>
    <w:p w:rsidR="00000000" w:rsidRDefault="00000000">
      <w:pPr>
        <w:numPr>
          <w:ilvl w:val="0"/>
          <w:numId w:val="182"/>
        </w:numPr>
        <w:rPr>
          <w:rFonts w:hint="eastAsia"/>
        </w:rPr>
      </w:pPr>
      <w:r>
        <w:rPr>
          <w:rFonts w:hint="eastAsia"/>
        </w:rPr>
        <w:t>执行粮食补充方案，为全国面临营养不良危险或实际患营养不良症的儿童提供口粮，直至其康复；</w:t>
      </w:r>
    </w:p>
    <w:p w:rsidR="00000000" w:rsidRDefault="00000000">
      <w:pPr>
        <w:numPr>
          <w:ilvl w:val="0"/>
          <w:numId w:val="182"/>
        </w:numPr>
        <w:rPr>
          <w:rFonts w:hint="eastAsia"/>
        </w:rPr>
      </w:pPr>
      <w:r>
        <w:rPr>
          <w:rFonts w:hint="eastAsia"/>
        </w:rPr>
        <w:t>执行微量元素方案，为孕妇和</w:t>
      </w:r>
      <w:r>
        <w:rPr>
          <w:rFonts w:hint="eastAsia"/>
        </w:rPr>
        <w:t>1</w:t>
      </w:r>
      <w:r>
        <w:rPr>
          <w:rFonts w:hint="eastAsia"/>
        </w:rPr>
        <w:t>岁以下的儿童提供铁、维生素</w:t>
      </w:r>
      <w:r>
        <w:rPr>
          <w:rFonts w:hint="eastAsia"/>
        </w:rPr>
        <w:t>A</w:t>
      </w:r>
      <w:r>
        <w:rPr>
          <w:rFonts w:hint="eastAsia"/>
        </w:rPr>
        <w:t>等微量元素添加剂。该方案在全国范围内执行，由所有业务单位执行，并由公共卫生部和国际合作提供支助。基本食品和面粉中都添加了铁、叶酸、复合</w:t>
      </w:r>
      <w:r>
        <w:rPr>
          <w:rFonts w:hint="eastAsia"/>
        </w:rPr>
        <w:t>B</w:t>
      </w:r>
      <w:r>
        <w:rPr>
          <w:rFonts w:hint="eastAsia"/>
        </w:rPr>
        <w:t>维生素和抗癞皮病维生素以及氟化和碘化盐。</w:t>
      </w:r>
    </w:p>
    <w:p w:rsidR="00000000" w:rsidRDefault="00000000">
      <w:pPr>
        <w:rPr>
          <w:rFonts w:hint="eastAsia"/>
        </w:rPr>
      </w:pPr>
      <w:r>
        <w:rPr>
          <w:rFonts w:hint="eastAsia"/>
        </w:rPr>
        <w:tab/>
        <w:t xml:space="preserve">448.  </w:t>
      </w:r>
      <w:r>
        <w:rPr>
          <w:rFonts w:hint="eastAsia"/>
        </w:rPr>
        <w:t>在环境卫生方面采取的行动包括：</w:t>
      </w:r>
    </w:p>
    <w:p w:rsidR="00000000" w:rsidRDefault="00000000">
      <w:pPr>
        <w:numPr>
          <w:ilvl w:val="0"/>
          <w:numId w:val="183"/>
        </w:numPr>
        <w:rPr>
          <w:rFonts w:hint="eastAsia"/>
        </w:rPr>
      </w:pPr>
      <w:r>
        <w:rPr>
          <w:rFonts w:hint="eastAsia"/>
        </w:rPr>
        <w:t>国会于</w:t>
      </w:r>
      <w:r>
        <w:rPr>
          <w:rFonts w:hint="eastAsia"/>
        </w:rPr>
        <w:t>1999</w:t>
      </w:r>
      <w:r>
        <w:rPr>
          <w:rFonts w:hint="eastAsia"/>
        </w:rPr>
        <w:t>年</w:t>
      </w:r>
      <w:r>
        <w:rPr>
          <w:rFonts w:hint="eastAsia"/>
        </w:rPr>
        <w:t>6</w:t>
      </w:r>
      <w:r>
        <w:rPr>
          <w:rFonts w:hint="eastAsia"/>
        </w:rPr>
        <w:t>月</w:t>
      </w:r>
      <w:r>
        <w:rPr>
          <w:rFonts w:hint="eastAsia"/>
        </w:rPr>
        <w:t>10</w:t>
      </w:r>
      <w:r>
        <w:rPr>
          <w:rFonts w:hint="eastAsia"/>
        </w:rPr>
        <w:t>日通过了《环境法》；</w:t>
      </w:r>
    </w:p>
    <w:p w:rsidR="00000000" w:rsidRDefault="00000000">
      <w:pPr>
        <w:numPr>
          <w:ilvl w:val="0"/>
          <w:numId w:val="183"/>
        </w:numPr>
        <w:rPr>
          <w:rFonts w:hint="eastAsia"/>
        </w:rPr>
      </w:pPr>
      <w:r>
        <w:rPr>
          <w:rFonts w:hint="eastAsia"/>
        </w:rPr>
        <w:t>《劳动法》在《厄瓜多尔劳动条例》中增加：关于《工人健康与安全和改善工作环境的规则》</w:t>
      </w:r>
      <w:r>
        <w:rPr>
          <w:rFonts w:hint="eastAsia"/>
        </w:rPr>
        <w:t>(</w:t>
      </w:r>
      <w:r>
        <w:rPr>
          <w:rFonts w:hint="eastAsia"/>
        </w:rPr>
        <w:t>第八版，</w:t>
      </w:r>
      <w:r>
        <w:rPr>
          <w:rFonts w:hint="eastAsia"/>
        </w:rPr>
        <w:t>1997</w:t>
      </w:r>
      <w:r>
        <w:rPr>
          <w:rFonts w:hint="eastAsia"/>
        </w:rPr>
        <w:t>年</w:t>
      </w:r>
      <w:r>
        <w:rPr>
          <w:rFonts w:hint="eastAsia"/>
        </w:rPr>
        <w:t>10</w:t>
      </w:r>
      <w:r>
        <w:rPr>
          <w:rFonts w:hint="eastAsia"/>
        </w:rPr>
        <w:t>月</w:t>
      </w:r>
      <w:r>
        <w:rPr>
          <w:rFonts w:hint="eastAsia"/>
        </w:rPr>
        <w:t>)</w:t>
      </w:r>
      <w:r>
        <w:rPr>
          <w:rFonts w:hint="eastAsia"/>
        </w:rPr>
        <w:t>；</w:t>
      </w:r>
    </w:p>
    <w:p w:rsidR="00000000" w:rsidRDefault="00000000">
      <w:pPr>
        <w:numPr>
          <w:ilvl w:val="0"/>
          <w:numId w:val="183"/>
        </w:numPr>
        <w:rPr>
          <w:rFonts w:hint="eastAsia"/>
        </w:rPr>
      </w:pPr>
      <w:r>
        <w:rPr>
          <w:rFonts w:hint="eastAsia"/>
        </w:rPr>
        <w:t>Q</w:t>
      </w:r>
      <w:r>
        <w:t>uito</w:t>
      </w:r>
      <w:r>
        <w:rPr>
          <w:rFonts w:hint="eastAsia"/>
        </w:rPr>
        <w:t xml:space="preserve"> 1986</w:t>
      </w:r>
      <w:r>
        <w:rPr>
          <w:rFonts w:hint="eastAsia"/>
        </w:rPr>
        <w:t>年颁布了第</w:t>
      </w:r>
      <w:r>
        <w:rPr>
          <w:rFonts w:hint="eastAsia"/>
        </w:rPr>
        <w:t>2393</w:t>
      </w:r>
      <w:r>
        <w:rPr>
          <w:rFonts w:hint="eastAsia"/>
        </w:rPr>
        <w:t>号法令；《工人健康与安全和改善工作环境的规则》；</w:t>
      </w:r>
    </w:p>
    <w:p w:rsidR="00000000" w:rsidRDefault="00000000">
      <w:pPr>
        <w:numPr>
          <w:ilvl w:val="0"/>
          <w:numId w:val="183"/>
        </w:numPr>
        <w:rPr>
          <w:rFonts w:hint="eastAsia"/>
        </w:rPr>
      </w:pPr>
      <w:r>
        <w:rPr>
          <w:rFonts w:hint="eastAsia"/>
        </w:rPr>
        <w:t>Q</w:t>
      </w:r>
      <w:r>
        <w:t>uito</w:t>
      </w:r>
      <w:r>
        <w:rPr>
          <w:rFonts w:hint="eastAsia"/>
        </w:rPr>
        <w:t>都市区市政府颁布《都市法令》，自</w:t>
      </w:r>
      <w:r>
        <w:rPr>
          <w:rFonts w:hint="eastAsia"/>
        </w:rPr>
        <w:t>1998</w:t>
      </w:r>
      <w:r>
        <w:rPr>
          <w:rFonts w:hint="eastAsia"/>
        </w:rPr>
        <w:t>年</w:t>
      </w:r>
      <w:r>
        <w:rPr>
          <w:rFonts w:hint="eastAsia"/>
        </w:rPr>
        <w:t>11</w:t>
      </w:r>
      <w:r>
        <w:rPr>
          <w:rFonts w:hint="eastAsia"/>
        </w:rPr>
        <w:t>月</w:t>
      </w:r>
      <w:r>
        <w:rPr>
          <w:rFonts w:hint="eastAsia"/>
        </w:rPr>
        <w:t>5</w:t>
      </w:r>
      <w:r>
        <w:rPr>
          <w:rFonts w:hint="eastAsia"/>
        </w:rPr>
        <w:t>日生效，取代《市政法》第</w:t>
      </w:r>
      <w:r>
        <w:rPr>
          <w:rFonts w:hint="eastAsia"/>
        </w:rPr>
        <w:t>2</w:t>
      </w:r>
      <w:r>
        <w:rPr>
          <w:rFonts w:hint="eastAsia"/>
        </w:rPr>
        <w:t>卷第</w:t>
      </w:r>
      <w:r>
        <w:rPr>
          <w:rFonts w:hint="eastAsia"/>
        </w:rPr>
        <w:t>5</w:t>
      </w:r>
      <w:r>
        <w:rPr>
          <w:rFonts w:hint="eastAsia"/>
        </w:rPr>
        <w:t>篇第</w:t>
      </w:r>
      <w:r>
        <w:rPr>
          <w:rFonts w:hint="eastAsia"/>
        </w:rPr>
        <w:t>3</w:t>
      </w:r>
      <w:r>
        <w:rPr>
          <w:rFonts w:hint="eastAsia"/>
        </w:rPr>
        <w:t>章关于防治固定场所排放的液体和气体造成的污染的规定。另外还颁布了紧急事故控制和计划、水质和环境污染的认定等规定。</w:t>
      </w:r>
    </w:p>
    <w:p w:rsidR="00000000" w:rsidRDefault="00000000">
      <w:pPr>
        <w:numPr>
          <w:ilvl w:val="0"/>
          <w:numId w:val="183"/>
        </w:numPr>
        <w:rPr>
          <w:rFonts w:hint="eastAsia"/>
        </w:rPr>
      </w:pPr>
      <w:r>
        <w:rPr>
          <w:rFonts w:hint="eastAsia"/>
        </w:rPr>
        <w:t>国家麻醉品和精神药物管制委员会对化学产品进行监督，</w:t>
      </w:r>
      <w:r>
        <w:rPr>
          <w:rFonts w:hint="eastAsia"/>
        </w:rPr>
        <w:t>1990</w:t>
      </w:r>
      <w:r>
        <w:rPr>
          <w:rFonts w:hint="eastAsia"/>
        </w:rPr>
        <w:t>年</w:t>
      </w:r>
      <w:r>
        <w:rPr>
          <w:rFonts w:hint="eastAsia"/>
        </w:rPr>
        <w:t>9</w:t>
      </w:r>
      <w:r>
        <w:rPr>
          <w:rFonts w:hint="eastAsia"/>
        </w:rPr>
        <w:t>月</w:t>
      </w:r>
      <w:r>
        <w:rPr>
          <w:rFonts w:hint="eastAsia"/>
        </w:rPr>
        <w:t>17</w:t>
      </w:r>
      <w:r>
        <w:rPr>
          <w:rFonts w:hint="eastAsia"/>
        </w:rPr>
        <w:t>日第</w:t>
      </w:r>
      <w:r>
        <w:rPr>
          <w:rFonts w:hint="eastAsia"/>
        </w:rPr>
        <w:t>523</w:t>
      </w:r>
      <w:r>
        <w:rPr>
          <w:rFonts w:hint="eastAsia"/>
        </w:rPr>
        <w:t>号《官方公报》第</w:t>
      </w:r>
      <w:r>
        <w:rPr>
          <w:rFonts w:hint="eastAsia"/>
        </w:rPr>
        <w:t>108</w:t>
      </w:r>
      <w:r>
        <w:rPr>
          <w:rFonts w:hint="eastAsia"/>
        </w:rPr>
        <w:t>号法案；</w:t>
      </w:r>
    </w:p>
    <w:p w:rsidR="00000000" w:rsidRDefault="00000000">
      <w:pPr>
        <w:numPr>
          <w:ilvl w:val="0"/>
          <w:numId w:val="183"/>
        </w:numPr>
        <w:rPr>
          <w:rFonts w:hint="eastAsia"/>
        </w:rPr>
      </w:pPr>
      <w:r>
        <w:rPr>
          <w:rFonts w:hint="eastAsia"/>
        </w:rPr>
        <w:t>P</w:t>
      </w:r>
      <w:r>
        <w:t>ichincha</w:t>
      </w:r>
      <w:r>
        <w:rPr>
          <w:rFonts w:hint="eastAsia"/>
        </w:rPr>
        <w:t>消防队颁布《防火法》；</w:t>
      </w:r>
    </w:p>
    <w:p w:rsidR="00000000" w:rsidRDefault="00000000">
      <w:pPr>
        <w:numPr>
          <w:ilvl w:val="0"/>
          <w:numId w:val="183"/>
        </w:numPr>
        <w:rPr>
          <w:rFonts w:hint="eastAsia"/>
        </w:rPr>
      </w:pPr>
      <w:r>
        <w:rPr>
          <w:rFonts w:hint="eastAsia"/>
        </w:rPr>
        <w:t>《蒙特利尔议定书》；</w:t>
      </w:r>
    </w:p>
    <w:p w:rsidR="00000000" w:rsidRDefault="00000000">
      <w:pPr>
        <w:numPr>
          <w:ilvl w:val="0"/>
          <w:numId w:val="183"/>
        </w:numPr>
        <w:rPr>
          <w:rFonts w:hint="eastAsia"/>
        </w:rPr>
      </w:pPr>
      <w:r>
        <w:rPr>
          <w:rFonts w:hint="eastAsia"/>
        </w:rPr>
        <w:t>劳工组织。</w:t>
      </w:r>
    </w:p>
    <w:p w:rsidR="00000000" w:rsidRDefault="00000000">
      <w:pPr>
        <w:rPr>
          <w:rFonts w:hint="eastAsia"/>
        </w:rPr>
      </w:pPr>
      <w:r>
        <w:rPr>
          <w:rFonts w:hint="eastAsia"/>
        </w:rPr>
        <w:tab/>
        <w:t xml:space="preserve">449.  </w:t>
      </w:r>
      <w:r>
        <w:rPr>
          <w:rFonts w:hint="eastAsia"/>
        </w:rPr>
        <w:t>国家保护人民在健康、生态平衡的环境中生活的权利，同时确保可持续发展，将确保该项不受侵犯，并将坚持保护自然。</w:t>
      </w:r>
    </w:p>
    <w:p w:rsidR="00000000" w:rsidRDefault="00000000">
      <w:pPr>
        <w:rPr>
          <w:rFonts w:hint="eastAsia"/>
        </w:rPr>
      </w:pPr>
      <w:r>
        <w:rPr>
          <w:rFonts w:hint="eastAsia"/>
        </w:rPr>
        <w:tab/>
        <w:t xml:space="preserve">450.  </w:t>
      </w:r>
      <w:r>
        <w:rPr>
          <w:rFonts w:hint="eastAsia"/>
        </w:rPr>
        <w:t>国家将采取行动，以实现以下目标：</w:t>
      </w:r>
    </w:p>
    <w:p w:rsidR="00000000" w:rsidRDefault="00000000">
      <w:pPr>
        <w:numPr>
          <w:ilvl w:val="0"/>
          <w:numId w:val="184"/>
        </w:numPr>
        <w:rPr>
          <w:rFonts w:hint="eastAsia"/>
        </w:rPr>
      </w:pPr>
      <w:r>
        <w:rPr>
          <w:rFonts w:hint="eastAsia"/>
        </w:rPr>
        <w:t>促进公共和私营部门使用无害环境、无污染的替代能源；</w:t>
      </w:r>
    </w:p>
    <w:p w:rsidR="00000000" w:rsidRDefault="00000000">
      <w:pPr>
        <w:numPr>
          <w:ilvl w:val="0"/>
          <w:numId w:val="184"/>
        </w:numPr>
        <w:rPr>
          <w:rFonts w:hint="eastAsia"/>
        </w:rPr>
      </w:pPr>
      <w:r>
        <w:rPr>
          <w:rFonts w:hint="eastAsia"/>
        </w:rPr>
        <w:t>对“绿色”活动给予税收奖励；</w:t>
      </w:r>
    </w:p>
    <w:p w:rsidR="00000000" w:rsidRDefault="00000000">
      <w:pPr>
        <w:numPr>
          <w:ilvl w:val="0"/>
          <w:numId w:val="184"/>
        </w:numPr>
        <w:rPr>
          <w:rFonts w:hint="eastAsia"/>
        </w:rPr>
      </w:pPr>
      <w:r>
        <w:rPr>
          <w:rFonts w:hint="eastAsia"/>
        </w:rPr>
        <w:t>禁止生产、进口、拥有和使用化学、生物和核武器、并禁止在厄瓜多尔领土上引进核废料和有毒废物；</w:t>
      </w:r>
    </w:p>
    <w:p w:rsidR="00000000" w:rsidRDefault="00000000">
      <w:pPr>
        <w:numPr>
          <w:ilvl w:val="0"/>
          <w:numId w:val="184"/>
        </w:numPr>
        <w:rPr>
          <w:rFonts w:hint="eastAsia"/>
          <w:spacing w:val="0"/>
        </w:rPr>
      </w:pPr>
      <w:r>
        <w:rPr>
          <w:rFonts w:hint="eastAsia"/>
          <w:spacing w:val="0"/>
        </w:rPr>
        <w:t>对有用但有毒和有害于个人和环境的物质的进口、销售和使用进行管制。</w:t>
      </w:r>
    </w:p>
    <w:p w:rsidR="00000000" w:rsidRDefault="00000000">
      <w:pPr>
        <w:spacing w:after="320"/>
        <w:rPr>
          <w:rFonts w:hint="eastAsia"/>
        </w:rPr>
      </w:pPr>
      <w:r>
        <w:rPr>
          <w:rFonts w:hint="eastAsia"/>
        </w:rPr>
        <w:tab/>
        <w:t xml:space="preserve">451.  </w:t>
      </w:r>
      <w:r>
        <w:rPr>
          <w:rFonts w:hint="eastAsia"/>
        </w:rPr>
        <w:t>公共卫生部通过</w:t>
      </w:r>
      <w:r>
        <w:rPr>
          <w:rFonts w:hint="eastAsia"/>
        </w:rPr>
        <w:t>1994</w:t>
      </w:r>
      <w:r>
        <w:rPr>
          <w:rFonts w:hint="eastAsia"/>
        </w:rPr>
        <w:t>年</w:t>
      </w:r>
      <w:r>
        <w:rPr>
          <w:rFonts w:hint="eastAsia"/>
        </w:rPr>
        <w:t>4</w:t>
      </w:r>
      <w:r>
        <w:rPr>
          <w:rFonts w:hint="eastAsia"/>
        </w:rPr>
        <w:t>月设立的国家环境卫生司，努力进行环境卫生方面的宣传，并根据一套相应的信息分系统规范、监督和评价环境程序的卫生影响。</w:t>
      </w:r>
    </w:p>
    <w:p w:rsidR="00000000" w:rsidRDefault="00000000">
      <w:pPr>
        <w:pStyle w:val="Heading4"/>
        <w:rPr>
          <w:rFonts w:eastAsia="KaiTi_GB2312" w:hint="eastAsia"/>
          <w:snapToGrid/>
          <w:spacing w:val="0"/>
          <w:u w:val="none"/>
        </w:rPr>
      </w:pPr>
      <w:r>
        <w:rPr>
          <w:rFonts w:eastAsia="KaiTi_GB2312" w:hint="eastAsia"/>
          <w:snapToGrid/>
          <w:spacing w:val="0"/>
          <w:u w:val="none"/>
        </w:rPr>
        <w:t>预防地方病</w:t>
      </w:r>
    </w:p>
    <w:p w:rsidR="00000000" w:rsidRDefault="00000000">
      <w:pPr>
        <w:rPr>
          <w:rFonts w:hint="eastAsia"/>
        </w:rPr>
      </w:pPr>
      <w:r>
        <w:rPr>
          <w:rFonts w:hint="eastAsia"/>
        </w:rPr>
        <w:tab/>
        <w:t xml:space="preserve">452.  </w:t>
      </w:r>
      <w:r>
        <w:rPr>
          <w:rFonts w:hint="eastAsia"/>
        </w:rPr>
        <w:t>过去</w:t>
      </w:r>
      <w:r>
        <w:rPr>
          <w:rFonts w:hint="eastAsia"/>
        </w:rPr>
        <w:t>10</w:t>
      </w:r>
      <w:r>
        <w:rPr>
          <w:rFonts w:hint="eastAsia"/>
        </w:rPr>
        <w:t>年中，厄瓜多尔遭受到许多打击</w:t>
      </w:r>
      <w:r>
        <w:rPr>
          <w:rFonts w:hint="eastAsia"/>
        </w:rPr>
        <w:t>(L</w:t>
      </w:r>
      <w:r>
        <w:t>a Josefina</w:t>
      </w:r>
      <w:r>
        <w:rPr>
          <w:rFonts w:hint="eastAsia"/>
        </w:rPr>
        <w:t>塌方、厄尔尼尔现象、</w:t>
      </w:r>
      <w:r>
        <w:rPr>
          <w:rFonts w:hint="eastAsia"/>
        </w:rPr>
        <w:t>P</w:t>
      </w:r>
      <w:r>
        <w:t>ujilí</w:t>
      </w:r>
      <w:r>
        <w:rPr>
          <w:rFonts w:hint="eastAsia"/>
        </w:rPr>
        <w:t>和</w:t>
      </w:r>
      <w:r>
        <w:rPr>
          <w:rFonts w:hint="eastAsia"/>
        </w:rPr>
        <w:t>B</w:t>
      </w:r>
      <w:r>
        <w:t>ahia de Caráquez</w:t>
      </w:r>
      <w:r>
        <w:rPr>
          <w:rFonts w:hint="eastAsia"/>
        </w:rPr>
        <w:t>地震、</w:t>
      </w:r>
      <w:r>
        <w:rPr>
          <w:rFonts w:hint="eastAsia"/>
        </w:rPr>
        <w:t>P</w:t>
      </w:r>
      <w:r>
        <w:t>ichincha</w:t>
      </w:r>
      <w:r>
        <w:rPr>
          <w:rFonts w:hint="eastAsia"/>
        </w:rPr>
        <w:t>和</w:t>
      </w:r>
      <w:r>
        <w:rPr>
          <w:rFonts w:hint="eastAsia"/>
        </w:rPr>
        <w:t>T</w:t>
      </w:r>
      <w:r>
        <w:t>ungurahua</w:t>
      </w:r>
      <w:r>
        <w:rPr>
          <w:rFonts w:hint="eastAsia"/>
        </w:rPr>
        <w:t>再次火山爆发等等</w:t>
      </w:r>
      <w:r>
        <w:rPr>
          <w:rFonts w:hint="eastAsia"/>
        </w:rPr>
        <w:t>)</w:t>
      </w:r>
      <w:r>
        <w:rPr>
          <w:rFonts w:hint="eastAsia"/>
        </w:rPr>
        <w:t>，这些灾害对人民带来的影响对卫生部门提出了特别的要求。</w:t>
      </w:r>
    </w:p>
    <w:p w:rsidR="00000000" w:rsidRDefault="00000000">
      <w:pPr>
        <w:rPr>
          <w:rFonts w:hint="eastAsia"/>
        </w:rPr>
      </w:pPr>
      <w:r>
        <w:rPr>
          <w:rFonts w:hint="eastAsia"/>
        </w:rPr>
        <w:tab/>
        <w:t xml:space="preserve">453.  </w:t>
      </w:r>
      <w:r>
        <w:rPr>
          <w:rFonts w:hint="eastAsia"/>
        </w:rPr>
        <w:t>公共卫生部通过其卫生司采取的帮助广大公众的决定性行动长期以来大大地减少了潜在的危害；这种行动是在流行病流行观察和防止爆发流行疾病和重点疾病等阶段中采取的。</w:t>
      </w:r>
    </w:p>
    <w:p w:rsidR="00000000" w:rsidRDefault="00000000">
      <w:pPr>
        <w:rPr>
          <w:rFonts w:hint="eastAsia"/>
        </w:rPr>
      </w:pPr>
      <w:r>
        <w:rPr>
          <w:rFonts w:hint="eastAsia"/>
        </w:rPr>
        <w:tab/>
        <w:t xml:space="preserve">454.  </w:t>
      </w:r>
      <w:r>
        <w:rPr>
          <w:rFonts w:hint="eastAsia"/>
        </w:rPr>
        <w:t>该部通过医疗队并在社区的支持下采取的主要行动包括：</w:t>
      </w:r>
    </w:p>
    <w:p w:rsidR="00000000" w:rsidRDefault="00000000">
      <w:pPr>
        <w:numPr>
          <w:ilvl w:val="0"/>
          <w:numId w:val="185"/>
        </w:numPr>
        <w:rPr>
          <w:rFonts w:hint="eastAsia"/>
        </w:rPr>
      </w:pPr>
      <w:r>
        <w:rPr>
          <w:rFonts w:hint="eastAsia"/>
        </w:rPr>
        <w:t>关于卫生教育的社区信息和准备工作；</w:t>
      </w:r>
    </w:p>
    <w:p w:rsidR="00000000" w:rsidRDefault="00000000">
      <w:pPr>
        <w:numPr>
          <w:ilvl w:val="0"/>
          <w:numId w:val="185"/>
        </w:numPr>
        <w:rPr>
          <w:rFonts w:hint="eastAsia"/>
        </w:rPr>
      </w:pPr>
      <w:r>
        <w:rPr>
          <w:rFonts w:hint="eastAsia"/>
        </w:rPr>
        <w:t>在社区支持下通过制造和发放漂白液使用安全用水；</w:t>
      </w:r>
    </w:p>
    <w:p w:rsidR="00000000" w:rsidRDefault="00000000">
      <w:pPr>
        <w:numPr>
          <w:ilvl w:val="0"/>
          <w:numId w:val="185"/>
        </w:numPr>
        <w:rPr>
          <w:rFonts w:hint="eastAsia"/>
        </w:rPr>
      </w:pPr>
      <w:r>
        <w:rPr>
          <w:rFonts w:hint="eastAsia"/>
        </w:rPr>
        <w:t>为预防可预防的儿童疾病、黄热病、狂犬和狂犬病进行疫苗接种；</w:t>
      </w:r>
    </w:p>
    <w:p w:rsidR="00000000" w:rsidRDefault="00000000">
      <w:pPr>
        <w:numPr>
          <w:ilvl w:val="0"/>
          <w:numId w:val="185"/>
        </w:numPr>
        <w:rPr>
          <w:rFonts w:hint="eastAsia"/>
        </w:rPr>
      </w:pPr>
      <w:r>
        <w:rPr>
          <w:rFonts w:hint="eastAsia"/>
        </w:rPr>
        <w:t>在市内市外进行熏蒸和喷雾消毒</w:t>
      </w:r>
      <w:r>
        <w:rPr>
          <w:rFonts w:hint="eastAsia"/>
        </w:rPr>
        <w:t>(</w:t>
      </w:r>
      <w:r>
        <w:rPr>
          <w:rFonts w:hint="eastAsia"/>
        </w:rPr>
        <w:t>购买物品和设备</w:t>
      </w:r>
      <w:r>
        <w:rPr>
          <w:rFonts w:hint="eastAsia"/>
        </w:rPr>
        <w:t>)</w:t>
      </w:r>
      <w:r>
        <w:rPr>
          <w:rFonts w:hint="eastAsia"/>
        </w:rPr>
        <w:t>；</w:t>
      </w:r>
    </w:p>
    <w:p w:rsidR="00000000" w:rsidRDefault="00000000">
      <w:pPr>
        <w:numPr>
          <w:ilvl w:val="0"/>
          <w:numId w:val="185"/>
        </w:numPr>
        <w:rPr>
          <w:rFonts w:hint="eastAsia"/>
        </w:rPr>
      </w:pPr>
      <w:r>
        <w:rPr>
          <w:rFonts w:hint="eastAsia"/>
        </w:rPr>
        <w:t>在社区的支持下消灭蚊子的繁殖场；</w:t>
      </w:r>
    </w:p>
    <w:p w:rsidR="00000000" w:rsidRDefault="00000000">
      <w:pPr>
        <w:numPr>
          <w:ilvl w:val="0"/>
          <w:numId w:val="185"/>
        </w:numPr>
        <w:rPr>
          <w:rFonts w:hint="eastAsia"/>
        </w:rPr>
      </w:pPr>
      <w:r>
        <w:rPr>
          <w:rFonts w:hint="eastAsia"/>
        </w:rPr>
        <w:t>发放抗疟疾的药物和抗伤寒的乳浆；</w:t>
      </w:r>
    </w:p>
    <w:p w:rsidR="00000000" w:rsidRDefault="00000000">
      <w:pPr>
        <w:numPr>
          <w:ilvl w:val="0"/>
          <w:numId w:val="185"/>
        </w:numPr>
        <w:rPr>
          <w:rFonts w:hint="eastAsia"/>
        </w:rPr>
      </w:pPr>
      <w:r>
        <w:rPr>
          <w:rFonts w:hint="eastAsia"/>
        </w:rPr>
        <w:t>在市场上及其他公共场所控制害虫；</w:t>
      </w:r>
    </w:p>
    <w:p w:rsidR="00000000" w:rsidRDefault="00000000">
      <w:pPr>
        <w:numPr>
          <w:ilvl w:val="0"/>
          <w:numId w:val="185"/>
        </w:numPr>
        <w:rPr>
          <w:rFonts w:hint="eastAsia"/>
        </w:rPr>
      </w:pPr>
      <w:r>
        <w:rPr>
          <w:rFonts w:hint="eastAsia"/>
        </w:rPr>
        <w:t>与国家疟疾根治处协调进行传染病媒介控制，在室内室外进行熏蒸和喷雾消毒，以控制疟疾</w:t>
      </w:r>
      <w:r>
        <w:rPr>
          <w:rFonts w:hint="eastAsia"/>
          <w:spacing w:val="-50"/>
        </w:rPr>
        <w:t>―</w:t>
      </w:r>
      <w:r>
        <w:rPr>
          <w:rFonts w:hint="eastAsia"/>
        </w:rPr>
        <w:t>―登革热</w:t>
      </w:r>
      <w:r>
        <w:rPr>
          <w:rFonts w:hint="eastAsia"/>
          <w:spacing w:val="-50"/>
        </w:rPr>
        <w:t>―</w:t>
      </w:r>
      <w:r>
        <w:rPr>
          <w:rFonts w:hint="eastAsia"/>
        </w:rPr>
        <w:t>―带病蚊子的蔓延；</w:t>
      </w:r>
    </w:p>
    <w:p w:rsidR="00000000" w:rsidRDefault="00000000">
      <w:pPr>
        <w:numPr>
          <w:ilvl w:val="0"/>
          <w:numId w:val="185"/>
        </w:numPr>
        <w:spacing w:after="320"/>
        <w:rPr>
          <w:rFonts w:hint="eastAsia"/>
        </w:rPr>
      </w:pPr>
      <w:r>
        <w:rPr>
          <w:rFonts w:hint="eastAsia"/>
        </w:rPr>
        <w:t>对实地工作人员进行动员。</w:t>
      </w:r>
    </w:p>
    <w:p w:rsidR="00000000" w:rsidRDefault="00000000">
      <w:pPr>
        <w:pStyle w:val="Heading4"/>
        <w:rPr>
          <w:rFonts w:eastAsia="KaiTi_GB2312" w:hint="eastAsia"/>
          <w:snapToGrid/>
          <w:spacing w:val="0"/>
          <w:u w:val="none"/>
        </w:rPr>
      </w:pPr>
      <w:r>
        <w:rPr>
          <w:rFonts w:eastAsia="KaiTi_GB2312" w:hint="eastAsia"/>
          <w:snapToGrid/>
          <w:spacing w:val="0"/>
          <w:u w:val="none"/>
        </w:rPr>
        <w:t>公共卫生保健</w:t>
      </w:r>
    </w:p>
    <w:p w:rsidR="00000000" w:rsidRDefault="00000000">
      <w:pPr>
        <w:rPr>
          <w:rFonts w:hint="eastAsia"/>
        </w:rPr>
      </w:pPr>
      <w:r>
        <w:rPr>
          <w:rFonts w:hint="eastAsia"/>
        </w:rPr>
        <w:tab/>
        <w:t>455.  2000</w:t>
      </w:r>
      <w:r>
        <w:rPr>
          <w:rFonts w:hint="eastAsia"/>
        </w:rPr>
        <w:t>年至</w:t>
      </w:r>
      <w:r>
        <w:rPr>
          <w:rFonts w:hint="eastAsia"/>
        </w:rPr>
        <w:t>2005</w:t>
      </w:r>
      <w:r>
        <w:rPr>
          <w:rFonts w:hint="eastAsia"/>
        </w:rPr>
        <w:t>年国家卫生计划为采取行动制订了下列总战略：</w:t>
      </w:r>
    </w:p>
    <w:p w:rsidR="00000000" w:rsidRDefault="00000000">
      <w:pPr>
        <w:numPr>
          <w:ilvl w:val="0"/>
          <w:numId w:val="186"/>
        </w:numPr>
        <w:rPr>
          <w:rFonts w:hint="eastAsia"/>
        </w:rPr>
      </w:pPr>
      <w:r>
        <w:rPr>
          <w:rFonts w:hint="eastAsia"/>
        </w:rPr>
        <w:t>将社会事务当作政治问题来抓，为开展部门间行动开辟道路；</w:t>
      </w:r>
    </w:p>
    <w:p w:rsidR="00000000" w:rsidRDefault="00000000">
      <w:pPr>
        <w:numPr>
          <w:ilvl w:val="0"/>
          <w:numId w:val="186"/>
        </w:numPr>
        <w:rPr>
          <w:rFonts w:hint="eastAsia"/>
        </w:rPr>
      </w:pPr>
      <w:r>
        <w:rPr>
          <w:rFonts w:hint="eastAsia"/>
        </w:rPr>
        <w:t>进行分权、放手、参与式管理，让市政府和民间社会更多地参与；</w:t>
      </w:r>
    </w:p>
    <w:p w:rsidR="00000000" w:rsidRDefault="00000000">
      <w:pPr>
        <w:numPr>
          <w:ilvl w:val="0"/>
          <w:numId w:val="186"/>
        </w:numPr>
        <w:rPr>
          <w:rFonts w:hint="eastAsia"/>
        </w:rPr>
      </w:pPr>
      <w:r>
        <w:rPr>
          <w:rFonts w:hint="eastAsia"/>
        </w:rPr>
        <w:t>对各机构和部门进行管理上的全面检查；</w:t>
      </w:r>
    </w:p>
    <w:p w:rsidR="00000000" w:rsidRDefault="00000000">
      <w:pPr>
        <w:numPr>
          <w:ilvl w:val="0"/>
          <w:numId w:val="186"/>
        </w:numPr>
        <w:rPr>
          <w:rFonts w:hint="eastAsia"/>
        </w:rPr>
      </w:pPr>
      <w:r>
        <w:rPr>
          <w:rFonts w:hint="eastAsia"/>
        </w:rPr>
        <w:t>迎头痛击腐败现象。</w:t>
      </w:r>
    </w:p>
    <w:p w:rsidR="00000000" w:rsidRDefault="00000000">
      <w:pPr>
        <w:rPr>
          <w:rFonts w:hint="eastAsia"/>
        </w:rPr>
      </w:pPr>
      <w:r>
        <w:rPr>
          <w:rFonts w:hint="eastAsia"/>
        </w:rPr>
        <w:tab/>
        <w:t xml:space="preserve">456.  </w:t>
      </w:r>
      <w:r>
        <w:rPr>
          <w:rFonts w:hint="eastAsia"/>
        </w:rPr>
        <w:t>为管理这些变革规定了三个主要重点：</w:t>
      </w:r>
    </w:p>
    <w:p w:rsidR="00000000" w:rsidRDefault="00000000">
      <w:pPr>
        <w:numPr>
          <w:ilvl w:val="0"/>
          <w:numId w:val="187"/>
        </w:numPr>
        <w:rPr>
          <w:rFonts w:hint="eastAsia"/>
        </w:rPr>
      </w:pPr>
      <w:r>
        <w:rPr>
          <w:rFonts w:hint="eastAsia"/>
        </w:rPr>
        <w:t>开发人材；</w:t>
      </w:r>
    </w:p>
    <w:p w:rsidR="00000000" w:rsidRDefault="00000000">
      <w:pPr>
        <w:numPr>
          <w:ilvl w:val="0"/>
          <w:numId w:val="187"/>
        </w:numPr>
        <w:rPr>
          <w:rFonts w:hint="eastAsia"/>
        </w:rPr>
      </w:pPr>
      <w:r>
        <w:rPr>
          <w:rFonts w:hint="eastAsia"/>
        </w:rPr>
        <w:t>将资源分配与产量和成果挂钩；</w:t>
      </w:r>
    </w:p>
    <w:p w:rsidR="00000000" w:rsidRDefault="00000000">
      <w:pPr>
        <w:numPr>
          <w:ilvl w:val="0"/>
          <w:numId w:val="187"/>
        </w:numPr>
        <w:rPr>
          <w:rFonts w:hint="eastAsia"/>
        </w:rPr>
      </w:pPr>
      <w:r>
        <w:rPr>
          <w:rFonts w:hint="eastAsia"/>
        </w:rPr>
        <w:t>自主管理。</w:t>
      </w:r>
    </w:p>
    <w:p w:rsidR="00000000" w:rsidRDefault="00000000">
      <w:pPr>
        <w:rPr>
          <w:rFonts w:hint="eastAsia"/>
        </w:rPr>
      </w:pPr>
      <w:r>
        <w:rPr>
          <w:rFonts w:hint="eastAsia"/>
        </w:rPr>
        <w:tab/>
        <w:t xml:space="preserve">457.  </w:t>
      </w:r>
      <w:r>
        <w:rPr>
          <w:rFonts w:hint="eastAsia"/>
        </w:rPr>
        <w:t>采取行动后第一年即取得了以下成就：</w:t>
      </w:r>
    </w:p>
    <w:p w:rsidR="00000000" w:rsidRDefault="00000000">
      <w:pPr>
        <w:numPr>
          <w:ilvl w:val="0"/>
          <w:numId w:val="188"/>
        </w:numPr>
        <w:rPr>
          <w:rFonts w:hint="eastAsia"/>
        </w:rPr>
      </w:pPr>
      <w:r>
        <w:rPr>
          <w:rFonts w:hint="eastAsia"/>
        </w:rPr>
        <w:t>在地方和省级计划的基础上制订了国家卫生计划；</w:t>
      </w:r>
    </w:p>
    <w:p w:rsidR="00000000" w:rsidRDefault="00000000">
      <w:pPr>
        <w:numPr>
          <w:ilvl w:val="0"/>
          <w:numId w:val="188"/>
        </w:numPr>
        <w:rPr>
          <w:rFonts w:hint="eastAsia"/>
        </w:rPr>
      </w:pPr>
      <w:r>
        <w:rPr>
          <w:rFonts w:hint="eastAsia"/>
        </w:rPr>
        <w:t>颁布行政法令，授权公共卫生部制订分权式卫生服务和自主服务管理模式；</w:t>
      </w:r>
    </w:p>
    <w:p w:rsidR="00000000" w:rsidRDefault="00000000">
      <w:pPr>
        <w:numPr>
          <w:ilvl w:val="0"/>
          <w:numId w:val="188"/>
        </w:numPr>
        <w:rPr>
          <w:rFonts w:hint="eastAsia"/>
        </w:rPr>
      </w:pPr>
      <w:r>
        <w:rPr>
          <w:rFonts w:hint="eastAsia"/>
        </w:rPr>
        <w:t>财政与公共借贷部颁布关于征收有支付能力的用户的捐款收入的协议；</w:t>
      </w:r>
    </w:p>
    <w:p w:rsidR="00000000" w:rsidRDefault="00000000">
      <w:pPr>
        <w:numPr>
          <w:ilvl w:val="0"/>
          <w:numId w:val="188"/>
        </w:numPr>
        <w:rPr>
          <w:rFonts w:hint="eastAsia"/>
        </w:rPr>
      </w:pPr>
      <w:r>
        <w:rPr>
          <w:rFonts w:hint="eastAsia"/>
        </w:rPr>
        <w:t>制订为福利凭票的持有者提供免费医疗的标准，并实行根据人口分类由有支付能力的用户捐款的做法；</w:t>
      </w:r>
    </w:p>
    <w:p w:rsidR="00000000" w:rsidRDefault="00000000">
      <w:pPr>
        <w:numPr>
          <w:ilvl w:val="0"/>
          <w:numId w:val="188"/>
        </w:numPr>
        <w:rPr>
          <w:rFonts w:hint="eastAsia"/>
        </w:rPr>
      </w:pPr>
      <w:r>
        <w:rPr>
          <w:rFonts w:hint="eastAsia"/>
        </w:rPr>
        <w:t>颁布关于将人力资源管理、法律、行政和财政权力下放给省级部门、附属机构、医院和卫生区的部级协议；</w:t>
      </w:r>
    </w:p>
    <w:p w:rsidR="00000000" w:rsidRDefault="00000000">
      <w:pPr>
        <w:numPr>
          <w:ilvl w:val="0"/>
          <w:numId w:val="188"/>
        </w:numPr>
        <w:rPr>
          <w:rFonts w:hint="eastAsia"/>
        </w:rPr>
      </w:pPr>
      <w:r>
        <w:rPr>
          <w:rFonts w:hint="eastAsia"/>
        </w:rPr>
        <w:t>进行机构改革，消灭官僚现象，使公共卫生部变成一个灵活、高效、注重成果的机构，让内部和外部用户均满意；</w:t>
      </w:r>
    </w:p>
    <w:p w:rsidR="00000000" w:rsidRDefault="00000000">
      <w:pPr>
        <w:numPr>
          <w:ilvl w:val="0"/>
          <w:numId w:val="188"/>
        </w:numPr>
        <w:spacing w:after="320"/>
        <w:rPr>
          <w:rFonts w:hint="eastAsia"/>
        </w:rPr>
      </w:pPr>
      <w:r>
        <w:rPr>
          <w:rFonts w:hint="eastAsia"/>
        </w:rPr>
        <w:t>促进地方卫生委员会的工作，进行试点项目，示范应如何组织和运行分权式人人健康保健系统。</w:t>
      </w:r>
    </w:p>
    <w:p w:rsidR="00000000" w:rsidRDefault="00000000">
      <w:pPr>
        <w:pStyle w:val="Heading4"/>
        <w:rPr>
          <w:rFonts w:eastAsia="KaiTi_GB2312" w:hint="eastAsia"/>
          <w:snapToGrid/>
          <w:spacing w:val="0"/>
          <w:u w:val="none"/>
        </w:rPr>
      </w:pPr>
      <w:r>
        <w:rPr>
          <w:rFonts w:eastAsia="KaiTi_GB2312" w:hint="eastAsia"/>
          <w:snapToGrid/>
          <w:spacing w:val="0"/>
          <w:u w:val="none"/>
        </w:rPr>
        <w:t>弱势群体的处境</w:t>
      </w:r>
    </w:p>
    <w:p w:rsidR="00000000" w:rsidRDefault="00000000">
      <w:pPr>
        <w:rPr>
          <w:rFonts w:hint="eastAsia"/>
        </w:rPr>
      </w:pPr>
      <w:r>
        <w:rPr>
          <w:rFonts w:hint="eastAsia"/>
        </w:rPr>
        <w:tab/>
        <w:t xml:space="preserve">458.  </w:t>
      </w:r>
      <w:r>
        <w:rPr>
          <w:rFonts w:hint="eastAsia"/>
        </w:rPr>
        <w:t>厄瓜多尔是一个发展中国家，结构上存在着一些未解决的问题，其中最严重的问题之一是收入低，这使大多数人无法获得卫生保健等维持起码生活水平所需的基础服务。</w:t>
      </w:r>
    </w:p>
    <w:p w:rsidR="00000000" w:rsidRDefault="00000000">
      <w:pPr>
        <w:rPr>
          <w:rFonts w:hint="eastAsia"/>
        </w:rPr>
      </w:pPr>
      <w:r>
        <w:rPr>
          <w:rFonts w:hint="eastAsia"/>
        </w:rPr>
        <w:tab/>
        <w:t xml:space="preserve">459.  </w:t>
      </w:r>
      <w:r>
        <w:rPr>
          <w:rFonts w:hint="eastAsia"/>
        </w:rPr>
        <w:t>卫生是一项基本人权，但已成为厄瓜多尔能获得私人保健服务的少数人的特权。</w:t>
      </w:r>
    </w:p>
    <w:p w:rsidR="00000000" w:rsidRDefault="00000000">
      <w:pPr>
        <w:rPr>
          <w:rFonts w:hint="eastAsia"/>
        </w:rPr>
      </w:pPr>
      <w:r>
        <w:rPr>
          <w:rFonts w:hint="eastAsia"/>
        </w:rPr>
        <w:tab/>
        <w:t xml:space="preserve">460.  </w:t>
      </w:r>
      <w:r>
        <w:rPr>
          <w:rFonts w:hint="eastAsia"/>
        </w:rPr>
        <w:t>缺钱的人无法获得公共卫生服务，因为当他们去公共医院治病时，他们发现这些医院没有办法为病人治病，或由于经常发生的医务人员罢工和劳资冲突而关门；更为严重的是，由于医药费太贵，病人不得不在治愈、半治愈或不治愈之间作选择。</w:t>
      </w:r>
    </w:p>
    <w:p w:rsidR="00000000" w:rsidRDefault="00000000">
      <w:pPr>
        <w:rPr>
          <w:rFonts w:hint="eastAsia"/>
        </w:rPr>
      </w:pPr>
      <w:r>
        <w:rPr>
          <w:rFonts w:hint="eastAsia"/>
        </w:rPr>
        <w:tab/>
        <w:t xml:space="preserve">461.  </w:t>
      </w:r>
      <w:r>
        <w:rPr>
          <w:rFonts w:hint="eastAsia"/>
        </w:rPr>
        <w:t>卫生服务不公平，因此虽然现行《宪法》为全体公民的健康提供保障，而且政府表示决心要重点抓卫生问题，但这仍成为一个令人担忧的社会问题。</w:t>
      </w:r>
    </w:p>
    <w:p w:rsidR="00000000" w:rsidRDefault="00000000">
      <w:pPr>
        <w:spacing w:after="320"/>
        <w:rPr>
          <w:rFonts w:hint="eastAsia"/>
        </w:rPr>
      </w:pPr>
      <w:r>
        <w:rPr>
          <w:rFonts w:hint="eastAsia"/>
        </w:rPr>
        <w:tab/>
        <w:t xml:space="preserve">462.  </w:t>
      </w:r>
      <w:r>
        <w:rPr>
          <w:rFonts w:hint="eastAsia"/>
        </w:rPr>
        <w:t>还有一点很清楚，由于工业发展和人们缺乏环保意识，环境控制问题未引起重视，结果出现了与附近地区的生产有关的疾病，以及食品和水资源慢慢受到毒化。初级服务部门在试图维持过去服务的覆盖范围时也开始感到资源短缺的影响，而且由于缺乏基本投入、工作人员待遇低和积极性不高，医疗质量明显下降。</w:t>
      </w:r>
    </w:p>
    <w:p w:rsidR="00000000" w:rsidRDefault="00000000">
      <w:pPr>
        <w:pStyle w:val="Heading4"/>
        <w:rPr>
          <w:rFonts w:eastAsia="KaiTi_GB2312" w:hint="eastAsia"/>
          <w:snapToGrid/>
          <w:spacing w:val="0"/>
          <w:u w:val="none"/>
        </w:rPr>
      </w:pPr>
      <w:r>
        <w:rPr>
          <w:rFonts w:eastAsia="KaiTi_GB2312" w:hint="eastAsia"/>
          <w:snapToGrid/>
          <w:spacing w:val="0"/>
          <w:u w:val="none"/>
        </w:rPr>
        <w:t>老</w:t>
      </w:r>
      <w:r>
        <w:rPr>
          <w:rFonts w:eastAsia="KaiTi_GB2312"/>
          <w:snapToGrid/>
          <w:spacing w:val="0"/>
          <w:u w:val="none"/>
        </w:rPr>
        <w:t xml:space="preserve"> </w:t>
      </w:r>
      <w:r>
        <w:rPr>
          <w:rFonts w:eastAsia="KaiTi_GB2312" w:hint="eastAsia"/>
          <w:snapToGrid/>
          <w:spacing w:val="0"/>
          <w:u w:val="none"/>
        </w:rPr>
        <w:t>年</w:t>
      </w:r>
      <w:r>
        <w:rPr>
          <w:rFonts w:eastAsia="KaiTi_GB2312"/>
          <w:snapToGrid/>
          <w:spacing w:val="0"/>
          <w:u w:val="none"/>
        </w:rPr>
        <w:t xml:space="preserve"> </w:t>
      </w:r>
      <w:r>
        <w:rPr>
          <w:rFonts w:eastAsia="KaiTi_GB2312" w:hint="eastAsia"/>
          <w:snapToGrid/>
          <w:spacing w:val="0"/>
          <w:u w:val="none"/>
        </w:rPr>
        <w:t>人</w:t>
      </w:r>
    </w:p>
    <w:p w:rsidR="00000000" w:rsidRDefault="00000000">
      <w:pPr>
        <w:rPr>
          <w:rFonts w:hint="eastAsia"/>
        </w:rPr>
      </w:pPr>
      <w:r>
        <w:rPr>
          <w:rFonts w:hint="eastAsia"/>
        </w:rPr>
        <w:tab/>
        <w:t xml:space="preserve">463.  </w:t>
      </w:r>
      <w:r>
        <w:rPr>
          <w:rFonts w:hint="eastAsia"/>
        </w:rPr>
        <w:t>厄瓜多尔《宪法》确定国家法律秩序，并规定应根据人们的意愿和需求组成政府，以及不分年龄为所有厄瓜多尔人提供权利和保障的形式提供多种保护。《老年人法》</w:t>
      </w:r>
      <w:r>
        <w:rPr>
          <w:rFonts w:hint="eastAsia"/>
        </w:rPr>
        <w:t>1991</w:t>
      </w:r>
      <w:r>
        <w:rPr>
          <w:rFonts w:hint="eastAsia"/>
        </w:rPr>
        <w:t>年</w:t>
      </w:r>
      <w:r>
        <w:rPr>
          <w:rFonts w:hint="eastAsia"/>
        </w:rPr>
        <w:t>11</w:t>
      </w:r>
      <w:r>
        <w:rPr>
          <w:rFonts w:hint="eastAsia"/>
        </w:rPr>
        <w:t>月</w:t>
      </w:r>
      <w:r>
        <w:rPr>
          <w:rFonts w:hint="eastAsia"/>
        </w:rPr>
        <w:t>6</w:t>
      </w:r>
      <w:r>
        <w:rPr>
          <w:rFonts w:hint="eastAsia"/>
        </w:rPr>
        <w:t>日第</w:t>
      </w:r>
      <w:r>
        <w:rPr>
          <w:rFonts w:hint="eastAsia"/>
        </w:rPr>
        <w:t>806</w:t>
      </w:r>
      <w:r>
        <w:rPr>
          <w:rFonts w:hint="eastAsia"/>
        </w:rPr>
        <w:t>号《官方公报》上公布的</w:t>
      </w:r>
      <w:r>
        <w:rPr>
          <w:rFonts w:hint="eastAsia"/>
        </w:rPr>
        <w:t>1991</w:t>
      </w:r>
      <w:r>
        <w:rPr>
          <w:rFonts w:hint="eastAsia"/>
        </w:rPr>
        <w:t>年</w:t>
      </w:r>
      <w:r>
        <w:rPr>
          <w:rFonts w:hint="eastAsia"/>
        </w:rPr>
        <w:t>10</w:t>
      </w:r>
      <w:r>
        <w:rPr>
          <w:rFonts w:hint="eastAsia"/>
        </w:rPr>
        <w:t>月</w:t>
      </w:r>
      <w:r>
        <w:rPr>
          <w:rFonts w:hint="eastAsia"/>
        </w:rPr>
        <w:t>17</w:t>
      </w:r>
      <w:r>
        <w:rPr>
          <w:rFonts w:hint="eastAsia"/>
        </w:rPr>
        <w:t>日第</w:t>
      </w:r>
      <w:r>
        <w:rPr>
          <w:rFonts w:hint="eastAsia"/>
        </w:rPr>
        <w:t>130</w:t>
      </w:r>
      <w:r>
        <w:rPr>
          <w:rFonts w:hint="eastAsia"/>
        </w:rPr>
        <w:t>号法令颁布的法律，是一部具有约束力的永久性立法，涉及一个令人关心的问题，规定了</w:t>
      </w:r>
      <w:r>
        <w:rPr>
          <w:rFonts w:hint="eastAsia"/>
        </w:rPr>
        <w:t>65</w:t>
      </w:r>
      <w:r>
        <w:rPr>
          <w:rFonts w:hint="eastAsia"/>
        </w:rPr>
        <w:t>岁以上人的经济、社会和法律利益，并呼吁为他们提供全面医疗援救。</w:t>
      </w:r>
    </w:p>
    <w:p w:rsidR="00000000" w:rsidRDefault="00000000">
      <w:pPr>
        <w:spacing w:after="320"/>
        <w:rPr>
          <w:rFonts w:hint="eastAsia"/>
        </w:rPr>
      </w:pPr>
      <w:r>
        <w:rPr>
          <w:rFonts w:hint="eastAsia"/>
        </w:rPr>
        <w:tab/>
        <w:t xml:space="preserve">464.  </w:t>
      </w:r>
      <w:r>
        <w:rPr>
          <w:rFonts w:hint="eastAsia"/>
        </w:rPr>
        <w:t>该法第</w:t>
      </w:r>
      <w:r>
        <w:rPr>
          <w:rFonts w:hint="eastAsia"/>
        </w:rPr>
        <w:t>3</w:t>
      </w:r>
      <w:r>
        <w:rPr>
          <w:rFonts w:hint="eastAsia"/>
        </w:rPr>
        <w:t>条授权为老年人提供保护和医疗的机构在事前征得社会福利部同意的情况下，可以免税进口医疗用品。经济和社会危机对老年人影响很大，使他们面临被遗弃和被忽视等大量问题。厄瓜多尔的确有专门让老年人受益的法律，但贫困的老年人在现实生活中所面临的具体情况却是另一回事。老年人是最弱势、受保护最差的社会群体之一；他们的收入是有代金券和粮食津贴构成，根本不能为他们提供适当的生活水平，或帮助他们改善生活条件。</w:t>
      </w:r>
    </w:p>
    <w:p w:rsidR="00000000" w:rsidRDefault="00000000">
      <w:pPr>
        <w:pStyle w:val="Heading4"/>
        <w:rPr>
          <w:rFonts w:eastAsia="KaiTi_GB2312" w:hint="eastAsia"/>
          <w:snapToGrid/>
          <w:spacing w:val="0"/>
          <w:u w:val="none"/>
        </w:rPr>
      </w:pPr>
      <w:r>
        <w:rPr>
          <w:rFonts w:eastAsia="KaiTi_GB2312" w:hint="eastAsia"/>
          <w:snapToGrid/>
          <w:spacing w:val="0"/>
          <w:u w:val="none"/>
        </w:rPr>
        <w:t>初级卫生保健</w:t>
      </w:r>
    </w:p>
    <w:p w:rsidR="00000000" w:rsidRDefault="00000000">
      <w:pPr>
        <w:rPr>
          <w:rFonts w:hint="eastAsia"/>
        </w:rPr>
      </w:pPr>
      <w:r>
        <w:rPr>
          <w:rFonts w:hint="eastAsia"/>
        </w:rPr>
        <w:tab/>
        <w:t xml:space="preserve">465.  </w:t>
      </w:r>
      <w:r>
        <w:rPr>
          <w:rFonts w:hint="eastAsia"/>
        </w:rPr>
        <w:t>在这一标题下，应予以考虑的是各不同社会和经济部门创造有利于生活和卫生的条件，从而使卫生部门在国家其他部门、社区和国际合作的支持下能加以鼓励并实行的重要性，并与各社会和经济部门建立联合金融机制，补充和充分利用各种力量和资源，为广大公众改善生活和卫生条件。</w:t>
      </w:r>
    </w:p>
    <w:p w:rsidR="00000000" w:rsidRDefault="00000000">
      <w:pPr>
        <w:rPr>
          <w:rFonts w:hint="eastAsia"/>
        </w:rPr>
      </w:pPr>
      <w:r>
        <w:rPr>
          <w:rFonts w:hint="eastAsia"/>
        </w:rPr>
        <w:tab/>
        <w:t xml:space="preserve">466.  </w:t>
      </w:r>
      <w:r>
        <w:rPr>
          <w:rFonts w:hint="eastAsia"/>
        </w:rPr>
        <w:t>公共卫生部在这一领域有如下政策：</w:t>
      </w:r>
    </w:p>
    <w:p w:rsidR="00000000" w:rsidRDefault="00000000">
      <w:pPr>
        <w:numPr>
          <w:ilvl w:val="0"/>
          <w:numId w:val="178"/>
        </w:numPr>
        <w:rPr>
          <w:rFonts w:hint="eastAsia"/>
        </w:rPr>
      </w:pPr>
      <w:r>
        <w:rPr>
          <w:rFonts w:hint="eastAsia"/>
        </w:rPr>
        <w:t>采取促进卫生工作，开展卫生宣传、教育、交流和社会动员运动的战略，提倡健康的生活习惯、禁止有害行为、鼓励人们学会照顾自己，并为家庭和社区保健承担共同责任；</w:t>
      </w:r>
    </w:p>
    <w:p w:rsidR="00000000" w:rsidRDefault="00000000">
      <w:pPr>
        <w:numPr>
          <w:ilvl w:val="0"/>
          <w:numId w:val="178"/>
        </w:numPr>
        <w:rPr>
          <w:rFonts w:hint="eastAsia"/>
        </w:rPr>
      </w:pPr>
      <w:r>
        <w:rPr>
          <w:rFonts w:hint="eastAsia"/>
        </w:rPr>
        <w:t>通过制订合理利用自然资源</w:t>
      </w:r>
      <w:r>
        <w:rPr>
          <w:rFonts w:hint="eastAsia"/>
        </w:rPr>
        <w:t>(</w:t>
      </w:r>
      <w:r>
        <w:rPr>
          <w:rFonts w:hint="eastAsia"/>
        </w:rPr>
        <w:t>不对环境或人类造成影响</w:t>
      </w:r>
      <w:r>
        <w:rPr>
          <w:rFonts w:hint="eastAsia"/>
        </w:rPr>
        <w:t>)</w:t>
      </w:r>
      <w:r>
        <w:rPr>
          <w:rFonts w:hint="eastAsia"/>
        </w:rPr>
        <w:t>的标准，促进、保护和扩大物质环境、工作和社会环境中的健康条件。将特别重视在缺乏环卫设施的城市和农村地区提供安全用水和其他环卫基础设施；</w:t>
      </w:r>
    </w:p>
    <w:p w:rsidR="00000000" w:rsidRDefault="00000000">
      <w:pPr>
        <w:numPr>
          <w:ilvl w:val="0"/>
          <w:numId w:val="178"/>
        </w:numPr>
        <w:rPr>
          <w:rFonts w:hint="eastAsia"/>
        </w:rPr>
      </w:pPr>
      <w:r>
        <w:rPr>
          <w:rFonts w:hint="eastAsia"/>
        </w:rPr>
        <w:t>行动起来，防治儿童营养不良，包括促进母乳喂养，采取确保全民粮食安全的战略，保证老年人和社会处境不利的群体能获得粮食；</w:t>
      </w:r>
    </w:p>
    <w:p w:rsidR="00000000" w:rsidRDefault="00000000">
      <w:pPr>
        <w:numPr>
          <w:ilvl w:val="0"/>
          <w:numId w:val="178"/>
        </w:numPr>
        <w:rPr>
          <w:rFonts w:hint="eastAsia"/>
        </w:rPr>
      </w:pPr>
      <w:r>
        <w:rPr>
          <w:rFonts w:hint="eastAsia"/>
        </w:rPr>
        <w:t>鼓励公众参与当地卫生和公民管理，让人们能行使其知情权并能争取得到适当的保健；</w:t>
      </w:r>
    </w:p>
    <w:p w:rsidR="00000000" w:rsidRDefault="00000000">
      <w:pPr>
        <w:numPr>
          <w:ilvl w:val="0"/>
          <w:numId w:val="178"/>
        </w:numPr>
        <w:rPr>
          <w:rFonts w:hint="eastAsia"/>
        </w:rPr>
      </w:pPr>
      <w:r>
        <w:rPr>
          <w:rFonts w:hint="eastAsia"/>
        </w:rPr>
        <w:t>预防、控制和监测影响特定人群健康的生物、工作和社会心理危险和疾病；</w:t>
      </w:r>
    </w:p>
    <w:p w:rsidR="00000000" w:rsidRDefault="00000000">
      <w:pPr>
        <w:numPr>
          <w:ilvl w:val="0"/>
          <w:numId w:val="178"/>
        </w:numPr>
        <w:rPr>
          <w:rFonts w:hint="eastAsia"/>
        </w:rPr>
      </w:pPr>
      <w:r>
        <w:rPr>
          <w:rFonts w:hint="eastAsia"/>
        </w:rPr>
        <w:t>实行现有的国家人口计划，其中包括有关性卫生和生殖健康及计划生育的部分；</w:t>
      </w:r>
    </w:p>
    <w:p w:rsidR="00000000" w:rsidRDefault="00000000">
      <w:pPr>
        <w:numPr>
          <w:ilvl w:val="0"/>
          <w:numId w:val="178"/>
        </w:numPr>
        <w:rPr>
          <w:rFonts w:hint="eastAsia"/>
        </w:rPr>
      </w:pPr>
      <w:r>
        <w:rPr>
          <w:rFonts w:hint="eastAsia"/>
        </w:rPr>
        <w:t>对医疗用品、投入和医疗器材及其他与卫生有关的技术的价格和质量进行管制；</w:t>
      </w:r>
    </w:p>
    <w:p w:rsidR="00000000" w:rsidRDefault="00000000">
      <w:pPr>
        <w:numPr>
          <w:ilvl w:val="0"/>
          <w:numId w:val="178"/>
        </w:numPr>
        <w:rPr>
          <w:rFonts w:hint="eastAsia"/>
        </w:rPr>
      </w:pPr>
      <w:r>
        <w:rPr>
          <w:rFonts w:hint="eastAsia"/>
        </w:rPr>
        <w:t>制订和颁布促进社区卫生的合理政策。</w:t>
      </w:r>
      <w:r>
        <w:rPr>
          <w:rFonts w:hint="eastAsia"/>
          <w:b/>
          <w:vertAlign w:val="superscript"/>
        </w:rPr>
        <w:t>64</w:t>
      </w:r>
    </w:p>
    <w:p w:rsidR="00000000" w:rsidRDefault="00000000">
      <w:pPr>
        <w:rPr>
          <w:rFonts w:hint="eastAsia"/>
        </w:rPr>
      </w:pPr>
      <w:r>
        <w:rPr>
          <w:rFonts w:hint="eastAsia"/>
        </w:rPr>
        <w:tab/>
        <w:t xml:space="preserve">467.  </w:t>
      </w:r>
      <w:r>
        <w:rPr>
          <w:rFonts w:hint="eastAsia"/>
        </w:rPr>
        <w:t>以上一切所依据的前提是，公共卫生需要进行分权和分层次的分析，以指导不同人群所采取的不同行动，这些不同人群不仅是按传统的年龄和性别这种传统的生物类别划分的，而且是更具说明力的并根据各不同人群的生活条件确定的社会类别来划分的。</w:t>
      </w:r>
      <w:r>
        <w:rPr>
          <w:rFonts w:hint="eastAsia"/>
          <w:b/>
          <w:vertAlign w:val="superscript"/>
        </w:rPr>
        <w:t>65</w:t>
      </w:r>
      <w:r>
        <w:rPr>
          <w:rFonts w:hint="eastAsia"/>
        </w:rPr>
        <w:t xml:space="preserve"> </w:t>
      </w:r>
      <w:r>
        <w:rPr>
          <w:rFonts w:hint="eastAsia"/>
        </w:rPr>
        <w:t>这是与公共卫生部过去</w:t>
      </w:r>
      <w:r>
        <w:rPr>
          <w:rFonts w:hint="eastAsia"/>
        </w:rPr>
        <w:t>15</w:t>
      </w:r>
      <w:r>
        <w:rPr>
          <w:rFonts w:hint="eastAsia"/>
        </w:rPr>
        <w:t>年以来的管理最有关的一个进程，可以通过该部自</w:t>
      </w:r>
      <w:r>
        <w:rPr>
          <w:rFonts w:hint="eastAsia"/>
        </w:rPr>
        <w:t>1992</w:t>
      </w:r>
      <w:r>
        <w:rPr>
          <w:rFonts w:hint="eastAsia"/>
        </w:rPr>
        <w:t>年以来一直在执行的社会发展、卫生与营养项目，按“卫生区域”的地理界线来组织保健工作。这一进程似乎主要涉及公共卫生部对各卫生单位下放权利的工作，毫无疑问，表明了地方参与工作的好处，可以实现更公正、更有效地利用有限的资源。新的《权力下放与社会参与法》和《宪法》要求所开辟的前景，加快了以市为依据下放服务管理权利的步伐，许多市可以单独参与或集体参与为市民促进保健工作的活动；并带头签订从中央政府转移责任和权力须服从公共卫生部对本部门的指导的协议。此外，该部由世界银行供资的实现卫生服务现代化的新项目旨在通过建立多方位保健网络，调整地方管理和筹资系统，让市政府通过使本地发展计划包括卫生方面的工作而发挥重要作用，在卫生部门活跃的各机构的支持下，创造一种使人们普遍受惠的分权式制度。</w:t>
      </w:r>
    </w:p>
    <w:p w:rsidR="00000000" w:rsidRDefault="00000000">
      <w:pPr>
        <w:spacing w:after="320"/>
        <w:rPr>
          <w:rFonts w:hint="eastAsia"/>
        </w:rPr>
      </w:pPr>
      <w:r>
        <w:rPr>
          <w:rFonts w:hint="eastAsia"/>
        </w:rPr>
        <w:tab/>
        <w:t xml:space="preserve">468.  </w:t>
      </w:r>
      <w:r>
        <w:rPr>
          <w:rFonts w:hint="eastAsia"/>
        </w:rPr>
        <w:t>总之，保健工作的放手和分权，是卫生部门改革的关键所在。随着这一工作的开展，将能建立新的管理模式，从而提高卫生服务的负荷能力，满足公众的重点要求，在目前正在全国范围内建立的州和省系统的基础上，建立一套坚实、能动和灵活的国家卫生体系。</w:t>
      </w:r>
      <w:r>
        <w:rPr>
          <w:rFonts w:hint="eastAsia"/>
          <w:b/>
          <w:vertAlign w:val="superscript"/>
        </w:rPr>
        <w:t>66</w:t>
      </w:r>
    </w:p>
    <w:p w:rsidR="00000000" w:rsidRDefault="00000000">
      <w:pPr>
        <w:pStyle w:val="Heading4"/>
        <w:rPr>
          <w:rFonts w:hint="eastAsia"/>
        </w:rPr>
      </w:pPr>
      <w:r>
        <w:rPr>
          <w:rFonts w:hint="eastAsia"/>
        </w:rPr>
        <w:t>教育与卫生</w:t>
      </w:r>
    </w:p>
    <w:p w:rsidR="00000000" w:rsidRDefault="00000000">
      <w:pPr>
        <w:rPr>
          <w:rFonts w:hint="eastAsia"/>
        </w:rPr>
      </w:pPr>
      <w:r>
        <w:rPr>
          <w:rFonts w:hint="eastAsia"/>
        </w:rPr>
        <w:tab/>
        <w:t xml:space="preserve">469.  </w:t>
      </w:r>
      <w:r>
        <w:rPr>
          <w:rFonts w:hint="eastAsia"/>
        </w:rPr>
        <w:t>卫生方案中包括卫生工作的促进与保护、疾病预防、治疗和康复。</w:t>
      </w:r>
    </w:p>
    <w:p w:rsidR="00000000" w:rsidRDefault="00000000">
      <w:pPr>
        <w:rPr>
          <w:rFonts w:hint="eastAsia"/>
        </w:rPr>
      </w:pPr>
      <w:r>
        <w:rPr>
          <w:rFonts w:hint="eastAsia"/>
        </w:rPr>
        <w:tab/>
        <w:t xml:space="preserve">470.  </w:t>
      </w:r>
      <w:r>
        <w:rPr>
          <w:rFonts w:hint="eastAsia"/>
        </w:rPr>
        <w:t>卫生工作的促进与保护活动</w:t>
      </w:r>
      <w:r>
        <w:rPr>
          <w:rFonts w:hint="eastAsia"/>
        </w:rPr>
        <w:t>(</w:t>
      </w:r>
      <w:r>
        <w:rPr>
          <w:rFonts w:hint="eastAsia"/>
        </w:rPr>
        <w:t>与卫生服务部门对这些活动的管理一样</w:t>
      </w:r>
      <w:r>
        <w:rPr>
          <w:rFonts w:hint="eastAsia"/>
        </w:rPr>
        <w:t>)</w:t>
      </w:r>
      <w:r>
        <w:rPr>
          <w:rFonts w:hint="eastAsia"/>
        </w:rPr>
        <w:t>根植于对公民参与的积极鼓励。公民的参与可以通过国家、省和地方代表委员会和机构来确保。将加大力度，增设这种委员会和机构。将通过针对全部门采取行动的方式，促进健康学校、健康学院和健康城市的活动，并营造一种有利于卫生的公民文化。</w:t>
      </w:r>
    </w:p>
    <w:p w:rsidR="00000000" w:rsidRDefault="00000000">
      <w:pPr>
        <w:rPr>
          <w:rFonts w:hint="eastAsia"/>
        </w:rPr>
      </w:pPr>
      <w:r>
        <w:rPr>
          <w:rFonts w:hint="eastAsia"/>
        </w:rPr>
        <w:tab/>
        <w:t xml:space="preserve">471.  </w:t>
      </w:r>
      <w:r>
        <w:rPr>
          <w:rFonts w:hint="eastAsia"/>
        </w:rPr>
        <w:t>还有旨在鼓励采取健康的生活方式与行为</w:t>
      </w:r>
      <w:r>
        <w:rPr>
          <w:rFonts w:hint="eastAsia"/>
        </w:rPr>
        <w:t>(</w:t>
      </w:r>
      <w:r>
        <w:rPr>
          <w:rFonts w:hint="eastAsia"/>
        </w:rPr>
        <w:t>例如适当的营养和卫生做法</w:t>
      </w:r>
      <w:r>
        <w:rPr>
          <w:rFonts w:hint="eastAsia"/>
        </w:rPr>
        <w:t>)</w:t>
      </w:r>
      <w:r>
        <w:rPr>
          <w:rFonts w:hint="eastAsia"/>
        </w:rPr>
        <w:t>以及避免有害行为和习惯</w:t>
      </w:r>
      <w:r>
        <w:rPr>
          <w:rFonts w:hint="eastAsia"/>
        </w:rPr>
        <w:t>(</w:t>
      </w:r>
      <w:r>
        <w:rPr>
          <w:rFonts w:hint="eastAsia"/>
        </w:rPr>
        <w:t>例如吸烟和常坐的生活习惯</w:t>
      </w:r>
      <w:r>
        <w:rPr>
          <w:rFonts w:hint="eastAsia"/>
        </w:rPr>
        <w:t>)</w:t>
      </w:r>
      <w:r>
        <w:rPr>
          <w:rFonts w:hint="eastAsia"/>
        </w:rPr>
        <w:t>的宣传、教育和交流活动。</w:t>
      </w:r>
    </w:p>
    <w:p w:rsidR="00000000" w:rsidRDefault="00000000">
      <w:pPr>
        <w:rPr>
          <w:rFonts w:hint="eastAsia"/>
        </w:rPr>
      </w:pPr>
      <w:r>
        <w:rPr>
          <w:rFonts w:hint="eastAsia"/>
        </w:rPr>
        <w:tab/>
        <w:t xml:space="preserve">472.  </w:t>
      </w:r>
      <w:r>
        <w:rPr>
          <w:rFonts w:hint="eastAsia"/>
        </w:rPr>
        <w:t>已发起了若干方案：</w:t>
      </w:r>
    </w:p>
    <w:p w:rsidR="00000000" w:rsidRDefault="00000000">
      <w:pPr>
        <w:numPr>
          <w:ilvl w:val="0"/>
          <w:numId w:val="179"/>
        </w:numPr>
        <w:rPr>
          <w:rFonts w:hint="eastAsia"/>
        </w:rPr>
      </w:pPr>
      <w:r>
        <w:rPr>
          <w:rFonts w:hint="eastAsia"/>
        </w:rPr>
        <w:t>粮食与营养方案</w:t>
      </w:r>
      <w:r>
        <w:rPr>
          <w:rFonts w:hint="eastAsia"/>
        </w:rPr>
        <w:t>(</w:t>
      </w:r>
      <w:r>
        <w:rPr>
          <w:rFonts w:hint="eastAsia"/>
        </w:rPr>
        <w:t>粮食营养方案</w:t>
      </w:r>
      <w:r>
        <w:rPr>
          <w:rFonts w:hint="eastAsia"/>
        </w:rPr>
        <w:t>2000)</w:t>
      </w:r>
      <w:r>
        <w:rPr>
          <w:rFonts w:hint="eastAsia"/>
        </w:rPr>
        <w:t>包括为营养不良或有营养不良危险的两岁以下以及有危险的孕妇补充粮食；</w:t>
      </w:r>
    </w:p>
    <w:p w:rsidR="00000000" w:rsidRDefault="00000000">
      <w:pPr>
        <w:numPr>
          <w:ilvl w:val="0"/>
          <w:numId w:val="179"/>
        </w:numPr>
        <w:rPr>
          <w:rFonts w:hint="eastAsia"/>
        </w:rPr>
      </w:pPr>
      <w:r>
        <w:rPr>
          <w:rFonts w:hint="eastAsia"/>
        </w:rPr>
        <w:t>通过为改进活动监督与评价提供自动化与后勤支持，加强粮食与营养监督系统；</w:t>
      </w:r>
    </w:p>
    <w:p w:rsidR="00000000" w:rsidRDefault="00000000">
      <w:pPr>
        <w:numPr>
          <w:ilvl w:val="0"/>
          <w:numId w:val="179"/>
        </w:numPr>
        <w:rPr>
          <w:rFonts w:hint="eastAsia"/>
        </w:rPr>
      </w:pPr>
      <w:r>
        <w:rPr>
          <w:rFonts w:hint="eastAsia"/>
        </w:rPr>
        <w:t>补充粮食方案，为全国患中度或严重营养不良症的儿童和体重不足的孕妇提供口粮。计划通过开展机构间工作</w:t>
      </w:r>
      <w:r>
        <w:rPr>
          <w:rFonts w:hint="eastAsia"/>
        </w:rPr>
        <w:t>(</w:t>
      </w:r>
      <w:r>
        <w:rPr>
          <w:rFonts w:hint="eastAsia"/>
        </w:rPr>
        <w:t>挽救儿童行动、国家儿童与家庭局、教育部、</w:t>
      </w:r>
      <w:r>
        <w:rPr>
          <w:rFonts w:hint="eastAsia"/>
        </w:rPr>
        <w:t>CARE)</w:t>
      </w:r>
      <w:r>
        <w:rPr>
          <w:rFonts w:hint="eastAsia"/>
        </w:rPr>
        <w:t>稳步扩大覆盖范围；</w:t>
      </w:r>
    </w:p>
    <w:p w:rsidR="00000000" w:rsidRDefault="00000000">
      <w:pPr>
        <w:numPr>
          <w:ilvl w:val="0"/>
          <w:numId w:val="179"/>
        </w:numPr>
        <w:rPr>
          <w:rFonts w:hint="eastAsia"/>
        </w:rPr>
      </w:pPr>
      <w:r>
        <w:rPr>
          <w:rFonts w:hint="eastAsia"/>
        </w:rPr>
        <w:t>综合微量元素方案，其中包括为孕妇和一岁以下的儿童补充微量元素、铁和维生素</w:t>
      </w:r>
      <w:r>
        <w:rPr>
          <w:rFonts w:hint="eastAsia"/>
        </w:rPr>
        <w:t>A</w:t>
      </w:r>
      <w:r>
        <w:rPr>
          <w:rFonts w:hint="eastAsia"/>
        </w:rPr>
        <w:t>。该方案在全国范围开展，由全国各业务单位执行，并得到公共卫生部和国际合作的支持。此外，还在基本粮食和面粉中增加铁、叶酸、复合</w:t>
      </w:r>
      <w:r>
        <w:rPr>
          <w:rFonts w:hint="eastAsia"/>
        </w:rPr>
        <w:t>B</w:t>
      </w:r>
      <w:r>
        <w:rPr>
          <w:rFonts w:hint="eastAsia"/>
        </w:rPr>
        <w:t>维生素、抗癞皮病维生素以及氟化和碘化盐；</w:t>
      </w:r>
    </w:p>
    <w:p w:rsidR="00000000" w:rsidRDefault="00000000">
      <w:pPr>
        <w:numPr>
          <w:ilvl w:val="0"/>
          <w:numId w:val="179"/>
        </w:numPr>
        <w:rPr>
          <w:rFonts w:hint="eastAsia"/>
        </w:rPr>
      </w:pPr>
      <w:r>
        <w:rPr>
          <w:rFonts w:hint="eastAsia"/>
        </w:rPr>
        <w:t>粮食教育方案。上述所有方案均含有进行营养宣传、教育和交流的内容，以鼓励人们更好地利用当地供应的粮食，采用适当喂养和营养的做法，并同时摒弃有害行为，编制和运用关于各种粮食的营养指南、适于女性的电台节目“购物指南”以及如营养咨询等创新教育技巧手段；</w:t>
      </w:r>
    </w:p>
    <w:p w:rsidR="00000000" w:rsidRDefault="00000000">
      <w:pPr>
        <w:numPr>
          <w:ilvl w:val="0"/>
          <w:numId w:val="179"/>
        </w:numPr>
        <w:rPr>
          <w:rFonts w:hint="eastAsia"/>
        </w:rPr>
      </w:pPr>
      <w:r>
        <w:rPr>
          <w:rFonts w:hint="eastAsia"/>
        </w:rPr>
        <w:t>儿童关爱方案。全面治疗儿童流行病。监测儿童发育和发展情况，及时了解哪些儿童营养不足，哪些儿童有营养不良的危险，会有精神性肌肉运动发展困难；</w:t>
      </w:r>
    </w:p>
    <w:p w:rsidR="00000000" w:rsidRDefault="00000000">
      <w:pPr>
        <w:numPr>
          <w:ilvl w:val="0"/>
          <w:numId w:val="179"/>
        </w:numPr>
        <w:rPr>
          <w:rFonts w:hint="eastAsia"/>
        </w:rPr>
      </w:pPr>
      <w:r>
        <w:rPr>
          <w:rFonts w:hint="eastAsia"/>
        </w:rPr>
        <w:t>预防和控制常见疾病，尤其是呼吸和消化系统的疾病；</w:t>
      </w:r>
    </w:p>
    <w:p w:rsidR="00000000" w:rsidRDefault="00000000">
      <w:pPr>
        <w:numPr>
          <w:ilvl w:val="0"/>
          <w:numId w:val="179"/>
        </w:numPr>
        <w:rPr>
          <w:rFonts w:hint="eastAsia"/>
        </w:rPr>
      </w:pPr>
      <w:r>
        <w:rPr>
          <w:rFonts w:hint="eastAsia"/>
        </w:rPr>
        <w:t>扩大的疫苗接种方案。维持现有疫苗的一定覆盖范围，逐渐采用抗德国麻疹、流行性腮腺炎、乙型肝炎和脑膜炎的新疫苗；用于育龄妇女和在危险地区抗黄热病的疫苗加强剂；</w:t>
      </w:r>
    </w:p>
    <w:p w:rsidR="00000000" w:rsidRDefault="00000000">
      <w:pPr>
        <w:numPr>
          <w:ilvl w:val="0"/>
          <w:numId w:val="179"/>
        </w:numPr>
        <w:rPr>
          <w:rFonts w:hint="eastAsia"/>
        </w:rPr>
      </w:pPr>
      <w:r>
        <w:rPr>
          <w:rFonts w:hint="eastAsia"/>
        </w:rPr>
        <w:t>学校关爱方案，争取通过定期对各类学校进行访问的方式，包括通过与教育部协调进行流动队访问的方式，开展活动；</w:t>
      </w:r>
    </w:p>
    <w:p w:rsidR="00000000" w:rsidRDefault="00000000">
      <w:pPr>
        <w:numPr>
          <w:ilvl w:val="0"/>
          <w:numId w:val="179"/>
        </w:numPr>
        <w:rPr>
          <w:rFonts w:hint="eastAsia"/>
        </w:rPr>
      </w:pPr>
      <w:r>
        <w:rPr>
          <w:rFonts w:hint="eastAsia"/>
        </w:rPr>
        <w:t>预防性和治疗性检查、治疗视力和听力问题。口腔卫生教育、加氟和预防性及治疗性检查；</w:t>
      </w:r>
    </w:p>
    <w:p w:rsidR="00000000" w:rsidRDefault="00000000">
      <w:pPr>
        <w:numPr>
          <w:ilvl w:val="0"/>
          <w:numId w:val="179"/>
        </w:numPr>
        <w:rPr>
          <w:rFonts w:hint="eastAsia"/>
        </w:rPr>
      </w:pPr>
      <w:r>
        <w:rPr>
          <w:rFonts w:hint="eastAsia"/>
        </w:rPr>
        <w:t>心理保健，早期诊断和处理学习障碍；</w:t>
      </w:r>
    </w:p>
    <w:p w:rsidR="00000000" w:rsidRDefault="00000000">
      <w:pPr>
        <w:numPr>
          <w:ilvl w:val="0"/>
          <w:numId w:val="179"/>
        </w:numPr>
        <w:spacing w:after="320"/>
        <w:rPr>
          <w:rFonts w:hint="eastAsia"/>
        </w:rPr>
      </w:pPr>
      <w:r>
        <w:rPr>
          <w:rFonts w:hint="eastAsia"/>
        </w:rPr>
        <w:t>消灭体内寄生虫。</w:t>
      </w:r>
    </w:p>
    <w:p w:rsidR="00000000" w:rsidRDefault="00000000">
      <w:pPr>
        <w:pStyle w:val="Heading4"/>
        <w:rPr>
          <w:rFonts w:eastAsia="KaiTi_GB2312" w:hint="eastAsia"/>
          <w:snapToGrid/>
          <w:spacing w:val="0"/>
          <w:u w:val="none"/>
        </w:rPr>
      </w:pPr>
      <w:r>
        <w:rPr>
          <w:rFonts w:eastAsia="KaiTi_GB2312" w:hint="eastAsia"/>
          <w:snapToGrid/>
          <w:spacing w:val="0"/>
          <w:u w:val="none"/>
        </w:rPr>
        <w:t>性卫生与生殖健康方案</w:t>
      </w:r>
    </w:p>
    <w:p w:rsidR="00000000" w:rsidRDefault="00000000">
      <w:pPr>
        <w:rPr>
          <w:rFonts w:hint="eastAsia"/>
        </w:rPr>
      </w:pPr>
      <w:r>
        <w:rPr>
          <w:rFonts w:hint="eastAsia"/>
        </w:rPr>
        <w:tab/>
        <w:t xml:space="preserve">473.  </w:t>
      </w:r>
      <w:r>
        <w:rPr>
          <w:rFonts w:hint="eastAsia"/>
        </w:rPr>
        <w:t>健康母性。进行产前和产后保健，争取扩大覆盖范围，突出重点。妊娠期间进行营养教育，宣传母乳喂养。鼓励在适当设施分娩，尤其是生活在农村地区的妇女，确保及早发现危险，及时送往有适当医务人员的单位，实行产科手术，并确保能快速从血库中调血。</w:t>
      </w:r>
    </w:p>
    <w:p w:rsidR="00000000" w:rsidRDefault="00000000">
      <w:pPr>
        <w:rPr>
          <w:rFonts w:hint="eastAsia"/>
        </w:rPr>
      </w:pPr>
      <w:r>
        <w:rPr>
          <w:rFonts w:hint="eastAsia"/>
        </w:rPr>
        <w:tab/>
        <w:t xml:space="preserve">474.  </w:t>
      </w:r>
      <w:r>
        <w:rPr>
          <w:rFonts w:hint="eastAsia"/>
        </w:rPr>
        <w:t>这些方案中还包括母亲在卫生服务单位的膳宿问题，《免费生育法》的执行，采取行动预防和处理家庭暴力，计划生育</w:t>
      </w:r>
      <w:r>
        <w:rPr>
          <w:rFonts w:hint="eastAsia"/>
        </w:rPr>
        <w:t>(</w:t>
      </w:r>
      <w:r>
        <w:rPr>
          <w:rFonts w:hint="eastAsia"/>
        </w:rPr>
        <w:t>应采取包括与夫妇双方为对象鼓励在知情的情况下作出正确决定在内的综合途径</w:t>
      </w:r>
      <w:r>
        <w:rPr>
          <w:rFonts w:hint="eastAsia"/>
        </w:rPr>
        <w:t>)</w:t>
      </w:r>
      <w:r>
        <w:rPr>
          <w:rFonts w:hint="eastAsia"/>
        </w:rPr>
        <w:t>，预防和控制性传染疾病，在教育中强调预防艾滋病毒</w:t>
      </w:r>
      <w:r>
        <w:rPr>
          <w:rFonts w:hint="eastAsia"/>
        </w:rPr>
        <w:t>/</w:t>
      </w:r>
      <w:r>
        <w:rPr>
          <w:rFonts w:hint="eastAsia"/>
        </w:rPr>
        <w:t>艾滋病的问题，及时预防和控制子宫癌、乳腺癌和前列腺癌，鼓励与厄瓜多尔癌症学会及其服务单位进行继续联系。</w:t>
      </w:r>
    </w:p>
    <w:p w:rsidR="00000000" w:rsidRDefault="00000000">
      <w:pPr>
        <w:rPr>
          <w:rFonts w:hint="eastAsia"/>
        </w:rPr>
      </w:pPr>
      <w:r>
        <w:rPr>
          <w:rFonts w:hint="eastAsia"/>
        </w:rPr>
        <w:tab/>
        <w:t xml:space="preserve">475.  </w:t>
      </w:r>
      <w:r>
        <w:rPr>
          <w:rFonts w:hint="eastAsia"/>
        </w:rPr>
        <w:t>为青少年开展综合保健方案：预防和处理早孕问题，预防和治疗性传染疾病，防止吸毒、酗酒和吸烟。</w:t>
      </w:r>
    </w:p>
    <w:p w:rsidR="00000000" w:rsidRDefault="00000000">
      <w:r>
        <w:rPr>
          <w:rFonts w:hint="eastAsia"/>
        </w:rPr>
        <w:tab/>
        <w:t xml:space="preserve">476.  </w:t>
      </w:r>
      <w:r>
        <w:rPr>
          <w:rFonts w:hint="eastAsia"/>
        </w:rPr>
        <w:t>处理流行传染病的方案。预防和治疗疟疾及其他传病媒介的疾病，结核病、狂犬病及其他具有全国流行性的疾病。</w:t>
      </w:r>
    </w:p>
    <w:p w:rsidR="00000000" w:rsidRDefault="00000000">
      <w:pPr>
        <w:rPr>
          <w:rFonts w:hint="eastAsia"/>
        </w:rPr>
      </w:pPr>
      <w:r>
        <w:tab/>
        <w:t xml:space="preserve">477.  </w:t>
      </w:r>
      <w:r>
        <w:rPr>
          <w:rFonts w:hint="eastAsia"/>
        </w:rPr>
        <w:t>处理非流行传染病的方案。预防和控制高血压、心脏病和脑血管疾病、癌症、糖尿病、交通事故、暴力现象以及具有全国流行性的精神病。</w:t>
      </w:r>
    </w:p>
    <w:p w:rsidR="00000000" w:rsidRDefault="00000000">
      <w:pPr>
        <w:spacing w:after="320"/>
        <w:rPr>
          <w:rFonts w:hint="eastAsia"/>
          <w:vertAlign w:val="superscript"/>
        </w:rPr>
      </w:pPr>
      <w:r>
        <w:rPr>
          <w:rFonts w:hint="eastAsia"/>
        </w:rPr>
        <w:tab/>
        <w:t xml:space="preserve">478.  </w:t>
      </w:r>
      <w:r>
        <w:rPr>
          <w:rFonts w:hint="eastAsia"/>
        </w:rPr>
        <w:t>残疾人和老年人保健。为老年人提供替代综合保健形式，其中包括预防保健和鼓励老年人老有所为；另外，与全国残疾人委员会合作，认定和承认残疾人的身份，使其有资格享有其应享有的权利。</w:t>
      </w:r>
      <w:r>
        <w:rPr>
          <w:rFonts w:hint="eastAsia"/>
          <w:b/>
          <w:vertAlign w:val="superscript"/>
        </w:rPr>
        <w:t>67</w:t>
      </w:r>
    </w:p>
    <w:p w:rsidR="00000000" w:rsidRDefault="00000000">
      <w:pPr>
        <w:pStyle w:val="Heading4"/>
        <w:rPr>
          <w:rFonts w:eastAsia="KaiTi_GB2312" w:hint="eastAsia"/>
          <w:snapToGrid/>
          <w:spacing w:val="0"/>
          <w:u w:val="none"/>
        </w:rPr>
      </w:pPr>
      <w:r>
        <w:rPr>
          <w:rFonts w:eastAsia="KaiTi_GB2312" w:hint="eastAsia"/>
          <w:snapToGrid/>
          <w:spacing w:val="0"/>
          <w:u w:val="none"/>
        </w:rPr>
        <w:t>国际援助</w:t>
      </w:r>
    </w:p>
    <w:p w:rsidR="00000000" w:rsidRDefault="00000000">
      <w:pPr>
        <w:rPr>
          <w:rFonts w:hint="eastAsia"/>
        </w:rPr>
      </w:pPr>
      <w:r>
        <w:rPr>
          <w:rFonts w:hint="eastAsia"/>
        </w:rPr>
        <w:tab/>
        <w:t xml:space="preserve">479.  </w:t>
      </w:r>
      <w:r>
        <w:rPr>
          <w:rFonts w:hint="eastAsia"/>
        </w:rPr>
        <w:t>公共卫生部目前执行的方案部分是由国际援助机构供资的。</w:t>
      </w:r>
    </w:p>
    <w:p w:rsidR="00000000" w:rsidRDefault="00000000">
      <w:pPr>
        <w:spacing w:after="320"/>
        <w:rPr>
          <w:rFonts w:hint="eastAsia"/>
        </w:rPr>
      </w:pPr>
      <w:r>
        <w:rPr>
          <w:rFonts w:hint="eastAsia"/>
        </w:rPr>
        <w:tab/>
        <w:t xml:space="preserve">480.  </w:t>
      </w:r>
      <w:r>
        <w:rPr>
          <w:rFonts w:hint="eastAsia"/>
        </w:rPr>
        <w:t>该部在每一个具体领域均得到了开发署、泛美卫生组织</w:t>
      </w:r>
      <w:r>
        <w:rPr>
          <w:rFonts w:hint="eastAsia"/>
        </w:rPr>
        <w:t>/</w:t>
      </w:r>
      <w:r>
        <w:rPr>
          <w:rFonts w:hint="eastAsia"/>
        </w:rPr>
        <w:t>世界卫生组织、儿童基金、粮食计划署、粮农组织等联合国机构的支持：儿童基金尤其执行了旨在改善特别是母亲和儿童的保健的方案。还有一些为实现特定目标而与其他发展方案执行的项目，例如加拿大提供援助捐赠粮食“换货币”</w:t>
      </w:r>
      <w:r>
        <w:rPr>
          <w:rFonts w:hint="eastAsia"/>
        </w:rPr>
        <w:t>(</w:t>
      </w:r>
      <w:r>
        <w:rPr>
          <w:rFonts w:hint="eastAsia"/>
        </w:rPr>
        <w:t>出售粮食筹集当地货币</w:t>
      </w:r>
      <w:r>
        <w:rPr>
          <w:rFonts w:hint="eastAsia"/>
        </w:rPr>
        <w:t>)</w:t>
      </w:r>
      <w:r>
        <w:rPr>
          <w:rFonts w:hint="eastAsia"/>
        </w:rPr>
        <w:t>并利用所得收益为结核病控制方案供资。法国决心提供援助，发展卫生区域。</w:t>
      </w:r>
    </w:p>
    <w:p w:rsidR="00000000" w:rsidRDefault="00000000">
      <w:pPr>
        <w:pStyle w:val="Heading3"/>
        <w:rPr>
          <w:rFonts w:hint="eastAsia"/>
        </w:rPr>
      </w:pPr>
      <w:r>
        <w:rPr>
          <w:rFonts w:hint="eastAsia"/>
        </w:rPr>
        <w:t>第</w:t>
      </w:r>
      <w:r>
        <w:t xml:space="preserve"> </w:t>
      </w:r>
      <w:r>
        <w:rPr>
          <w:rFonts w:hint="eastAsia"/>
        </w:rPr>
        <w:t>十三</w:t>
      </w:r>
      <w:r>
        <w:t xml:space="preserve"> </w:t>
      </w:r>
      <w:r>
        <w:rPr>
          <w:rFonts w:hint="eastAsia"/>
        </w:rPr>
        <w:t>条</w:t>
      </w:r>
    </w:p>
    <w:p w:rsidR="00000000" w:rsidRDefault="00000000">
      <w:pPr>
        <w:pStyle w:val="Heading4"/>
        <w:rPr>
          <w:rFonts w:hint="eastAsia"/>
        </w:rPr>
      </w:pPr>
      <w:r>
        <w:rPr>
          <w:rFonts w:hint="eastAsia"/>
        </w:rPr>
        <w:t>受教育的权利</w:t>
      </w:r>
    </w:p>
    <w:p w:rsidR="00000000" w:rsidRDefault="00000000">
      <w:pPr>
        <w:rPr>
          <w:rFonts w:hint="eastAsia"/>
        </w:rPr>
      </w:pPr>
      <w:r>
        <w:rPr>
          <w:rFonts w:hint="eastAsia"/>
        </w:rPr>
        <w:tab/>
        <w:t xml:space="preserve">481.  </w:t>
      </w:r>
      <w:r>
        <w:rPr>
          <w:rFonts w:hint="eastAsia"/>
        </w:rPr>
        <w:t>与公民权利有关的《宪法》第</w:t>
      </w:r>
      <w:r>
        <w:rPr>
          <w:rFonts w:hint="eastAsia"/>
        </w:rPr>
        <w:t>23</w:t>
      </w:r>
      <w:r>
        <w:rPr>
          <w:rFonts w:hint="eastAsia"/>
        </w:rPr>
        <w:t>条规定享有一定质量的生活的权利，生活中要确保医疗卫生、食品和营养、饮水、环境卫生、教育、工作、就业、休闲、住房、服装和其他必要服务。</w:t>
      </w:r>
    </w:p>
    <w:p w:rsidR="00000000" w:rsidRDefault="00000000">
      <w:pPr>
        <w:rPr>
          <w:rFonts w:hint="eastAsia"/>
        </w:rPr>
      </w:pPr>
      <w:r>
        <w:rPr>
          <w:rFonts w:hint="eastAsia"/>
        </w:rPr>
        <w:tab/>
        <w:t xml:space="preserve">482.  </w:t>
      </w:r>
      <w:r>
        <w:rPr>
          <w:rFonts w:hint="eastAsia"/>
        </w:rPr>
        <w:t>此外，《宪法》第</w:t>
      </w:r>
      <w:r>
        <w:rPr>
          <w:rFonts w:hint="eastAsia"/>
        </w:rPr>
        <w:t>66</w:t>
      </w:r>
      <w:r>
        <w:rPr>
          <w:rFonts w:hint="eastAsia"/>
        </w:rPr>
        <w:t>条规定，教育是一种不能免除的权利，是作为国家发展的必要条件和社会公平保障进行公共投资的优先领域：“教育以道德、多元化、民主、人道和科学原则为基础，应增进对人权的尊重、开拓思考，并鼓励公民意识；教育应提供各种技能，以确保高效能劳动力和生产；激发创造力，鼓励人的个性和特殊能力的充分发展；以及提倡多元文化、团结与和平。”</w:t>
      </w:r>
      <w:r>
        <w:rPr>
          <w:rFonts w:hint="eastAsia"/>
          <w:b/>
          <w:vertAlign w:val="superscript"/>
        </w:rPr>
        <w:t>68</w:t>
      </w:r>
    </w:p>
    <w:p w:rsidR="00000000" w:rsidRDefault="00000000">
      <w:pPr>
        <w:rPr>
          <w:rFonts w:hint="eastAsia"/>
        </w:rPr>
      </w:pPr>
      <w:r>
        <w:rPr>
          <w:rFonts w:hint="eastAsia"/>
        </w:rPr>
        <w:tab/>
        <w:t xml:space="preserve">483.  </w:t>
      </w:r>
      <w:r>
        <w:rPr>
          <w:rFonts w:hint="eastAsia"/>
        </w:rPr>
        <w:t>《宪法》第</w:t>
      </w:r>
      <w:r>
        <w:rPr>
          <w:rFonts w:hint="eastAsia"/>
        </w:rPr>
        <w:t>67</w:t>
      </w:r>
      <w:r>
        <w:rPr>
          <w:rFonts w:hint="eastAsia"/>
        </w:rPr>
        <w:t>条规定，“公学教育应在各级均做到政教分立；小学实行义务教育，并使学士或同等以下学位教育免费。公立学校应免费向所有需要的人提供社会服务。极端贫穷的学生应获得特别补贴。”</w:t>
      </w:r>
    </w:p>
    <w:p w:rsidR="00000000" w:rsidRDefault="00000000">
      <w:pPr>
        <w:spacing w:after="320"/>
        <w:rPr>
          <w:rFonts w:hint="eastAsia"/>
        </w:rPr>
      </w:pPr>
      <w:r>
        <w:rPr>
          <w:rFonts w:hint="eastAsia"/>
        </w:rPr>
        <w:tab/>
        <w:t xml:space="preserve">484.  </w:t>
      </w:r>
      <w:r>
        <w:rPr>
          <w:rFonts w:hint="eastAsia"/>
        </w:rPr>
        <w:t>自</w:t>
      </w:r>
      <w:r>
        <w:rPr>
          <w:rFonts w:hint="eastAsia"/>
        </w:rPr>
        <w:t>1996</w:t>
      </w:r>
      <w:r>
        <w:rPr>
          <w:rFonts w:hint="eastAsia"/>
        </w:rPr>
        <w:t>年以来，厄瓜多尔一直在进行小学教育课程改革，小学义务教育为期</w:t>
      </w:r>
      <w:r>
        <w:rPr>
          <w:rFonts w:hint="eastAsia"/>
        </w:rPr>
        <w:t>10</w:t>
      </w:r>
      <w:r>
        <w:rPr>
          <w:rFonts w:hint="eastAsia"/>
        </w:rPr>
        <w:t>年，目标是到</w:t>
      </w:r>
      <w:r>
        <w:rPr>
          <w:rFonts w:hint="eastAsia"/>
        </w:rPr>
        <w:t>2003</w:t>
      </w:r>
      <w:r>
        <w:rPr>
          <w:rFonts w:hint="eastAsia"/>
        </w:rPr>
        <w:t>年普遍实施小学教育课程改革。为了实施这一改革，在培训人力资源、传播、基础设施、设备等方面利用国际贷款投入了大量资金。</w:t>
      </w:r>
    </w:p>
    <w:p w:rsidR="00000000" w:rsidRDefault="00000000">
      <w:pPr>
        <w:pStyle w:val="Heading4"/>
        <w:rPr>
          <w:rFonts w:eastAsia="KaiTi_GB2312" w:hint="eastAsia"/>
          <w:snapToGrid/>
          <w:spacing w:val="0"/>
          <w:u w:val="none"/>
        </w:rPr>
      </w:pPr>
      <w:r>
        <w:rPr>
          <w:rFonts w:eastAsia="KaiTi_GB2312" w:hint="eastAsia"/>
          <w:snapToGrid/>
          <w:spacing w:val="0"/>
          <w:u w:val="none"/>
        </w:rPr>
        <w:t>中学教育</w:t>
      </w:r>
    </w:p>
    <w:p w:rsidR="00000000" w:rsidRDefault="00000000">
      <w:pPr>
        <w:rPr>
          <w:rFonts w:hint="eastAsia"/>
        </w:rPr>
      </w:pPr>
      <w:r>
        <w:rPr>
          <w:rFonts w:hint="eastAsia"/>
        </w:rPr>
        <w:tab/>
        <w:t xml:space="preserve">485.  </w:t>
      </w:r>
      <w:r>
        <w:rPr>
          <w:rFonts w:hint="eastAsia"/>
        </w:rPr>
        <w:t>《教育法》规定由国家制定现行教育计划和方案，以扫除文盲，并把加强乡村和边境地区的教育作为优先事项，并保障私立教育。</w:t>
      </w:r>
    </w:p>
    <w:p w:rsidR="00000000" w:rsidRDefault="00000000">
      <w:pPr>
        <w:rPr>
          <w:rFonts w:hint="eastAsia"/>
        </w:rPr>
      </w:pPr>
      <w:r>
        <w:rPr>
          <w:rFonts w:hint="eastAsia"/>
        </w:rPr>
        <w:tab/>
        <w:t xml:space="preserve">486.  </w:t>
      </w:r>
      <w:r>
        <w:rPr>
          <w:rFonts w:hint="eastAsia"/>
        </w:rPr>
        <w:t>《宪法》第</w:t>
      </w:r>
      <w:r>
        <w:rPr>
          <w:rFonts w:hint="eastAsia"/>
        </w:rPr>
        <w:t>67</w:t>
      </w:r>
      <w:r>
        <w:rPr>
          <w:rFonts w:hint="eastAsia"/>
        </w:rPr>
        <w:t>条规定教育免费，但事实上此条并未得到执行，</w:t>
      </w:r>
      <w:r>
        <w:rPr>
          <w:rFonts w:hint="eastAsia"/>
        </w:rPr>
        <w:t xml:space="preserve"> </w:t>
      </w:r>
      <w:r>
        <w:rPr>
          <w:rFonts w:hint="eastAsia"/>
        </w:rPr>
        <w:t>因为厄瓜多尔中学教育并非完全免费。政府支付大部分公立学校预算，但家长通过各种家长委员会自愿捐助，这类委员会开展自行管理活动，支付了基础设施、维护设施和聘用特殊教师等机构需求费用。</w:t>
      </w:r>
    </w:p>
    <w:p w:rsidR="00000000" w:rsidRDefault="00000000">
      <w:pPr>
        <w:rPr>
          <w:rFonts w:hint="eastAsia"/>
        </w:rPr>
      </w:pPr>
      <w:r>
        <w:rPr>
          <w:rFonts w:hint="eastAsia"/>
        </w:rPr>
        <w:tab/>
        <w:t xml:space="preserve">487.  </w:t>
      </w:r>
      <w:r>
        <w:rPr>
          <w:rFonts w:hint="eastAsia"/>
        </w:rPr>
        <w:t>《哈瓦那宣言》</w:t>
      </w:r>
      <w:r>
        <w:rPr>
          <w:rFonts w:hint="eastAsia"/>
        </w:rPr>
        <w:t>(1996</w:t>
      </w:r>
      <w:r>
        <w:rPr>
          <w:rFonts w:hint="eastAsia"/>
        </w:rPr>
        <w:t>年</w:t>
      </w:r>
      <w:r>
        <w:rPr>
          <w:rFonts w:hint="eastAsia"/>
        </w:rPr>
        <w:t>11</w:t>
      </w:r>
      <w:r>
        <w:rPr>
          <w:rFonts w:hint="eastAsia"/>
        </w:rPr>
        <w:t>月召开的教科文组织拉丁美洲和加勒比高等教育改革政策和战略区域会议</w:t>
      </w:r>
      <w:r>
        <w:rPr>
          <w:rFonts w:hint="eastAsia"/>
        </w:rPr>
        <w:t>)</w:t>
      </w:r>
      <w:r>
        <w:rPr>
          <w:rFonts w:hint="eastAsia"/>
        </w:rPr>
        <w:t>指出：“一般来说，教育、尤其是高等教育是顺利迎接当今世界出现的各项挑战和教育公民从而建设更加开放和公平社会的基本工具。这是一个以团结、尊重人权和分享知识与信息的社会。同时，高等教育又是社会发展、生产、经济增长、加强文化特性、维护社会凝聚力、继续战胜贫穷和促进和平文化不能避免的构成部分。”</w:t>
      </w:r>
    </w:p>
    <w:p w:rsidR="00000000" w:rsidRDefault="00000000">
      <w:pPr>
        <w:rPr>
          <w:rFonts w:hint="eastAsia"/>
        </w:rPr>
      </w:pPr>
      <w:r>
        <w:rPr>
          <w:rFonts w:hint="eastAsia"/>
        </w:rPr>
        <w:tab/>
        <w:t xml:space="preserve">488.  </w:t>
      </w:r>
      <w:r>
        <w:rPr>
          <w:rFonts w:hint="eastAsia"/>
        </w:rPr>
        <w:t>《大学和理工院校法》第</w:t>
      </w:r>
      <w:r>
        <w:rPr>
          <w:rFonts w:hint="eastAsia"/>
        </w:rPr>
        <w:t>38</w:t>
      </w:r>
      <w:r>
        <w:rPr>
          <w:rFonts w:hint="eastAsia"/>
        </w:rPr>
        <w:t>条第四章</w:t>
      </w:r>
      <w:r>
        <w:rPr>
          <w:rFonts w:hint="eastAsia"/>
        </w:rPr>
        <w:t>(</w:t>
      </w:r>
      <w:r>
        <w:rPr>
          <w:rFonts w:hint="eastAsia"/>
        </w:rPr>
        <w:t>学生</w:t>
      </w:r>
      <w:r>
        <w:rPr>
          <w:rFonts w:hint="eastAsia"/>
        </w:rPr>
        <w:t>)</w:t>
      </w:r>
      <w:r>
        <w:rPr>
          <w:rFonts w:hint="eastAsia"/>
        </w:rPr>
        <w:t>规定：“大学或理工院校录取学生条件为学士学位。各大学和理工院校在确定其录取程序时应铭记学生专长、学生在满足法定标准方面的需要、学术资源的组织与分配以及国家职业培训要求。”</w:t>
      </w:r>
    </w:p>
    <w:p w:rsidR="00000000" w:rsidRDefault="00000000">
      <w:pPr>
        <w:rPr>
          <w:rFonts w:hint="eastAsia"/>
        </w:rPr>
      </w:pPr>
      <w:r>
        <w:rPr>
          <w:rFonts w:hint="eastAsia"/>
        </w:rPr>
        <w:tab/>
        <w:t xml:space="preserve">489.  </w:t>
      </w:r>
      <w:r>
        <w:rPr>
          <w:rFonts w:hint="eastAsia"/>
        </w:rPr>
        <w:t>国立大学和理工院校理事会的高等教育既定政策是充分实施《世界人权宣言》第</w:t>
      </w:r>
      <w:r>
        <w:rPr>
          <w:rFonts w:hint="eastAsia"/>
        </w:rPr>
        <w:t>26</w:t>
      </w:r>
      <w:r>
        <w:rPr>
          <w:rFonts w:hint="eastAsia"/>
        </w:rPr>
        <w:t>条，该条规定，“高等教育应根据成绩而对一切人平等开放”。这说明现在各大学和理工院校所实施的规定对通过入学考试并满足既定要求的学生被录取进入高等院校的权利，是一视同仁的。</w:t>
      </w:r>
    </w:p>
    <w:p w:rsidR="00000000" w:rsidRDefault="00000000">
      <w:pPr>
        <w:spacing w:after="320"/>
        <w:rPr>
          <w:rFonts w:hint="eastAsia"/>
        </w:rPr>
      </w:pPr>
      <w:r>
        <w:rPr>
          <w:rFonts w:hint="eastAsia"/>
        </w:rPr>
        <w:tab/>
        <w:t xml:space="preserve">490.  </w:t>
      </w:r>
      <w:r>
        <w:rPr>
          <w:rFonts w:hint="eastAsia"/>
        </w:rPr>
        <w:t>公立机构高等教育费用由国立大学和理工院校理事会决定。</w:t>
      </w:r>
      <w:r>
        <w:rPr>
          <w:rFonts w:hint="eastAsia"/>
        </w:rPr>
        <w:t>1999-2000</w:t>
      </w:r>
      <w:r>
        <w:rPr>
          <w:rFonts w:hint="eastAsia"/>
        </w:rPr>
        <w:t>年期间大学和理工院校收费情况如下：</w:t>
      </w:r>
    </w:p>
    <w:p w:rsidR="00000000" w:rsidRDefault="00000000">
      <w:pPr>
        <w:pStyle w:val="Heading4"/>
        <w:rPr>
          <w:rFonts w:hint="eastAsia"/>
        </w:rPr>
      </w:pPr>
      <w:r>
        <w:br w:type="page"/>
      </w:r>
      <w:r>
        <w:rPr>
          <w:rFonts w:hint="eastAsia"/>
        </w:rPr>
        <w:t>国立大学</w:t>
      </w:r>
    </w:p>
    <w:p w:rsidR="00000000" w:rsidRDefault="00000000">
      <w:pPr>
        <w:pStyle w:val="Heading4"/>
        <w:rPr>
          <w:rFonts w:eastAsia="KaiTi_GB2312" w:hint="eastAsia"/>
          <w:snapToGrid/>
          <w:spacing w:val="0"/>
          <w:u w:val="none"/>
        </w:rPr>
      </w:pPr>
      <w:r>
        <w:rPr>
          <w:rFonts w:eastAsia="KaiTi_GB2312" w:hint="eastAsia"/>
          <w:snapToGrid/>
          <w:spacing w:val="0"/>
          <w:u w:val="none"/>
        </w:rPr>
        <w:tab/>
      </w:r>
      <w:r>
        <w:rPr>
          <w:rFonts w:eastAsia="KaiTi_GB2312" w:hint="eastAsia"/>
          <w:snapToGrid/>
          <w:spacing w:val="0"/>
          <w:u w:val="none"/>
        </w:rPr>
        <w:t>厄瓜多尔中央大学</w:t>
      </w:r>
      <w:r>
        <w:rPr>
          <w:rFonts w:eastAsia="KaiTi_GB2312" w:hint="eastAsia"/>
          <w:snapToGrid/>
          <w:spacing w:val="0"/>
          <w:u w:val="none"/>
        </w:rPr>
        <w:t>(1999-2001</w:t>
      </w:r>
      <w:r>
        <w:rPr>
          <w:rFonts w:eastAsia="KaiTi_GB2312" w:hint="eastAsia"/>
          <w:snapToGrid/>
          <w:spacing w:val="0"/>
          <w:u w:val="none"/>
        </w:rPr>
        <w:t>年</w:t>
      </w:r>
      <w:r>
        <w:rPr>
          <w:rFonts w:eastAsia="KaiTi_GB2312" w:hint="eastAsia"/>
          <w:snapToGrid/>
          <w:spacing w:val="0"/>
          <w:u w:val="none"/>
        </w:rPr>
        <w:t>)</w:t>
      </w:r>
    </w:p>
    <w:p w:rsidR="00000000" w:rsidRDefault="00000000">
      <w:pPr>
        <w:ind w:left="520"/>
      </w:pPr>
      <w:r>
        <w:rPr>
          <w:rFonts w:hint="eastAsia"/>
        </w:rPr>
        <w:tab/>
      </w:r>
      <w:r>
        <w:rPr>
          <w:rFonts w:hint="eastAsia"/>
        </w:rPr>
        <w:t>最低生活工资</w:t>
      </w:r>
      <w:r>
        <w:rPr>
          <w:rFonts w:hint="eastAsia"/>
        </w:rPr>
        <w:t>=100</w:t>
      </w:r>
      <w:r>
        <w:rPr>
          <w:rFonts w:hint="eastAsia"/>
        </w:rPr>
        <w:t>美元</w:t>
      </w:r>
    </w:p>
    <w:p w:rsidR="00000000" w:rsidRDefault="00000000">
      <w:pPr>
        <w:pStyle w:val="Heading4"/>
      </w:pPr>
      <w:r>
        <w:rPr>
          <w:rFonts w:hint="eastAsia"/>
          <w:u w:val="none"/>
        </w:rPr>
        <w:tab/>
      </w:r>
      <w:r>
        <w:rPr>
          <w:rFonts w:hint="eastAsia"/>
        </w:rPr>
        <w:t>注册</w:t>
      </w:r>
    </w:p>
    <w:p w:rsidR="00000000" w:rsidRDefault="00000000">
      <w:pPr>
        <w:spacing w:after="320"/>
        <w:rPr>
          <w:rFonts w:hint="eastAsia"/>
        </w:rPr>
      </w:pPr>
      <w:r>
        <w:rPr>
          <w:rFonts w:hint="eastAsia"/>
        </w:rPr>
        <w:tab/>
      </w:r>
      <w:r>
        <w:rPr>
          <w:rFonts w:hint="eastAsia"/>
        </w:rPr>
        <w:t>费用依有关学校种类而定：</w:t>
      </w:r>
    </w:p>
    <w:tbl>
      <w:tblPr>
        <w:tblW w:w="0" w:type="auto"/>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2"/>
        <w:gridCol w:w="3190"/>
        <w:gridCol w:w="2698"/>
      </w:tblGrid>
      <w:tr w:rsidR="00000000">
        <w:tblPrEx>
          <w:tblCellMar>
            <w:top w:w="0" w:type="dxa"/>
            <w:bottom w:w="0" w:type="dxa"/>
          </w:tblCellMar>
        </w:tblPrEx>
        <w:trPr>
          <w:cantSplit/>
          <w:tblHeader/>
        </w:trPr>
        <w:tc>
          <w:tcPr>
            <w:tcW w:w="2562" w:type="dxa"/>
            <w:tcBorders>
              <w:top w:val="nil"/>
              <w:left w:val="nil"/>
              <w:bottom w:val="nil"/>
              <w:right w:val="nil"/>
            </w:tcBorders>
            <w:vAlign w:val="center"/>
          </w:tcPr>
          <w:p w:rsidR="00000000" w:rsidRDefault="00000000">
            <w:pPr>
              <w:spacing w:before="80" w:after="80" w:line="260" w:lineRule="exact"/>
              <w:jc w:val="center"/>
              <w:rPr>
                <w:rFonts w:hint="eastAsia"/>
                <w:spacing w:val="0"/>
                <w:sz w:val="20"/>
                <w:u w:val="single"/>
              </w:rPr>
            </w:pPr>
          </w:p>
        </w:tc>
        <w:tc>
          <w:tcPr>
            <w:tcW w:w="3190" w:type="dxa"/>
            <w:tcBorders>
              <w:top w:val="nil"/>
              <w:left w:val="nil"/>
              <w:bottom w:val="nil"/>
              <w:right w:val="nil"/>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最低生活工资倍数</w:t>
            </w:r>
          </w:p>
        </w:tc>
        <w:tc>
          <w:tcPr>
            <w:tcW w:w="2698" w:type="dxa"/>
            <w:tcBorders>
              <w:top w:val="nil"/>
              <w:left w:val="nil"/>
              <w:bottom w:val="nil"/>
              <w:right w:val="nil"/>
            </w:tcBorders>
            <w:vAlign w:val="center"/>
          </w:tcPr>
          <w:p w:rsidR="00000000" w:rsidRDefault="00000000">
            <w:pPr>
              <w:spacing w:before="80" w:after="80" w:line="260" w:lineRule="exact"/>
              <w:jc w:val="center"/>
              <w:rPr>
                <w:rFonts w:hint="eastAsia"/>
                <w:spacing w:val="0"/>
                <w:sz w:val="20"/>
                <w:u w:val="single"/>
              </w:rPr>
            </w:pPr>
            <w:r>
              <w:rPr>
                <w:rFonts w:hint="eastAsia"/>
                <w:spacing w:val="0"/>
                <w:sz w:val="20"/>
                <w:u w:val="single"/>
              </w:rPr>
              <w:t>苏克雷</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国家资助的学校</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2</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200,000</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私立学校</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4</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400,000</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外国毕业生</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6</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600,000</w:t>
            </w:r>
          </w:p>
        </w:tc>
      </w:tr>
      <w:tr w:rsidR="00000000">
        <w:tblPrEx>
          <w:tblCellMar>
            <w:top w:w="0" w:type="dxa"/>
            <w:bottom w:w="0" w:type="dxa"/>
          </w:tblCellMar>
        </w:tblPrEx>
        <w:trPr>
          <w:cantSplit/>
        </w:trPr>
        <w:tc>
          <w:tcPr>
            <w:tcW w:w="0" w:type="dxa"/>
            <w:tcBorders>
              <w:top w:val="nil"/>
              <w:left w:val="nil"/>
              <w:bottom w:val="nil"/>
              <w:right w:val="nil"/>
            </w:tcBorders>
          </w:tcPr>
          <w:p w:rsidR="00000000" w:rsidRDefault="00000000">
            <w:pPr>
              <w:spacing w:before="240" w:after="180" w:line="260" w:lineRule="exact"/>
              <w:rPr>
                <w:rFonts w:hint="eastAsia"/>
                <w:spacing w:val="0"/>
                <w:sz w:val="20"/>
                <w:u w:val="single"/>
              </w:rPr>
            </w:pPr>
            <w:r>
              <w:rPr>
                <w:rFonts w:hint="eastAsia"/>
                <w:spacing w:val="0"/>
                <w:sz w:val="20"/>
                <w:u w:val="single"/>
              </w:rPr>
              <w:t>登记</w:t>
            </w:r>
          </w:p>
        </w:tc>
        <w:tc>
          <w:tcPr>
            <w:tcW w:w="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p>
        </w:tc>
        <w:tc>
          <w:tcPr>
            <w:tcW w:w="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国家资助的学校</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1.5</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150,000</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私立学校</w:t>
            </w:r>
            <w:r>
              <w:rPr>
                <w:rFonts w:hint="eastAsia"/>
                <w:spacing w:val="0"/>
                <w:sz w:val="20"/>
              </w:rPr>
              <w:t>A</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3</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300,000</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私立学校</w:t>
            </w:r>
            <w:r>
              <w:rPr>
                <w:rFonts w:hint="eastAsia"/>
                <w:spacing w:val="0"/>
                <w:sz w:val="20"/>
              </w:rPr>
              <w:t>B</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5</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500,000</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私立学校</w:t>
            </w:r>
            <w:r>
              <w:rPr>
                <w:rFonts w:hint="eastAsia"/>
                <w:spacing w:val="0"/>
                <w:sz w:val="20"/>
              </w:rPr>
              <w:t>C</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10</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1,000,000</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外国毕业生</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5</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500,000</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外国人</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25</w:t>
            </w: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r>
              <w:rPr>
                <w:rFonts w:hint="eastAsia"/>
                <w:spacing w:val="0"/>
                <w:sz w:val="20"/>
              </w:rPr>
              <w:t>2,500,000</w:t>
            </w: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240" w:after="180" w:line="260" w:lineRule="exact"/>
              <w:rPr>
                <w:rFonts w:hint="eastAsia"/>
                <w:spacing w:val="0"/>
                <w:sz w:val="20"/>
                <w:u w:val="single"/>
              </w:rPr>
            </w:pPr>
            <w:r>
              <w:rPr>
                <w:rFonts w:hint="eastAsia"/>
                <w:spacing w:val="0"/>
                <w:sz w:val="20"/>
                <w:u w:val="single"/>
              </w:rPr>
              <w:t>食</w:t>
            </w:r>
            <w:r>
              <w:rPr>
                <w:rFonts w:hint="eastAsia"/>
                <w:spacing w:val="0"/>
                <w:sz w:val="20"/>
                <w:u w:val="single"/>
              </w:rPr>
              <w:t xml:space="preserve">  </w:t>
            </w:r>
            <w:r>
              <w:rPr>
                <w:rFonts w:hint="eastAsia"/>
                <w:spacing w:val="0"/>
                <w:sz w:val="20"/>
                <w:u w:val="single"/>
              </w:rPr>
              <w:t>宿</w:t>
            </w:r>
          </w:p>
        </w:tc>
        <w:tc>
          <w:tcPr>
            <w:tcW w:w="3190" w:type="dxa"/>
            <w:tcBorders>
              <w:top w:val="nil"/>
              <w:left w:val="nil"/>
              <w:bottom w:val="nil"/>
              <w:right w:val="nil"/>
            </w:tcBorders>
          </w:tcPr>
          <w:p w:rsidR="00000000" w:rsidRDefault="00000000">
            <w:pPr>
              <w:spacing w:before="240" w:after="180" w:line="260" w:lineRule="exact"/>
              <w:rPr>
                <w:rFonts w:hint="eastAsia"/>
                <w:spacing w:val="0"/>
                <w:sz w:val="20"/>
                <w:u w:val="single"/>
              </w:rPr>
            </w:pPr>
          </w:p>
        </w:tc>
        <w:tc>
          <w:tcPr>
            <w:tcW w:w="2698" w:type="dxa"/>
            <w:tcBorders>
              <w:top w:val="nil"/>
              <w:left w:val="nil"/>
              <w:bottom w:val="nil"/>
              <w:right w:val="nil"/>
            </w:tcBorders>
          </w:tcPr>
          <w:p w:rsidR="00000000" w:rsidRDefault="00000000">
            <w:pPr>
              <w:spacing w:before="240" w:after="180" w:line="260" w:lineRule="exact"/>
              <w:rPr>
                <w:rFonts w:hint="eastAsia"/>
                <w:spacing w:val="0"/>
                <w:sz w:val="20"/>
                <w:u w:val="single"/>
              </w:rPr>
            </w:pPr>
          </w:p>
        </w:tc>
      </w:tr>
      <w:tr w:rsidR="00000000">
        <w:tblPrEx>
          <w:tblCellMar>
            <w:top w:w="0" w:type="dxa"/>
            <w:bottom w:w="0" w:type="dxa"/>
          </w:tblCellMar>
        </w:tblPrEx>
        <w:trPr>
          <w:cantSplit/>
        </w:trPr>
        <w:tc>
          <w:tcPr>
            <w:tcW w:w="2562" w:type="dxa"/>
            <w:tcBorders>
              <w:top w:val="nil"/>
              <w:left w:val="nil"/>
              <w:bottom w:val="nil"/>
              <w:right w:val="nil"/>
            </w:tcBorders>
          </w:tcPr>
          <w:p w:rsidR="00000000" w:rsidRDefault="00000000">
            <w:pPr>
              <w:spacing w:before="40" w:after="40" w:line="260" w:lineRule="exact"/>
              <w:rPr>
                <w:rFonts w:hint="eastAsia"/>
                <w:spacing w:val="0"/>
                <w:sz w:val="20"/>
              </w:rPr>
            </w:pPr>
            <w:r>
              <w:rPr>
                <w:rFonts w:hint="eastAsia"/>
                <w:spacing w:val="0"/>
                <w:sz w:val="20"/>
              </w:rPr>
              <w:t>各学系食宿均免费</w:t>
            </w:r>
          </w:p>
        </w:tc>
        <w:tc>
          <w:tcPr>
            <w:tcW w:w="3190"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p>
        </w:tc>
        <w:tc>
          <w:tcPr>
            <w:tcW w:w="2698" w:type="dxa"/>
            <w:tcBorders>
              <w:top w:val="nil"/>
              <w:left w:val="nil"/>
              <w:bottom w:val="nil"/>
              <w:right w:val="nil"/>
            </w:tcBorders>
          </w:tcPr>
          <w:p w:rsidR="00000000" w:rsidRDefault="00000000">
            <w:pPr>
              <w:tabs>
                <w:tab w:val="decimal" w:pos="1750"/>
              </w:tabs>
              <w:spacing w:before="40" w:after="40" w:line="260" w:lineRule="exact"/>
              <w:rPr>
                <w:rFonts w:hint="eastAsia"/>
                <w:spacing w:val="0"/>
                <w:sz w:val="20"/>
              </w:rPr>
            </w:pPr>
          </w:p>
        </w:tc>
      </w:tr>
    </w:tbl>
    <w:p w:rsidR="00000000" w:rsidRDefault="00000000">
      <w:pPr>
        <w:pStyle w:val="Heading4"/>
        <w:spacing w:before="300"/>
        <w:rPr>
          <w:rFonts w:hint="eastAsia"/>
        </w:rPr>
      </w:pPr>
      <w:r>
        <w:rPr>
          <w:rFonts w:hint="eastAsia"/>
        </w:rPr>
        <w:t>国立理工院校</w:t>
      </w:r>
      <w:r>
        <w:rPr>
          <w:rFonts w:hint="eastAsia"/>
        </w:rPr>
        <w:t>(1999</w:t>
      </w:r>
      <w:r>
        <w:rPr>
          <w:rFonts w:hint="eastAsia"/>
        </w:rPr>
        <w:t>年</w:t>
      </w:r>
      <w:r>
        <w:rPr>
          <w:rFonts w:hint="eastAsia"/>
        </w:rPr>
        <w:t>)</w:t>
      </w:r>
    </w:p>
    <w:p w:rsidR="00000000" w:rsidRDefault="00000000">
      <w:pPr>
        <w:rPr>
          <w:rFonts w:hint="eastAsia"/>
        </w:rPr>
      </w:pPr>
      <w:r>
        <w:rPr>
          <w:rFonts w:hint="eastAsia"/>
        </w:rPr>
        <w:tab/>
      </w:r>
      <w:r>
        <w:rPr>
          <w:rFonts w:hint="eastAsia"/>
        </w:rPr>
        <w:t>收费根据：</w:t>
      </w:r>
    </w:p>
    <w:p w:rsidR="00000000" w:rsidRDefault="00000000">
      <w:pPr>
        <w:pStyle w:val="a0"/>
        <w:tabs>
          <w:tab w:val="num" w:pos="510"/>
        </w:tabs>
        <w:ind w:left="1530"/>
        <w:rPr>
          <w:rFonts w:hint="eastAsia"/>
        </w:rPr>
      </w:pPr>
      <w:r>
        <w:rPr>
          <w:rFonts w:hint="eastAsia"/>
        </w:rPr>
        <w:t>家庭收入；</w:t>
      </w:r>
    </w:p>
    <w:p w:rsidR="00000000" w:rsidRDefault="00000000">
      <w:pPr>
        <w:pStyle w:val="a0"/>
        <w:tabs>
          <w:tab w:val="num" w:pos="510"/>
        </w:tabs>
        <w:ind w:left="1530"/>
        <w:rPr>
          <w:rFonts w:hint="eastAsia"/>
        </w:rPr>
      </w:pPr>
      <w:r>
        <w:rPr>
          <w:rFonts w:hint="eastAsia"/>
        </w:rPr>
        <w:t>电力消费；</w:t>
      </w:r>
    </w:p>
    <w:p w:rsidR="00000000" w:rsidRDefault="00000000">
      <w:pPr>
        <w:pStyle w:val="a0"/>
        <w:tabs>
          <w:tab w:val="num" w:pos="510"/>
        </w:tabs>
        <w:ind w:left="1530"/>
        <w:rPr>
          <w:rFonts w:hint="eastAsia"/>
        </w:rPr>
      </w:pPr>
      <w:r>
        <w:rPr>
          <w:rFonts w:hint="eastAsia"/>
        </w:rPr>
        <w:t>学生来源学校；</w:t>
      </w:r>
    </w:p>
    <w:p w:rsidR="00000000" w:rsidRDefault="00000000">
      <w:pPr>
        <w:pStyle w:val="a0"/>
        <w:tabs>
          <w:tab w:val="num" w:pos="510"/>
        </w:tabs>
        <w:spacing w:after="320"/>
        <w:ind w:left="1530"/>
        <w:rPr>
          <w:rFonts w:hint="eastAsia"/>
        </w:rPr>
      </w:pPr>
      <w:r>
        <w:rPr>
          <w:rFonts w:hint="eastAsia"/>
        </w:rPr>
        <w:t>采用十个分类确定入学费用。</w:t>
      </w:r>
    </w:p>
    <w:p w:rsidR="00000000" w:rsidRDefault="00000000">
      <w:pPr>
        <w:pStyle w:val="Heading4"/>
        <w:rPr>
          <w:rFonts w:hint="eastAsia"/>
        </w:rPr>
      </w:pPr>
      <w:r>
        <w:rPr>
          <w:rFonts w:hint="eastAsia"/>
        </w:rPr>
        <w:t>沿海理工院校</w:t>
      </w:r>
      <w:r>
        <w:rPr>
          <w:rFonts w:hint="eastAsia"/>
        </w:rPr>
        <w:t>(1999</w:t>
      </w:r>
      <w:r>
        <w:rPr>
          <w:rFonts w:hint="eastAsia"/>
        </w:rPr>
        <w:t>年</w:t>
      </w:r>
      <w:r>
        <w:rPr>
          <w:rFonts w:hint="eastAsia"/>
        </w:rPr>
        <w:t>)</w:t>
      </w:r>
    </w:p>
    <w:p w:rsidR="00000000" w:rsidRDefault="00000000">
      <w:pPr>
        <w:pStyle w:val="Heading4"/>
        <w:rPr>
          <w:rFonts w:hint="eastAsia"/>
        </w:rPr>
      </w:pPr>
      <w:r>
        <w:rPr>
          <w:rFonts w:hint="eastAsia"/>
          <w:u w:val="none"/>
        </w:rPr>
        <w:tab/>
      </w:r>
      <w:r>
        <w:rPr>
          <w:rFonts w:hint="eastAsia"/>
        </w:rPr>
        <w:t>入学</w:t>
      </w:r>
    </w:p>
    <w:p w:rsidR="00000000" w:rsidRDefault="00000000">
      <w:pPr>
        <w:spacing w:after="320"/>
        <w:ind w:left="520"/>
        <w:rPr>
          <w:rFonts w:hint="eastAsia"/>
        </w:rPr>
      </w:pPr>
      <w:r>
        <w:rPr>
          <w:rFonts w:hint="eastAsia"/>
        </w:rPr>
        <w:tab/>
      </w:r>
      <w:r>
        <w:rPr>
          <w:rFonts w:hint="eastAsia"/>
        </w:rPr>
        <w:t>希望进入该校的学生需支付“理工院校预科”课程</w:t>
      </w:r>
      <w:r>
        <w:rPr>
          <w:rFonts w:hint="eastAsia"/>
        </w:rPr>
        <w:t>(</w:t>
      </w:r>
      <w:r>
        <w:rPr>
          <w:rFonts w:hint="eastAsia"/>
        </w:rPr>
        <w:t>初等基础课</w:t>
      </w:r>
      <w:r>
        <w:rPr>
          <w:rFonts w:hint="eastAsia"/>
        </w:rPr>
        <w:t>)</w:t>
      </w:r>
      <w:r>
        <w:rPr>
          <w:rFonts w:hint="eastAsia"/>
        </w:rPr>
        <w:t>学生服务费，相当于最低生活工资的一半。</w:t>
      </w:r>
    </w:p>
    <w:p w:rsidR="00000000" w:rsidRDefault="00000000">
      <w:pPr>
        <w:pStyle w:val="Heading4"/>
        <w:rPr>
          <w:rFonts w:hint="eastAsia"/>
        </w:rPr>
      </w:pPr>
      <w:r>
        <w:rPr>
          <w:rFonts w:hint="eastAsia"/>
          <w:u w:val="none"/>
        </w:rPr>
        <w:tab/>
      </w:r>
      <w:r>
        <w:rPr>
          <w:rFonts w:hint="eastAsia"/>
        </w:rPr>
        <w:t>入学考试费</w:t>
      </w:r>
    </w:p>
    <w:p w:rsidR="00000000" w:rsidRDefault="00000000">
      <w:pPr>
        <w:spacing w:after="320"/>
        <w:ind w:left="520"/>
        <w:rPr>
          <w:rFonts w:hint="eastAsia"/>
        </w:rPr>
      </w:pPr>
      <w:r>
        <w:rPr>
          <w:rFonts w:hint="eastAsia"/>
        </w:rPr>
        <w:tab/>
      </w:r>
      <w:r>
        <w:rPr>
          <w:rFonts w:hint="eastAsia"/>
        </w:rPr>
        <w:t>所有厄瓜多尔和外国学生均需为入学考试支付一个最低生活工资单位，外加管理费。</w:t>
      </w:r>
    </w:p>
    <w:p w:rsidR="00000000" w:rsidRDefault="00000000">
      <w:pPr>
        <w:pStyle w:val="Heading4"/>
        <w:rPr>
          <w:rFonts w:hint="eastAsia"/>
        </w:rPr>
      </w:pPr>
      <w:r>
        <w:rPr>
          <w:rFonts w:hint="eastAsia"/>
          <w:u w:val="none"/>
        </w:rPr>
        <w:tab/>
      </w:r>
      <w:r>
        <w:rPr>
          <w:rFonts w:hint="eastAsia"/>
        </w:rPr>
        <w:t>理工院校预科课程注册费</w:t>
      </w:r>
    </w:p>
    <w:p w:rsidR="00000000" w:rsidRDefault="00000000">
      <w:pPr>
        <w:spacing w:after="240"/>
        <w:rPr>
          <w:rFonts w:hint="eastAsia"/>
        </w:rPr>
      </w:pPr>
      <w:r>
        <w:rPr>
          <w:rFonts w:hint="eastAsia"/>
        </w:rPr>
        <w:tab/>
      </w:r>
      <w:r>
        <w:rPr>
          <w:rFonts w:hint="eastAsia"/>
        </w:rPr>
        <w:t>所有厄瓜多尔和外国学生</w:t>
      </w:r>
      <w:r>
        <w:rPr>
          <w:rFonts w:hint="eastAsia"/>
        </w:rPr>
        <w:t>(</w:t>
      </w:r>
      <w:r>
        <w:rPr>
          <w:rFonts w:hint="eastAsia"/>
        </w:rPr>
        <w:t>拥有居留签证者</w:t>
      </w:r>
      <w:r>
        <w:rPr>
          <w:rFonts w:hint="eastAsia"/>
        </w:rPr>
        <w:t>)</w:t>
      </w:r>
      <w:r>
        <w:rPr>
          <w:rFonts w:hint="eastAsia"/>
        </w:rPr>
        <w:t>均需支付此类费用。</w:t>
      </w:r>
    </w:p>
    <w:tbl>
      <w:tblPr>
        <w:tblW w:w="0" w:type="auto"/>
        <w:tblInd w:w="498" w:type="dxa"/>
        <w:tblLook w:val="0000" w:firstRow="0" w:lastRow="0" w:firstColumn="0" w:lastColumn="0" w:noHBand="0" w:noVBand="0"/>
      </w:tblPr>
      <w:tblGrid>
        <w:gridCol w:w="4360"/>
        <w:gridCol w:w="4712"/>
      </w:tblGrid>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国家资助的学校和市级学校支付：</w:t>
            </w:r>
          </w:p>
        </w:tc>
        <w:tc>
          <w:tcPr>
            <w:tcW w:w="4712" w:type="dxa"/>
          </w:tcPr>
          <w:p w:rsidR="00000000" w:rsidRDefault="00000000">
            <w:pPr>
              <w:spacing w:after="120" w:line="288" w:lineRule="auto"/>
              <w:ind w:left="170"/>
              <w:rPr>
                <w:rFonts w:hint="eastAsia"/>
              </w:rPr>
            </w:pPr>
            <w:r>
              <w:rPr>
                <w:rFonts w:hint="eastAsia"/>
              </w:rPr>
              <w:t>624,000</w:t>
            </w:r>
            <w:r>
              <w:rPr>
                <w:rFonts w:hint="eastAsia"/>
              </w:rPr>
              <w:t>苏克雷</w:t>
            </w:r>
          </w:p>
        </w:tc>
      </w:tr>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私立学校、国民和拥有居留签证的外国人：</w:t>
            </w:r>
          </w:p>
        </w:tc>
        <w:tc>
          <w:tcPr>
            <w:tcW w:w="4712" w:type="dxa"/>
          </w:tcPr>
          <w:p w:rsidR="00000000" w:rsidRDefault="00000000">
            <w:pPr>
              <w:spacing w:after="120" w:line="288" w:lineRule="auto"/>
              <w:ind w:left="170"/>
              <w:rPr>
                <w:rFonts w:hint="eastAsia"/>
              </w:rPr>
            </w:pPr>
            <w:r>
              <w:rPr>
                <w:rFonts w:hint="eastAsia"/>
              </w:rPr>
              <w:t>官方食宿费的</w:t>
            </w:r>
            <w:r>
              <w:rPr>
                <w:rFonts w:hint="eastAsia"/>
              </w:rPr>
              <w:t>7.5</w:t>
            </w:r>
            <w:r>
              <w:rPr>
                <w:rFonts w:hint="eastAsia"/>
              </w:rPr>
              <w:t>倍</w:t>
            </w:r>
            <w:r>
              <w:rPr>
                <w:rFonts w:hint="eastAsia"/>
              </w:rPr>
              <w:t>(</w:t>
            </w:r>
            <w:r>
              <w:rPr>
                <w:rFonts w:hint="eastAsia"/>
              </w:rPr>
              <w:t>不超过</w:t>
            </w:r>
            <w:r>
              <w:rPr>
                <w:rFonts w:hint="eastAsia"/>
              </w:rPr>
              <w:t>3,900,000</w:t>
            </w:r>
            <w:r>
              <w:rPr>
                <w:rFonts w:hint="eastAsia"/>
              </w:rPr>
              <w:t>苏克雷，不低于</w:t>
            </w:r>
            <w:r>
              <w:rPr>
                <w:rFonts w:hint="eastAsia"/>
              </w:rPr>
              <w:t>1,092,000</w:t>
            </w:r>
            <w:r>
              <w:rPr>
                <w:rFonts w:hint="eastAsia"/>
              </w:rPr>
              <w:t>苏克雷</w:t>
            </w:r>
            <w:r>
              <w:rPr>
                <w:rFonts w:hint="eastAsia"/>
              </w:rPr>
              <w:t>)</w:t>
            </w:r>
            <w:r>
              <w:rPr>
                <w:rFonts w:hint="eastAsia"/>
              </w:rPr>
              <w:t>。</w:t>
            </w:r>
          </w:p>
        </w:tc>
      </w:tr>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拥有奖学金、居留签证的学生、国民或外国人支付：</w:t>
            </w:r>
          </w:p>
        </w:tc>
        <w:tc>
          <w:tcPr>
            <w:tcW w:w="4712" w:type="dxa"/>
          </w:tcPr>
          <w:p w:rsidR="00000000" w:rsidRDefault="00000000">
            <w:pPr>
              <w:spacing w:after="120" w:line="288" w:lineRule="auto"/>
              <w:ind w:left="170"/>
              <w:rPr>
                <w:rFonts w:hint="eastAsia"/>
              </w:rPr>
            </w:pPr>
            <w:r>
              <w:rPr>
                <w:rFonts w:hint="eastAsia"/>
              </w:rPr>
              <w:t>624,000</w:t>
            </w:r>
            <w:r>
              <w:rPr>
                <w:rFonts w:hint="eastAsia"/>
              </w:rPr>
              <w:t>苏克雷。</w:t>
            </w:r>
          </w:p>
        </w:tc>
      </w:tr>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没有居留签证的学生支付：</w:t>
            </w:r>
          </w:p>
        </w:tc>
        <w:tc>
          <w:tcPr>
            <w:tcW w:w="4712" w:type="dxa"/>
          </w:tcPr>
          <w:p w:rsidR="00000000" w:rsidRDefault="00000000">
            <w:pPr>
              <w:spacing w:after="120" w:line="288" w:lineRule="auto"/>
              <w:ind w:left="170"/>
              <w:rPr>
                <w:rFonts w:hint="eastAsia"/>
              </w:rPr>
            </w:pPr>
            <w:r>
              <w:rPr>
                <w:rFonts w:hint="eastAsia"/>
              </w:rPr>
              <w:t>3,900,000</w:t>
            </w:r>
            <w:r>
              <w:rPr>
                <w:rFonts w:hint="eastAsia"/>
              </w:rPr>
              <w:t>苏克雷。</w:t>
            </w:r>
          </w:p>
        </w:tc>
      </w:tr>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海外毕业的厄瓜多尔学生支付：</w:t>
            </w:r>
          </w:p>
        </w:tc>
        <w:tc>
          <w:tcPr>
            <w:tcW w:w="4712" w:type="dxa"/>
          </w:tcPr>
          <w:p w:rsidR="00000000" w:rsidRDefault="00000000">
            <w:pPr>
              <w:spacing w:after="120" w:line="288" w:lineRule="auto"/>
              <w:ind w:left="170"/>
              <w:rPr>
                <w:rFonts w:hint="eastAsia"/>
              </w:rPr>
            </w:pPr>
            <w:r>
              <w:rPr>
                <w:rFonts w:hint="eastAsia"/>
              </w:rPr>
              <w:t>3,000,000</w:t>
            </w:r>
            <w:r>
              <w:rPr>
                <w:rFonts w:hint="eastAsia"/>
              </w:rPr>
              <w:t>苏克雷。</w:t>
            </w:r>
          </w:p>
        </w:tc>
      </w:tr>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未能通过获得学位所需的三门或更多课程之一的理工院校预科学生：</w:t>
            </w:r>
          </w:p>
        </w:tc>
        <w:tc>
          <w:tcPr>
            <w:tcW w:w="4712" w:type="dxa"/>
          </w:tcPr>
          <w:p w:rsidR="00000000" w:rsidRDefault="00000000">
            <w:pPr>
              <w:spacing w:after="120" w:line="288" w:lineRule="auto"/>
              <w:ind w:left="170"/>
              <w:rPr>
                <w:rFonts w:hint="eastAsia"/>
              </w:rPr>
            </w:pPr>
            <w:r>
              <w:rPr>
                <w:rFonts w:hint="eastAsia"/>
              </w:rPr>
              <w:t>享受</w:t>
            </w:r>
            <w:r>
              <w:rPr>
                <w:rFonts w:hint="eastAsia"/>
              </w:rPr>
              <w:t>40%</w:t>
            </w:r>
            <w:r>
              <w:rPr>
                <w:rFonts w:hint="eastAsia"/>
              </w:rPr>
              <w:t>的收费折扣。</w:t>
            </w:r>
          </w:p>
        </w:tc>
      </w:tr>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同胞兄弟姐妹学生：</w:t>
            </w:r>
          </w:p>
        </w:tc>
        <w:tc>
          <w:tcPr>
            <w:tcW w:w="4712" w:type="dxa"/>
          </w:tcPr>
          <w:p w:rsidR="00000000" w:rsidRDefault="00000000">
            <w:pPr>
              <w:spacing w:after="120" w:line="288" w:lineRule="auto"/>
              <w:ind w:left="170"/>
              <w:rPr>
                <w:rFonts w:hint="eastAsia"/>
              </w:rPr>
            </w:pPr>
            <w:r>
              <w:rPr>
                <w:rFonts w:hint="eastAsia"/>
              </w:rPr>
              <w:t>享有</w:t>
            </w:r>
            <w:r>
              <w:rPr>
                <w:rFonts w:hint="eastAsia"/>
              </w:rPr>
              <w:t>25%</w:t>
            </w:r>
            <w:r>
              <w:rPr>
                <w:rFonts w:hint="eastAsia"/>
              </w:rPr>
              <w:t>的折扣。</w:t>
            </w:r>
          </w:p>
        </w:tc>
      </w:tr>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私立或国家资助学校的优秀生：</w:t>
            </w:r>
          </w:p>
        </w:tc>
        <w:tc>
          <w:tcPr>
            <w:tcW w:w="4712" w:type="dxa"/>
          </w:tcPr>
          <w:p w:rsidR="00000000" w:rsidRDefault="00000000">
            <w:pPr>
              <w:spacing w:after="120" w:line="288" w:lineRule="auto"/>
              <w:ind w:left="170"/>
              <w:rPr>
                <w:rFonts w:hint="eastAsia"/>
              </w:rPr>
            </w:pPr>
            <w:r>
              <w:rPr>
                <w:rFonts w:hint="eastAsia"/>
              </w:rPr>
              <w:t>不支付注册费，但仅付行政管理费。</w:t>
            </w:r>
          </w:p>
        </w:tc>
      </w:tr>
      <w:tr w:rsidR="00000000">
        <w:tblPrEx>
          <w:tblCellMar>
            <w:top w:w="0" w:type="dxa"/>
            <w:bottom w:w="0" w:type="dxa"/>
          </w:tblCellMar>
        </w:tblPrEx>
        <w:tc>
          <w:tcPr>
            <w:tcW w:w="4360" w:type="dxa"/>
          </w:tcPr>
          <w:p w:rsidR="00000000" w:rsidRDefault="00000000">
            <w:pPr>
              <w:spacing w:after="120" w:line="288" w:lineRule="auto"/>
              <w:rPr>
                <w:rFonts w:hint="eastAsia"/>
              </w:rPr>
            </w:pPr>
            <w:r>
              <w:rPr>
                <w:rFonts w:hint="eastAsia"/>
              </w:rPr>
              <w:t>非登记学生：</w:t>
            </w:r>
          </w:p>
        </w:tc>
        <w:tc>
          <w:tcPr>
            <w:tcW w:w="4712" w:type="dxa"/>
          </w:tcPr>
          <w:p w:rsidR="00000000" w:rsidRDefault="00000000">
            <w:pPr>
              <w:spacing w:after="120" w:line="288" w:lineRule="auto"/>
              <w:ind w:left="170"/>
              <w:rPr>
                <w:rFonts w:hint="eastAsia"/>
              </w:rPr>
            </w:pPr>
            <w:r>
              <w:rPr>
                <w:rFonts w:hint="eastAsia"/>
              </w:rPr>
              <w:t>支付国家资助学校学生同等费用。</w:t>
            </w:r>
          </w:p>
        </w:tc>
      </w:tr>
    </w:tbl>
    <w:p w:rsidR="00000000" w:rsidRDefault="00000000">
      <w:pPr>
        <w:rPr>
          <w:rFonts w:hint="eastAsia"/>
        </w:rPr>
      </w:pPr>
    </w:p>
    <w:p w:rsidR="00000000" w:rsidRDefault="00000000">
      <w:pPr>
        <w:pStyle w:val="Heading4"/>
        <w:spacing w:before="300"/>
        <w:rPr>
          <w:rFonts w:hint="eastAsia"/>
        </w:rPr>
      </w:pPr>
      <w:r>
        <w:rPr>
          <w:rFonts w:hint="eastAsia"/>
        </w:rPr>
        <w:t>登记费</w:t>
      </w:r>
    </w:p>
    <w:tbl>
      <w:tblPr>
        <w:tblW w:w="0" w:type="auto"/>
        <w:tblInd w:w="498" w:type="dxa"/>
        <w:tblLook w:val="0000" w:firstRow="0" w:lastRow="0" w:firstColumn="0" w:lastColumn="0" w:noHBand="0" w:noVBand="0"/>
      </w:tblPr>
      <w:tblGrid>
        <w:gridCol w:w="5070"/>
        <w:gridCol w:w="2340"/>
      </w:tblGrid>
      <w:tr w:rsidR="00000000">
        <w:tblPrEx>
          <w:tblCellMar>
            <w:top w:w="0" w:type="dxa"/>
            <w:bottom w:w="0" w:type="dxa"/>
          </w:tblCellMar>
        </w:tblPrEx>
        <w:tc>
          <w:tcPr>
            <w:tcW w:w="5070" w:type="dxa"/>
          </w:tcPr>
          <w:p w:rsidR="00000000" w:rsidRDefault="00000000">
            <w:pPr>
              <w:rPr>
                <w:rFonts w:hint="eastAsia"/>
              </w:rPr>
            </w:pPr>
          </w:p>
        </w:tc>
        <w:tc>
          <w:tcPr>
            <w:tcW w:w="2340" w:type="dxa"/>
          </w:tcPr>
          <w:p w:rsidR="00000000" w:rsidRDefault="00000000">
            <w:pPr>
              <w:ind w:right="227"/>
              <w:jc w:val="right"/>
              <w:rPr>
                <w:rFonts w:hint="eastAsia"/>
                <w:lang w:val="fr-CH"/>
              </w:rPr>
            </w:pPr>
            <w:r>
              <w:rPr>
                <w:rFonts w:hint="eastAsia"/>
                <w:lang w:val="fr-CH"/>
              </w:rPr>
              <w:t>苏克雷</w:t>
            </w:r>
          </w:p>
        </w:tc>
      </w:tr>
      <w:tr w:rsidR="00000000">
        <w:tblPrEx>
          <w:tblCellMar>
            <w:top w:w="0" w:type="dxa"/>
            <w:bottom w:w="0" w:type="dxa"/>
          </w:tblCellMar>
        </w:tblPrEx>
        <w:tc>
          <w:tcPr>
            <w:tcW w:w="5070" w:type="dxa"/>
          </w:tcPr>
          <w:p w:rsidR="00000000" w:rsidRDefault="00000000">
            <w:pPr>
              <w:rPr>
                <w:rFonts w:hint="eastAsia"/>
              </w:rPr>
            </w:pPr>
            <w:r>
              <w:rPr>
                <w:rFonts w:hint="eastAsia"/>
              </w:rPr>
              <w:t>国民和外国侨生</w:t>
            </w:r>
          </w:p>
        </w:tc>
        <w:tc>
          <w:tcPr>
            <w:tcW w:w="2340" w:type="dxa"/>
          </w:tcPr>
          <w:p w:rsidR="00000000" w:rsidRDefault="00000000">
            <w:pPr>
              <w:ind w:right="227"/>
              <w:jc w:val="right"/>
              <w:rPr>
                <w:rFonts w:hint="eastAsia"/>
                <w:lang w:val="fr-CH"/>
              </w:rPr>
            </w:pPr>
            <w:r>
              <w:rPr>
                <w:rFonts w:hint="eastAsia"/>
                <w:lang w:val="fr-CH"/>
              </w:rPr>
              <w:t>290,000</w:t>
            </w:r>
          </w:p>
        </w:tc>
      </w:tr>
      <w:tr w:rsidR="00000000">
        <w:tblPrEx>
          <w:tblCellMar>
            <w:top w:w="0" w:type="dxa"/>
            <w:bottom w:w="0" w:type="dxa"/>
          </w:tblCellMar>
        </w:tblPrEx>
        <w:tc>
          <w:tcPr>
            <w:tcW w:w="5070" w:type="dxa"/>
          </w:tcPr>
          <w:p w:rsidR="00000000" w:rsidRDefault="00000000">
            <w:pPr>
              <w:rPr>
                <w:rFonts w:hint="eastAsia"/>
              </w:rPr>
            </w:pPr>
            <w:r>
              <w:rPr>
                <w:rFonts w:hint="eastAsia"/>
              </w:rPr>
              <w:t>国民专业和研究生</w:t>
            </w:r>
          </w:p>
        </w:tc>
        <w:tc>
          <w:tcPr>
            <w:tcW w:w="2340" w:type="dxa"/>
          </w:tcPr>
          <w:p w:rsidR="00000000" w:rsidRDefault="00000000">
            <w:pPr>
              <w:ind w:right="227"/>
              <w:jc w:val="right"/>
              <w:rPr>
                <w:rFonts w:hint="eastAsia"/>
                <w:lang w:val="fr-CH"/>
              </w:rPr>
            </w:pPr>
            <w:r>
              <w:rPr>
                <w:rFonts w:hint="eastAsia"/>
                <w:lang w:val="fr-CH"/>
              </w:rPr>
              <w:t>1,000,000</w:t>
            </w:r>
          </w:p>
        </w:tc>
      </w:tr>
      <w:tr w:rsidR="00000000">
        <w:tblPrEx>
          <w:tblCellMar>
            <w:top w:w="0" w:type="dxa"/>
            <w:bottom w:w="0" w:type="dxa"/>
          </w:tblCellMar>
        </w:tblPrEx>
        <w:tc>
          <w:tcPr>
            <w:tcW w:w="5070" w:type="dxa"/>
          </w:tcPr>
          <w:p w:rsidR="00000000" w:rsidRDefault="00000000">
            <w:pPr>
              <w:rPr>
                <w:rFonts w:hint="eastAsia"/>
              </w:rPr>
            </w:pPr>
            <w:r>
              <w:rPr>
                <w:rFonts w:hint="eastAsia"/>
              </w:rPr>
              <w:t>没有居留签证的外国学生</w:t>
            </w:r>
          </w:p>
        </w:tc>
        <w:tc>
          <w:tcPr>
            <w:tcW w:w="2340" w:type="dxa"/>
          </w:tcPr>
          <w:p w:rsidR="00000000" w:rsidRDefault="00000000">
            <w:pPr>
              <w:ind w:right="227"/>
              <w:jc w:val="right"/>
              <w:rPr>
                <w:rFonts w:hint="eastAsia"/>
                <w:lang w:val="fr-CH"/>
              </w:rPr>
            </w:pPr>
            <w:r>
              <w:rPr>
                <w:rFonts w:hint="eastAsia"/>
                <w:lang w:val="fr-CH"/>
              </w:rPr>
              <w:t>1,300,000</w:t>
            </w:r>
          </w:p>
        </w:tc>
      </w:tr>
      <w:tr w:rsidR="00000000">
        <w:tblPrEx>
          <w:tblCellMar>
            <w:top w:w="0" w:type="dxa"/>
            <w:bottom w:w="0" w:type="dxa"/>
          </w:tblCellMar>
        </w:tblPrEx>
        <w:tc>
          <w:tcPr>
            <w:tcW w:w="5070" w:type="dxa"/>
          </w:tcPr>
          <w:p w:rsidR="00000000" w:rsidRDefault="00000000">
            <w:pPr>
              <w:rPr>
                <w:rFonts w:hint="eastAsia"/>
              </w:rPr>
            </w:pPr>
            <w:r>
              <w:rPr>
                <w:rFonts w:hint="eastAsia"/>
              </w:rPr>
              <w:t>每学期登记费</w:t>
            </w:r>
          </w:p>
        </w:tc>
        <w:tc>
          <w:tcPr>
            <w:tcW w:w="2340" w:type="dxa"/>
          </w:tcPr>
          <w:p w:rsidR="00000000" w:rsidRDefault="00000000">
            <w:pPr>
              <w:ind w:right="227"/>
              <w:jc w:val="right"/>
              <w:rPr>
                <w:rFonts w:hint="eastAsia"/>
                <w:lang w:val="fr-CH"/>
              </w:rPr>
            </w:pPr>
            <w:r>
              <w:rPr>
                <w:rFonts w:hint="eastAsia"/>
                <w:lang w:val="fr-CH"/>
              </w:rPr>
              <w:t>300,000</w:t>
            </w:r>
          </w:p>
        </w:tc>
      </w:tr>
    </w:tbl>
    <w:p w:rsidR="00000000" w:rsidRDefault="00000000">
      <w:pPr>
        <w:pStyle w:val="Heading4"/>
        <w:spacing w:before="300"/>
        <w:rPr>
          <w:rFonts w:hint="eastAsia"/>
        </w:rPr>
      </w:pPr>
      <w:r>
        <w:rPr>
          <w:rFonts w:hint="eastAsia"/>
        </w:rPr>
        <w:t>自行筹资课程</w:t>
      </w:r>
    </w:p>
    <w:p w:rsidR="00000000" w:rsidRDefault="00000000">
      <w:pPr>
        <w:rPr>
          <w:rFonts w:hint="eastAsia"/>
        </w:rPr>
      </w:pPr>
      <w:r>
        <w:rPr>
          <w:rFonts w:hint="eastAsia"/>
        </w:rPr>
        <w:t>每单元收费</w:t>
      </w:r>
    </w:p>
    <w:tbl>
      <w:tblPr>
        <w:tblW w:w="0" w:type="auto"/>
        <w:tblInd w:w="498" w:type="dxa"/>
        <w:tblLook w:val="0000" w:firstRow="0" w:lastRow="0" w:firstColumn="0" w:lastColumn="0" w:noHBand="0" w:noVBand="0"/>
      </w:tblPr>
      <w:tblGrid>
        <w:gridCol w:w="5070"/>
        <w:gridCol w:w="2340"/>
      </w:tblGrid>
      <w:tr w:rsidR="00000000">
        <w:tblPrEx>
          <w:tblCellMar>
            <w:top w:w="0" w:type="dxa"/>
            <w:bottom w:w="0" w:type="dxa"/>
          </w:tblCellMar>
        </w:tblPrEx>
        <w:tc>
          <w:tcPr>
            <w:tcW w:w="5070" w:type="dxa"/>
          </w:tcPr>
          <w:p w:rsidR="00000000" w:rsidRDefault="00000000">
            <w:pPr>
              <w:rPr>
                <w:rFonts w:hint="eastAsia"/>
              </w:rPr>
            </w:pPr>
            <w:r>
              <w:rPr>
                <w:rFonts w:hint="eastAsia"/>
              </w:rPr>
              <w:t>未注册学分的国民学生</w:t>
            </w:r>
          </w:p>
        </w:tc>
        <w:tc>
          <w:tcPr>
            <w:tcW w:w="2340" w:type="dxa"/>
          </w:tcPr>
          <w:p w:rsidR="00000000" w:rsidRDefault="00000000">
            <w:pPr>
              <w:ind w:right="227"/>
              <w:jc w:val="right"/>
              <w:rPr>
                <w:rFonts w:hint="eastAsia"/>
                <w:lang w:val="fr-CH"/>
              </w:rPr>
            </w:pPr>
            <w:r>
              <w:rPr>
                <w:rFonts w:hint="eastAsia"/>
                <w:lang w:val="fr-CH"/>
              </w:rPr>
              <w:t>800,000</w:t>
            </w:r>
          </w:p>
        </w:tc>
      </w:tr>
      <w:tr w:rsidR="00000000">
        <w:tblPrEx>
          <w:tblCellMar>
            <w:top w:w="0" w:type="dxa"/>
            <w:bottom w:w="0" w:type="dxa"/>
          </w:tblCellMar>
        </w:tblPrEx>
        <w:tc>
          <w:tcPr>
            <w:tcW w:w="5070" w:type="dxa"/>
          </w:tcPr>
          <w:p w:rsidR="00000000" w:rsidRDefault="00000000">
            <w:pPr>
              <w:rPr>
                <w:rFonts w:hint="eastAsia"/>
              </w:rPr>
            </w:pPr>
            <w:r>
              <w:rPr>
                <w:rFonts w:hint="eastAsia"/>
              </w:rPr>
              <w:t>未注册学分的外国学生</w:t>
            </w:r>
          </w:p>
        </w:tc>
        <w:tc>
          <w:tcPr>
            <w:tcW w:w="2340" w:type="dxa"/>
          </w:tcPr>
          <w:p w:rsidR="00000000" w:rsidRDefault="00000000">
            <w:pPr>
              <w:ind w:right="227"/>
              <w:jc w:val="right"/>
              <w:rPr>
                <w:rFonts w:hint="eastAsia"/>
              </w:rPr>
            </w:pPr>
            <w:r>
              <w:rPr>
                <w:rFonts w:hint="eastAsia"/>
              </w:rPr>
              <w:t>1,500,000</w:t>
            </w:r>
          </w:p>
        </w:tc>
      </w:tr>
    </w:tbl>
    <w:p w:rsidR="00000000" w:rsidRDefault="00000000">
      <w:pPr>
        <w:rPr>
          <w:rFonts w:hint="eastAsia"/>
        </w:rPr>
      </w:pPr>
      <w:r>
        <w:rPr>
          <w:rFonts w:hint="eastAsia"/>
        </w:rPr>
        <w:tab/>
      </w:r>
    </w:p>
    <w:p w:rsidR="00000000" w:rsidRDefault="00000000">
      <w:pPr>
        <w:rPr>
          <w:rFonts w:hint="eastAsia"/>
        </w:rPr>
      </w:pPr>
      <w:r>
        <w:rPr>
          <w:rFonts w:hint="eastAsia"/>
        </w:rPr>
        <w:tab/>
      </w:r>
      <w:r>
        <w:rPr>
          <w:rFonts w:hint="eastAsia"/>
        </w:rPr>
        <w:t>食宿费根据私立和国家资助学校级别而定。</w:t>
      </w:r>
    </w:p>
    <w:p w:rsidR="00000000" w:rsidRDefault="00000000">
      <w:pPr>
        <w:rPr>
          <w:rFonts w:hint="eastAsia"/>
        </w:rPr>
      </w:pPr>
      <w:r>
        <w:rPr>
          <w:rFonts w:hint="eastAsia"/>
        </w:rPr>
        <w:tab/>
      </w:r>
      <w:r>
        <w:rPr>
          <w:rFonts w:hint="eastAsia"/>
        </w:rPr>
        <w:t>按部门：社会、基层单位、中级、高级和专科、住房密度表、电力消费。</w:t>
      </w:r>
    </w:p>
    <w:p w:rsidR="00000000" w:rsidRDefault="00000000">
      <w:pPr>
        <w:rPr>
          <w:rFonts w:hint="eastAsia"/>
        </w:rPr>
      </w:pPr>
      <w:r>
        <w:rPr>
          <w:rFonts w:hint="eastAsia"/>
        </w:rPr>
        <w:tab/>
      </w:r>
      <w:r>
        <w:rPr>
          <w:rFonts w:hint="eastAsia"/>
        </w:rPr>
        <w:t>有益于接受高级培训学生的学术因素。</w:t>
      </w:r>
    </w:p>
    <w:p w:rsidR="00000000" w:rsidRDefault="00000000">
      <w:pPr>
        <w:rPr>
          <w:rFonts w:hint="eastAsia"/>
        </w:rPr>
      </w:pPr>
    </w:p>
    <w:tbl>
      <w:tblPr>
        <w:tblW w:w="0" w:type="auto"/>
        <w:tblInd w:w="498" w:type="dxa"/>
        <w:tblLook w:val="0000" w:firstRow="0" w:lastRow="0" w:firstColumn="0" w:lastColumn="0" w:noHBand="0" w:noVBand="0"/>
      </w:tblPr>
      <w:tblGrid>
        <w:gridCol w:w="5070"/>
        <w:gridCol w:w="2340"/>
      </w:tblGrid>
      <w:tr w:rsidR="00000000">
        <w:tblPrEx>
          <w:tblCellMar>
            <w:top w:w="0" w:type="dxa"/>
            <w:bottom w:w="0" w:type="dxa"/>
          </w:tblCellMar>
        </w:tblPrEx>
        <w:tc>
          <w:tcPr>
            <w:tcW w:w="5070" w:type="dxa"/>
          </w:tcPr>
          <w:p w:rsidR="00000000" w:rsidRDefault="00000000">
            <w:pPr>
              <w:rPr>
                <w:rFonts w:hint="eastAsia"/>
                <w:lang w:val="fr-CH"/>
              </w:rPr>
            </w:pPr>
          </w:p>
        </w:tc>
        <w:tc>
          <w:tcPr>
            <w:tcW w:w="2340" w:type="dxa"/>
          </w:tcPr>
          <w:p w:rsidR="00000000" w:rsidRDefault="00000000">
            <w:pPr>
              <w:ind w:right="227"/>
              <w:jc w:val="right"/>
              <w:rPr>
                <w:rFonts w:hint="eastAsia"/>
                <w:lang w:val="fr-CH"/>
              </w:rPr>
            </w:pPr>
            <w:r>
              <w:rPr>
                <w:rFonts w:hint="eastAsia"/>
                <w:lang w:val="fr-CH"/>
              </w:rPr>
              <w:t>苏克雷</w:t>
            </w:r>
          </w:p>
        </w:tc>
      </w:tr>
      <w:tr w:rsidR="00000000">
        <w:tblPrEx>
          <w:tblCellMar>
            <w:top w:w="0" w:type="dxa"/>
            <w:bottom w:w="0" w:type="dxa"/>
          </w:tblCellMar>
        </w:tblPrEx>
        <w:tc>
          <w:tcPr>
            <w:tcW w:w="5070" w:type="dxa"/>
          </w:tcPr>
          <w:p w:rsidR="00000000" w:rsidRDefault="00000000">
            <w:pPr>
              <w:rPr>
                <w:rFonts w:hint="eastAsia"/>
                <w:lang w:val="fr-CH"/>
              </w:rPr>
            </w:pPr>
            <w:r>
              <w:rPr>
                <w:rFonts w:hint="eastAsia"/>
                <w:lang w:val="fr-CH"/>
              </w:rPr>
              <w:t>登记或在学证明书费</w:t>
            </w:r>
          </w:p>
        </w:tc>
        <w:tc>
          <w:tcPr>
            <w:tcW w:w="2340" w:type="dxa"/>
          </w:tcPr>
          <w:p w:rsidR="00000000" w:rsidRDefault="00000000">
            <w:pPr>
              <w:ind w:right="227"/>
              <w:jc w:val="right"/>
              <w:rPr>
                <w:rFonts w:hint="eastAsia"/>
                <w:lang w:val="fr-CH"/>
              </w:rPr>
            </w:pPr>
            <w:r>
              <w:rPr>
                <w:rFonts w:hint="eastAsia"/>
                <w:lang w:val="fr-CH"/>
              </w:rPr>
              <w:t>10,000</w:t>
            </w:r>
          </w:p>
        </w:tc>
      </w:tr>
      <w:tr w:rsidR="00000000">
        <w:tblPrEx>
          <w:tblCellMar>
            <w:top w:w="0" w:type="dxa"/>
            <w:bottom w:w="0" w:type="dxa"/>
          </w:tblCellMar>
        </w:tblPrEx>
        <w:tc>
          <w:tcPr>
            <w:tcW w:w="5070" w:type="dxa"/>
          </w:tcPr>
          <w:p w:rsidR="00000000" w:rsidRDefault="00000000">
            <w:pPr>
              <w:rPr>
                <w:rFonts w:hint="eastAsia"/>
                <w:lang w:val="fr-CH"/>
              </w:rPr>
            </w:pPr>
            <w:r>
              <w:rPr>
                <w:rFonts w:hint="eastAsia"/>
                <w:lang w:val="fr-CH"/>
              </w:rPr>
              <w:t>学位证书费</w:t>
            </w:r>
          </w:p>
        </w:tc>
        <w:tc>
          <w:tcPr>
            <w:tcW w:w="2340" w:type="dxa"/>
          </w:tcPr>
          <w:p w:rsidR="00000000" w:rsidRDefault="00000000">
            <w:pPr>
              <w:ind w:right="227"/>
              <w:jc w:val="right"/>
              <w:rPr>
                <w:rFonts w:hint="eastAsia"/>
                <w:lang w:val="fr-CH"/>
              </w:rPr>
            </w:pPr>
            <w:r>
              <w:rPr>
                <w:rFonts w:hint="eastAsia"/>
                <w:lang w:val="fr-CH"/>
              </w:rPr>
              <w:t>100,000</w:t>
            </w:r>
          </w:p>
        </w:tc>
      </w:tr>
      <w:tr w:rsidR="00000000">
        <w:tblPrEx>
          <w:tblCellMar>
            <w:top w:w="0" w:type="dxa"/>
            <w:bottom w:w="0" w:type="dxa"/>
          </w:tblCellMar>
        </w:tblPrEx>
        <w:tc>
          <w:tcPr>
            <w:tcW w:w="5070" w:type="dxa"/>
          </w:tcPr>
          <w:p w:rsidR="00000000" w:rsidRDefault="00000000">
            <w:pPr>
              <w:rPr>
                <w:rFonts w:hint="eastAsia"/>
                <w:lang w:val="fr-CH"/>
              </w:rPr>
            </w:pPr>
            <w:r>
              <w:rPr>
                <w:rFonts w:hint="eastAsia"/>
                <w:lang w:val="fr-CH"/>
              </w:rPr>
              <w:t>社会经济因素核查费</w:t>
            </w:r>
          </w:p>
        </w:tc>
        <w:tc>
          <w:tcPr>
            <w:tcW w:w="2340" w:type="dxa"/>
          </w:tcPr>
          <w:p w:rsidR="00000000" w:rsidRDefault="00000000">
            <w:pPr>
              <w:ind w:right="227"/>
              <w:jc w:val="right"/>
              <w:rPr>
                <w:rFonts w:hint="eastAsia"/>
                <w:lang w:val="fr-CH"/>
              </w:rPr>
            </w:pPr>
            <w:r>
              <w:rPr>
                <w:rFonts w:hint="eastAsia"/>
                <w:lang w:val="fr-CH"/>
              </w:rPr>
              <w:t>70,000</w:t>
            </w:r>
          </w:p>
        </w:tc>
      </w:tr>
      <w:tr w:rsidR="00000000">
        <w:tblPrEx>
          <w:tblCellMar>
            <w:top w:w="0" w:type="dxa"/>
            <w:bottom w:w="0" w:type="dxa"/>
          </w:tblCellMar>
        </w:tblPrEx>
        <w:tc>
          <w:tcPr>
            <w:tcW w:w="5070" w:type="dxa"/>
          </w:tcPr>
          <w:p w:rsidR="00000000" w:rsidRDefault="00000000">
            <w:r>
              <w:rPr>
                <w:rFonts w:hint="eastAsia"/>
                <w:lang w:val="fr-CH"/>
              </w:rPr>
              <w:t>改动学习科目费</w:t>
            </w:r>
          </w:p>
        </w:tc>
        <w:tc>
          <w:tcPr>
            <w:tcW w:w="2340" w:type="dxa"/>
          </w:tcPr>
          <w:p w:rsidR="00000000" w:rsidRDefault="00000000">
            <w:pPr>
              <w:ind w:right="227"/>
              <w:jc w:val="right"/>
              <w:rPr>
                <w:rFonts w:hint="eastAsia"/>
                <w:lang w:val="fr-CH"/>
              </w:rPr>
            </w:pPr>
            <w:r>
              <w:rPr>
                <w:rFonts w:hint="eastAsia"/>
                <w:lang w:val="fr-CH"/>
              </w:rPr>
              <w:t>200,000</w:t>
            </w:r>
          </w:p>
        </w:tc>
      </w:tr>
      <w:tr w:rsidR="00000000">
        <w:tblPrEx>
          <w:tblCellMar>
            <w:top w:w="0" w:type="dxa"/>
            <w:bottom w:w="0" w:type="dxa"/>
          </w:tblCellMar>
        </w:tblPrEx>
        <w:tc>
          <w:tcPr>
            <w:tcW w:w="5070" w:type="dxa"/>
          </w:tcPr>
          <w:p w:rsidR="00000000" w:rsidRDefault="00000000">
            <w:pPr>
              <w:rPr>
                <w:rFonts w:hint="eastAsia"/>
                <w:lang w:val="fr-CH"/>
              </w:rPr>
            </w:pPr>
            <w:r>
              <w:rPr>
                <w:rFonts w:hint="eastAsia"/>
                <w:lang w:val="fr-CH"/>
              </w:rPr>
              <w:t>确认课程费</w:t>
            </w:r>
          </w:p>
        </w:tc>
        <w:tc>
          <w:tcPr>
            <w:tcW w:w="2340" w:type="dxa"/>
          </w:tcPr>
          <w:p w:rsidR="00000000" w:rsidRDefault="00000000">
            <w:pPr>
              <w:ind w:right="227"/>
              <w:jc w:val="right"/>
              <w:rPr>
                <w:rFonts w:hint="eastAsia"/>
                <w:lang w:val="fr-CH"/>
              </w:rPr>
            </w:pPr>
            <w:r>
              <w:rPr>
                <w:rFonts w:hint="eastAsia"/>
                <w:lang w:val="fr-CH"/>
              </w:rPr>
              <w:t>50,000</w:t>
            </w:r>
          </w:p>
        </w:tc>
      </w:tr>
      <w:tr w:rsidR="00000000">
        <w:tblPrEx>
          <w:tblCellMar>
            <w:top w:w="0" w:type="dxa"/>
            <w:bottom w:w="0" w:type="dxa"/>
          </w:tblCellMar>
        </w:tblPrEx>
        <w:tc>
          <w:tcPr>
            <w:tcW w:w="5070" w:type="dxa"/>
          </w:tcPr>
          <w:p w:rsidR="00000000" w:rsidRDefault="00000000">
            <w:pPr>
              <w:rPr>
                <w:rFonts w:hint="eastAsia"/>
                <w:lang w:val="fr-CH"/>
              </w:rPr>
            </w:pPr>
            <w:r>
              <w:rPr>
                <w:rFonts w:hint="eastAsia"/>
                <w:lang w:val="fr-CH"/>
              </w:rPr>
              <w:t>进修学习确认课程费</w:t>
            </w:r>
          </w:p>
        </w:tc>
        <w:tc>
          <w:tcPr>
            <w:tcW w:w="2340" w:type="dxa"/>
          </w:tcPr>
          <w:p w:rsidR="00000000" w:rsidRDefault="00000000">
            <w:pPr>
              <w:ind w:right="227"/>
              <w:jc w:val="right"/>
              <w:rPr>
                <w:rFonts w:hint="eastAsia"/>
                <w:lang w:val="fr-CH"/>
              </w:rPr>
            </w:pPr>
            <w:r>
              <w:rPr>
                <w:rFonts w:hint="eastAsia"/>
                <w:lang w:val="fr-CH"/>
              </w:rPr>
              <w:t>600,000</w:t>
            </w:r>
          </w:p>
        </w:tc>
      </w:tr>
      <w:tr w:rsidR="00000000">
        <w:tblPrEx>
          <w:tblCellMar>
            <w:top w:w="0" w:type="dxa"/>
            <w:bottom w:w="0" w:type="dxa"/>
          </w:tblCellMar>
        </w:tblPrEx>
        <w:tc>
          <w:tcPr>
            <w:tcW w:w="5070" w:type="dxa"/>
          </w:tcPr>
          <w:p w:rsidR="00000000" w:rsidRDefault="00000000">
            <w:pPr>
              <w:rPr>
                <w:rFonts w:hint="eastAsia"/>
                <w:lang w:val="fr-CH"/>
              </w:rPr>
            </w:pPr>
            <w:r>
              <w:rPr>
                <w:rFonts w:hint="eastAsia"/>
                <w:lang w:val="fr-CH"/>
              </w:rPr>
              <w:t>学生记录簿复印费</w:t>
            </w:r>
          </w:p>
        </w:tc>
        <w:tc>
          <w:tcPr>
            <w:tcW w:w="2340" w:type="dxa"/>
          </w:tcPr>
          <w:p w:rsidR="00000000" w:rsidRDefault="00000000">
            <w:pPr>
              <w:ind w:right="227"/>
              <w:jc w:val="right"/>
              <w:rPr>
                <w:rFonts w:hint="eastAsia"/>
                <w:lang w:val="fr-CH"/>
              </w:rPr>
            </w:pPr>
            <w:r>
              <w:rPr>
                <w:rFonts w:hint="eastAsia"/>
                <w:lang w:val="fr-CH"/>
              </w:rPr>
              <w:t>45,000</w:t>
            </w:r>
          </w:p>
        </w:tc>
      </w:tr>
      <w:tr w:rsidR="00000000">
        <w:tblPrEx>
          <w:tblCellMar>
            <w:top w:w="0" w:type="dxa"/>
            <w:bottom w:w="0" w:type="dxa"/>
          </w:tblCellMar>
        </w:tblPrEx>
        <w:tc>
          <w:tcPr>
            <w:tcW w:w="5070" w:type="dxa"/>
          </w:tcPr>
          <w:p w:rsidR="00000000" w:rsidRDefault="00000000">
            <w:pPr>
              <w:rPr>
                <w:rFonts w:hint="eastAsia"/>
                <w:lang w:val="fr-CH"/>
              </w:rPr>
            </w:pPr>
            <w:r>
              <w:rPr>
                <w:rFonts w:hint="eastAsia"/>
                <w:lang w:val="fr-CH"/>
              </w:rPr>
              <w:t>其他证书费</w:t>
            </w:r>
          </w:p>
        </w:tc>
        <w:tc>
          <w:tcPr>
            <w:tcW w:w="2340" w:type="dxa"/>
          </w:tcPr>
          <w:p w:rsidR="00000000" w:rsidRDefault="00000000">
            <w:pPr>
              <w:ind w:right="227"/>
              <w:jc w:val="right"/>
              <w:rPr>
                <w:rFonts w:hint="eastAsia"/>
                <w:lang w:val="fr-CH"/>
              </w:rPr>
            </w:pPr>
            <w:r>
              <w:rPr>
                <w:rFonts w:hint="eastAsia"/>
                <w:lang w:val="fr-CH"/>
              </w:rPr>
              <w:t>10,000</w:t>
            </w:r>
          </w:p>
        </w:tc>
      </w:tr>
    </w:tbl>
    <w:p w:rsidR="00000000" w:rsidRDefault="00000000">
      <w:pPr>
        <w:spacing w:before="300" w:after="240"/>
        <w:ind w:left="500"/>
        <w:rPr>
          <w:rFonts w:hint="eastAsia"/>
        </w:rPr>
      </w:pPr>
      <w:r>
        <w:rPr>
          <w:rFonts w:hint="eastAsia"/>
        </w:rPr>
        <w:t>学期制课程其他收费</w:t>
      </w:r>
    </w:p>
    <w:p w:rsidR="00000000" w:rsidRDefault="00000000">
      <w:pPr>
        <w:spacing w:after="320"/>
        <w:ind w:left="500"/>
        <w:rPr>
          <w:rFonts w:hint="eastAsia"/>
        </w:rPr>
      </w:pPr>
      <w:r>
        <w:rPr>
          <w:rFonts w:hint="eastAsia"/>
        </w:rPr>
        <w:t>其他费用和收费</w:t>
      </w:r>
    </w:p>
    <w:p w:rsidR="00000000" w:rsidRDefault="00000000">
      <w:pPr>
        <w:pStyle w:val="Heading4"/>
        <w:spacing w:after="160"/>
        <w:rPr>
          <w:rFonts w:hint="eastAsia"/>
        </w:rPr>
      </w:pPr>
      <w:r>
        <w:rPr>
          <w:rFonts w:hint="eastAsia"/>
        </w:rPr>
        <w:t>受国家补贴的私立大学</w:t>
      </w:r>
    </w:p>
    <w:p w:rsidR="00000000" w:rsidRDefault="00000000">
      <w:pPr>
        <w:pStyle w:val="Heading4"/>
        <w:spacing w:after="160"/>
        <w:ind w:left="500"/>
        <w:rPr>
          <w:rFonts w:hint="eastAsia"/>
        </w:rPr>
      </w:pPr>
      <w:r>
        <w:rPr>
          <w:rFonts w:hint="eastAsia"/>
        </w:rPr>
        <w:t>S</w:t>
      </w:r>
      <w:r>
        <w:t xml:space="preserve">antiago de Guayaquil </w:t>
      </w:r>
      <w:r>
        <w:rPr>
          <w:rFonts w:hint="eastAsia"/>
        </w:rPr>
        <w:t>天主教大学</w:t>
      </w:r>
      <w:r>
        <w:rPr>
          <w:rFonts w:hint="eastAsia"/>
        </w:rPr>
        <w:t>(1999-2000</w:t>
      </w:r>
      <w:r>
        <w:rPr>
          <w:rFonts w:hint="eastAsia"/>
        </w:rPr>
        <w:t>年</w:t>
      </w:r>
      <w:r>
        <w:rPr>
          <w:rFonts w:hint="eastAsia"/>
        </w:rPr>
        <w:t>)</w:t>
      </w:r>
    </w:p>
    <w:p w:rsidR="00000000" w:rsidRDefault="00000000">
      <w:pPr>
        <w:rPr>
          <w:rFonts w:hint="eastAsia"/>
        </w:rPr>
      </w:pPr>
      <w:r>
        <w:rPr>
          <w:rFonts w:hint="eastAsia"/>
        </w:rPr>
        <w:tab/>
      </w:r>
      <w:r>
        <w:rPr>
          <w:rFonts w:hint="eastAsia"/>
          <w:lang w:val="fr-CH"/>
        </w:rPr>
        <w:t>该大学依下列七项比额根据学生的社会经济状况收取费用</w:t>
      </w:r>
      <w:r>
        <w:rPr>
          <w:rFonts w:hint="eastAsia"/>
        </w:rPr>
        <w:t> </w:t>
      </w:r>
      <w:r>
        <w:rPr>
          <w:rFonts w:hint="eastAsia"/>
        </w:rPr>
        <w:t>：</w:t>
      </w:r>
    </w:p>
    <w:tbl>
      <w:tblPr>
        <w:tblW w:w="0" w:type="auto"/>
        <w:tblInd w:w="1148" w:type="dxa"/>
        <w:tblLook w:val="0000" w:firstRow="0" w:lastRow="0" w:firstColumn="0" w:lastColumn="0" w:noHBand="0" w:noVBand="0"/>
      </w:tblPr>
      <w:tblGrid>
        <w:gridCol w:w="1110"/>
        <w:gridCol w:w="1690"/>
      </w:tblGrid>
      <w:tr w:rsidR="00000000">
        <w:tblPrEx>
          <w:tblCellMar>
            <w:top w:w="0" w:type="dxa"/>
            <w:bottom w:w="0" w:type="dxa"/>
          </w:tblCellMar>
        </w:tblPrEx>
        <w:tc>
          <w:tcPr>
            <w:tcW w:w="1110" w:type="dxa"/>
          </w:tcPr>
          <w:p w:rsidR="00000000" w:rsidRDefault="00000000">
            <w:pPr>
              <w:spacing w:line="288" w:lineRule="auto"/>
              <w:rPr>
                <w:rFonts w:hint="eastAsia"/>
              </w:rPr>
            </w:pPr>
          </w:p>
        </w:tc>
        <w:tc>
          <w:tcPr>
            <w:tcW w:w="1690" w:type="dxa"/>
          </w:tcPr>
          <w:p w:rsidR="00000000" w:rsidRDefault="00000000">
            <w:pPr>
              <w:spacing w:line="288" w:lineRule="auto"/>
              <w:ind w:right="227"/>
              <w:jc w:val="right"/>
              <w:rPr>
                <w:rFonts w:hint="eastAsia"/>
              </w:rPr>
            </w:pPr>
            <w:r>
              <w:rPr>
                <w:rFonts w:hint="eastAsia"/>
                <w:lang w:val="fr-CH"/>
              </w:rPr>
              <w:t>苏克雷</w:t>
            </w:r>
          </w:p>
        </w:tc>
      </w:tr>
      <w:tr w:rsidR="00000000">
        <w:tblPrEx>
          <w:tblCellMar>
            <w:top w:w="0" w:type="dxa"/>
            <w:bottom w:w="0" w:type="dxa"/>
          </w:tblCellMar>
        </w:tblPrEx>
        <w:tc>
          <w:tcPr>
            <w:tcW w:w="1110" w:type="dxa"/>
          </w:tcPr>
          <w:p w:rsidR="00000000" w:rsidRDefault="00000000">
            <w:pPr>
              <w:spacing w:line="288" w:lineRule="auto"/>
              <w:rPr>
                <w:rFonts w:hint="eastAsia"/>
              </w:rPr>
            </w:pPr>
            <w:r>
              <w:rPr>
                <w:rFonts w:hint="eastAsia"/>
              </w:rPr>
              <w:t>1.</w:t>
            </w:r>
          </w:p>
        </w:tc>
        <w:tc>
          <w:tcPr>
            <w:tcW w:w="1690" w:type="dxa"/>
          </w:tcPr>
          <w:p w:rsidR="00000000" w:rsidRDefault="00000000">
            <w:pPr>
              <w:spacing w:line="288" w:lineRule="auto"/>
              <w:ind w:right="227"/>
              <w:jc w:val="right"/>
              <w:rPr>
                <w:rFonts w:hint="eastAsia"/>
              </w:rPr>
            </w:pPr>
            <w:r>
              <w:rPr>
                <w:rFonts w:hint="eastAsia"/>
              </w:rPr>
              <w:t>116,265</w:t>
            </w:r>
          </w:p>
        </w:tc>
      </w:tr>
      <w:tr w:rsidR="00000000">
        <w:tblPrEx>
          <w:tblCellMar>
            <w:top w:w="0" w:type="dxa"/>
            <w:bottom w:w="0" w:type="dxa"/>
          </w:tblCellMar>
        </w:tblPrEx>
        <w:tc>
          <w:tcPr>
            <w:tcW w:w="1110" w:type="dxa"/>
          </w:tcPr>
          <w:p w:rsidR="00000000" w:rsidRDefault="00000000">
            <w:pPr>
              <w:spacing w:line="288" w:lineRule="auto"/>
              <w:rPr>
                <w:rFonts w:hint="eastAsia"/>
              </w:rPr>
            </w:pPr>
            <w:r>
              <w:rPr>
                <w:rFonts w:hint="eastAsia"/>
              </w:rPr>
              <w:t>2.</w:t>
            </w:r>
          </w:p>
        </w:tc>
        <w:tc>
          <w:tcPr>
            <w:tcW w:w="1690" w:type="dxa"/>
          </w:tcPr>
          <w:p w:rsidR="00000000" w:rsidRDefault="00000000">
            <w:pPr>
              <w:spacing w:line="288" w:lineRule="auto"/>
              <w:ind w:right="227"/>
              <w:jc w:val="right"/>
              <w:rPr>
                <w:rFonts w:hint="eastAsia"/>
              </w:rPr>
            </w:pPr>
            <w:r>
              <w:rPr>
                <w:rFonts w:hint="eastAsia"/>
              </w:rPr>
              <w:t>200,000</w:t>
            </w:r>
          </w:p>
        </w:tc>
      </w:tr>
      <w:tr w:rsidR="00000000">
        <w:tblPrEx>
          <w:tblCellMar>
            <w:top w:w="0" w:type="dxa"/>
            <w:bottom w:w="0" w:type="dxa"/>
          </w:tblCellMar>
        </w:tblPrEx>
        <w:tc>
          <w:tcPr>
            <w:tcW w:w="1110" w:type="dxa"/>
          </w:tcPr>
          <w:p w:rsidR="00000000" w:rsidRDefault="00000000">
            <w:pPr>
              <w:spacing w:line="288" w:lineRule="auto"/>
              <w:rPr>
                <w:rFonts w:hint="eastAsia"/>
              </w:rPr>
            </w:pPr>
            <w:r>
              <w:rPr>
                <w:rFonts w:hint="eastAsia"/>
              </w:rPr>
              <w:t>3.</w:t>
            </w:r>
          </w:p>
        </w:tc>
        <w:tc>
          <w:tcPr>
            <w:tcW w:w="1690" w:type="dxa"/>
          </w:tcPr>
          <w:p w:rsidR="00000000" w:rsidRDefault="00000000">
            <w:pPr>
              <w:spacing w:line="288" w:lineRule="auto"/>
              <w:ind w:right="227"/>
              <w:jc w:val="right"/>
              <w:rPr>
                <w:rFonts w:hint="eastAsia"/>
              </w:rPr>
            </w:pPr>
            <w:r>
              <w:rPr>
                <w:rFonts w:hint="eastAsia"/>
              </w:rPr>
              <w:t>346,027</w:t>
            </w:r>
          </w:p>
        </w:tc>
      </w:tr>
      <w:tr w:rsidR="00000000">
        <w:tblPrEx>
          <w:tblCellMar>
            <w:top w:w="0" w:type="dxa"/>
            <w:bottom w:w="0" w:type="dxa"/>
          </w:tblCellMar>
        </w:tblPrEx>
        <w:tc>
          <w:tcPr>
            <w:tcW w:w="1110" w:type="dxa"/>
          </w:tcPr>
          <w:p w:rsidR="00000000" w:rsidRDefault="00000000">
            <w:pPr>
              <w:spacing w:line="288" w:lineRule="auto"/>
              <w:rPr>
                <w:rFonts w:hint="eastAsia"/>
              </w:rPr>
            </w:pPr>
            <w:r>
              <w:rPr>
                <w:rFonts w:hint="eastAsia"/>
              </w:rPr>
              <w:t>4.</w:t>
            </w:r>
          </w:p>
        </w:tc>
        <w:tc>
          <w:tcPr>
            <w:tcW w:w="1690" w:type="dxa"/>
          </w:tcPr>
          <w:p w:rsidR="00000000" w:rsidRDefault="00000000">
            <w:pPr>
              <w:spacing w:line="288" w:lineRule="auto"/>
              <w:ind w:right="227"/>
              <w:jc w:val="right"/>
              <w:rPr>
                <w:rFonts w:hint="eastAsia"/>
              </w:rPr>
            </w:pPr>
            <w:r>
              <w:rPr>
                <w:rFonts w:hint="eastAsia"/>
              </w:rPr>
              <w:t>519,041</w:t>
            </w:r>
          </w:p>
        </w:tc>
      </w:tr>
      <w:tr w:rsidR="00000000">
        <w:tblPrEx>
          <w:tblCellMar>
            <w:top w:w="0" w:type="dxa"/>
            <w:bottom w:w="0" w:type="dxa"/>
          </w:tblCellMar>
        </w:tblPrEx>
        <w:tc>
          <w:tcPr>
            <w:tcW w:w="1110" w:type="dxa"/>
          </w:tcPr>
          <w:p w:rsidR="00000000" w:rsidRDefault="00000000">
            <w:pPr>
              <w:spacing w:line="288" w:lineRule="auto"/>
              <w:rPr>
                <w:rFonts w:hint="eastAsia"/>
              </w:rPr>
            </w:pPr>
            <w:r>
              <w:rPr>
                <w:rFonts w:hint="eastAsia"/>
              </w:rPr>
              <w:t>5.</w:t>
            </w:r>
          </w:p>
        </w:tc>
        <w:tc>
          <w:tcPr>
            <w:tcW w:w="1690" w:type="dxa"/>
          </w:tcPr>
          <w:p w:rsidR="00000000" w:rsidRDefault="00000000">
            <w:pPr>
              <w:spacing w:line="288" w:lineRule="auto"/>
              <w:ind w:right="227"/>
              <w:jc w:val="right"/>
              <w:rPr>
                <w:rFonts w:hint="eastAsia"/>
              </w:rPr>
            </w:pPr>
            <w:r>
              <w:rPr>
                <w:rFonts w:hint="eastAsia"/>
              </w:rPr>
              <w:t>692,055</w:t>
            </w:r>
          </w:p>
        </w:tc>
      </w:tr>
      <w:tr w:rsidR="00000000">
        <w:tblPrEx>
          <w:tblCellMar>
            <w:top w:w="0" w:type="dxa"/>
            <w:bottom w:w="0" w:type="dxa"/>
          </w:tblCellMar>
        </w:tblPrEx>
        <w:tc>
          <w:tcPr>
            <w:tcW w:w="1110" w:type="dxa"/>
          </w:tcPr>
          <w:p w:rsidR="00000000" w:rsidRDefault="00000000">
            <w:pPr>
              <w:spacing w:line="288" w:lineRule="auto"/>
              <w:rPr>
                <w:rFonts w:hint="eastAsia"/>
              </w:rPr>
            </w:pPr>
            <w:r>
              <w:rPr>
                <w:rFonts w:hint="eastAsia"/>
              </w:rPr>
              <w:t>6.</w:t>
            </w:r>
          </w:p>
        </w:tc>
        <w:tc>
          <w:tcPr>
            <w:tcW w:w="1690" w:type="dxa"/>
          </w:tcPr>
          <w:p w:rsidR="00000000" w:rsidRDefault="00000000">
            <w:pPr>
              <w:spacing w:line="288" w:lineRule="auto"/>
              <w:ind w:right="227"/>
              <w:jc w:val="right"/>
              <w:rPr>
                <w:rFonts w:hint="eastAsia"/>
              </w:rPr>
            </w:pPr>
            <w:r>
              <w:rPr>
                <w:rFonts w:hint="eastAsia"/>
              </w:rPr>
              <w:t>897,199</w:t>
            </w:r>
          </w:p>
        </w:tc>
      </w:tr>
      <w:tr w:rsidR="00000000">
        <w:tblPrEx>
          <w:tblCellMar>
            <w:top w:w="0" w:type="dxa"/>
            <w:bottom w:w="0" w:type="dxa"/>
          </w:tblCellMar>
        </w:tblPrEx>
        <w:tc>
          <w:tcPr>
            <w:tcW w:w="1110" w:type="dxa"/>
          </w:tcPr>
          <w:p w:rsidR="00000000" w:rsidRDefault="00000000">
            <w:pPr>
              <w:spacing w:line="288" w:lineRule="auto"/>
              <w:rPr>
                <w:rFonts w:hint="eastAsia"/>
              </w:rPr>
            </w:pPr>
            <w:r>
              <w:rPr>
                <w:rFonts w:hint="eastAsia"/>
              </w:rPr>
              <w:t>7.</w:t>
            </w:r>
          </w:p>
        </w:tc>
        <w:tc>
          <w:tcPr>
            <w:tcW w:w="1690" w:type="dxa"/>
          </w:tcPr>
          <w:p w:rsidR="00000000" w:rsidRDefault="00000000">
            <w:pPr>
              <w:spacing w:line="288" w:lineRule="auto"/>
              <w:ind w:right="227"/>
              <w:jc w:val="right"/>
              <w:rPr>
                <w:rFonts w:hint="eastAsia"/>
              </w:rPr>
            </w:pPr>
            <w:r>
              <w:rPr>
                <w:rFonts w:hint="eastAsia"/>
              </w:rPr>
              <w:t>1,147,516</w:t>
            </w:r>
          </w:p>
        </w:tc>
      </w:tr>
    </w:tbl>
    <w:p w:rsidR="00000000" w:rsidRDefault="00000000">
      <w:pPr>
        <w:spacing w:line="288" w:lineRule="auto"/>
        <w:rPr>
          <w:rFonts w:hint="eastAsia"/>
        </w:rPr>
      </w:pPr>
    </w:p>
    <w:p w:rsidR="00000000" w:rsidRDefault="00000000">
      <w:pPr>
        <w:pStyle w:val="Heading4"/>
        <w:ind w:left="510"/>
        <w:rPr>
          <w:rFonts w:hint="eastAsia"/>
        </w:rPr>
      </w:pPr>
      <w:r>
        <w:rPr>
          <w:rFonts w:hint="eastAsia"/>
        </w:rPr>
        <w:t>V</w:t>
      </w:r>
      <w:r>
        <w:t>icente Rocafuerte de Guayaquil</w:t>
      </w:r>
      <w:r>
        <w:rPr>
          <w:rFonts w:hint="eastAsia"/>
          <w:lang w:val="fr-CH"/>
        </w:rPr>
        <w:t>普通大学</w:t>
      </w:r>
    </w:p>
    <w:tbl>
      <w:tblPr>
        <w:tblW w:w="0" w:type="auto"/>
        <w:tblInd w:w="1148" w:type="dxa"/>
        <w:tblLook w:val="0000" w:firstRow="0" w:lastRow="0" w:firstColumn="0" w:lastColumn="0" w:noHBand="0" w:noVBand="0"/>
      </w:tblPr>
      <w:tblGrid>
        <w:gridCol w:w="4420"/>
        <w:gridCol w:w="2340"/>
      </w:tblGrid>
      <w:tr w:rsidR="00000000">
        <w:tblPrEx>
          <w:tblCellMar>
            <w:top w:w="0" w:type="dxa"/>
            <w:bottom w:w="0" w:type="dxa"/>
          </w:tblCellMar>
        </w:tblPrEx>
        <w:tc>
          <w:tcPr>
            <w:tcW w:w="4420" w:type="dxa"/>
          </w:tcPr>
          <w:p w:rsidR="00000000" w:rsidRDefault="00000000">
            <w:pPr>
              <w:spacing w:line="288" w:lineRule="auto"/>
              <w:rPr>
                <w:rFonts w:hint="eastAsia"/>
              </w:rPr>
            </w:pPr>
          </w:p>
        </w:tc>
        <w:tc>
          <w:tcPr>
            <w:tcW w:w="2340" w:type="dxa"/>
          </w:tcPr>
          <w:p w:rsidR="00000000" w:rsidRDefault="00000000">
            <w:pPr>
              <w:spacing w:line="288" w:lineRule="auto"/>
              <w:ind w:right="227"/>
              <w:jc w:val="right"/>
              <w:rPr>
                <w:rFonts w:hint="eastAsia"/>
              </w:rPr>
            </w:pPr>
            <w:r>
              <w:rPr>
                <w:rFonts w:hint="eastAsia"/>
                <w:lang w:val="fr-CH"/>
              </w:rPr>
              <w:t>苏克雷</w:t>
            </w:r>
          </w:p>
        </w:tc>
      </w:tr>
      <w:tr w:rsidR="00000000">
        <w:tblPrEx>
          <w:tblCellMar>
            <w:top w:w="0" w:type="dxa"/>
            <w:bottom w:w="0" w:type="dxa"/>
          </w:tblCellMar>
        </w:tblPrEx>
        <w:tc>
          <w:tcPr>
            <w:tcW w:w="4420" w:type="dxa"/>
          </w:tcPr>
          <w:p w:rsidR="00000000" w:rsidRDefault="00000000">
            <w:pPr>
              <w:spacing w:line="288" w:lineRule="auto"/>
              <w:rPr>
                <w:rFonts w:hint="eastAsia"/>
              </w:rPr>
            </w:pPr>
            <w:r>
              <w:rPr>
                <w:rFonts w:hint="eastAsia"/>
              </w:rPr>
              <w:t>一般</w:t>
            </w:r>
            <w:r>
              <w:rPr>
                <w:rFonts w:hint="eastAsia"/>
                <w:lang w:val="fr-CH"/>
              </w:rPr>
              <w:t>注册</w:t>
            </w:r>
          </w:p>
        </w:tc>
        <w:tc>
          <w:tcPr>
            <w:tcW w:w="2340" w:type="dxa"/>
          </w:tcPr>
          <w:p w:rsidR="00000000" w:rsidRDefault="00000000">
            <w:pPr>
              <w:spacing w:line="288" w:lineRule="auto"/>
              <w:ind w:right="227"/>
              <w:jc w:val="right"/>
              <w:rPr>
                <w:rFonts w:hint="eastAsia"/>
              </w:rPr>
            </w:pPr>
            <w:r>
              <w:rPr>
                <w:rFonts w:hint="eastAsia"/>
              </w:rPr>
              <w:t>200,000</w:t>
            </w:r>
          </w:p>
        </w:tc>
      </w:tr>
      <w:tr w:rsidR="00000000">
        <w:tblPrEx>
          <w:tblCellMar>
            <w:top w:w="0" w:type="dxa"/>
            <w:bottom w:w="0" w:type="dxa"/>
          </w:tblCellMar>
        </w:tblPrEx>
        <w:tc>
          <w:tcPr>
            <w:tcW w:w="4420" w:type="dxa"/>
          </w:tcPr>
          <w:p w:rsidR="00000000" w:rsidRDefault="00000000">
            <w:pPr>
              <w:spacing w:line="288" w:lineRule="auto"/>
              <w:rPr>
                <w:rFonts w:hint="eastAsia"/>
              </w:rPr>
            </w:pPr>
            <w:r>
              <w:rPr>
                <w:rFonts w:hint="eastAsia"/>
                <w:lang w:val="fr-CH"/>
              </w:rPr>
              <w:t>特殊注册</w:t>
            </w:r>
          </w:p>
        </w:tc>
        <w:tc>
          <w:tcPr>
            <w:tcW w:w="2340" w:type="dxa"/>
          </w:tcPr>
          <w:p w:rsidR="00000000" w:rsidRDefault="00000000">
            <w:pPr>
              <w:spacing w:line="288" w:lineRule="auto"/>
              <w:ind w:right="227"/>
              <w:jc w:val="right"/>
              <w:rPr>
                <w:rFonts w:hint="eastAsia"/>
              </w:rPr>
            </w:pPr>
            <w:r>
              <w:rPr>
                <w:rFonts w:hint="eastAsia"/>
              </w:rPr>
              <w:t>300,000</w:t>
            </w:r>
          </w:p>
        </w:tc>
      </w:tr>
      <w:tr w:rsidR="00000000">
        <w:tblPrEx>
          <w:tblCellMar>
            <w:top w:w="0" w:type="dxa"/>
            <w:bottom w:w="0" w:type="dxa"/>
          </w:tblCellMar>
        </w:tblPrEx>
        <w:tc>
          <w:tcPr>
            <w:tcW w:w="4420" w:type="dxa"/>
          </w:tcPr>
          <w:p w:rsidR="00000000" w:rsidRDefault="00000000">
            <w:pPr>
              <w:spacing w:line="288" w:lineRule="auto"/>
              <w:rPr>
                <w:rFonts w:hint="eastAsia"/>
              </w:rPr>
            </w:pPr>
            <w:r>
              <w:rPr>
                <w:rFonts w:hint="eastAsia"/>
                <w:lang w:val="fr-CH"/>
              </w:rPr>
              <w:t>第二次注册</w:t>
            </w:r>
          </w:p>
        </w:tc>
        <w:tc>
          <w:tcPr>
            <w:tcW w:w="2340" w:type="dxa"/>
          </w:tcPr>
          <w:p w:rsidR="00000000" w:rsidRDefault="00000000">
            <w:pPr>
              <w:spacing w:line="288" w:lineRule="auto"/>
              <w:ind w:right="227"/>
              <w:jc w:val="right"/>
              <w:rPr>
                <w:rFonts w:hint="eastAsia"/>
              </w:rPr>
            </w:pPr>
            <w:r>
              <w:rPr>
                <w:rFonts w:hint="eastAsia"/>
              </w:rPr>
              <w:t>400,000</w:t>
            </w:r>
          </w:p>
        </w:tc>
      </w:tr>
      <w:tr w:rsidR="00000000">
        <w:tblPrEx>
          <w:tblCellMar>
            <w:top w:w="0" w:type="dxa"/>
            <w:bottom w:w="0" w:type="dxa"/>
          </w:tblCellMar>
        </w:tblPrEx>
        <w:tc>
          <w:tcPr>
            <w:tcW w:w="4420" w:type="dxa"/>
          </w:tcPr>
          <w:p w:rsidR="00000000" w:rsidRDefault="00000000">
            <w:pPr>
              <w:spacing w:line="288" w:lineRule="auto"/>
              <w:rPr>
                <w:rFonts w:hint="eastAsia"/>
              </w:rPr>
            </w:pPr>
            <w:r>
              <w:rPr>
                <w:rFonts w:hint="eastAsia"/>
                <w:lang w:val="fr-CH"/>
              </w:rPr>
              <w:t>第三次注册</w:t>
            </w:r>
          </w:p>
        </w:tc>
        <w:tc>
          <w:tcPr>
            <w:tcW w:w="2340" w:type="dxa"/>
          </w:tcPr>
          <w:p w:rsidR="00000000" w:rsidRDefault="00000000">
            <w:pPr>
              <w:spacing w:line="288" w:lineRule="auto"/>
              <w:ind w:right="227"/>
              <w:jc w:val="right"/>
              <w:rPr>
                <w:rFonts w:hint="eastAsia"/>
                <w:lang w:val="fr-CH"/>
              </w:rPr>
            </w:pPr>
            <w:r>
              <w:rPr>
                <w:rFonts w:hint="eastAsia"/>
                <w:lang w:val="fr-CH"/>
              </w:rPr>
              <w:t>600,000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外国人</w:t>
            </w:r>
            <w:r>
              <w:rPr>
                <w:rFonts w:hint="eastAsia"/>
                <w:lang w:val="fr-CH"/>
              </w:rPr>
              <w:t>(</w:t>
            </w:r>
            <w:r>
              <w:rPr>
                <w:rFonts w:hint="eastAsia"/>
                <w:lang w:val="fr-CH"/>
              </w:rPr>
              <w:t>初次</w:t>
            </w:r>
            <w:r>
              <w:rPr>
                <w:rFonts w:hint="eastAsia"/>
                <w:lang w:val="fr-CH"/>
              </w:rPr>
              <w:t>)</w:t>
            </w:r>
            <w:r>
              <w:rPr>
                <w:rFonts w:hint="eastAsia"/>
                <w:lang w:val="fr-CH"/>
              </w:rPr>
              <w:t>注册</w:t>
            </w:r>
          </w:p>
        </w:tc>
        <w:tc>
          <w:tcPr>
            <w:tcW w:w="2340" w:type="dxa"/>
          </w:tcPr>
          <w:p w:rsidR="00000000" w:rsidRDefault="00000000">
            <w:pPr>
              <w:spacing w:line="288" w:lineRule="auto"/>
              <w:ind w:right="227"/>
              <w:jc w:val="right"/>
              <w:rPr>
                <w:rFonts w:hint="eastAsia"/>
                <w:lang w:val="fr-CH"/>
              </w:rPr>
            </w:pPr>
            <w:r>
              <w:rPr>
                <w:rFonts w:hint="eastAsia"/>
                <w:lang w:val="fr-CH"/>
              </w:rPr>
              <w:t>3,000,000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外国人</w:t>
            </w:r>
            <w:r>
              <w:rPr>
                <w:rFonts w:hint="eastAsia"/>
                <w:lang w:val="fr-CH"/>
              </w:rPr>
              <w:t>(</w:t>
            </w:r>
            <w:r>
              <w:rPr>
                <w:rFonts w:hint="eastAsia"/>
                <w:lang w:val="fr-CH"/>
              </w:rPr>
              <w:t>校友</w:t>
            </w:r>
            <w:r>
              <w:rPr>
                <w:rFonts w:hint="eastAsia"/>
                <w:lang w:val="fr-CH"/>
              </w:rPr>
              <w:t>)</w:t>
            </w:r>
            <w:r>
              <w:rPr>
                <w:rFonts w:hint="eastAsia"/>
                <w:lang w:val="fr-CH"/>
              </w:rPr>
              <w:t>注册</w:t>
            </w:r>
          </w:p>
        </w:tc>
        <w:tc>
          <w:tcPr>
            <w:tcW w:w="2340" w:type="dxa"/>
          </w:tcPr>
          <w:p w:rsidR="00000000" w:rsidRDefault="00000000">
            <w:pPr>
              <w:spacing w:line="288" w:lineRule="auto"/>
              <w:ind w:right="227"/>
              <w:jc w:val="right"/>
              <w:rPr>
                <w:rFonts w:hint="eastAsia"/>
                <w:lang w:val="fr-CH"/>
              </w:rPr>
            </w:pPr>
            <w:r>
              <w:rPr>
                <w:rFonts w:hint="eastAsia"/>
                <w:lang w:val="fr-CH"/>
              </w:rPr>
              <w:t>600,000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校长办公室准许的其他种类注册</w:t>
            </w:r>
          </w:p>
        </w:tc>
        <w:tc>
          <w:tcPr>
            <w:tcW w:w="2340" w:type="dxa"/>
          </w:tcPr>
          <w:p w:rsidR="00000000" w:rsidRDefault="00000000">
            <w:pPr>
              <w:spacing w:line="288" w:lineRule="auto"/>
              <w:ind w:right="227"/>
              <w:jc w:val="right"/>
              <w:rPr>
                <w:rFonts w:hint="eastAsia"/>
                <w:lang w:val="fr-CH"/>
              </w:rPr>
            </w:pPr>
            <w:r>
              <w:rPr>
                <w:rFonts w:hint="eastAsia"/>
                <w:lang w:val="fr-CH"/>
              </w:rPr>
              <w:t>600,000</w:t>
            </w:r>
          </w:p>
        </w:tc>
      </w:tr>
    </w:tbl>
    <w:p w:rsidR="00000000" w:rsidRDefault="00000000">
      <w:pPr>
        <w:pStyle w:val="Heading4"/>
        <w:spacing w:before="300"/>
        <w:ind w:left="1020"/>
        <w:rPr>
          <w:rFonts w:hint="eastAsia"/>
          <w:lang w:val="fr-CH"/>
        </w:rPr>
      </w:pPr>
      <w:r>
        <w:rPr>
          <w:rFonts w:hint="eastAsia"/>
          <w:lang w:val="fr-CH"/>
        </w:rPr>
        <w:t>每月食宿费用</w:t>
      </w:r>
    </w:p>
    <w:tbl>
      <w:tblPr>
        <w:tblW w:w="0" w:type="auto"/>
        <w:tblInd w:w="1148" w:type="dxa"/>
        <w:tblLook w:val="0000" w:firstRow="0" w:lastRow="0" w:firstColumn="0" w:lastColumn="0" w:noHBand="0" w:noVBand="0"/>
      </w:tblPr>
      <w:tblGrid>
        <w:gridCol w:w="4420"/>
        <w:gridCol w:w="2340"/>
      </w:tblGrid>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第一至第六年</w:t>
            </w:r>
          </w:p>
        </w:tc>
        <w:tc>
          <w:tcPr>
            <w:tcW w:w="2340" w:type="dxa"/>
          </w:tcPr>
          <w:p w:rsidR="00000000" w:rsidRDefault="00000000">
            <w:pPr>
              <w:spacing w:line="288" w:lineRule="auto"/>
              <w:ind w:right="227"/>
              <w:jc w:val="right"/>
              <w:rPr>
                <w:rFonts w:hint="eastAsia"/>
                <w:lang w:val="fr-CH"/>
              </w:rPr>
            </w:pPr>
            <w:r>
              <w:rPr>
                <w:rFonts w:hint="eastAsia"/>
                <w:lang w:val="fr-CH"/>
              </w:rPr>
              <w:t>300,000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期末考试费</w:t>
            </w:r>
          </w:p>
        </w:tc>
        <w:tc>
          <w:tcPr>
            <w:tcW w:w="2340" w:type="dxa"/>
          </w:tcPr>
          <w:p w:rsidR="00000000" w:rsidRDefault="00000000">
            <w:pPr>
              <w:spacing w:line="288" w:lineRule="auto"/>
              <w:ind w:right="227"/>
              <w:jc w:val="right"/>
              <w:rPr>
                <w:rFonts w:hint="eastAsia"/>
                <w:lang w:val="fr-CH"/>
              </w:rPr>
            </w:pPr>
            <w:r>
              <w:rPr>
                <w:rFonts w:hint="eastAsia"/>
                <w:lang w:val="fr-CH"/>
              </w:rPr>
              <w:t>150,000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期末考试费</w:t>
            </w:r>
            <w:r>
              <w:rPr>
                <w:rFonts w:hint="eastAsia"/>
                <w:lang w:val="fr-CH"/>
              </w:rPr>
              <w:t>(</w:t>
            </w:r>
            <w:r>
              <w:rPr>
                <w:rFonts w:hint="eastAsia"/>
              </w:rPr>
              <w:t>推迟</w:t>
            </w:r>
            <w:r>
              <w:rPr>
                <w:rFonts w:hint="eastAsia"/>
                <w:lang w:val="fr-CH"/>
              </w:rPr>
              <w:t>和暂停</w:t>
            </w:r>
            <w:r>
              <w:rPr>
                <w:rFonts w:hint="eastAsia"/>
                <w:lang w:val="fr-CH"/>
              </w:rPr>
              <w:t>)</w:t>
            </w:r>
          </w:p>
        </w:tc>
        <w:tc>
          <w:tcPr>
            <w:tcW w:w="2340" w:type="dxa"/>
          </w:tcPr>
          <w:p w:rsidR="00000000" w:rsidRDefault="00000000">
            <w:pPr>
              <w:spacing w:line="288" w:lineRule="auto"/>
              <w:ind w:right="227"/>
              <w:jc w:val="right"/>
              <w:rPr>
                <w:rFonts w:hint="eastAsia"/>
                <w:lang w:val="fr-CH"/>
              </w:rPr>
            </w:pPr>
            <w:r>
              <w:rPr>
                <w:rFonts w:hint="eastAsia"/>
                <w:lang w:val="fr-CH"/>
              </w:rPr>
              <w:t>25,000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部分或延误考试费</w:t>
            </w:r>
          </w:p>
        </w:tc>
        <w:tc>
          <w:tcPr>
            <w:tcW w:w="2340" w:type="dxa"/>
          </w:tcPr>
          <w:p w:rsidR="00000000" w:rsidRDefault="00000000">
            <w:pPr>
              <w:spacing w:line="288" w:lineRule="auto"/>
              <w:ind w:right="227"/>
              <w:jc w:val="right"/>
              <w:rPr>
                <w:rFonts w:hint="eastAsia"/>
                <w:lang w:val="fr-CH"/>
              </w:rPr>
            </w:pPr>
            <w:r>
              <w:rPr>
                <w:rFonts w:hint="eastAsia"/>
                <w:lang w:val="fr-CH"/>
              </w:rPr>
              <w:t>25,000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额外考试费</w:t>
            </w:r>
          </w:p>
        </w:tc>
        <w:tc>
          <w:tcPr>
            <w:tcW w:w="2340" w:type="dxa"/>
          </w:tcPr>
          <w:p w:rsidR="00000000" w:rsidRDefault="00000000">
            <w:pPr>
              <w:spacing w:line="288" w:lineRule="auto"/>
              <w:ind w:right="227"/>
              <w:jc w:val="right"/>
              <w:rPr>
                <w:rFonts w:hint="eastAsia"/>
                <w:lang w:val="fr-CH"/>
              </w:rPr>
            </w:pPr>
            <w:r>
              <w:rPr>
                <w:rFonts w:hint="eastAsia"/>
                <w:lang w:val="fr-CH"/>
              </w:rPr>
              <w:t>25,000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调换考试费</w:t>
            </w:r>
          </w:p>
        </w:tc>
        <w:tc>
          <w:tcPr>
            <w:tcW w:w="2340" w:type="dxa"/>
          </w:tcPr>
          <w:p w:rsidR="00000000" w:rsidRDefault="00000000">
            <w:pPr>
              <w:spacing w:line="288" w:lineRule="auto"/>
              <w:ind w:right="227"/>
              <w:jc w:val="right"/>
              <w:rPr>
                <w:rFonts w:hint="eastAsia"/>
                <w:lang w:val="fr-CH"/>
              </w:rPr>
            </w:pPr>
            <w:r>
              <w:rPr>
                <w:rFonts w:hint="eastAsia"/>
                <w:lang w:val="fr-CH"/>
              </w:rPr>
              <w:t>50,000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证书或复印费</w:t>
            </w:r>
          </w:p>
        </w:tc>
        <w:tc>
          <w:tcPr>
            <w:tcW w:w="2340" w:type="dxa"/>
          </w:tcPr>
          <w:p w:rsidR="00000000" w:rsidRDefault="00000000">
            <w:pPr>
              <w:spacing w:line="288" w:lineRule="auto"/>
              <w:ind w:right="227"/>
              <w:jc w:val="right"/>
              <w:rPr>
                <w:rFonts w:hint="eastAsia"/>
                <w:lang w:val="fr-CH"/>
              </w:rPr>
            </w:pPr>
            <w:r>
              <w:rPr>
                <w:rFonts w:hint="eastAsia"/>
                <w:lang w:val="fr-CH"/>
              </w:rPr>
              <w:t>10,000</w:t>
            </w:r>
          </w:p>
        </w:tc>
      </w:tr>
      <w:tr w:rsidR="00000000">
        <w:tblPrEx>
          <w:tblCellMar>
            <w:top w:w="0" w:type="dxa"/>
            <w:bottom w:w="0" w:type="dxa"/>
          </w:tblCellMar>
        </w:tblPrEx>
        <w:tc>
          <w:tcPr>
            <w:tcW w:w="4420" w:type="dxa"/>
          </w:tcPr>
          <w:p w:rsidR="00000000" w:rsidRDefault="00000000">
            <w:pPr>
              <w:spacing w:line="288" w:lineRule="auto"/>
              <w:rPr>
                <w:rFonts w:hint="eastAsia"/>
                <w:lang w:val="fr-CH"/>
              </w:rPr>
            </w:pPr>
            <w:r>
              <w:rPr>
                <w:rFonts w:hint="eastAsia"/>
                <w:lang w:val="fr-CH"/>
              </w:rPr>
              <w:t>升级费</w:t>
            </w:r>
          </w:p>
        </w:tc>
        <w:tc>
          <w:tcPr>
            <w:tcW w:w="2340" w:type="dxa"/>
          </w:tcPr>
          <w:p w:rsidR="00000000" w:rsidRDefault="00000000">
            <w:pPr>
              <w:spacing w:line="288" w:lineRule="auto"/>
              <w:ind w:right="227"/>
              <w:jc w:val="right"/>
              <w:rPr>
                <w:rFonts w:hint="eastAsia"/>
                <w:lang w:val="fr-CH"/>
              </w:rPr>
            </w:pPr>
            <w:r>
              <w:rPr>
                <w:rFonts w:hint="eastAsia"/>
                <w:lang w:val="fr-CH"/>
              </w:rPr>
              <w:t>10,000</w:t>
            </w:r>
          </w:p>
        </w:tc>
      </w:tr>
    </w:tbl>
    <w:p w:rsidR="00000000" w:rsidRDefault="00000000">
      <w:pPr>
        <w:rPr>
          <w:rFonts w:hint="eastAsia"/>
          <w:lang w:val="fr-CH"/>
        </w:rPr>
      </w:pPr>
    </w:p>
    <w:p w:rsidR="00000000" w:rsidRDefault="00000000">
      <w:pPr>
        <w:pStyle w:val="Heading4"/>
        <w:spacing w:after="160"/>
        <w:rPr>
          <w:rFonts w:hint="eastAsia"/>
          <w:lang w:val="fr-CH"/>
        </w:rPr>
      </w:pPr>
      <w:r>
        <w:rPr>
          <w:rFonts w:hint="eastAsia"/>
          <w:lang w:val="fr-CH"/>
        </w:rPr>
        <w:t>不受国家补贴的私立大学</w:t>
      </w:r>
    </w:p>
    <w:p w:rsidR="00000000" w:rsidRDefault="00000000">
      <w:pPr>
        <w:pStyle w:val="Heading4"/>
        <w:spacing w:after="160"/>
        <w:rPr>
          <w:rFonts w:hint="eastAsia"/>
          <w:lang w:val="fr-CH"/>
        </w:rPr>
      </w:pPr>
      <w:r>
        <w:rPr>
          <w:rFonts w:hint="eastAsia"/>
          <w:lang w:val="fr-CH"/>
        </w:rPr>
        <w:t>SEK</w:t>
      </w:r>
      <w:r>
        <w:rPr>
          <w:rFonts w:hint="eastAsia"/>
          <w:lang w:val="fr-CH"/>
        </w:rPr>
        <w:t>私立大学</w:t>
      </w:r>
      <w:r>
        <w:rPr>
          <w:rFonts w:hint="eastAsia"/>
          <w:lang w:val="fr-CH"/>
        </w:rPr>
        <w:t>(1999</w:t>
      </w:r>
      <w:r>
        <w:rPr>
          <w:rFonts w:hint="eastAsia"/>
          <w:lang w:val="fr-CH"/>
        </w:rPr>
        <w:t>年</w:t>
      </w:r>
      <w:r>
        <w:rPr>
          <w:rFonts w:hint="eastAsia"/>
          <w:lang w:val="fr-CH"/>
        </w:rPr>
        <w:t>)</w:t>
      </w:r>
    </w:p>
    <w:p w:rsidR="00000000" w:rsidRDefault="00000000">
      <w:pPr>
        <w:tabs>
          <w:tab w:val="right" w:pos="6890"/>
        </w:tabs>
        <w:spacing w:line="288" w:lineRule="auto"/>
        <w:ind w:left="1000"/>
        <w:rPr>
          <w:rFonts w:hint="eastAsia"/>
          <w:lang w:val="fr-CH"/>
        </w:rPr>
      </w:pPr>
      <w:r>
        <w:rPr>
          <w:rFonts w:hint="eastAsia"/>
          <w:lang w:val="fr-CH"/>
        </w:rPr>
        <w:t>登记</w:t>
      </w:r>
      <w:r>
        <w:rPr>
          <w:rFonts w:hint="eastAsia"/>
          <w:lang w:val="fr-CH"/>
        </w:rPr>
        <w:tab/>
        <w:t>380,000</w:t>
      </w:r>
      <w:r>
        <w:rPr>
          <w:rFonts w:hint="eastAsia"/>
          <w:lang w:val="fr-CH"/>
        </w:rPr>
        <w:t>苏克雷</w:t>
      </w:r>
    </w:p>
    <w:p w:rsidR="00000000" w:rsidRDefault="00000000">
      <w:pPr>
        <w:tabs>
          <w:tab w:val="right" w:pos="6890"/>
        </w:tabs>
        <w:spacing w:line="288" w:lineRule="auto"/>
        <w:ind w:left="1000"/>
        <w:rPr>
          <w:rFonts w:hint="eastAsia"/>
          <w:lang w:val="fr-CH"/>
        </w:rPr>
      </w:pPr>
      <w:r>
        <w:rPr>
          <w:rFonts w:hint="eastAsia"/>
          <w:lang w:val="fr-CH"/>
        </w:rPr>
        <w:t>注册</w:t>
      </w:r>
    </w:p>
    <w:p w:rsidR="00000000" w:rsidRDefault="00000000">
      <w:pPr>
        <w:tabs>
          <w:tab w:val="right" w:pos="6890"/>
        </w:tabs>
        <w:spacing w:line="288" w:lineRule="auto"/>
        <w:ind w:left="1520"/>
        <w:rPr>
          <w:rFonts w:hint="eastAsia"/>
          <w:lang w:val="fr-CH"/>
        </w:rPr>
      </w:pPr>
      <w:r>
        <w:rPr>
          <w:rFonts w:hint="eastAsia"/>
          <w:lang w:val="fr-CH"/>
        </w:rPr>
        <w:t>新生</w:t>
      </w:r>
      <w:r>
        <w:rPr>
          <w:rFonts w:hint="eastAsia"/>
          <w:lang w:val="fr-CH"/>
        </w:rPr>
        <w:tab/>
        <w:t>2,000,000</w:t>
      </w:r>
      <w:r>
        <w:rPr>
          <w:rFonts w:hint="eastAsia"/>
          <w:lang w:val="fr-CH"/>
        </w:rPr>
        <w:t>苏克雷</w:t>
      </w:r>
    </w:p>
    <w:p w:rsidR="00000000" w:rsidRDefault="00000000">
      <w:pPr>
        <w:tabs>
          <w:tab w:val="right" w:pos="6890"/>
        </w:tabs>
        <w:spacing w:line="288" w:lineRule="auto"/>
        <w:ind w:left="1520"/>
        <w:rPr>
          <w:rFonts w:hint="eastAsia"/>
          <w:lang w:val="fr-CH"/>
        </w:rPr>
      </w:pPr>
      <w:r>
        <w:rPr>
          <w:rFonts w:hint="eastAsia"/>
          <w:lang w:val="fr-CH"/>
        </w:rPr>
        <w:t>返校生</w:t>
      </w:r>
      <w:r>
        <w:rPr>
          <w:rFonts w:hint="eastAsia"/>
          <w:lang w:val="fr-CH"/>
        </w:rPr>
        <w:tab/>
        <w:t>1,250,000</w:t>
      </w:r>
      <w:r>
        <w:rPr>
          <w:rFonts w:hint="eastAsia"/>
          <w:lang w:val="fr-CH"/>
        </w:rPr>
        <w:t>苏克雷</w:t>
      </w:r>
    </w:p>
    <w:p w:rsidR="00000000" w:rsidRDefault="00000000">
      <w:pPr>
        <w:tabs>
          <w:tab w:val="right" w:pos="6890"/>
        </w:tabs>
        <w:spacing w:line="288" w:lineRule="auto"/>
        <w:ind w:left="1000"/>
        <w:rPr>
          <w:rFonts w:hint="eastAsia"/>
          <w:lang w:val="fr-CH"/>
        </w:rPr>
      </w:pPr>
      <w:r>
        <w:rPr>
          <w:rFonts w:hint="eastAsia"/>
          <w:lang w:val="fr-CH"/>
        </w:rPr>
        <w:t>学术费</w:t>
      </w:r>
      <w:r>
        <w:rPr>
          <w:rFonts w:hint="eastAsia"/>
          <w:lang w:val="fr-CH"/>
        </w:rPr>
        <w:tab/>
        <w:t>15,000,000</w:t>
      </w:r>
      <w:r>
        <w:rPr>
          <w:rFonts w:hint="eastAsia"/>
          <w:lang w:val="fr-CH"/>
        </w:rPr>
        <w:t>苏克雷</w:t>
      </w:r>
    </w:p>
    <w:p w:rsidR="00000000" w:rsidRDefault="00000000">
      <w:pPr>
        <w:pStyle w:val="Heading4"/>
        <w:spacing w:before="120" w:after="160"/>
        <w:rPr>
          <w:rFonts w:hint="eastAsia"/>
          <w:lang w:val="fr-CH"/>
        </w:rPr>
      </w:pPr>
      <w:r>
        <w:rPr>
          <w:rFonts w:hint="eastAsia"/>
          <w:lang w:val="fr-CH"/>
        </w:rPr>
        <w:t>厄瓜多尔国际大学</w:t>
      </w:r>
      <w:r>
        <w:rPr>
          <w:rFonts w:hint="eastAsia"/>
          <w:lang w:val="fr-CH"/>
        </w:rPr>
        <w:t>(1999</w:t>
      </w:r>
      <w:r>
        <w:rPr>
          <w:rFonts w:hint="eastAsia"/>
          <w:lang w:val="fr-CH"/>
        </w:rPr>
        <w:t>年</w:t>
      </w:r>
      <w:r>
        <w:rPr>
          <w:rFonts w:hint="eastAsia"/>
          <w:lang w:val="fr-CH"/>
        </w:rPr>
        <w:t>)</w:t>
      </w:r>
    </w:p>
    <w:p w:rsidR="00000000" w:rsidRDefault="00000000">
      <w:pPr>
        <w:tabs>
          <w:tab w:val="left" w:pos="5850"/>
        </w:tabs>
        <w:spacing w:line="288" w:lineRule="auto"/>
        <w:ind w:left="1000"/>
        <w:rPr>
          <w:lang w:val="fr-CH"/>
        </w:rPr>
      </w:pPr>
      <w:r>
        <w:rPr>
          <w:lang w:val="fr-CH"/>
        </w:rPr>
        <w:tab/>
      </w:r>
      <w:r>
        <w:rPr>
          <w:rFonts w:hint="eastAsia"/>
          <w:lang w:val="fr-CH"/>
        </w:rPr>
        <w:t>苏克雷</w:t>
      </w:r>
    </w:p>
    <w:p w:rsidR="00000000" w:rsidRDefault="00000000">
      <w:pPr>
        <w:tabs>
          <w:tab w:val="right" w:pos="6890"/>
        </w:tabs>
        <w:spacing w:line="288" w:lineRule="auto"/>
        <w:ind w:left="1000"/>
        <w:rPr>
          <w:lang w:val="fr-CH"/>
        </w:rPr>
      </w:pPr>
      <w:r>
        <w:rPr>
          <w:rFonts w:hint="eastAsia"/>
          <w:lang w:val="fr-CH"/>
        </w:rPr>
        <w:t>年度登记费</w:t>
      </w:r>
      <w:r>
        <w:rPr>
          <w:lang w:val="fr-CH"/>
        </w:rPr>
        <w:tab/>
      </w:r>
      <w:r>
        <w:rPr>
          <w:rFonts w:hint="eastAsia"/>
          <w:lang w:val="fr-CH"/>
        </w:rPr>
        <w:t>700,000</w:t>
      </w:r>
    </w:p>
    <w:p w:rsidR="00000000" w:rsidRDefault="00000000">
      <w:pPr>
        <w:tabs>
          <w:tab w:val="right" w:pos="6890"/>
        </w:tabs>
        <w:spacing w:line="288" w:lineRule="auto"/>
        <w:ind w:left="1000"/>
        <w:rPr>
          <w:lang w:val="fr-CH"/>
        </w:rPr>
      </w:pPr>
      <w:r>
        <w:rPr>
          <w:rFonts w:hint="eastAsia"/>
          <w:lang w:val="fr-CH"/>
        </w:rPr>
        <w:t>年度注册费</w:t>
      </w:r>
      <w:r>
        <w:rPr>
          <w:lang w:val="fr-CH"/>
        </w:rPr>
        <w:tab/>
      </w:r>
      <w:r>
        <w:rPr>
          <w:rFonts w:hint="eastAsia"/>
          <w:lang w:val="fr-CH"/>
        </w:rPr>
        <w:t>1,900,000</w:t>
      </w:r>
    </w:p>
    <w:p w:rsidR="00000000" w:rsidRDefault="00000000">
      <w:pPr>
        <w:tabs>
          <w:tab w:val="right" w:pos="6890"/>
        </w:tabs>
        <w:spacing w:line="288" w:lineRule="auto"/>
        <w:ind w:left="1000"/>
        <w:rPr>
          <w:lang w:val="fr-CH"/>
        </w:rPr>
      </w:pPr>
      <w:r>
        <w:rPr>
          <w:rFonts w:hint="eastAsia"/>
          <w:lang w:val="fr-CH"/>
        </w:rPr>
        <w:t>年度收费</w:t>
      </w:r>
      <w:r>
        <w:rPr>
          <w:lang w:val="fr-CH"/>
        </w:rPr>
        <w:tab/>
      </w:r>
      <w:r>
        <w:rPr>
          <w:rFonts w:hint="eastAsia"/>
          <w:lang w:val="fr-CH"/>
        </w:rPr>
        <w:t>13,300,000</w:t>
      </w:r>
    </w:p>
    <w:p w:rsidR="00000000" w:rsidRDefault="00000000">
      <w:pPr>
        <w:tabs>
          <w:tab w:val="right" w:pos="6890"/>
        </w:tabs>
        <w:spacing w:line="288" w:lineRule="auto"/>
        <w:ind w:left="1000"/>
        <w:rPr>
          <w:lang w:val="fr-CH"/>
        </w:rPr>
      </w:pPr>
      <w:r>
        <w:rPr>
          <w:rFonts w:hint="eastAsia"/>
          <w:lang w:val="fr-CH"/>
        </w:rPr>
        <w:t xml:space="preserve">    </w:t>
      </w:r>
      <w:r>
        <w:rPr>
          <w:rFonts w:hint="eastAsia"/>
          <w:lang w:val="fr-CH"/>
        </w:rPr>
        <w:t>每年</w:t>
      </w:r>
      <w:r>
        <w:rPr>
          <w:rFonts w:hint="eastAsia"/>
        </w:rPr>
        <w:t>收</w:t>
      </w:r>
      <w:r>
        <w:rPr>
          <w:rFonts w:hint="eastAsia"/>
          <w:lang w:val="fr-CH"/>
        </w:rPr>
        <w:t>费</w:t>
      </w:r>
      <w:r>
        <w:rPr>
          <w:rFonts w:hint="eastAsia"/>
        </w:rPr>
        <w:t>共计</w:t>
      </w:r>
      <w:r>
        <w:rPr>
          <w:lang w:val="fr-CH"/>
        </w:rPr>
        <w:tab/>
      </w:r>
      <w:r>
        <w:rPr>
          <w:rFonts w:hint="eastAsia"/>
          <w:lang w:val="fr-CH"/>
        </w:rPr>
        <w:t>15,900,000</w:t>
      </w:r>
    </w:p>
    <w:p w:rsidR="00000000" w:rsidRDefault="00000000">
      <w:pPr>
        <w:spacing w:line="240" w:lineRule="auto"/>
        <w:rPr>
          <w:rFonts w:hint="eastAsia"/>
          <w:lang w:val="fr-CH"/>
        </w:rPr>
      </w:pPr>
    </w:p>
    <w:p w:rsidR="00000000" w:rsidRDefault="00000000">
      <w:pPr>
        <w:spacing w:after="160"/>
        <w:rPr>
          <w:rFonts w:hint="eastAsia"/>
          <w:lang w:val="fr-CH"/>
        </w:rPr>
      </w:pPr>
      <w:r>
        <w:rPr>
          <w:rFonts w:hint="eastAsia"/>
          <w:lang w:val="fr-CH"/>
        </w:rPr>
        <w:tab/>
        <w:t xml:space="preserve">491.  </w:t>
      </w:r>
      <w:r>
        <w:rPr>
          <w:rFonts w:hint="eastAsia"/>
          <w:lang w:val="fr-CH"/>
        </w:rPr>
        <w:t>各级国家资助学校的设立及创设教学职位的数字，显示出正在逐渐实行免费教育。</w:t>
      </w:r>
    </w:p>
    <w:p w:rsidR="00000000" w:rsidRDefault="00000000">
      <w:pPr>
        <w:pStyle w:val="Heading3"/>
        <w:spacing w:after="160"/>
        <w:rPr>
          <w:rFonts w:eastAsia="KaiTi_GB2312" w:hint="eastAsia"/>
          <w:snapToGrid/>
          <w:spacing w:val="0"/>
          <w:kern w:val="0"/>
          <w:u w:val="none"/>
          <w:lang w:val="fr-CH"/>
        </w:rPr>
      </w:pPr>
      <w:r>
        <w:rPr>
          <w:rFonts w:hint="eastAsia"/>
          <w:lang w:val="fr-CH"/>
        </w:rPr>
        <w:t>学校、教师和学生数目</w:t>
      </w:r>
      <w:r>
        <w:rPr>
          <w:lang w:val="fr-CH"/>
        </w:rPr>
        <w:br/>
      </w:r>
      <w:r>
        <w:rPr>
          <w:rFonts w:eastAsia="KaiTi_GB2312" w:hint="eastAsia"/>
          <w:snapToGrid/>
          <w:spacing w:val="0"/>
          <w:kern w:val="0"/>
          <w:u w:val="none"/>
          <w:lang w:val="fr-CH"/>
        </w:rPr>
        <w:t>1970-1998</w:t>
      </w:r>
      <w:r>
        <w:rPr>
          <w:rFonts w:eastAsia="KaiTi_GB2312" w:hint="eastAsia"/>
          <w:snapToGrid/>
          <w:spacing w:val="0"/>
          <w:kern w:val="0"/>
          <w:u w:val="none"/>
          <w:lang w:val="fr-CH"/>
        </w:rPr>
        <w:t>年</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268"/>
        <w:gridCol w:w="2268"/>
        <w:gridCol w:w="2268"/>
      </w:tblGrid>
      <w:tr w:rsidR="00000000">
        <w:tblPrEx>
          <w:tblCellMar>
            <w:top w:w="0" w:type="dxa"/>
            <w:bottom w:w="0" w:type="dxa"/>
          </w:tblCellMar>
        </w:tblPrEx>
        <w:trPr>
          <w:cantSplit/>
          <w:tblHeader/>
        </w:trPr>
        <w:tc>
          <w:tcPr>
            <w:tcW w:w="2268" w:type="dxa"/>
            <w:tcBorders>
              <w:bottom w:val="single" w:sz="4" w:space="0" w:color="auto"/>
            </w:tcBorders>
            <w:vAlign w:val="center"/>
          </w:tcPr>
          <w:p w:rsidR="00000000" w:rsidRDefault="00000000">
            <w:pPr>
              <w:pStyle w:val="a2"/>
              <w:spacing w:before="80" w:after="80" w:line="240" w:lineRule="auto"/>
              <w:jc w:val="center"/>
              <w:rPr>
                <w:rFonts w:hint="eastAsia"/>
                <w:sz w:val="20"/>
                <w:u w:val="single"/>
              </w:rPr>
            </w:pPr>
            <w:r>
              <w:rPr>
                <w:rFonts w:hint="eastAsia"/>
                <w:sz w:val="20"/>
                <w:u w:val="single"/>
              </w:rPr>
              <w:t>年</w:t>
            </w:r>
            <w:r>
              <w:rPr>
                <w:rFonts w:hint="eastAsia"/>
                <w:sz w:val="20"/>
                <w:u w:val="single"/>
              </w:rPr>
              <w:t xml:space="preserve">  </w:t>
            </w:r>
            <w:r>
              <w:rPr>
                <w:rFonts w:hint="eastAsia"/>
                <w:sz w:val="20"/>
                <w:u w:val="single"/>
              </w:rPr>
              <w:t>份</w:t>
            </w:r>
          </w:p>
        </w:tc>
        <w:tc>
          <w:tcPr>
            <w:tcW w:w="2268" w:type="dxa"/>
            <w:tcBorders>
              <w:bottom w:val="single" w:sz="4" w:space="0" w:color="auto"/>
            </w:tcBorders>
            <w:vAlign w:val="center"/>
          </w:tcPr>
          <w:p w:rsidR="00000000" w:rsidRDefault="00000000">
            <w:pPr>
              <w:pStyle w:val="a2"/>
              <w:spacing w:before="80" w:after="80" w:line="240" w:lineRule="auto"/>
              <w:jc w:val="center"/>
              <w:rPr>
                <w:rFonts w:hint="eastAsia"/>
                <w:sz w:val="20"/>
                <w:u w:val="single"/>
              </w:rPr>
            </w:pPr>
            <w:r>
              <w:rPr>
                <w:rFonts w:hint="eastAsia"/>
                <w:sz w:val="20"/>
                <w:u w:val="single"/>
              </w:rPr>
              <w:t>学</w:t>
            </w:r>
            <w:r>
              <w:rPr>
                <w:sz w:val="20"/>
                <w:u w:val="single"/>
              </w:rPr>
              <w:t xml:space="preserve">  </w:t>
            </w:r>
            <w:r>
              <w:rPr>
                <w:rFonts w:hint="eastAsia"/>
                <w:sz w:val="20"/>
                <w:u w:val="single"/>
              </w:rPr>
              <w:t>校</w:t>
            </w:r>
          </w:p>
        </w:tc>
        <w:tc>
          <w:tcPr>
            <w:tcW w:w="2268" w:type="dxa"/>
            <w:tcBorders>
              <w:bottom w:val="single" w:sz="4" w:space="0" w:color="auto"/>
            </w:tcBorders>
            <w:vAlign w:val="center"/>
          </w:tcPr>
          <w:p w:rsidR="00000000" w:rsidRDefault="00000000">
            <w:pPr>
              <w:pStyle w:val="a2"/>
              <w:spacing w:before="80" w:after="80" w:line="240" w:lineRule="auto"/>
              <w:jc w:val="center"/>
              <w:rPr>
                <w:rFonts w:hint="eastAsia"/>
                <w:sz w:val="20"/>
                <w:u w:val="single"/>
              </w:rPr>
            </w:pPr>
            <w:r>
              <w:rPr>
                <w:rFonts w:hint="eastAsia"/>
                <w:sz w:val="20"/>
                <w:u w:val="single"/>
              </w:rPr>
              <w:t>教</w:t>
            </w:r>
            <w:r>
              <w:rPr>
                <w:sz w:val="20"/>
                <w:u w:val="single"/>
              </w:rPr>
              <w:t xml:space="preserve">  </w:t>
            </w:r>
            <w:r>
              <w:rPr>
                <w:rFonts w:hint="eastAsia"/>
                <w:sz w:val="20"/>
                <w:u w:val="single"/>
              </w:rPr>
              <w:t>师</w:t>
            </w:r>
          </w:p>
        </w:tc>
        <w:tc>
          <w:tcPr>
            <w:tcW w:w="2268" w:type="dxa"/>
            <w:tcBorders>
              <w:bottom w:val="single" w:sz="4" w:space="0" w:color="auto"/>
            </w:tcBorders>
            <w:vAlign w:val="center"/>
          </w:tcPr>
          <w:p w:rsidR="00000000" w:rsidRDefault="00000000">
            <w:pPr>
              <w:pStyle w:val="a2"/>
              <w:spacing w:before="80" w:after="80" w:line="240" w:lineRule="auto"/>
              <w:jc w:val="center"/>
              <w:rPr>
                <w:rFonts w:hint="eastAsia"/>
                <w:sz w:val="20"/>
                <w:u w:val="single"/>
              </w:rPr>
            </w:pPr>
            <w:r>
              <w:rPr>
                <w:rFonts w:hint="eastAsia"/>
                <w:sz w:val="20"/>
                <w:u w:val="single"/>
              </w:rPr>
              <w:t>学</w:t>
            </w:r>
            <w:r>
              <w:rPr>
                <w:sz w:val="20"/>
                <w:u w:val="single"/>
              </w:rPr>
              <w:t xml:space="preserve">  </w:t>
            </w:r>
            <w:r>
              <w:rPr>
                <w:rFonts w:hint="eastAsia"/>
                <w:sz w:val="20"/>
                <w:u w:val="single"/>
              </w:rPr>
              <w:t>生</w:t>
            </w:r>
          </w:p>
        </w:tc>
      </w:tr>
      <w:tr w:rsidR="00000000">
        <w:tblPrEx>
          <w:tblCellMar>
            <w:top w:w="0" w:type="dxa"/>
            <w:bottom w:w="0" w:type="dxa"/>
          </w:tblCellMar>
        </w:tblPrEx>
        <w:trPr>
          <w:cantSplit/>
        </w:trPr>
        <w:tc>
          <w:tcPr>
            <w:tcW w:w="2268" w:type="dxa"/>
            <w:tcBorders>
              <w:bottom w:val="nil"/>
            </w:tcBorders>
          </w:tcPr>
          <w:p w:rsidR="00000000" w:rsidRDefault="00000000">
            <w:pPr>
              <w:pStyle w:val="a2"/>
              <w:spacing w:before="40" w:after="40" w:line="240" w:lineRule="auto"/>
              <w:jc w:val="center"/>
              <w:rPr>
                <w:sz w:val="20"/>
              </w:rPr>
            </w:pPr>
            <w:r>
              <w:rPr>
                <w:sz w:val="20"/>
              </w:rPr>
              <w:t>1970-1972</w:t>
            </w:r>
          </w:p>
        </w:tc>
        <w:tc>
          <w:tcPr>
            <w:tcW w:w="2268" w:type="dxa"/>
            <w:tcBorders>
              <w:bottom w:val="nil"/>
            </w:tcBorders>
          </w:tcPr>
          <w:p w:rsidR="00000000" w:rsidRDefault="00000000">
            <w:pPr>
              <w:pStyle w:val="a2"/>
              <w:tabs>
                <w:tab w:val="decimal" w:pos="1382"/>
              </w:tabs>
              <w:spacing w:before="40" w:after="40" w:line="240" w:lineRule="auto"/>
              <w:rPr>
                <w:sz w:val="20"/>
              </w:rPr>
            </w:pPr>
            <w:r>
              <w:rPr>
                <w:sz w:val="20"/>
              </w:rPr>
              <w:t>8,687</w:t>
            </w:r>
          </w:p>
        </w:tc>
        <w:tc>
          <w:tcPr>
            <w:tcW w:w="2268" w:type="dxa"/>
            <w:tcBorders>
              <w:bottom w:val="nil"/>
            </w:tcBorders>
          </w:tcPr>
          <w:p w:rsidR="00000000" w:rsidRDefault="00000000">
            <w:pPr>
              <w:pStyle w:val="a2"/>
              <w:tabs>
                <w:tab w:val="decimal" w:pos="1382"/>
              </w:tabs>
              <w:spacing w:before="40" w:after="40" w:line="240" w:lineRule="auto"/>
              <w:rPr>
                <w:sz w:val="20"/>
              </w:rPr>
            </w:pPr>
            <w:r>
              <w:rPr>
                <w:sz w:val="20"/>
              </w:rPr>
              <w:t>47,741</w:t>
            </w:r>
          </w:p>
        </w:tc>
        <w:tc>
          <w:tcPr>
            <w:tcW w:w="2268" w:type="dxa"/>
            <w:tcBorders>
              <w:bottom w:val="nil"/>
            </w:tcBorders>
          </w:tcPr>
          <w:p w:rsidR="00000000" w:rsidRDefault="00000000">
            <w:pPr>
              <w:pStyle w:val="a2"/>
              <w:tabs>
                <w:tab w:val="decimal" w:pos="1382"/>
              </w:tabs>
              <w:spacing w:before="40" w:after="40" w:line="240" w:lineRule="auto"/>
              <w:rPr>
                <w:sz w:val="20"/>
              </w:rPr>
            </w:pPr>
            <w:r>
              <w:rPr>
                <w:sz w:val="20"/>
              </w:rPr>
              <w:t>1,246,965</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1979-1980</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12,916</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72,704</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2,005,927</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1985-1986</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17,454</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103,572</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2,533,287</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1989-1990</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19,684</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125,066</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2,749,432</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1990-1991</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19,887</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127,466</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2,747,206</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1991-1992</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21,133</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131,040</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2,834,590</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1992-1993</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20,728</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131,872</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2,800,524</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1993-1994</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22,753</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130,177</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2,655,621</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1994-1995</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23,334</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139,827</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2,713,457</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1995-1996</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23,322</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146,392</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2,753,485</w:t>
            </w:r>
          </w:p>
        </w:tc>
      </w:tr>
      <w:tr w:rsidR="00000000">
        <w:tblPrEx>
          <w:tblCellMar>
            <w:top w:w="0" w:type="dxa"/>
            <w:bottom w:w="0" w:type="dxa"/>
          </w:tblCellMar>
        </w:tblPrEx>
        <w:trPr>
          <w:cantSplit/>
        </w:trPr>
        <w:tc>
          <w:tcPr>
            <w:tcW w:w="2268" w:type="dxa"/>
            <w:tcBorders>
              <w:top w:val="nil"/>
              <w:bottom w:val="nil"/>
            </w:tcBorders>
          </w:tcPr>
          <w:p w:rsidR="00000000" w:rsidRDefault="00000000">
            <w:pPr>
              <w:pStyle w:val="a2"/>
              <w:spacing w:before="40" w:after="40" w:line="240" w:lineRule="auto"/>
              <w:jc w:val="center"/>
              <w:rPr>
                <w:sz w:val="20"/>
              </w:rPr>
            </w:pPr>
            <w:r>
              <w:rPr>
                <w:sz w:val="20"/>
              </w:rPr>
              <w:t>1996-1997</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24,171</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156,163</w:t>
            </w:r>
          </w:p>
        </w:tc>
        <w:tc>
          <w:tcPr>
            <w:tcW w:w="2268" w:type="dxa"/>
            <w:tcBorders>
              <w:top w:val="nil"/>
              <w:bottom w:val="nil"/>
            </w:tcBorders>
          </w:tcPr>
          <w:p w:rsidR="00000000" w:rsidRDefault="00000000">
            <w:pPr>
              <w:pStyle w:val="a2"/>
              <w:tabs>
                <w:tab w:val="decimal" w:pos="1382"/>
              </w:tabs>
              <w:spacing w:before="40" w:after="40" w:line="240" w:lineRule="auto"/>
              <w:rPr>
                <w:sz w:val="20"/>
              </w:rPr>
            </w:pPr>
            <w:r>
              <w:rPr>
                <w:sz w:val="20"/>
              </w:rPr>
              <w:t>2,886,279</w:t>
            </w:r>
          </w:p>
        </w:tc>
      </w:tr>
      <w:tr w:rsidR="00000000">
        <w:tblPrEx>
          <w:tblCellMar>
            <w:top w:w="0" w:type="dxa"/>
            <w:bottom w:w="0" w:type="dxa"/>
          </w:tblCellMar>
        </w:tblPrEx>
        <w:trPr>
          <w:cantSplit/>
        </w:trPr>
        <w:tc>
          <w:tcPr>
            <w:tcW w:w="2268" w:type="dxa"/>
            <w:tcBorders>
              <w:top w:val="nil"/>
            </w:tcBorders>
          </w:tcPr>
          <w:p w:rsidR="00000000" w:rsidRDefault="00000000">
            <w:pPr>
              <w:pStyle w:val="a2"/>
              <w:spacing w:before="40" w:after="40" w:line="240" w:lineRule="auto"/>
              <w:jc w:val="center"/>
              <w:rPr>
                <w:sz w:val="20"/>
              </w:rPr>
            </w:pPr>
            <w:r>
              <w:rPr>
                <w:sz w:val="20"/>
              </w:rPr>
              <w:t>1997-1998</w:t>
            </w:r>
          </w:p>
        </w:tc>
        <w:tc>
          <w:tcPr>
            <w:tcW w:w="2268" w:type="dxa"/>
            <w:tcBorders>
              <w:top w:val="nil"/>
            </w:tcBorders>
          </w:tcPr>
          <w:p w:rsidR="00000000" w:rsidRDefault="00000000">
            <w:pPr>
              <w:pStyle w:val="a2"/>
              <w:tabs>
                <w:tab w:val="decimal" w:pos="1382"/>
              </w:tabs>
              <w:spacing w:before="40" w:after="40" w:line="240" w:lineRule="auto"/>
              <w:rPr>
                <w:sz w:val="20"/>
              </w:rPr>
            </w:pPr>
            <w:r>
              <w:rPr>
                <w:sz w:val="20"/>
              </w:rPr>
              <w:t>24,827</w:t>
            </w:r>
          </w:p>
        </w:tc>
        <w:tc>
          <w:tcPr>
            <w:tcW w:w="2268" w:type="dxa"/>
            <w:tcBorders>
              <w:top w:val="nil"/>
            </w:tcBorders>
          </w:tcPr>
          <w:p w:rsidR="00000000" w:rsidRDefault="00000000">
            <w:pPr>
              <w:pStyle w:val="a2"/>
              <w:tabs>
                <w:tab w:val="decimal" w:pos="1382"/>
              </w:tabs>
              <w:spacing w:before="40" w:after="40" w:line="240" w:lineRule="auto"/>
              <w:rPr>
                <w:sz w:val="20"/>
              </w:rPr>
            </w:pPr>
            <w:r>
              <w:rPr>
                <w:sz w:val="20"/>
              </w:rPr>
              <w:t>162,273</w:t>
            </w:r>
          </w:p>
        </w:tc>
        <w:tc>
          <w:tcPr>
            <w:tcW w:w="2268" w:type="dxa"/>
            <w:tcBorders>
              <w:top w:val="nil"/>
            </w:tcBorders>
          </w:tcPr>
          <w:p w:rsidR="00000000" w:rsidRDefault="00000000">
            <w:pPr>
              <w:pStyle w:val="a2"/>
              <w:tabs>
                <w:tab w:val="decimal" w:pos="1382"/>
              </w:tabs>
              <w:spacing w:before="40" w:after="40" w:line="240" w:lineRule="auto"/>
              <w:rPr>
                <w:sz w:val="20"/>
              </w:rPr>
            </w:pPr>
            <w:r>
              <w:rPr>
                <w:sz w:val="20"/>
              </w:rPr>
              <w:t>2,952,503</w:t>
            </w:r>
          </w:p>
        </w:tc>
      </w:tr>
    </w:tbl>
    <w:p w:rsidR="00000000" w:rsidRDefault="00000000">
      <w:pPr>
        <w:pStyle w:val="cdL1"/>
        <w:widowControl/>
        <w:tabs>
          <w:tab w:val="clear" w:pos="510"/>
        </w:tabs>
        <w:spacing w:line="240" w:lineRule="auto"/>
        <w:rPr>
          <w:snapToGrid w:val="0"/>
          <w:spacing w:val="10"/>
        </w:rPr>
      </w:pPr>
    </w:p>
    <w:p w:rsidR="00000000" w:rsidRDefault="00000000">
      <w:pPr>
        <w:spacing w:after="320"/>
        <w:rPr>
          <w:rFonts w:eastAsia="KaiTi_GB2312" w:hint="eastAsia"/>
          <w:spacing w:val="0"/>
          <w:sz w:val="22"/>
          <w:lang w:val="fr-CH"/>
        </w:rPr>
      </w:pPr>
      <w:r>
        <w:rPr>
          <w:rFonts w:hint="eastAsia"/>
          <w:sz w:val="22"/>
          <w:lang w:val="fr-CH"/>
        </w:rPr>
        <w:tab/>
      </w:r>
      <w:r>
        <w:rPr>
          <w:rFonts w:eastAsia="KaiTi_GB2312" w:hint="eastAsia"/>
          <w:snapToGrid/>
          <w:spacing w:val="0"/>
          <w:sz w:val="22"/>
          <w:u w:val="single"/>
        </w:rPr>
        <w:t>资料来源</w:t>
      </w:r>
      <w:r>
        <w:rPr>
          <w:rFonts w:eastAsia="KaiTi_GB2312" w:hint="eastAsia"/>
          <w:spacing w:val="0"/>
          <w:sz w:val="22"/>
          <w:u w:val="single"/>
          <w:lang w:val="fr-CH"/>
        </w:rPr>
        <w:t> </w:t>
      </w:r>
      <w:r>
        <w:rPr>
          <w:rFonts w:eastAsia="KaiTi_GB2312" w:hint="eastAsia"/>
          <w:spacing w:val="0"/>
          <w:sz w:val="22"/>
          <w:lang w:val="fr-CH"/>
        </w:rPr>
        <w:t>：《厄瓜多尔贫穷状况和人力资本》，社会指数综合系统，</w:t>
      </w:r>
      <w:r>
        <w:rPr>
          <w:rFonts w:eastAsia="KaiTi_GB2312" w:hint="eastAsia"/>
          <w:spacing w:val="0"/>
          <w:sz w:val="22"/>
          <w:lang w:val="fr-CH"/>
        </w:rPr>
        <w:t xml:space="preserve"> 1997</w:t>
      </w:r>
      <w:r>
        <w:rPr>
          <w:rFonts w:eastAsia="KaiTi_GB2312" w:hint="eastAsia"/>
          <w:spacing w:val="0"/>
          <w:sz w:val="22"/>
          <w:lang w:val="fr-CH"/>
        </w:rPr>
        <w:t>年。</w:t>
      </w:r>
    </w:p>
    <w:p w:rsidR="00000000" w:rsidRDefault="00000000">
      <w:pPr>
        <w:pStyle w:val="Heading4"/>
        <w:spacing w:after="160"/>
        <w:rPr>
          <w:rFonts w:eastAsia="KaiTi_GB2312" w:hint="eastAsia"/>
          <w:snapToGrid/>
          <w:spacing w:val="0"/>
          <w:u w:val="none"/>
          <w:lang w:val="fr-CH"/>
        </w:rPr>
      </w:pPr>
      <w:r>
        <w:rPr>
          <w:rFonts w:eastAsia="KaiTi_GB2312" w:hint="eastAsia"/>
          <w:snapToGrid/>
          <w:spacing w:val="0"/>
          <w:u w:val="none"/>
          <w:lang w:val="fr-CH"/>
        </w:rPr>
        <w:t>基础教育制度</w:t>
      </w:r>
    </w:p>
    <w:p w:rsidR="00000000" w:rsidRDefault="00000000">
      <w:pPr>
        <w:spacing w:line="312" w:lineRule="auto"/>
        <w:rPr>
          <w:rFonts w:hint="eastAsia"/>
          <w:lang w:val="fr-CH"/>
        </w:rPr>
      </w:pPr>
      <w:r>
        <w:rPr>
          <w:rFonts w:hint="eastAsia"/>
          <w:lang w:val="fr-CH"/>
        </w:rPr>
        <w:tab/>
        <w:t xml:space="preserve">492.  </w:t>
      </w:r>
      <w:r>
        <w:rPr>
          <w:rFonts w:hint="eastAsia"/>
          <w:lang w:val="fr-CH"/>
        </w:rPr>
        <w:t>单一国家教育体系包括两个小型系统</w:t>
      </w:r>
      <w:r>
        <w:rPr>
          <w:rFonts w:hint="eastAsia"/>
          <w:lang w:val="fr-CH"/>
        </w:rPr>
        <w:t> </w:t>
      </w:r>
      <w:r>
        <w:rPr>
          <w:rFonts w:hint="eastAsia"/>
          <w:lang w:val="fr-CH"/>
        </w:rPr>
        <w:t>：</w:t>
      </w:r>
    </w:p>
    <w:p w:rsidR="00000000" w:rsidRDefault="00000000">
      <w:pPr>
        <w:numPr>
          <w:ilvl w:val="0"/>
          <w:numId w:val="189"/>
        </w:numPr>
        <w:spacing w:line="312" w:lineRule="auto"/>
        <w:rPr>
          <w:rFonts w:hint="eastAsia"/>
          <w:lang w:val="fr-CH"/>
        </w:rPr>
      </w:pPr>
      <w:r>
        <w:rPr>
          <w:rFonts w:hint="eastAsia"/>
          <w:lang w:val="fr-CH"/>
        </w:rPr>
        <w:t>以学校为基础</w:t>
      </w:r>
      <w:r>
        <w:rPr>
          <w:rFonts w:hint="eastAsia"/>
          <w:lang w:val="fr-CH"/>
        </w:rPr>
        <w:t> </w:t>
      </w:r>
      <w:r>
        <w:rPr>
          <w:rFonts w:hint="eastAsia"/>
          <w:lang w:val="fr-CH"/>
        </w:rPr>
        <w:t>：西班牙文和土著语言</w:t>
      </w:r>
      <w:r>
        <w:rPr>
          <w:rFonts w:hint="eastAsia"/>
          <w:lang w:val="fr-CH"/>
        </w:rPr>
        <w:t> </w:t>
      </w:r>
      <w:r>
        <w:rPr>
          <w:rFonts w:hint="eastAsia"/>
          <w:lang w:val="fr-CH"/>
        </w:rPr>
        <w:t>；</w:t>
      </w:r>
    </w:p>
    <w:p w:rsidR="00000000" w:rsidRDefault="00000000">
      <w:pPr>
        <w:numPr>
          <w:ilvl w:val="0"/>
          <w:numId w:val="189"/>
        </w:numPr>
        <w:spacing w:line="312" w:lineRule="auto"/>
        <w:rPr>
          <w:rFonts w:hint="eastAsia"/>
          <w:lang w:val="fr-CH"/>
        </w:rPr>
      </w:pPr>
      <w:r>
        <w:rPr>
          <w:rFonts w:hint="eastAsia"/>
          <w:lang w:val="fr-CH"/>
        </w:rPr>
        <w:t>远距离学习</w:t>
      </w:r>
      <w:r>
        <w:rPr>
          <w:rFonts w:hint="eastAsia"/>
          <w:lang w:val="fr-CH"/>
        </w:rPr>
        <w:t> </w:t>
      </w:r>
      <w:r>
        <w:rPr>
          <w:rFonts w:hint="eastAsia"/>
          <w:lang w:val="fr-CH"/>
        </w:rPr>
        <w:t>：西班牙文和土著语言。</w:t>
      </w:r>
    </w:p>
    <w:p w:rsidR="00000000" w:rsidRDefault="00000000">
      <w:pPr>
        <w:spacing w:line="312" w:lineRule="auto"/>
        <w:rPr>
          <w:rFonts w:hint="eastAsia"/>
          <w:lang w:val="fr-CH"/>
        </w:rPr>
      </w:pPr>
      <w:r>
        <w:rPr>
          <w:rFonts w:hint="eastAsia"/>
          <w:lang w:val="fr-CH"/>
        </w:rPr>
        <w:tab/>
        <w:t xml:space="preserve">493.  </w:t>
      </w:r>
      <w:r>
        <w:rPr>
          <w:rFonts w:hint="eastAsia"/>
          <w:lang w:val="fr-CH"/>
        </w:rPr>
        <w:t>第一个小型系统包括法律规定和一般</w:t>
      </w:r>
      <w:r>
        <w:rPr>
          <w:rFonts w:hint="eastAsia"/>
        </w:rPr>
        <w:t>及</w:t>
      </w:r>
      <w:r>
        <w:rPr>
          <w:rFonts w:hint="eastAsia"/>
          <w:lang w:val="fr-CH"/>
        </w:rPr>
        <w:t>特别管制设施内传授的教育</w:t>
      </w:r>
      <w:r>
        <w:rPr>
          <w:rFonts w:hint="eastAsia"/>
          <w:lang w:val="fr-CH"/>
        </w:rPr>
        <w:t> </w:t>
      </w:r>
      <w:r>
        <w:rPr>
          <w:rFonts w:hint="eastAsia"/>
          <w:lang w:val="fr-CH"/>
        </w:rPr>
        <w:t>：</w:t>
      </w:r>
    </w:p>
    <w:p w:rsidR="00000000" w:rsidRDefault="00000000">
      <w:pPr>
        <w:numPr>
          <w:ilvl w:val="0"/>
          <w:numId w:val="190"/>
        </w:numPr>
        <w:spacing w:line="312" w:lineRule="auto"/>
        <w:rPr>
          <w:rFonts w:hint="eastAsia"/>
          <w:lang w:val="fr-CH"/>
        </w:rPr>
      </w:pPr>
      <w:r>
        <w:rPr>
          <w:rFonts w:hint="eastAsia"/>
          <w:lang w:val="fr-CH"/>
        </w:rPr>
        <w:t>正规教育</w:t>
      </w:r>
      <w:r>
        <w:rPr>
          <w:rFonts w:hint="eastAsia"/>
          <w:lang w:val="fr-CH"/>
        </w:rPr>
        <w:t> </w:t>
      </w:r>
      <w:r>
        <w:rPr>
          <w:rFonts w:hint="eastAsia"/>
          <w:lang w:val="fr-CH"/>
        </w:rPr>
        <w:t>：西班牙文和土著语言</w:t>
      </w:r>
      <w:r>
        <w:rPr>
          <w:rFonts w:hint="eastAsia"/>
          <w:lang w:val="fr-CH"/>
        </w:rPr>
        <w:t> </w:t>
      </w:r>
      <w:r>
        <w:rPr>
          <w:rFonts w:hint="eastAsia"/>
          <w:lang w:val="fr-CH"/>
        </w:rPr>
        <w:t>；</w:t>
      </w:r>
    </w:p>
    <w:p w:rsidR="00000000" w:rsidRDefault="00000000">
      <w:pPr>
        <w:numPr>
          <w:ilvl w:val="0"/>
          <w:numId w:val="190"/>
        </w:numPr>
        <w:spacing w:line="312" w:lineRule="auto"/>
        <w:rPr>
          <w:rFonts w:hint="eastAsia"/>
          <w:lang w:val="fr-CH"/>
        </w:rPr>
      </w:pPr>
      <w:r>
        <w:rPr>
          <w:rFonts w:hint="eastAsia"/>
          <w:lang w:val="fr-CH"/>
        </w:rPr>
        <w:t>补偿性教育</w:t>
      </w:r>
      <w:r>
        <w:rPr>
          <w:rFonts w:hint="eastAsia"/>
          <w:lang w:val="fr-CH"/>
        </w:rPr>
        <w:t> </w:t>
      </w:r>
      <w:r>
        <w:rPr>
          <w:rFonts w:hint="eastAsia"/>
          <w:lang w:val="fr-CH"/>
        </w:rPr>
        <w:t>：西班牙文和土著语言</w:t>
      </w:r>
      <w:r>
        <w:rPr>
          <w:rFonts w:hint="eastAsia"/>
          <w:lang w:val="fr-CH"/>
        </w:rPr>
        <w:t> </w:t>
      </w:r>
      <w:r>
        <w:rPr>
          <w:rFonts w:hint="eastAsia"/>
          <w:lang w:val="fr-CH"/>
        </w:rPr>
        <w:t>；</w:t>
      </w:r>
    </w:p>
    <w:p w:rsidR="00000000" w:rsidRDefault="00000000">
      <w:pPr>
        <w:numPr>
          <w:ilvl w:val="0"/>
          <w:numId w:val="190"/>
        </w:numPr>
        <w:spacing w:line="312" w:lineRule="auto"/>
        <w:rPr>
          <w:rFonts w:hint="eastAsia"/>
          <w:lang w:val="fr-CH"/>
        </w:rPr>
      </w:pPr>
      <w:r>
        <w:rPr>
          <w:rFonts w:hint="eastAsia"/>
          <w:lang w:val="fr-CH"/>
        </w:rPr>
        <w:t>特殊教育</w:t>
      </w:r>
      <w:r>
        <w:rPr>
          <w:rFonts w:hint="eastAsia"/>
          <w:lang w:val="fr-CH"/>
        </w:rPr>
        <w:t> </w:t>
      </w:r>
      <w:r>
        <w:rPr>
          <w:rFonts w:hint="eastAsia"/>
          <w:lang w:val="fr-CH"/>
        </w:rPr>
        <w:t>：西班牙文和土著语言。</w:t>
      </w:r>
    </w:p>
    <w:p w:rsidR="00000000" w:rsidRDefault="00000000">
      <w:pPr>
        <w:spacing w:line="312" w:lineRule="auto"/>
        <w:rPr>
          <w:rFonts w:hint="eastAsia"/>
          <w:lang w:val="fr-CH"/>
        </w:rPr>
      </w:pPr>
      <w:r>
        <w:rPr>
          <w:rFonts w:hint="eastAsia"/>
          <w:lang w:val="fr-CH"/>
        </w:rPr>
        <w:tab/>
        <w:t xml:space="preserve">494.  </w:t>
      </w:r>
      <w:r>
        <w:rPr>
          <w:rFonts w:hint="eastAsia"/>
          <w:lang w:val="fr-CH"/>
        </w:rPr>
        <w:t>可在学校为讲西班牙文和土著语言的人作出特殊安排。补偿性教育的主要目的是为未在正规教育注册或完成学业的人重新提供平等机会，从而使这些人得以按照自己的需要和愿望随时完成学业。</w:t>
      </w:r>
    </w:p>
    <w:p w:rsidR="00000000" w:rsidRDefault="00000000">
      <w:pPr>
        <w:spacing w:line="312" w:lineRule="auto"/>
        <w:rPr>
          <w:rFonts w:hint="eastAsia"/>
          <w:lang w:val="fr-CH"/>
        </w:rPr>
      </w:pPr>
      <w:r>
        <w:rPr>
          <w:rFonts w:hint="eastAsia"/>
          <w:lang w:val="fr-CH"/>
        </w:rPr>
        <w:tab/>
        <w:t xml:space="preserve">495.  </w:t>
      </w:r>
      <w:r>
        <w:rPr>
          <w:rFonts w:hint="eastAsia"/>
          <w:lang w:val="fr-CH"/>
        </w:rPr>
        <w:t>补偿性教育包括</w:t>
      </w:r>
      <w:r>
        <w:rPr>
          <w:rFonts w:hint="eastAsia"/>
          <w:lang w:val="fr-CH"/>
        </w:rPr>
        <w:t> </w:t>
      </w:r>
      <w:r>
        <w:rPr>
          <w:rFonts w:hint="eastAsia"/>
          <w:lang w:val="fr-CH"/>
        </w:rPr>
        <w:t>：</w:t>
      </w:r>
    </w:p>
    <w:p w:rsidR="00000000" w:rsidRDefault="00000000">
      <w:pPr>
        <w:numPr>
          <w:ilvl w:val="0"/>
          <w:numId w:val="191"/>
        </w:numPr>
        <w:spacing w:line="312" w:lineRule="auto"/>
        <w:rPr>
          <w:rFonts w:hint="eastAsia"/>
          <w:lang w:val="fr-CH"/>
        </w:rPr>
      </w:pPr>
      <w:r>
        <w:rPr>
          <w:rFonts w:hint="eastAsia"/>
          <w:lang w:val="fr-CH"/>
        </w:rPr>
        <w:t>基本普及教育</w:t>
      </w:r>
      <w:r>
        <w:rPr>
          <w:rFonts w:hint="eastAsia"/>
          <w:lang w:val="fr-CH"/>
        </w:rPr>
        <w:t> </w:t>
      </w:r>
      <w:r>
        <w:rPr>
          <w:rFonts w:hint="eastAsia"/>
          <w:lang w:val="fr-CH"/>
        </w:rPr>
        <w:t>：</w:t>
      </w:r>
    </w:p>
    <w:p w:rsidR="00000000" w:rsidRDefault="00000000">
      <w:pPr>
        <w:numPr>
          <w:ilvl w:val="0"/>
          <w:numId w:val="193"/>
        </w:numPr>
        <w:spacing w:line="312" w:lineRule="auto"/>
        <w:ind w:left="2051"/>
        <w:rPr>
          <w:rFonts w:hint="eastAsia"/>
          <w:lang w:val="fr-CH"/>
        </w:rPr>
      </w:pPr>
      <w:r>
        <w:rPr>
          <w:rFonts w:hint="eastAsia"/>
          <w:lang w:val="fr-CH"/>
        </w:rPr>
        <w:t>识字</w:t>
      </w:r>
      <w:r>
        <w:rPr>
          <w:rFonts w:hint="eastAsia"/>
          <w:lang w:val="fr-CH"/>
        </w:rPr>
        <w:t> </w:t>
      </w:r>
      <w:r>
        <w:rPr>
          <w:rFonts w:hint="eastAsia"/>
          <w:lang w:val="fr-CH"/>
        </w:rPr>
        <w:t>；</w:t>
      </w:r>
    </w:p>
    <w:p w:rsidR="00000000" w:rsidRDefault="00000000">
      <w:pPr>
        <w:numPr>
          <w:ilvl w:val="0"/>
          <w:numId w:val="193"/>
        </w:numPr>
        <w:spacing w:line="312" w:lineRule="auto"/>
        <w:ind w:left="2051"/>
        <w:rPr>
          <w:rFonts w:hint="eastAsia"/>
          <w:lang w:val="fr-CH"/>
        </w:rPr>
      </w:pPr>
      <w:r>
        <w:rPr>
          <w:rFonts w:hint="eastAsia"/>
          <w:lang w:val="fr-CH"/>
        </w:rPr>
        <w:t>识字后教育</w:t>
      </w:r>
      <w:r>
        <w:rPr>
          <w:rFonts w:hint="eastAsia"/>
          <w:lang w:val="fr-CH"/>
        </w:rPr>
        <w:t> </w:t>
      </w:r>
      <w:r>
        <w:rPr>
          <w:rFonts w:hint="eastAsia"/>
          <w:lang w:val="fr-CH"/>
        </w:rPr>
        <w:t>；</w:t>
      </w:r>
    </w:p>
    <w:p w:rsidR="00000000" w:rsidRDefault="00000000">
      <w:pPr>
        <w:numPr>
          <w:ilvl w:val="0"/>
          <w:numId w:val="193"/>
        </w:numPr>
        <w:spacing w:line="312" w:lineRule="auto"/>
        <w:ind w:left="2051"/>
        <w:rPr>
          <w:rFonts w:hint="eastAsia"/>
          <w:lang w:val="fr-CH"/>
        </w:rPr>
      </w:pPr>
      <w:r>
        <w:rPr>
          <w:rFonts w:hint="eastAsia"/>
          <w:lang w:val="fr-CH"/>
        </w:rPr>
        <w:t>基本周期</w:t>
      </w:r>
      <w:r>
        <w:rPr>
          <w:rFonts w:hint="eastAsia"/>
          <w:lang w:val="fr-CH"/>
        </w:rPr>
        <w:t> </w:t>
      </w:r>
      <w:r>
        <w:rPr>
          <w:rFonts w:hint="eastAsia"/>
          <w:lang w:val="fr-CH"/>
        </w:rPr>
        <w:t>；</w:t>
      </w:r>
    </w:p>
    <w:p w:rsidR="00000000" w:rsidRDefault="00000000">
      <w:pPr>
        <w:pStyle w:val="ac"/>
        <w:spacing w:line="312" w:lineRule="auto"/>
        <w:rPr>
          <w:rFonts w:hint="eastAsia"/>
          <w:lang w:val="fr-CH"/>
        </w:rPr>
      </w:pPr>
      <w:r>
        <w:rPr>
          <w:lang w:val="fr-CH"/>
        </w:rPr>
        <w:t>(b)</w:t>
      </w:r>
      <w:r>
        <w:rPr>
          <w:rFonts w:hint="eastAsia"/>
          <w:lang w:val="fr-CH"/>
        </w:rPr>
        <w:tab/>
      </w:r>
      <w:r>
        <w:rPr>
          <w:rFonts w:hint="eastAsia"/>
        </w:rPr>
        <w:t>多元普及教育</w:t>
      </w:r>
      <w:r>
        <w:rPr>
          <w:rFonts w:hint="eastAsia"/>
          <w:lang w:val="fr-CH"/>
        </w:rPr>
        <w:t>；</w:t>
      </w:r>
    </w:p>
    <w:p w:rsidR="00000000" w:rsidRDefault="00000000">
      <w:pPr>
        <w:pStyle w:val="ac"/>
        <w:spacing w:line="312" w:lineRule="auto"/>
        <w:rPr>
          <w:rFonts w:hint="eastAsia"/>
        </w:rPr>
      </w:pPr>
      <w:r>
        <w:t>(c)</w:t>
      </w:r>
      <w:r>
        <w:rPr>
          <w:rFonts w:hint="eastAsia"/>
        </w:rPr>
        <w:tab/>
      </w:r>
      <w:r>
        <w:rPr>
          <w:rFonts w:hint="eastAsia"/>
        </w:rPr>
        <w:t>职业手工艺培训；</w:t>
      </w:r>
    </w:p>
    <w:p w:rsidR="00000000" w:rsidRDefault="00000000">
      <w:pPr>
        <w:pStyle w:val="ac"/>
        <w:spacing w:line="312" w:lineRule="auto"/>
        <w:rPr>
          <w:rFonts w:hint="eastAsia"/>
        </w:rPr>
      </w:pPr>
      <w:r>
        <w:t>(d)</w:t>
      </w:r>
      <w:r>
        <w:rPr>
          <w:rFonts w:hint="eastAsia"/>
        </w:rPr>
        <w:tab/>
      </w:r>
      <w:r>
        <w:rPr>
          <w:rFonts w:hint="eastAsia"/>
        </w:rPr>
        <w:t>可设立教育生产单位，作为进修普及教育的组成部分，受教育和文化部通过的专门条例制约。</w:t>
      </w:r>
    </w:p>
    <w:p w:rsidR="00000000" w:rsidRDefault="00000000">
      <w:pPr>
        <w:spacing w:line="312" w:lineRule="auto"/>
        <w:rPr>
          <w:rFonts w:hint="eastAsia"/>
        </w:rPr>
      </w:pPr>
      <w:r>
        <w:rPr>
          <w:rFonts w:hint="eastAsia"/>
        </w:rPr>
        <w:tab/>
        <w:t xml:space="preserve">496.  </w:t>
      </w:r>
      <w:r>
        <w:rPr>
          <w:rFonts w:hint="eastAsia"/>
        </w:rPr>
        <w:t>过去这类活动包括：</w:t>
      </w:r>
    </w:p>
    <w:p w:rsidR="00000000" w:rsidRDefault="00000000">
      <w:pPr>
        <w:numPr>
          <w:ilvl w:val="0"/>
          <w:numId w:val="194"/>
        </w:numPr>
        <w:spacing w:line="312" w:lineRule="auto"/>
        <w:rPr>
          <w:rFonts w:hint="eastAsia"/>
        </w:rPr>
      </w:pPr>
      <w:r>
        <w:rPr>
          <w:rFonts w:hint="eastAsia"/>
        </w:rPr>
        <w:t>1944</w:t>
      </w:r>
      <w:r>
        <w:rPr>
          <w:rFonts w:hint="eastAsia"/>
        </w:rPr>
        <w:t>至</w:t>
      </w:r>
      <w:r>
        <w:rPr>
          <w:rFonts w:hint="eastAsia"/>
        </w:rPr>
        <w:t>1963</w:t>
      </w:r>
      <w:r>
        <w:rPr>
          <w:rFonts w:hint="eastAsia"/>
        </w:rPr>
        <w:t>年</w:t>
      </w:r>
      <w:r>
        <w:rPr>
          <w:rFonts w:hint="eastAsia"/>
        </w:rPr>
        <w:t>UNP</w:t>
      </w:r>
      <w:r>
        <w:rPr>
          <w:rFonts w:hint="eastAsia"/>
        </w:rPr>
        <w:t>全国扫盲运动；</w:t>
      </w:r>
    </w:p>
    <w:p w:rsidR="00000000" w:rsidRDefault="00000000">
      <w:pPr>
        <w:numPr>
          <w:ilvl w:val="0"/>
          <w:numId w:val="194"/>
        </w:numPr>
        <w:spacing w:line="312" w:lineRule="auto"/>
        <w:rPr>
          <w:rFonts w:hint="eastAsia"/>
        </w:rPr>
      </w:pPr>
      <w:r>
        <w:rPr>
          <w:rFonts w:hint="eastAsia"/>
        </w:rPr>
        <w:t>1963</w:t>
      </w:r>
      <w:r>
        <w:rPr>
          <w:rFonts w:hint="eastAsia"/>
        </w:rPr>
        <w:t>至</w:t>
      </w:r>
      <w:r>
        <w:rPr>
          <w:rFonts w:hint="eastAsia"/>
        </w:rPr>
        <w:t>1972</w:t>
      </w:r>
      <w:r>
        <w:rPr>
          <w:rFonts w:hint="eastAsia"/>
        </w:rPr>
        <w:t>年教育部全国扫盲运动；</w:t>
      </w:r>
    </w:p>
    <w:p w:rsidR="00000000" w:rsidRDefault="00000000">
      <w:pPr>
        <w:numPr>
          <w:ilvl w:val="0"/>
          <w:numId w:val="194"/>
        </w:numPr>
        <w:spacing w:line="312" w:lineRule="auto"/>
        <w:rPr>
          <w:rFonts w:hint="eastAsia"/>
        </w:rPr>
      </w:pPr>
      <w:r>
        <w:rPr>
          <w:rFonts w:hint="eastAsia"/>
        </w:rPr>
        <w:t>1967</w:t>
      </w:r>
      <w:r>
        <w:rPr>
          <w:rFonts w:hint="eastAsia"/>
        </w:rPr>
        <w:t>至</w:t>
      </w:r>
      <w:r>
        <w:rPr>
          <w:rFonts w:hint="eastAsia"/>
        </w:rPr>
        <w:t>1972</w:t>
      </w:r>
      <w:r>
        <w:rPr>
          <w:rFonts w:hint="eastAsia"/>
        </w:rPr>
        <w:t>年教育部</w:t>
      </w:r>
      <w:r>
        <w:rPr>
          <w:rFonts w:hint="eastAsia"/>
          <w:spacing w:val="-50"/>
        </w:rPr>
        <w:t>―</w:t>
      </w:r>
      <w:r>
        <w:rPr>
          <w:rFonts w:hint="eastAsia"/>
        </w:rPr>
        <w:t>―教科文组织</w:t>
      </w:r>
      <w:r>
        <w:rPr>
          <w:rFonts w:hint="eastAsia"/>
          <w:spacing w:val="-50"/>
        </w:rPr>
        <w:t>―</w:t>
      </w:r>
      <w:r>
        <w:rPr>
          <w:rFonts w:hint="eastAsia"/>
        </w:rPr>
        <w:t>―开发计划署扫盲试点项目；</w:t>
      </w:r>
    </w:p>
    <w:p w:rsidR="00000000" w:rsidRDefault="00000000">
      <w:pPr>
        <w:numPr>
          <w:ilvl w:val="0"/>
          <w:numId w:val="194"/>
        </w:numPr>
        <w:spacing w:line="312" w:lineRule="auto"/>
        <w:rPr>
          <w:rFonts w:hint="eastAsia"/>
        </w:rPr>
      </w:pPr>
      <w:r>
        <w:rPr>
          <w:rFonts w:hint="eastAsia"/>
        </w:rPr>
        <w:t>1972</w:t>
      </w:r>
      <w:r>
        <w:rPr>
          <w:rFonts w:hint="eastAsia"/>
        </w:rPr>
        <w:t>至</w:t>
      </w:r>
      <w:r>
        <w:rPr>
          <w:rFonts w:hint="eastAsia"/>
        </w:rPr>
        <w:t>1979</w:t>
      </w:r>
      <w:r>
        <w:rPr>
          <w:rFonts w:hint="eastAsia"/>
        </w:rPr>
        <w:t>年全国扫盲方案</w:t>
      </w:r>
      <w:r>
        <w:rPr>
          <w:rFonts w:hint="eastAsia"/>
        </w:rPr>
        <w:t>(</w:t>
      </w:r>
      <w:r>
        <w:rPr>
          <w:rFonts w:hint="eastAsia"/>
        </w:rPr>
        <w:t>教育部成人扫盲教育司</w:t>
      </w:r>
      <w:r>
        <w:rPr>
          <w:rFonts w:hint="eastAsia"/>
        </w:rPr>
        <w:t>)</w:t>
      </w:r>
      <w:r>
        <w:rPr>
          <w:rFonts w:hint="eastAsia"/>
        </w:rPr>
        <w:t>；</w:t>
      </w:r>
    </w:p>
    <w:p w:rsidR="00000000" w:rsidRDefault="00000000">
      <w:pPr>
        <w:numPr>
          <w:ilvl w:val="0"/>
          <w:numId w:val="194"/>
        </w:numPr>
        <w:spacing w:line="312" w:lineRule="auto"/>
        <w:rPr>
          <w:rFonts w:hint="eastAsia"/>
        </w:rPr>
      </w:pPr>
      <w:r>
        <w:rPr>
          <w:rFonts w:hint="eastAsia"/>
        </w:rPr>
        <w:t>1980</w:t>
      </w:r>
      <w:r>
        <w:rPr>
          <w:rFonts w:hint="eastAsia"/>
        </w:rPr>
        <w:t>至</w:t>
      </w:r>
      <w:r>
        <w:rPr>
          <w:rFonts w:hint="eastAsia"/>
        </w:rPr>
        <w:t>1984</w:t>
      </w:r>
      <w:r>
        <w:rPr>
          <w:rFonts w:hint="eastAsia"/>
        </w:rPr>
        <w:t>年全国扫盲方案</w:t>
      </w:r>
      <w:r>
        <w:rPr>
          <w:rFonts w:hint="eastAsia"/>
        </w:rPr>
        <w:t>(JRA</w:t>
      </w:r>
      <w:r>
        <w:rPr>
          <w:rFonts w:hint="eastAsia"/>
          <w:spacing w:val="-50"/>
        </w:rPr>
        <w:t>―</w:t>
      </w:r>
      <w:r>
        <w:rPr>
          <w:rFonts w:hint="eastAsia"/>
        </w:rPr>
        <w:t>―教育部</w:t>
      </w:r>
      <w:r>
        <w:rPr>
          <w:rFonts w:hint="eastAsia"/>
          <w:spacing w:val="-50"/>
        </w:rPr>
        <w:t>―</w:t>
      </w:r>
      <w:r>
        <w:rPr>
          <w:rFonts w:hint="eastAsia"/>
        </w:rPr>
        <w:t>―全国扫盲办公室</w:t>
      </w:r>
      <w:r>
        <w:rPr>
          <w:rFonts w:hint="eastAsia"/>
        </w:rPr>
        <w:t>)</w:t>
      </w:r>
      <w:r>
        <w:rPr>
          <w:rFonts w:hint="eastAsia"/>
        </w:rPr>
        <w:t>；</w:t>
      </w:r>
    </w:p>
    <w:p w:rsidR="00000000" w:rsidRDefault="00000000">
      <w:pPr>
        <w:numPr>
          <w:ilvl w:val="0"/>
          <w:numId w:val="194"/>
        </w:numPr>
        <w:spacing w:line="312" w:lineRule="auto"/>
        <w:rPr>
          <w:rFonts w:hint="eastAsia"/>
        </w:rPr>
      </w:pPr>
      <w:r>
        <w:rPr>
          <w:rFonts w:hint="eastAsia"/>
        </w:rPr>
        <w:t>1984</w:t>
      </w:r>
      <w:r>
        <w:rPr>
          <w:rFonts w:hint="eastAsia"/>
        </w:rPr>
        <w:t>至</w:t>
      </w:r>
      <w:r>
        <w:rPr>
          <w:rFonts w:hint="eastAsia"/>
        </w:rPr>
        <w:t>1988</w:t>
      </w:r>
      <w:r>
        <w:rPr>
          <w:rFonts w:hint="eastAsia"/>
        </w:rPr>
        <w:t>年补偿性教育方案</w:t>
      </w:r>
      <w:r>
        <w:rPr>
          <w:rFonts w:hint="eastAsia"/>
        </w:rPr>
        <w:t>(</w:t>
      </w:r>
      <w:r>
        <w:rPr>
          <w:rFonts w:hint="eastAsia"/>
        </w:rPr>
        <w:t>全国补偿和校外教育部</w:t>
      </w:r>
      <w:r>
        <w:rPr>
          <w:rFonts w:hint="eastAsia"/>
        </w:rPr>
        <w:t>)</w:t>
      </w:r>
      <w:r>
        <w:rPr>
          <w:rFonts w:hint="eastAsia"/>
        </w:rPr>
        <w:t>；</w:t>
      </w:r>
    </w:p>
    <w:p w:rsidR="00000000" w:rsidRDefault="00000000">
      <w:pPr>
        <w:numPr>
          <w:ilvl w:val="0"/>
          <w:numId w:val="194"/>
        </w:numPr>
        <w:spacing w:line="312" w:lineRule="auto"/>
        <w:rPr>
          <w:rFonts w:hint="eastAsia"/>
        </w:rPr>
      </w:pPr>
      <w:r>
        <w:rPr>
          <w:rFonts w:hint="eastAsia"/>
        </w:rPr>
        <w:t>1989</w:t>
      </w:r>
      <w:r>
        <w:rPr>
          <w:rFonts w:hint="eastAsia"/>
        </w:rPr>
        <w:t>年</w:t>
      </w:r>
      <w:r>
        <w:rPr>
          <w:rFonts w:hint="eastAsia"/>
        </w:rPr>
        <w:t>L</w:t>
      </w:r>
      <w:r>
        <w:t>eonidas Proaño</w:t>
      </w:r>
      <w:r>
        <w:rPr>
          <w:rFonts w:hint="eastAsia"/>
        </w:rPr>
        <w:t>全国识字运动，；</w:t>
      </w:r>
    </w:p>
    <w:p w:rsidR="00000000" w:rsidRDefault="00000000">
      <w:pPr>
        <w:numPr>
          <w:ilvl w:val="0"/>
          <w:numId w:val="194"/>
        </w:numPr>
        <w:spacing w:line="312" w:lineRule="auto"/>
        <w:rPr>
          <w:rFonts w:hint="eastAsia"/>
        </w:rPr>
      </w:pPr>
      <w:r>
        <w:rPr>
          <w:rFonts w:hint="eastAsia"/>
        </w:rPr>
        <w:t>1990</w:t>
      </w:r>
      <w:r>
        <w:rPr>
          <w:rFonts w:hint="eastAsia"/>
        </w:rPr>
        <w:t>年变通应用方案“厄瓜多尔在学习”；</w:t>
      </w:r>
    </w:p>
    <w:p w:rsidR="00000000" w:rsidRDefault="00000000">
      <w:pPr>
        <w:numPr>
          <w:ilvl w:val="0"/>
          <w:numId w:val="194"/>
        </w:numPr>
        <w:spacing w:line="312" w:lineRule="auto"/>
        <w:rPr>
          <w:rFonts w:hint="eastAsia"/>
        </w:rPr>
      </w:pPr>
      <w:r>
        <w:rPr>
          <w:rFonts w:hint="eastAsia"/>
        </w:rPr>
        <w:t>1996</w:t>
      </w:r>
      <w:r>
        <w:rPr>
          <w:rFonts w:hint="eastAsia"/>
        </w:rPr>
        <w:t>年的“新文化方向”。</w:t>
      </w:r>
    </w:p>
    <w:p w:rsidR="00000000" w:rsidRDefault="00000000">
      <w:pPr>
        <w:spacing w:after="320" w:line="312" w:lineRule="auto"/>
        <w:rPr>
          <w:rFonts w:hint="eastAsia"/>
        </w:rPr>
      </w:pPr>
      <w:r>
        <w:rPr>
          <w:rFonts w:hint="eastAsia"/>
        </w:rPr>
        <w:tab/>
        <w:t xml:space="preserve">497.  </w:t>
      </w:r>
      <w:r>
        <w:rPr>
          <w:rFonts w:hint="eastAsia"/>
        </w:rPr>
        <w:t>由于中学生直接参与扫盲运动，所有这些方案和项目均作出特别安排。</w:t>
      </w:r>
    </w:p>
    <w:p w:rsidR="00000000" w:rsidRDefault="00000000">
      <w:pPr>
        <w:pStyle w:val="Heading4"/>
        <w:rPr>
          <w:rFonts w:hint="eastAsia"/>
        </w:rPr>
      </w:pPr>
      <w:r>
        <w:rPr>
          <w:rFonts w:hint="eastAsia"/>
        </w:rPr>
        <w:t>主要问题</w:t>
      </w:r>
    </w:p>
    <w:p w:rsidR="00000000" w:rsidRDefault="00000000">
      <w:pPr>
        <w:rPr>
          <w:rFonts w:hint="eastAsia"/>
        </w:rPr>
      </w:pPr>
      <w:r>
        <w:rPr>
          <w:rFonts w:hint="eastAsia"/>
        </w:rPr>
        <w:tab/>
        <w:t xml:space="preserve">498.  </w:t>
      </w:r>
      <w:r>
        <w:rPr>
          <w:rFonts w:hint="eastAsia"/>
        </w:rPr>
        <w:t>尽管《宪法》规定应将不少于</w:t>
      </w:r>
      <w:r>
        <w:rPr>
          <w:rFonts w:hint="eastAsia"/>
        </w:rPr>
        <w:t>30%</w:t>
      </w:r>
      <w:r>
        <w:rPr>
          <w:rFonts w:hint="eastAsia"/>
        </w:rPr>
        <w:t>的国家一般预算专门用于教育，但由于教育受到国家经济问题的影响，并取决于政府的政策，实际上并未做到这一点。</w:t>
      </w:r>
    </w:p>
    <w:p w:rsidR="00000000" w:rsidRDefault="00000000">
      <w:pPr>
        <w:rPr>
          <w:rFonts w:hint="eastAsia"/>
        </w:rPr>
      </w:pPr>
      <w:r>
        <w:rPr>
          <w:rFonts w:hint="eastAsia"/>
        </w:rPr>
        <w:tab/>
        <w:t xml:space="preserve">499.  </w:t>
      </w:r>
      <w:r>
        <w:rPr>
          <w:rFonts w:hint="eastAsia"/>
        </w:rPr>
        <w:t>另外一个需要考虑的因素是</w:t>
      </w:r>
      <w:r>
        <w:t>，</w:t>
      </w:r>
      <w:r>
        <w:rPr>
          <w:rFonts w:hint="eastAsia"/>
        </w:rPr>
        <w:t>厄瓜多尔近年来一直处于一场大的经济危机之中，因此，教育预算分配不仅没有增加，反而减少。</w:t>
      </w:r>
    </w:p>
    <w:p w:rsidR="00000000" w:rsidRDefault="00000000">
      <w:pPr>
        <w:spacing w:after="320"/>
        <w:rPr>
          <w:rFonts w:hint="eastAsia"/>
        </w:rPr>
      </w:pPr>
      <w:r>
        <w:rPr>
          <w:rFonts w:hint="eastAsia"/>
        </w:rPr>
        <w:tab/>
        <w:t xml:space="preserve">500.  </w:t>
      </w:r>
      <w:r>
        <w:rPr>
          <w:rFonts w:hint="eastAsia"/>
        </w:rPr>
        <w:t>制订一项《教育法》是必要的，正在起草这一法案，以应付厄瓜多尔正在经历的社会变革和改革，并推动行政和财政权力下放、社会参与、全面核算和改善教育质量。</w:t>
      </w:r>
    </w:p>
    <w:p w:rsidR="00000000" w:rsidRDefault="00000000">
      <w:pPr>
        <w:pStyle w:val="Heading4"/>
        <w:rPr>
          <w:rFonts w:eastAsia="KaiTi_GB2312" w:hint="eastAsia"/>
          <w:snapToGrid/>
          <w:spacing w:val="0"/>
          <w:u w:val="none"/>
        </w:rPr>
      </w:pPr>
      <w:r>
        <w:rPr>
          <w:rFonts w:eastAsia="KaiTi_GB2312" w:hint="eastAsia"/>
          <w:snapToGrid/>
          <w:spacing w:val="0"/>
          <w:u w:val="none"/>
        </w:rPr>
        <w:t>教育程度、统计</w:t>
      </w:r>
    </w:p>
    <w:p w:rsidR="00000000" w:rsidRDefault="00000000">
      <w:pPr>
        <w:rPr>
          <w:rFonts w:hint="eastAsia"/>
        </w:rPr>
      </w:pPr>
      <w:r>
        <w:rPr>
          <w:rFonts w:hint="eastAsia"/>
        </w:rPr>
        <w:tab/>
        <w:t xml:space="preserve">501.  </w:t>
      </w:r>
      <w:r>
        <w:rPr>
          <w:rFonts w:hint="eastAsia"/>
        </w:rPr>
        <w:t>文盲人口包括不会阅读或写字的人。</w:t>
      </w:r>
    </w:p>
    <w:p w:rsidR="00000000" w:rsidRDefault="00000000">
      <w:pPr>
        <w:rPr>
          <w:rFonts w:hint="eastAsia"/>
        </w:rPr>
      </w:pPr>
      <w:r>
        <w:rPr>
          <w:rFonts w:hint="eastAsia"/>
        </w:rPr>
        <w:tab/>
        <w:t xml:space="preserve">502.  </w:t>
      </w:r>
      <w:r>
        <w:rPr>
          <w:rFonts w:hint="eastAsia"/>
        </w:rPr>
        <w:t>尽管近年实施了主要针对成人的扫盲班和教育运动，厄瓜多尔的文盲率仍旧很高，特别是</w:t>
      </w:r>
      <w:r>
        <w:rPr>
          <w:rFonts w:hint="eastAsia"/>
        </w:rPr>
        <w:t>15</w:t>
      </w:r>
      <w:r>
        <w:rPr>
          <w:rFonts w:hint="eastAsia"/>
        </w:rPr>
        <w:t>岁以上的人。然而，自</w:t>
      </w:r>
      <w:r>
        <w:rPr>
          <w:rFonts w:hint="eastAsia"/>
        </w:rPr>
        <w:t>1994</w:t>
      </w:r>
      <w:r>
        <w:rPr>
          <w:rFonts w:hint="eastAsia"/>
        </w:rPr>
        <w:t>至</w:t>
      </w:r>
      <w:r>
        <w:rPr>
          <w:rFonts w:hint="eastAsia"/>
        </w:rPr>
        <w:t>1998</w:t>
      </w:r>
      <w:r>
        <w:rPr>
          <w:rFonts w:hint="eastAsia"/>
        </w:rPr>
        <w:t>年，全国文盲率不断下降。在</w:t>
      </w:r>
      <w:r>
        <w:rPr>
          <w:rFonts w:hint="eastAsia"/>
        </w:rPr>
        <w:t>1999</w:t>
      </w:r>
      <w:r>
        <w:rPr>
          <w:rFonts w:hint="eastAsia"/>
        </w:rPr>
        <w:t>年，记载的文盲率比全国平均数字要高，特别是在乡村地区。</w:t>
      </w:r>
      <w:r>
        <w:rPr>
          <w:rFonts w:hint="eastAsia"/>
          <w:b/>
          <w:vertAlign w:val="superscript"/>
        </w:rPr>
        <w:t>69</w:t>
      </w:r>
    </w:p>
    <w:p w:rsidR="00000000" w:rsidRDefault="00000000">
      <w:pPr>
        <w:spacing w:after="160"/>
        <w:rPr>
          <w:rFonts w:hint="eastAsia"/>
        </w:rPr>
      </w:pPr>
      <w:r>
        <w:rPr>
          <w:rFonts w:hint="eastAsia"/>
        </w:rPr>
        <w:tab/>
        <w:t xml:space="preserve">503.  </w:t>
      </w:r>
      <w:r>
        <w:rPr>
          <w:rFonts w:hint="eastAsia"/>
        </w:rPr>
        <w:t>造成文盲的主要原因包括下列各项：经济危机的影响妨碍着将必要的资源用于满足这一需要；教育中心遥远以及特别是乡村地区缺乏基本教育基础设施；以及融入劳动力市场的人增多。</w:t>
      </w:r>
      <w:r>
        <w:rPr>
          <w:rFonts w:hint="eastAsia"/>
          <w:b/>
          <w:vertAlign w:val="superscript"/>
        </w:rPr>
        <w:t>70</w:t>
      </w:r>
    </w:p>
    <w:p w:rsidR="00000000" w:rsidRDefault="00000000">
      <w:pPr>
        <w:pStyle w:val="Heading3"/>
        <w:spacing w:after="160"/>
        <w:rPr>
          <w:rFonts w:hint="eastAsia"/>
        </w:rPr>
      </w:pPr>
      <w:r>
        <w:rPr>
          <w:rFonts w:hint="eastAsia"/>
        </w:rPr>
        <w:t>文盲人口</w:t>
      </w:r>
      <w:r>
        <w:rPr>
          <w:rFonts w:hint="eastAsia"/>
        </w:rPr>
        <w:t>(</w:t>
      </w:r>
      <w:r>
        <w:rPr>
          <w:rFonts w:hint="eastAsia"/>
        </w:rPr>
        <w:t>按地区和年龄组分类</w:t>
      </w:r>
      <w:r>
        <w:rPr>
          <w:rFonts w:hint="eastAsia"/>
        </w:rPr>
        <w:t>)</w:t>
      </w:r>
      <w:r>
        <w:br/>
      </w:r>
      <w:r>
        <w:rPr>
          <w:rFonts w:hint="eastAsia"/>
        </w:rPr>
        <w:t>国家一级</w:t>
      </w:r>
      <w:r>
        <w:rPr>
          <w:rFonts w:hint="eastAsia"/>
        </w:rPr>
        <w:t>(</w:t>
      </w:r>
      <w:r>
        <w:rPr>
          <w:rFonts w:hint="eastAsia"/>
        </w:rPr>
        <w:t>百分比</w:t>
      </w:r>
      <w:r>
        <w:rPr>
          <w:rFonts w:hint="eastAsia"/>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594"/>
        <w:gridCol w:w="1595"/>
        <w:gridCol w:w="1594"/>
        <w:gridCol w:w="1595"/>
      </w:tblGrid>
      <w:tr w:rsidR="00000000">
        <w:tblPrEx>
          <w:tblCellMar>
            <w:top w:w="0" w:type="dxa"/>
            <w:bottom w:w="0" w:type="dxa"/>
          </w:tblCellMar>
        </w:tblPrEx>
        <w:trPr>
          <w:cantSplit/>
          <w:tblHeader/>
        </w:trPr>
        <w:tc>
          <w:tcPr>
            <w:tcW w:w="2410" w:type="dxa"/>
            <w:tcBorders>
              <w:bottom w:val="single" w:sz="4" w:space="0" w:color="auto"/>
            </w:tcBorders>
            <w:vAlign w:val="center"/>
          </w:tcPr>
          <w:p w:rsidR="00000000" w:rsidRDefault="00000000">
            <w:pPr>
              <w:pStyle w:val="a2"/>
              <w:spacing w:before="80" w:after="80" w:line="240" w:lineRule="exact"/>
              <w:jc w:val="center"/>
              <w:rPr>
                <w:rFonts w:hint="eastAsia"/>
                <w:sz w:val="20"/>
                <w:u w:val="single"/>
              </w:rPr>
            </w:pPr>
            <w:r>
              <w:rPr>
                <w:rFonts w:hint="eastAsia"/>
                <w:sz w:val="20"/>
                <w:u w:val="single"/>
              </w:rPr>
              <w:t>年龄组</w:t>
            </w:r>
          </w:p>
        </w:tc>
        <w:tc>
          <w:tcPr>
            <w:tcW w:w="1594" w:type="dxa"/>
            <w:tcBorders>
              <w:bottom w:val="single" w:sz="4" w:space="0" w:color="auto"/>
            </w:tcBorders>
            <w:vAlign w:val="center"/>
          </w:tcPr>
          <w:p w:rsidR="00000000" w:rsidRDefault="00000000">
            <w:pPr>
              <w:pStyle w:val="a2"/>
              <w:spacing w:before="80" w:after="80" w:line="240" w:lineRule="exact"/>
              <w:jc w:val="center"/>
              <w:rPr>
                <w:rFonts w:hint="eastAsia"/>
                <w:sz w:val="20"/>
                <w:u w:val="single"/>
              </w:rPr>
            </w:pPr>
            <w:r>
              <w:rPr>
                <w:sz w:val="20"/>
                <w:u w:val="single"/>
              </w:rPr>
              <w:t>1994</w:t>
            </w:r>
            <w:r>
              <w:rPr>
                <w:rFonts w:hint="eastAsia"/>
                <w:sz w:val="20"/>
                <w:u w:val="single"/>
              </w:rPr>
              <w:t>年</w:t>
            </w:r>
          </w:p>
        </w:tc>
        <w:tc>
          <w:tcPr>
            <w:tcW w:w="1595" w:type="dxa"/>
            <w:tcBorders>
              <w:bottom w:val="single" w:sz="4" w:space="0" w:color="auto"/>
            </w:tcBorders>
            <w:vAlign w:val="center"/>
          </w:tcPr>
          <w:p w:rsidR="00000000" w:rsidRDefault="00000000">
            <w:pPr>
              <w:pStyle w:val="a2"/>
              <w:spacing w:before="80" w:after="80" w:line="240" w:lineRule="exact"/>
              <w:jc w:val="center"/>
              <w:rPr>
                <w:rFonts w:hint="eastAsia"/>
                <w:sz w:val="20"/>
                <w:u w:val="single"/>
              </w:rPr>
            </w:pPr>
            <w:r>
              <w:rPr>
                <w:sz w:val="20"/>
                <w:u w:val="single"/>
              </w:rPr>
              <w:t>1995</w:t>
            </w:r>
            <w:r>
              <w:rPr>
                <w:rFonts w:hint="eastAsia"/>
                <w:sz w:val="20"/>
                <w:u w:val="single"/>
              </w:rPr>
              <w:t>年</w:t>
            </w:r>
          </w:p>
        </w:tc>
        <w:tc>
          <w:tcPr>
            <w:tcW w:w="1594" w:type="dxa"/>
            <w:tcBorders>
              <w:bottom w:val="single" w:sz="4" w:space="0" w:color="auto"/>
            </w:tcBorders>
            <w:vAlign w:val="center"/>
          </w:tcPr>
          <w:p w:rsidR="00000000" w:rsidRDefault="00000000">
            <w:pPr>
              <w:pStyle w:val="a2"/>
              <w:spacing w:before="80" w:after="80" w:line="240" w:lineRule="exact"/>
              <w:jc w:val="center"/>
              <w:rPr>
                <w:rFonts w:hint="eastAsia"/>
                <w:sz w:val="20"/>
                <w:u w:val="single"/>
              </w:rPr>
            </w:pPr>
            <w:r>
              <w:rPr>
                <w:sz w:val="20"/>
                <w:u w:val="single"/>
              </w:rPr>
              <w:t>1998</w:t>
            </w:r>
            <w:r>
              <w:rPr>
                <w:rFonts w:hint="eastAsia"/>
                <w:sz w:val="20"/>
                <w:u w:val="single"/>
              </w:rPr>
              <w:t>年</w:t>
            </w:r>
          </w:p>
        </w:tc>
        <w:tc>
          <w:tcPr>
            <w:tcW w:w="1595" w:type="dxa"/>
            <w:tcBorders>
              <w:bottom w:val="single" w:sz="4" w:space="0" w:color="auto"/>
            </w:tcBorders>
            <w:vAlign w:val="center"/>
          </w:tcPr>
          <w:p w:rsidR="00000000" w:rsidRDefault="00000000">
            <w:pPr>
              <w:pStyle w:val="a2"/>
              <w:spacing w:before="80" w:after="80" w:line="240" w:lineRule="exact"/>
              <w:jc w:val="center"/>
              <w:rPr>
                <w:rFonts w:hint="eastAsia"/>
                <w:sz w:val="20"/>
                <w:u w:val="single"/>
              </w:rPr>
            </w:pPr>
            <w:r>
              <w:rPr>
                <w:sz w:val="20"/>
                <w:u w:val="single"/>
              </w:rPr>
              <w:t>1999</w:t>
            </w:r>
            <w:r>
              <w:rPr>
                <w:rFonts w:hint="eastAsia"/>
                <w:sz w:val="20"/>
                <w:u w:val="single"/>
              </w:rPr>
              <w:t>年</w:t>
            </w:r>
          </w:p>
        </w:tc>
      </w:tr>
      <w:tr w:rsidR="00000000">
        <w:tblPrEx>
          <w:tblCellMar>
            <w:top w:w="0" w:type="dxa"/>
            <w:bottom w:w="0" w:type="dxa"/>
          </w:tblCellMar>
        </w:tblPrEx>
        <w:trPr>
          <w:cantSplit/>
        </w:trPr>
        <w:tc>
          <w:tcPr>
            <w:tcW w:w="2410" w:type="dxa"/>
            <w:tcBorders>
              <w:bottom w:val="nil"/>
            </w:tcBorders>
          </w:tcPr>
          <w:p w:rsidR="00000000" w:rsidRDefault="00000000">
            <w:pPr>
              <w:pStyle w:val="a2"/>
              <w:spacing w:before="40" w:after="40" w:line="240" w:lineRule="exact"/>
              <w:rPr>
                <w:rFonts w:hint="eastAsia"/>
                <w:sz w:val="20"/>
              </w:rPr>
            </w:pPr>
            <w:r>
              <w:rPr>
                <w:rFonts w:hint="eastAsia"/>
                <w:sz w:val="20"/>
              </w:rPr>
              <w:t>全国</w:t>
            </w:r>
          </w:p>
        </w:tc>
        <w:tc>
          <w:tcPr>
            <w:tcW w:w="1594" w:type="dxa"/>
            <w:tcBorders>
              <w:bottom w:val="nil"/>
            </w:tcBorders>
          </w:tcPr>
          <w:p w:rsidR="00000000" w:rsidRDefault="00000000">
            <w:pPr>
              <w:pStyle w:val="a2"/>
              <w:tabs>
                <w:tab w:val="decimal" w:pos="850"/>
              </w:tabs>
              <w:spacing w:before="40" w:after="40" w:line="240" w:lineRule="exact"/>
              <w:rPr>
                <w:sz w:val="20"/>
              </w:rPr>
            </w:pPr>
          </w:p>
        </w:tc>
        <w:tc>
          <w:tcPr>
            <w:tcW w:w="1595" w:type="dxa"/>
            <w:tcBorders>
              <w:bottom w:val="nil"/>
            </w:tcBorders>
          </w:tcPr>
          <w:p w:rsidR="00000000" w:rsidRDefault="00000000">
            <w:pPr>
              <w:pStyle w:val="a2"/>
              <w:tabs>
                <w:tab w:val="decimal" w:pos="850"/>
              </w:tabs>
              <w:spacing w:before="40" w:after="40" w:line="240" w:lineRule="exact"/>
              <w:rPr>
                <w:sz w:val="20"/>
              </w:rPr>
            </w:pPr>
          </w:p>
        </w:tc>
        <w:tc>
          <w:tcPr>
            <w:tcW w:w="1594" w:type="dxa"/>
            <w:tcBorders>
              <w:bottom w:val="nil"/>
            </w:tcBorders>
          </w:tcPr>
          <w:p w:rsidR="00000000" w:rsidRDefault="00000000">
            <w:pPr>
              <w:pStyle w:val="a2"/>
              <w:tabs>
                <w:tab w:val="decimal" w:pos="850"/>
              </w:tabs>
              <w:spacing w:before="40" w:after="40" w:line="240" w:lineRule="exact"/>
              <w:rPr>
                <w:sz w:val="20"/>
              </w:rPr>
            </w:pPr>
          </w:p>
        </w:tc>
        <w:tc>
          <w:tcPr>
            <w:tcW w:w="1595" w:type="dxa"/>
            <w:tcBorders>
              <w:bottom w:val="nil"/>
            </w:tcBorders>
          </w:tcPr>
          <w:p w:rsidR="00000000" w:rsidRDefault="00000000">
            <w:pPr>
              <w:pStyle w:val="a2"/>
              <w:tabs>
                <w:tab w:val="decimal" w:pos="850"/>
              </w:tabs>
              <w:spacing w:before="40" w:after="40" w:line="240" w:lineRule="exact"/>
              <w:rPr>
                <w:sz w:val="20"/>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a2"/>
              <w:spacing w:before="40" w:after="40" w:line="240" w:lineRule="exact"/>
              <w:ind w:left="400"/>
              <w:rPr>
                <w:rFonts w:hint="eastAsia"/>
                <w:sz w:val="20"/>
              </w:rPr>
            </w:pPr>
            <w:r>
              <w:rPr>
                <w:rFonts w:hint="eastAsia"/>
                <w:sz w:val="20"/>
              </w:rPr>
              <w:t>10</w:t>
            </w:r>
            <w:r>
              <w:rPr>
                <w:rFonts w:hint="eastAsia"/>
                <w:sz w:val="20"/>
              </w:rPr>
              <w:t>岁以上</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9.9</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9.5</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9.9</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9.9</w:t>
            </w: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a2"/>
              <w:spacing w:before="40" w:after="40" w:line="240" w:lineRule="exact"/>
              <w:ind w:left="400"/>
              <w:rPr>
                <w:rFonts w:hint="eastAsia"/>
                <w:sz w:val="20"/>
              </w:rPr>
            </w:pPr>
            <w:r>
              <w:rPr>
                <w:rFonts w:hint="eastAsia"/>
                <w:sz w:val="20"/>
              </w:rPr>
              <w:t>15</w:t>
            </w:r>
            <w:r>
              <w:rPr>
                <w:rFonts w:hint="eastAsia"/>
                <w:sz w:val="20"/>
              </w:rPr>
              <w:t>岁以上</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11.2</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10.5</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10.2</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11.0</w:t>
            </w: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a2"/>
              <w:spacing w:before="40" w:after="40" w:line="240" w:lineRule="exact"/>
              <w:rPr>
                <w:rFonts w:hint="eastAsia"/>
                <w:sz w:val="20"/>
              </w:rPr>
            </w:pPr>
            <w:r>
              <w:rPr>
                <w:rFonts w:hint="eastAsia"/>
                <w:sz w:val="20"/>
              </w:rPr>
              <w:t>城市</w:t>
            </w:r>
          </w:p>
        </w:tc>
        <w:tc>
          <w:tcPr>
            <w:tcW w:w="1594" w:type="dxa"/>
            <w:tcBorders>
              <w:top w:val="nil"/>
              <w:bottom w:val="nil"/>
            </w:tcBorders>
          </w:tcPr>
          <w:p w:rsidR="00000000" w:rsidRDefault="00000000">
            <w:pPr>
              <w:pStyle w:val="a2"/>
              <w:tabs>
                <w:tab w:val="decimal" w:pos="850"/>
              </w:tabs>
              <w:spacing w:before="40" w:after="40" w:line="240" w:lineRule="exact"/>
              <w:rPr>
                <w:sz w:val="20"/>
              </w:rPr>
            </w:pPr>
          </w:p>
        </w:tc>
        <w:tc>
          <w:tcPr>
            <w:tcW w:w="1595" w:type="dxa"/>
            <w:tcBorders>
              <w:top w:val="nil"/>
              <w:bottom w:val="nil"/>
            </w:tcBorders>
          </w:tcPr>
          <w:p w:rsidR="00000000" w:rsidRDefault="00000000">
            <w:pPr>
              <w:pStyle w:val="a2"/>
              <w:tabs>
                <w:tab w:val="decimal" w:pos="850"/>
              </w:tabs>
              <w:spacing w:before="40" w:after="40" w:line="240" w:lineRule="exact"/>
              <w:rPr>
                <w:sz w:val="20"/>
              </w:rPr>
            </w:pPr>
          </w:p>
        </w:tc>
        <w:tc>
          <w:tcPr>
            <w:tcW w:w="1594" w:type="dxa"/>
            <w:tcBorders>
              <w:top w:val="nil"/>
              <w:bottom w:val="nil"/>
            </w:tcBorders>
          </w:tcPr>
          <w:p w:rsidR="00000000" w:rsidRDefault="00000000">
            <w:pPr>
              <w:pStyle w:val="a2"/>
              <w:tabs>
                <w:tab w:val="decimal" w:pos="850"/>
              </w:tabs>
              <w:spacing w:before="40" w:after="40" w:line="240" w:lineRule="exact"/>
              <w:rPr>
                <w:sz w:val="20"/>
              </w:rPr>
            </w:pPr>
          </w:p>
        </w:tc>
        <w:tc>
          <w:tcPr>
            <w:tcW w:w="1595" w:type="dxa"/>
            <w:tcBorders>
              <w:top w:val="nil"/>
              <w:bottom w:val="nil"/>
            </w:tcBorders>
          </w:tcPr>
          <w:p w:rsidR="00000000" w:rsidRDefault="00000000">
            <w:pPr>
              <w:pStyle w:val="a2"/>
              <w:tabs>
                <w:tab w:val="decimal" w:pos="850"/>
              </w:tabs>
              <w:spacing w:before="40" w:after="40" w:line="240" w:lineRule="exact"/>
              <w:rPr>
                <w:sz w:val="20"/>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a2"/>
              <w:spacing w:before="40" w:after="40" w:line="240" w:lineRule="exact"/>
              <w:ind w:left="400"/>
              <w:rPr>
                <w:rFonts w:hint="eastAsia"/>
                <w:sz w:val="20"/>
              </w:rPr>
            </w:pPr>
            <w:r>
              <w:rPr>
                <w:rFonts w:hint="eastAsia"/>
                <w:sz w:val="20"/>
              </w:rPr>
              <w:t>10</w:t>
            </w:r>
            <w:r>
              <w:rPr>
                <w:rFonts w:hint="eastAsia"/>
                <w:sz w:val="20"/>
              </w:rPr>
              <w:t>岁以上</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4.9</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5.4</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4.6</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5.3</w:t>
            </w: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a2"/>
              <w:spacing w:before="40" w:after="40" w:line="240" w:lineRule="exact"/>
              <w:ind w:left="400"/>
              <w:rPr>
                <w:rFonts w:hint="eastAsia"/>
                <w:sz w:val="20"/>
              </w:rPr>
            </w:pPr>
            <w:r>
              <w:rPr>
                <w:rFonts w:hint="eastAsia"/>
                <w:sz w:val="20"/>
              </w:rPr>
              <w:t>15</w:t>
            </w:r>
            <w:r>
              <w:rPr>
                <w:rFonts w:hint="eastAsia"/>
                <w:sz w:val="20"/>
              </w:rPr>
              <w:t>岁以上</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5.4</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6.0</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5.0</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5.7</w:t>
            </w: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a2"/>
              <w:spacing w:before="40" w:after="40" w:line="240" w:lineRule="exact"/>
              <w:rPr>
                <w:rFonts w:hint="eastAsia"/>
                <w:sz w:val="20"/>
              </w:rPr>
            </w:pPr>
            <w:r>
              <w:rPr>
                <w:rFonts w:hint="eastAsia"/>
                <w:sz w:val="20"/>
              </w:rPr>
              <w:t>乡村</w:t>
            </w:r>
          </w:p>
        </w:tc>
        <w:tc>
          <w:tcPr>
            <w:tcW w:w="1594" w:type="dxa"/>
            <w:tcBorders>
              <w:top w:val="nil"/>
              <w:bottom w:val="nil"/>
            </w:tcBorders>
          </w:tcPr>
          <w:p w:rsidR="00000000" w:rsidRDefault="00000000">
            <w:pPr>
              <w:pStyle w:val="a2"/>
              <w:tabs>
                <w:tab w:val="decimal" w:pos="850"/>
              </w:tabs>
              <w:spacing w:before="40" w:after="40" w:line="240" w:lineRule="exact"/>
              <w:rPr>
                <w:sz w:val="20"/>
              </w:rPr>
            </w:pPr>
          </w:p>
        </w:tc>
        <w:tc>
          <w:tcPr>
            <w:tcW w:w="1595" w:type="dxa"/>
            <w:tcBorders>
              <w:top w:val="nil"/>
              <w:bottom w:val="nil"/>
            </w:tcBorders>
          </w:tcPr>
          <w:p w:rsidR="00000000" w:rsidRDefault="00000000">
            <w:pPr>
              <w:pStyle w:val="a2"/>
              <w:tabs>
                <w:tab w:val="decimal" w:pos="850"/>
              </w:tabs>
              <w:spacing w:before="40" w:after="40" w:line="240" w:lineRule="exact"/>
              <w:rPr>
                <w:sz w:val="20"/>
              </w:rPr>
            </w:pPr>
          </w:p>
        </w:tc>
        <w:tc>
          <w:tcPr>
            <w:tcW w:w="1594" w:type="dxa"/>
            <w:tcBorders>
              <w:top w:val="nil"/>
              <w:bottom w:val="nil"/>
            </w:tcBorders>
          </w:tcPr>
          <w:p w:rsidR="00000000" w:rsidRDefault="00000000">
            <w:pPr>
              <w:pStyle w:val="a2"/>
              <w:tabs>
                <w:tab w:val="decimal" w:pos="850"/>
              </w:tabs>
              <w:spacing w:before="40" w:after="40" w:line="240" w:lineRule="exact"/>
              <w:rPr>
                <w:sz w:val="20"/>
              </w:rPr>
            </w:pPr>
          </w:p>
        </w:tc>
        <w:tc>
          <w:tcPr>
            <w:tcW w:w="1595" w:type="dxa"/>
            <w:tcBorders>
              <w:top w:val="nil"/>
              <w:bottom w:val="nil"/>
            </w:tcBorders>
          </w:tcPr>
          <w:p w:rsidR="00000000" w:rsidRDefault="00000000">
            <w:pPr>
              <w:pStyle w:val="a2"/>
              <w:tabs>
                <w:tab w:val="decimal" w:pos="850"/>
              </w:tabs>
              <w:spacing w:before="40" w:after="40" w:line="240" w:lineRule="exact"/>
              <w:rPr>
                <w:sz w:val="20"/>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a2"/>
              <w:spacing w:before="40" w:after="40" w:line="240" w:lineRule="exact"/>
              <w:ind w:left="400"/>
              <w:rPr>
                <w:rFonts w:hint="eastAsia"/>
                <w:sz w:val="20"/>
              </w:rPr>
            </w:pPr>
            <w:r>
              <w:rPr>
                <w:rFonts w:hint="eastAsia"/>
                <w:sz w:val="20"/>
              </w:rPr>
              <w:t>10</w:t>
            </w:r>
            <w:r>
              <w:rPr>
                <w:rFonts w:hint="eastAsia"/>
                <w:sz w:val="20"/>
              </w:rPr>
              <w:t>岁以上</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16.8</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15.9</w:t>
            </w:r>
          </w:p>
        </w:tc>
        <w:tc>
          <w:tcPr>
            <w:tcW w:w="1594"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15.5</w:t>
            </w:r>
          </w:p>
        </w:tc>
        <w:tc>
          <w:tcPr>
            <w:tcW w:w="1595" w:type="dxa"/>
            <w:tcBorders>
              <w:top w:val="nil"/>
              <w:bottom w:val="nil"/>
            </w:tcBorders>
          </w:tcPr>
          <w:p w:rsidR="00000000" w:rsidRDefault="00000000">
            <w:pPr>
              <w:pStyle w:val="a2"/>
              <w:tabs>
                <w:tab w:val="decimal" w:pos="850"/>
              </w:tabs>
              <w:spacing w:before="40" w:after="40" w:line="240" w:lineRule="exact"/>
              <w:ind w:left="400"/>
              <w:rPr>
                <w:sz w:val="20"/>
              </w:rPr>
            </w:pPr>
            <w:r>
              <w:rPr>
                <w:sz w:val="20"/>
              </w:rPr>
              <w:t>16.8</w:t>
            </w:r>
          </w:p>
        </w:tc>
      </w:tr>
      <w:tr w:rsidR="00000000">
        <w:tblPrEx>
          <w:tblCellMar>
            <w:top w:w="0" w:type="dxa"/>
            <w:bottom w:w="0" w:type="dxa"/>
          </w:tblCellMar>
        </w:tblPrEx>
        <w:trPr>
          <w:cantSplit/>
        </w:trPr>
        <w:tc>
          <w:tcPr>
            <w:tcW w:w="2410" w:type="dxa"/>
            <w:tcBorders>
              <w:top w:val="nil"/>
            </w:tcBorders>
          </w:tcPr>
          <w:p w:rsidR="00000000" w:rsidRDefault="00000000">
            <w:pPr>
              <w:pStyle w:val="a2"/>
              <w:spacing w:before="40" w:after="40" w:line="240" w:lineRule="exact"/>
              <w:ind w:left="400"/>
              <w:rPr>
                <w:rFonts w:hint="eastAsia"/>
                <w:sz w:val="20"/>
              </w:rPr>
            </w:pPr>
            <w:r>
              <w:rPr>
                <w:rFonts w:hint="eastAsia"/>
                <w:sz w:val="20"/>
              </w:rPr>
              <w:t>15</w:t>
            </w:r>
            <w:r>
              <w:rPr>
                <w:rFonts w:hint="eastAsia"/>
                <w:sz w:val="20"/>
              </w:rPr>
              <w:t>岁以上</w:t>
            </w:r>
          </w:p>
        </w:tc>
        <w:tc>
          <w:tcPr>
            <w:tcW w:w="1594" w:type="dxa"/>
            <w:tcBorders>
              <w:top w:val="nil"/>
            </w:tcBorders>
          </w:tcPr>
          <w:p w:rsidR="00000000" w:rsidRDefault="00000000">
            <w:pPr>
              <w:pStyle w:val="a2"/>
              <w:tabs>
                <w:tab w:val="decimal" w:pos="850"/>
              </w:tabs>
              <w:spacing w:before="40" w:after="40" w:line="240" w:lineRule="exact"/>
              <w:ind w:left="400"/>
              <w:rPr>
                <w:sz w:val="20"/>
              </w:rPr>
            </w:pPr>
            <w:r>
              <w:rPr>
                <w:sz w:val="20"/>
              </w:rPr>
              <w:t>19.3</w:t>
            </w:r>
          </w:p>
        </w:tc>
        <w:tc>
          <w:tcPr>
            <w:tcW w:w="1595" w:type="dxa"/>
            <w:tcBorders>
              <w:top w:val="nil"/>
            </w:tcBorders>
          </w:tcPr>
          <w:p w:rsidR="00000000" w:rsidRDefault="00000000">
            <w:pPr>
              <w:pStyle w:val="a2"/>
              <w:tabs>
                <w:tab w:val="decimal" w:pos="850"/>
              </w:tabs>
              <w:spacing w:before="40" w:after="40" w:line="240" w:lineRule="exact"/>
              <w:ind w:left="400"/>
              <w:rPr>
                <w:sz w:val="20"/>
              </w:rPr>
            </w:pPr>
            <w:r>
              <w:rPr>
                <w:sz w:val="20"/>
              </w:rPr>
              <w:t>17.9</w:t>
            </w:r>
          </w:p>
        </w:tc>
        <w:tc>
          <w:tcPr>
            <w:tcW w:w="1594" w:type="dxa"/>
            <w:tcBorders>
              <w:top w:val="nil"/>
            </w:tcBorders>
          </w:tcPr>
          <w:p w:rsidR="00000000" w:rsidRDefault="00000000">
            <w:pPr>
              <w:pStyle w:val="a2"/>
              <w:tabs>
                <w:tab w:val="decimal" w:pos="850"/>
              </w:tabs>
              <w:spacing w:before="40" w:after="40" w:line="240" w:lineRule="exact"/>
              <w:ind w:left="400"/>
              <w:rPr>
                <w:sz w:val="20"/>
              </w:rPr>
            </w:pPr>
            <w:r>
              <w:rPr>
                <w:sz w:val="20"/>
              </w:rPr>
              <w:t>17.9</w:t>
            </w:r>
          </w:p>
        </w:tc>
        <w:tc>
          <w:tcPr>
            <w:tcW w:w="1595" w:type="dxa"/>
            <w:tcBorders>
              <w:top w:val="nil"/>
            </w:tcBorders>
          </w:tcPr>
          <w:p w:rsidR="00000000" w:rsidRDefault="00000000">
            <w:pPr>
              <w:pStyle w:val="a2"/>
              <w:tabs>
                <w:tab w:val="decimal" w:pos="850"/>
              </w:tabs>
              <w:spacing w:before="40" w:after="40" w:line="240" w:lineRule="exact"/>
              <w:ind w:left="400"/>
              <w:rPr>
                <w:sz w:val="20"/>
              </w:rPr>
            </w:pPr>
            <w:r>
              <w:rPr>
                <w:sz w:val="20"/>
              </w:rPr>
              <w:t>19.2</w:t>
            </w:r>
          </w:p>
        </w:tc>
      </w:tr>
    </w:tbl>
    <w:p w:rsidR="00000000" w:rsidRDefault="00000000">
      <w:pPr>
        <w:spacing w:before="200"/>
        <w:ind w:left="51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：国家统计所，《生活条件普查》，</w:t>
      </w:r>
      <w:r>
        <w:rPr>
          <w:rFonts w:eastAsia="KaiTi_GB2312" w:hint="eastAsia"/>
          <w:snapToGrid/>
          <w:spacing w:val="0"/>
        </w:rPr>
        <w:t xml:space="preserve"> 1994-1999</w:t>
      </w:r>
      <w:r>
        <w:rPr>
          <w:rFonts w:eastAsia="KaiTi_GB2312" w:hint="eastAsia"/>
          <w:snapToGrid/>
          <w:spacing w:val="0"/>
        </w:rPr>
        <w:t>年。</w:t>
      </w:r>
    </w:p>
    <w:p w:rsidR="00000000" w:rsidRDefault="00000000">
      <w:pPr>
        <w:pStyle w:val="Heading3"/>
        <w:spacing w:before="300" w:after="0"/>
        <w:rPr>
          <w:rFonts w:hint="eastAsia"/>
          <w:kern w:val="0"/>
        </w:rPr>
      </w:pPr>
      <w:r>
        <w:rPr>
          <w:rFonts w:hint="eastAsia"/>
          <w:kern w:val="0"/>
        </w:rPr>
        <w:t>正规教育三个阶段注册人数</w:t>
      </w:r>
    </w:p>
    <w:p w:rsidR="00000000" w:rsidRDefault="00000000">
      <w:pPr>
        <w:pStyle w:val="Heading3"/>
        <w:spacing w:before="40" w:after="0"/>
        <w:rPr>
          <w:rFonts w:hint="eastAsia"/>
          <w:kern w:val="0"/>
        </w:rPr>
      </w:pPr>
      <w:r>
        <w:rPr>
          <w:rFonts w:hint="eastAsia"/>
          <w:kern w:val="0"/>
        </w:rPr>
        <w:t>(</w:t>
      </w:r>
      <w:r>
        <w:rPr>
          <w:rFonts w:hint="eastAsia"/>
          <w:kern w:val="0"/>
        </w:rPr>
        <w:t>按地区、学年和性别分类</w:t>
      </w:r>
      <w:r>
        <w:rPr>
          <w:rFonts w:hint="eastAsia"/>
          <w:kern w:val="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9"/>
        <w:gridCol w:w="443"/>
        <w:gridCol w:w="880"/>
        <w:gridCol w:w="783"/>
        <w:gridCol w:w="880"/>
        <w:gridCol w:w="1030"/>
        <w:gridCol w:w="880"/>
        <w:gridCol w:w="1030"/>
        <w:gridCol w:w="880"/>
        <w:gridCol w:w="783"/>
        <w:gridCol w:w="876"/>
      </w:tblGrid>
      <w:tr w:rsidR="00000000">
        <w:tblPrEx>
          <w:tblCellMar>
            <w:top w:w="0" w:type="dxa"/>
            <w:bottom w:w="0" w:type="dxa"/>
          </w:tblCellMar>
        </w:tblPrEx>
        <w:trPr>
          <w:cantSplit/>
          <w:tblHeader/>
          <w:jc w:val="center"/>
        </w:trPr>
        <w:tc>
          <w:tcPr>
            <w:tcW w:w="550" w:type="pct"/>
            <w:vMerge w:val="restart"/>
            <w:vAlign w:val="center"/>
          </w:tcPr>
          <w:p w:rsidR="00000000" w:rsidRDefault="00000000">
            <w:pPr>
              <w:pStyle w:val="a2"/>
              <w:spacing w:before="60" w:line="240" w:lineRule="auto"/>
              <w:ind w:left="-57" w:right="-57"/>
              <w:jc w:val="center"/>
              <w:rPr>
                <w:rFonts w:hint="eastAsia"/>
                <w:sz w:val="17"/>
                <w:u w:val="single"/>
              </w:rPr>
            </w:pPr>
            <w:r>
              <w:rPr>
                <w:rFonts w:hint="eastAsia"/>
                <w:sz w:val="17"/>
                <w:u w:val="single"/>
              </w:rPr>
              <w:t>学</w:t>
            </w:r>
            <w:r>
              <w:rPr>
                <w:rFonts w:hint="eastAsia"/>
                <w:sz w:val="17"/>
                <w:u w:val="single"/>
              </w:rPr>
              <w:t xml:space="preserve">  </w:t>
            </w:r>
            <w:r>
              <w:rPr>
                <w:rFonts w:hint="eastAsia"/>
                <w:sz w:val="17"/>
                <w:u w:val="single"/>
              </w:rPr>
              <w:t>年</w:t>
            </w:r>
          </w:p>
        </w:tc>
        <w:tc>
          <w:tcPr>
            <w:tcW w:w="241" w:type="pct"/>
            <w:vMerge w:val="restart"/>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性别</w:t>
            </w:r>
          </w:p>
        </w:tc>
        <w:tc>
          <w:tcPr>
            <w:tcW w:w="1362" w:type="pct"/>
            <w:gridSpan w:val="3"/>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学前教育</w:t>
            </w:r>
          </w:p>
        </w:tc>
        <w:tc>
          <w:tcPr>
            <w:tcW w:w="1570" w:type="pct"/>
            <w:gridSpan w:val="3"/>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小学教育</w:t>
            </w:r>
          </w:p>
        </w:tc>
        <w:tc>
          <w:tcPr>
            <w:tcW w:w="1356" w:type="pct"/>
            <w:gridSpan w:val="3"/>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基本周期</w:t>
            </w:r>
          </w:p>
        </w:tc>
      </w:tr>
      <w:tr w:rsidR="00000000">
        <w:tblPrEx>
          <w:tblCellMar>
            <w:top w:w="0" w:type="dxa"/>
            <w:bottom w:w="0" w:type="dxa"/>
          </w:tblCellMar>
        </w:tblPrEx>
        <w:trPr>
          <w:cantSplit/>
          <w:tblHeader/>
          <w:jc w:val="center"/>
        </w:trPr>
        <w:tc>
          <w:tcPr>
            <w:tcW w:w="550" w:type="pct"/>
            <w:vMerge/>
            <w:vAlign w:val="center"/>
          </w:tcPr>
          <w:p w:rsidR="00000000" w:rsidRDefault="00000000">
            <w:pPr>
              <w:pStyle w:val="a2"/>
              <w:spacing w:before="60" w:line="240" w:lineRule="auto"/>
              <w:ind w:left="-57" w:right="-57"/>
              <w:jc w:val="center"/>
              <w:rPr>
                <w:sz w:val="17"/>
                <w:u w:val="single"/>
              </w:rPr>
            </w:pPr>
          </w:p>
        </w:tc>
        <w:tc>
          <w:tcPr>
            <w:tcW w:w="241" w:type="pct"/>
            <w:vMerge/>
            <w:tcBorders>
              <w:bottom w:val="single" w:sz="4" w:space="0" w:color="auto"/>
            </w:tcBorders>
            <w:vAlign w:val="center"/>
          </w:tcPr>
          <w:p w:rsidR="00000000" w:rsidRDefault="00000000">
            <w:pPr>
              <w:pStyle w:val="a2"/>
              <w:spacing w:before="60" w:line="240" w:lineRule="auto"/>
              <w:ind w:right="113"/>
              <w:jc w:val="center"/>
              <w:rPr>
                <w:sz w:val="17"/>
                <w:u w:val="single"/>
              </w:rPr>
            </w:pPr>
          </w:p>
        </w:tc>
        <w:tc>
          <w:tcPr>
            <w:tcW w:w="471"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城市</w:t>
            </w:r>
          </w:p>
        </w:tc>
        <w:tc>
          <w:tcPr>
            <w:tcW w:w="420"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乡村</w:t>
            </w:r>
          </w:p>
        </w:tc>
        <w:tc>
          <w:tcPr>
            <w:tcW w:w="471"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共计</w:t>
            </w:r>
          </w:p>
        </w:tc>
        <w:tc>
          <w:tcPr>
            <w:tcW w:w="550"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城市</w:t>
            </w:r>
          </w:p>
        </w:tc>
        <w:tc>
          <w:tcPr>
            <w:tcW w:w="471"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乡村</w:t>
            </w:r>
          </w:p>
        </w:tc>
        <w:tc>
          <w:tcPr>
            <w:tcW w:w="550"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共计</w:t>
            </w:r>
          </w:p>
        </w:tc>
        <w:tc>
          <w:tcPr>
            <w:tcW w:w="471"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城市</w:t>
            </w:r>
          </w:p>
        </w:tc>
        <w:tc>
          <w:tcPr>
            <w:tcW w:w="420"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乡村</w:t>
            </w:r>
          </w:p>
        </w:tc>
        <w:tc>
          <w:tcPr>
            <w:tcW w:w="465" w:type="pct"/>
            <w:tcBorders>
              <w:bottom w:val="single" w:sz="4" w:space="0" w:color="auto"/>
            </w:tcBorders>
            <w:vAlign w:val="center"/>
          </w:tcPr>
          <w:p w:rsidR="00000000" w:rsidRDefault="00000000">
            <w:pPr>
              <w:pStyle w:val="a2"/>
              <w:spacing w:before="60" w:line="240" w:lineRule="auto"/>
              <w:ind w:right="113"/>
              <w:jc w:val="center"/>
              <w:rPr>
                <w:rFonts w:hint="eastAsia"/>
                <w:sz w:val="17"/>
                <w:u w:val="single"/>
              </w:rPr>
            </w:pPr>
            <w:r>
              <w:rPr>
                <w:rFonts w:hint="eastAsia"/>
                <w:sz w:val="17"/>
                <w:u w:val="single"/>
              </w:rPr>
              <w:t>共计</w:t>
            </w:r>
          </w:p>
        </w:tc>
      </w:tr>
      <w:tr w:rsidR="00000000">
        <w:tblPrEx>
          <w:tblCellMar>
            <w:top w:w="0" w:type="dxa"/>
            <w:bottom w:w="0" w:type="dxa"/>
          </w:tblCellMar>
        </w:tblPrEx>
        <w:trPr>
          <w:cantSplit/>
          <w:jc w:val="center"/>
        </w:trPr>
        <w:tc>
          <w:tcPr>
            <w:tcW w:w="550" w:type="pct"/>
            <w:vMerge w:val="restart"/>
          </w:tcPr>
          <w:p w:rsidR="00000000" w:rsidRDefault="00000000">
            <w:pPr>
              <w:pStyle w:val="a2"/>
              <w:spacing w:line="240" w:lineRule="auto"/>
              <w:ind w:left="-57" w:right="-57"/>
              <w:jc w:val="right"/>
              <w:rPr>
                <w:rFonts w:hint="eastAsia"/>
                <w:spacing w:val="0"/>
                <w:sz w:val="17"/>
              </w:rPr>
            </w:pPr>
            <w:r>
              <w:rPr>
                <w:spacing w:val="0"/>
                <w:sz w:val="17"/>
              </w:rPr>
              <w:t>1993-1994</w:t>
            </w:r>
            <w:r>
              <w:rPr>
                <w:rFonts w:hint="eastAsia"/>
                <w:spacing w:val="0"/>
                <w:sz w:val="17"/>
              </w:rPr>
              <w:t>年</w:t>
            </w:r>
          </w:p>
        </w:tc>
        <w:tc>
          <w:tcPr>
            <w:tcW w:w="241" w:type="pct"/>
            <w:tcBorders>
              <w:bottom w:val="nil"/>
            </w:tcBorders>
          </w:tcPr>
          <w:p w:rsidR="00000000" w:rsidRDefault="00000000">
            <w:pPr>
              <w:pStyle w:val="a2"/>
              <w:spacing w:line="240" w:lineRule="auto"/>
              <w:ind w:right="113"/>
              <w:jc w:val="left"/>
              <w:rPr>
                <w:rFonts w:hint="eastAsia"/>
                <w:sz w:val="17"/>
              </w:rPr>
            </w:pPr>
            <w:r>
              <w:rPr>
                <w:rFonts w:hint="eastAsia"/>
                <w:sz w:val="17"/>
              </w:rPr>
              <w:t>男</w:t>
            </w:r>
          </w:p>
        </w:tc>
        <w:tc>
          <w:tcPr>
            <w:tcW w:w="471" w:type="pct"/>
            <w:tcBorders>
              <w:bottom w:val="nil"/>
            </w:tcBorders>
          </w:tcPr>
          <w:p w:rsidR="00000000" w:rsidRDefault="00000000">
            <w:pPr>
              <w:pStyle w:val="a2"/>
              <w:spacing w:line="240" w:lineRule="auto"/>
              <w:ind w:right="113"/>
              <w:jc w:val="right"/>
              <w:rPr>
                <w:sz w:val="17"/>
              </w:rPr>
            </w:pPr>
            <w:r>
              <w:rPr>
                <w:sz w:val="17"/>
              </w:rPr>
              <w:t>50,854</w:t>
            </w:r>
          </w:p>
        </w:tc>
        <w:tc>
          <w:tcPr>
            <w:tcW w:w="420" w:type="pct"/>
            <w:tcBorders>
              <w:bottom w:val="nil"/>
            </w:tcBorders>
          </w:tcPr>
          <w:p w:rsidR="00000000" w:rsidRDefault="00000000">
            <w:pPr>
              <w:pStyle w:val="a2"/>
              <w:spacing w:line="240" w:lineRule="auto"/>
              <w:ind w:right="113"/>
              <w:jc w:val="right"/>
              <w:rPr>
                <w:sz w:val="17"/>
              </w:rPr>
            </w:pPr>
            <w:r>
              <w:rPr>
                <w:sz w:val="17"/>
              </w:rPr>
              <w:t>11,222</w:t>
            </w:r>
          </w:p>
        </w:tc>
        <w:tc>
          <w:tcPr>
            <w:tcW w:w="471" w:type="pct"/>
            <w:tcBorders>
              <w:bottom w:val="nil"/>
            </w:tcBorders>
          </w:tcPr>
          <w:p w:rsidR="00000000" w:rsidRDefault="00000000">
            <w:pPr>
              <w:pStyle w:val="a2"/>
              <w:spacing w:line="240" w:lineRule="auto"/>
              <w:ind w:right="113"/>
              <w:jc w:val="right"/>
              <w:rPr>
                <w:sz w:val="17"/>
              </w:rPr>
            </w:pPr>
            <w:r>
              <w:rPr>
                <w:sz w:val="17"/>
              </w:rPr>
              <w:t>62,076</w:t>
            </w:r>
          </w:p>
        </w:tc>
        <w:tc>
          <w:tcPr>
            <w:tcW w:w="550" w:type="pct"/>
            <w:tcBorders>
              <w:bottom w:val="nil"/>
            </w:tcBorders>
          </w:tcPr>
          <w:p w:rsidR="00000000" w:rsidRDefault="00000000">
            <w:pPr>
              <w:pStyle w:val="a2"/>
              <w:spacing w:line="240" w:lineRule="auto"/>
              <w:ind w:right="113"/>
              <w:jc w:val="right"/>
              <w:rPr>
                <w:sz w:val="17"/>
              </w:rPr>
            </w:pPr>
            <w:r>
              <w:rPr>
                <w:sz w:val="17"/>
              </w:rPr>
              <w:t>502,901</w:t>
            </w:r>
          </w:p>
        </w:tc>
        <w:tc>
          <w:tcPr>
            <w:tcW w:w="471" w:type="pct"/>
            <w:tcBorders>
              <w:bottom w:val="nil"/>
            </w:tcBorders>
          </w:tcPr>
          <w:p w:rsidR="00000000" w:rsidRDefault="00000000">
            <w:pPr>
              <w:pStyle w:val="a2"/>
              <w:spacing w:line="240" w:lineRule="auto"/>
              <w:ind w:right="113"/>
              <w:jc w:val="right"/>
              <w:rPr>
                <w:sz w:val="17"/>
              </w:rPr>
            </w:pPr>
            <w:r>
              <w:rPr>
                <w:sz w:val="17"/>
              </w:rPr>
              <w:t>389,981</w:t>
            </w:r>
          </w:p>
        </w:tc>
        <w:tc>
          <w:tcPr>
            <w:tcW w:w="550" w:type="pct"/>
            <w:tcBorders>
              <w:bottom w:val="nil"/>
            </w:tcBorders>
          </w:tcPr>
          <w:p w:rsidR="00000000" w:rsidRDefault="00000000">
            <w:pPr>
              <w:pStyle w:val="a2"/>
              <w:spacing w:line="240" w:lineRule="auto"/>
              <w:ind w:right="113"/>
              <w:jc w:val="right"/>
              <w:rPr>
                <w:sz w:val="17"/>
              </w:rPr>
            </w:pPr>
            <w:r>
              <w:rPr>
                <w:sz w:val="17"/>
              </w:rPr>
              <w:t>892,882</w:t>
            </w:r>
          </w:p>
        </w:tc>
        <w:tc>
          <w:tcPr>
            <w:tcW w:w="471" w:type="pct"/>
            <w:tcBorders>
              <w:bottom w:val="nil"/>
            </w:tcBorders>
          </w:tcPr>
          <w:p w:rsidR="00000000" w:rsidRDefault="00000000">
            <w:pPr>
              <w:pStyle w:val="a2"/>
              <w:spacing w:line="240" w:lineRule="auto"/>
              <w:ind w:right="113"/>
              <w:jc w:val="right"/>
              <w:rPr>
                <w:sz w:val="17"/>
              </w:rPr>
            </w:pPr>
            <w:r>
              <w:rPr>
                <w:sz w:val="17"/>
              </w:rPr>
              <w:t>187,190</w:t>
            </w:r>
          </w:p>
        </w:tc>
        <w:tc>
          <w:tcPr>
            <w:tcW w:w="420" w:type="pct"/>
            <w:tcBorders>
              <w:bottom w:val="nil"/>
            </w:tcBorders>
          </w:tcPr>
          <w:p w:rsidR="00000000" w:rsidRDefault="00000000">
            <w:pPr>
              <w:pStyle w:val="a2"/>
              <w:spacing w:line="240" w:lineRule="auto"/>
              <w:ind w:right="113"/>
              <w:jc w:val="right"/>
              <w:rPr>
                <w:sz w:val="17"/>
              </w:rPr>
            </w:pPr>
            <w:r>
              <w:rPr>
                <w:sz w:val="17"/>
              </w:rPr>
              <w:t>36,075</w:t>
            </w:r>
          </w:p>
        </w:tc>
        <w:tc>
          <w:tcPr>
            <w:tcW w:w="465" w:type="pct"/>
            <w:tcBorders>
              <w:bottom w:val="nil"/>
            </w:tcBorders>
          </w:tcPr>
          <w:p w:rsidR="00000000" w:rsidRDefault="00000000">
            <w:pPr>
              <w:pStyle w:val="a2"/>
              <w:spacing w:line="240" w:lineRule="auto"/>
              <w:ind w:right="113"/>
              <w:jc w:val="right"/>
              <w:rPr>
                <w:sz w:val="17"/>
              </w:rPr>
            </w:pPr>
            <w:r>
              <w:rPr>
                <w:sz w:val="17"/>
              </w:rPr>
              <w:t>223,265</w:t>
            </w:r>
          </w:p>
        </w:tc>
      </w:tr>
      <w:tr w:rsidR="00000000">
        <w:tblPrEx>
          <w:tblCellMar>
            <w:top w:w="0" w:type="dxa"/>
            <w:bottom w:w="0" w:type="dxa"/>
          </w:tblCellMar>
        </w:tblPrEx>
        <w:trPr>
          <w:cantSplit/>
          <w:jc w:val="center"/>
        </w:trPr>
        <w:tc>
          <w:tcPr>
            <w:tcW w:w="550" w:type="pct"/>
            <w:vMerge/>
          </w:tcPr>
          <w:p w:rsidR="00000000" w:rsidRDefault="00000000">
            <w:pPr>
              <w:pStyle w:val="a2"/>
              <w:spacing w:line="240" w:lineRule="auto"/>
              <w:ind w:left="-57" w:right="-57"/>
              <w:jc w:val="right"/>
              <w:rPr>
                <w:sz w:val="17"/>
              </w:rPr>
            </w:pPr>
          </w:p>
        </w:tc>
        <w:tc>
          <w:tcPr>
            <w:tcW w:w="241" w:type="pct"/>
            <w:tcBorders>
              <w:top w:val="nil"/>
              <w:bottom w:val="nil"/>
            </w:tcBorders>
          </w:tcPr>
          <w:p w:rsidR="00000000" w:rsidRDefault="00000000">
            <w:pPr>
              <w:pStyle w:val="a2"/>
              <w:spacing w:line="240" w:lineRule="auto"/>
              <w:ind w:right="113"/>
              <w:jc w:val="left"/>
              <w:rPr>
                <w:rFonts w:hint="eastAsia"/>
                <w:sz w:val="17"/>
              </w:rPr>
            </w:pPr>
            <w:r>
              <w:rPr>
                <w:rFonts w:hint="eastAsia"/>
                <w:sz w:val="17"/>
              </w:rPr>
              <w:t>女</w:t>
            </w:r>
          </w:p>
        </w:tc>
        <w:tc>
          <w:tcPr>
            <w:tcW w:w="471" w:type="pct"/>
            <w:tcBorders>
              <w:top w:val="nil"/>
              <w:bottom w:val="nil"/>
            </w:tcBorders>
          </w:tcPr>
          <w:p w:rsidR="00000000" w:rsidRDefault="00000000">
            <w:pPr>
              <w:pStyle w:val="a2"/>
              <w:spacing w:line="240" w:lineRule="auto"/>
              <w:ind w:right="113"/>
              <w:jc w:val="right"/>
              <w:rPr>
                <w:sz w:val="17"/>
              </w:rPr>
            </w:pPr>
            <w:r>
              <w:rPr>
                <w:sz w:val="17"/>
              </w:rPr>
              <w:t>51,079</w:t>
            </w:r>
          </w:p>
        </w:tc>
        <w:tc>
          <w:tcPr>
            <w:tcW w:w="420" w:type="pct"/>
            <w:tcBorders>
              <w:top w:val="nil"/>
              <w:bottom w:val="nil"/>
            </w:tcBorders>
          </w:tcPr>
          <w:p w:rsidR="00000000" w:rsidRDefault="00000000">
            <w:pPr>
              <w:pStyle w:val="a2"/>
              <w:spacing w:line="240" w:lineRule="auto"/>
              <w:ind w:right="113"/>
              <w:jc w:val="right"/>
              <w:rPr>
                <w:sz w:val="17"/>
              </w:rPr>
            </w:pPr>
            <w:r>
              <w:rPr>
                <w:sz w:val="17"/>
              </w:rPr>
              <w:t>11,281</w:t>
            </w:r>
          </w:p>
        </w:tc>
        <w:tc>
          <w:tcPr>
            <w:tcW w:w="471" w:type="pct"/>
            <w:tcBorders>
              <w:top w:val="nil"/>
              <w:bottom w:val="nil"/>
            </w:tcBorders>
          </w:tcPr>
          <w:p w:rsidR="00000000" w:rsidRDefault="00000000">
            <w:pPr>
              <w:pStyle w:val="a2"/>
              <w:spacing w:line="240" w:lineRule="auto"/>
              <w:ind w:right="113"/>
              <w:jc w:val="right"/>
              <w:rPr>
                <w:sz w:val="17"/>
              </w:rPr>
            </w:pPr>
            <w:r>
              <w:rPr>
                <w:sz w:val="17"/>
              </w:rPr>
              <w:t>62,360</w:t>
            </w:r>
          </w:p>
        </w:tc>
        <w:tc>
          <w:tcPr>
            <w:tcW w:w="550" w:type="pct"/>
            <w:tcBorders>
              <w:top w:val="nil"/>
              <w:bottom w:val="nil"/>
            </w:tcBorders>
          </w:tcPr>
          <w:p w:rsidR="00000000" w:rsidRDefault="00000000">
            <w:pPr>
              <w:pStyle w:val="a2"/>
              <w:spacing w:line="240" w:lineRule="auto"/>
              <w:ind w:right="113"/>
              <w:jc w:val="right"/>
              <w:rPr>
                <w:sz w:val="17"/>
              </w:rPr>
            </w:pPr>
            <w:r>
              <w:rPr>
                <w:sz w:val="17"/>
              </w:rPr>
              <w:t>493,007</w:t>
            </w:r>
          </w:p>
        </w:tc>
        <w:tc>
          <w:tcPr>
            <w:tcW w:w="471" w:type="pct"/>
            <w:tcBorders>
              <w:top w:val="nil"/>
              <w:bottom w:val="nil"/>
            </w:tcBorders>
          </w:tcPr>
          <w:p w:rsidR="00000000" w:rsidRDefault="00000000">
            <w:pPr>
              <w:pStyle w:val="a2"/>
              <w:spacing w:line="240" w:lineRule="auto"/>
              <w:ind w:right="113"/>
              <w:jc w:val="right"/>
              <w:rPr>
                <w:sz w:val="17"/>
              </w:rPr>
            </w:pPr>
            <w:r>
              <w:rPr>
                <w:sz w:val="17"/>
              </w:rPr>
              <w:t>365,234</w:t>
            </w:r>
          </w:p>
        </w:tc>
        <w:tc>
          <w:tcPr>
            <w:tcW w:w="550" w:type="pct"/>
            <w:tcBorders>
              <w:top w:val="nil"/>
              <w:bottom w:val="nil"/>
            </w:tcBorders>
          </w:tcPr>
          <w:p w:rsidR="00000000" w:rsidRDefault="00000000">
            <w:pPr>
              <w:pStyle w:val="a2"/>
              <w:spacing w:line="240" w:lineRule="auto"/>
              <w:ind w:right="113"/>
              <w:jc w:val="right"/>
              <w:rPr>
                <w:sz w:val="17"/>
              </w:rPr>
            </w:pPr>
            <w:r>
              <w:rPr>
                <w:sz w:val="17"/>
              </w:rPr>
              <w:t>858,241</w:t>
            </w:r>
          </w:p>
        </w:tc>
        <w:tc>
          <w:tcPr>
            <w:tcW w:w="471" w:type="pct"/>
            <w:tcBorders>
              <w:top w:val="nil"/>
              <w:bottom w:val="nil"/>
            </w:tcBorders>
          </w:tcPr>
          <w:p w:rsidR="00000000" w:rsidRDefault="00000000">
            <w:pPr>
              <w:pStyle w:val="a2"/>
              <w:spacing w:line="240" w:lineRule="auto"/>
              <w:ind w:right="113"/>
              <w:jc w:val="right"/>
              <w:rPr>
                <w:sz w:val="17"/>
              </w:rPr>
            </w:pPr>
            <w:r>
              <w:rPr>
                <w:sz w:val="17"/>
              </w:rPr>
              <w:t>181,105</w:t>
            </w:r>
          </w:p>
        </w:tc>
        <w:tc>
          <w:tcPr>
            <w:tcW w:w="420" w:type="pct"/>
            <w:tcBorders>
              <w:top w:val="nil"/>
              <w:bottom w:val="nil"/>
            </w:tcBorders>
          </w:tcPr>
          <w:p w:rsidR="00000000" w:rsidRDefault="00000000">
            <w:pPr>
              <w:pStyle w:val="a2"/>
              <w:spacing w:line="240" w:lineRule="auto"/>
              <w:ind w:right="113"/>
              <w:jc w:val="right"/>
              <w:rPr>
                <w:sz w:val="17"/>
              </w:rPr>
            </w:pPr>
            <w:r>
              <w:rPr>
                <w:sz w:val="17"/>
              </w:rPr>
              <w:t>26,288</w:t>
            </w:r>
          </w:p>
        </w:tc>
        <w:tc>
          <w:tcPr>
            <w:tcW w:w="465" w:type="pct"/>
            <w:tcBorders>
              <w:top w:val="nil"/>
              <w:bottom w:val="nil"/>
            </w:tcBorders>
          </w:tcPr>
          <w:p w:rsidR="00000000" w:rsidRDefault="00000000">
            <w:pPr>
              <w:pStyle w:val="a2"/>
              <w:spacing w:line="240" w:lineRule="auto"/>
              <w:ind w:right="113"/>
              <w:jc w:val="right"/>
              <w:rPr>
                <w:sz w:val="17"/>
              </w:rPr>
            </w:pPr>
            <w:r>
              <w:rPr>
                <w:sz w:val="17"/>
              </w:rPr>
              <w:t>207,393</w:t>
            </w:r>
          </w:p>
        </w:tc>
      </w:tr>
      <w:tr w:rsidR="00000000">
        <w:tblPrEx>
          <w:tblCellMar>
            <w:top w:w="0" w:type="dxa"/>
            <w:bottom w:w="0" w:type="dxa"/>
          </w:tblCellMar>
        </w:tblPrEx>
        <w:trPr>
          <w:cantSplit/>
          <w:jc w:val="center"/>
        </w:trPr>
        <w:tc>
          <w:tcPr>
            <w:tcW w:w="550" w:type="pct"/>
            <w:vMerge/>
            <w:tcBorders>
              <w:bottom w:val="single" w:sz="4" w:space="0" w:color="auto"/>
            </w:tcBorders>
          </w:tcPr>
          <w:p w:rsidR="00000000" w:rsidRDefault="00000000">
            <w:pPr>
              <w:pStyle w:val="a2"/>
              <w:spacing w:line="240" w:lineRule="auto"/>
              <w:ind w:left="-57" w:right="-57"/>
              <w:jc w:val="right"/>
              <w:rPr>
                <w:sz w:val="17"/>
              </w:rPr>
            </w:pPr>
          </w:p>
        </w:tc>
        <w:tc>
          <w:tcPr>
            <w:tcW w:w="241" w:type="pct"/>
            <w:tcBorders>
              <w:top w:val="nil"/>
              <w:bottom w:val="single" w:sz="4" w:space="0" w:color="auto"/>
            </w:tcBorders>
          </w:tcPr>
          <w:p w:rsidR="00000000" w:rsidRDefault="00000000">
            <w:pPr>
              <w:pStyle w:val="a2"/>
              <w:spacing w:line="240" w:lineRule="auto"/>
              <w:ind w:left="-57" w:right="-57"/>
              <w:jc w:val="left"/>
              <w:rPr>
                <w:rFonts w:hint="eastAsia"/>
                <w:spacing w:val="0"/>
                <w:sz w:val="17"/>
              </w:rPr>
            </w:pPr>
            <w:r>
              <w:rPr>
                <w:rFonts w:hint="eastAsia"/>
                <w:spacing w:val="0"/>
                <w:sz w:val="17"/>
              </w:rPr>
              <w:t>共计</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101,933</w:t>
            </w:r>
          </w:p>
        </w:tc>
        <w:tc>
          <w:tcPr>
            <w:tcW w:w="420" w:type="pct"/>
            <w:tcBorders>
              <w:top w:val="nil"/>
              <w:bottom w:val="single" w:sz="4" w:space="0" w:color="auto"/>
            </w:tcBorders>
          </w:tcPr>
          <w:p w:rsidR="00000000" w:rsidRDefault="00000000">
            <w:pPr>
              <w:pStyle w:val="a2"/>
              <w:spacing w:line="240" w:lineRule="auto"/>
              <w:ind w:right="113"/>
              <w:jc w:val="right"/>
              <w:rPr>
                <w:sz w:val="17"/>
              </w:rPr>
            </w:pPr>
            <w:r>
              <w:rPr>
                <w:sz w:val="17"/>
              </w:rPr>
              <w:t>22,503</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124,436</w:t>
            </w:r>
          </w:p>
        </w:tc>
        <w:tc>
          <w:tcPr>
            <w:tcW w:w="550" w:type="pct"/>
            <w:tcBorders>
              <w:top w:val="nil"/>
              <w:bottom w:val="single" w:sz="4" w:space="0" w:color="auto"/>
            </w:tcBorders>
          </w:tcPr>
          <w:p w:rsidR="00000000" w:rsidRDefault="00000000">
            <w:pPr>
              <w:pStyle w:val="a2"/>
              <w:spacing w:line="240" w:lineRule="auto"/>
              <w:ind w:right="113"/>
              <w:jc w:val="right"/>
              <w:rPr>
                <w:sz w:val="17"/>
              </w:rPr>
            </w:pPr>
            <w:r>
              <w:rPr>
                <w:sz w:val="17"/>
              </w:rPr>
              <w:t>995,908</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755,215</w:t>
            </w:r>
          </w:p>
        </w:tc>
        <w:tc>
          <w:tcPr>
            <w:tcW w:w="550" w:type="pct"/>
            <w:tcBorders>
              <w:top w:val="nil"/>
              <w:bottom w:val="single" w:sz="4" w:space="0" w:color="auto"/>
            </w:tcBorders>
          </w:tcPr>
          <w:p w:rsidR="00000000" w:rsidRDefault="00000000">
            <w:pPr>
              <w:pStyle w:val="a2"/>
              <w:spacing w:line="240" w:lineRule="auto"/>
              <w:ind w:right="113"/>
              <w:jc w:val="right"/>
              <w:rPr>
                <w:sz w:val="17"/>
              </w:rPr>
            </w:pPr>
            <w:r>
              <w:rPr>
                <w:sz w:val="17"/>
              </w:rPr>
              <w:t>1,751,123</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368,295</w:t>
            </w:r>
          </w:p>
        </w:tc>
        <w:tc>
          <w:tcPr>
            <w:tcW w:w="420" w:type="pct"/>
            <w:tcBorders>
              <w:top w:val="nil"/>
              <w:bottom w:val="single" w:sz="4" w:space="0" w:color="auto"/>
            </w:tcBorders>
          </w:tcPr>
          <w:p w:rsidR="00000000" w:rsidRDefault="00000000">
            <w:pPr>
              <w:pStyle w:val="a2"/>
              <w:spacing w:line="240" w:lineRule="auto"/>
              <w:ind w:right="113"/>
              <w:jc w:val="right"/>
              <w:rPr>
                <w:sz w:val="17"/>
              </w:rPr>
            </w:pPr>
            <w:r>
              <w:rPr>
                <w:sz w:val="17"/>
              </w:rPr>
              <w:t>62,363</w:t>
            </w:r>
          </w:p>
        </w:tc>
        <w:tc>
          <w:tcPr>
            <w:tcW w:w="465" w:type="pct"/>
            <w:tcBorders>
              <w:top w:val="nil"/>
              <w:bottom w:val="single" w:sz="4" w:space="0" w:color="auto"/>
            </w:tcBorders>
          </w:tcPr>
          <w:p w:rsidR="00000000" w:rsidRDefault="00000000">
            <w:pPr>
              <w:pStyle w:val="a2"/>
              <w:spacing w:line="240" w:lineRule="auto"/>
              <w:ind w:right="113"/>
              <w:jc w:val="right"/>
              <w:rPr>
                <w:sz w:val="17"/>
              </w:rPr>
            </w:pPr>
            <w:r>
              <w:rPr>
                <w:sz w:val="17"/>
              </w:rPr>
              <w:t>430,658</w:t>
            </w:r>
          </w:p>
        </w:tc>
      </w:tr>
      <w:tr w:rsidR="00000000">
        <w:tblPrEx>
          <w:tblCellMar>
            <w:top w:w="0" w:type="dxa"/>
            <w:bottom w:w="0" w:type="dxa"/>
          </w:tblCellMar>
        </w:tblPrEx>
        <w:trPr>
          <w:cantSplit/>
          <w:jc w:val="center"/>
        </w:trPr>
        <w:tc>
          <w:tcPr>
            <w:tcW w:w="550" w:type="pct"/>
            <w:vMerge w:val="restart"/>
            <w:tcBorders>
              <w:top w:val="single" w:sz="4" w:space="0" w:color="auto"/>
            </w:tcBorders>
          </w:tcPr>
          <w:p w:rsidR="00000000" w:rsidRDefault="00000000">
            <w:pPr>
              <w:pStyle w:val="a2"/>
              <w:spacing w:line="240" w:lineRule="auto"/>
              <w:ind w:left="-57" w:right="-57"/>
              <w:jc w:val="right"/>
              <w:rPr>
                <w:rFonts w:hint="eastAsia"/>
                <w:spacing w:val="0"/>
                <w:sz w:val="17"/>
                <w:szCs w:val="22"/>
              </w:rPr>
            </w:pPr>
            <w:r>
              <w:rPr>
                <w:spacing w:val="0"/>
                <w:sz w:val="17"/>
                <w:szCs w:val="22"/>
              </w:rPr>
              <w:t>1994-</w:t>
            </w:r>
            <w:r>
              <w:rPr>
                <w:spacing w:val="0"/>
                <w:sz w:val="17"/>
              </w:rPr>
              <w:t>1995</w:t>
            </w:r>
            <w:r>
              <w:rPr>
                <w:rFonts w:hint="eastAsia"/>
                <w:spacing w:val="0"/>
                <w:sz w:val="17"/>
                <w:szCs w:val="22"/>
              </w:rPr>
              <w:t>年</w:t>
            </w:r>
          </w:p>
        </w:tc>
        <w:tc>
          <w:tcPr>
            <w:tcW w:w="241" w:type="pct"/>
            <w:tcBorders>
              <w:top w:val="single" w:sz="4" w:space="0" w:color="auto"/>
              <w:bottom w:val="nil"/>
            </w:tcBorders>
          </w:tcPr>
          <w:p w:rsidR="00000000" w:rsidRDefault="00000000">
            <w:pPr>
              <w:pStyle w:val="a2"/>
              <w:spacing w:line="240" w:lineRule="auto"/>
              <w:ind w:right="113"/>
              <w:jc w:val="left"/>
              <w:rPr>
                <w:rFonts w:hint="eastAsia"/>
                <w:sz w:val="17"/>
              </w:rPr>
            </w:pPr>
            <w:r>
              <w:rPr>
                <w:rFonts w:hint="eastAsia"/>
                <w:sz w:val="17"/>
              </w:rPr>
              <w:t>男</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55,843</w:t>
            </w:r>
          </w:p>
        </w:tc>
        <w:tc>
          <w:tcPr>
            <w:tcW w:w="420" w:type="pct"/>
            <w:tcBorders>
              <w:top w:val="single" w:sz="4" w:space="0" w:color="auto"/>
              <w:bottom w:val="nil"/>
            </w:tcBorders>
          </w:tcPr>
          <w:p w:rsidR="00000000" w:rsidRDefault="00000000">
            <w:pPr>
              <w:pStyle w:val="a2"/>
              <w:spacing w:line="240" w:lineRule="auto"/>
              <w:ind w:right="113"/>
              <w:jc w:val="right"/>
              <w:rPr>
                <w:sz w:val="17"/>
              </w:rPr>
            </w:pPr>
            <w:r>
              <w:rPr>
                <w:sz w:val="17"/>
              </w:rPr>
              <w:t>12,866</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68,709</w:t>
            </w:r>
          </w:p>
        </w:tc>
        <w:tc>
          <w:tcPr>
            <w:tcW w:w="550" w:type="pct"/>
            <w:tcBorders>
              <w:top w:val="single" w:sz="4" w:space="0" w:color="auto"/>
              <w:bottom w:val="nil"/>
            </w:tcBorders>
          </w:tcPr>
          <w:p w:rsidR="00000000" w:rsidRDefault="00000000">
            <w:pPr>
              <w:pStyle w:val="a2"/>
              <w:spacing w:line="240" w:lineRule="auto"/>
              <w:ind w:right="113"/>
              <w:jc w:val="right"/>
              <w:rPr>
                <w:sz w:val="17"/>
              </w:rPr>
            </w:pPr>
            <w:r>
              <w:rPr>
                <w:sz w:val="17"/>
              </w:rPr>
              <w:t>511,215</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395,072</w:t>
            </w:r>
          </w:p>
        </w:tc>
        <w:tc>
          <w:tcPr>
            <w:tcW w:w="550" w:type="pct"/>
            <w:tcBorders>
              <w:top w:val="single" w:sz="4" w:space="0" w:color="auto"/>
              <w:bottom w:val="nil"/>
            </w:tcBorders>
          </w:tcPr>
          <w:p w:rsidR="00000000" w:rsidRDefault="00000000">
            <w:pPr>
              <w:pStyle w:val="a2"/>
              <w:spacing w:line="240" w:lineRule="auto"/>
              <w:ind w:right="113"/>
              <w:jc w:val="right"/>
              <w:rPr>
                <w:sz w:val="17"/>
              </w:rPr>
            </w:pPr>
            <w:r>
              <w:rPr>
                <w:sz w:val="17"/>
              </w:rPr>
              <w:t>906,287</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197,938</w:t>
            </w:r>
          </w:p>
        </w:tc>
        <w:tc>
          <w:tcPr>
            <w:tcW w:w="420" w:type="pct"/>
            <w:tcBorders>
              <w:top w:val="single" w:sz="4" w:space="0" w:color="auto"/>
              <w:bottom w:val="nil"/>
            </w:tcBorders>
          </w:tcPr>
          <w:p w:rsidR="00000000" w:rsidRDefault="00000000">
            <w:pPr>
              <w:pStyle w:val="a2"/>
              <w:spacing w:line="240" w:lineRule="auto"/>
              <w:ind w:right="113"/>
              <w:jc w:val="right"/>
              <w:rPr>
                <w:sz w:val="17"/>
              </w:rPr>
            </w:pPr>
            <w:r>
              <w:rPr>
                <w:sz w:val="17"/>
              </w:rPr>
              <w:t>38,028</w:t>
            </w:r>
          </w:p>
        </w:tc>
        <w:tc>
          <w:tcPr>
            <w:tcW w:w="465" w:type="pct"/>
            <w:tcBorders>
              <w:top w:val="single" w:sz="4" w:space="0" w:color="auto"/>
              <w:bottom w:val="nil"/>
            </w:tcBorders>
          </w:tcPr>
          <w:p w:rsidR="00000000" w:rsidRDefault="00000000">
            <w:pPr>
              <w:pStyle w:val="a2"/>
              <w:spacing w:line="240" w:lineRule="auto"/>
              <w:ind w:right="113"/>
              <w:jc w:val="right"/>
              <w:rPr>
                <w:sz w:val="17"/>
              </w:rPr>
            </w:pPr>
            <w:r>
              <w:rPr>
                <w:sz w:val="17"/>
              </w:rPr>
              <w:t>235,966</w:t>
            </w:r>
          </w:p>
        </w:tc>
      </w:tr>
      <w:tr w:rsidR="00000000">
        <w:tblPrEx>
          <w:tblCellMar>
            <w:top w:w="0" w:type="dxa"/>
            <w:bottom w:w="0" w:type="dxa"/>
          </w:tblCellMar>
        </w:tblPrEx>
        <w:trPr>
          <w:cantSplit/>
          <w:jc w:val="center"/>
        </w:trPr>
        <w:tc>
          <w:tcPr>
            <w:tcW w:w="550" w:type="pct"/>
            <w:vMerge/>
            <w:tcBorders>
              <w:top w:val="nil"/>
            </w:tcBorders>
          </w:tcPr>
          <w:p w:rsidR="00000000" w:rsidRDefault="00000000">
            <w:pPr>
              <w:spacing w:line="240" w:lineRule="auto"/>
              <w:ind w:left="-57" w:right="-57"/>
              <w:rPr>
                <w:sz w:val="17"/>
                <w:szCs w:val="22"/>
              </w:rPr>
            </w:pPr>
          </w:p>
        </w:tc>
        <w:tc>
          <w:tcPr>
            <w:tcW w:w="241" w:type="pct"/>
            <w:tcBorders>
              <w:top w:val="nil"/>
              <w:bottom w:val="nil"/>
            </w:tcBorders>
          </w:tcPr>
          <w:p w:rsidR="00000000" w:rsidRDefault="00000000">
            <w:pPr>
              <w:pStyle w:val="a2"/>
              <w:spacing w:line="240" w:lineRule="auto"/>
              <w:ind w:right="113"/>
              <w:jc w:val="left"/>
              <w:rPr>
                <w:rFonts w:hint="eastAsia"/>
                <w:sz w:val="17"/>
              </w:rPr>
            </w:pPr>
            <w:r>
              <w:rPr>
                <w:rFonts w:hint="eastAsia"/>
                <w:sz w:val="17"/>
              </w:rPr>
              <w:t>女</w:t>
            </w:r>
          </w:p>
        </w:tc>
        <w:tc>
          <w:tcPr>
            <w:tcW w:w="471" w:type="pct"/>
            <w:tcBorders>
              <w:top w:val="nil"/>
              <w:bottom w:val="nil"/>
            </w:tcBorders>
          </w:tcPr>
          <w:p w:rsidR="00000000" w:rsidRDefault="00000000">
            <w:pPr>
              <w:pStyle w:val="a2"/>
              <w:spacing w:line="240" w:lineRule="auto"/>
              <w:ind w:right="113"/>
              <w:jc w:val="right"/>
              <w:rPr>
                <w:sz w:val="17"/>
              </w:rPr>
            </w:pPr>
            <w:r>
              <w:rPr>
                <w:sz w:val="17"/>
              </w:rPr>
              <w:t>54,711</w:t>
            </w:r>
          </w:p>
        </w:tc>
        <w:tc>
          <w:tcPr>
            <w:tcW w:w="420" w:type="pct"/>
            <w:tcBorders>
              <w:top w:val="nil"/>
              <w:bottom w:val="nil"/>
            </w:tcBorders>
          </w:tcPr>
          <w:p w:rsidR="00000000" w:rsidRDefault="00000000">
            <w:pPr>
              <w:pStyle w:val="a2"/>
              <w:spacing w:line="240" w:lineRule="auto"/>
              <w:ind w:right="113"/>
              <w:jc w:val="right"/>
              <w:rPr>
                <w:sz w:val="17"/>
              </w:rPr>
            </w:pPr>
            <w:r>
              <w:rPr>
                <w:sz w:val="17"/>
              </w:rPr>
              <w:t>12,738</w:t>
            </w:r>
          </w:p>
        </w:tc>
        <w:tc>
          <w:tcPr>
            <w:tcW w:w="471" w:type="pct"/>
            <w:tcBorders>
              <w:top w:val="nil"/>
              <w:bottom w:val="nil"/>
            </w:tcBorders>
          </w:tcPr>
          <w:p w:rsidR="00000000" w:rsidRDefault="00000000">
            <w:pPr>
              <w:pStyle w:val="a2"/>
              <w:spacing w:line="240" w:lineRule="auto"/>
              <w:ind w:right="113"/>
              <w:jc w:val="right"/>
              <w:rPr>
                <w:sz w:val="17"/>
              </w:rPr>
            </w:pPr>
            <w:r>
              <w:rPr>
                <w:sz w:val="17"/>
              </w:rPr>
              <w:t>67,449</w:t>
            </w:r>
          </w:p>
        </w:tc>
        <w:tc>
          <w:tcPr>
            <w:tcW w:w="550" w:type="pct"/>
            <w:tcBorders>
              <w:top w:val="nil"/>
              <w:bottom w:val="nil"/>
            </w:tcBorders>
          </w:tcPr>
          <w:p w:rsidR="00000000" w:rsidRDefault="00000000">
            <w:pPr>
              <w:pStyle w:val="a2"/>
              <w:spacing w:line="240" w:lineRule="auto"/>
              <w:ind w:right="113"/>
              <w:jc w:val="right"/>
              <w:rPr>
                <w:sz w:val="17"/>
              </w:rPr>
            </w:pPr>
            <w:r>
              <w:rPr>
                <w:sz w:val="17"/>
              </w:rPr>
              <w:t>502,039</w:t>
            </w:r>
          </w:p>
        </w:tc>
        <w:tc>
          <w:tcPr>
            <w:tcW w:w="471" w:type="pct"/>
            <w:tcBorders>
              <w:top w:val="nil"/>
              <w:bottom w:val="nil"/>
            </w:tcBorders>
          </w:tcPr>
          <w:p w:rsidR="00000000" w:rsidRDefault="00000000">
            <w:pPr>
              <w:pStyle w:val="a2"/>
              <w:spacing w:line="240" w:lineRule="auto"/>
              <w:ind w:right="113"/>
              <w:jc w:val="right"/>
              <w:rPr>
                <w:sz w:val="17"/>
              </w:rPr>
            </w:pPr>
            <w:r>
              <w:rPr>
                <w:sz w:val="17"/>
              </w:rPr>
              <w:t>368,978</w:t>
            </w:r>
          </w:p>
        </w:tc>
        <w:tc>
          <w:tcPr>
            <w:tcW w:w="550" w:type="pct"/>
            <w:tcBorders>
              <w:top w:val="nil"/>
              <w:bottom w:val="nil"/>
            </w:tcBorders>
          </w:tcPr>
          <w:p w:rsidR="00000000" w:rsidRDefault="00000000">
            <w:pPr>
              <w:pStyle w:val="a2"/>
              <w:spacing w:line="240" w:lineRule="auto"/>
              <w:ind w:right="113"/>
              <w:jc w:val="right"/>
              <w:rPr>
                <w:sz w:val="17"/>
              </w:rPr>
            </w:pPr>
            <w:r>
              <w:rPr>
                <w:sz w:val="17"/>
              </w:rPr>
              <w:t>871,017</w:t>
            </w:r>
          </w:p>
        </w:tc>
        <w:tc>
          <w:tcPr>
            <w:tcW w:w="471" w:type="pct"/>
            <w:tcBorders>
              <w:top w:val="nil"/>
              <w:bottom w:val="nil"/>
            </w:tcBorders>
          </w:tcPr>
          <w:p w:rsidR="00000000" w:rsidRDefault="00000000">
            <w:pPr>
              <w:pStyle w:val="a2"/>
              <w:spacing w:line="240" w:lineRule="auto"/>
              <w:ind w:right="113"/>
              <w:jc w:val="right"/>
              <w:rPr>
                <w:sz w:val="17"/>
              </w:rPr>
            </w:pPr>
            <w:r>
              <w:rPr>
                <w:sz w:val="17"/>
              </w:rPr>
              <w:t>188,973</w:t>
            </w:r>
          </w:p>
        </w:tc>
        <w:tc>
          <w:tcPr>
            <w:tcW w:w="420" w:type="pct"/>
            <w:tcBorders>
              <w:top w:val="nil"/>
              <w:bottom w:val="nil"/>
            </w:tcBorders>
          </w:tcPr>
          <w:p w:rsidR="00000000" w:rsidRDefault="00000000">
            <w:pPr>
              <w:pStyle w:val="a2"/>
              <w:spacing w:line="240" w:lineRule="auto"/>
              <w:ind w:right="113"/>
              <w:jc w:val="right"/>
              <w:rPr>
                <w:sz w:val="17"/>
              </w:rPr>
            </w:pPr>
            <w:r>
              <w:rPr>
                <w:sz w:val="17"/>
              </w:rPr>
              <w:t>27,306</w:t>
            </w:r>
          </w:p>
        </w:tc>
        <w:tc>
          <w:tcPr>
            <w:tcW w:w="465" w:type="pct"/>
            <w:tcBorders>
              <w:top w:val="nil"/>
              <w:bottom w:val="nil"/>
            </w:tcBorders>
          </w:tcPr>
          <w:p w:rsidR="00000000" w:rsidRDefault="00000000">
            <w:pPr>
              <w:pStyle w:val="a2"/>
              <w:spacing w:line="240" w:lineRule="auto"/>
              <w:ind w:right="113"/>
              <w:jc w:val="right"/>
              <w:rPr>
                <w:sz w:val="17"/>
              </w:rPr>
            </w:pPr>
            <w:r>
              <w:rPr>
                <w:sz w:val="17"/>
              </w:rPr>
              <w:t>216,279</w:t>
            </w:r>
          </w:p>
        </w:tc>
      </w:tr>
      <w:tr w:rsidR="00000000">
        <w:tblPrEx>
          <w:tblCellMar>
            <w:top w:w="0" w:type="dxa"/>
            <w:bottom w:w="0" w:type="dxa"/>
          </w:tblCellMar>
        </w:tblPrEx>
        <w:trPr>
          <w:cantSplit/>
          <w:jc w:val="center"/>
        </w:trPr>
        <w:tc>
          <w:tcPr>
            <w:tcW w:w="550" w:type="pct"/>
            <w:vMerge/>
            <w:tcBorders>
              <w:top w:val="nil"/>
              <w:bottom w:val="single" w:sz="4" w:space="0" w:color="auto"/>
            </w:tcBorders>
          </w:tcPr>
          <w:p w:rsidR="00000000" w:rsidRDefault="00000000">
            <w:pPr>
              <w:spacing w:line="240" w:lineRule="auto"/>
              <w:ind w:left="-57" w:right="-57"/>
              <w:rPr>
                <w:sz w:val="17"/>
                <w:szCs w:val="22"/>
              </w:rPr>
            </w:pPr>
          </w:p>
        </w:tc>
        <w:tc>
          <w:tcPr>
            <w:tcW w:w="241" w:type="pct"/>
            <w:tcBorders>
              <w:top w:val="nil"/>
              <w:bottom w:val="single" w:sz="4" w:space="0" w:color="auto"/>
            </w:tcBorders>
          </w:tcPr>
          <w:p w:rsidR="00000000" w:rsidRDefault="00000000">
            <w:pPr>
              <w:pStyle w:val="a2"/>
              <w:spacing w:line="240" w:lineRule="auto"/>
              <w:ind w:left="-57" w:right="-57"/>
              <w:jc w:val="left"/>
              <w:rPr>
                <w:rFonts w:hint="eastAsia"/>
                <w:sz w:val="17"/>
              </w:rPr>
            </w:pPr>
            <w:r>
              <w:rPr>
                <w:rFonts w:hint="eastAsia"/>
                <w:spacing w:val="0"/>
                <w:sz w:val="17"/>
              </w:rPr>
              <w:t>共计</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110,554</w:t>
            </w:r>
          </w:p>
        </w:tc>
        <w:tc>
          <w:tcPr>
            <w:tcW w:w="420" w:type="pct"/>
            <w:tcBorders>
              <w:top w:val="nil"/>
              <w:bottom w:val="single" w:sz="4" w:space="0" w:color="auto"/>
            </w:tcBorders>
          </w:tcPr>
          <w:p w:rsidR="00000000" w:rsidRDefault="00000000">
            <w:pPr>
              <w:pStyle w:val="a2"/>
              <w:spacing w:line="240" w:lineRule="auto"/>
              <w:ind w:right="113"/>
              <w:jc w:val="right"/>
              <w:rPr>
                <w:sz w:val="17"/>
              </w:rPr>
            </w:pPr>
            <w:r>
              <w:rPr>
                <w:sz w:val="17"/>
              </w:rPr>
              <w:t>25,604</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136,158</w:t>
            </w:r>
          </w:p>
        </w:tc>
        <w:tc>
          <w:tcPr>
            <w:tcW w:w="550" w:type="pct"/>
            <w:tcBorders>
              <w:top w:val="nil"/>
              <w:bottom w:val="single" w:sz="4" w:space="0" w:color="auto"/>
            </w:tcBorders>
          </w:tcPr>
          <w:p w:rsidR="00000000" w:rsidRDefault="00000000">
            <w:pPr>
              <w:pStyle w:val="a2"/>
              <w:spacing w:line="240" w:lineRule="auto"/>
              <w:ind w:right="113"/>
              <w:jc w:val="right"/>
              <w:rPr>
                <w:sz w:val="17"/>
              </w:rPr>
            </w:pPr>
            <w:r>
              <w:rPr>
                <w:sz w:val="17"/>
              </w:rPr>
              <w:t>1,013,254</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764,050</w:t>
            </w:r>
          </w:p>
        </w:tc>
        <w:tc>
          <w:tcPr>
            <w:tcW w:w="550" w:type="pct"/>
            <w:tcBorders>
              <w:top w:val="nil"/>
              <w:bottom w:val="single" w:sz="4" w:space="0" w:color="auto"/>
            </w:tcBorders>
          </w:tcPr>
          <w:p w:rsidR="00000000" w:rsidRDefault="00000000">
            <w:pPr>
              <w:pStyle w:val="a2"/>
              <w:spacing w:line="240" w:lineRule="auto"/>
              <w:ind w:right="113"/>
              <w:jc w:val="right"/>
              <w:rPr>
                <w:sz w:val="17"/>
              </w:rPr>
            </w:pPr>
            <w:r>
              <w:rPr>
                <w:sz w:val="17"/>
              </w:rPr>
              <w:t>1,777,304</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386,911</w:t>
            </w:r>
          </w:p>
        </w:tc>
        <w:tc>
          <w:tcPr>
            <w:tcW w:w="420" w:type="pct"/>
            <w:tcBorders>
              <w:top w:val="nil"/>
              <w:bottom w:val="single" w:sz="4" w:space="0" w:color="auto"/>
            </w:tcBorders>
          </w:tcPr>
          <w:p w:rsidR="00000000" w:rsidRDefault="00000000">
            <w:pPr>
              <w:pStyle w:val="a2"/>
              <w:spacing w:line="240" w:lineRule="auto"/>
              <w:ind w:right="113"/>
              <w:jc w:val="right"/>
              <w:rPr>
                <w:sz w:val="17"/>
              </w:rPr>
            </w:pPr>
            <w:r>
              <w:rPr>
                <w:sz w:val="17"/>
              </w:rPr>
              <w:t>65,334</w:t>
            </w:r>
          </w:p>
        </w:tc>
        <w:tc>
          <w:tcPr>
            <w:tcW w:w="465" w:type="pct"/>
            <w:tcBorders>
              <w:top w:val="nil"/>
              <w:bottom w:val="single" w:sz="4" w:space="0" w:color="auto"/>
            </w:tcBorders>
          </w:tcPr>
          <w:p w:rsidR="00000000" w:rsidRDefault="00000000">
            <w:pPr>
              <w:pStyle w:val="a2"/>
              <w:spacing w:line="240" w:lineRule="auto"/>
              <w:ind w:right="113"/>
              <w:jc w:val="right"/>
              <w:rPr>
                <w:sz w:val="17"/>
              </w:rPr>
            </w:pPr>
            <w:r>
              <w:rPr>
                <w:sz w:val="17"/>
              </w:rPr>
              <w:t>452,245</w:t>
            </w:r>
          </w:p>
        </w:tc>
      </w:tr>
      <w:tr w:rsidR="00000000">
        <w:tblPrEx>
          <w:tblCellMar>
            <w:top w:w="0" w:type="dxa"/>
            <w:bottom w:w="0" w:type="dxa"/>
          </w:tblCellMar>
        </w:tblPrEx>
        <w:trPr>
          <w:cantSplit/>
          <w:jc w:val="center"/>
        </w:trPr>
        <w:tc>
          <w:tcPr>
            <w:tcW w:w="550" w:type="pct"/>
            <w:vMerge w:val="restart"/>
            <w:tcBorders>
              <w:top w:val="single" w:sz="4" w:space="0" w:color="auto"/>
            </w:tcBorders>
          </w:tcPr>
          <w:p w:rsidR="00000000" w:rsidRDefault="00000000">
            <w:pPr>
              <w:pStyle w:val="a2"/>
              <w:spacing w:line="240" w:lineRule="auto"/>
              <w:ind w:left="-57" w:right="-57"/>
              <w:jc w:val="right"/>
              <w:rPr>
                <w:rFonts w:hint="eastAsia"/>
                <w:sz w:val="17"/>
                <w:szCs w:val="22"/>
              </w:rPr>
            </w:pPr>
            <w:r>
              <w:rPr>
                <w:spacing w:val="0"/>
                <w:sz w:val="17"/>
                <w:szCs w:val="22"/>
              </w:rPr>
              <w:t>1995-1996</w:t>
            </w:r>
            <w:r>
              <w:rPr>
                <w:rFonts w:hint="eastAsia"/>
                <w:spacing w:val="0"/>
                <w:sz w:val="17"/>
                <w:szCs w:val="22"/>
              </w:rPr>
              <w:t>年</w:t>
            </w:r>
          </w:p>
        </w:tc>
        <w:tc>
          <w:tcPr>
            <w:tcW w:w="241" w:type="pct"/>
            <w:tcBorders>
              <w:top w:val="single" w:sz="4" w:space="0" w:color="auto"/>
              <w:bottom w:val="nil"/>
            </w:tcBorders>
          </w:tcPr>
          <w:p w:rsidR="00000000" w:rsidRDefault="00000000">
            <w:pPr>
              <w:pStyle w:val="a2"/>
              <w:spacing w:line="240" w:lineRule="auto"/>
              <w:ind w:right="113"/>
              <w:jc w:val="left"/>
              <w:rPr>
                <w:rFonts w:hint="eastAsia"/>
                <w:sz w:val="17"/>
              </w:rPr>
            </w:pPr>
            <w:r>
              <w:rPr>
                <w:rFonts w:hint="eastAsia"/>
                <w:sz w:val="17"/>
              </w:rPr>
              <w:t>男</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58,357</w:t>
            </w:r>
          </w:p>
        </w:tc>
        <w:tc>
          <w:tcPr>
            <w:tcW w:w="420" w:type="pct"/>
            <w:tcBorders>
              <w:top w:val="single" w:sz="4" w:space="0" w:color="auto"/>
              <w:bottom w:val="nil"/>
            </w:tcBorders>
          </w:tcPr>
          <w:p w:rsidR="00000000" w:rsidRDefault="00000000">
            <w:pPr>
              <w:pStyle w:val="a2"/>
              <w:spacing w:line="240" w:lineRule="auto"/>
              <w:ind w:right="113"/>
              <w:jc w:val="right"/>
              <w:rPr>
                <w:sz w:val="17"/>
              </w:rPr>
            </w:pPr>
            <w:r>
              <w:rPr>
                <w:sz w:val="17"/>
              </w:rPr>
              <w:t>14,583</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72,940</w:t>
            </w:r>
          </w:p>
        </w:tc>
        <w:tc>
          <w:tcPr>
            <w:tcW w:w="550" w:type="pct"/>
            <w:tcBorders>
              <w:top w:val="single" w:sz="4" w:space="0" w:color="auto"/>
              <w:bottom w:val="nil"/>
            </w:tcBorders>
          </w:tcPr>
          <w:p w:rsidR="00000000" w:rsidRDefault="00000000">
            <w:pPr>
              <w:pStyle w:val="a2"/>
              <w:spacing w:line="240" w:lineRule="auto"/>
              <w:ind w:right="113"/>
              <w:jc w:val="right"/>
              <w:rPr>
                <w:sz w:val="17"/>
              </w:rPr>
            </w:pPr>
            <w:r>
              <w:rPr>
                <w:sz w:val="17"/>
              </w:rPr>
              <w:t>524,840</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399,714</w:t>
            </w:r>
          </w:p>
        </w:tc>
        <w:tc>
          <w:tcPr>
            <w:tcW w:w="550" w:type="pct"/>
            <w:tcBorders>
              <w:top w:val="single" w:sz="4" w:space="0" w:color="auto"/>
              <w:bottom w:val="nil"/>
            </w:tcBorders>
          </w:tcPr>
          <w:p w:rsidR="00000000" w:rsidRDefault="00000000">
            <w:pPr>
              <w:pStyle w:val="a2"/>
              <w:spacing w:line="240" w:lineRule="auto"/>
              <w:ind w:right="113"/>
              <w:jc w:val="right"/>
              <w:rPr>
                <w:sz w:val="17"/>
              </w:rPr>
            </w:pPr>
            <w:r>
              <w:rPr>
                <w:sz w:val="17"/>
              </w:rPr>
              <w:t>924,554</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194,060</w:t>
            </w:r>
          </w:p>
        </w:tc>
        <w:tc>
          <w:tcPr>
            <w:tcW w:w="420" w:type="pct"/>
            <w:tcBorders>
              <w:top w:val="single" w:sz="4" w:space="0" w:color="auto"/>
              <w:bottom w:val="nil"/>
            </w:tcBorders>
          </w:tcPr>
          <w:p w:rsidR="00000000" w:rsidRDefault="00000000">
            <w:pPr>
              <w:pStyle w:val="a2"/>
              <w:spacing w:line="240" w:lineRule="auto"/>
              <w:ind w:right="113"/>
              <w:jc w:val="right"/>
              <w:rPr>
                <w:sz w:val="17"/>
              </w:rPr>
            </w:pPr>
            <w:r>
              <w:rPr>
                <w:sz w:val="17"/>
              </w:rPr>
              <w:t>41,231</w:t>
            </w:r>
          </w:p>
        </w:tc>
        <w:tc>
          <w:tcPr>
            <w:tcW w:w="465" w:type="pct"/>
            <w:tcBorders>
              <w:top w:val="single" w:sz="4" w:space="0" w:color="auto"/>
              <w:bottom w:val="nil"/>
            </w:tcBorders>
          </w:tcPr>
          <w:p w:rsidR="00000000" w:rsidRDefault="00000000">
            <w:pPr>
              <w:pStyle w:val="a2"/>
              <w:spacing w:line="240" w:lineRule="auto"/>
              <w:ind w:right="113"/>
              <w:jc w:val="right"/>
              <w:rPr>
                <w:sz w:val="17"/>
              </w:rPr>
            </w:pPr>
            <w:r>
              <w:rPr>
                <w:sz w:val="17"/>
              </w:rPr>
              <w:t>235,291</w:t>
            </w:r>
          </w:p>
        </w:tc>
      </w:tr>
      <w:tr w:rsidR="00000000">
        <w:tblPrEx>
          <w:tblCellMar>
            <w:top w:w="0" w:type="dxa"/>
            <w:bottom w:w="0" w:type="dxa"/>
          </w:tblCellMar>
        </w:tblPrEx>
        <w:trPr>
          <w:cantSplit/>
          <w:jc w:val="center"/>
        </w:trPr>
        <w:tc>
          <w:tcPr>
            <w:tcW w:w="550" w:type="pct"/>
            <w:vMerge/>
            <w:tcBorders>
              <w:top w:val="single" w:sz="4" w:space="0" w:color="auto"/>
            </w:tcBorders>
          </w:tcPr>
          <w:p w:rsidR="00000000" w:rsidRDefault="00000000">
            <w:pPr>
              <w:spacing w:line="240" w:lineRule="auto"/>
              <w:ind w:left="-57" w:right="-57"/>
              <w:rPr>
                <w:sz w:val="17"/>
                <w:szCs w:val="22"/>
              </w:rPr>
            </w:pPr>
          </w:p>
        </w:tc>
        <w:tc>
          <w:tcPr>
            <w:tcW w:w="241" w:type="pct"/>
            <w:tcBorders>
              <w:top w:val="nil"/>
              <w:bottom w:val="nil"/>
            </w:tcBorders>
          </w:tcPr>
          <w:p w:rsidR="00000000" w:rsidRDefault="00000000">
            <w:pPr>
              <w:pStyle w:val="a2"/>
              <w:spacing w:line="240" w:lineRule="auto"/>
              <w:ind w:right="113"/>
              <w:jc w:val="left"/>
              <w:rPr>
                <w:rFonts w:hint="eastAsia"/>
                <w:sz w:val="17"/>
              </w:rPr>
            </w:pPr>
            <w:r>
              <w:rPr>
                <w:rFonts w:hint="eastAsia"/>
                <w:sz w:val="17"/>
              </w:rPr>
              <w:t>女</w:t>
            </w:r>
          </w:p>
        </w:tc>
        <w:tc>
          <w:tcPr>
            <w:tcW w:w="471" w:type="pct"/>
            <w:tcBorders>
              <w:top w:val="nil"/>
              <w:bottom w:val="nil"/>
            </w:tcBorders>
          </w:tcPr>
          <w:p w:rsidR="00000000" w:rsidRDefault="00000000">
            <w:pPr>
              <w:pStyle w:val="a2"/>
              <w:spacing w:line="240" w:lineRule="auto"/>
              <w:ind w:right="113"/>
              <w:jc w:val="right"/>
              <w:rPr>
                <w:sz w:val="17"/>
              </w:rPr>
            </w:pPr>
            <w:r>
              <w:rPr>
                <w:sz w:val="17"/>
              </w:rPr>
              <w:t>58,620</w:t>
            </w:r>
          </w:p>
        </w:tc>
        <w:tc>
          <w:tcPr>
            <w:tcW w:w="420" w:type="pct"/>
            <w:tcBorders>
              <w:top w:val="nil"/>
              <w:bottom w:val="nil"/>
            </w:tcBorders>
          </w:tcPr>
          <w:p w:rsidR="00000000" w:rsidRDefault="00000000">
            <w:pPr>
              <w:pStyle w:val="a2"/>
              <w:spacing w:line="240" w:lineRule="auto"/>
              <w:ind w:right="113"/>
              <w:jc w:val="right"/>
              <w:rPr>
                <w:sz w:val="17"/>
              </w:rPr>
            </w:pPr>
            <w:r>
              <w:rPr>
                <w:sz w:val="17"/>
              </w:rPr>
              <w:t>14,298</w:t>
            </w:r>
          </w:p>
        </w:tc>
        <w:tc>
          <w:tcPr>
            <w:tcW w:w="471" w:type="pct"/>
            <w:tcBorders>
              <w:top w:val="nil"/>
              <w:bottom w:val="nil"/>
            </w:tcBorders>
          </w:tcPr>
          <w:p w:rsidR="00000000" w:rsidRDefault="00000000">
            <w:pPr>
              <w:pStyle w:val="a2"/>
              <w:spacing w:line="240" w:lineRule="auto"/>
              <w:ind w:right="113"/>
              <w:jc w:val="right"/>
              <w:rPr>
                <w:sz w:val="17"/>
              </w:rPr>
            </w:pPr>
            <w:r>
              <w:rPr>
                <w:sz w:val="17"/>
              </w:rPr>
              <w:t>72,918</w:t>
            </w:r>
          </w:p>
        </w:tc>
        <w:tc>
          <w:tcPr>
            <w:tcW w:w="550" w:type="pct"/>
            <w:tcBorders>
              <w:top w:val="nil"/>
              <w:bottom w:val="nil"/>
            </w:tcBorders>
          </w:tcPr>
          <w:p w:rsidR="00000000" w:rsidRDefault="00000000">
            <w:pPr>
              <w:pStyle w:val="a2"/>
              <w:spacing w:line="240" w:lineRule="auto"/>
              <w:ind w:right="113"/>
              <w:jc w:val="right"/>
              <w:rPr>
                <w:sz w:val="17"/>
              </w:rPr>
            </w:pPr>
            <w:r>
              <w:rPr>
                <w:sz w:val="17"/>
              </w:rPr>
              <w:t>515,048</w:t>
            </w:r>
          </w:p>
        </w:tc>
        <w:tc>
          <w:tcPr>
            <w:tcW w:w="471" w:type="pct"/>
            <w:tcBorders>
              <w:top w:val="nil"/>
              <w:bottom w:val="nil"/>
            </w:tcBorders>
          </w:tcPr>
          <w:p w:rsidR="00000000" w:rsidRDefault="00000000">
            <w:pPr>
              <w:pStyle w:val="a2"/>
              <w:spacing w:line="240" w:lineRule="auto"/>
              <w:ind w:right="113"/>
              <w:jc w:val="right"/>
              <w:rPr>
                <w:sz w:val="17"/>
              </w:rPr>
            </w:pPr>
            <w:r>
              <w:rPr>
                <w:sz w:val="17"/>
              </w:rPr>
              <w:t>372,653</w:t>
            </w:r>
          </w:p>
        </w:tc>
        <w:tc>
          <w:tcPr>
            <w:tcW w:w="550" w:type="pct"/>
            <w:tcBorders>
              <w:top w:val="nil"/>
              <w:bottom w:val="nil"/>
            </w:tcBorders>
          </w:tcPr>
          <w:p w:rsidR="00000000" w:rsidRDefault="00000000">
            <w:pPr>
              <w:pStyle w:val="a2"/>
              <w:spacing w:line="240" w:lineRule="auto"/>
              <w:ind w:right="113"/>
              <w:jc w:val="right"/>
              <w:rPr>
                <w:sz w:val="17"/>
              </w:rPr>
            </w:pPr>
            <w:r>
              <w:rPr>
                <w:sz w:val="17"/>
              </w:rPr>
              <w:t>887,701</w:t>
            </w:r>
          </w:p>
        </w:tc>
        <w:tc>
          <w:tcPr>
            <w:tcW w:w="471" w:type="pct"/>
            <w:tcBorders>
              <w:top w:val="nil"/>
              <w:bottom w:val="nil"/>
            </w:tcBorders>
          </w:tcPr>
          <w:p w:rsidR="00000000" w:rsidRDefault="00000000">
            <w:pPr>
              <w:pStyle w:val="a2"/>
              <w:spacing w:line="240" w:lineRule="auto"/>
              <w:ind w:right="113"/>
              <w:jc w:val="right"/>
              <w:rPr>
                <w:sz w:val="17"/>
              </w:rPr>
            </w:pPr>
            <w:r>
              <w:rPr>
                <w:sz w:val="17"/>
              </w:rPr>
              <w:t>192,392</w:t>
            </w:r>
          </w:p>
        </w:tc>
        <w:tc>
          <w:tcPr>
            <w:tcW w:w="420" w:type="pct"/>
            <w:tcBorders>
              <w:top w:val="nil"/>
              <w:bottom w:val="nil"/>
            </w:tcBorders>
          </w:tcPr>
          <w:p w:rsidR="00000000" w:rsidRDefault="00000000">
            <w:pPr>
              <w:pStyle w:val="a2"/>
              <w:spacing w:line="240" w:lineRule="auto"/>
              <w:ind w:right="113"/>
              <w:jc w:val="right"/>
              <w:rPr>
                <w:sz w:val="17"/>
              </w:rPr>
            </w:pPr>
            <w:r>
              <w:rPr>
                <w:sz w:val="17"/>
              </w:rPr>
              <w:t>29,832</w:t>
            </w:r>
          </w:p>
        </w:tc>
        <w:tc>
          <w:tcPr>
            <w:tcW w:w="465" w:type="pct"/>
            <w:tcBorders>
              <w:top w:val="nil"/>
              <w:bottom w:val="nil"/>
            </w:tcBorders>
          </w:tcPr>
          <w:p w:rsidR="00000000" w:rsidRDefault="00000000">
            <w:pPr>
              <w:pStyle w:val="a2"/>
              <w:spacing w:line="240" w:lineRule="auto"/>
              <w:ind w:right="113"/>
              <w:jc w:val="right"/>
              <w:rPr>
                <w:sz w:val="17"/>
              </w:rPr>
            </w:pPr>
            <w:r>
              <w:rPr>
                <w:sz w:val="17"/>
              </w:rPr>
              <w:t>222,224</w:t>
            </w:r>
          </w:p>
        </w:tc>
      </w:tr>
      <w:tr w:rsidR="00000000">
        <w:tblPrEx>
          <w:tblCellMar>
            <w:top w:w="0" w:type="dxa"/>
            <w:bottom w:w="0" w:type="dxa"/>
          </w:tblCellMar>
        </w:tblPrEx>
        <w:trPr>
          <w:cantSplit/>
          <w:jc w:val="center"/>
        </w:trPr>
        <w:tc>
          <w:tcPr>
            <w:tcW w:w="550" w:type="pct"/>
            <w:vMerge/>
            <w:tcBorders>
              <w:top w:val="single" w:sz="4" w:space="0" w:color="auto"/>
              <w:bottom w:val="single" w:sz="4" w:space="0" w:color="auto"/>
            </w:tcBorders>
          </w:tcPr>
          <w:p w:rsidR="00000000" w:rsidRDefault="00000000">
            <w:pPr>
              <w:spacing w:line="240" w:lineRule="auto"/>
              <w:ind w:left="-57" w:right="-57"/>
              <w:rPr>
                <w:sz w:val="17"/>
                <w:szCs w:val="22"/>
              </w:rPr>
            </w:pPr>
          </w:p>
        </w:tc>
        <w:tc>
          <w:tcPr>
            <w:tcW w:w="241" w:type="pct"/>
            <w:tcBorders>
              <w:top w:val="nil"/>
              <w:bottom w:val="single" w:sz="4" w:space="0" w:color="auto"/>
            </w:tcBorders>
          </w:tcPr>
          <w:p w:rsidR="00000000" w:rsidRDefault="00000000">
            <w:pPr>
              <w:pStyle w:val="a2"/>
              <w:spacing w:line="240" w:lineRule="auto"/>
              <w:ind w:left="-57" w:right="-57"/>
              <w:jc w:val="left"/>
              <w:rPr>
                <w:rFonts w:hint="eastAsia"/>
                <w:sz w:val="17"/>
              </w:rPr>
            </w:pPr>
            <w:r>
              <w:rPr>
                <w:rFonts w:hint="eastAsia"/>
                <w:spacing w:val="0"/>
                <w:sz w:val="17"/>
              </w:rPr>
              <w:t>共计</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116,977</w:t>
            </w:r>
          </w:p>
        </w:tc>
        <w:tc>
          <w:tcPr>
            <w:tcW w:w="420" w:type="pct"/>
            <w:tcBorders>
              <w:top w:val="nil"/>
              <w:bottom w:val="single" w:sz="4" w:space="0" w:color="auto"/>
            </w:tcBorders>
          </w:tcPr>
          <w:p w:rsidR="00000000" w:rsidRDefault="00000000">
            <w:pPr>
              <w:pStyle w:val="a2"/>
              <w:spacing w:line="240" w:lineRule="auto"/>
              <w:ind w:right="113"/>
              <w:jc w:val="right"/>
              <w:rPr>
                <w:sz w:val="17"/>
              </w:rPr>
            </w:pPr>
            <w:r>
              <w:rPr>
                <w:sz w:val="17"/>
              </w:rPr>
              <w:t>28,881</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145,858</w:t>
            </w:r>
          </w:p>
        </w:tc>
        <w:tc>
          <w:tcPr>
            <w:tcW w:w="550" w:type="pct"/>
            <w:tcBorders>
              <w:top w:val="nil"/>
              <w:bottom w:val="single" w:sz="4" w:space="0" w:color="auto"/>
            </w:tcBorders>
          </w:tcPr>
          <w:p w:rsidR="00000000" w:rsidRDefault="00000000">
            <w:pPr>
              <w:pStyle w:val="a2"/>
              <w:spacing w:line="240" w:lineRule="auto"/>
              <w:ind w:right="113"/>
              <w:jc w:val="right"/>
              <w:rPr>
                <w:sz w:val="17"/>
              </w:rPr>
            </w:pPr>
            <w:r>
              <w:rPr>
                <w:sz w:val="17"/>
              </w:rPr>
              <w:t>1,039,888</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772,367</w:t>
            </w:r>
          </w:p>
        </w:tc>
        <w:tc>
          <w:tcPr>
            <w:tcW w:w="550" w:type="pct"/>
            <w:tcBorders>
              <w:top w:val="nil"/>
              <w:bottom w:val="single" w:sz="4" w:space="0" w:color="auto"/>
            </w:tcBorders>
          </w:tcPr>
          <w:p w:rsidR="00000000" w:rsidRDefault="00000000">
            <w:pPr>
              <w:pStyle w:val="a2"/>
              <w:spacing w:line="240" w:lineRule="auto"/>
              <w:ind w:right="113"/>
              <w:jc w:val="right"/>
              <w:rPr>
                <w:sz w:val="17"/>
              </w:rPr>
            </w:pPr>
            <w:r>
              <w:rPr>
                <w:sz w:val="17"/>
              </w:rPr>
              <w:t>1,812,255</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386,452</w:t>
            </w:r>
          </w:p>
        </w:tc>
        <w:tc>
          <w:tcPr>
            <w:tcW w:w="420" w:type="pct"/>
            <w:tcBorders>
              <w:top w:val="nil"/>
              <w:bottom w:val="single" w:sz="4" w:space="0" w:color="auto"/>
            </w:tcBorders>
          </w:tcPr>
          <w:p w:rsidR="00000000" w:rsidRDefault="00000000">
            <w:pPr>
              <w:pStyle w:val="a2"/>
              <w:spacing w:line="240" w:lineRule="auto"/>
              <w:ind w:right="113"/>
              <w:jc w:val="right"/>
              <w:rPr>
                <w:sz w:val="17"/>
              </w:rPr>
            </w:pPr>
            <w:r>
              <w:rPr>
                <w:sz w:val="17"/>
              </w:rPr>
              <w:t>71,063</w:t>
            </w:r>
          </w:p>
        </w:tc>
        <w:tc>
          <w:tcPr>
            <w:tcW w:w="465" w:type="pct"/>
            <w:tcBorders>
              <w:top w:val="nil"/>
              <w:bottom w:val="single" w:sz="4" w:space="0" w:color="auto"/>
            </w:tcBorders>
          </w:tcPr>
          <w:p w:rsidR="00000000" w:rsidRDefault="00000000">
            <w:pPr>
              <w:pStyle w:val="a2"/>
              <w:spacing w:line="240" w:lineRule="auto"/>
              <w:ind w:right="113"/>
              <w:jc w:val="right"/>
              <w:rPr>
                <w:sz w:val="17"/>
              </w:rPr>
            </w:pPr>
            <w:r>
              <w:rPr>
                <w:sz w:val="17"/>
              </w:rPr>
              <w:t>457,515</w:t>
            </w:r>
          </w:p>
        </w:tc>
      </w:tr>
      <w:tr w:rsidR="00000000">
        <w:tblPrEx>
          <w:tblCellMar>
            <w:top w:w="0" w:type="dxa"/>
            <w:bottom w:w="0" w:type="dxa"/>
          </w:tblCellMar>
        </w:tblPrEx>
        <w:trPr>
          <w:cantSplit/>
          <w:jc w:val="center"/>
        </w:trPr>
        <w:tc>
          <w:tcPr>
            <w:tcW w:w="550" w:type="pct"/>
            <w:vMerge w:val="restart"/>
            <w:tcBorders>
              <w:top w:val="single" w:sz="4" w:space="0" w:color="auto"/>
            </w:tcBorders>
          </w:tcPr>
          <w:p w:rsidR="00000000" w:rsidRDefault="00000000">
            <w:pPr>
              <w:pStyle w:val="a2"/>
              <w:spacing w:line="240" w:lineRule="auto"/>
              <w:ind w:left="-57" w:right="-57"/>
              <w:jc w:val="right"/>
              <w:rPr>
                <w:rFonts w:hint="eastAsia"/>
                <w:sz w:val="17"/>
                <w:szCs w:val="22"/>
              </w:rPr>
            </w:pPr>
            <w:r>
              <w:rPr>
                <w:spacing w:val="0"/>
                <w:sz w:val="17"/>
                <w:szCs w:val="22"/>
              </w:rPr>
              <w:t>1996-1997</w:t>
            </w:r>
            <w:r>
              <w:rPr>
                <w:rFonts w:hint="eastAsia"/>
                <w:spacing w:val="0"/>
                <w:sz w:val="17"/>
                <w:szCs w:val="22"/>
              </w:rPr>
              <w:t>年</w:t>
            </w:r>
          </w:p>
        </w:tc>
        <w:tc>
          <w:tcPr>
            <w:tcW w:w="241" w:type="pct"/>
            <w:tcBorders>
              <w:top w:val="single" w:sz="4" w:space="0" w:color="auto"/>
              <w:bottom w:val="nil"/>
            </w:tcBorders>
          </w:tcPr>
          <w:p w:rsidR="00000000" w:rsidRDefault="00000000">
            <w:pPr>
              <w:pStyle w:val="a2"/>
              <w:spacing w:line="240" w:lineRule="auto"/>
              <w:ind w:right="113"/>
              <w:jc w:val="left"/>
              <w:rPr>
                <w:rFonts w:hint="eastAsia"/>
                <w:sz w:val="17"/>
              </w:rPr>
            </w:pPr>
            <w:r>
              <w:rPr>
                <w:rFonts w:hint="eastAsia"/>
                <w:sz w:val="17"/>
              </w:rPr>
              <w:t>男</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63,037</w:t>
            </w:r>
          </w:p>
        </w:tc>
        <w:tc>
          <w:tcPr>
            <w:tcW w:w="420" w:type="pct"/>
            <w:tcBorders>
              <w:top w:val="single" w:sz="4" w:space="0" w:color="auto"/>
              <w:bottom w:val="nil"/>
            </w:tcBorders>
          </w:tcPr>
          <w:p w:rsidR="00000000" w:rsidRDefault="00000000">
            <w:pPr>
              <w:pStyle w:val="a2"/>
              <w:spacing w:line="240" w:lineRule="auto"/>
              <w:ind w:right="113"/>
              <w:jc w:val="right"/>
              <w:rPr>
                <w:sz w:val="17"/>
              </w:rPr>
            </w:pPr>
            <w:r>
              <w:rPr>
                <w:sz w:val="17"/>
              </w:rPr>
              <w:t>15,455</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78,492</w:t>
            </w:r>
          </w:p>
        </w:tc>
        <w:tc>
          <w:tcPr>
            <w:tcW w:w="550" w:type="pct"/>
            <w:tcBorders>
              <w:top w:val="single" w:sz="4" w:space="0" w:color="auto"/>
              <w:bottom w:val="nil"/>
            </w:tcBorders>
          </w:tcPr>
          <w:p w:rsidR="00000000" w:rsidRDefault="00000000">
            <w:pPr>
              <w:pStyle w:val="a2"/>
              <w:spacing w:line="240" w:lineRule="auto"/>
              <w:ind w:right="113"/>
              <w:jc w:val="right"/>
              <w:rPr>
                <w:sz w:val="17"/>
              </w:rPr>
            </w:pPr>
            <w:r>
              <w:rPr>
                <w:sz w:val="17"/>
              </w:rPr>
              <w:t>548,810</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414,801</w:t>
            </w:r>
          </w:p>
        </w:tc>
        <w:tc>
          <w:tcPr>
            <w:tcW w:w="550" w:type="pct"/>
            <w:tcBorders>
              <w:top w:val="single" w:sz="4" w:space="0" w:color="auto"/>
              <w:bottom w:val="nil"/>
            </w:tcBorders>
          </w:tcPr>
          <w:p w:rsidR="00000000" w:rsidRDefault="00000000">
            <w:pPr>
              <w:pStyle w:val="a2"/>
              <w:spacing w:line="240" w:lineRule="auto"/>
              <w:ind w:right="113"/>
              <w:jc w:val="right"/>
              <w:rPr>
                <w:sz w:val="17"/>
              </w:rPr>
            </w:pPr>
            <w:r>
              <w:rPr>
                <w:sz w:val="17"/>
              </w:rPr>
              <w:t>963,611</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211,472</w:t>
            </w:r>
          </w:p>
        </w:tc>
        <w:tc>
          <w:tcPr>
            <w:tcW w:w="420" w:type="pct"/>
            <w:tcBorders>
              <w:top w:val="single" w:sz="4" w:space="0" w:color="auto"/>
              <w:bottom w:val="nil"/>
            </w:tcBorders>
          </w:tcPr>
          <w:p w:rsidR="00000000" w:rsidRDefault="00000000">
            <w:pPr>
              <w:pStyle w:val="a2"/>
              <w:spacing w:line="240" w:lineRule="auto"/>
              <w:ind w:right="113"/>
              <w:jc w:val="right"/>
              <w:rPr>
                <w:sz w:val="17"/>
              </w:rPr>
            </w:pPr>
            <w:r>
              <w:rPr>
                <w:sz w:val="17"/>
              </w:rPr>
              <w:t>44,608</w:t>
            </w:r>
          </w:p>
        </w:tc>
        <w:tc>
          <w:tcPr>
            <w:tcW w:w="465" w:type="pct"/>
            <w:tcBorders>
              <w:top w:val="single" w:sz="4" w:space="0" w:color="auto"/>
              <w:bottom w:val="nil"/>
            </w:tcBorders>
          </w:tcPr>
          <w:p w:rsidR="00000000" w:rsidRDefault="00000000">
            <w:pPr>
              <w:pStyle w:val="a2"/>
              <w:spacing w:line="240" w:lineRule="auto"/>
              <w:ind w:right="113"/>
              <w:jc w:val="right"/>
              <w:rPr>
                <w:sz w:val="17"/>
              </w:rPr>
            </w:pPr>
            <w:r>
              <w:rPr>
                <w:sz w:val="17"/>
              </w:rPr>
              <w:t>256,080</w:t>
            </w:r>
          </w:p>
        </w:tc>
      </w:tr>
      <w:tr w:rsidR="00000000">
        <w:tblPrEx>
          <w:tblCellMar>
            <w:top w:w="0" w:type="dxa"/>
            <w:bottom w:w="0" w:type="dxa"/>
          </w:tblCellMar>
        </w:tblPrEx>
        <w:trPr>
          <w:cantSplit/>
          <w:jc w:val="center"/>
        </w:trPr>
        <w:tc>
          <w:tcPr>
            <w:tcW w:w="550" w:type="pct"/>
            <w:vMerge/>
            <w:tcBorders>
              <w:top w:val="single" w:sz="4" w:space="0" w:color="auto"/>
            </w:tcBorders>
          </w:tcPr>
          <w:p w:rsidR="00000000" w:rsidRDefault="00000000">
            <w:pPr>
              <w:spacing w:line="240" w:lineRule="auto"/>
              <w:ind w:left="-57" w:right="-57"/>
              <w:rPr>
                <w:sz w:val="17"/>
                <w:szCs w:val="22"/>
              </w:rPr>
            </w:pPr>
          </w:p>
        </w:tc>
        <w:tc>
          <w:tcPr>
            <w:tcW w:w="241" w:type="pct"/>
            <w:tcBorders>
              <w:top w:val="nil"/>
              <w:bottom w:val="nil"/>
            </w:tcBorders>
          </w:tcPr>
          <w:p w:rsidR="00000000" w:rsidRDefault="00000000">
            <w:pPr>
              <w:pStyle w:val="a2"/>
              <w:spacing w:line="240" w:lineRule="auto"/>
              <w:ind w:right="113"/>
              <w:jc w:val="left"/>
              <w:rPr>
                <w:rFonts w:hint="eastAsia"/>
                <w:sz w:val="17"/>
              </w:rPr>
            </w:pPr>
            <w:r>
              <w:rPr>
                <w:rFonts w:hint="eastAsia"/>
                <w:sz w:val="17"/>
              </w:rPr>
              <w:t>女</w:t>
            </w:r>
          </w:p>
        </w:tc>
        <w:tc>
          <w:tcPr>
            <w:tcW w:w="471" w:type="pct"/>
            <w:tcBorders>
              <w:top w:val="nil"/>
              <w:bottom w:val="nil"/>
            </w:tcBorders>
          </w:tcPr>
          <w:p w:rsidR="00000000" w:rsidRDefault="00000000">
            <w:pPr>
              <w:pStyle w:val="a2"/>
              <w:spacing w:line="240" w:lineRule="auto"/>
              <w:ind w:right="113"/>
              <w:jc w:val="right"/>
              <w:rPr>
                <w:sz w:val="17"/>
              </w:rPr>
            </w:pPr>
            <w:r>
              <w:rPr>
                <w:sz w:val="17"/>
              </w:rPr>
              <w:t>63,305</w:t>
            </w:r>
          </w:p>
        </w:tc>
        <w:tc>
          <w:tcPr>
            <w:tcW w:w="420" w:type="pct"/>
            <w:tcBorders>
              <w:top w:val="nil"/>
              <w:bottom w:val="nil"/>
            </w:tcBorders>
          </w:tcPr>
          <w:p w:rsidR="00000000" w:rsidRDefault="00000000">
            <w:pPr>
              <w:pStyle w:val="a2"/>
              <w:spacing w:line="240" w:lineRule="auto"/>
              <w:ind w:right="113"/>
              <w:jc w:val="right"/>
              <w:rPr>
                <w:sz w:val="17"/>
              </w:rPr>
            </w:pPr>
            <w:r>
              <w:rPr>
                <w:sz w:val="17"/>
              </w:rPr>
              <w:t>14,975</w:t>
            </w:r>
          </w:p>
        </w:tc>
        <w:tc>
          <w:tcPr>
            <w:tcW w:w="471" w:type="pct"/>
            <w:tcBorders>
              <w:top w:val="nil"/>
              <w:bottom w:val="nil"/>
            </w:tcBorders>
          </w:tcPr>
          <w:p w:rsidR="00000000" w:rsidRDefault="00000000">
            <w:pPr>
              <w:pStyle w:val="a2"/>
              <w:spacing w:line="240" w:lineRule="auto"/>
              <w:ind w:right="113"/>
              <w:jc w:val="right"/>
              <w:rPr>
                <w:sz w:val="17"/>
              </w:rPr>
            </w:pPr>
            <w:r>
              <w:rPr>
                <w:sz w:val="17"/>
              </w:rPr>
              <w:t>78,280</w:t>
            </w:r>
          </w:p>
        </w:tc>
        <w:tc>
          <w:tcPr>
            <w:tcW w:w="550" w:type="pct"/>
            <w:tcBorders>
              <w:top w:val="nil"/>
              <w:bottom w:val="nil"/>
            </w:tcBorders>
          </w:tcPr>
          <w:p w:rsidR="00000000" w:rsidRDefault="00000000">
            <w:pPr>
              <w:pStyle w:val="a2"/>
              <w:spacing w:line="240" w:lineRule="auto"/>
              <w:ind w:right="113"/>
              <w:jc w:val="right"/>
              <w:rPr>
                <w:sz w:val="17"/>
              </w:rPr>
            </w:pPr>
            <w:r>
              <w:rPr>
                <w:sz w:val="17"/>
              </w:rPr>
              <w:t>537,425</w:t>
            </w:r>
          </w:p>
        </w:tc>
        <w:tc>
          <w:tcPr>
            <w:tcW w:w="471" w:type="pct"/>
            <w:tcBorders>
              <w:top w:val="nil"/>
              <w:bottom w:val="nil"/>
            </w:tcBorders>
          </w:tcPr>
          <w:p w:rsidR="00000000" w:rsidRDefault="00000000">
            <w:pPr>
              <w:pStyle w:val="a2"/>
              <w:spacing w:line="240" w:lineRule="auto"/>
              <w:ind w:right="113"/>
              <w:jc w:val="right"/>
              <w:rPr>
                <w:sz w:val="17"/>
              </w:rPr>
            </w:pPr>
            <w:r>
              <w:rPr>
                <w:sz w:val="17"/>
              </w:rPr>
              <w:t>387,136</w:t>
            </w:r>
          </w:p>
        </w:tc>
        <w:tc>
          <w:tcPr>
            <w:tcW w:w="550" w:type="pct"/>
            <w:tcBorders>
              <w:top w:val="nil"/>
              <w:bottom w:val="nil"/>
            </w:tcBorders>
          </w:tcPr>
          <w:p w:rsidR="00000000" w:rsidRDefault="00000000">
            <w:pPr>
              <w:pStyle w:val="a2"/>
              <w:spacing w:line="240" w:lineRule="auto"/>
              <w:ind w:right="113"/>
              <w:jc w:val="right"/>
              <w:rPr>
                <w:sz w:val="17"/>
              </w:rPr>
            </w:pPr>
            <w:r>
              <w:rPr>
                <w:sz w:val="17"/>
              </w:rPr>
              <w:t>924,561</w:t>
            </w:r>
          </w:p>
        </w:tc>
        <w:tc>
          <w:tcPr>
            <w:tcW w:w="471" w:type="pct"/>
            <w:tcBorders>
              <w:top w:val="nil"/>
              <w:bottom w:val="nil"/>
            </w:tcBorders>
          </w:tcPr>
          <w:p w:rsidR="00000000" w:rsidRDefault="00000000">
            <w:pPr>
              <w:pStyle w:val="a2"/>
              <w:spacing w:line="240" w:lineRule="auto"/>
              <w:ind w:right="113"/>
              <w:jc w:val="right"/>
              <w:rPr>
                <w:sz w:val="17"/>
              </w:rPr>
            </w:pPr>
            <w:r>
              <w:rPr>
                <w:sz w:val="17"/>
              </w:rPr>
              <w:t>211,151</w:t>
            </w:r>
          </w:p>
        </w:tc>
        <w:tc>
          <w:tcPr>
            <w:tcW w:w="420" w:type="pct"/>
            <w:tcBorders>
              <w:top w:val="nil"/>
              <w:bottom w:val="nil"/>
            </w:tcBorders>
          </w:tcPr>
          <w:p w:rsidR="00000000" w:rsidRDefault="00000000">
            <w:pPr>
              <w:pStyle w:val="a2"/>
              <w:spacing w:line="240" w:lineRule="auto"/>
              <w:ind w:right="113"/>
              <w:jc w:val="right"/>
              <w:rPr>
                <w:sz w:val="17"/>
              </w:rPr>
            </w:pPr>
            <w:r>
              <w:rPr>
                <w:sz w:val="17"/>
              </w:rPr>
              <w:t>32,071</w:t>
            </w:r>
          </w:p>
        </w:tc>
        <w:tc>
          <w:tcPr>
            <w:tcW w:w="465" w:type="pct"/>
            <w:tcBorders>
              <w:top w:val="nil"/>
              <w:bottom w:val="nil"/>
            </w:tcBorders>
          </w:tcPr>
          <w:p w:rsidR="00000000" w:rsidRDefault="00000000">
            <w:pPr>
              <w:pStyle w:val="a2"/>
              <w:spacing w:line="240" w:lineRule="auto"/>
              <w:ind w:right="113"/>
              <w:jc w:val="right"/>
              <w:rPr>
                <w:sz w:val="17"/>
              </w:rPr>
            </w:pPr>
            <w:r>
              <w:rPr>
                <w:sz w:val="17"/>
              </w:rPr>
              <w:t>243,222</w:t>
            </w:r>
          </w:p>
        </w:tc>
      </w:tr>
      <w:tr w:rsidR="00000000">
        <w:tblPrEx>
          <w:tblCellMar>
            <w:top w:w="0" w:type="dxa"/>
            <w:bottom w:w="0" w:type="dxa"/>
          </w:tblCellMar>
        </w:tblPrEx>
        <w:trPr>
          <w:cantSplit/>
          <w:jc w:val="center"/>
        </w:trPr>
        <w:tc>
          <w:tcPr>
            <w:tcW w:w="550" w:type="pct"/>
            <w:vMerge/>
            <w:tcBorders>
              <w:top w:val="single" w:sz="4" w:space="0" w:color="auto"/>
              <w:bottom w:val="single" w:sz="4" w:space="0" w:color="auto"/>
            </w:tcBorders>
          </w:tcPr>
          <w:p w:rsidR="00000000" w:rsidRDefault="00000000">
            <w:pPr>
              <w:spacing w:line="240" w:lineRule="auto"/>
              <w:ind w:left="-57" w:right="-57"/>
              <w:rPr>
                <w:sz w:val="17"/>
                <w:szCs w:val="22"/>
              </w:rPr>
            </w:pPr>
          </w:p>
        </w:tc>
        <w:tc>
          <w:tcPr>
            <w:tcW w:w="241" w:type="pct"/>
            <w:tcBorders>
              <w:top w:val="nil"/>
              <w:bottom w:val="single" w:sz="4" w:space="0" w:color="auto"/>
            </w:tcBorders>
          </w:tcPr>
          <w:p w:rsidR="00000000" w:rsidRDefault="00000000">
            <w:pPr>
              <w:pStyle w:val="a2"/>
              <w:spacing w:line="240" w:lineRule="auto"/>
              <w:ind w:left="-57" w:right="-57"/>
              <w:jc w:val="left"/>
              <w:rPr>
                <w:rFonts w:hint="eastAsia"/>
                <w:sz w:val="17"/>
              </w:rPr>
            </w:pPr>
            <w:r>
              <w:rPr>
                <w:rFonts w:hint="eastAsia"/>
                <w:spacing w:val="0"/>
                <w:sz w:val="17"/>
              </w:rPr>
              <w:t>共计</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126,342</w:t>
            </w:r>
          </w:p>
        </w:tc>
        <w:tc>
          <w:tcPr>
            <w:tcW w:w="420" w:type="pct"/>
            <w:tcBorders>
              <w:top w:val="nil"/>
              <w:bottom w:val="single" w:sz="4" w:space="0" w:color="auto"/>
            </w:tcBorders>
          </w:tcPr>
          <w:p w:rsidR="00000000" w:rsidRDefault="00000000">
            <w:pPr>
              <w:pStyle w:val="a2"/>
              <w:spacing w:line="240" w:lineRule="auto"/>
              <w:ind w:right="113"/>
              <w:jc w:val="right"/>
              <w:rPr>
                <w:sz w:val="17"/>
              </w:rPr>
            </w:pPr>
            <w:r>
              <w:rPr>
                <w:sz w:val="17"/>
              </w:rPr>
              <w:t>30,430</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156,772</w:t>
            </w:r>
          </w:p>
        </w:tc>
        <w:tc>
          <w:tcPr>
            <w:tcW w:w="550" w:type="pct"/>
            <w:tcBorders>
              <w:top w:val="nil"/>
              <w:bottom w:val="single" w:sz="4" w:space="0" w:color="auto"/>
            </w:tcBorders>
          </w:tcPr>
          <w:p w:rsidR="00000000" w:rsidRDefault="00000000">
            <w:pPr>
              <w:pStyle w:val="a2"/>
              <w:spacing w:line="240" w:lineRule="auto"/>
              <w:ind w:right="113"/>
              <w:jc w:val="right"/>
              <w:rPr>
                <w:sz w:val="17"/>
              </w:rPr>
            </w:pPr>
            <w:r>
              <w:rPr>
                <w:sz w:val="17"/>
              </w:rPr>
              <w:t>1,086,235</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801,937</w:t>
            </w:r>
          </w:p>
        </w:tc>
        <w:tc>
          <w:tcPr>
            <w:tcW w:w="550" w:type="pct"/>
            <w:tcBorders>
              <w:top w:val="nil"/>
              <w:bottom w:val="single" w:sz="4" w:space="0" w:color="auto"/>
            </w:tcBorders>
          </w:tcPr>
          <w:p w:rsidR="00000000" w:rsidRDefault="00000000">
            <w:pPr>
              <w:pStyle w:val="a2"/>
              <w:spacing w:line="240" w:lineRule="auto"/>
              <w:ind w:right="113"/>
              <w:jc w:val="right"/>
              <w:rPr>
                <w:sz w:val="17"/>
              </w:rPr>
            </w:pPr>
            <w:r>
              <w:rPr>
                <w:sz w:val="17"/>
              </w:rPr>
              <w:t>1,888,172</w:t>
            </w:r>
          </w:p>
        </w:tc>
        <w:tc>
          <w:tcPr>
            <w:tcW w:w="471" w:type="pct"/>
            <w:tcBorders>
              <w:top w:val="nil"/>
              <w:bottom w:val="single" w:sz="4" w:space="0" w:color="auto"/>
            </w:tcBorders>
          </w:tcPr>
          <w:p w:rsidR="00000000" w:rsidRDefault="00000000">
            <w:pPr>
              <w:pStyle w:val="a2"/>
              <w:spacing w:line="240" w:lineRule="auto"/>
              <w:ind w:right="113"/>
              <w:jc w:val="right"/>
              <w:rPr>
                <w:sz w:val="17"/>
              </w:rPr>
            </w:pPr>
            <w:r>
              <w:rPr>
                <w:sz w:val="17"/>
              </w:rPr>
              <w:t>422,623</w:t>
            </w:r>
          </w:p>
        </w:tc>
        <w:tc>
          <w:tcPr>
            <w:tcW w:w="420" w:type="pct"/>
            <w:tcBorders>
              <w:top w:val="nil"/>
              <w:bottom w:val="single" w:sz="4" w:space="0" w:color="auto"/>
            </w:tcBorders>
          </w:tcPr>
          <w:p w:rsidR="00000000" w:rsidRDefault="00000000">
            <w:pPr>
              <w:pStyle w:val="a2"/>
              <w:spacing w:line="240" w:lineRule="auto"/>
              <w:ind w:right="113"/>
              <w:jc w:val="right"/>
              <w:rPr>
                <w:sz w:val="17"/>
              </w:rPr>
            </w:pPr>
            <w:r>
              <w:rPr>
                <w:sz w:val="17"/>
              </w:rPr>
              <w:t>76,679</w:t>
            </w:r>
          </w:p>
        </w:tc>
        <w:tc>
          <w:tcPr>
            <w:tcW w:w="465" w:type="pct"/>
            <w:tcBorders>
              <w:top w:val="nil"/>
              <w:bottom w:val="single" w:sz="4" w:space="0" w:color="auto"/>
            </w:tcBorders>
          </w:tcPr>
          <w:p w:rsidR="00000000" w:rsidRDefault="00000000">
            <w:pPr>
              <w:pStyle w:val="a2"/>
              <w:spacing w:line="240" w:lineRule="auto"/>
              <w:ind w:right="113"/>
              <w:jc w:val="right"/>
              <w:rPr>
                <w:sz w:val="17"/>
              </w:rPr>
            </w:pPr>
            <w:r>
              <w:rPr>
                <w:sz w:val="17"/>
              </w:rPr>
              <w:t>499,302</w:t>
            </w:r>
          </w:p>
        </w:tc>
      </w:tr>
      <w:tr w:rsidR="00000000">
        <w:tblPrEx>
          <w:tblCellMar>
            <w:top w:w="0" w:type="dxa"/>
            <w:bottom w:w="0" w:type="dxa"/>
          </w:tblCellMar>
        </w:tblPrEx>
        <w:trPr>
          <w:cantSplit/>
          <w:jc w:val="center"/>
        </w:trPr>
        <w:tc>
          <w:tcPr>
            <w:tcW w:w="550" w:type="pct"/>
            <w:vMerge w:val="restart"/>
            <w:tcBorders>
              <w:top w:val="single" w:sz="4" w:space="0" w:color="auto"/>
            </w:tcBorders>
          </w:tcPr>
          <w:p w:rsidR="00000000" w:rsidRDefault="00000000">
            <w:pPr>
              <w:pStyle w:val="a2"/>
              <w:spacing w:line="240" w:lineRule="auto"/>
              <w:ind w:left="-57" w:right="-57"/>
              <w:jc w:val="right"/>
              <w:rPr>
                <w:rFonts w:hint="eastAsia"/>
                <w:sz w:val="17"/>
                <w:szCs w:val="22"/>
              </w:rPr>
            </w:pPr>
            <w:r>
              <w:rPr>
                <w:spacing w:val="0"/>
                <w:sz w:val="17"/>
                <w:szCs w:val="22"/>
              </w:rPr>
              <w:t>1997-1998</w:t>
            </w:r>
            <w:r>
              <w:rPr>
                <w:rFonts w:hint="eastAsia"/>
                <w:spacing w:val="0"/>
                <w:sz w:val="17"/>
                <w:szCs w:val="22"/>
              </w:rPr>
              <w:t>年</w:t>
            </w:r>
          </w:p>
        </w:tc>
        <w:tc>
          <w:tcPr>
            <w:tcW w:w="241" w:type="pct"/>
            <w:tcBorders>
              <w:top w:val="single" w:sz="4" w:space="0" w:color="auto"/>
              <w:bottom w:val="nil"/>
            </w:tcBorders>
          </w:tcPr>
          <w:p w:rsidR="00000000" w:rsidRDefault="00000000">
            <w:pPr>
              <w:pStyle w:val="a2"/>
              <w:spacing w:line="240" w:lineRule="auto"/>
              <w:ind w:right="113"/>
              <w:jc w:val="left"/>
              <w:rPr>
                <w:rFonts w:hint="eastAsia"/>
                <w:sz w:val="17"/>
              </w:rPr>
            </w:pPr>
            <w:r>
              <w:rPr>
                <w:rFonts w:hint="eastAsia"/>
                <w:sz w:val="17"/>
              </w:rPr>
              <w:t>男</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66,920</w:t>
            </w:r>
          </w:p>
        </w:tc>
        <w:tc>
          <w:tcPr>
            <w:tcW w:w="420" w:type="pct"/>
            <w:tcBorders>
              <w:top w:val="single" w:sz="4" w:space="0" w:color="auto"/>
              <w:bottom w:val="nil"/>
            </w:tcBorders>
          </w:tcPr>
          <w:p w:rsidR="00000000" w:rsidRDefault="00000000">
            <w:pPr>
              <w:pStyle w:val="a2"/>
              <w:spacing w:line="240" w:lineRule="auto"/>
              <w:ind w:right="113"/>
              <w:jc w:val="right"/>
              <w:rPr>
                <w:sz w:val="17"/>
              </w:rPr>
            </w:pPr>
            <w:r>
              <w:rPr>
                <w:sz w:val="17"/>
              </w:rPr>
              <w:t>17,007</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83,927</w:t>
            </w:r>
          </w:p>
        </w:tc>
        <w:tc>
          <w:tcPr>
            <w:tcW w:w="550" w:type="pct"/>
            <w:tcBorders>
              <w:top w:val="single" w:sz="4" w:space="0" w:color="auto"/>
              <w:bottom w:val="nil"/>
            </w:tcBorders>
          </w:tcPr>
          <w:p w:rsidR="00000000" w:rsidRDefault="00000000">
            <w:pPr>
              <w:pStyle w:val="a2"/>
              <w:spacing w:line="240" w:lineRule="auto"/>
              <w:ind w:right="113"/>
              <w:jc w:val="right"/>
              <w:rPr>
                <w:sz w:val="17"/>
              </w:rPr>
            </w:pPr>
            <w:r>
              <w:rPr>
                <w:sz w:val="17"/>
              </w:rPr>
              <w:t>553,101</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406,000</w:t>
            </w:r>
          </w:p>
        </w:tc>
        <w:tc>
          <w:tcPr>
            <w:tcW w:w="550" w:type="pct"/>
            <w:tcBorders>
              <w:top w:val="single" w:sz="4" w:space="0" w:color="auto"/>
              <w:bottom w:val="nil"/>
            </w:tcBorders>
          </w:tcPr>
          <w:p w:rsidR="00000000" w:rsidRDefault="00000000">
            <w:pPr>
              <w:pStyle w:val="a2"/>
              <w:spacing w:line="240" w:lineRule="auto"/>
              <w:ind w:right="113"/>
              <w:jc w:val="right"/>
              <w:rPr>
                <w:sz w:val="17"/>
              </w:rPr>
            </w:pPr>
            <w:r>
              <w:rPr>
                <w:sz w:val="17"/>
              </w:rPr>
              <w:t>959,101</w:t>
            </w:r>
          </w:p>
        </w:tc>
        <w:tc>
          <w:tcPr>
            <w:tcW w:w="471" w:type="pct"/>
            <w:tcBorders>
              <w:top w:val="single" w:sz="4" w:space="0" w:color="auto"/>
              <w:bottom w:val="nil"/>
            </w:tcBorders>
          </w:tcPr>
          <w:p w:rsidR="00000000" w:rsidRDefault="00000000">
            <w:pPr>
              <w:pStyle w:val="a2"/>
              <w:spacing w:line="240" w:lineRule="auto"/>
              <w:ind w:right="113"/>
              <w:jc w:val="right"/>
              <w:rPr>
                <w:sz w:val="17"/>
              </w:rPr>
            </w:pPr>
            <w:r>
              <w:rPr>
                <w:sz w:val="17"/>
              </w:rPr>
              <w:t>208,797</w:t>
            </w:r>
          </w:p>
        </w:tc>
        <w:tc>
          <w:tcPr>
            <w:tcW w:w="420" w:type="pct"/>
            <w:tcBorders>
              <w:top w:val="single" w:sz="4" w:space="0" w:color="auto"/>
              <w:bottom w:val="nil"/>
            </w:tcBorders>
          </w:tcPr>
          <w:p w:rsidR="00000000" w:rsidRDefault="00000000">
            <w:pPr>
              <w:pStyle w:val="a2"/>
              <w:spacing w:line="240" w:lineRule="auto"/>
              <w:ind w:right="113"/>
              <w:jc w:val="right"/>
              <w:rPr>
                <w:sz w:val="17"/>
              </w:rPr>
            </w:pPr>
            <w:r>
              <w:rPr>
                <w:sz w:val="17"/>
              </w:rPr>
              <w:t>46,696</w:t>
            </w:r>
          </w:p>
        </w:tc>
        <w:tc>
          <w:tcPr>
            <w:tcW w:w="465" w:type="pct"/>
            <w:tcBorders>
              <w:top w:val="single" w:sz="4" w:space="0" w:color="auto"/>
              <w:bottom w:val="nil"/>
            </w:tcBorders>
          </w:tcPr>
          <w:p w:rsidR="00000000" w:rsidRDefault="00000000">
            <w:pPr>
              <w:pStyle w:val="a2"/>
              <w:spacing w:line="240" w:lineRule="auto"/>
              <w:ind w:right="113"/>
              <w:jc w:val="right"/>
              <w:rPr>
                <w:sz w:val="17"/>
              </w:rPr>
            </w:pPr>
            <w:r>
              <w:rPr>
                <w:sz w:val="17"/>
              </w:rPr>
              <w:t>255,493</w:t>
            </w:r>
          </w:p>
        </w:tc>
      </w:tr>
      <w:tr w:rsidR="00000000">
        <w:tblPrEx>
          <w:tblCellMar>
            <w:top w:w="0" w:type="dxa"/>
            <w:bottom w:w="0" w:type="dxa"/>
          </w:tblCellMar>
        </w:tblPrEx>
        <w:trPr>
          <w:cantSplit/>
          <w:jc w:val="center"/>
        </w:trPr>
        <w:tc>
          <w:tcPr>
            <w:tcW w:w="550" w:type="pct"/>
            <w:vMerge/>
            <w:tcBorders>
              <w:top w:val="single" w:sz="4" w:space="0" w:color="auto"/>
              <w:bottom w:val="nil"/>
            </w:tcBorders>
          </w:tcPr>
          <w:p w:rsidR="00000000" w:rsidRDefault="00000000">
            <w:pPr>
              <w:spacing w:line="240" w:lineRule="auto"/>
              <w:ind w:left="-57" w:right="-57"/>
              <w:rPr>
                <w:sz w:val="17"/>
                <w:szCs w:val="22"/>
              </w:rPr>
            </w:pPr>
          </w:p>
        </w:tc>
        <w:tc>
          <w:tcPr>
            <w:tcW w:w="241" w:type="pct"/>
            <w:tcBorders>
              <w:top w:val="nil"/>
              <w:bottom w:val="nil"/>
            </w:tcBorders>
          </w:tcPr>
          <w:p w:rsidR="00000000" w:rsidRDefault="00000000">
            <w:pPr>
              <w:pStyle w:val="a2"/>
              <w:spacing w:line="240" w:lineRule="auto"/>
              <w:ind w:right="113"/>
              <w:jc w:val="left"/>
              <w:rPr>
                <w:rFonts w:hint="eastAsia"/>
                <w:sz w:val="17"/>
              </w:rPr>
            </w:pPr>
            <w:r>
              <w:rPr>
                <w:rFonts w:hint="eastAsia"/>
                <w:sz w:val="17"/>
              </w:rPr>
              <w:t>女</w:t>
            </w:r>
          </w:p>
        </w:tc>
        <w:tc>
          <w:tcPr>
            <w:tcW w:w="471" w:type="pct"/>
            <w:tcBorders>
              <w:top w:val="nil"/>
              <w:bottom w:val="nil"/>
            </w:tcBorders>
          </w:tcPr>
          <w:p w:rsidR="00000000" w:rsidRDefault="00000000">
            <w:pPr>
              <w:pStyle w:val="a2"/>
              <w:spacing w:line="240" w:lineRule="auto"/>
              <w:ind w:right="113"/>
              <w:jc w:val="right"/>
              <w:rPr>
                <w:sz w:val="17"/>
              </w:rPr>
            </w:pPr>
            <w:r>
              <w:rPr>
                <w:sz w:val="17"/>
              </w:rPr>
              <w:t>67,354</w:t>
            </w:r>
          </w:p>
        </w:tc>
        <w:tc>
          <w:tcPr>
            <w:tcW w:w="420" w:type="pct"/>
            <w:tcBorders>
              <w:top w:val="nil"/>
              <w:bottom w:val="nil"/>
            </w:tcBorders>
          </w:tcPr>
          <w:p w:rsidR="00000000" w:rsidRDefault="00000000">
            <w:pPr>
              <w:pStyle w:val="a2"/>
              <w:spacing w:line="240" w:lineRule="auto"/>
              <w:ind w:right="113"/>
              <w:jc w:val="right"/>
              <w:rPr>
                <w:sz w:val="17"/>
              </w:rPr>
            </w:pPr>
            <w:r>
              <w:rPr>
                <w:sz w:val="17"/>
              </w:rPr>
              <w:t>16,847</w:t>
            </w:r>
          </w:p>
        </w:tc>
        <w:tc>
          <w:tcPr>
            <w:tcW w:w="471" w:type="pct"/>
            <w:tcBorders>
              <w:top w:val="nil"/>
              <w:bottom w:val="nil"/>
            </w:tcBorders>
          </w:tcPr>
          <w:p w:rsidR="00000000" w:rsidRDefault="00000000">
            <w:pPr>
              <w:pStyle w:val="a2"/>
              <w:spacing w:line="240" w:lineRule="auto"/>
              <w:ind w:right="113"/>
              <w:jc w:val="right"/>
              <w:rPr>
                <w:sz w:val="17"/>
              </w:rPr>
            </w:pPr>
            <w:r>
              <w:rPr>
                <w:sz w:val="17"/>
              </w:rPr>
              <w:t>84,201</w:t>
            </w:r>
          </w:p>
        </w:tc>
        <w:tc>
          <w:tcPr>
            <w:tcW w:w="550" w:type="pct"/>
            <w:tcBorders>
              <w:top w:val="nil"/>
              <w:bottom w:val="nil"/>
            </w:tcBorders>
          </w:tcPr>
          <w:p w:rsidR="00000000" w:rsidRDefault="00000000">
            <w:pPr>
              <w:pStyle w:val="a2"/>
              <w:spacing w:line="240" w:lineRule="auto"/>
              <w:ind w:right="113"/>
              <w:jc w:val="right"/>
              <w:rPr>
                <w:sz w:val="17"/>
              </w:rPr>
            </w:pPr>
            <w:r>
              <w:rPr>
                <w:sz w:val="17"/>
              </w:rPr>
              <w:t>544,943</w:t>
            </w:r>
          </w:p>
        </w:tc>
        <w:tc>
          <w:tcPr>
            <w:tcW w:w="471" w:type="pct"/>
            <w:tcBorders>
              <w:top w:val="nil"/>
              <w:bottom w:val="nil"/>
            </w:tcBorders>
          </w:tcPr>
          <w:p w:rsidR="00000000" w:rsidRDefault="00000000">
            <w:pPr>
              <w:pStyle w:val="a2"/>
              <w:spacing w:line="240" w:lineRule="auto"/>
              <w:ind w:right="113"/>
              <w:jc w:val="right"/>
              <w:rPr>
                <w:sz w:val="17"/>
              </w:rPr>
            </w:pPr>
            <w:r>
              <w:rPr>
                <w:sz w:val="17"/>
              </w:rPr>
              <w:t>378,901</w:t>
            </w:r>
          </w:p>
        </w:tc>
        <w:tc>
          <w:tcPr>
            <w:tcW w:w="550" w:type="pct"/>
            <w:tcBorders>
              <w:top w:val="nil"/>
              <w:bottom w:val="nil"/>
            </w:tcBorders>
          </w:tcPr>
          <w:p w:rsidR="00000000" w:rsidRDefault="00000000">
            <w:pPr>
              <w:pStyle w:val="a2"/>
              <w:spacing w:line="240" w:lineRule="auto"/>
              <w:ind w:right="113"/>
              <w:jc w:val="right"/>
              <w:rPr>
                <w:sz w:val="17"/>
              </w:rPr>
            </w:pPr>
            <w:r>
              <w:rPr>
                <w:sz w:val="17"/>
              </w:rPr>
              <w:t>923,844</w:t>
            </w:r>
          </w:p>
        </w:tc>
        <w:tc>
          <w:tcPr>
            <w:tcW w:w="471" w:type="pct"/>
            <w:tcBorders>
              <w:top w:val="nil"/>
              <w:bottom w:val="nil"/>
            </w:tcBorders>
          </w:tcPr>
          <w:p w:rsidR="00000000" w:rsidRDefault="00000000">
            <w:pPr>
              <w:pStyle w:val="a2"/>
              <w:spacing w:line="240" w:lineRule="auto"/>
              <w:ind w:right="113"/>
              <w:jc w:val="right"/>
              <w:rPr>
                <w:sz w:val="17"/>
              </w:rPr>
            </w:pPr>
            <w:r>
              <w:rPr>
                <w:sz w:val="17"/>
              </w:rPr>
              <w:t>209,329</w:t>
            </w:r>
          </w:p>
        </w:tc>
        <w:tc>
          <w:tcPr>
            <w:tcW w:w="420" w:type="pct"/>
            <w:tcBorders>
              <w:top w:val="nil"/>
              <w:bottom w:val="nil"/>
            </w:tcBorders>
          </w:tcPr>
          <w:p w:rsidR="00000000" w:rsidRDefault="00000000">
            <w:pPr>
              <w:pStyle w:val="a2"/>
              <w:spacing w:line="240" w:lineRule="auto"/>
              <w:ind w:right="113"/>
              <w:jc w:val="right"/>
              <w:rPr>
                <w:sz w:val="17"/>
              </w:rPr>
            </w:pPr>
            <w:r>
              <w:rPr>
                <w:sz w:val="17"/>
              </w:rPr>
              <w:t>34,020</w:t>
            </w:r>
          </w:p>
        </w:tc>
        <w:tc>
          <w:tcPr>
            <w:tcW w:w="465" w:type="pct"/>
            <w:tcBorders>
              <w:top w:val="nil"/>
              <w:bottom w:val="nil"/>
            </w:tcBorders>
          </w:tcPr>
          <w:p w:rsidR="00000000" w:rsidRDefault="00000000">
            <w:pPr>
              <w:pStyle w:val="a2"/>
              <w:spacing w:line="240" w:lineRule="auto"/>
              <w:ind w:right="113"/>
              <w:jc w:val="right"/>
              <w:rPr>
                <w:sz w:val="17"/>
              </w:rPr>
            </w:pPr>
            <w:r>
              <w:rPr>
                <w:sz w:val="17"/>
              </w:rPr>
              <w:t>243,349</w:t>
            </w:r>
          </w:p>
        </w:tc>
      </w:tr>
      <w:tr w:rsidR="00000000">
        <w:tblPrEx>
          <w:tblCellMar>
            <w:top w:w="0" w:type="dxa"/>
            <w:bottom w:w="0" w:type="dxa"/>
          </w:tblCellMar>
        </w:tblPrEx>
        <w:trPr>
          <w:cantSplit/>
          <w:jc w:val="center"/>
        </w:trPr>
        <w:tc>
          <w:tcPr>
            <w:tcW w:w="550" w:type="pct"/>
            <w:vMerge/>
            <w:tcBorders>
              <w:top w:val="nil"/>
            </w:tcBorders>
          </w:tcPr>
          <w:p w:rsidR="00000000" w:rsidRDefault="00000000">
            <w:pPr>
              <w:spacing w:line="240" w:lineRule="auto"/>
              <w:ind w:left="-57" w:right="-57"/>
              <w:rPr>
                <w:sz w:val="17"/>
                <w:szCs w:val="22"/>
              </w:rPr>
            </w:pPr>
          </w:p>
        </w:tc>
        <w:tc>
          <w:tcPr>
            <w:tcW w:w="241" w:type="pct"/>
            <w:tcBorders>
              <w:top w:val="nil"/>
            </w:tcBorders>
          </w:tcPr>
          <w:p w:rsidR="00000000" w:rsidRDefault="00000000">
            <w:pPr>
              <w:pStyle w:val="a2"/>
              <w:spacing w:line="240" w:lineRule="auto"/>
              <w:ind w:left="-57" w:right="-57"/>
              <w:jc w:val="left"/>
              <w:rPr>
                <w:rFonts w:hint="eastAsia"/>
                <w:sz w:val="17"/>
              </w:rPr>
            </w:pPr>
            <w:r>
              <w:rPr>
                <w:rFonts w:hint="eastAsia"/>
                <w:spacing w:val="0"/>
                <w:sz w:val="17"/>
              </w:rPr>
              <w:t>共计</w:t>
            </w:r>
          </w:p>
        </w:tc>
        <w:tc>
          <w:tcPr>
            <w:tcW w:w="471" w:type="pct"/>
            <w:tcBorders>
              <w:top w:val="nil"/>
            </w:tcBorders>
          </w:tcPr>
          <w:p w:rsidR="00000000" w:rsidRDefault="00000000">
            <w:pPr>
              <w:pStyle w:val="a2"/>
              <w:spacing w:line="240" w:lineRule="auto"/>
              <w:ind w:right="113"/>
              <w:jc w:val="right"/>
              <w:rPr>
                <w:sz w:val="17"/>
              </w:rPr>
            </w:pPr>
            <w:r>
              <w:rPr>
                <w:sz w:val="17"/>
              </w:rPr>
              <w:t>134,274</w:t>
            </w:r>
          </w:p>
        </w:tc>
        <w:tc>
          <w:tcPr>
            <w:tcW w:w="420" w:type="pct"/>
            <w:tcBorders>
              <w:top w:val="nil"/>
            </w:tcBorders>
          </w:tcPr>
          <w:p w:rsidR="00000000" w:rsidRDefault="00000000">
            <w:pPr>
              <w:pStyle w:val="a2"/>
              <w:spacing w:line="240" w:lineRule="auto"/>
              <w:ind w:right="113"/>
              <w:jc w:val="right"/>
              <w:rPr>
                <w:sz w:val="17"/>
              </w:rPr>
            </w:pPr>
            <w:r>
              <w:rPr>
                <w:sz w:val="17"/>
              </w:rPr>
              <w:t>33,854</w:t>
            </w:r>
          </w:p>
        </w:tc>
        <w:tc>
          <w:tcPr>
            <w:tcW w:w="471" w:type="pct"/>
            <w:tcBorders>
              <w:top w:val="nil"/>
            </w:tcBorders>
          </w:tcPr>
          <w:p w:rsidR="00000000" w:rsidRDefault="00000000">
            <w:pPr>
              <w:pStyle w:val="a2"/>
              <w:spacing w:line="240" w:lineRule="auto"/>
              <w:ind w:right="113"/>
              <w:jc w:val="right"/>
              <w:rPr>
                <w:sz w:val="17"/>
              </w:rPr>
            </w:pPr>
            <w:r>
              <w:rPr>
                <w:sz w:val="17"/>
              </w:rPr>
              <w:t>168,128</w:t>
            </w:r>
          </w:p>
        </w:tc>
        <w:tc>
          <w:tcPr>
            <w:tcW w:w="550" w:type="pct"/>
            <w:tcBorders>
              <w:top w:val="nil"/>
            </w:tcBorders>
          </w:tcPr>
          <w:p w:rsidR="00000000" w:rsidRDefault="00000000">
            <w:pPr>
              <w:pStyle w:val="a2"/>
              <w:spacing w:line="240" w:lineRule="auto"/>
              <w:ind w:right="113"/>
              <w:jc w:val="right"/>
              <w:rPr>
                <w:sz w:val="17"/>
              </w:rPr>
            </w:pPr>
            <w:r>
              <w:rPr>
                <w:sz w:val="17"/>
              </w:rPr>
              <w:t>1,098,044</w:t>
            </w:r>
          </w:p>
        </w:tc>
        <w:tc>
          <w:tcPr>
            <w:tcW w:w="471" w:type="pct"/>
            <w:tcBorders>
              <w:top w:val="nil"/>
            </w:tcBorders>
          </w:tcPr>
          <w:p w:rsidR="00000000" w:rsidRDefault="00000000">
            <w:pPr>
              <w:pStyle w:val="a2"/>
              <w:spacing w:line="240" w:lineRule="auto"/>
              <w:ind w:right="113"/>
              <w:jc w:val="right"/>
              <w:rPr>
                <w:sz w:val="17"/>
              </w:rPr>
            </w:pPr>
            <w:r>
              <w:rPr>
                <w:sz w:val="17"/>
              </w:rPr>
              <w:t>784,901</w:t>
            </w:r>
          </w:p>
        </w:tc>
        <w:tc>
          <w:tcPr>
            <w:tcW w:w="550" w:type="pct"/>
            <w:tcBorders>
              <w:top w:val="nil"/>
            </w:tcBorders>
          </w:tcPr>
          <w:p w:rsidR="00000000" w:rsidRDefault="00000000">
            <w:pPr>
              <w:pStyle w:val="a2"/>
              <w:spacing w:line="240" w:lineRule="auto"/>
              <w:ind w:right="113"/>
              <w:jc w:val="right"/>
              <w:rPr>
                <w:sz w:val="17"/>
              </w:rPr>
            </w:pPr>
            <w:r>
              <w:rPr>
                <w:sz w:val="17"/>
              </w:rPr>
              <w:t>1,882,945</w:t>
            </w:r>
          </w:p>
        </w:tc>
        <w:tc>
          <w:tcPr>
            <w:tcW w:w="471" w:type="pct"/>
            <w:tcBorders>
              <w:top w:val="nil"/>
            </w:tcBorders>
          </w:tcPr>
          <w:p w:rsidR="00000000" w:rsidRDefault="00000000">
            <w:pPr>
              <w:pStyle w:val="a2"/>
              <w:spacing w:line="240" w:lineRule="auto"/>
              <w:ind w:right="113"/>
              <w:jc w:val="right"/>
              <w:rPr>
                <w:sz w:val="17"/>
              </w:rPr>
            </w:pPr>
            <w:r>
              <w:rPr>
                <w:sz w:val="17"/>
              </w:rPr>
              <w:t>418,126</w:t>
            </w:r>
          </w:p>
        </w:tc>
        <w:tc>
          <w:tcPr>
            <w:tcW w:w="420" w:type="pct"/>
            <w:tcBorders>
              <w:top w:val="nil"/>
            </w:tcBorders>
          </w:tcPr>
          <w:p w:rsidR="00000000" w:rsidRDefault="00000000">
            <w:pPr>
              <w:pStyle w:val="a2"/>
              <w:spacing w:line="240" w:lineRule="auto"/>
              <w:ind w:right="113"/>
              <w:jc w:val="right"/>
              <w:rPr>
                <w:sz w:val="17"/>
              </w:rPr>
            </w:pPr>
            <w:r>
              <w:rPr>
                <w:sz w:val="17"/>
              </w:rPr>
              <w:t>80,716</w:t>
            </w:r>
          </w:p>
        </w:tc>
        <w:tc>
          <w:tcPr>
            <w:tcW w:w="465" w:type="pct"/>
            <w:tcBorders>
              <w:top w:val="nil"/>
            </w:tcBorders>
          </w:tcPr>
          <w:p w:rsidR="00000000" w:rsidRDefault="00000000">
            <w:pPr>
              <w:pStyle w:val="a2"/>
              <w:spacing w:line="240" w:lineRule="auto"/>
              <w:ind w:right="113"/>
              <w:jc w:val="right"/>
              <w:rPr>
                <w:sz w:val="17"/>
              </w:rPr>
            </w:pPr>
            <w:r>
              <w:rPr>
                <w:sz w:val="17"/>
              </w:rPr>
              <w:t>498,842</w:t>
            </w:r>
          </w:p>
        </w:tc>
      </w:tr>
    </w:tbl>
    <w:p w:rsidR="00000000" w:rsidRDefault="00000000">
      <w:pPr>
        <w:pStyle w:val="FootnoteText"/>
        <w:spacing w:before="120"/>
        <w:rPr>
          <w:rFonts w:hint="eastAsia"/>
          <w:sz w:val="22"/>
        </w:rPr>
      </w:pPr>
      <w:r>
        <w:rPr>
          <w:rFonts w:hint="eastAsia"/>
          <w:sz w:val="22"/>
          <w:u w:val="single"/>
        </w:rPr>
        <w:t>资料来源</w:t>
      </w:r>
      <w:r>
        <w:rPr>
          <w:rFonts w:hint="eastAsia"/>
          <w:sz w:val="22"/>
        </w:rPr>
        <w:t>：《厄瓜多尔国家教育制度统计》。</w:t>
      </w:r>
    </w:p>
    <w:p w:rsidR="00000000" w:rsidRDefault="00000000">
      <w:pPr>
        <w:pStyle w:val="FootnoteText"/>
        <w:rPr>
          <w:rFonts w:hint="eastAsia"/>
          <w:sz w:val="22"/>
        </w:rPr>
      </w:pPr>
      <w:r>
        <w:rPr>
          <w:rFonts w:hint="eastAsia"/>
          <w:sz w:val="22"/>
          <w:u w:val="single"/>
        </w:rPr>
        <w:t>编制</w:t>
      </w:r>
      <w:r>
        <w:rPr>
          <w:rFonts w:hint="eastAsia"/>
          <w:sz w:val="22"/>
        </w:rPr>
        <w:t>：教育部和文化统计小组。</w:t>
      </w:r>
    </w:p>
    <w:p w:rsidR="00000000" w:rsidRDefault="00000000">
      <w:pPr>
        <w:pStyle w:val="Heading3"/>
        <w:spacing w:before="80" w:after="160"/>
        <w:rPr>
          <w:rFonts w:hint="eastAsia"/>
          <w:kern w:val="0"/>
        </w:rPr>
      </w:pPr>
      <w:r>
        <w:rPr>
          <w:rFonts w:hint="eastAsia"/>
          <w:kern w:val="0"/>
        </w:rPr>
        <w:t>正规学前教育学生升级情况</w:t>
      </w:r>
      <w:r>
        <w:rPr>
          <w:rFonts w:hint="eastAsia"/>
          <w:kern w:val="0"/>
        </w:rPr>
        <w:t>(</w:t>
      </w:r>
      <w:r>
        <w:rPr>
          <w:rFonts w:hint="eastAsia"/>
          <w:kern w:val="0"/>
        </w:rPr>
        <w:t>按地区、学年和性别分类</w:t>
      </w:r>
      <w:r>
        <w:rPr>
          <w:rFonts w:hint="eastAsia"/>
          <w:kern w:val="0"/>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0"/>
        <w:gridCol w:w="817"/>
        <w:gridCol w:w="1205"/>
        <w:gridCol w:w="1205"/>
        <w:gridCol w:w="1206"/>
        <w:gridCol w:w="1205"/>
        <w:gridCol w:w="1205"/>
        <w:gridCol w:w="1206"/>
      </w:tblGrid>
      <w:tr w:rsidR="00000000">
        <w:tblPrEx>
          <w:tblCellMar>
            <w:top w:w="0" w:type="dxa"/>
            <w:bottom w:w="0" w:type="dxa"/>
          </w:tblCellMar>
        </w:tblPrEx>
        <w:trPr>
          <w:cantSplit/>
        </w:trPr>
        <w:tc>
          <w:tcPr>
            <w:tcW w:w="1300" w:type="dxa"/>
            <w:vMerge w:val="restart"/>
            <w:vAlign w:val="center"/>
          </w:tcPr>
          <w:p w:rsidR="00000000" w:rsidRDefault="00000000">
            <w:pPr>
              <w:pStyle w:val="a2"/>
              <w:spacing w:before="60" w:line="240" w:lineRule="auto"/>
              <w:jc w:val="center"/>
              <w:rPr>
                <w:rFonts w:hint="eastAsia"/>
                <w:sz w:val="18"/>
              </w:rPr>
            </w:pPr>
            <w:r>
              <w:rPr>
                <w:rFonts w:hint="eastAsia"/>
                <w:sz w:val="18"/>
              </w:rPr>
              <w:t>学</w:t>
            </w:r>
            <w:r>
              <w:rPr>
                <w:rFonts w:hint="eastAsia"/>
                <w:sz w:val="18"/>
              </w:rPr>
              <w:t xml:space="preserve">  </w:t>
            </w:r>
            <w:r>
              <w:rPr>
                <w:rFonts w:hint="eastAsia"/>
                <w:sz w:val="18"/>
              </w:rPr>
              <w:t>年</w:t>
            </w:r>
          </w:p>
        </w:tc>
        <w:tc>
          <w:tcPr>
            <w:tcW w:w="8049" w:type="dxa"/>
            <w:gridSpan w:val="7"/>
            <w:vAlign w:val="center"/>
          </w:tcPr>
          <w:p w:rsidR="00000000" w:rsidRDefault="00000000">
            <w:pPr>
              <w:pStyle w:val="a2"/>
              <w:spacing w:before="60" w:line="240" w:lineRule="auto"/>
              <w:jc w:val="center"/>
              <w:rPr>
                <w:rFonts w:hint="eastAsia"/>
                <w:sz w:val="18"/>
              </w:rPr>
            </w:pPr>
            <w:r>
              <w:rPr>
                <w:rFonts w:hint="eastAsia"/>
                <w:sz w:val="18"/>
              </w:rPr>
              <w:t>学前教育</w:t>
            </w:r>
          </w:p>
        </w:tc>
      </w:tr>
      <w:tr w:rsidR="00000000">
        <w:tblPrEx>
          <w:tblCellMar>
            <w:top w:w="0" w:type="dxa"/>
            <w:bottom w:w="0" w:type="dxa"/>
          </w:tblCellMar>
        </w:tblPrEx>
        <w:trPr>
          <w:cantSplit/>
          <w:trHeight w:val="539"/>
        </w:trPr>
        <w:tc>
          <w:tcPr>
            <w:tcW w:w="1300" w:type="dxa"/>
            <w:vMerge/>
            <w:tcBorders>
              <w:bottom w:val="single" w:sz="4" w:space="0" w:color="auto"/>
            </w:tcBorders>
            <w:vAlign w:val="center"/>
          </w:tcPr>
          <w:p w:rsidR="00000000" w:rsidRDefault="00000000">
            <w:pPr>
              <w:pStyle w:val="a2"/>
              <w:spacing w:before="60" w:line="240" w:lineRule="auto"/>
              <w:jc w:val="center"/>
              <w:rPr>
                <w:sz w:val="18"/>
                <w:u w:val="single"/>
              </w:rPr>
            </w:pPr>
          </w:p>
        </w:tc>
        <w:tc>
          <w:tcPr>
            <w:tcW w:w="817" w:type="dxa"/>
            <w:tcBorders>
              <w:bottom w:val="single" w:sz="4" w:space="0" w:color="auto"/>
            </w:tcBorders>
            <w:vAlign w:val="center"/>
          </w:tcPr>
          <w:p w:rsidR="00000000" w:rsidRDefault="00000000">
            <w:pPr>
              <w:pStyle w:val="a2"/>
              <w:spacing w:before="60" w:line="240" w:lineRule="auto"/>
              <w:jc w:val="center"/>
              <w:rPr>
                <w:rFonts w:hint="eastAsia"/>
                <w:sz w:val="18"/>
              </w:rPr>
            </w:pPr>
            <w:r>
              <w:rPr>
                <w:rFonts w:hint="eastAsia"/>
                <w:sz w:val="18"/>
              </w:rPr>
              <w:t>性别</w:t>
            </w:r>
          </w:p>
        </w:tc>
        <w:tc>
          <w:tcPr>
            <w:tcW w:w="1205" w:type="dxa"/>
            <w:tcBorders>
              <w:bottom w:val="single" w:sz="4" w:space="0" w:color="auto"/>
            </w:tcBorders>
            <w:vAlign w:val="center"/>
          </w:tcPr>
          <w:p w:rsidR="00000000" w:rsidRDefault="00000000">
            <w:pPr>
              <w:pStyle w:val="a2"/>
              <w:spacing w:before="60" w:line="240" w:lineRule="auto"/>
              <w:jc w:val="center"/>
              <w:rPr>
                <w:rFonts w:hint="eastAsia"/>
                <w:sz w:val="18"/>
              </w:rPr>
            </w:pPr>
            <w:r>
              <w:rPr>
                <w:rFonts w:hint="eastAsia"/>
                <w:sz w:val="18"/>
              </w:rPr>
              <w:t>城市注册</w:t>
            </w:r>
            <w:r>
              <w:rPr>
                <w:sz w:val="18"/>
              </w:rPr>
              <w:br/>
            </w:r>
            <w:r>
              <w:rPr>
                <w:rFonts w:hint="eastAsia"/>
                <w:sz w:val="18"/>
              </w:rPr>
              <w:t>净数</w:t>
            </w:r>
          </w:p>
        </w:tc>
        <w:tc>
          <w:tcPr>
            <w:tcW w:w="1205" w:type="dxa"/>
            <w:tcBorders>
              <w:bottom w:val="single" w:sz="4" w:space="0" w:color="auto"/>
            </w:tcBorders>
            <w:vAlign w:val="center"/>
          </w:tcPr>
          <w:p w:rsidR="00000000" w:rsidRDefault="00000000">
            <w:pPr>
              <w:pStyle w:val="a2"/>
              <w:spacing w:before="60" w:line="240" w:lineRule="auto"/>
              <w:jc w:val="center"/>
              <w:rPr>
                <w:rFonts w:hint="eastAsia"/>
                <w:sz w:val="18"/>
              </w:rPr>
            </w:pPr>
            <w:r>
              <w:rPr>
                <w:rFonts w:hint="eastAsia"/>
                <w:sz w:val="18"/>
              </w:rPr>
              <w:t>升级人数</w:t>
            </w:r>
          </w:p>
          <w:p w:rsidR="00000000" w:rsidRDefault="00000000">
            <w:pPr>
              <w:pStyle w:val="a2"/>
              <w:spacing w:before="60" w:line="240" w:lineRule="auto"/>
              <w:jc w:val="center"/>
              <w:rPr>
                <w:sz w:val="18"/>
                <w:u w:val="single"/>
              </w:rPr>
            </w:pPr>
            <w:r>
              <w:rPr>
                <w:rFonts w:hint="eastAsia"/>
                <w:sz w:val="18"/>
              </w:rPr>
              <w:t>(</w:t>
            </w:r>
            <w:r>
              <w:rPr>
                <w:rFonts w:hint="eastAsia"/>
                <w:sz w:val="18"/>
              </w:rPr>
              <w:t>城市</w:t>
            </w:r>
            <w:r>
              <w:rPr>
                <w:rFonts w:hint="eastAsia"/>
                <w:sz w:val="18"/>
              </w:rPr>
              <w:t>)*</w:t>
            </w:r>
          </w:p>
        </w:tc>
        <w:tc>
          <w:tcPr>
            <w:tcW w:w="1206" w:type="dxa"/>
            <w:tcBorders>
              <w:bottom w:val="single" w:sz="4" w:space="0" w:color="auto"/>
            </w:tcBorders>
            <w:vAlign w:val="center"/>
          </w:tcPr>
          <w:p w:rsidR="00000000" w:rsidRDefault="00000000">
            <w:pPr>
              <w:pStyle w:val="a2"/>
              <w:spacing w:before="60" w:line="240" w:lineRule="auto"/>
              <w:jc w:val="center"/>
              <w:rPr>
                <w:rFonts w:hint="eastAsia"/>
                <w:sz w:val="18"/>
              </w:rPr>
            </w:pPr>
            <w:r>
              <w:rPr>
                <w:rFonts w:hint="eastAsia"/>
                <w:sz w:val="18"/>
              </w:rPr>
              <w:t>百分比</w:t>
            </w:r>
          </w:p>
        </w:tc>
        <w:tc>
          <w:tcPr>
            <w:tcW w:w="1205" w:type="dxa"/>
            <w:tcBorders>
              <w:bottom w:val="single" w:sz="4" w:space="0" w:color="auto"/>
            </w:tcBorders>
            <w:vAlign w:val="center"/>
          </w:tcPr>
          <w:p w:rsidR="00000000" w:rsidRDefault="00000000">
            <w:pPr>
              <w:pStyle w:val="a2"/>
              <w:spacing w:before="60" w:line="240" w:lineRule="auto"/>
              <w:jc w:val="center"/>
              <w:rPr>
                <w:rFonts w:hint="eastAsia"/>
                <w:sz w:val="18"/>
              </w:rPr>
            </w:pPr>
            <w:r>
              <w:rPr>
                <w:rFonts w:hint="eastAsia"/>
                <w:sz w:val="18"/>
              </w:rPr>
              <w:t>乡村注册</w:t>
            </w:r>
            <w:r>
              <w:rPr>
                <w:sz w:val="18"/>
              </w:rPr>
              <w:br/>
            </w:r>
            <w:r>
              <w:rPr>
                <w:rFonts w:hint="eastAsia"/>
                <w:sz w:val="18"/>
              </w:rPr>
              <w:t>净数</w:t>
            </w:r>
          </w:p>
        </w:tc>
        <w:tc>
          <w:tcPr>
            <w:tcW w:w="1205" w:type="dxa"/>
            <w:tcBorders>
              <w:bottom w:val="single" w:sz="4" w:space="0" w:color="auto"/>
            </w:tcBorders>
            <w:vAlign w:val="center"/>
          </w:tcPr>
          <w:p w:rsidR="00000000" w:rsidRDefault="00000000">
            <w:pPr>
              <w:pStyle w:val="a2"/>
              <w:spacing w:before="60" w:line="240" w:lineRule="auto"/>
              <w:jc w:val="center"/>
              <w:rPr>
                <w:rFonts w:hint="eastAsia"/>
                <w:sz w:val="18"/>
              </w:rPr>
            </w:pPr>
            <w:r>
              <w:rPr>
                <w:rFonts w:hint="eastAsia"/>
                <w:sz w:val="18"/>
              </w:rPr>
              <w:t>升级人数</w:t>
            </w:r>
          </w:p>
          <w:p w:rsidR="00000000" w:rsidRDefault="00000000">
            <w:pPr>
              <w:pStyle w:val="a2"/>
              <w:spacing w:before="60" w:line="240" w:lineRule="auto"/>
              <w:jc w:val="center"/>
              <w:rPr>
                <w:rFonts w:hint="eastAsia"/>
                <w:sz w:val="18"/>
                <w:u w:val="single"/>
              </w:rPr>
            </w:pPr>
            <w:r>
              <w:rPr>
                <w:rFonts w:hint="eastAsia"/>
                <w:sz w:val="18"/>
              </w:rPr>
              <w:t>(</w:t>
            </w:r>
            <w:r>
              <w:rPr>
                <w:rFonts w:hint="eastAsia"/>
                <w:sz w:val="18"/>
              </w:rPr>
              <w:t>乡村</w:t>
            </w:r>
            <w:r>
              <w:rPr>
                <w:rFonts w:hint="eastAsia"/>
                <w:sz w:val="18"/>
              </w:rPr>
              <w:t>)*</w:t>
            </w:r>
          </w:p>
        </w:tc>
        <w:tc>
          <w:tcPr>
            <w:tcW w:w="1206" w:type="dxa"/>
            <w:tcBorders>
              <w:bottom w:val="single" w:sz="4" w:space="0" w:color="auto"/>
            </w:tcBorders>
            <w:vAlign w:val="center"/>
          </w:tcPr>
          <w:p w:rsidR="00000000" w:rsidRDefault="00000000">
            <w:pPr>
              <w:pStyle w:val="a2"/>
              <w:spacing w:before="60" w:line="240" w:lineRule="auto"/>
              <w:jc w:val="center"/>
              <w:rPr>
                <w:rFonts w:hint="eastAsia"/>
                <w:sz w:val="18"/>
              </w:rPr>
            </w:pPr>
            <w:r>
              <w:rPr>
                <w:rFonts w:hint="eastAsia"/>
                <w:sz w:val="18"/>
              </w:rPr>
              <w:t>百分比</w:t>
            </w:r>
          </w:p>
        </w:tc>
      </w:tr>
      <w:tr w:rsidR="00000000">
        <w:tblPrEx>
          <w:tblCellMar>
            <w:top w:w="0" w:type="dxa"/>
            <w:bottom w:w="0" w:type="dxa"/>
          </w:tblCellMar>
        </w:tblPrEx>
        <w:trPr>
          <w:cantSplit/>
        </w:trPr>
        <w:tc>
          <w:tcPr>
            <w:tcW w:w="1300" w:type="dxa"/>
            <w:vMerge w:val="restart"/>
          </w:tcPr>
          <w:p w:rsidR="00000000" w:rsidRDefault="00000000">
            <w:pPr>
              <w:pStyle w:val="a2"/>
              <w:spacing w:line="240" w:lineRule="auto"/>
              <w:rPr>
                <w:rFonts w:hint="eastAsia"/>
                <w:sz w:val="18"/>
              </w:rPr>
            </w:pPr>
            <w:r>
              <w:rPr>
                <w:sz w:val="18"/>
              </w:rPr>
              <w:t>1993-1994</w:t>
            </w:r>
            <w:r>
              <w:rPr>
                <w:rFonts w:hint="eastAsia"/>
                <w:sz w:val="18"/>
              </w:rPr>
              <w:t>年</w:t>
            </w:r>
          </w:p>
        </w:tc>
        <w:tc>
          <w:tcPr>
            <w:tcW w:w="817" w:type="dxa"/>
            <w:tcBorders>
              <w:bottom w:val="nil"/>
            </w:tcBorders>
          </w:tcPr>
          <w:p w:rsidR="00000000" w:rsidRDefault="00000000">
            <w:pPr>
              <w:pStyle w:val="a2"/>
              <w:spacing w:line="240" w:lineRule="auto"/>
              <w:rPr>
                <w:rFonts w:hint="eastAsia"/>
                <w:sz w:val="18"/>
              </w:rPr>
            </w:pPr>
            <w:r>
              <w:rPr>
                <w:rFonts w:hint="eastAsia"/>
                <w:sz w:val="18"/>
              </w:rPr>
              <w:t>男</w:t>
            </w:r>
          </w:p>
        </w:tc>
        <w:tc>
          <w:tcPr>
            <w:tcW w:w="1205" w:type="dxa"/>
            <w:tcBorders>
              <w:bottom w:val="nil"/>
            </w:tcBorders>
          </w:tcPr>
          <w:p w:rsidR="00000000" w:rsidRDefault="00000000">
            <w:pPr>
              <w:pStyle w:val="a2"/>
              <w:spacing w:line="240" w:lineRule="auto"/>
              <w:ind w:right="113"/>
              <w:jc w:val="right"/>
              <w:rPr>
                <w:sz w:val="18"/>
              </w:rPr>
            </w:pPr>
            <w:r>
              <w:rPr>
                <w:sz w:val="18"/>
              </w:rPr>
              <w:t>50,854</w:t>
            </w:r>
          </w:p>
        </w:tc>
        <w:tc>
          <w:tcPr>
            <w:tcW w:w="1205" w:type="dxa"/>
            <w:tcBorders>
              <w:bottom w:val="nil"/>
            </w:tcBorders>
          </w:tcPr>
          <w:p w:rsidR="00000000" w:rsidRDefault="00000000">
            <w:pPr>
              <w:pStyle w:val="a2"/>
              <w:spacing w:line="240" w:lineRule="auto"/>
              <w:ind w:right="113"/>
              <w:jc w:val="right"/>
              <w:rPr>
                <w:sz w:val="18"/>
              </w:rPr>
            </w:pPr>
            <w:r>
              <w:rPr>
                <w:sz w:val="18"/>
              </w:rPr>
              <w:t>48,366</w:t>
            </w:r>
          </w:p>
        </w:tc>
        <w:tc>
          <w:tcPr>
            <w:tcW w:w="1206" w:type="dxa"/>
            <w:tcBorders>
              <w:bottom w:val="nil"/>
            </w:tcBorders>
          </w:tcPr>
          <w:p w:rsidR="00000000" w:rsidRDefault="00000000">
            <w:pPr>
              <w:pStyle w:val="a2"/>
              <w:spacing w:line="240" w:lineRule="auto"/>
              <w:ind w:right="113"/>
              <w:jc w:val="right"/>
              <w:rPr>
                <w:sz w:val="18"/>
              </w:rPr>
            </w:pPr>
            <w:r>
              <w:rPr>
                <w:sz w:val="18"/>
              </w:rPr>
              <w:t>95.11</w:t>
            </w:r>
          </w:p>
        </w:tc>
        <w:tc>
          <w:tcPr>
            <w:tcW w:w="1205" w:type="dxa"/>
            <w:tcBorders>
              <w:bottom w:val="nil"/>
            </w:tcBorders>
          </w:tcPr>
          <w:p w:rsidR="00000000" w:rsidRDefault="00000000">
            <w:pPr>
              <w:pStyle w:val="a2"/>
              <w:spacing w:line="240" w:lineRule="auto"/>
              <w:ind w:right="113"/>
              <w:jc w:val="right"/>
              <w:rPr>
                <w:sz w:val="18"/>
              </w:rPr>
            </w:pPr>
            <w:r>
              <w:rPr>
                <w:sz w:val="18"/>
              </w:rPr>
              <w:t>11,222</w:t>
            </w:r>
          </w:p>
        </w:tc>
        <w:tc>
          <w:tcPr>
            <w:tcW w:w="1205" w:type="dxa"/>
            <w:tcBorders>
              <w:bottom w:val="nil"/>
            </w:tcBorders>
          </w:tcPr>
          <w:p w:rsidR="00000000" w:rsidRDefault="00000000">
            <w:pPr>
              <w:pStyle w:val="a2"/>
              <w:spacing w:line="240" w:lineRule="auto"/>
              <w:ind w:right="113"/>
              <w:jc w:val="right"/>
              <w:rPr>
                <w:sz w:val="18"/>
              </w:rPr>
            </w:pPr>
            <w:r>
              <w:rPr>
                <w:sz w:val="18"/>
              </w:rPr>
              <w:t>10,562</w:t>
            </w:r>
          </w:p>
        </w:tc>
        <w:tc>
          <w:tcPr>
            <w:tcW w:w="1206" w:type="dxa"/>
            <w:tcBorders>
              <w:bottom w:val="nil"/>
            </w:tcBorders>
          </w:tcPr>
          <w:p w:rsidR="00000000" w:rsidRDefault="00000000">
            <w:pPr>
              <w:pStyle w:val="a2"/>
              <w:spacing w:line="240" w:lineRule="auto"/>
              <w:ind w:right="113"/>
              <w:jc w:val="right"/>
              <w:rPr>
                <w:sz w:val="18"/>
              </w:rPr>
            </w:pPr>
            <w:r>
              <w:rPr>
                <w:sz w:val="18"/>
              </w:rPr>
              <w:t>94.12</w:t>
            </w:r>
          </w:p>
        </w:tc>
      </w:tr>
      <w:tr w:rsidR="00000000">
        <w:tblPrEx>
          <w:tblCellMar>
            <w:top w:w="0" w:type="dxa"/>
            <w:bottom w:w="0" w:type="dxa"/>
          </w:tblCellMar>
        </w:tblPrEx>
        <w:trPr>
          <w:cantSplit/>
        </w:trPr>
        <w:tc>
          <w:tcPr>
            <w:tcW w:w="1300" w:type="dxa"/>
            <w:vMerge/>
            <w:tcBorders>
              <w:top w:val="nil"/>
            </w:tcBorders>
          </w:tcPr>
          <w:p w:rsidR="00000000" w:rsidRDefault="00000000">
            <w:pPr>
              <w:pStyle w:val="a2"/>
              <w:spacing w:line="240" w:lineRule="auto"/>
              <w:rPr>
                <w:sz w:val="18"/>
              </w:rPr>
            </w:pPr>
          </w:p>
        </w:tc>
        <w:tc>
          <w:tcPr>
            <w:tcW w:w="817"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205" w:type="dxa"/>
            <w:tcBorders>
              <w:top w:val="nil"/>
              <w:bottom w:val="nil"/>
            </w:tcBorders>
          </w:tcPr>
          <w:p w:rsidR="00000000" w:rsidRDefault="00000000">
            <w:pPr>
              <w:pStyle w:val="a2"/>
              <w:spacing w:line="240" w:lineRule="auto"/>
              <w:ind w:right="113"/>
              <w:jc w:val="right"/>
              <w:rPr>
                <w:sz w:val="18"/>
              </w:rPr>
            </w:pPr>
            <w:r>
              <w:rPr>
                <w:sz w:val="18"/>
              </w:rPr>
              <w:t>51,079</w:t>
            </w:r>
          </w:p>
        </w:tc>
        <w:tc>
          <w:tcPr>
            <w:tcW w:w="1205" w:type="dxa"/>
            <w:tcBorders>
              <w:top w:val="nil"/>
              <w:bottom w:val="nil"/>
            </w:tcBorders>
          </w:tcPr>
          <w:p w:rsidR="00000000" w:rsidRDefault="00000000">
            <w:pPr>
              <w:pStyle w:val="a2"/>
              <w:spacing w:line="240" w:lineRule="auto"/>
              <w:ind w:right="113"/>
              <w:jc w:val="right"/>
              <w:rPr>
                <w:sz w:val="18"/>
              </w:rPr>
            </w:pPr>
            <w:r>
              <w:rPr>
                <w:sz w:val="18"/>
              </w:rPr>
              <w:t>48,681</w:t>
            </w:r>
          </w:p>
        </w:tc>
        <w:tc>
          <w:tcPr>
            <w:tcW w:w="1206" w:type="dxa"/>
            <w:tcBorders>
              <w:top w:val="nil"/>
              <w:bottom w:val="nil"/>
            </w:tcBorders>
          </w:tcPr>
          <w:p w:rsidR="00000000" w:rsidRDefault="00000000">
            <w:pPr>
              <w:pStyle w:val="a2"/>
              <w:spacing w:line="240" w:lineRule="auto"/>
              <w:ind w:right="113"/>
              <w:jc w:val="right"/>
              <w:rPr>
                <w:sz w:val="18"/>
              </w:rPr>
            </w:pPr>
            <w:r>
              <w:rPr>
                <w:sz w:val="18"/>
              </w:rPr>
              <w:t>95.31</w:t>
            </w:r>
          </w:p>
        </w:tc>
        <w:tc>
          <w:tcPr>
            <w:tcW w:w="1205" w:type="dxa"/>
            <w:tcBorders>
              <w:top w:val="nil"/>
              <w:bottom w:val="nil"/>
            </w:tcBorders>
          </w:tcPr>
          <w:p w:rsidR="00000000" w:rsidRDefault="00000000">
            <w:pPr>
              <w:pStyle w:val="a2"/>
              <w:spacing w:line="240" w:lineRule="auto"/>
              <w:ind w:right="113"/>
              <w:jc w:val="right"/>
              <w:rPr>
                <w:sz w:val="18"/>
              </w:rPr>
            </w:pPr>
            <w:r>
              <w:rPr>
                <w:sz w:val="18"/>
              </w:rPr>
              <w:t>11,281</w:t>
            </w:r>
          </w:p>
        </w:tc>
        <w:tc>
          <w:tcPr>
            <w:tcW w:w="1205" w:type="dxa"/>
            <w:tcBorders>
              <w:top w:val="nil"/>
              <w:bottom w:val="nil"/>
            </w:tcBorders>
          </w:tcPr>
          <w:p w:rsidR="00000000" w:rsidRDefault="00000000">
            <w:pPr>
              <w:pStyle w:val="a2"/>
              <w:spacing w:line="240" w:lineRule="auto"/>
              <w:ind w:right="113"/>
              <w:jc w:val="right"/>
              <w:rPr>
                <w:sz w:val="18"/>
              </w:rPr>
            </w:pPr>
            <w:r>
              <w:rPr>
                <w:sz w:val="18"/>
              </w:rPr>
              <w:t>10,637</w:t>
            </w:r>
          </w:p>
        </w:tc>
        <w:tc>
          <w:tcPr>
            <w:tcW w:w="1206" w:type="dxa"/>
            <w:tcBorders>
              <w:top w:val="nil"/>
              <w:bottom w:val="nil"/>
            </w:tcBorders>
          </w:tcPr>
          <w:p w:rsidR="00000000" w:rsidRDefault="00000000">
            <w:pPr>
              <w:pStyle w:val="a2"/>
              <w:spacing w:line="240" w:lineRule="auto"/>
              <w:ind w:right="113"/>
              <w:jc w:val="right"/>
              <w:rPr>
                <w:sz w:val="18"/>
              </w:rPr>
            </w:pPr>
            <w:r>
              <w:rPr>
                <w:sz w:val="18"/>
              </w:rPr>
              <w:t>94.29</w:t>
            </w:r>
          </w:p>
        </w:tc>
      </w:tr>
      <w:tr w:rsidR="00000000">
        <w:tblPrEx>
          <w:tblCellMar>
            <w:top w:w="0" w:type="dxa"/>
            <w:bottom w:w="0" w:type="dxa"/>
          </w:tblCellMar>
        </w:tblPrEx>
        <w:trPr>
          <w:cantSplit/>
        </w:trPr>
        <w:tc>
          <w:tcPr>
            <w:tcW w:w="1300" w:type="dxa"/>
            <w:vMerge/>
            <w:tcBorders>
              <w:top w:val="nil"/>
              <w:bottom w:val="single" w:sz="4" w:space="0" w:color="auto"/>
            </w:tcBorders>
          </w:tcPr>
          <w:p w:rsidR="00000000" w:rsidRDefault="00000000">
            <w:pPr>
              <w:pStyle w:val="a2"/>
              <w:spacing w:line="240" w:lineRule="auto"/>
              <w:rPr>
                <w:sz w:val="18"/>
              </w:rPr>
            </w:pPr>
          </w:p>
        </w:tc>
        <w:tc>
          <w:tcPr>
            <w:tcW w:w="817" w:type="dxa"/>
            <w:tcBorders>
              <w:top w:val="nil"/>
              <w:bottom w:val="single" w:sz="4" w:space="0" w:color="auto"/>
            </w:tcBorders>
          </w:tcPr>
          <w:p w:rsidR="00000000" w:rsidRDefault="00000000">
            <w:pPr>
              <w:pStyle w:val="a2"/>
              <w:spacing w:line="240" w:lineRule="auto"/>
              <w:rPr>
                <w:rFonts w:hint="eastAsia"/>
                <w:sz w:val="18"/>
              </w:rPr>
            </w:pPr>
            <w:r>
              <w:rPr>
                <w:rFonts w:hint="eastAsia"/>
                <w:sz w:val="17"/>
              </w:rPr>
              <w:t>共计</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101,933</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97,047</w:t>
            </w:r>
          </w:p>
        </w:tc>
        <w:tc>
          <w:tcPr>
            <w:tcW w:w="1206" w:type="dxa"/>
            <w:tcBorders>
              <w:top w:val="nil"/>
              <w:bottom w:val="single" w:sz="4" w:space="0" w:color="auto"/>
            </w:tcBorders>
          </w:tcPr>
          <w:p w:rsidR="00000000" w:rsidRDefault="00000000">
            <w:pPr>
              <w:pStyle w:val="a2"/>
              <w:spacing w:line="240" w:lineRule="auto"/>
              <w:ind w:right="113"/>
              <w:jc w:val="right"/>
              <w:rPr>
                <w:sz w:val="18"/>
              </w:rPr>
            </w:pPr>
            <w:r>
              <w:rPr>
                <w:sz w:val="18"/>
              </w:rPr>
              <w:t>95.21</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22,503</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21,199</w:t>
            </w:r>
          </w:p>
        </w:tc>
        <w:tc>
          <w:tcPr>
            <w:tcW w:w="1206" w:type="dxa"/>
            <w:tcBorders>
              <w:top w:val="nil"/>
              <w:bottom w:val="single" w:sz="4" w:space="0" w:color="auto"/>
            </w:tcBorders>
          </w:tcPr>
          <w:p w:rsidR="00000000" w:rsidRDefault="00000000">
            <w:pPr>
              <w:pStyle w:val="a2"/>
              <w:spacing w:line="240" w:lineRule="auto"/>
              <w:ind w:right="113"/>
              <w:jc w:val="right"/>
              <w:rPr>
                <w:sz w:val="18"/>
              </w:rPr>
            </w:pPr>
            <w:r>
              <w:rPr>
                <w:sz w:val="18"/>
              </w:rPr>
              <w:t>94.21</w:t>
            </w:r>
          </w:p>
        </w:tc>
      </w:tr>
      <w:tr w:rsidR="00000000">
        <w:tblPrEx>
          <w:tblCellMar>
            <w:top w:w="0" w:type="dxa"/>
            <w:bottom w:w="0" w:type="dxa"/>
          </w:tblCellMar>
        </w:tblPrEx>
        <w:trPr>
          <w:cantSplit/>
        </w:trPr>
        <w:tc>
          <w:tcPr>
            <w:tcW w:w="1300"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1994-1995</w:t>
            </w:r>
            <w:r>
              <w:rPr>
                <w:rFonts w:hint="eastAsia"/>
                <w:sz w:val="18"/>
              </w:rPr>
              <w:t>年</w:t>
            </w:r>
          </w:p>
        </w:tc>
        <w:tc>
          <w:tcPr>
            <w:tcW w:w="817"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55,843</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53,487</w:t>
            </w:r>
          </w:p>
        </w:tc>
        <w:tc>
          <w:tcPr>
            <w:tcW w:w="1206" w:type="dxa"/>
            <w:tcBorders>
              <w:top w:val="single" w:sz="4" w:space="0" w:color="auto"/>
              <w:bottom w:val="nil"/>
            </w:tcBorders>
          </w:tcPr>
          <w:p w:rsidR="00000000" w:rsidRDefault="00000000">
            <w:pPr>
              <w:pStyle w:val="a2"/>
              <w:spacing w:line="240" w:lineRule="auto"/>
              <w:ind w:right="113"/>
              <w:jc w:val="right"/>
              <w:rPr>
                <w:sz w:val="18"/>
              </w:rPr>
            </w:pPr>
            <w:r>
              <w:rPr>
                <w:sz w:val="18"/>
              </w:rPr>
              <w:t>95.78</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12,866</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12,259</w:t>
            </w:r>
          </w:p>
        </w:tc>
        <w:tc>
          <w:tcPr>
            <w:tcW w:w="1206" w:type="dxa"/>
            <w:tcBorders>
              <w:top w:val="single" w:sz="4" w:space="0" w:color="auto"/>
              <w:bottom w:val="nil"/>
            </w:tcBorders>
          </w:tcPr>
          <w:p w:rsidR="00000000" w:rsidRDefault="00000000">
            <w:pPr>
              <w:pStyle w:val="a2"/>
              <w:spacing w:line="240" w:lineRule="auto"/>
              <w:ind w:right="113"/>
              <w:jc w:val="right"/>
              <w:rPr>
                <w:sz w:val="18"/>
              </w:rPr>
            </w:pPr>
            <w:r>
              <w:rPr>
                <w:sz w:val="18"/>
              </w:rPr>
              <w:t>95.28</w:t>
            </w:r>
          </w:p>
        </w:tc>
      </w:tr>
      <w:tr w:rsidR="00000000">
        <w:tblPrEx>
          <w:tblCellMar>
            <w:top w:w="0" w:type="dxa"/>
            <w:bottom w:w="0" w:type="dxa"/>
          </w:tblCellMar>
        </w:tblPrEx>
        <w:trPr>
          <w:cantSplit/>
        </w:trPr>
        <w:tc>
          <w:tcPr>
            <w:tcW w:w="1300" w:type="dxa"/>
            <w:vMerge/>
            <w:tcBorders>
              <w:top w:val="single" w:sz="4" w:space="0" w:color="auto"/>
              <w:bottom w:val="nil"/>
            </w:tcBorders>
          </w:tcPr>
          <w:p w:rsidR="00000000" w:rsidRDefault="00000000">
            <w:pPr>
              <w:pStyle w:val="a2"/>
              <w:spacing w:line="240" w:lineRule="auto"/>
              <w:rPr>
                <w:sz w:val="18"/>
              </w:rPr>
            </w:pPr>
          </w:p>
        </w:tc>
        <w:tc>
          <w:tcPr>
            <w:tcW w:w="817"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205" w:type="dxa"/>
            <w:tcBorders>
              <w:top w:val="nil"/>
              <w:bottom w:val="nil"/>
            </w:tcBorders>
          </w:tcPr>
          <w:p w:rsidR="00000000" w:rsidRDefault="00000000">
            <w:pPr>
              <w:pStyle w:val="a2"/>
              <w:spacing w:line="240" w:lineRule="auto"/>
              <w:ind w:right="113"/>
              <w:jc w:val="right"/>
              <w:rPr>
                <w:sz w:val="18"/>
              </w:rPr>
            </w:pPr>
            <w:r>
              <w:rPr>
                <w:sz w:val="18"/>
              </w:rPr>
              <w:t>54,711</w:t>
            </w:r>
          </w:p>
        </w:tc>
        <w:tc>
          <w:tcPr>
            <w:tcW w:w="1205" w:type="dxa"/>
            <w:tcBorders>
              <w:top w:val="nil"/>
              <w:bottom w:val="nil"/>
            </w:tcBorders>
          </w:tcPr>
          <w:p w:rsidR="00000000" w:rsidRDefault="00000000">
            <w:pPr>
              <w:pStyle w:val="a2"/>
              <w:spacing w:line="240" w:lineRule="auto"/>
              <w:ind w:right="113"/>
              <w:jc w:val="right"/>
              <w:rPr>
                <w:sz w:val="18"/>
              </w:rPr>
            </w:pPr>
            <w:r>
              <w:rPr>
                <w:sz w:val="18"/>
              </w:rPr>
              <w:t>52,348</w:t>
            </w:r>
          </w:p>
        </w:tc>
        <w:tc>
          <w:tcPr>
            <w:tcW w:w="1206" w:type="dxa"/>
            <w:tcBorders>
              <w:top w:val="nil"/>
              <w:bottom w:val="nil"/>
            </w:tcBorders>
          </w:tcPr>
          <w:p w:rsidR="00000000" w:rsidRDefault="00000000">
            <w:pPr>
              <w:pStyle w:val="a2"/>
              <w:spacing w:line="240" w:lineRule="auto"/>
              <w:ind w:right="113"/>
              <w:jc w:val="right"/>
              <w:rPr>
                <w:sz w:val="18"/>
              </w:rPr>
            </w:pPr>
            <w:r>
              <w:rPr>
                <w:sz w:val="18"/>
              </w:rPr>
              <w:t>95.68</w:t>
            </w:r>
          </w:p>
        </w:tc>
        <w:tc>
          <w:tcPr>
            <w:tcW w:w="1205" w:type="dxa"/>
            <w:tcBorders>
              <w:top w:val="nil"/>
              <w:bottom w:val="nil"/>
            </w:tcBorders>
          </w:tcPr>
          <w:p w:rsidR="00000000" w:rsidRDefault="00000000">
            <w:pPr>
              <w:pStyle w:val="a2"/>
              <w:spacing w:line="240" w:lineRule="auto"/>
              <w:ind w:right="113"/>
              <w:jc w:val="right"/>
              <w:rPr>
                <w:sz w:val="18"/>
              </w:rPr>
            </w:pPr>
            <w:r>
              <w:rPr>
                <w:sz w:val="18"/>
              </w:rPr>
              <w:t>12,738</w:t>
            </w:r>
          </w:p>
        </w:tc>
        <w:tc>
          <w:tcPr>
            <w:tcW w:w="1205" w:type="dxa"/>
            <w:tcBorders>
              <w:top w:val="nil"/>
              <w:bottom w:val="nil"/>
            </w:tcBorders>
          </w:tcPr>
          <w:p w:rsidR="00000000" w:rsidRDefault="00000000">
            <w:pPr>
              <w:pStyle w:val="a2"/>
              <w:spacing w:line="240" w:lineRule="auto"/>
              <w:ind w:right="113"/>
              <w:jc w:val="right"/>
              <w:rPr>
                <w:sz w:val="18"/>
              </w:rPr>
            </w:pPr>
            <w:r>
              <w:rPr>
                <w:sz w:val="18"/>
              </w:rPr>
              <w:t>12,183</w:t>
            </w:r>
          </w:p>
        </w:tc>
        <w:tc>
          <w:tcPr>
            <w:tcW w:w="1206" w:type="dxa"/>
            <w:tcBorders>
              <w:top w:val="nil"/>
              <w:bottom w:val="nil"/>
            </w:tcBorders>
          </w:tcPr>
          <w:p w:rsidR="00000000" w:rsidRDefault="00000000">
            <w:pPr>
              <w:pStyle w:val="a2"/>
              <w:spacing w:line="240" w:lineRule="auto"/>
              <w:ind w:right="113"/>
              <w:jc w:val="right"/>
              <w:rPr>
                <w:sz w:val="18"/>
              </w:rPr>
            </w:pPr>
            <w:r>
              <w:rPr>
                <w:sz w:val="18"/>
              </w:rPr>
              <w:t>95.64</w:t>
            </w:r>
          </w:p>
        </w:tc>
      </w:tr>
      <w:tr w:rsidR="00000000">
        <w:tblPrEx>
          <w:tblCellMar>
            <w:top w:w="0" w:type="dxa"/>
            <w:bottom w:w="0" w:type="dxa"/>
          </w:tblCellMar>
        </w:tblPrEx>
        <w:trPr>
          <w:cantSplit/>
        </w:trPr>
        <w:tc>
          <w:tcPr>
            <w:tcW w:w="1300" w:type="dxa"/>
            <w:vMerge/>
            <w:tcBorders>
              <w:top w:val="single" w:sz="4" w:space="0" w:color="auto"/>
              <w:bottom w:val="single" w:sz="4" w:space="0" w:color="auto"/>
            </w:tcBorders>
          </w:tcPr>
          <w:p w:rsidR="00000000" w:rsidRDefault="00000000">
            <w:pPr>
              <w:pStyle w:val="a2"/>
              <w:spacing w:line="240" w:lineRule="auto"/>
              <w:rPr>
                <w:sz w:val="18"/>
              </w:rPr>
            </w:pPr>
          </w:p>
        </w:tc>
        <w:tc>
          <w:tcPr>
            <w:tcW w:w="817" w:type="dxa"/>
            <w:tcBorders>
              <w:top w:val="nil"/>
              <w:bottom w:val="single" w:sz="4" w:space="0" w:color="auto"/>
            </w:tcBorders>
          </w:tcPr>
          <w:p w:rsidR="00000000" w:rsidRDefault="00000000">
            <w:pPr>
              <w:pStyle w:val="a2"/>
              <w:spacing w:line="240" w:lineRule="auto"/>
              <w:rPr>
                <w:rFonts w:hint="eastAsia"/>
                <w:sz w:val="18"/>
              </w:rPr>
            </w:pPr>
            <w:r>
              <w:rPr>
                <w:rFonts w:hint="eastAsia"/>
                <w:sz w:val="17"/>
              </w:rPr>
              <w:t>共计</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110,554</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105,835</w:t>
            </w:r>
          </w:p>
        </w:tc>
        <w:tc>
          <w:tcPr>
            <w:tcW w:w="1206" w:type="dxa"/>
            <w:tcBorders>
              <w:top w:val="nil"/>
              <w:bottom w:val="single" w:sz="4" w:space="0" w:color="auto"/>
            </w:tcBorders>
          </w:tcPr>
          <w:p w:rsidR="00000000" w:rsidRDefault="00000000">
            <w:pPr>
              <w:pStyle w:val="a2"/>
              <w:spacing w:line="240" w:lineRule="auto"/>
              <w:ind w:right="113"/>
              <w:jc w:val="right"/>
              <w:rPr>
                <w:sz w:val="18"/>
              </w:rPr>
            </w:pPr>
            <w:r>
              <w:rPr>
                <w:sz w:val="18"/>
              </w:rPr>
              <w:t>95.73</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25,604</w:t>
            </w:r>
          </w:p>
        </w:tc>
        <w:tc>
          <w:tcPr>
            <w:tcW w:w="1205" w:type="dxa"/>
            <w:tcBorders>
              <w:top w:val="nil"/>
              <w:bottom w:val="single" w:sz="4" w:space="0" w:color="auto"/>
            </w:tcBorders>
          </w:tcPr>
          <w:p w:rsidR="00000000" w:rsidRDefault="00000000">
            <w:pPr>
              <w:pStyle w:val="a2"/>
              <w:spacing w:line="240" w:lineRule="auto"/>
              <w:ind w:right="113"/>
              <w:jc w:val="right"/>
              <w:rPr>
                <w:sz w:val="18"/>
              </w:rPr>
            </w:pPr>
          </w:p>
        </w:tc>
        <w:tc>
          <w:tcPr>
            <w:tcW w:w="1206" w:type="dxa"/>
            <w:tcBorders>
              <w:top w:val="nil"/>
              <w:bottom w:val="single" w:sz="4" w:space="0" w:color="auto"/>
            </w:tcBorders>
          </w:tcPr>
          <w:p w:rsidR="00000000" w:rsidRDefault="00000000">
            <w:pPr>
              <w:pStyle w:val="a2"/>
              <w:spacing w:line="240" w:lineRule="auto"/>
              <w:ind w:right="113"/>
              <w:jc w:val="right"/>
              <w:rPr>
                <w:sz w:val="18"/>
              </w:rPr>
            </w:pPr>
            <w:r>
              <w:rPr>
                <w:sz w:val="18"/>
              </w:rPr>
              <w:t>0.00</w:t>
            </w:r>
          </w:p>
        </w:tc>
      </w:tr>
      <w:tr w:rsidR="00000000">
        <w:tblPrEx>
          <w:tblCellMar>
            <w:top w:w="0" w:type="dxa"/>
            <w:bottom w:w="0" w:type="dxa"/>
          </w:tblCellMar>
        </w:tblPrEx>
        <w:trPr>
          <w:cantSplit/>
        </w:trPr>
        <w:tc>
          <w:tcPr>
            <w:tcW w:w="1300"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1995-1996</w:t>
            </w:r>
            <w:r>
              <w:rPr>
                <w:rFonts w:hint="eastAsia"/>
                <w:sz w:val="18"/>
              </w:rPr>
              <w:t>年</w:t>
            </w:r>
          </w:p>
        </w:tc>
        <w:tc>
          <w:tcPr>
            <w:tcW w:w="817"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58,357</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55,840</w:t>
            </w:r>
          </w:p>
        </w:tc>
        <w:tc>
          <w:tcPr>
            <w:tcW w:w="1206" w:type="dxa"/>
            <w:tcBorders>
              <w:top w:val="single" w:sz="4" w:space="0" w:color="auto"/>
              <w:bottom w:val="nil"/>
            </w:tcBorders>
          </w:tcPr>
          <w:p w:rsidR="00000000" w:rsidRDefault="00000000">
            <w:pPr>
              <w:pStyle w:val="a2"/>
              <w:spacing w:line="240" w:lineRule="auto"/>
              <w:ind w:right="113"/>
              <w:jc w:val="right"/>
              <w:rPr>
                <w:sz w:val="18"/>
              </w:rPr>
            </w:pPr>
            <w:r>
              <w:rPr>
                <w:sz w:val="18"/>
              </w:rPr>
              <w:t>95.69</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14,583</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13,380</w:t>
            </w:r>
          </w:p>
        </w:tc>
        <w:tc>
          <w:tcPr>
            <w:tcW w:w="1206" w:type="dxa"/>
            <w:tcBorders>
              <w:top w:val="single" w:sz="4" w:space="0" w:color="auto"/>
              <w:bottom w:val="nil"/>
            </w:tcBorders>
          </w:tcPr>
          <w:p w:rsidR="00000000" w:rsidRDefault="00000000">
            <w:pPr>
              <w:pStyle w:val="a2"/>
              <w:spacing w:line="240" w:lineRule="auto"/>
              <w:ind w:right="113"/>
              <w:jc w:val="right"/>
              <w:rPr>
                <w:sz w:val="18"/>
              </w:rPr>
            </w:pPr>
            <w:r>
              <w:rPr>
                <w:sz w:val="18"/>
              </w:rPr>
              <w:t>91.75</w:t>
            </w:r>
          </w:p>
        </w:tc>
      </w:tr>
      <w:tr w:rsidR="00000000">
        <w:tblPrEx>
          <w:tblCellMar>
            <w:top w:w="0" w:type="dxa"/>
            <w:bottom w:w="0" w:type="dxa"/>
          </w:tblCellMar>
        </w:tblPrEx>
        <w:trPr>
          <w:cantSplit/>
        </w:trPr>
        <w:tc>
          <w:tcPr>
            <w:tcW w:w="1300" w:type="dxa"/>
            <w:vMerge/>
            <w:tcBorders>
              <w:top w:val="single" w:sz="4" w:space="0" w:color="auto"/>
              <w:bottom w:val="nil"/>
            </w:tcBorders>
          </w:tcPr>
          <w:p w:rsidR="00000000" w:rsidRDefault="00000000">
            <w:pPr>
              <w:pStyle w:val="a2"/>
              <w:spacing w:line="240" w:lineRule="auto"/>
              <w:rPr>
                <w:sz w:val="18"/>
              </w:rPr>
            </w:pPr>
          </w:p>
        </w:tc>
        <w:tc>
          <w:tcPr>
            <w:tcW w:w="817"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205" w:type="dxa"/>
            <w:tcBorders>
              <w:top w:val="nil"/>
              <w:bottom w:val="nil"/>
            </w:tcBorders>
          </w:tcPr>
          <w:p w:rsidR="00000000" w:rsidRDefault="00000000">
            <w:pPr>
              <w:pStyle w:val="a2"/>
              <w:spacing w:line="240" w:lineRule="auto"/>
              <w:ind w:right="113"/>
              <w:jc w:val="right"/>
              <w:rPr>
                <w:sz w:val="18"/>
              </w:rPr>
            </w:pPr>
            <w:r>
              <w:rPr>
                <w:sz w:val="18"/>
              </w:rPr>
              <w:t>58,620</w:t>
            </w:r>
          </w:p>
        </w:tc>
        <w:tc>
          <w:tcPr>
            <w:tcW w:w="1205" w:type="dxa"/>
            <w:tcBorders>
              <w:top w:val="nil"/>
              <w:bottom w:val="nil"/>
            </w:tcBorders>
          </w:tcPr>
          <w:p w:rsidR="00000000" w:rsidRDefault="00000000">
            <w:pPr>
              <w:pStyle w:val="a2"/>
              <w:spacing w:line="240" w:lineRule="auto"/>
              <w:ind w:right="113"/>
              <w:jc w:val="right"/>
              <w:rPr>
                <w:sz w:val="18"/>
              </w:rPr>
            </w:pPr>
            <w:r>
              <w:rPr>
                <w:sz w:val="18"/>
              </w:rPr>
              <w:t>56,163</w:t>
            </w:r>
          </w:p>
        </w:tc>
        <w:tc>
          <w:tcPr>
            <w:tcW w:w="1206" w:type="dxa"/>
            <w:tcBorders>
              <w:top w:val="nil"/>
              <w:bottom w:val="nil"/>
            </w:tcBorders>
          </w:tcPr>
          <w:p w:rsidR="00000000" w:rsidRDefault="00000000">
            <w:pPr>
              <w:pStyle w:val="a2"/>
              <w:spacing w:line="240" w:lineRule="auto"/>
              <w:ind w:right="113"/>
              <w:jc w:val="right"/>
              <w:rPr>
                <w:sz w:val="18"/>
              </w:rPr>
            </w:pPr>
            <w:r>
              <w:rPr>
                <w:sz w:val="18"/>
              </w:rPr>
              <w:t>95.81</w:t>
            </w:r>
          </w:p>
        </w:tc>
        <w:tc>
          <w:tcPr>
            <w:tcW w:w="1205" w:type="dxa"/>
            <w:tcBorders>
              <w:top w:val="nil"/>
              <w:bottom w:val="nil"/>
            </w:tcBorders>
          </w:tcPr>
          <w:p w:rsidR="00000000" w:rsidRDefault="00000000">
            <w:pPr>
              <w:pStyle w:val="a2"/>
              <w:spacing w:line="240" w:lineRule="auto"/>
              <w:ind w:right="113"/>
              <w:jc w:val="right"/>
              <w:rPr>
                <w:sz w:val="18"/>
              </w:rPr>
            </w:pPr>
            <w:r>
              <w:rPr>
                <w:sz w:val="18"/>
              </w:rPr>
              <w:t>14,298</w:t>
            </w:r>
          </w:p>
        </w:tc>
        <w:tc>
          <w:tcPr>
            <w:tcW w:w="1205" w:type="dxa"/>
            <w:tcBorders>
              <w:top w:val="nil"/>
              <w:bottom w:val="nil"/>
            </w:tcBorders>
          </w:tcPr>
          <w:p w:rsidR="00000000" w:rsidRDefault="00000000">
            <w:pPr>
              <w:pStyle w:val="a2"/>
              <w:spacing w:line="240" w:lineRule="auto"/>
              <w:ind w:right="113"/>
              <w:jc w:val="right"/>
              <w:rPr>
                <w:sz w:val="18"/>
              </w:rPr>
            </w:pPr>
            <w:r>
              <w:rPr>
                <w:sz w:val="18"/>
              </w:rPr>
              <w:t>13,634</w:t>
            </w:r>
          </w:p>
        </w:tc>
        <w:tc>
          <w:tcPr>
            <w:tcW w:w="1206" w:type="dxa"/>
            <w:tcBorders>
              <w:top w:val="nil"/>
              <w:bottom w:val="nil"/>
            </w:tcBorders>
          </w:tcPr>
          <w:p w:rsidR="00000000" w:rsidRDefault="00000000">
            <w:pPr>
              <w:pStyle w:val="a2"/>
              <w:spacing w:line="240" w:lineRule="auto"/>
              <w:ind w:right="113"/>
              <w:jc w:val="right"/>
              <w:rPr>
                <w:sz w:val="18"/>
              </w:rPr>
            </w:pPr>
            <w:r>
              <w:rPr>
                <w:sz w:val="18"/>
              </w:rPr>
              <w:t>95.36</w:t>
            </w:r>
          </w:p>
        </w:tc>
      </w:tr>
      <w:tr w:rsidR="00000000">
        <w:tblPrEx>
          <w:tblCellMar>
            <w:top w:w="0" w:type="dxa"/>
            <w:bottom w:w="0" w:type="dxa"/>
          </w:tblCellMar>
        </w:tblPrEx>
        <w:trPr>
          <w:cantSplit/>
        </w:trPr>
        <w:tc>
          <w:tcPr>
            <w:tcW w:w="1300" w:type="dxa"/>
            <w:vMerge/>
            <w:tcBorders>
              <w:top w:val="single" w:sz="4" w:space="0" w:color="auto"/>
              <w:bottom w:val="single" w:sz="4" w:space="0" w:color="auto"/>
            </w:tcBorders>
          </w:tcPr>
          <w:p w:rsidR="00000000" w:rsidRDefault="00000000">
            <w:pPr>
              <w:pStyle w:val="a2"/>
              <w:spacing w:line="240" w:lineRule="auto"/>
              <w:rPr>
                <w:sz w:val="18"/>
              </w:rPr>
            </w:pPr>
          </w:p>
        </w:tc>
        <w:tc>
          <w:tcPr>
            <w:tcW w:w="817" w:type="dxa"/>
            <w:tcBorders>
              <w:top w:val="nil"/>
              <w:bottom w:val="single" w:sz="4" w:space="0" w:color="auto"/>
            </w:tcBorders>
          </w:tcPr>
          <w:p w:rsidR="00000000" w:rsidRDefault="00000000">
            <w:pPr>
              <w:pStyle w:val="a2"/>
              <w:spacing w:line="240" w:lineRule="auto"/>
              <w:rPr>
                <w:rFonts w:hint="eastAsia"/>
                <w:sz w:val="18"/>
              </w:rPr>
            </w:pPr>
            <w:r>
              <w:rPr>
                <w:rFonts w:hint="eastAsia"/>
                <w:sz w:val="17"/>
              </w:rPr>
              <w:t>共计</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116,977</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112,003</w:t>
            </w:r>
          </w:p>
        </w:tc>
        <w:tc>
          <w:tcPr>
            <w:tcW w:w="1206" w:type="dxa"/>
            <w:tcBorders>
              <w:top w:val="nil"/>
              <w:bottom w:val="single" w:sz="4" w:space="0" w:color="auto"/>
            </w:tcBorders>
          </w:tcPr>
          <w:p w:rsidR="00000000" w:rsidRDefault="00000000">
            <w:pPr>
              <w:pStyle w:val="a2"/>
              <w:spacing w:line="240" w:lineRule="auto"/>
              <w:ind w:right="113"/>
              <w:jc w:val="right"/>
              <w:rPr>
                <w:sz w:val="18"/>
              </w:rPr>
            </w:pPr>
            <w:r>
              <w:rPr>
                <w:sz w:val="18"/>
              </w:rPr>
              <w:t>95.75</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28,881</w:t>
            </w:r>
          </w:p>
        </w:tc>
        <w:tc>
          <w:tcPr>
            <w:tcW w:w="1205" w:type="dxa"/>
            <w:tcBorders>
              <w:top w:val="nil"/>
              <w:bottom w:val="single" w:sz="4" w:space="0" w:color="auto"/>
            </w:tcBorders>
          </w:tcPr>
          <w:p w:rsidR="00000000" w:rsidRDefault="00000000">
            <w:pPr>
              <w:pStyle w:val="a2"/>
              <w:spacing w:line="240" w:lineRule="auto"/>
              <w:ind w:right="113"/>
              <w:jc w:val="right"/>
              <w:rPr>
                <w:sz w:val="18"/>
              </w:rPr>
            </w:pPr>
          </w:p>
        </w:tc>
        <w:tc>
          <w:tcPr>
            <w:tcW w:w="1206" w:type="dxa"/>
            <w:tcBorders>
              <w:top w:val="nil"/>
              <w:bottom w:val="single" w:sz="4" w:space="0" w:color="auto"/>
            </w:tcBorders>
          </w:tcPr>
          <w:p w:rsidR="00000000" w:rsidRDefault="00000000">
            <w:pPr>
              <w:pStyle w:val="a2"/>
              <w:spacing w:line="240" w:lineRule="auto"/>
              <w:ind w:right="113"/>
              <w:jc w:val="right"/>
              <w:rPr>
                <w:sz w:val="18"/>
              </w:rPr>
            </w:pPr>
            <w:r>
              <w:rPr>
                <w:sz w:val="18"/>
              </w:rPr>
              <w:t>0.00</w:t>
            </w:r>
          </w:p>
        </w:tc>
      </w:tr>
      <w:tr w:rsidR="00000000">
        <w:tblPrEx>
          <w:tblCellMar>
            <w:top w:w="0" w:type="dxa"/>
            <w:bottom w:w="0" w:type="dxa"/>
          </w:tblCellMar>
        </w:tblPrEx>
        <w:trPr>
          <w:cantSplit/>
        </w:trPr>
        <w:tc>
          <w:tcPr>
            <w:tcW w:w="1300"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1996-1997</w:t>
            </w:r>
            <w:r>
              <w:rPr>
                <w:rFonts w:hint="eastAsia"/>
                <w:sz w:val="18"/>
              </w:rPr>
              <w:t>年</w:t>
            </w:r>
          </w:p>
        </w:tc>
        <w:tc>
          <w:tcPr>
            <w:tcW w:w="817"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63,037</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60,484</w:t>
            </w:r>
          </w:p>
        </w:tc>
        <w:tc>
          <w:tcPr>
            <w:tcW w:w="1206" w:type="dxa"/>
            <w:tcBorders>
              <w:top w:val="single" w:sz="4" w:space="0" w:color="auto"/>
              <w:bottom w:val="nil"/>
            </w:tcBorders>
          </w:tcPr>
          <w:p w:rsidR="00000000" w:rsidRDefault="00000000">
            <w:pPr>
              <w:pStyle w:val="a2"/>
              <w:spacing w:line="240" w:lineRule="auto"/>
              <w:ind w:right="113"/>
              <w:jc w:val="right"/>
              <w:rPr>
                <w:sz w:val="18"/>
              </w:rPr>
            </w:pPr>
            <w:r>
              <w:rPr>
                <w:sz w:val="18"/>
              </w:rPr>
              <w:t>95.95</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15,455</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14,718</w:t>
            </w:r>
          </w:p>
        </w:tc>
        <w:tc>
          <w:tcPr>
            <w:tcW w:w="1206" w:type="dxa"/>
            <w:tcBorders>
              <w:top w:val="single" w:sz="4" w:space="0" w:color="auto"/>
              <w:bottom w:val="nil"/>
            </w:tcBorders>
          </w:tcPr>
          <w:p w:rsidR="00000000" w:rsidRDefault="00000000">
            <w:pPr>
              <w:pStyle w:val="a2"/>
              <w:spacing w:line="240" w:lineRule="auto"/>
              <w:ind w:right="113"/>
              <w:jc w:val="right"/>
              <w:rPr>
                <w:sz w:val="18"/>
              </w:rPr>
            </w:pPr>
            <w:r>
              <w:rPr>
                <w:sz w:val="18"/>
              </w:rPr>
              <w:t>95.23</w:t>
            </w:r>
          </w:p>
        </w:tc>
      </w:tr>
      <w:tr w:rsidR="00000000">
        <w:tblPrEx>
          <w:tblCellMar>
            <w:top w:w="0" w:type="dxa"/>
            <w:bottom w:w="0" w:type="dxa"/>
          </w:tblCellMar>
        </w:tblPrEx>
        <w:trPr>
          <w:cantSplit/>
        </w:trPr>
        <w:tc>
          <w:tcPr>
            <w:tcW w:w="1300" w:type="dxa"/>
            <w:vMerge/>
            <w:tcBorders>
              <w:top w:val="single" w:sz="4" w:space="0" w:color="auto"/>
              <w:bottom w:val="nil"/>
            </w:tcBorders>
          </w:tcPr>
          <w:p w:rsidR="00000000" w:rsidRDefault="00000000">
            <w:pPr>
              <w:pStyle w:val="a2"/>
              <w:spacing w:line="240" w:lineRule="auto"/>
              <w:rPr>
                <w:sz w:val="18"/>
              </w:rPr>
            </w:pPr>
          </w:p>
        </w:tc>
        <w:tc>
          <w:tcPr>
            <w:tcW w:w="817"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205" w:type="dxa"/>
            <w:tcBorders>
              <w:top w:val="nil"/>
              <w:bottom w:val="nil"/>
            </w:tcBorders>
          </w:tcPr>
          <w:p w:rsidR="00000000" w:rsidRDefault="00000000">
            <w:pPr>
              <w:pStyle w:val="a2"/>
              <w:spacing w:line="240" w:lineRule="auto"/>
              <w:ind w:right="113"/>
              <w:jc w:val="right"/>
              <w:rPr>
                <w:sz w:val="18"/>
              </w:rPr>
            </w:pPr>
            <w:r>
              <w:rPr>
                <w:sz w:val="18"/>
              </w:rPr>
              <w:t>63,305</w:t>
            </w:r>
          </w:p>
        </w:tc>
        <w:tc>
          <w:tcPr>
            <w:tcW w:w="1205" w:type="dxa"/>
            <w:tcBorders>
              <w:top w:val="nil"/>
              <w:bottom w:val="nil"/>
            </w:tcBorders>
          </w:tcPr>
          <w:p w:rsidR="00000000" w:rsidRDefault="00000000">
            <w:pPr>
              <w:pStyle w:val="a2"/>
              <w:spacing w:line="240" w:lineRule="auto"/>
              <w:ind w:right="113"/>
              <w:jc w:val="right"/>
              <w:rPr>
                <w:sz w:val="18"/>
              </w:rPr>
            </w:pPr>
            <w:r>
              <w:rPr>
                <w:sz w:val="18"/>
              </w:rPr>
              <w:t>60,817</w:t>
            </w:r>
          </w:p>
        </w:tc>
        <w:tc>
          <w:tcPr>
            <w:tcW w:w="1206" w:type="dxa"/>
            <w:tcBorders>
              <w:top w:val="nil"/>
              <w:bottom w:val="nil"/>
            </w:tcBorders>
          </w:tcPr>
          <w:p w:rsidR="00000000" w:rsidRDefault="00000000">
            <w:pPr>
              <w:pStyle w:val="a2"/>
              <w:spacing w:line="240" w:lineRule="auto"/>
              <w:ind w:right="113"/>
              <w:jc w:val="right"/>
              <w:rPr>
                <w:sz w:val="18"/>
              </w:rPr>
            </w:pPr>
            <w:r>
              <w:rPr>
                <w:sz w:val="18"/>
              </w:rPr>
              <w:t>96.07</w:t>
            </w:r>
          </w:p>
        </w:tc>
        <w:tc>
          <w:tcPr>
            <w:tcW w:w="1205" w:type="dxa"/>
            <w:tcBorders>
              <w:top w:val="nil"/>
              <w:bottom w:val="nil"/>
            </w:tcBorders>
          </w:tcPr>
          <w:p w:rsidR="00000000" w:rsidRDefault="00000000">
            <w:pPr>
              <w:pStyle w:val="a2"/>
              <w:spacing w:line="240" w:lineRule="auto"/>
              <w:ind w:right="113"/>
              <w:jc w:val="right"/>
              <w:rPr>
                <w:sz w:val="18"/>
              </w:rPr>
            </w:pPr>
            <w:r>
              <w:rPr>
                <w:sz w:val="18"/>
              </w:rPr>
              <w:t>14,975</w:t>
            </w:r>
          </w:p>
        </w:tc>
        <w:tc>
          <w:tcPr>
            <w:tcW w:w="1205" w:type="dxa"/>
            <w:tcBorders>
              <w:top w:val="nil"/>
              <w:bottom w:val="nil"/>
            </w:tcBorders>
          </w:tcPr>
          <w:p w:rsidR="00000000" w:rsidRDefault="00000000">
            <w:pPr>
              <w:pStyle w:val="a2"/>
              <w:spacing w:line="240" w:lineRule="auto"/>
              <w:ind w:right="113"/>
              <w:jc w:val="right"/>
              <w:rPr>
                <w:sz w:val="18"/>
              </w:rPr>
            </w:pPr>
            <w:r>
              <w:rPr>
                <w:sz w:val="18"/>
              </w:rPr>
              <w:t>14,291</w:t>
            </w:r>
          </w:p>
        </w:tc>
        <w:tc>
          <w:tcPr>
            <w:tcW w:w="1206" w:type="dxa"/>
            <w:tcBorders>
              <w:top w:val="nil"/>
              <w:bottom w:val="nil"/>
            </w:tcBorders>
          </w:tcPr>
          <w:p w:rsidR="00000000" w:rsidRDefault="00000000">
            <w:pPr>
              <w:pStyle w:val="a2"/>
              <w:spacing w:line="240" w:lineRule="auto"/>
              <w:ind w:right="113"/>
              <w:jc w:val="right"/>
              <w:rPr>
                <w:sz w:val="18"/>
              </w:rPr>
            </w:pPr>
            <w:r>
              <w:rPr>
                <w:sz w:val="18"/>
              </w:rPr>
              <w:t>95.43</w:t>
            </w:r>
          </w:p>
        </w:tc>
      </w:tr>
      <w:tr w:rsidR="00000000">
        <w:tblPrEx>
          <w:tblCellMar>
            <w:top w:w="0" w:type="dxa"/>
            <w:bottom w:w="0" w:type="dxa"/>
          </w:tblCellMar>
        </w:tblPrEx>
        <w:trPr>
          <w:cantSplit/>
        </w:trPr>
        <w:tc>
          <w:tcPr>
            <w:tcW w:w="1300" w:type="dxa"/>
            <w:vMerge/>
            <w:tcBorders>
              <w:top w:val="single" w:sz="4" w:space="0" w:color="auto"/>
              <w:bottom w:val="single" w:sz="4" w:space="0" w:color="auto"/>
            </w:tcBorders>
          </w:tcPr>
          <w:p w:rsidR="00000000" w:rsidRDefault="00000000">
            <w:pPr>
              <w:pStyle w:val="a2"/>
              <w:spacing w:line="240" w:lineRule="auto"/>
              <w:rPr>
                <w:sz w:val="18"/>
              </w:rPr>
            </w:pPr>
          </w:p>
        </w:tc>
        <w:tc>
          <w:tcPr>
            <w:tcW w:w="817" w:type="dxa"/>
            <w:tcBorders>
              <w:top w:val="nil"/>
              <w:bottom w:val="single" w:sz="4" w:space="0" w:color="auto"/>
            </w:tcBorders>
          </w:tcPr>
          <w:p w:rsidR="00000000" w:rsidRDefault="00000000">
            <w:pPr>
              <w:pStyle w:val="a2"/>
              <w:spacing w:line="240" w:lineRule="auto"/>
              <w:rPr>
                <w:rFonts w:hint="eastAsia"/>
                <w:sz w:val="18"/>
              </w:rPr>
            </w:pPr>
            <w:r>
              <w:rPr>
                <w:rFonts w:hint="eastAsia"/>
                <w:sz w:val="17"/>
              </w:rPr>
              <w:t>共计</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126,342</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121,301</w:t>
            </w:r>
          </w:p>
        </w:tc>
        <w:tc>
          <w:tcPr>
            <w:tcW w:w="1206" w:type="dxa"/>
            <w:tcBorders>
              <w:top w:val="nil"/>
              <w:bottom w:val="single" w:sz="4" w:space="0" w:color="auto"/>
            </w:tcBorders>
          </w:tcPr>
          <w:p w:rsidR="00000000" w:rsidRDefault="00000000">
            <w:pPr>
              <w:pStyle w:val="a2"/>
              <w:spacing w:line="240" w:lineRule="auto"/>
              <w:ind w:right="113"/>
              <w:jc w:val="right"/>
              <w:rPr>
                <w:sz w:val="18"/>
              </w:rPr>
            </w:pPr>
            <w:r>
              <w:rPr>
                <w:sz w:val="18"/>
              </w:rPr>
              <w:t>96.01</w:t>
            </w:r>
          </w:p>
        </w:tc>
        <w:tc>
          <w:tcPr>
            <w:tcW w:w="1205" w:type="dxa"/>
            <w:tcBorders>
              <w:top w:val="nil"/>
              <w:bottom w:val="single" w:sz="4" w:space="0" w:color="auto"/>
            </w:tcBorders>
          </w:tcPr>
          <w:p w:rsidR="00000000" w:rsidRDefault="00000000">
            <w:pPr>
              <w:pStyle w:val="a2"/>
              <w:spacing w:line="240" w:lineRule="auto"/>
              <w:ind w:right="113"/>
              <w:jc w:val="right"/>
              <w:rPr>
                <w:sz w:val="18"/>
              </w:rPr>
            </w:pPr>
            <w:r>
              <w:rPr>
                <w:sz w:val="18"/>
              </w:rPr>
              <w:t>30,430</w:t>
            </w:r>
          </w:p>
        </w:tc>
        <w:tc>
          <w:tcPr>
            <w:tcW w:w="1205" w:type="dxa"/>
            <w:tcBorders>
              <w:top w:val="nil"/>
              <w:bottom w:val="single" w:sz="4" w:space="0" w:color="auto"/>
            </w:tcBorders>
          </w:tcPr>
          <w:p w:rsidR="00000000" w:rsidRDefault="00000000">
            <w:pPr>
              <w:pStyle w:val="a2"/>
              <w:spacing w:line="240" w:lineRule="auto"/>
              <w:ind w:right="113"/>
              <w:jc w:val="right"/>
              <w:rPr>
                <w:sz w:val="18"/>
              </w:rPr>
            </w:pPr>
          </w:p>
        </w:tc>
        <w:tc>
          <w:tcPr>
            <w:tcW w:w="1206" w:type="dxa"/>
            <w:tcBorders>
              <w:top w:val="nil"/>
              <w:bottom w:val="single" w:sz="4" w:space="0" w:color="auto"/>
            </w:tcBorders>
          </w:tcPr>
          <w:p w:rsidR="00000000" w:rsidRDefault="00000000">
            <w:pPr>
              <w:pStyle w:val="a2"/>
              <w:spacing w:line="240" w:lineRule="auto"/>
              <w:ind w:right="113"/>
              <w:jc w:val="right"/>
              <w:rPr>
                <w:sz w:val="18"/>
              </w:rPr>
            </w:pPr>
            <w:r>
              <w:rPr>
                <w:sz w:val="18"/>
              </w:rPr>
              <w:t>0.00</w:t>
            </w:r>
          </w:p>
        </w:tc>
      </w:tr>
      <w:tr w:rsidR="00000000">
        <w:tblPrEx>
          <w:tblCellMar>
            <w:top w:w="0" w:type="dxa"/>
            <w:bottom w:w="0" w:type="dxa"/>
          </w:tblCellMar>
        </w:tblPrEx>
        <w:trPr>
          <w:cantSplit/>
        </w:trPr>
        <w:tc>
          <w:tcPr>
            <w:tcW w:w="1300" w:type="dxa"/>
            <w:vMerge w:val="restart"/>
            <w:tcBorders>
              <w:top w:val="single" w:sz="4" w:space="0" w:color="auto"/>
            </w:tcBorders>
          </w:tcPr>
          <w:p w:rsidR="00000000" w:rsidRDefault="00000000">
            <w:pPr>
              <w:pStyle w:val="a2"/>
              <w:spacing w:line="240" w:lineRule="auto"/>
              <w:rPr>
                <w:rFonts w:hint="eastAsia"/>
                <w:sz w:val="18"/>
              </w:rPr>
            </w:pPr>
            <w:r>
              <w:rPr>
                <w:sz w:val="18"/>
              </w:rPr>
              <w:t>1997-1998</w:t>
            </w:r>
            <w:r>
              <w:rPr>
                <w:rFonts w:hint="eastAsia"/>
                <w:sz w:val="18"/>
              </w:rPr>
              <w:t>年</w:t>
            </w:r>
          </w:p>
        </w:tc>
        <w:tc>
          <w:tcPr>
            <w:tcW w:w="817"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66,920</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64,428</w:t>
            </w:r>
          </w:p>
        </w:tc>
        <w:tc>
          <w:tcPr>
            <w:tcW w:w="1206" w:type="dxa"/>
            <w:tcBorders>
              <w:top w:val="single" w:sz="4" w:space="0" w:color="auto"/>
              <w:bottom w:val="nil"/>
            </w:tcBorders>
          </w:tcPr>
          <w:p w:rsidR="00000000" w:rsidRDefault="00000000">
            <w:pPr>
              <w:pStyle w:val="a2"/>
              <w:spacing w:line="240" w:lineRule="auto"/>
              <w:ind w:right="113"/>
              <w:jc w:val="right"/>
              <w:rPr>
                <w:sz w:val="18"/>
              </w:rPr>
            </w:pPr>
            <w:r>
              <w:rPr>
                <w:sz w:val="18"/>
              </w:rPr>
              <w:t>96.28</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17,007</w:t>
            </w:r>
          </w:p>
        </w:tc>
        <w:tc>
          <w:tcPr>
            <w:tcW w:w="1205" w:type="dxa"/>
            <w:tcBorders>
              <w:top w:val="single" w:sz="4" w:space="0" w:color="auto"/>
              <w:bottom w:val="nil"/>
            </w:tcBorders>
          </w:tcPr>
          <w:p w:rsidR="00000000" w:rsidRDefault="00000000">
            <w:pPr>
              <w:pStyle w:val="a2"/>
              <w:spacing w:line="240" w:lineRule="auto"/>
              <w:ind w:right="113"/>
              <w:jc w:val="right"/>
              <w:rPr>
                <w:sz w:val="18"/>
              </w:rPr>
            </w:pPr>
            <w:r>
              <w:rPr>
                <w:sz w:val="18"/>
              </w:rPr>
              <w:t>16,252</w:t>
            </w:r>
          </w:p>
        </w:tc>
        <w:tc>
          <w:tcPr>
            <w:tcW w:w="1206" w:type="dxa"/>
            <w:tcBorders>
              <w:top w:val="single" w:sz="4" w:space="0" w:color="auto"/>
              <w:bottom w:val="nil"/>
            </w:tcBorders>
          </w:tcPr>
          <w:p w:rsidR="00000000" w:rsidRDefault="00000000">
            <w:pPr>
              <w:pStyle w:val="a2"/>
              <w:spacing w:line="240" w:lineRule="auto"/>
              <w:ind w:right="113"/>
              <w:jc w:val="right"/>
              <w:rPr>
                <w:sz w:val="18"/>
              </w:rPr>
            </w:pPr>
            <w:r>
              <w:rPr>
                <w:sz w:val="18"/>
              </w:rPr>
              <w:t>95.56</w:t>
            </w:r>
          </w:p>
        </w:tc>
      </w:tr>
      <w:tr w:rsidR="00000000">
        <w:tblPrEx>
          <w:tblCellMar>
            <w:top w:w="0" w:type="dxa"/>
            <w:bottom w:w="0" w:type="dxa"/>
          </w:tblCellMar>
        </w:tblPrEx>
        <w:trPr>
          <w:cantSplit/>
        </w:trPr>
        <w:tc>
          <w:tcPr>
            <w:tcW w:w="1300" w:type="dxa"/>
            <w:vMerge/>
            <w:tcBorders>
              <w:top w:val="single" w:sz="4" w:space="0" w:color="auto"/>
            </w:tcBorders>
          </w:tcPr>
          <w:p w:rsidR="00000000" w:rsidRDefault="00000000">
            <w:pPr>
              <w:pStyle w:val="a2"/>
              <w:spacing w:line="240" w:lineRule="auto"/>
              <w:rPr>
                <w:sz w:val="18"/>
              </w:rPr>
            </w:pPr>
          </w:p>
        </w:tc>
        <w:tc>
          <w:tcPr>
            <w:tcW w:w="817"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205" w:type="dxa"/>
            <w:tcBorders>
              <w:top w:val="nil"/>
              <w:bottom w:val="nil"/>
            </w:tcBorders>
          </w:tcPr>
          <w:p w:rsidR="00000000" w:rsidRDefault="00000000">
            <w:pPr>
              <w:pStyle w:val="a2"/>
              <w:spacing w:line="240" w:lineRule="auto"/>
              <w:ind w:right="113"/>
              <w:jc w:val="right"/>
              <w:rPr>
                <w:sz w:val="18"/>
              </w:rPr>
            </w:pPr>
            <w:r>
              <w:rPr>
                <w:sz w:val="18"/>
              </w:rPr>
              <w:t>67,354</w:t>
            </w:r>
          </w:p>
        </w:tc>
        <w:tc>
          <w:tcPr>
            <w:tcW w:w="1205" w:type="dxa"/>
            <w:tcBorders>
              <w:top w:val="nil"/>
              <w:bottom w:val="nil"/>
            </w:tcBorders>
          </w:tcPr>
          <w:p w:rsidR="00000000" w:rsidRDefault="00000000">
            <w:pPr>
              <w:pStyle w:val="a2"/>
              <w:spacing w:line="240" w:lineRule="auto"/>
              <w:ind w:right="113"/>
              <w:jc w:val="right"/>
              <w:rPr>
                <w:sz w:val="18"/>
              </w:rPr>
            </w:pPr>
            <w:r>
              <w:rPr>
                <w:sz w:val="18"/>
              </w:rPr>
              <w:t>64,927</w:t>
            </w:r>
          </w:p>
        </w:tc>
        <w:tc>
          <w:tcPr>
            <w:tcW w:w="1206" w:type="dxa"/>
            <w:tcBorders>
              <w:top w:val="nil"/>
              <w:bottom w:val="nil"/>
            </w:tcBorders>
          </w:tcPr>
          <w:p w:rsidR="00000000" w:rsidRDefault="00000000">
            <w:pPr>
              <w:pStyle w:val="a2"/>
              <w:spacing w:line="240" w:lineRule="auto"/>
              <w:ind w:right="113"/>
              <w:jc w:val="right"/>
              <w:rPr>
                <w:sz w:val="18"/>
              </w:rPr>
            </w:pPr>
            <w:r>
              <w:rPr>
                <w:sz w:val="18"/>
              </w:rPr>
              <w:t>96.40</w:t>
            </w:r>
          </w:p>
        </w:tc>
        <w:tc>
          <w:tcPr>
            <w:tcW w:w="1205" w:type="dxa"/>
            <w:tcBorders>
              <w:top w:val="nil"/>
              <w:bottom w:val="nil"/>
            </w:tcBorders>
          </w:tcPr>
          <w:p w:rsidR="00000000" w:rsidRDefault="00000000">
            <w:pPr>
              <w:pStyle w:val="a2"/>
              <w:spacing w:line="240" w:lineRule="auto"/>
              <w:ind w:right="113"/>
              <w:jc w:val="right"/>
              <w:rPr>
                <w:sz w:val="18"/>
              </w:rPr>
            </w:pPr>
            <w:r>
              <w:rPr>
                <w:sz w:val="18"/>
              </w:rPr>
              <w:t>16,847</w:t>
            </w:r>
          </w:p>
        </w:tc>
        <w:tc>
          <w:tcPr>
            <w:tcW w:w="1205" w:type="dxa"/>
            <w:tcBorders>
              <w:top w:val="nil"/>
              <w:bottom w:val="nil"/>
            </w:tcBorders>
          </w:tcPr>
          <w:p w:rsidR="00000000" w:rsidRDefault="00000000">
            <w:pPr>
              <w:pStyle w:val="a2"/>
              <w:spacing w:line="240" w:lineRule="auto"/>
              <w:ind w:right="113"/>
              <w:jc w:val="right"/>
              <w:rPr>
                <w:sz w:val="18"/>
              </w:rPr>
            </w:pPr>
            <w:r>
              <w:rPr>
                <w:sz w:val="18"/>
              </w:rPr>
              <w:t>16,203</w:t>
            </w:r>
          </w:p>
        </w:tc>
        <w:tc>
          <w:tcPr>
            <w:tcW w:w="1206" w:type="dxa"/>
            <w:tcBorders>
              <w:top w:val="nil"/>
              <w:bottom w:val="nil"/>
            </w:tcBorders>
          </w:tcPr>
          <w:p w:rsidR="00000000" w:rsidRDefault="00000000">
            <w:pPr>
              <w:pStyle w:val="a2"/>
              <w:spacing w:line="240" w:lineRule="auto"/>
              <w:ind w:right="113"/>
              <w:jc w:val="right"/>
              <w:rPr>
                <w:sz w:val="18"/>
              </w:rPr>
            </w:pPr>
            <w:r>
              <w:rPr>
                <w:sz w:val="18"/>
              </w:rPr>
              <w:t>96.18</w:t>
            </w:r>
          </w:p>
        </w:tc>
      </w:tr>
      <w:tr w:rsidR="00000000">
        <w:tblPrEx>
          <w:tblCellMar>
            <w:top w:w="0" w:type="dxa"/>
            <w:bottom w:w="0" w:type="dxa"/>
          </w:tblCellMar>
        </w:tblPrEx>
        <w:trPr>
          <w:cantSplit/>
        </w:trPr>
        <w:tc>
          <w:tcPr>
            <w:tcW w:w="1300" w:type="dxa"/>
            <w:vMerge/>
            <w:tcBorders>
              <w:top w:val="single" w:sz="4" w:space="0" w:color="auto"/>
            </w:tcBorders>
          </w:tcPr>
          <w:p w:rsidR="00000000" w:rsidRDefault="00000000">
            <w:pPr>
              <w:pStyle w:val="a2"/>
              <w:spacing w:line="240" w:lineRule="auto"/>
              <w:rPr>
                <w:sz w:val="18"/>
              </w:rPr>
            </w:pPr>
          </w:p>
        </w:tc>
        <w:tc>
          <w:tcPr>
            <w:tcW w:w="817" w:type="dxa"/>
            <w:tcBorders>
              <w:top w:val="nil"/>
            </w:tcBorders>
          </w:tcPr>
          <w:p w:rsidR="00000000" w:rsidRDefault="00000000">
            <w:pPr>
              <w:pStyle w:val="a2"/>
              <w:spacing w:line="240" w:lineRule="auto"/>
              <w:rPr>
                <w:rFonts w:hint="eastAsia"/>
                <w:sz w:val="18"/>
              </w:rPr>
            </w:pPr>
            <w:r>
              <w:rPr>
                <w:rFonts w:hint="eastAsia"/>
                <w:sz w:val="17"/>
              </w:rPr>
              <w:t>共计</w:t>
            </w:r>
          </w:p>
        </w:tc>
        <w:tc>
          <w:tcPr>
            <w:tcW w:w="1205" w:type="dxa"/>
            <w:tcBorders>
              <w:top w:val="nil"/>
            </w:tcBorders>
          </w:tcPr>
          <w:p w:rsidR="00000000" w:rsidRDefault="00000000">
            <w:pPr>
              <w:pStyle w:val="a2"/>
              <w:spacing w:line="240" w:lineRule="auto"/>
              <w:ind w:right="113"/>
              <w:jc w:val="right"/>
              <w:rPr>
                <w:sz w:val="18"/>
              </w:rPr>
            </w:pPr>
            <w:r>
              <w:rPr>
                <w:sz w:val="18"/>
              </w:rPr>
              <w:t>134,274</w:t>
            </w:r>
          </w:p>
        </w:tc>
        <w:tc>
          <w:tcPr>
            <w:tcW w:w="1205" w:type="dxa"/>
            <w:tcBorders>
              <w:top w:val="nil"/>
            </w:tcBorders>
          </w:tcPr>
          <w:p w:rsidR="00000000" w:rsidRDefault="00000000">
            <w:pPr>
              <w:pStyle w:val="a2"/>
              <w:spacing w:line="240" w:lineRule="auto"/>
              <w:ind w:right="113"/>
              <w:jc w:val="right"/>
              <w:rPr>
                <w:sz w:val="18"/>
              </w:rPr>
            </w:pPr>
            <w:r>
              <w:rPr>
                <w:sz w:val="18"/>
              </w:rPr>
              <w:t>129,355</w:t>
            </w:r>
          </w:p>
        </w:tc>
        <w:tc>
          <w:tcPr>
            <w:tcW w:w="1206" w:type="dxa"/>
            <w:tcBorders>
              <w:top w:val="nil"/>
            </w:tcBorders>
          </w:tcPr>
          <w:p w:rsidR="00000000" w:rsidRDefault="00000000">
            <w:pPr>
              <w:pStyle w:val="a2"/>
              <w:spacing w:line="240" w:lineRule="auto"/>
              <w:ind w:right="113"/>
              <w:jc w:val="right"/>
              <w:rPr>
                <w:sz w:val="18"/>
              </w:rPr>
            </w:pPr>
            <w:r>
              <w:rPr>
                <w:sz w:val="18"/>
              </w:rPr>
              <w:t>96.34</w:t>
            </w:r>
          </w:p>
        </w:tc>
        <w:tc>
          <w:tcPr>
            <w:tcW w:w="1205" w:type="dxa"/>
            <w:tcBorders>
              <w:top w:val="nil"/>
            </w:tcBorders>
          </w:tcPr>
          <w:p w:rsidR="00000000" w:rsidRDefault="00000000">
            <w:pPr>
              <w:pStyle w:val="a2"/>
              <w:spacing w:line="240" w:lineRule="auto"/>
              <w:ind w:right="113"/>
              <w:jc w:val="right"/>
              <w:rPr>
                <w:sz w:val="18"/>
              </w:rPr>
            </w:pPr>
            <w:r>
              <w:rPr>
                <w:sz w:val="18"/>
              </w:rPr>
              <w:t>33,854</w:t>
            </w:r>
          </w:p>
        </w:tc>
        <w:tc>
          <w:tcPr>
            <w:tcW w:w="1205" w:type="dxa"/>
            <w:tcBorders>
              <w:top w:val="nil"/>
            </w:tcBorders>
          </w:tcPr>
          <w:p w:rsidR="00000000" w:rsidRDefault="00000000">
            <w:pPr>
              <w:pStyle w:val="a2"/>
              <w:spacing w:line="240" w:lineRule="auto"/>
              <w:ind w:right="113"/>
              <w:jc w:val="right"/>
              <w:rPr>
                <w:sz w:val="18"/>
              </w:rPr>
            </w:pPr>
          </w:p>
        </w:tc>
        <w:tc>
          <w:tcPr>
            <w:tcW w:w="1206" w:type="dxa"/>
            <w:tcBorders>
              <w:top w:val="nil"/>
            </w:tcBorders>
          </w:tcPr>
          <w:p w:rsidR="00000000" w:rsidRDefault="00000000">
            <w:pPr>
              <w:pStyle w:val="a2"/>
              <w:spacing w:line="240" w:lineRule="auto"/>
              <w:ind w:right="113"/>
              <w:jc w:val="right"/>
              <w:rPr>
                <w:sz w:val="18"/>
              </w:rPr>
            </w:pPr>
            <w:r>
              <w:rPr>
                <w:sz w:val="18"/>
              </w:rPr>
              <w:t>0.00</w:t>
            </w:r>
          </w:p>
        </w:tc>
      </w:tr>
    </w:tbl>
    <w:p w:rsidR="00000000" w:rsidRDefault="00000000">
      <w:pPr>
        <w:pStyle w:val="FootnoteText"/>
        <w:spacing w:before="300"/>
        <w:ind w:left="1020" w:hanging="500"/>
        <w:rPr>
          <w:rFonts w:hint="eastAsia"/>
          <w:sz w:val="22"/>
        </w:rPr>
      </w:pPr>
      <w:r>
        <w:rPr>
          <w:rFonts w:hint="eastAsia"/>
          <w:sz w:val="22"/>
        </w:rPr>
        <w:t>*</w:t>
      </w:r>
      <w:r>
        <w:rPr>
          <w:sz w:val="22"/>
        </w:rPr>
        <w:tab/>
      </w:r>
      <w:r>
        <w:rPr>
          <w:rFonts w:hint="eastAsia"/>
          <w:sz w:val="22"/>
        </w:rPr>
        <w:t>学前教育学生升级人数</w:t>
      </w:r>
      <w:r>
        <w:rPr>
          <w:rFonts w:hint="eastAsia"/>
          <w:sz w:val="22"/>
        </w:rPr>
        <w:t>(</w:t>
      </w:r>
      <w:r>
        <w:rPr>
          <w:rFonts w:hint="eastAsia"/>
          <w:sz w:val="22"/>
        </w:rPr>
        <w:t>此级没有不升级的情况，因此从注册总数中减去退学人数</w:t>
      </w:r>
      <w:r>
        <w:rPr>
          <w:rFonts w:hint="eastAsia"/>
          <w:sz w:val="22"/>
        </w:rPr>
        <w:t>)</w:t>
      </w:r>
      <w:r>
        <w:rPr>
          <w:rFonts w:hint="eastAsia"/>
          <w:sz w:val="22"/>
        </w:rPr>
        <w:t>。</w:t>
      </w:r>
    </w:p>
    <w:p w:rsidR="00000000" w:rsidRDefault="00000000">
      <w:pPr>
        <w:pStyle w:val="FootnoteText"/>
        <w:ind w:left="260" w:firstLine="0"/>
        <w:rPr>
          <w:rFonts w:hint="eastAsia"/>
          <w:sz w:val="22"/>
        </w:rPr>
      </w:pPr>
      <w:r>
        <w:rPr>
          <w:rFonts w:hint="eastAsia"/>
          <w:sz w:val="22"/>
          <w:u w:val="single"/>
        </w:rPr>
        <w:t>编制</w:t>
      </w:r>
      <w:r>
        <w:rPr>
          <w:rFonts w:hint="eastAsia"/>
          <w:sz w:val="22"/>
        </w:rPr>
        <w:t>：教育部和文化统计小组</w:t>
      </w:r>
    </w:p>
    <w:p w:rsidR="00000000" w:rsidRDefault="00000000">
      <w:pPr>
        <w:pStyle w:val="Heading3"/>
        <w:spacing w:before="300" w:after="80"/>
        <w:rPr>
          <w:rFonts w:hint="eastAsia"/>
        </w:rPr>
      </w:pPr>
      <w:r>
        <w:rPr>
          <w:rFonts w:hint="eastAsia"/>
        </w:rPr>
        <w:t>正规小学生升级情况</w:t>
      </w:r>
      <w:r>
        <w:rPr>
          <w:rFonts w:hint="eastAsia"/>
        </w:rPr>
        <w:t>(</w:t>
      </w:r>
      <w:r>
        <w:rPr>
          <w:rFonts w:hint="eastAsia"/>
        </w:rPr>
        <w:t>按地区、学年和性别分类</w:t>
      </w:r>
      <w:r>
        <w:rPr>
          <w:rFonts w:hint="eastAsia"/>
        </w:rPr>
        <w:t>)</w:t>
      </w:r>
    </w:p>
    <w:tbl>
      <w:tblPr>
        <w:tblW w:w="0" w:type="auto"/>
        <w:jc w:val="center"/>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60"/>
        <w:gridCol w:w="714"/>
        <w:gridCol w:w="1190"/>
        <w:gridCol w:w="1190"/>
        <w:gridCol w:w="1190"/>
        <w:gridCol w:w="1190"/>
        <w:gridCol w:w="1190"/>
        <w:gridCol w:w="1190"/>
      </w:tblGrid>
      <w:tr w:rsidR="00000000">
        <w:tblPrEx>
          <w:tblCellMar>
            <w:top w:w="0" w:type="dxa"/>
            <w:bottom w:w="0" w:type="dxa"/>
          </w:tblCellMar>
        </w:tblPrEx>
        <w:trPr>
          <w:cantSplit/>
          <w:jc w:val="center"/>
        </w:trPr>
        <w:tc>
          <w:tcPr>
            <w:tcW w:w="1360" w:type="dxa"/>
            <w:vMerge w:val="restart"/>
            <w:vAlign w:val="center"/>
          </w:tcPr>
          <w:p w:rsidR="00000000" w:rsidRDefault="00000000">
            <w:pPr>
              <w:pStyle w:val="a2"/>
              <w:spacing w:before="60" w:line="240" w:lineRule="auto"/>
              <w:jc w:val="center"/>
              <w:rPr>
                <w:rFonts w:hint="eastAsia"/>
                <w:sz w:val="18"/>
                <w:u w:val="single"/>
              </w:rPr>
            </w:pPr>
            <w:r>
              <w:rPr>
                <w:rFonts w:hint="eastAsia"/>
                <w:sz w:val="18"/>
                <w:u w:val="single"/>
              </w:rPr>
              <w:t>学</w:t>
            </w:r>
            <w:r>
              <w:rPr>
                <w:rFonts w:hint="eastAsia"/>
                <w:sz w:val="18"/>
                <w:u w:val="single"/>
              </w:rPr>
              <w:t xml:space="preserve">  </w:t>
            </w:r>
            <w:r>
              <w:rPr>
                <w:rFonts w:hint="eastAsia"/>
                <w:sz w:val="18"/>
                <w:u w:val="single"/>
              </w:rPr>
              <w:t>年</w:t>
            </w:r>
          </w:p>
        </w:tc>
        <w:tc>
          <w:tcPr>
            <w:tcW w:w="7854" w:type="dxa"/>
            <w:gridSpan w:val="7"/>
            <w:vAlign w:val="center"/>
          </w:tcPr>
          <w:p w:rsidR="00000000" w:rsidRDefault="00000000">
            <w:pPr>
              <w:pStyle w:val="a2"/>
              <w:spacing w:before="60" w:line="240" w:lineRule="auto"/>
              <w:jc w:val="center"/>
              <w:rPr>
                <w:rFonts w:hint="eastAsia"/>
                <w:sz w:val="18"/>
                <w:u w:val="single"/>
              </w:rPr>
            </w:pPr>
            <w:r>
              <w:rPr>
                <w:rFonts w:hint="eastAsia"/>
                <w:sz w:val="18"/>
                <w:u w:val="single"/>
              </w:rPr>
              <w:t>小</w:t>
            </w:r>
            <w:r>
              <w:rPr>
                <w:rFonts w:hint="eastAsia"/>
                <w:sz w:val="18"/>
                <w:u w:val="single"/>
              </w:rPr>
              <w:t xml:space="preserve">  </w:t>
            </w:r>
            <w:r>
              <w:rPr>
                <w:rFonts w:hint="eastAsia"/>
                <w:sz w:val="18"/>
                <w:u w:val="single"/>
              </w:rPr>
              <w:t>学</w:t>
            </w:r>
          </w:p>
        </w:tc>
      </w:tr>
      <w:tr w:rsidR="00000000">
        <w:tblPrEx>
          <w:tblCellMar>
            <w:top w:w="0" w:type="dxa"/>
            <w:bottom w:w="0" w:type="dxa"/>
          </w:tblCellMar>
        </w:tblPrEx>
        <w:trPr>
          <w:cantSplit/>
          <w:jc w:val="center"/>
        </w:trPr>
        <w:tc>
          <w:tcPr>
            <w:tcW w:w="1360" w:type="dxa"/>
            <w:vMerge/>
            <w:tcBorders>
              <w:bottom w:val="single" w:sz="4" w:space="0" w:color="auto"/>
            </w:tcBorders>
            <w:vAlign w:val="center"/>
          </w:tcPr>
          <w:p w:rsidR="00000000" w:rsidRDefault="00000000">
            <w:pPr>
              <w:pStyle w:val="a2"/>
              <w:spacing w:before="60" w:line="240" w:lineRule="auto"/>
              <w:jc w:val="center"/>
              <w:rPr>
                <w:sz w:val="18"/>
                <w:u w:val="single"/>
              </w:rPr>
            </w:pPr>
          </w:p>
        </w:tc>
        <w:tc>
          <w:tcPr>
            <w:tcW w:w="714"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性别</w:t>
            </w:r>
          </w:p>
        </w:tc>
        <w:tc>
          <w:tcPr>
            <w:tcW w:w="1190"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城市注册</w:t>
            </w:r>
            <w:r>
              <w:rPr>
                <w:sz w:val="18"/>
                <w:u w:val="single"/>
              </w:rPr>
              <w:br/>
            </w:r>
            <w:r>
              <w:rPr>
                <w:rFonts w:hint="eastAsia"/>
                <w:sz w:val="18"/>
                <w:u w:val="single"/>
              </w:rPr>
              <w:t>净数</w:t>
            </w:r>
          </w:p>
        </w:tc>
        <w:tc>
          <w:tcPr>
            <w:tcW w:w="1190"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升级人数</w:t>
            </w:r>
            <w:r>
              <w:rPr>
                <w:sz w:val="18"/>
                <w:u w:val="single"/>
              </w:rPr>
              <w:br/>
            </w:r>
            <w:r>
              <w:rPr>
                <w:rFonts w:hint="eastAsia"/>
                <w:sz w:val="18"/>
                <w:u w:val="single"/>
              </w:rPr>
              <w:t>(</w:t>
            </w:r>
            <w:r>
              <w:rPr>
                <w:rFonts w:hint="eastAsia"/>
                <w:sz w:val="18"/>
                <w:u w:val="single"/>
              </w:rPr>
              <w:t>城市</w:t>
            </w:r>
            <w:r>
              <w:rPr>
                <w:rFonts w:hint="eastAsia"/>
                <w:sz w:val="18"/>
                <w:u w:val="single"/>
              </w:rPr>
              <w:t>)*</w:t>
            </w:r>
          </w:p>
        </w:tc>
        <w:tc>
          <w:tcPr>
            <w:tcW w:w="1190"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百分比</w:t>
            </w:r>
          </w:p>
        </w:tc>
        <w:tc>
          <w:tcPr>
            <w:tcW w:w="1190"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乡村注册</w:t>
            </w:r>
            <w:r>
              <w:rPr>
                <w:sz w:val="18"/>
                <w:u w:val="single"/>
              </w:rPr>
              <w:br/>
            </w:r>
            <w:r>
              <w:rPr>
                <w:rFonts w:hint="eastAsia"/>
                <w:sz w:val="18"/>
                <w:u w:val="single"/>
              </w:rPr>
              <w:t>净数</w:t>
            </w:r>
          </w:p>
        </w:tc>
        <w:tc>
          <w:tcPr>
            <w:tcW w:w="1190" w:type="dxa"/>
            <w:tcBorders>
              <w:bottom w:val="single" w:sz="4" w:space="0" w:color="auto"/>
            </w:tcBorders>
            <w:vAlign w:val="center"/>
          </w:tcPr>
          <w:p w:rsidR="00000000" w:rsidRDefault="00000000">
            <w:pPr>
              <w:pStyle w:val="a2"/>
              <w:spacing w:before="60" w:line="240" w:lineRule="auto"/>
              <w:jc w:val="center"/>
              <w:rPr>
                <w:sz w:val="18"/>
                <w:u w:val="single"/>
              </w:rPr>
            </w:pPr>
            <w:r>
              <w:rPr>
                <w:rFonts w:hint="eastAsia"/>
                <w:sz w:val="18"/>
                <w:u w:val="single"/>
              </w:rPr>
              <w:t>升级人数</w:t>
            </w:r>
            <w:r>
              <w:rPr>
                <w:sz w:val="18"/>
                <w:u w:val="single"/>
              </w:rPr>
              <w:br/>
            </w:r>
            <w:r>
              <w:rPr>
                <w:rFonts w:hint="eastAsia"/>
                <w:sz w:val="18"/>
                <w:u w:val="single"/>
              </w:rPr>
              <w:t>(</w:t>
            </w:r>
            <w:r>
              <w:rPr>
                <w:rFonts w:hint="eastAsia"/>
                <w:sz w:val="18"/>
                <w:u w:val="single"/>
              </w:rPr>
              <w:t>乡村</w:t>
            </w:r>
            <w:r>
              <w:rPr>
                <w:rFonts w:hint="eastAsia"/>
                <w:sz w:val="18"/>
                <w:u w:val="single"/>
              </w:rPr>
              <w:t>)*</w:t>
            </w:r>
          </w:p>
        </w:tc>
        <w:tc>
          <w:tcPr>
            <w:tcW w:w="1190"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百分比</w:t>
            </w:r>
          </w:p>
        </w:tc>
      </w:tr>
      <w:tr w:rsidR="00000000">
        <w:tblPrEx>
          <w:tblCellMar>
            <w:top w:w="0" w:type="dxa"/>
            <w:bottom w:w="0" w:type="dxa"/>
          </w:tblCellMar>
        </w:tblPrEx>
        <w:trPr>
          <w:cantSplit/>
          <w:jc w:val="center"/>
        </w:trPr>
        <w:tc>
          <w:tcPr>
            <w:tcW w:w="1360"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1993-</w:t>
            </w:r>
            <w:r>
              <w:rPr>
                <w:rFonts w:hint="eastAsia"/>
                <w:sz w:val="18"/>
              </w:rPr>
              <w:t>1</w:t>
            </w:r>
            <w:r>
              <w:rPr>
                <w:sz w:val="18"/>
              </w:rPr>
              <w:t>994</w:t>
            </w:r>
            <w:r>
              <w:rPr>
                <w:rFonts w:hint="eastAsia"/>
                <w:sz w:val="18"/>
              </w:rPr>
              <w:t>年</w:t>
            </w:r>
          </w:p>
        </w:tc>
        <w:tc>
          <w:tcPr>
            <w:tcW w:w="714"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502,901</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72,176</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14.35</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389,981</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45,963</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11.79</w:t>
            </w:r>
          </w:p>
        </w:tc>
      </w:tr>
      <w:tr w:rsidR="00000000">
        <w:tblPrEx>
          <w:tblCellMar>
            <w:top w:w="0" w:type="dxa"/>
            <w:bottom w:w="0" w:type="dxa"/>
          </w:tblCellMar>
        </w:tblPrEx>
        <w:trPr>
          <w:cantSplit/>
          <w:jc w:val="center"/>
        </w:trPr>
        <w:tc>
          <w:tcPr>
            <w:tcW w:w="1360" w:type="dxa"/>
            <w:vMerge/>
            <w:tcBorders>
              <w:top w:val="nil"/>
              <w:bottom w:val="nil"/>
            </w:tcBorders>
          </w:tcPr>
          <w:p w:rsidR="00000000" w:rsidRDefault="00000000">
            <w:pPr>
              <w:pStyle w:val="a2"/>
              <w:spacing w:line="240" w:lineRule="auto"/>
              <w:rPr>
                <w:sz w:val="18"/>
              </w:rPr>
            </w:pPr>
          </w:p>
        </w:tc>
        <w:tc>
          <w:tcPr>
            <w:tcW w:w="714"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190" w:type="dxa"/>
            <w:tcBorders>
              <w:top w:val="nil"/>
              <w:bottom w:val="nil"/>
            </w:tcBorders>
          </w:tcPr>
          <w:p w:rsidR="00000000" w:rsidRDefault="00000000">
            <w:pPr>
              <w:pStyle w:val="a2"/>
              <w:spacing w:line="240" w:lineRule="auto"/>
              <w:ind w:right="113"/>
              <w:jc w:val="right"/>
              <w:rPr>
                <w:sz w:val="18"/>
              </w:rPr>
            </w:pPr>
            <w:r>
              <w:rPr>
                <w:sz w:val="18"/>
              </w:rPr>
              <w:t>493,007</w:t>
            </w:r>
          </w:p>
        </w:tc>
        <w:tc>
          <w:tcPr>
            <w:tcW w:w="1190" w:type="dxa"/>
            <w:tcBorders>
              <w:top w:val="nil"/>
              <w:bottom w:val="nil"/>
            </w:tcBorders>
          </w:tcPr>
          <w:p w:rsidR="00000000" w:rsidRDefault="00000000">
            <w:pPr>
              <w:pStyle w:val="a2"/>
              <w:spacing w:line="240" w:lineRule="auto"/>
              <w:ind w:right="113"/>
              <w:jc w:val="right"/>
              <w:rPr>
                <w:sz w:val="18"/>
              </w:rPr>
            </w:pPr>
            <w:r>
              <w:rPr>
                <w:sz w:val="18"/>
              </w:rPr>
              <w:t>72,455</w:t>
            </w:r>
          </w:p>
        </w:tc>
        <w:tc>
          <w:tcPr>
            <w:tcW w:w="1190" w:type="dxa"/>
            <w:tcBorders>
              <w:top w:val="nil"/>
              <w:bottom w:val="nil"/>
            </w:tcBorders>
          </w:tcPr>
          <w:p w:rsidR="00000000" w:rsidRDefault="00000000">
            <w:pPr>
              <w:pStyle w:val="a2"/>
              <w:spacing w:line="240" w:lineRule="auto"/>
              <w:ind w:right="113"/>
              <w:jc w:val="right"/>
              <w:rPr>
                <w:sz w:val="18"/>
              </w:rPr>
            </w:pPr>
            <w:r>
              <w:rPr>
                <w:sz w:val="18"/>
              </w:rPr>
              <w:t>14.70</w:t>
            </w:r>
          </w:p>
        </w:tc>
        <w:tc>
          <w:tcPr>
            <w:tcW w:w="1190" w:type="dxa"/>
            <w:tcBorders>
              <w:top w:val="nil"/>
              <w:bottom w:val="nil"/>
            </w:tcBorders>
          </w:tcPr>
          <w:p w:rsidR="00000000" w:rsidRDefault="00000000">
            <w:pPr>
              <w:pStyle w:val="a2"/>
              <w:spacing w:line="240" w:lineRule="auto"/>
              <w:ind w:right="113"/>
              <w:jc w:val="right"/>
              <w:rPr>
                <w:sz w:val="18"/>
              </w:rPr>
            </w:pPr>
            <w:r>
              <w:rPr>
                <w:sz w:val="18"/>
              </w:rPr>
              <w:t>365,234</w:t>
            </w:r>
          </w:p>
        </w:tc>
        <w:tc>
          <w:tcPr>
            <w:tcW w:w="1190" w:type="dxa"/>
            <w:tcBorders>
              <w:top w:val="nil"/>
              <w:bottom w:val="nil"/>
            </w:tcBorders>
          </w:tcPr>
          <w:p w:rsidR="00000000" w:rsidRDefault="00000000">
            <w:pPr>
              <w:pStyle w:val="a2"/>
              <w:spacing w:line="240" w:lineRule="auto"/>
              <w:ind w:right="113"/>
              <w:jc w:val="right"/>
              <w:rPr>
                <w:sz w:val="18"/>
              </w:rPr>
            </w:pPr>
            <w:r>
              <w:rPr>
                <w:sz w:val="18"/>
              </w:rPr>
              <w:t>44,024</w:t>
            </w:r>
          </w:p>
        </w:tc>
        <w:tc>
          <w:tcPr>
            <w:tcW w:w="1190" w:type="dxa"/>
            <w:tcBorders>
              <w:top w:val="nil"/>
              <w:bottom w:val="nil"/>
            </w:tcBorders>
          </w:tcPr>
          <w:p w:rsidR="00000000" w:rsidRDefault="00000000">
            <w:pPr>
              <w:pStyle w:val="a2"/>
              <w:spacing w:line="240" w:lineRule="auto"/>
              <w:ind w:right="113"/>
              <w:jc w:val="right"/>
              <w:rPr>
                <w:sz w:val="18"/>
              </w:rPr>
            </w:pPr>
            <w:r>
              <w:rPr>
                <w:sz w:val="18"/>
              </w:rPr>
              <w:t>12.05</w:t>
            </w:r>
          </w:p>
        </w:tc>
      </w:tr>
      <w:tr w:rsidR="00000000">
        <w:tblPrEx>
          <w:tblCellMar>
            <w:top w:w="0" w:type="dxa"/>
            <w:bottom w:w="0" w:type="dxa"/>
          </w:tblCellMar>
        </w:tblPrEx>
        <w:trPr>
          <w:cantSplit/>
          <w:jc w:val="center"/>
        </w:trPr>
        <w:tc>
          <w:tcPr>
            <w:tcW w:w="1360" w:type="dxa"/>
            <w:vMerge/>
            <w:tcBorders>
              <w:top w:val="nil"/>
              <w:bottom w:val="single" w:sz="4" w:space="0" w:color="auto"/>
            </w:tcBorders>
          </w:tcPr>
          <w:p w:rsidR="00000000" w:rsidRDefault="00000000">
            <w:pPr>
              <w:pStyle w:val="a2"/>
              <w:spacing w:line="240" w:lineRule="auto"/>
              <w:rPr>
                <w:sz w:val="18"/>
              </w:rPr>
            </w:pPr>
          </w:p>
        </w:tc>
        <w:tc>
          <w:tcPr>
            <w:tcW w:w="714" w:type="dxa"/>
            <w:tcBorders>
              <w:top w:val="nil"/>
              <w:bottom w:val="single" w:sz="4" w:space="0" w:color="auto"/>
            </w:tcBorders>
          </w:tcPr>
          <w:p w:rsidR="00000000" w:rsidRDefault="00000000">
            <w:pPr>
              <w:pStyle w:val="a2"/>
              <w:spacing w:line="240" w:lineRule="auto"/>
              <w:rPr>
                <w:rFonts w:hint="eastAsia"/>
                <w:sz w:val="18"/>
              </w:rPr>
            </w:pPr>
            <w:r>
              <w:rPr>
                <w:rFonts w:hint="eastAsia"/>
                <w:sz w:val="17"/>
              </w:rPr>
              <w:t>共计</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995,908</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144,631</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14.52</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755,215</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89,987</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11.92</w:t>
            </w:r>
          </w:p>
        </w:tc>
      </w:tr>
      <w:tr w:rsidR="00000000">
        <w:tblPrEx>
          <w:tblCellMar>
            <w:top w:w="0" w:type="dxa"/>
            <w:bottom w:w="0" w:type="dxa"/>
          </w:tblCellMar>
        </w:tblPrEx>
        <w:trPr>
          <w:cantSplit/>
          <w:jc w:val="center"/>
        </w:trPr>
        <w:tc>
          <w:tcPr>
            <w:tcW w:w="1360"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1994-1995</w:t>
            </w:r>
            <w:r>
              <w:rPr>
                <w:rFonts w:hint="eastAsia"/>
                <w:sz w:val="18"/>
              </w:rPr>
              <w:t>年</w:t>
            </w:r>
          </w:p>
        </w:tc>
        <w:tc>
          <w:tcPr>
            <w:tcW w:w="714"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511,215</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71,582</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14.00</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395,072</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46,671</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11.81</w:t>
            </w:r>
          </w:p>
        </w:tc>
      </w:tr>
      <w:tr w:rsidR="00000000">
        <w:tblPrEx>
          <w:tblCellMar>
            <w:top w:w="0" w:type="dxa"/>
            <w:bottom w:w="0" w:type="dxa"/>
          </w:tblCellMar>
        </w:tblPrEx>
        <w:trPr>
          <w:cantSplit/>
          <w:jc w:val="center"/>
        </w:trPr>
        <w:tc>
          <w:tcPr>
            <w:tcW w:w="1360" w:type="dxa"/>
            <w:vMerge/>
            <w:tcBorders>
              <w:top w:val="nil"/>
              <w:bottom w:val="nil"/>
            </w:tcBorders>
          </w:tcPr>
          <w:p w:rsidR="00000000" w:rsidRDefault="00000000">
            <w:pPr>
              <w:pStyle w:val="a2"/>
              <w:spacing w:line="240" w:lineRule="auto"/>
              <w:rPr>
                <w:sz w:val="18"/>
              </w:rPr>
            </w:pPr>
          </w:p>
        </w:tc>
        <w:tc>
          <w:tcPr>
            <w:tcW w:w="714"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190" w:type="dxa"/>
            <w:tcBorders>
              <w:top w:val="nil"/>
              <w:bottom w:val="nil"/>
            </w:tcBorders>
          </w:tcPr>
          <w:p w:rsidR="00000000" w:rsidRDefault="00000000">
            <w:pPr>
              <w:pStyle w:val="a2"/>
              <w:spacing w:line="240" w:lineRule="auto"/>
              <w:ind w:right="113"/>
              <w:jc w:val="right"/>
              <w:rPr>
                <w:sz w:val="18"/>
              </w:rPr>
            </w:pPr>
            <w:r>
              <w:rPr>
                <w:sz w:val="18"/>
              </w:rPr>
              <w:t>502,039</w:t>
            </w:r>
          </w:p>
        </w:tc>
        <w:tc>
          <w:tcPr>
            <w:tcW w:w="1190" w:type="dxa"/>
            <w:tcBorders>
              <w:top w:val="nil"/>
              <w:bottom w:val="nil"/>
            </w:tcBorders>
          </w:tcPr>
          <w:p w:rsidR="00000000" w:rsidRDefault="00000000">
            <w:pPr>
              <w:pStyle w:val="a2"/>
              <w:spacing w:line="240" w:lineRule="auto"/>
              <w:ind w:right="113"/>
              <w:jc w:val="right"/>
              <w:rPr>
                <w:sz w:val="18"/>
              </w:rPr>
            </w:pPr>
            <w:r>
              <w:rPr>
                <w:sz w:val="18"/>
              </w:rPr>
              <w:t>72,581</w:t>
            </w:r>
          </w:p>
        </w:tc>
        <w:tc>
          <w:tcPr>
            <w:tcW w:w="1190" w:type="dxa"/>
            <w:tcBorders>
              <w:top w:val="nil"/>
              <w:bottom w:val="nil"/>
            </w:tcBorders>
          </w:tcPr>
          <w:p w:rsidR="00000000" w:rsidRDefault="00000000">
            <w:pPr>
              <w:pStyle w:val="a2"/>
              <w:spacing w:line="240" w:lineRule="auto"/>
              <w:ind w:right="113"/>
              <w:jc w:val="right"/>
              <w:rPr>
                <w:sz w:val="18"/>
              </w:rPr>
            </w:pPr>
            <w:r>
              <w:rPr>
                <w:sz w:val="18"/>
              </w:rPr>
              <w:t>14.46</w:t>
            </w:r>
          </w:p>
        </w:tc>
        <w:tc>
          <w:tcPr>
            <w:tcW w:w="1190" w:type="dxa"/>
            <w:tcBorders>
              <w:top w:val="nil"/>
              <w:bottom w:val="nil"/>
            </w:tcBorders>
          </w:tcPr>
          <w:p w:rsidR="00000000" w:rsidRDefault="00000000">
            <w:pPr>
              <w:pStyle w:val="a2"/>
              <w:spacing w:line="240" w:lineRule="auto"/>
              <w:ind w:right="113"/>
              <w:jc w:val="right"/>
              <w:rPr>
                <w:sz w:val="18"/>
              </w:rPr>
            </w:pPr>
            <w:r>
              <w:rPr>
                <w:sz w:val="18"/>
              </w:rPr>
              <w:t>368,978</w:t>
            </w:r>
          </w:p>
        </w:tc>
        <w:tc>
          <w:tcPr>
            <w:tcW w:w="1190" w:type="dxa"/>
            <w:tcBorders>
              <w:top w:val="nil"/>
              <w:bottom w:val="nil"/>
            </w:tcBorders>
          </w:tcPr>
          <w:p w:rsidR="00000000" w:rsidRDefault="00000000">
            <w:pPr>
              <w:pStyle w:val="a2"/>
              <w:spacing w:line="240" w:lineRule="auto"/>
              <w:ind w:right="113"/>
              <w:jc w:val="right"/>
              <w:rPr>
                <w:sz w:val="18"/>
              </w:rPr>
            </w:pPr>
            <w:r>
              <w:rPr>
                <w:sz w:val="18"/>
              </w:rPr>
              <w:t>44,127</w:t>
            </w:r>
          </w:p>
        </w:tc>
        <w:tc>
          <w:tcPr>
            <w:tcW w:w="1190" w:type="dxa"/>
            <w:tcBorders>
              <w:top w:val="nil"/>
              <w:bottom w:val="nil"/>
            </w:tcBorders>
          </w:tcPr>
          <w:p w:rsidR="00000000" w:rsidRDefault="00000000">
            <w:pPr>
              <w:pStyle w:val="a2"/>
              <w:spacing w:line="240" w:lineRule="auto"/>
              <w:ind w:right="113"/>
              <w:jc w:val="right"/>
              <w:rPr>
                <w:sz w:val="18"/>
              </w:rPr>
            </w:pPr>
            <w:r>
              <w:rPr>
                <w:sz w:val="18"/>
              </w:rPr>
              <w:t>11.96</w:t>
            </w:r>
          </w:p>
        </w:tc>
      </w:tr>
      <w:tr w:rsidR="00000000">
        <w:tblPrEx>
          <w:tblCellMar>
            <w:top w:w="0" w:type="dxa"/>
            <w:bottom w:w="0" w:type="dxa"/>
          </w:tblCellMar>
        </w:tblPrEx>
        <w:trPr>
          <w:cantSplit/>
          <w:jc w:val="center"/>
        </w:trPr>
        <w:tc>
          <w:tcPr>
            <w:tcW w:w="1360" w:type="dxa"/>
            <w:vMerge/>
            <w:tcBorders>
              <w:top w:val="nil"/>
              <w:bottom w:val="single" w:sz="4" w:space="0" w:color="auto"/>
            </w:tcBorders>
          </w:tcPr>
          <w:p w:rsidR="00000000" w:rsidRDefault="00000000">
            <w:pPr>
              <w:pStyle w:val="a2"/>
              <w:spacing w:line="240" w:lineRule="auto"/>
              <w:rPr>
                <w:sz w:val="18"/>
              </w:rPr>
            </w:pPr>
          </w:p>
        </w:tc>
        <w:tc>
          <w:tcPr>
            <w:tcW w:w="714" w:type="dxa"/>
            <w:tcBorders>
              <w:top w:val="nil"/>
              <w:bottom w:val="single" w:sz="4" w:space="0" w:color="auto"/>
            </w:tcBorders>
          </w:tcPr>
          <w:p w:rsidR="00000000" w:rsidRDefault="00000000">
            <w:pPr>
              <w:pStyle w:val="a2"/>
              <w:spacing w:line="240" w:lineRule="auto"/>
              <w:rPr>
                <w:rFonts w:hint="eastAsia"/>
                <w:sz w:val="18"/>
              </w:rPr>
            </w:pPr>
            <w:r>
              <w:rPr>
                <w:rFonts w:hint="eastAsia"/>
                <w:sz w:val="17"/>
              </w:rPr>
              <w:t>共计</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1,013,254</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144,163</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14.23</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764,050</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90,798</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11.88</w:t>
            </w:r>
          </w:p>
        </w:tc>
      </w:tr>
      <w:tr w:rsidR="00000000">
        <w:tblPrEx>
          <w:tblCellMar>
            <w:top w:w="0" w:type="dxa"/>
            <w:bottom w:w="0" w:type="dxa"/>
          </w:tblCellMar>
        </w:tblPrEx>
        <w:trPr>
          <w:cantSplit/>
          <w:jc w:val="center"/>
        </w:trPr>
        <w:tc>
          <w:tcPr>
            <w:tcW w:w="1360"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1995-1996</w:t>
            </w:r>
            <w:r>
              <w:rPr>
                <w:rFonts w:hint="eastAsia"/>
                <w:sz w:val="18"/>
              </w:rPr>
              <w:t>年</w:t>
            </w:r>
          </w:p>
        </w:tc>
        <w:tc>
          <w:tcPr>
            <w:tcW w:w="714"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524,840</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72,938</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13.90</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399,714</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46,594</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11.66</w:t>
            </w:r>
          </w:p>
        </w:tc>
      </w:tr>
      <w:tr w:rsidR="00000000">
        <w:tblPrEx>
          <w:tblCellMar>
            <w:top w:w="0" w:type="dxa"/>
            <w:bottom w:w="0" w:type="dxa"/>
          </w:tblCellMar>
        </w:tblPrEx>
        <w:trPr>
          <w:cantSplit/>
          <w:jc w:val="center"/>
        </w:trPr>
        <w:tc>
          <w:tcPr>
            <w:tcW w:w="1360" w:type="dxa"/>
            <w:vMerge/>
            <w:tcBorders>
              <w:top w:val="nil"/>
              <w:bottom w:val="nil"/>
            </w:tcBorders>
          </w:tcPr>
          <w:p w:rsidR="00000000" w:rsidRDefault="00000000">
            <w:pPr>
              <w:pStyle w:val="a2"/>
              <w:spacing w:line="240" w:lineRule="auto"/>
              <w:rPr>
                <w:sz w:val="18"/>
              </w:rPr>
            </w:pPr>
          </w:p>
        </w:tc>
        <w:tc>
          <w:tcPr>
            <w:tcW w:w="714"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190" w:type="dxa"/>
            <w:tcBorders>
              <w:top w:val="nil"/>
              <w:bottom w:val="nil"/>
            </w:tcBorders>
          </w:tcPr>
          <w:p w:rsidR="00000000" w:rsidRDefault="00000000">
            <w:pPr>
              <w:pStyle w:val="a2"/>
              <w:spacing w:line="240" w:lineRule="auto"/>
              <w:ind w:right="113"/>
              <w:jc w:val="right"/>
              <w:rPr>
                <w:sz w:val="18"/>
              </w:rPr>
            </w:pPr>
            <w:r>
              <w:rPr>
                <w:sz w:val="18"/>
              </w:rPr>
              <w:t>515,048</w:t>
            </w:r>
          </w:p>
        </w:tc>
        <w:tc>
          <w:tcPr>
            <w:tcW w:w="1190" w:type="dxa"/>
            <w:tcBorders>
              <w:top w:val="nil"/>
              <w:bottom w:val="nil"/>
            </w:tcBorders>
          </w:tcPr>
          <w:p w:rsidR="00000000" w:rsidRDefault="00000000">
            <w:pPr>
              <w:pStyle w:val="a2"/>
              <w:spacing w:line="240" w:lineRule="auto"/>
              <w:ind w:right="113"/>
              <w:jc w:val="right"/>
              <w:rPr>
                <w:sz w:val="18"/>
              </w:rPr>
            </w:pPr>
            <w:r>
              <w:rPr>
                <w:sz w:val="18"/>
              </w:rPr>
              <w:t>73,347</w:t>
            </w:r>
          </w:p>
        </w:tc>
        <w:tc>
          <w:tcPr>
            <w:tcW w:w="1190" w:type="dxa"/>
            <w:tcBorders>
              <w:top w:val="nil"/>
              <w:bottom w:val="nil"/>
            </w:tcBorders>
          </w:tcPr>
          <w:p w:rsidR="00000000" w:rsidRDefault="00000000">
            <w:pPr>
              <w:pStyle w:val="a2"/>
              <w:spacing w:line="240" w:lineRule="auto"/>
              <w:ind w:right="113"/>
              <w:jc w:val="right"/>
              <w:rPr>
                <w:sz w:val="18"/>
              </w:rPr>
            </w:pPr>
            <w:r>
              <w:rPr>
                <w:sz w:val="18"/>
              </w:rPr>
              <w:t>14.24</w:t>
            </w:r>
          </w:p>
        </w:tc>
        <w:tc>
          <w:tcPr>
            <w:tcW w:w="1190" w:type="dxa"/>
            <w:tcBorders>
              <w:top w:val="nil"/>
              <w:bottom w:val="nil"/>
            </w:tcBorders>
          </w:tcPr>
          <w:p w:rsidR="00000000" w:rsidRDefault="00000000">
            <w:pPr>
              <w:pStyle w:val="a2"/>
              <w:spacing w:line="240" w:lineRule="auto"/>
              <w:ind w:right="113"/>
              <w:jc w:val="right"/>
              <w:rPr>
                <w:sz w:val="18"/>
              </w:rPr>
            </w:pPr>
            <w:r>
              <w:rPr>
                <w:sz w:val="18"/>
              </w:rPr>
              <w:t>372,653</w:t>
            </w:r>
          </w:p>
        </w:tc>
        <w:tc>
          <w:tcPr>
            <w:tcW w:w="1190" w:type="dxa"/>
            <w:tcBorders>
              <w:top w:val="nil"/>
              <w:bottom w:val="nil"/>
            </w:tcBorders>
          </w:tcPr>
          <w:p w:rsidR="00000000" w:rsidRDefault="00000000">
            <w:pPr>
              <w:pStyle w:val="a2"/>
              <w:spacing w:line="240" w:lineRule="auto"/>
              <w:ind w:right="113"/>
              <w:jc w:val="right"/>
              <w:rPr>
                <w:sz w:val="18"/>
              </w:rPr>
            </w:pPr>
            <w:r>
              <w:rPr>
                <w:sz w:val="18"/>
              </w:rPr>
              <w:t>44,067</w:t>
            </w:r>
          </w:p>
        </w:tc>
        <w:tc>
          <w:tcPr>
            <w:tcW w:w="1190" w:type="dxa"/>
            <w:tcBorders>
              <w:top w:val="nil"/>
              <w:bottom w:val="nil"/>
            </w:tcBorders>
          </w:tcPr>
          <w:p w:rsidR="00000000" w:rsidRDefault="00000000">
            <w:pPr>
              <w:pStyle w:val="a2"/>
              <w:spacing w:line="240" w:lineRule="auto"/>
              <w:ind w:right="113"/>
              <w:jc w:val="right"/>
              <w:rPr>
                <w:sz w:val="18"/>
              </w:rPr>
            </w:pPr>
            <w:r>
              <w:rPr>
                <w:sz w:val="18"/>
              </w:rPr>
              <w:t>11.83</w:t>
            </w:r>
          </w:p>
        </w:tc>
      </w:tr>
      <w:tr w:rsidR="00000000">
        <w:tblPrEx>
          <w:tblCellMar>
            <w:top w:w="0" w:type="dxa"/>
            <w:bottom w:w="0" w:type="dxa"/>
          </w:tblCellMar>
        </w:tblPrEx>
        <w:trPr>
          <w:cantSplit/>
          <w:jc w:val="center"/>
        </w:trPr>
        <w:tc>
          <w:tcPr>
            <w:tcW w:w="1360" w:type="dxa"/>
            <w:vMerge/>
            <w:tcBorders>
              <w:top w:val="nil"/>
              <w:bottom w:val="single" w:sz="4" w:space="0" w:color="auto"/>
            </w:tcBorders>
          </w:tcPr>
          <w:p w:rsidR="00000000" w:rsidRDefault="00000000">
            <w:pPr>
              <w:pStyle w:val="a2"/>
              <w:spacing w:line="240" w:lineRule="auto"/>
              <w:rPr>
                <w:sz w:val="18"/>
              </w:rPr>
            </w:pPr>
          </w:p>
        </w:tc>
        <w:tc>
          <w:tcPr>
            <w:tcW w:w="714" w:type="dxa"/>
            <w:tcBorders>
              <w:top w:val="nil"/>
              <w:bottom w:val="single" w:sz="4" w:space="0" w:color="auto"/>
            </w:tcBorders>
          </w:tcPr>
          <w:p w:rsidR="00000000" w:rsidRDefault="00000000">
            <w:pPr>
              <w:pStyle w:val="a2"/>
              <w:spacing w:line="240" w:lineRule="auto"/>
              <w:rPr>
                <w:rFonts w:hint="eastAsia"/>
                <w:sz w:val="18"/>
              </w:rPr>
            </w:pPr>
            <w:r>
              <w:rPr>
                <w:rFonts w:hint="eastAsia"/>
                <w:sz w:val="17"/>
              </w:rPr>
              <w:t>共计</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1,039,888</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146,258</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14.07</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772,367</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90,661</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11.74</w:t>
            </w:r>
          </w:p>
        </w:tc>
      </w:tr>
      <w:tr w:rsidR="00000000">
        <w:tblPrEx>
          <w:tblCellMar>
            <w:top w:w="0" w:type="dxa"/>
            <w:bottom w:w="0" w:type="dxa"/>
          </w:tblCellMar>
        </w:tblPrEx>
        <w:trPr>
          <w:cantSplit/>
          <w:jc w:val="center"/>
        </w:trPr>
        <w:tc>
          <w:tcPr>
            <w:tcW w:w="1360"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1996-1997</w:t>
            </w:r>
            <w:r>
              <w:rPr>
                <w:rFonts w:hint="eastAsia"/>
                <w:sz w:val="18"/>
              </w:rPr>
              <w:t>年</w:t>
            </w:r>
          </w:p>
        </w:tc>
        <w:tc>
          <w:tcPr>
            <w:tcW w:w="714"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548,810</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76,832</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14.00</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414,801</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49,240</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11.87</w:t>
            </w:r>
          </w:p>
        </w:tc>
      </w:tr>
      <w:tr w:rsidR="00000000">
        <w:tblPrEx>
          <w:tblCellMar>
            <w:top w:w="0" w:type="dxa"/>
            <w:bottom w:w="0" w:type="dxa"/>
          </w:tblCellMar>
        </w:tblPrEx>
        <w:trPr>
          <w:cantSplit/>
          <w:jc w:val="center"/>
        </w:trPr>
        <w:tc>
          <w:tcPr>
            <w:tcW w:w="1360" w:type="dxa"/>
            <w:vMerge/>
            <w:tcBorders>
              <w:top w:val="nil"/>
              <w:bottom w:val="nil"/>
            </w:tcBorders>
          </w:tcPr>
          <w:p w:rsidR="00000000" w:rsidRDefault="00000000">
            <w:pPr>
              <w:pStyle w:val="a2"/>
              <w:spacing w:line="240" w:lineRule="auto"/>
              <w:rPr>
                <w:sz w:val="18"/>
              </w:rPr>
            </w:pPr>
          </w:p>
        </w:tc>
        <w:tc>
          <w:tcPr>
            <w:tcW w:w="714"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190" w:type="dxa"/>
            <w:tcBorders>
              <w:top w:val="nil"/>
              <w:bottom w:val="nil"/>
            </w:tcBorders>
          </w:tcPr>
          <w:p w:rsidR="00000000" w:rsidRDefault="00000000">
            <w:pPr>
              <w:pStyle w:val="a2"/>
              <w:spacing w:line="240" w:lineRule="auto"/>
              <w:ind w:right="113"/>
              <w:jc w:val="right"/>
              <w:rPr>
                <w:sz w:val="18"/>
              </w:rPr>
            </w:pPr>
            <w:r>
              <w:rPr>
                <w:sz w:val="18"/>
              </w:rPr>
              <w:t>537,425</w:t>
            </w:r>
          </w:p>
        </w:tc>
        <w:tc>
          <w:tcPr>
            <w:tcW w:w="1190" w:type="dxa"/>
            <w:tcBorders>
              <w:top w:val="nil"/>
              <w:bottom w:val="nil"/>
            </w:tcBorders>
          </w:tcPr>
          <w:p w:rsidR="00000000" w:rsidRDefault="00000000">
            <w:pPr>
              <w:pStyle w:val="a2"/>
              <w:spacing w:line="240" w:lineRule="auto"/>
              <w:ind w:right="113"/>
              <w:jc w:val="right"/>
              <w:rPr>
                <w:sz w:val="18"/>
              </w:rPr>
            </w:pPr>
            <w:r>
              <w:rPr>
                <w:sz w:val="18"/>
              </w:rPr>
              <w:t>77,149</w:t>
            </w:r>
          </w:p>
        </w:tc>
        <w:tc>
          <w:tcPr>
            <w:tcW w:w="1190" w:type="dxa"/>
            <w:tcBorders>
              <w:top w:val="nil"/>
              <w:bottom w:val="nil"/>
            </w:tcBorders>
          </w:tcPr>
          <w:p w:rsidR="00000000" w:rsidRDefault="00000000">
            <w:pPr>
              <w:pStyle w:val="a2"/>
              <w:spacing w:line="240" w:lineRule="auto"/>
              <w:ind w:right="113"/>
              <w:jc w:val="right"/>
              <w:rPr>
                <w:sz w:val="18"/>
              </w:rPr>
            </w:pPr>
            <w:r>
              <w:rPr>
                <w:sz w:val="18"/>
              </w:rPr>
              <w:t>14.36</w:t>
            </w:r>
          </w:p>
        </w:tc>
        <w:tc>
          <w:tcPr>
            <w:tcW w:w="1190" w:type="dxa"/>
            <w:tcBorders>
              <w:top w:val="nil"/>
              <w:bottom w:val="nil"/>
            </w:tcBorders>
          </w:tcPr>
          <w:p w:rsidR="00000000" w:rsidRDefault="00000000">
            <w:pPr>
              <w:pStyle w:val="a2"/>
              <w:spacing w:line="240" w:lineRule="auto"/>
              <w:ind w:right="113"/>
              <w:jc w:val="right"/>
              <w:rPr>
                <w:sz w:val="18"/>
              </w:rPr>
            </w:pPr>
            <w:r>
              <w:rPr>
                <w:sz w:val="18"/>
              </w:rPr>
              <w:t>387,136</w:t>
            </w:r>
          </w:p>
        </w:tc>
        <w:tc>
          <w:tcPr>
            <w:tcW w:w="1190" w:type="dxa"/>
            <w:tcBorders>
              <w:top w:val="nil"/>
              <w:bottom w:val="nil"/>
            </w:tcBorders>
          </w:tcPr>
          <w:p w:rsidR="00000000" w:rsidRDefault="00000000">
            <w:pPr>
              <w:pStyle w:val="a2"/>
              <w:spacing w:line="240" w:lineRule="auto"/>
              <w:ind w:right="113"/>
              <w:jc w:val="right"/>
              <w:rPr>
                <w:sz w:val="18"/>
              </w:rPr>
            </w:pPr>
            <w:r>
              <w:rPr>
                <w:sz w:val="18"/>
              </w:rPr>
              <w:t>46,047</w:t>
            </w:r>
          </w:p>
        </w:tc>
        <w:tc>
          <w:tcPr>
            <w:tcW w:w="1190" w:type="dxa"/>
            <w:tcBorders>
              <w:top w:val="nil"/>
              <w:bottom w:val="nil"/>
            </w:tcBorders>
          </w:tcPr>
          <w:p w:rsidR="00000000" w:rsidRDefault="00000000">
            <w:pPr>
              <w:pStyle w:val="a2"/>
              <w:spacing w:line="240" w:lineRule="auto"/>
              <w:ind w:right="113"/>
              <w:jc w:val="right"/>
              <w:rPr>
                <w:sz w:val="18"/>
              </w:rPr>
            </w:pPr>
            <w:r>
              <w:rPr>
                <w:sz w:val="18"/>
              </w:rPr>
              <w:t>11.89</w:t>
            </w:r>
          </w:p>
        </w:tc>
      </w:tr>
      <w:tr w:rsidR="00000000">
        <w:tblPrEx>
          <w:tblCellMar>
            <w:top w:w="0" w:type="dxa"/>
            <w:bottom w:w="0" w:type="dxa"/>
          </w:tblCellMar>
        </w:tblPrEx>
        <w:trPr>
          <w:cantSplit/>
          <w:jc w:val="center"/>
        </w:trPr>
        <w:tc>
          <w:tcPr>
            <w:tcW w:w="1360" w:type="dxa"/>
            <w:vMerge/>
            <w:tcBorders>
              <w:top w:val="nil"/>
              <w:bottom w:val="single" w:sz="4" w:space="0" w:color="auto"/>
            </w:tcBorders>
          </w:tcPr>
          <w:p w:rsidR="00000000" w:rsidRDefault="00000000">
            <w:pPr>
              <w:pStyle w:val="a2"/>
              <w:spacing w:line="240" w:lineRule="auto"/>
              <w:rPr>
                <w:sz w:val="18"/>
              </w:rPr>
            </w:pPr>
          </w:p>
        </w:tc>
        <w:tc>
          <w:tcPr>
            <w:tcW w:w="714" w:type="dxa"/>
            <w:tcBorders>
              <w:top w:val="nil"/>
              <w:bottom w:val="single" w:sz="4" w:space="0" w:color="auto"/>
            </w:tcBorders>
          </w:tcPr>
          <w:p w:rsidR="00000000" w:rsidRDefault="00000000">
            <w:pPr>
              <w:pStyle w:val="a2"/>
              <w:spacing w:line="240" w:lineRule="auto"/>
              <w:rPr>
                <w:rFonts w:hint="eastAsia"/>
                <w:sz w:val="18"/>
              </w:rPr>
            </w:pPr>
            <w:r>
              <w:rPr>
                <w:rFonts w:hint="eastAsia"/>
                <w:sz w:val="17"/>
              </w:rPr>
              <w:t>共计</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1,086,235</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153,981</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14.18</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801,937</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95,287</w:t>
            </w:r>
          </w:p>
        </w:tc>
        <w:tc>
          <w:tcPr>
            <w:tcW w:w="1190" w:type="dxa"/>
            <w:tcBorders>
              <w:top w:val="nil"/>
              <w:bottom w:val="single" w:sz="4" w:space="0" w:color="auto"/>
            </w:tcBorders>
          </w:tcPr>
          <w:p w:rsidR="00000000" w:rsidRDefault="00000000">
            <w:pPr>
              <w:pStyle w:val="a2"/>
              <w:spacing w:line="240" w:lineRule="auto"/>
              <w:ind w:right="113"/>
              <w:jc w:val="right"/>
              <w:rPr>
                <w:sz w:val="18"/>
              </w:rPr>
            </w:pPr>
            <w:r>
              <w:rPr>
                <w:sz w:val="18"/>
              </w:rPr>
              <w:t>11.88</w:t>
            </w:r>
          </w:p>
        </w:tc>
      </w:tr>
      <w:tr w:rsidR="00000000">
        <w:tblPrEx>
          <w:tblCellMar>
            <w:top w:w="0" w:type="dxa"/>
            <w:bottom w:w="0" w:type="dxa"/>
          </w:tblCellMar>
        </w:tblPrEx>
        <w:trPr>
          <w:cantSplit/>
          <w:jc w:val="center"/>
        </w:trPr>
        <w:tc>
          <w:tcPr>
            <w:tcW w:w="1360"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1997-1998</w:t>
            </w:r>
            <w:r>
              <w:rPr>
                <w:rFonts w:hint="eastAsia"/>
                <w:sz w:val="18"/>
              </w:rPr>
              <w:t>年</w:t>
            </w:r>
          </w:p>
        </w:tc>
        <w:tc>
          <w:tcPr>
            <w:tcW w:w="714" w:type="dxa"/>
            <w:tcBorders>
              <w:top w:val="single" w:sz="4" w:space="0" w:color="auto"/>
              <w:bottom w:val="nil"/>
            </w:tcBorders>
          </w:tcPr>
          <w:p w:rsidR="00000000" w:rsidRDefault="00000000">
            <w:pPr>
              <w:pStyle w:val="a2"/>
              <w:spacing w:line="240" w:lineRule="auto"/>
              <w:rPr>
                <w:rFonts w:hint="eastAsia"/>
                <w:sz w:val="18"/>
              </w:rPr>
            </w:pPr>
            <w:r>
              <w:rPr>
                <w:rFonts w:hint="eastAsia"/>
                <w:sz w:val="18"/>
              </w:rPr>
              <w:t>男</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553,101</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77,703</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14.05</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406,000</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48,973</w:t>
            </w:r>
          </w:p>
        </w:tc>
        <w:tc>
          <w:tcPr>
            <w:tcW w:w="1190" w:type="dxa"/>
            <w:tcBorders>
              <w:top w:val="single" w:sz="4" w:space="0" w:color="auto"/>
              <w:bottom w:val="nil"/>
            </w:tcBorders>
          </w:tcPr>
          <w:p w:rsidR="00000000" w:rsidRDefault="00000000">
            <w:pPr>
              <w:pStyle w:val="a2"/>
              <w:spacing w:line="240" w:lineRule="auto"/>
              <w:ind w:right="113"/>
              <w:jc w:val="right"/>
              <w:rPr>
                <w:sz w:val="18"/>
              </w:rPr>
            </w:pPr>
            <w:r>
              <w:rPr>
                <w:sz w:val="18"/>
              </w:rPr>
              <w:t>12.06</w:t>
            </w:r>
          </w:p>
        </w:tc>
      </w:tr>
      <w:tr w:rsidR="00000000">
        <w:tblPrEx>
          <w:tblCellMar>
            <w:top w:w="0" w:type="dxa"/>
            <w:bottom w:w="0" w:type="dxa"/>
          </w:tblCellMar>
        </w:tblPrEx>
        <w:trPr>
          <w:cantSplit/>
          <w:jc w:val="center"/>
        </w:trPr>
        <w:tc>
          <w:tcPr>
            <w:tcW w:w="1360" w:type="dxa"/>
            <w:vMerge/>
            <w:tcBorders>
              <w:top w:val="nil"/>
              <w:bottom w:val="nil"/>
            </w:tcBorders>
          </w:tcPr>
          <w:p w:rsidR="00000000" w:rsidRDefault="00000000">
            <w:pPr>
              <w:pStyle w:val="a2"/>
              <w:spacing w:line="240" w:lineRule="auto"/>
              <w:rPr>
                <w:sz w:val="18"/>
              </w:rPr>
            </w:pPr>
          </w:p>
        </w:tc>
        <w:tc>
          <w:tcPr>
            <w:tcW w:w="714" w:type="dxa"/>
            <w:tcBorders>
              <w:top w:val="nil"/>
              <w:bottom w:val="nil"/>
            </w:tcBorders>
          </w:tcPr>
          <w:p w:rsidR="00000000" w:rsidRDefault="00000000">
            <w:pPr>
              <w:pStyle w:val="a2"/>
              <w:spacing w:line="240" w:lineRule="auto"/>
              <w:rPr>
                <w:rFonts w:hint="eastAsia"/>
                <w:sz w:val="18"/>
              </w:rPr>
            </w:pPr>
            <w:r>
              <w:rPr>
                <w:rFonts w:hint="eastAsia"/>
                <w:sz w:val="18"/>
              </w:rPr>
              <w:t>女</w:t>
            </w:r>
          </w:p>
        </w:tc>
        <w:tc>
          <w:tcPr>
            <w:tcW w:w="1190" w:type="dxa"/>
            <w:tcBorders>
              <w:top w:val="nil"/>
              <w:bottom w:val="nil"/>
            </w:tcBorders>
          </w:tcPr>
          <w:p w:rsidR="00000000" w:rsidRDefault="00000000">
            <w:pPr>
              <w:pStyle w:val="a2"/>
              <w:spacing w:line="240" w:lineRule="auto"/>
              <w:ind w:right="113"/>
              <w:jc w:val="right"/>
              <w:rPr>
                <w:sz w:val="18"/>
              </w:rPr>
            </w:pPr>
            <w:r>
              <w:rPr>
                <w:sz w:val="18"/>
              </w:rPr>
              <w:t>544,943</w:t>
            </w:r>
          </w:p>
        </w:tc>
        <w:tc>
          <w:tcPr>
            <w:tcW w:w="1190" w:type="dxa"/>
            <w:tcBorders>
              <w:top w:val="nil"/>
              <w:bottom w:val="nil"/>
            </w:tcBorders>
          </w:tcPr>
          <w:p w:rsidR="00000000" w:rsidRDefault="00000000">
            <w:pPr>
              <w:pStyle w:val="a2"/>
              <w:spacing w:line="240" w:lineRule="auto"/>
              <w:ind w:right="113"/>
              <w:jc w:val="right"/>
              <w:rPr>
                <w:sz w:val="18"/>
              </w:rPr>
            </w:pPr>
            <w:r>
              <w:rPr>
                <w:sz w:val="18"/>
              </w:rPr>
              <w:t>79,208</w:t>
            </w:r>
          </w:p>
        </w:tc>
        <w:tc>
          <w:tcPr>
            <w:tcW w:w="1190" w:type="dxa"/>
            <w:tcBorders>
              <w:top w:val="nil"/>
              <w:bottom w:val="nil"/>
            </w:tcBorders>
          </w:tcPr>
          <w:p w:rsidR="00000000" w:rsidRDefault="00000000">
            <w:pPr>
              <w:pStyle w:val="a2"/>
              <w:spacing w:line="240" w:lineRule="auto"/>
              <w:ind w:right="113"/>
              <w:jc w:val="right"/>
              <w:rPr>
                <w:sz w:val="18"/>
              </w:rPr>
            </w:pPr>
            <w:r>
              <w:rPr>
                <w:sz w:val="18"/>
              </w:rPr>
              <w:t>14.54</w:t>
            </w:r>
          </w:p>
        </w:tc>
        <w:tc>
          <w:tcPr>
            <w:tcW w:w="1190" w:type="dxa"/>
            <w:tcBorders>
              <w:top w:val="nil"/>
              <w:bottom w:val="nil"/>
            </w:tcBorders>
          </w:tcPr>
          <w:p w:rsidR="00000000" w:rsidRDefault="00000000">
            <w:pPr>
              <w:pStyle w:val="a2"/>
              <w:spacing w:line="240" w:lineRule="auto"/>
              <w:ind w:right="113"/>
              <w:jc w:val="right"/>
              <w:rPr>
                <w:sz w:val="18"/>
              </w:rPr>
            </w:pPr>
            <w:r>
              <w:rPr>
                <w:sz w:val="18"/>
              </w:rPr>
              <w:t>378,901</w:t>
            </w:r>
          </w:p>
        </w:tc>
        <w:tc>
          <w:tcPr>
            <w:tcW w:w="1190" w:type="dxa"/>
            <w:tcBorders>
              <w:top w:val="nil"/>
              <w:bottom w:val="nil"/>
            </w:tcBorders>
          </w:tcPr>
          <w:p w:rsidR="00000000" w:rsidRDefault="00000000">
            <w:pPr>
              <w:pStyle w:val="a2"/>
              <w:spacing w:line="240" w:lineRule="auto"/>
              <w:ind w:right="113"/>
              <w:jc w:val="right"/>
              <w:rPr>
                <w:sz w:val="18"/>
              </w:rPr>
            </w:pPr>
            <w:r>
              <w:rPr>
                <w:sz w:val="18"/>
              </w:rPr>
              <w:t>46,495</w:t>
            </w:r>
          </w:p>
        </w:tc>
        <w:tc>
          <w:tcPr>
            <w:tcW w:w="1190" w:type="dxa"/>
            <w:tcBorders>
              <w:top w:val="nil"/>
              <w:bottom w:val="nil"/>
            </w:tcBorders>
          </w:tcPr>
          <w:p w:rsidR="00000000" w:rsidRDefault="00000000">
            <w:pPr>
              <w:pStyle w:val="a2"/>
              <w:spacing w:line="240" w:lineRule="auto"/>
              <w:ind w:right="113"/>
              <w:jc w:val="right"/>
              <w:rPr>
                <w:sz w:val="18"/>
              </w:rPr>
            </w:pPr>
            <w:r>
              <w:rPr>
                <w:sz w:val="18"/>
              </w:rPr>
              <w:t>12.27</w:t>
            </w:r>
          </w:p>
        </w:tc>
      </w:tr>
      <w:tr w:rsidR="00000000">
        <w:tblPrEx>
          <w:tblCellMar>
            <w:top w:w="0" w:type="dxa"/>
            <w:bottom w:w="0" w:type="dxa"/>
          </w:tblCellMar>
        </w:tblPrEx>
        <w:trPr>
          <w:cantSplit/>
          <w:jc w:val="center"/>
        </w:trPr>
        <w:tc>
          <w:tcPr>
            <w:tcW w:w="1360" w:type="dxa"/>
            <w:vMerge/>
            <w:tcBorders>
              <w:top w:val="nil"/>
            </w:tcBorders>
          </w:tcPr>
          <w:p w:rsidR="00000000" w:rsidRDefault="00000000">
            <w:pPr>
              <w:pStyle w:val="a2"/>
              <w:spacing w:line="240" w:lineRule="auto"/>
              <w:rPr>
                <w:sz w:val="18"/>
              </w:rPr>
            </w:pPr>
          </w:p>
        </w:tc>
        <w:tc>
          <w:tcPr>
            <w:tcW w:w="714" w:type="dxa"/>
            <w:tcBorders>
              <w:top w:val="nil"/>
            </w:tcBorders>
          </w:tcPr>
          <w:p w:rsidR="00000000" w:rsidRDefault="00000000">
            <w:pPr>
              <w:pStyle w:val="a2"/>
              <w:spacing w:line="240" w:lineRule="auto"/>
              <w:rPr>
                <w:rFonts w:hint="eastAsia"/>
                <w:sz w:val="18"/>
              </w:rPr>
            </w:pPr>
            <w:r>
              <w:rPr>
                <w:rFonts w:hint="eastAsia"/>
                <w:sz w:val="17"/>
              </w:rPr>
              <w:t>共计</w:t>
            </w:r>
          </w:p>
        </w:tc>
        <w:tc>
          <w:tcPr>
            <w:tcW w:w="1190" w:type="dxa"/>
            <w:tcBorders>
              <w:top w:val="nil"/>
            </w:tcBorders>
          </w:tcPr>
          <w:p w:rsidR="00000000" w:rsidRDefault="00000000">
            <w:pPr>
              <w:pStyle w:val="a2"/>
              <w:spacing w:line="240" w:lineRule="auto"/>
              <w:ind w:right="113"/>
              <w:jc w:val="right"/>
              <w:rPr>
                <w:sz w:val="18"/>
              </w:rPr>
            </w:pPr>
            <w:r>
              <w:rPr>
                <w:sz w:val="18"/>
              </w:rPr>
              <w:t>1,098,044</w:t>
            </w:r>
          </w:p>
        </w:tc>
        <w:tc>
          <w:tcPr>
            <w:tcW w:w="1190" w:type="dxa"/>
            <w:tcBorders>
              <w:top w:val="nil"/>
            </w:tcBorders>
          </w:tcPr>
          <w:p w:rsidR="00000000" w:rsidRDefault="00000000">
            <w:pPr>
              <w:pStyle w:val="a2"/>
              <w:spacing w:line="240" w:lineRule="auto"/>
              <w:ind w:right="113"/>
              <w:jc w:val="right"/>
              <w:rPr>
                <w:sz w:val="18"/>
              </w:rPr>
            </w:pPr>
            <w:r>
              <w:rPr>
                <w:sz w:val="18"/>
              </w:rPr>
              <w:t>156,911</w:t>
            </w:r>
          </w:p>
        </w:tc>
        <w:tc>
          <w:tcPr>
            <w:tcW w:w="1190" w:type="dxa"/>
            <w:tcBorders>
              <w:top w:val="nil"/>
            </w:tcBorders>
          </w:tcPr>
          <w:p w:rsidR="00000000" w:rsidRDefault="00000000">
            <w:pPr>
              <w:pStyle w:val="a2"/>
              <w:spacing w:line="240" w:lineRule="auto"/>
              <w:ind w:right="113"/>
              <w:jc w:val="right"/>
              <w:rPr>
                <w:sz w:val="18"/>
              </w:rPr>
            </w:pPr>
            <w:r>
              <w:rPr>
                <w:sz w:val="18"/>
              </w:rPr>
              <w:t>14.29</w:t>
            </w:r>
          </w:p>
        </w:tc>
        <w:tc>
          <w:tcPr>
            <w:tcW w:w="1190" w:type="dxa"/>
            <w:tcBorders>
              <w:top w:val="nil"/>
            </w:tcBorders>
          </w:tcPr>
          <w:p w:rsidR="00000000" w:rsidRDefault="00000000">
            <w:pPr>
              <w:pStyle w:val="a2"/>
              <w:spacing w:line="240" w:lineRule="auto"/>
              <w:ind w:right="113"/>
              <w:jc w:val="right"/>
              <w:rPr>
                <w:sz w:val="18"/>
              </w:rPr>
            </w:pPr>
            <w:r>
              <w:rPr>
                <w:sz w:val="18"/>
              </w:rPr>
              <w:t>784,901</w:t>
            </w:r>
          </w:p>
        </w:tc>
        <w:tc>
          <w:tcPr>
            <w:tcW w:w="1190" w:type="dxa"/>
            <w:tcBorders>
              <w:top w:val="nil"/>
            </w:tcBorders>
          </w:tcPr>
          <w:p w:rsidR="00000000" w:rsidRDefault="00000000">
            <w:pPr>
              <w:pStyle w:val="a2"/>
              <w:spacing w:line="240" w:lineRule="auto"/>
              <w:ind w:right="113"/>
              <w:jc w:val="right"/>
              <w:rPr>
                <w:sz w:val="18"/>
              </w:rPr>
            </w:pPr>
            <w:r>
              <w:rPr>
                <w:sz w:val="18"/>
              </w:rPr>
              <w:t>95,468</w:t>
            </w:r>
          </w:p>
        </w:tc>
        <w:tc>
          <w:tcPr>
            <w:tcW w:w="1190" w:type="dxa"/>
            <w:tcBorders>
              <w:top w:val="nil"/>
            </w:tcBorders>
          </w:tcPr>
          <w:p w:rsidR="00000000" w:rsidRDefault="00000000">
            <w:pPr>
              <w:pStyle w:val="a2"/>
              <w:spacing w:line="240" w:lineRule="auto"/>
              <w:ind w:right="113"/>
              <w:jc w:val="right"/>
              <w:rPr>
                <w:sz w:val="18"/>
              </w:rPr>
            </w:pPr>
            <w:r>
              <w:rPr>
                <w:sz w:val="18"/>
              </w:rPr>
              <w:t>12.16</w:t>
            </w:r>
          </w:p>
        </w:tc>
      </w:tr>
    </w:tbl>
    <w:p w:rsidR="00000000" w:rsidRDefault="00000000">
      <w:pPr>
        <w:pStyle w:val="FootnoteText"/>
        <w:spacing w:before="300"/>
        <w:rPr>
          <w:sz w:val="22"/>
        </w:rPr>
      </w:pPr>
      <w:r>
        <w:rPr>
          <w:rFonts w:hint="eastAsia"/>
          <w:sz w:val="22"/>
          <w:u w:val="single"/>
        </w:rPr>
        <w:t>资料来源</w:t>
      </w:r>
      <w:r>
        <w:rPr>
          <w:sz w:val="22"/>
        </w:rPr>
        <w:t>：</w:t>
      </w:r>
      <w:r>
        <w:rPr>
          <w:rFonts w:hint="eastAsia"/>
          <w:sz w:val="22"/>
        </w:rPr>
        <w:t>《厄瓜多尔国家教育制度统计》。</w:t>
      </w:r>
    </w:p>
    <w:p w:rsidR="00000000" w:rsidRDefault="00000000">
      <w:pPr>
        <w:pStyle w:val="FootnoteText"/>
        <w:rPr>
          <w:sz w:val="22"/>
        </w:rPr>
      </w:pPr>
      <w:r>
        <w:rPr>
          <w:rFonts w:hint="eastAsia"/>
          <w:sz w:val="22"/>
          <w:u w:val="single"/>
        </w:rPr>
        <w:t>编制</w:t>
      </w:r>
      <w:r>
        <w:rPr>
          <w:sz w:val="22"/>
        </w:rPr>
        <w:t>：</w:t>
      </w:r>
      <w:r>
        <w:rPr>
          <w:rFonts w:hint="eastAsia"/>
          <w:sz w:val="22"/>
        </w:rPr>
        <w:t>教育部和文化统计小组。</w:t>
      </w:r>
    </w:p>
    <w:p w:rsidR="00000000" w:rsidRDefault="00000000">
      <w:pPr>
        <w:pStyle w:val="FootnoteText"/>
        <w:ind w:left="260"/>
        <w:rPr>
          <w:rFonts w:hint="eastAsia"/>
          <w:sz w:val="22"/>
        </w:rPr>
      </w:pPr>
      <w:r>
        <w:rPr>
          <w:sz w:val="22"/>
        </w:rPr>
        <w:t xml:space="preserve">* </w:t>
      </w:r>
      <w:r>
        <w:rPr>
          <w:rFonts w:hint="eastAsia"/>
          <w:sz w:val="22"/>
        </w:rPr>
        <w:t xml:space="preserve"> </w:t>
      </w:r>
      <w:r>
        <w:rPr>
          <w:sz w:val="22"/>
        </w:rPr>
        <w:t xml:space="preserve"> </w:t>
      </w:r>
      <w:r>
        <w:rPr>
          <w:rFonts w:hint="eastAsia"/>
          <w:sz w:val="22"/>
        </w:rPr>
        <w:t>六年级升级人数。</w:t>
      </w:r>
    </w:p>
    <w:p w:rsidR="00000000" w:rsidRDefault="00000000">
      <w:pPr>
        <w:pStyle w:val="Heading3"/>
        <w:spacing w:before="300" w:after="80"/>
        <w:rPr>
          <w:rFonts w:hint="eastAsia"/>
        </w:rPr>
      </w:pPr>
      <w:r>
        <w:rPr>
          <w:rFonts w:hint="eastAsia"/>
        </w:rPr>
        <w:t>正规基本周期学生升级情况</w:t>
      </w:r>
      <w:r>
        <w:rPr>
          <w:rFonts w:hint="eastAsia"/>
        </w:rPr>
        <w:t>(</w:t>
      </w:r>
      <w:r>
        <w:rPr>
          <w:rFonts w:hint="eastAsia"/>
        </w:rPr>
        <w:t>按地区、学年和性别分类</w:t>
      </w:r>
      <w:r>
        <w:rPr>
          <w:rFonts w:hint="eastAsia"/>
        </w:rPr>
        <w:t>)</w:t>
      </w:r>
    </w:p>
    <w:tbl>
      <w:tblPr>
        <w:tblW w:w="0" w:type="auto"/>
        <w:jc w:val="center"/>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45"/>
        <w:gridCol w:w="771"/>
        <w:gridCol w:w="1085"/>
        <w:gridCol w:w="1209"/>
        <w:gridCol w:w="1209"/>
        <w:gridCol w:w="1209"/>
        <w:gridCol w:w="1209"/>
        <w:gridCol w:w="1210"/>
      </w:tblGrid>
      <w:tr w:rsidR="00000000">
        <w:tblPrEx>
          <w:tblCellMar>
            <w:top w:w="0" w:type="dxa"/>
            <w:bottom w:w="0" w:type="dxa"/>
          </w:tblCellMar>
        </w:tblPrEx>
        <w:trPr>
          <w:cantSplit/>
          <w:jc w:val="center"/>
        </w:trPr>
        <w:tc>
          <w:tcPr>
            <w:tcW w:w="1345" w:type="dxa"/>
            <w:vMerge w:val="restart"/>
            <w:vAlign w:val="center"/>
          </w:tcPr>
          <w:p w:rsidR="00000000" w:rsidRDefault="00000000">
            <w:pPr>
              <w:pStyle w:val="a2"/>
              <w:spacing w:before="60" w:line="240" w:lineRule="auto"/>
              <w:jc w:val="center"/>
              <w:rPr>
                <w:rFonts w:hint="eastAsia"/>
                <w:sz w:val="18"/>
                <w:u w:val="single"/>
              </w:rPr>
            </w:pPr>
            <w:r>
              <w:rPr>
                <w:rFonts w:hint="eastAsia"/>
                <w:sz w:val="18"/>
                <w:u w:val="single"/>
              </w:rPr>
              <w:t>学</w:t>
            </w:r>
            <w:r>
              <w:rPr>
                <w:rFonts w:hint="eastAsia"/>
                <w:sz w:val="18"/>
                <w:u w:val="single"/>
              </w:rPr>
              <w:t xml:space="preserve">  </w:t>
            </w:r>
            <w:r>
              <w:rPr>
                <w:rFonts w:hint="eastAsia"/>
                <w:sz w:val="18"/>
                <w:u w:val="single"/>
              </w:rPr>
              <w:t>年</w:t>
            </w:r>
          </w:p>
        </w:tc>
        <w:tc>
          <w:tcPr>
            <w:tcW w:w="7902" w:type="dxa"/>
            <w:gridSpan w:val="7"/>
            <w:vAlign w:val="center"/>
          </w:tcPr>
          <w:p w:rsidR="00000000" w:rsidRDefault="00000000">
            <w:pPr>
              <w:pStyle w:val="a2"/>
              <w:spacing w:before="60" w:line="240" w:lineRule="auto"/>
              <w:jc w:val="center"/>
              <w:rPr>
                <w:rFonts w:hint="eastAsia"/>
                <w:sz w:val="18"/>
                <w:u w:val="single"/>
              </w:rPr>
            </w:pPr>
            <w:r>
              <w:rPr>
                <w:rFonts w:hint="eastAsia"/>
                <w:sz w:val="18"/>
                <w:u w:val="single"/>
              </w:rPr>
              <w:t>基本周期</w:t>
            </w:r>
          </w:p>
        </w:tc>
      </w:tr>
      <w:tr w:rsidR="00000000">
        <w:tblPrEx>
          <w:tblCellMar>
            <w:top w:w="0" w:type="dxa"/>
            <w:bottom w:w="0" w:type="dxa"/>
          </w:tblCellMar>
        </w:tblPrEx>
        <w:trPr>
          <w:cantSplit/>
          <w:jc w:val="center"/>
        </w:trPr>
        <w:tc>
          <w:tcPr>
            <w:tcW w:w="1345" w:type="dxa"/>
            <w:vMerge/>
            <w:tcBorders>
              <w:bottom w:val="single" w:sz="4" w:space="0" w:color="auto"/>
            </w:tcBorders>
            <w:vAlign w:val="center"/>
          </w:tcPr>
          <w:p w:rsidR="00000000" w:rsidRDefault="00000000">
            <w:pPr>
              <w:pStyle w:val="a2"/>
              <w:spacing w:before="60" w:line="240" w:lineRule="auto"/>
              <w:jc w:val="center"/>
              <w:rPr>
                <w:sz w:val="18"/>
                <w:u w:val="single"/>
              </w:rPr>
            </w:pPr>
          </w:p>
        </w:tc>
        <w:tc>
          <w:tcPr>
            <w:tcW w:w="771"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性别</w:t>
            </w:r>
          </w:p>
        </w:tc>
        <w:tc>
          <w:tcPr>
            <w:tcW w:w="1085"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城市注册</w:t>
            </w:r>
            <w:r>
              <w:rPr>
                <w:sz w:val="18"/>
                <w:u w:val="single"/>
              </w:rPr>
              <w:br/>
            </w:r>
            <w:r>
              <w:rPr>
                <w:rFonts w:hint="eastAsia"/>
                <w:sz w:val="18"/>
                <w:u w:val="single"/>
              </w:rPr>
              <w:t>净数</w:t>
            </w:r>
          </w:p>
        </w:tc>
        <w:tc>
          <w:tcPr>
            <w:tcW w:w="1209"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升级人数</w:t>
            </w:r>
            <w:r>
              <w:rPr>
                <w:sz w:val="18"/>
                <w:u w:val="single"/>
              </w:rPr>
              <w:br/>
            </w:r>
            <w:r>
              <w:rPr>
                <w:rFonts w:hint="eastAsia"/>
                <w:sz w:val="18"/>
                <w:u w:val="single"/>
              </w:rPr>
              <w:t>(</w:t>
            </w:r>
            <w:r>
              <w:rPr>
                <w:rFonts w:hint="eastAsia"/>
                <w:sz w:val="18"/>
                <w:u w:val="single"/>
              </w:rPr>
              <w:t>城市</w:t>
            </w:r>
            <w:r>
              <w:rPr>
                <w:rFonts w:hint="eastAsia"/>
                <w:sz w:val="18"/>
                <w:u w:val="single"/>
              </w:rPr>
              <w:t>)*</w:t>
            </w:r>
          </w:p>
        </w:tc>
        <w:tc>
          <w:tcPr>
            <w:tcW w:w="1209"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百分比</w:t>
            </w:r>
          </w:p>
        </w:tc>
        <w:tc>
          <w:tcPr>
            <w:tcW w:w="1209"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乡村注册</w:t>
            </w:r>
            <w:r>
              <w:rPr>
                <w:sz w:val="18"/>
                <w:u w:val="single"/>
              </w:rPr>
              <w:br/>
            </w:r>
            <w:r>
              <w:rPr>
                <w:rFonts w:hint="eastAsia"/>
                <w:sz w:val="18"/>
                <w:u w:val="single"/>
              </w:rPr>
              <w:t>净数</w:t>
            </w:r>
          </w:p>
        </w:tc>
        <w:tc>
          <w:tcPr>
            <w:tcW w:w="1209" w:type="dxa"/>
            <w:tcBorders>
              <w:bottom w:val="single" w:sz="4" w:space="0" w:color="auto"/>
            </w:tcBorders>
            <w:vAlign w:val="center"/>
          </w:tcPr>
          <w:p w:rsidR="00000000" w:rsidRDefault="00000000">
            <w:pPr>
              <w:pStyle w:val="a2"/>
              <w:spacing w:before="60" w:line="240" w:lineRule="auto"/>
              <w:jc w:val="center"/>
              <w:rPr>
                <w:sz w:val="18"/>
                <w:u w:val="single"/>
              </w:rPr>
            </w:pPr>
            <w:r>
              <w:rPr>
                <w:rFonts w:hint="eastAsia"/>
                <w:sz w:val="18"/>
                <w:u w:val="single"/>
              </w:rPr>
              <w:t>升级人数</w:t>
            </w:r>
            <w:r>
              <w:rPr>
                <w:sz w:val="18"/>
                <w:u w:val="single"/>
              </w:rPr>
              <w:br/>
            </w:r>
            <w:r>
              <w:rPr>
                <w:rFonts w:hint="eastAsia"/>
                <w:sz w:val="18"/>
                <w:u w:val="single"/>
              </w:rPr>
              <w:t>(</w:t>
            </w:r>
            <w:r>
              <w:rPr>
                <w:rFonts w:hint="eastAsia"/>
                <w:sz w:val="18"/>
                <w:u w:val="single"/>
              </w:rPr>
              <w:t>乡村</w:t>
            </w:r>
            <w:r>
              <w:rPr>
                <w:rFonts w:hint="eastAsia"/>
                <w:sz w:val="18"/>
                <w:u w:val="single"/>
              </w:rPr>
              <w:t>)*</w:t>
            </w:r>
          </w:p>
        </w:tc>
        <w:tc>
          <w:tcPr>
            <w:tcW w:w="1210" w:type="dxa"/>
            <w:tcBorders>
              <w:bottom w:val="single" w:sz="4" w:space="0" w:color="auto"/>
            </w:tcBorders>
            <w:vAlign w:val="center"/>
          </w:tcPr>
          <w:p w:rsidR="00000000" w:rsidRDefault="00000000">
            <w:pPr>
              <w:pStyle w:val="a2"/>
              <w:spacing w:before="60" w:line="240" w:lineRule="auto"/>
              <w:jc w:val="center"/>
              <w:rPr>
                <w:rFonts w:hint="eastAsia"/>
                <w:sz w:val="18"/>
                <w:u w:val="single"/>
              </w:rPr>
            </w:pPr>
            <w:r>
              <w:rPr>
                <w:rFonts w:hint="eastAsia"/>
                <w:sz w:val="18"/>
                <w:u w:val="single"/>
              </w:rPr>
              <w:t>百分比</w:t>
            </w:r>
          </w:p>
        </w:tc>
      </w:tr>
      <w:tr w:rsidR="00000000">
        <w:tblPrEx>
          <w:tblCellMar>
            <w:top w:w="0" w:type="dxa"/>
            <w:bottom w:w="0" w:type="dxa"/>
          </w:tblCellMar>
        </w:tblPrEx>
        <w:trPr>
          <w:cantSplit/>
          <w:jc w:val="center"/>
        </w:trPr>
        <w:tc>
          <w:tcPr>
            <w:tcW w:w="1345" w:type="dxa"/>
            <w:vMerge w:val="restart"/>
            <w:tcBorders>
              <w:bottom w:val="nil"/>
            </w:tcBorders>
          </w:tcPr>
          <w:p w:rsidR="00000000" w:rsidRDefault="00000000">
            <w:pPr>
              <w:pStyle w:val="a2"/>
              <w:spacing w:line="240" w:lineRule="auto"/>
              <w:rPr>
                <w:rFonts w:hint="eastAsia"/>
                <w:sz w:val="18"/>
              </w:rPr>
            </w:pPr>
            <w:r>
              <w:rPr>
                <w:sz w:val="18"/>
              </w:rPr>
              <w:t>1993-1994</w:t>
            </w:r>
            <w:r>
              <w:rPr>
                <w:rFonts w:hint="eastAsia"/>
                <w:sz w:val="18"/>
              </w:rPr>
              <w:t>年</w:t>
            </w:r>
          </w:p>
        </w:tc>
        <w:tc>
          <w:tcPr>
            <w:tcW w:w="771" w:type="dxa"/>
            <w:tcBorders>
              <w:bottom w:val="nil"/>
            </w:tcBorders>
          </w:tcPr>
          <w:p w:rsidR="00000000" w:rsidRDefault="00000000">
            <w:pPr>
              <w:pStyle w:val="a2"/>
              <w:spacing w:line="240" w:lineRule="auto"/>
              <w:ind w:right="170"/>
              <w:jc w:val="left"/>
              <w:rPr>
                <w:rFonts w:hint="eastAsia"/>
                <w:sz w:val="18"/>
              </w:rPr>
            </w:pPr>
            <w:r>
              <w:rPr>
                <w:rFonts w:hint="eastAsia"/>
                <w:sz w:val="18"/>
              </w:rPr>
              <w:t>男</w:t>
            </w:r>
          </w:p>
        </w:tc>
        <w:tc>
          <w:tcPr>
            <w:tcW w:w="1085" w:type="dxa"/>
            <w:tcBorders>
              <w:bottom w:val="nil"/>
            </w:tcBorders>
          </w:tcPr>
          <w:p w:rsidR="00000000" w:rsidRDefault="00000000">
            <w:pPr>
              <w:pStyle w:val="a2"/>
              <w:spacing w:line="240" w:lineRule="auto"/>
              <w:ind w:right="170"/>
              <w:jc w:val="right"/>
              <w:rPr>
                <w:sz w:val="18"/>
              </w:rPr>
            </w:pPr>
            <w:r>
              <w:rPr>
                <w:sz w:val="18"/>
              </w:rPr>
              <w:t>187,190</w:t>
            </w:r>
          </w:p>
        </w:tc>
        <w:tc>
          <w:tcPr>
            <w:tcW w:w="1209" w:type="dxa"/>
            <w:tcBorders>
              <w:bottom w:val="nil"/>
            </w:tcBorders>
          </w:tcPr>
          <w:p w:rsidR="00000000" w:rsidRDefault="00000000">
            <w:pPr>
              <w:pStyle w:val="a2"/>
              <w:spacing w:line="240" w:lineRule="auto"/>
              <w:ind w:right="170"/>
              <w:jc w:val="right"/>
              <w:rPr>
                <w:sz w:val="18"/>
              </w:rPr>
            </w:pPr>
            <w:r>
              <w:rPr>
                <w:sz w:val="18"/>
              </w:rPr>
              <w:t>43,291</w:t>
            </w:r>
          </w:p>
        </w:tc>
        <w:tc>
          <w:tcPr>
            <w:tcW w:w="1209" w:type="dxa"/>
            <w:tcBorders>
              <w:bottom w:val="nil"/>
            </w:tcBorders>
          </w:tcPr>
          <w:p w:rsidR="00000000" w:rsidRDefault="00000000">
            <w:pPr>
              <w:pStyle w:val="a2"/>
              <w:spacing w:line="240" w:lineRule="auto"/>
              <w:ind w:right="170"/>
              <w:jc w:val="right"/>
              <w:rPr>
                <w:sz w:val="18"/>
              </w:rPr>
            </w:pPr>
            <w:r>
              <w:rPr>
                <w:sz w:val="18"/>
              </w:rPr>
              <w:t>23.13</w:t>
            </w:r>
          </w:p>
        </w:tc>
        <w:tc>
          <w:tcPr>
            <w:tcW w:w="1209" w:type="dxa"/>
            <w:tcBorders>
              <w:bottom w:val="nil"/>
            </w:tcBorders>
          </w:tcPr>
          <w:p w:rsidR="00000000" w:rsidRDefault="00000000">
            <w:pPr>
              <w:pStyle w:val="a2"/>
              <w:spacing w:line="240" w:lineRule="auto"/>
              <w:ind w:right="170"/>
              <w:jc w:val="right"/>
              <w:rPr>
                <w:sz w:val="18"/>
              </w:rPr>
            </w:pPr>
            <w:r>
              <w:rPr>
                <w:sz w:val="18"/>
              </w:rPr>
              <w:t>36,075</w:t>
            </w:r>
          </w:p>
        </w:tc>
        <w:tc>
          <w:tcPr>
            <w:tcW w:w="1209" w:type="dxa"/>
            <w:tcBorders>
              <w:bottom w:val="nil"/>
            </w:tcBorders>
          </w:tcPr>
          <w:p w:rsidR="00000000" w:rsidRDefault="00000000">
            <w:pPr>
              <w:pStyle w:val="a2"/>
              <w:spacing w:line="240" w:lineRule="auto"/>
              <w:ind w:right="170"/>
              <w:jc w:val="right"/>
              <w:rPr>
                <w:sz w:val="18"/>
              </w:rPr>
            </w:pPr>
            <w:r>
              <w:rPr>
                <w:sz w:val="18"/>
              </w:rPr>
              <w:t>8,033</w:t>
            </w:r>
          </w:p>
        </w:tc>
        <w:tc>
          <w:tcPr>
            <w:tcW w:w="1210" w:type="dxa"/>
            <w:tcBorders>
              <w:bottom w:val="nil"/>
            </w:tcBorders>
          </w:tcPr>
          <w:p w:rsidR="00000000" w:rsidRDefault="00000000">
            <w:pPr>
              <w:pStyle w:val="a2"/>
              <w:spacing w:line="240" w:lineRule="auto"/>
              <w:ind w:right="170"/>
              <w:jc w:val="right"/>
              <w:rPr>
                <w:sz w:val="18"/>
              </w:rPr>
            </w:pPr>
            <w:r>
              <w:rPr>
                <w:sz w:val="18"/>
              </w:rPr>
              <w:t>22.27</w:t>
            </w:r>
          </w:p>
        </w:tc>
      </w:tr>
      <w:tr w:rsidR="00000000">
        <w:tblPrEx>
          <w:tblCellMar>
            <w:top w:w="0" w:type="dxa"/>
            <w:bottom w:w="0" w:type="dxa"/>
          </w:tblCellMar>
        </w:tblPrEx>
        <w:trPr>
          <w:cantSplit/>
          <w:jc w:val="center"/>
        </w:trPr>
        <w:tc>
          <w:tcPr>
            <w:tcW w:w="1345" w:type="dxa"/>
            <w:vMerge/>
            <w:tcBorders>
              <w:top w:val="nil"/>
              <w:bottom w:val="nil"/>
            </w:tcBorders>
          </w:tcPr>
          <w:p w:rsidR="00000000" w:rsidRDefault="00000000">
            <w:pPr>
              <w:pStyle w:val="a2"/>
              <w:spacing w:line="240" w:lineRule="auto"/>
              <w:rPr>
                <w:sz w:val="18"/>
              </w:rPr>
            </w:pPr>
          </w:p>
        </w:tc>
        <w:tc>
          <w:tcPr>
            <w:tcW w:w="771" w:type="dxa"/>
            <w:tcBorders>
              <w:top w:val="nil"/>
              <w:bottom w:val="nil"/>
            </w:tcBorders>
          </w:tcPr>
          <w:p w:rsidR="00000000" w:rsidRDefault="00000000">
            <w:pPr>
              <w:pStyle w:val="a2"/>
              <w:spacing w:line="240" w:lineRule="auto"/>
              <w:ind w:right="170"/>
              <w:jc w:val="left"/>
              <w:rPr>
                <w:rFonts w:hint="eastAsia"/>
                <w:sz w:val="18"/>
              </w:rPr>
            </w:pPr>
            <w:r>
              <w:rPr>
                <w:rFonts w:hint="eastAsia"/>
                <w:sz w:val="18"/>
              </w:rPr>
              <w:t>女</w:t>
            </w:r>
          </w:p>
        </w:tc>
        <w:tc>
          <w:tcPr>
            <w:tcW w:w="1085" w:type="dxa"/>
            <w:tcBorders>
              <w:top w:val="nil"/>
              <w:bottom w:val="nil"/>
            </w:tcBorders>
          </w:tcPr>
          <w:p w:rsidR="00000000" w:rsidRDefault="00000000">
            <w:pPr>
              <w:pStyle w:val="a2"/>
              <w:spacing w:line="240" w:lineRule="auto"/>
              <w:ind w:right="170"/>
              <w:jc w:val="right"/>
              <w:rPr>
                <w:sz w:val="18"/>
              </w:rPr>
            </w:pPr>
            <w:r>
              <w:rPr>
                <w:sz w:val="18"/>
              </w:rPr>
              <w:t>181,105</w:t>
            </w:r>
          </w:p>
        </w:tc>
        <w:tc>
          <w:tcPr>
            <w:tcW w:w="1209" w:type="dxa"/>
            <w:tcBorders>
              <w:top w:val="nil"/>
              <w:bottom w:val="nil"/>
            </w:tcBorders>
          </w:tcPr>
          <w:p w:rsidR="00000000" w:rsidRDefault="00000000">
            <w:pPr>
              <w:pStyle w:val="a2"/>
              <w:spacing w:line="240" w:lineRule="auto"/>
              <w:ind w:right="170"/>
              <w:jc w:val="right"/>
              <w:rPr>
                <w:sz w:val="18"/>
              </w:rPr>
            </w:pPr>
            <w:r>
              <w:rPr>
                <w:sz w:val="18"/>
              </w:rPr>
              <w:t>47,201</w:t>
            </w:r>
          </w:p>
        </w:tc>
        <w:tc>
          <w:tcPr>
            <w:tcW w:w="1209" w:type="dxa"/>
            <w:tcBorders>
              <w:top w:val="nil"/>
              <w:bottom w:val="nil"/>
            </w:tcBorders>
          </w:tcPr>
          <w:p w:rsidR="00000000" w:rsidRDefault="00000000">
            <w:pPr>
              <w:pStyle w:val="a2"/>
              <w:spacing w:line="240" w:lineRule="auto"/>
              <w:ind w:right="170"/>
              <w:jc w:val="right"/>
              <w:rPr>
                <w:sz w:val="18"/>
              </w:rPr>
            </w:pPr>
            <w:r>
              <w:rPr>
                <w:sz w:val="18"/>
              </w:rPr>
              <w:t>26.06</w:t>
            </w:r>
          </w:p>
        </w:tc>
        <w:tc>
          <w:tcPr>
            <w:tcW w:w="1209" w:type="dxa"/>
            <w:tcBorders>
              <w:top w:val="nil"/>
              <w:bottom w:val="nil"/>
            </w:tcBorders>
          </w:tcPr>
          <w:p w:rsidR="00000000" w:rsidRDefault="00000000">
            <w:pPr>
              <w:pStyle w:val="a2"/>
              <w:spacing w:line="240" w:lineRule="auto"/>
              <w:ind w:right="170"/>
              <w:jc w:val="right"/>
              <w:rPr>
                <w:sz w:val="18"/>
              </w:rPr>
            </w:pPr>
            <w:r>
              <w:rPr>
                <w:sz w:val="18"/>
              </w:rPr>
              <w:t>26,288</w:t>
            </w:r>
          </w:p>
        </w:tc>
        <w:tc>
          <w:tcPr>
            <w:tcW w:w="1209" w:type="dxa"/>
            <w:tcBorders>
              <w:top w:val="nil"/>
              <w:bottom w:val="nil"/>
            </w:tcBorders>
          </w:tcPr>
          <w:p w:rsidR="00000000" w:rsidRDefault="00000000">
            <w:pPr>
              <w:pStyle w:val="a2"/>
              <w:spacing w:line="240" w:lineRule="auto"/>
              <w:ind w:right="170"/>
              <w:jc w:val="right"/>
              <w:rPr>
                <w:sz w:val="18"/>
              </w:rPr>
            </w:pPr>
            <w:r>
              <w:rPr>
                <w:sz w:val="18"/>
              </w:rPr>
              <w:t>6,411</w:t>
            </w:r>
          </w:p>
        </w:tc>
        <w:tc>
          <w:tcPr>
            <w:tcW w:w="1210" w:type="dxa"/>
            <w:tcBorders>
              <w:top w:val="nil"/>
              <w:bottom w:val="nil"/>
            </w:tcBorders>
          </w:tcPr>
          <w:p w:rsidR="00000000" w:rsidRDefault="00000000">
            <w:pPr>
              <w:pStyle w:val="a2"/>
              <w:spacing w:line="240" w:lineRule="auto"/>
              <w:ind w:right="170"/>
              <w:jc w:val="right"/>
              <w:rPr>
                <w:sz w:val="18"/>
              </w:rPr>
            </w:pPr>
            <w:r>
              <w:rPr>
                <w:sz w:val="18"/>
              </w:rPr>
              <w:t>24.39</w:t>
            </w:r>
          </w:p>
        </w:tc>
      </w:tr>
      <w:tr w:rsidR="00000000">
        <w:tblPrEx>
          <w:tblCellMar>
            <w:top w:w="0" w:type="dxa"/>
            <w:bottom w:w="0" w:type="dxa"/>
          </w:tblCellMar>
        </w:tblPrEx>
        <w:trPr>
          <w:cantSplit/>
          <w:jc w:val="center"/>
        </w:trPr>
        <w:tc>
          <w:tcPr>
            <w:tcW w:w="1345" w:type="dxa"/>
            <w:vMerge/>
            <w:tcBorders>
              <w:top w:val="nil"/>
              <w:bottom w:val="single" w:sz="4" w:space="0" w:color="auto"/>
            </w:tcBorders>
          </w:tcPr>
          <w:p w:rsidR="00000000" w:rsidRDefault="00000000">
            <w:pPr>
              <w:pStyle w:val="a2"/>
              <w:spacing w:line="240" w:lineRule="auto"/>
              <w:rPr>
                <w:sz w:val="18"/>
              </w:rPr>
            </w:pPr>
          </w:p>
        </w:tc>
        <w:tc>
          <w:tcPr>
            <w:tcW w:w="771" w:type="dxa"/>
            <w:tcBorders>
              <w:top w:val="nil"/>
              <w:bottom w:val="single" w:sz="4" w:space="0" w:color="auto"/>
            </w:tcBorders>
          </w:tcPr>
          <w:p w:rsidR="00000000" w:rsidRDefault="00000000">
            <w:pPr>
              <w:pStyle w:val="a2"/>
              <w:spacing w:line="240" w:lineRule="auto"/>
              <w:ind w:right="170"/>
              <w:jc w:val="left"/>
              <w:rPr>
                <w:rFonts w:hint="eastAsia"/>
                <w:sz w:val="18"/>
              </w:rPr>
            </w:pPr>
            <w:r>
              <w:rPr>
                <w:rFonts w:hint="eastAsia"/>
                <w:sz w:val="17"/>
              </w:rPr>
              <w:t>共计</w:t>
            </w:r>
          </w:p>
        </w:tc>
        <w:tc>
          <w:tcPr>
            <w:tcW w:w="1085" w:type="dxa"/>
            <w:tcBorders>
              <w:top w:val="nil"/>
              <w:bottom w:val="single" w:sz="4" w:space="0" w:color="auto"/>
            </w:tcBorders>
          </w:tcPr>
          <w:p w:rsidR="00000000" w:rsidRDefault="00000000">
            <w:pPr>
              <w:pStyle w:val="a2"/>
              <w:spacing w:line="240" w:lineRule="auto"/>
              <w:ind w:right="170"/>
              <w:jc w:val="right"/>
              <w:rPr>
                <w:sz w:val="18"/>
              </w:rPr>
            </w:pPr>
            <w:r>
              <w:rPr>
                <w:sz w:val="18"/>
              </w:rPr>
              <w:t>368,295</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90,492</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24.57</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62,363</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14,444</w:t>
            </w:r>
          </w:p>
        </w:tc>
        <w:tc>
          <w:tcPr>
            <w:tcW w:w="1210" w:type="dxa"/>
            <w:tcBorders>
              <w:top w:val="nil"/>
              <w:bottom w:val="single" w:sz="4" w:space="0" w:color="auto"/>
            </w:tcBorders>
          </w:tcPr>
          <w:p w:rsidR="00000000" w:rsidRDefault="00000000">
            <w:pPr>
              <w:pStyle w:val="a2"/>
              <w:spacing w:line="240" w:lineRule="auto"/>
              <w:ind w:right="170"/>
              <w:jc w:val="right"/>
              <w:rPr>
                <w:sz w:val="18"/>
              </w:rPr>
            </w:pPr>
            <w:r>
              <w:rPr>
                <w:sz w:val="18"/>
              </w:rPr>
              <w:t>23.16</w:t>
            </w:r>
          </w:p>
        </w:tc>
      </w:tr>
      <w:tr w:rsidR="00000000">
        <w:tblPrEx>
          <w:tblCellMar>
            <w:top w:w="0" w:type="dxa"/>
            <w:bottom w:w="0" w:type="dxa"/>
          </w:tblCellMar>
        </w:tblPrEx>
        <w:trPr>
          <w:cantSplit/>
          <w:jc w:val="center"/>
        </w:trPr>
        <w:tc>
          <w:tcPr>
            <w:tcW w:w="1345"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1994-1995</w:t>
            </w:r>
            <w:r>
              <w:rPr>
                <w:rFonts w:hint="eastAsia"/>
                <w:sz w:val="18"/>
              </w:rPr>
              <w:t>年</w:t>
            </w:r>
          </w:p>
        </w:tc>
        <w:tc>
          <w:tcPr>
            <w:tcW w:w="771" w:type="dxa"/>
            <w:tcBorders>
              <w:top w:val="single" w:sz="4" w:space="0" w:color="auto"/>
              <w:bottom w:val="nil"/>
            </w:tcBorders>
          </w:tcPr>
          <w:p w:rsidR="00000000" w:rsidRDefault="00000000">
            <w:pPr>
              <w:pStyle w:val="a2"/>
              <w:spacing w:line="240" w:lineRule="auto"/>
              <w:ind w:right="170"/>
              <w:jc w:val="left"/>
              <w:rPr>
                <w:rFonts w:hint="eastAsia"/>
                <w:sz w:val="18"/>
              </w:rPr>
            </w:pPr>
            <w:r>
              <w:rPr>
                <w:rFonts w:hint="eastAsia"/>
                <w:sz w:val="18"/>
              </w:rPr>
              <w:t>男</w:t>
            </w:r>
          </w:p>
        </w:tc>
        <w:tc>
          <w:tcPr>
            <w:tcW w:w="1085" w:type="dxa"/>
            <w:tcBorders>
              <w:top w:val="single" w:sz="4" w:space="0" w:color="auto"/>
              <w:bottom w:val="nil"/>
            </w:tcBorders>
          </w:tcPr>
          <w:p w:rsidR="00000000" w:rsidRDefault="00000000">
            <w:pPr>
              <w:pStyle w:val="a2"/>
              <w:spacing w:line="240" w:lineRule="auto"/>
              <w:ind w:right="170"/>
              <w:jc w:val="right"/>
              <w:rPr>
                <w:sz w:val="18"/>
              </w:rPr>
            </w:pPr>
            <w:r>
              <w:rPr>
                <w:sz w:val="18"/>
              </w:rPr>
              <w:t>197,938</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45,997</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23.24</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38,028</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8,647</w:t>
            </w:r>
          </w:p>
        </w:tc>
        <w:tc>
          <w:tcPr>
            <w:tcW w:w="1210" w:type="dxa"/>
            <w:tcBorders>
              <w:top w:val="single" w:sz="4" w:space="0" w:color="auto"/>
              <w:bottom w:val="nil"/>
            </w:tcBorders>
          </w:tcPr>
          <w:p w:rsidR="00000000" w:rsidRDefault="00000000">
            <w:pPr>
              <w:pStyle w:val="a2"/>
              <w:spacing w:line="240" w:lineRule="auto"/>
              <w:ind w:right="170"/>
              <w:jc w:val="right"/>
              <w:rPr>
                <w:sz w:val="18"/>
              </w:rPr>
            </w:pPr>
            <w:r>
              <w:rPr>
                <w:sz w:val="18"/>
              </w:rPr>
              <w:t>22.74</w:t>
            </w:r>
          </w:p>
        </w:tc>
      </w:tr>
      <w:tr w:rsidR="00000000">
        <w:tblPrEx>
          <w:tblCellMar>
            <w:top w:w="0" w:type="dxa"/>
            <w:bottom w:w="0" w:type="dxa"/>
          </w:tblCellMar>
        </w:tblPrEx>
        <w:trPr>
          <w:cantSplit/>
          <w:jc w:val="center"/>
        </w:trPr>
        <w:tc>
          <w:tcPr>
            <w:tcW w:w="1345" w:type="dxa"/>
            <w:vMerge/>
            <w:tcBorders>
              <w:top w:val="nil"/>
              <w:bottom w:val="nil"/>
            </w:tcBorders>
          </w:tcPr>
          <w:p w:rsidR="00000000" w:rsidRDefault="00000000">
            <w:pPr>
              <w:pStyle w:val="a2"/>
              <w:spacing w:line="240" w:lineRule="auto"/>
              <w:rPr>
                <w:sz w:val="18"/>
              </w:rPr>
            </w:pPr>
          </w:p>
        </w:tc>
        <w:tc>
          <w:tcPr>
            <w:tcW w:w="771" w:type="dxa"/>
            <w:tcBorders>
              <w:top w:val="nil"/>
              <w:bottom w:val="nil"/>
            </w:tcBorders>
          </w:tcPr>
          <w:p w:rsidR="00000000" w:rsidRDefault="00000000">
            <w:pPr>
              <w:pStyle w:val="a2"/>
              <w:spacing w:line="240" w:lineRule="auto"/>
              <w:ind w:right="170"/>
              <w:jc w:val="left"/>
              <w:rPr>
                <w:rFonts w:hint="eastAsia"/>
                <w:sz w:val="18"/>
              </w:rPr>
            </w:pPr>
            <w:r>
              <w:rPr>
                <w:rFonts w:hint="eastAsia"/>
                <w:sz w:val="18"/>
              </w:rPr>
              <w:t>女</w:t>
            </w:r>
          </w:p>
        </w:tc>
        <w:tc>
          <w:tcPr>
            <w:tcW w:w="1085" w:type="dxa"/>
            <w:tcBorders>
              <w:top w:val="nil"/>
              <w:bottom w:val="nil"/>
            </w:tcBorders>
          </w:tcPr>
          <w:p w:rsidR="00000000" w:rsidRDefault="00000000">
            <w:pPr>
              <w:pStyle w:val="a2"/>
              <w:spacing w:line="240" w:lineRule="auto"/>
              <w:ind w:right="170"/>
              <w:jc w:val="right"/>
              <w:rPr>
                <w:sz w:val="18"/>
              </w:rPr>
            </w:pPr>
            <w:r>
              <w:rPr>
                <w:sz w:val="18"/>
              </w:rPr>
              <w:t>188,973</w:t>
            </w:r>
          </w:p>
        </w:tc>
        <w:tc>
          <w:tcPr>
            <w:tcW w:w="1209" w:type="dxa"/>
            <w:tcBorders>
              <w:top w:val="nil"/>
              <w:bottom w:val="nil"/>
            </w:tcBorders>
          </w:tcPr>
          <w:p w:rsidR="00000000" w:rsidRDefault="00000000">
            <w:pPr>
              <w:pStyle w:val="a2"/>
              <w:spacing w:line="240" w:lineRule="auto"/>
              <w:ind w:right="170"/>
              <w:jc w:val="right"/>
              <w:rPr>
                <w:sz w:val="18"/>
              </w:rPr>
            </w:pPr>
            <w:r>
              <w:rPr>
                <w:sz w:val="18"/>
              </w:rPr>
              <w:t>49,644</w:t>
            </w:r>
          </w:p>
        </w:tc>
        <w:tc>
          <w:tcPr>
            <w:tcW w:w="1209" w:type="dxa"/>
            <w:tcBorders>
              <w:top w:val="nil"/>
              <w:bottom w:val="nil"/>
            </w:tcBorders>
          </w:tcPr>
          <w:p w:rsidR="00000000" w:rsidRDefault="00000000">
            <w:pPr>
              <w:pStyle w:val="a2"/>
              <w:spacing w:line="240" w:lineRule="auto"/>
              <w:ind w:right="170"/>
              <w:jc w:val="right"/>
              <w:rPr>
                <w:sz w:val="18"/>
              </w:rPr>
            </w:pPr>
            <w:r>
              <w:rPr>
                <w:sz w:val="18"/>
              </w:rPr>
              <w:t>26.27</w:t>
            </w:r>
          </w:p>
        </w:tc>
        <w:tc>
          <w:tcPr>
            <w:tcW w:w="1209" w:type="dxa"/>
            <w:tcBorders>
              <w:top w:val="nil"/>
              <w:bottom w:val="nil"/>
            </w:tcBorders>
          </w:tcPr>
          <w:p w:rsidR="00000000" w:rsidRDefault="00000000">
            <w:pPr>
              <w:pStyle w:val="a2"/>
              <w:spacing w:line="240" w:lineRule="auto"/>
              <w:ind w:right="170"/>
              <w:jc w:val="right"/>
              <w:rPr>
                <w:sz w:val="18"/>
              </w:rPr>
            </w:pPr>
            <w:r>
              <w:rPr>
                <w:sz w:val="18"/>
              </w:rPr>
              <w:t>27,306</w:t>
            </w:r>
          </w:p>
        </w:tc>
        <w:tc>
          <w:tcPr>
            <w:tcW w:w="1209" w:type="dxa"/>
            <w:tcBorders>
              <w:top w:val="nil"/>
              <w:bottom w:val="nil"/>
            </w:tcBorders>
          </w:tcPr>
          <w:p w:rsidR="00000000" w:rsidRDefault="00000000">
            <w:pPr>
              <w:pStyle w:val="a2"/>
              <w:spacing w:line="240" w:lineRule="auto"/>
              <w:ind w:right="170"/>
              <w:jc w:val="right"/>
              <w:rPr>
                <w:sz w:val="18"/>
              </w:rPr>
            </w:pPr>
            <w:r>
              <w:rPr>
                <w:sz w:val="18"/>
              </w:rPr>
              <w:t>6,678</w:t>
            </w:r>
          </w:p>
        </w:tc>
        <w:tc>
          <w:tcPr>
            <w:tcW w:w="1210" w:type="dxa"/>
            <w:tcBorders>
              <w:top w:val="nil"/>
              <w:bottom w:val="nil"/>
            </w:tcBorders>
          </w:tcPr>
          <w:p w:rsidR="00000000" w:rsidRDefault="00000000">
            <w:pPr>
              <w:pStyle w:val="a2"/>
              <w:spacing w:line="240" w:lineRule="auto"/>
              <w:ind w:right="170"/>
              <w:jc w:val="right"/>
              <w:rPr>
                <w:sz w:val="18"/>
              </w:rPr>
            </w:pPr>
            <w:r>
              <w:rPr>
                <w:sz w:val="18"/>
              </w:rPr>
              <w:t>24.46</w:t>
            </w:r>
          </w:p>
        </w:tc>
      </w:tr>
      <w:tr w:rsidR="00000000">
        <w:tblPrEx>
          <w:tblCellMar>
            <w:top w:w="0" w:type="dxa"/>
            <w:bottom w:w="0" w:type="dxa"/>
          </w:tblCellMar>
        </w:tblPrEx>
        <w:trPr>
          <w:cantSplit/>
          <w:jc w:val="center"/>
        </w:trPr>
        <w:tc>
          <w:tcPr>
            <w:tcW w:w="1345" w:type="dxa"/>
            <w:vMerge/>
            <w:tcBorders>
              <w:top w:val="nil"/>
              <w:bottom w:val="single" w:sz="4" w:space="0" w:color="auto"/>
            </w:tcBorders>
          </w:tcPr>
          <w:p w:rsidR="00000000" w:rsidRDefault="00000000">
            <w:pPr>
              <w:pStyle w:val="a2"/>
              <w:spacing w:line="240" w:lineRule="auto"/>
              <w:rPr>
                <w:sz w:val="18"/>
              </w:rPr>
            </w:pPr>
          </w:p>
        </w:tc>
        <w:tc>
          <w:tcPr>
            <w:tcW w:w="771" w:type="dxa"/>
            <w:tcBorders>
              <w:top w:val="nil"/>
              <w:bottom w:val="single" w:sz="4" w:space="0" w:color="auto"/>
            </w:tcBorders>
          </w:tcPr>
          <w:p w:rsidR="00000000" w:rsidRDefault="00000000">
            <w:pPr>
              <w:pStyle w:val="a2"/>
              <w:spacing w:line="240" w:lineRule="auto"/>
              <w:ind w:right="170"/>
              <w:jc w:val="left"/>
              <w:rPr>
                <w:rFonts w:hint="eastAsia"/>
                <w:sz w:val="18"/>
              </w:rPr>
            </w:pPr>
            <w:r>
              <w:rPr>
                <w:rFonts w:hint="eastAsia"/>
                <w:sz w:val="17"/>
              </w:rPr>
              <w:t>共计</w:t>
            </w:r>
          </w:p>
        </w:tc>
        <w:tc>
          <w:tcPr>
            <w:tcW w:w="1085" w:type="dxa"/>
            <w:tcBorders>
              <w:top w:val="nil"/>
              <w:bottom w:val="single" w:sz="4" w:space="0" w:color="auto"/>
            </w:tcBorders>
          </w:tcPr>
          <w:p w:rsidR="00000000" w:rsidRDefault="00000000">
            <w:pPr>
              <w:pStyle w:val="a2"/>
              <w:spacing w:line="240" w:lineRule="auto"/>
              <w:ind w:right="170"/>
              <w:jc w:val="right"/>
              <w:rPr>
                <w:sz w:val="18"/>
              </w:rPr>
            </w:pPr>
            <w:r>
              <w:rPr>
                <w:sz w:val="18"/>
              </w:rPr>
              <w:t>386,911</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95,641</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24.72</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65,334</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15,325</w:t>
            </w:r>
          </w:p>
        </w:tc>
        <w:tc>
          <w:tcPr>
            <w:tcW w:w="1210" w:type="dxa"/>
            <w:tcBorders>
              <w:top w:val="nil"/>
              <w:bottom w:val="single" w:sz="4" w:space="0" w:color="auto"/>
            </w:tcBorders>
          </w:tcPr>
          <w:p w:rsidR="00000000" w:rsidRDefault="00000000">
            <w:pPr>
              <w:pStyle w:val="a2"/>
              <w:spacing w:line="240" w:lineRule="auto"/>
              <w:ind w:right="170"/>
              <w:jc w:val="right"/>
              <w:rPr>
                <w:sz w:val="18"/>
              </w:rPr>
            </w:pPr>
            <w:r>
              <w:rPr>
                <w:sz w:val="18"/>
              </w:rPr>
              <w:t>23.46</w:t>
            </w:r>
          </w:p>
        </w:tc>
      </w:tr>
      <w:tr w:rsidR="00000000">
        <w:tblPrEx>
          <w:tblCellMar>
            <w:top w:w="0" w:type="dxa"/>
            <w:bottom w:w="0" w:type="dxa"/>
          </w:tblCellMar>
        </w:tblPrEx>
        <w:trPr>
          <w:cantSplit/>
          <w:jc w:val="center"/>
        </w:trPr>
        <w:tc>
          <w:tcPr>
            <w:tcW w:w="1345"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1995-1996</w:t>
            </w:r>
            <w:r>
              <w:rPr>
                <w:rFonts w:hint="eastAsia"/>
                <w:sz w:val="18"/>
              </w:rPr>
              <w:t>年</w:t>
            </w:r>
          </w:p>
        </w:tc>
        <w:tc>
          <w:tcPr>
            <w:tcW w:w="771" w:type="dxa"/>
            <w:tcBorders>
              <w:top w:val="single" w:sz="4" w:space="0" w:color="auto"/>
              <w:bottom w:val="nil"/>
            </w:tcBorders>
          </w:tcPr>
          <w:p w:rsidR="00000000" w:rsidRDefault="00000000">
            <w:pPr>
              <w:pStyle w:val="a2"/>
              <w:spacing w:line="240" w:lineRule="auto"/>
              <w:ind w:right="170"/>
              <w:jc w:val="left"/>
              <w:rPr>
                <w:rFonts w:hint="eastAsia"/>
                <w:sz w:val="18"/>
              </w:rPr>
            </w:pPr>
            <w:r>
              <w:rPr>
                <w:rFonts w:hint="eastAsia"/>
                <w:sz w:val="18"/>
              </w:rPr>
              <w:t>男</w:t>
            </w:r>
          </w:p>
        </w:tc>
        <w:tc>
          <w:tcPr>
            <w:tcW w:w="1085" w:type="dxa"/>
            <w:tcBorders>
              <w:top w:val="single" w:sz="4" w:space="0" w:color="auto"/>
              <w:bottom w:val="nil"/>
            </w:tcBorders>
          </w:tcPr>
          <w:p w:rsidR="00000000" w:rsidRDefault="00000000">
            <w:pPr>
              <w:pStyle w:val="a2"/>
              <w:spacing w:line="240" w:lineRule="auto"/>
              <w:ind w:right="170"/>
              <w:jc w:val="right"/>
              <w:rPr>
                <w:sz w:val="18"/>
              </w:rPr>
            </w:pPr>
            <w:r>
              <w:rPr>
                <w:sz w:val="18"/>
              </w:rPr>
              <w:t>194,060</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47,232</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24.34</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41,231</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9,217</w:t>
            </w:r>
          </w:p>
        </w:tc>
        <w:tc>
          <w:tcPr>
            <w:tcW w:w="1210" w:type="dxa"/>
            <w:tcBorders>
              <w:top w:val="single" w:sz="4" w:space="0" w:color="auto"/>
              <w:bottom w:val="nil"/>
            </w:tcBorders>
          </w:tcPr>
          <w:p w:rsidR="00000000" w:rsidRDefault="00000000">
            <w:pPr>
              <w:pStyle w:val="a2"/>
              <w:spacing w:line="240" w:lineRule="auto"/>
              <w:ind w:right="170"/>
              <w:jc w:val="right"/>
              <w:rPr>
                <w:sz w:val="18"/>
              </w:rPr>
            </w:pPr>
            <w:r>
              <w:rPr>
                <w:sz w:val="18"/>
              </w:rPr>
              <w:t>22.35</w:t>
            </w:r>
          </w:p>
        </w:tc>
      </w:tr>
      <w:tr w:rsidR="00000000">
        <w:tblPrEx>
          <w:tblCellMar>
            <w:top w:w="0" w:type="dxa"/>
            <w:bottom w:w="0" w:type="dxa"/>
          </w:tblCellMar>
        </w:tblPrEx>
        <w:trPr>
          <w:cantSplit/>
          <w:jc w:val="center"/>
        </w:trPr>
        <w:tc>
          <w:tcPr>
            <w:tcW w:w="1345" w:type="dxa"/>
            <w:vMerge/>
            <w:tcBorders>
              <w:top w:val="nil"/>
              <w:bottom w:val="nil"/>
            </w:tcBorders>
          </w:tcPr>
          <w:p w:rsidR="00000000" w:rsidRDefault="00000000">
            <w:pPr>
              <w:pStyle w:val="a2"/>
              <w:spacing w:line="240" w:lineRule="auto"/>
              <w:rPr>
                <w:sz w:val="18"/>
              </w:rPr>
            </w:pPr>
          </w:p>
        </w:tc>
        <w:tc>
          <w:tcPr>
            <w:tcW w:w="771" w:type="dxa"/>
            <w:tcBorders>
              <w:top w:val="nil"/>
              <w:bottom w:val="nil"/>
            </w:tcBorders>
          </w:tcPr>
          <w:p w:rsidR="00000000" w:rsidRDefault="00000000">
            <w:pPr>
              <w:pStyle w:val="a2"/>
              <w:spacing w:line="240" w:lineRule="auto"/>
              <w:ind w:right="170"/>
              <w:jc w:val="left"/>
              <w:rPr>
                <w:rFonts w:hint="eastAsia"/>
                <w:sz w:val="18"/>
              </w:rPr>
            </w:pPr>
            <w:r>
              <w:rPr>
                <w:rFonts w:hint="eastAsia"/>
                <w:sz w:val="18"/>
              </w:rPr>
              <w:t>女</w:t>
            </w:r>
          </w:p>
        </w:tc>
        <w:tc>
          <w:tcPr>
            <w:tcW w:w="1085" w:type="dxa"/>
            <w:tcBorders>
              <w:top w:val="nil"/>
              <w:bottom w:val="nil"/>
            </w:tcBorders>
          </w:tcPr>
          <w:p w:rsidR="00000000" w:rsidRDefault="00000000">
            <w:pPr>
              <w:pStyle w:val="a2"/>
              <w:spacing w:line="240" w:lineRule="auto"/>
              <w:ind w:right="170"/>
              <w:jc w:val="right"/>
              <w:rPr>
                <w:sz w:val="18"/>
              </w:rPr>
            </w:pPr>
            <w:r>
              <w:rPr>
                <w:sz w:val="18"/>
              </w:rPr>
              <w:t>192,392</w:t>
            </w:r>
          </w:p>
        </w:tc>
        <w:tc>
          <w:tcPr>
            <w:tcW w:w="1209" w:type="dxa"/>
            <w:tcBorders>
              <w:top w:val="nil"/>
              <w:bottom w:val="nil"/>
            </w:tcBorders>
          </w:tcPr>
          <w:p w:rsidR="00000000" w:rsidRDefault="00000000">
            <w:pPr>
              <w:pStyle w:val="a2"/>
              <w:spacing w:line="240" w:lineRule="auto"/>
              <w:ind w:right="170"/>
              <w:jc w:val="right"/>
              <w:rPr>
                <w:sz w:val="18"/>
              </w:rPr>
            </w:pPr>
            <w:r>
              <w:rPr>
                <w:sz w:val="18"/>
              </w:rPr>
              <w:t>51,711</w:t>
            </w:r>
          </w:p>
        </w:tc>
        <w:tc>
          <w:tcPr>
            <w:tcW w:w="1209" w:type="dxa"/>
            <w:tcBorders>
              <w:top w:val="nil"/>
              <w:bottom w:val="nil"/>
            </w:tcBorders>
          </w:tcPr>
          <w:p w:rsidR="00000000" w:rsidRDefault="00000000">
            <w:pPr>
              <w:pStyle w:val="a2"/>
              <w:spacing w:line="240" w:lineRule="auto"/>
              <w:ind w:right="170"/>
              <w:jc w:val="right"/>
              <w:rPr>
                <w:sz w:val="18"/>
              </w:rPr>
            </w:pPr>
            <w:r>
              <w:rPr>
                <w:sz w:val="18"/>
              </w:rPr>
              <w:t>26.88</w:t>
            </w:r>
          </w:p>
        </w:tc>
        <w:tc>
          <w:tcPr>
            <w:tcW w:w="1209" w:type="dxa"/>
            <w:tcBorders>
              <w:top w:val="nil"/>
              <w:bottom w:val="nil"/>
            </w:tcBorders>
          </w:tcPr>
          <w:p w:rsidR="00000000" w:rsidRDefault="00000000">
            <w:pPr>
              <w:pStyle w:val="a2"/>
              <w:spacing w:line="240" w:lineRule="auto"/>
              <w:ind w:right="170"/>
              <w:jc w:val="right"/>
              <w:rPr>
                <w:sz w:val="18"/>
              </w:rPr>
            </w:pPr>
            <w:r>
              <w:rPr>
                <w:sz w:val="18"/>
              </w:rPr>
              <w:t>29,832</w:t>
            </w:r>
          </w:p>
        </w:tc>
        <w:tc>
          <w:tcPr>
            <w:tcW w:w="1209" w:type="dxa"/>
            <w:tcBorders>
              <w:top w:val="nil"/>
              <w:bottom w:val="nil"/>
            </w:tcBorders>
          </w:tcPr>
          <w:p w:rsidR="00000000" w:rsidRDefault="00000000">
            <w:pPr>
              <w:pStyle w:val="a2"/>
              <w:spacing w:line="240" w:lineRule="auto"/>
              <w:ind w:right="170"/>
              <w:jc w:val="right"/>
              <w:rPr>
                <w:sz w:val="18"/>
              </w:rPr>
            </w:pPr>
            <w:r>
              <w:rPr>
                <w:sz w:val="18"/>
              </w:rPr>
              <w:t>7,311</w:t>
            </w:r>
          </w:p>
        </w:tc>
        <w:tc>
          <w:tcPr>
            <w:tcW w:w="1210" w:type="dxa"/>
            <w:tcBorders>
              <w:top w:val="nil"/>
              <w:bottom w:val="nil"/>
            </w:tcBorders>
          </w:tcPr>
          <w:p w:rsidR="00000000" w:rsidRDefault="00000000">
            <w:pPr>
              <w:pStyle w:val="a2"/>
              <w:spacing w:line="240" w:lineRule="auto"/>
              <w:ind w:right="170"/>
              <w:jc w:val="right"/>
              <w:rPr>
                <w:sz w:val="18"/>
              </w:rPr>
            </w:pPr>
            <w:r>
              <w:rPr>
                <w:sz w:val="18"/>
              </w:rPr>
              <w:t>24.51</w:t>
            </w:r>
          </w:p>
        </w:tc>
      </w:tr>
      <w:tr w:rsidR="00000000">
        <w:tblPrEx>
          <w:tblCellMar>
            <w:top w:w="0" w:type="dxa"/>
            <w:bottom w:w="0" w:type="dxa"/>
          </w:tblCellMar>
        </w:tblPrEx>
        <w:trPr>
          <w:cantSplit/>
          <w:jc w:val="center"/>
        </w:trPr>
        <w:tc>
          <w:tcPr>
            <w:tcW w:w="1345" w:type="dxa"/>
            <w:vMerge/>
            <w:tcBorders>
              <w:top w:val="nil"/>
              <w:bottom w:val="single" w:sz="4" w:space="0" w:color="auto"/>
            </w:tcBorders>
          </w:tcPr>
          <w:p w:rsidR="00000000" w:rsidRDefault="00000000">
            <w:pPr>
              <w:pStyle w:val="a2"/>
              <w:spacing w:line="240" w:lineRule="auto"/>
              <w:rPr>
                <w:sz w:val="18"/>
              </w:rPr>
            </w:pPr>
          </w:p>
        </w:tc>
        <w:tc>
          <w:tcPr>
            <w:tcW w:w="771" w:type="dxa"/>
            <w:tcBorders>
              <w:top w:val="nil"/>
              <w:bottom w:val="single" w:sz="4" w:space="0" w:color="auto"/>
            </w:tcBorders>
          </w:tcPr>
          <w:p w:rsidR="00000000" w:rsidRDefault="00000000">
            <w:pPr>
              <w:pStyle w:val="a2"/>
              <w:spacing w:line="240" w:lineRule="auto"/>
              <w:ind w:right="170"/>
              <w:jc w:val="left"/>
              <w:rPr>
                <w:rFonts w:hint="eastAsia"/>
                <w:sz w:val="18"/>
              </w:rPr>
            </w:pPr>
            <w:r>
              <w:rPr>
                <w:rFonts w:hint="eastAsia"/>
                <w:sz w:val="17"/>
              </w:rPr>
              <w:t>共计</w:t>
            </w:r>
          </w:p>
        </w:tc>
        <w:tc>
          <w:tcPr>
            <w:tcW w:w="1085" w:type="dxa"/>
            <w:tcBorders>
              <w:top w:val="nil"/>
              <w:bottom w:val="single" w:sz="4" w:space="0" w:color="auto"/>
            </w:tcBorders>
          </w:tcPr>
          <w:p w:rsidR="00000000" w:rsidRDefault="00000000">
            <w:pPr>
              <w:pStyle w:val="a2"/>
              <w:spacing w:line="240" w:lineRule="auto"/>
              <w:ind w:right="170"/>
              <w:jc w:val="right"/>
              <w:rPr>
                <w:sz w:val="18"/>
              </w:rPr>
            </w:pPr>
            <w:r>
              <w:rPr>
                <w:sz w:val="18"/>
              </w:rPr>
              <w:t>386,452</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98,943</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25.60</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71,063</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16,528</w:t>
            </w:r>
          </w:p>
        </w:tc>
        <w:tc>
          <w:tcPr>
            <w:tcW w:w="1210" w:type="dxa"/>
            <w:tcBorders>
              <w:top w:val="nil"/>
              <w:bottom w:val="single" w:sz="4" w:space="0" w:color="auto"/>
            </w:tcBorders>
          </w:tcPr>
          <w:p w:rsidR="00000000" w:rsidRDefault="00000000">
            <w:pPr>
              <w:pStyle w:val="a2"/>
              <w:spacing w:line="240" w:lineRule="auto"/>
              <w:ind w:right="170"/>
              <w:jc w:val="right"/>
              <w:rPr>
                <w:sz w:val="18"/>
              </w:rPr>
            </w:pPr>
            <w:r>
              <w:rPr>
                <w:sz w:val="18"/>
              </w:rPr>
              <w:t>23.26</w:t>
            </w:r>
          </w:p>
        </w:tc>
      </w:tr>
      <w:tr w:rsidR="00000000">
        <w:tblPrEx>
          <w:tblCellMar>
            <w:top w:w="0" w:type="dxa"/>
            <w:bottom w:w="0" w:type="dxa"/>
          </w:tblCellMar>
        </w:tblPrEx>
        <w:trPr>
          <w:cantSplit/>
          <w:jc w:val="center"/>
        </w:trPr>
        <w:tc>
          <w:tcPr>
            <w:tcW w:w="1345"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1996-1997</w:t>
            </w:r>
            <w:r>
              <w:rPr>
                <w:rFonts w:hint="eastAsia"/>
                <w:sz w:val="18"/>
              </w:rPr>
              <w:t>年</w:t>
            </w:r>
          </w:p>
        </w:tc>
        <w:tc>
          <w:tcPr>
            <w:tcW w:w="771" w:type="dxa"/>
            <w:tcBorders>
              <w:top w:val="single" w:sz="4" w:space="0" w:color="auto"/>
              <w:bottom w:val="nil"/>
            </w:tcBorders>
          </w:tcPr>
          <w:p w:rsidR="00000000" w:rsidRDefault="00000000">
            <w:pPr>
              <w:pStyle w:val="a2"/>
              <w:spacing w:line="240" w:lineRule="auto"/>
              <w:ind w:right="170"/>
              <w:jc w:val="left"/>
              <w:rPr>
                <w:rFonts w:hint="eastAsia"/>
                <w:sz w:val="18"/>
              </w:rPr>
            </w:pPr>
            <w:r>
              <w:rPr>
                <w:rFonts w:hint="eastAsia"/>
                <w:sz w:val="18"/>
              </w:rPr>
              <w:t>男</w:t>
            </w:r>
          </w:p>
        </w:tc>
        <w:tc>
          <w:tcPr>
            <w:tcW w:w="1085" w:type="dxa"/>
            <w:tcBorders>
              <w:top w:val="single" w:sz="4" w:space="0" w:color="auto"/>
              <w:bottom w:val="nil"/>
            </w:tcBorders>
          </w:tcPr>
          <w:p w:rsidR="00000000" w:rsidRDefault="00000000">
            <w:pPr>
              <w:pStyle w:val="a2"/>
              <w:spacing w:line="240" w:lineRule="auto"/>
              <w:ind w:right="170"/>
              <w:jc w:val="right"/>
              <w:rPr>
                <w:sz w:val="18"/>
              </w:rPr>
            </w:pPr>
            <w:r>
              <w:rPr>
                <w:sz w:val="18"/>
              </w:rPr>
              <w:t>211,472</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52,502</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24.83</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44,608</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10,293</w:t>
            </w:r>
          </w:p>
        </w:tc>
        <w:tc>
          <w:tcPr>
            <w:tcW w:w="1210" w:type="dxa"/>
            <w:tcBorders>
              <w:top w:val="single" w:sz="4" w:space="0" w:color="auto"/>
              <w:bottom w:val="nil"/>
            </w:tcBorders>
          </w:tcPr>
          <w:p w:rsidR="00000000" w:rsidRDefault="00000000">
            <w:pPr>
              <w:pStyle w:val="a2"/>
              <w:spacing w:line="240" w:lineRule="auto"/>
              <w:ind w:right="170"/>
              <w:jc w:val="right"/>
              <w:rPr>
                <w:sz w:val="18"/>
              </w:rPr>
            </w:pPr>
            <w:r>
              <w:rPr>
                <w:sz w:val="18"/>
              </w:rPr>
              <w:t>23.07</w:t>
            </w:r>
          </w:p>
        </w:tc>
      </w:tr>
      <w:tr w:rsidR="00000000">
        <w:tblPrEx>
          <w:tblCellMar>
            <w:top w:w="0" w:type="dxa"/>
            <w:bottom w:w="0" w:type="dxa"/>
          </w:tblCellMar>
        </w:tblPrEx>
        <w:trPr>
          <w:cantSplit/>
          <w:jc w:val="center"/>
        </w:trPr>
        <w:tc>
          <w:tcPr>
            <w:tcW w:w="1345" w:type="dxa"/>
            <w:vMerge/>
            <w:tcBorders>
              <w:top w:val="nil"/>
              <w:bottom w:val="nil"/>
            </w:tcBorders>
          </w:tcPr>
          <w:p w:rsidR="00000000" w:rsidRDefault="00000000">
            <w:pPr>
              <w:pStyle w:val="a2"/>
              <w:spacing w:line="240" w:lineRule="auto"/>
              <w:rPr>
                <w:sz w:val="18"/>
              </w:rPr>
            </w:pPr>
          </w:p>
        </w:tc>
        <w:tc>
          <w:tcPr>
            <w:tcW w:w="771" w:type="dxa"/>
            <w:tcBorders>
              <w:top w:val="nil"/>
              <w:bottom w:val="nil"/>
            </w:tcBorders>
          </w:tcPr>
          <w:p w:rsidR="00000000" w:rsidRDefault="00000000">
            <w:pPr>
              <w:pStyle w:val="a2"/>
              <w:spacing w:line="240" w:lineRule="auto"/>
              <w:ind w:right="170"/>
              <w:jc w:val="left"/>
              <w:rPr>
                <w:rFonts w:hint="eastAsia"/>
                <w:sz w:val="18"/>
              </w:rPr>
            </w:pPr>
            <w:r>
              <w:rPr>
                <w:rFonts w:hint="eastAsia"/>
                <w:sz w:val="18"/>
              </w:rPr>
              <w:t>女</w:t>
            </w:r>
          </w:p>
        </w:tc>
        <w:tc>
          <w:tcPr>
            <w:tcW w:w="1085" w:type="dxa"/>
            <w:tcBorders>
              <w:top w:val="nil"/>
              <w:bottom w:val="nil"/>
            </w:tcBorders>
          </w:tcPr>
          <w:p w:rsidR="00000000" w:rsidRDefault="00000000">
            <w:pPr>
              <w:pStyle w:val="a2"/>
              <w:spacing w:line="240" w:lineRule="auto"/>
              <w:ind w:right="170"/>
              <w:jc w:val="right"/>
              <w:rPr>
                <w:sz w:val="18"/>
              </w:rPr>
            </w:pPr>
            <w:r>
              <w:rPr>
                <w:sz w:val="18"/>
              </w:rPr>
              <w:t>211,151</w:t>
            </w:r>
          </w:p>
        </w:tc>
        <w:tc>
          <w:tcPr>
            <w:tcW w:w="1209" w:type="dxa"/>
            <w:tcBorders>
              <w:top w:val="nil"/>
              <w:bottom w:val="nil"/>
            </w:tcBorders>
          </w:tcPr>
          <w:p w:rsidR="00000000" w:rsidRDefault="00000000">
            <w:pPr>
              <w:pStyle w:val="a2"/>
              <w:spacing w:line="240" w:lineRule="auto"/>
              <w:ind w:right="170"/>
              <w:jc w:val="right"/>
              <w:rPr>
                <w:sz w:val="18"/>
              </w:rPr>
            </w:pPr>
            <w:r>
              <w:rPr>
                <w:sz w:val="18"/>
              </w:rPr>
              <w:t>58,034</w:t>
            </w:r>
          </w:p>
        </w:tc>
        <w:tc>
          <w:tcPr>
            <w:tcW w:w="1209" w:type="dxa"/>
            <w:tcBorders>
              <w:top w:val="nil"/>
              <w:bottom w:val="nil"/>
            </w:tcBorders>
          </w:tcPr>
          <w:p w:rsidR="00000000" w:rsidRDefault="00000000">
            <w:pPr>
              <w:pStyle w:val="a2"/>
              <w:spacing w:line="240" w:lineRule="auto"/>
              <w:ind w:right="170"/>
              <w:jc w:val="right"/>
              <w:rPr>
                <w:sz w:val="18"/>
              </w:rPr>
            </w:pPr>
            <w:r>
              <w:rPr>
                <w:sz w:val="18"/>
              </w:rPr>
              <w:t>27.48</w:t>
            </w:r>
          </w:p>
        </w:tc>
        <w:tc>
          <w:tcPr>
            <w:tcW w:w="1209" w:type="dxa"/>
            <w:tcBorders>
              <w:top w:val="nil"/>
              <w:bottom w:val="nil"/>
            </w:tcBorders>
          </w:tcPr>
          <w:p w:rsidR="00000000" w:rsidRDefault="00000000">
            <w:pPr>
              <w:pStyle w:val="a2"/>
              <w:spacing w:line="240" w:lineRule="auto"/>
              <w:ind w:right="170"/>
              <w:jc w:val="right"/>
              <w:rPr>
                <w:sz w:val="18"/>
              </w:rPr>
            </w:pPr>
            <w:r>
              <w:rPr>
                <w:sz w:val="18"/>
              </w:rPr>
              <w:t>32,071</w:t>
            </w:r>
          </w:p>
        </w:tc>
        <w:tc>
          <w:tcPr>
            <w:tcW w:w="1209" w:type="dxa"/>
            <w:tcBorders>
              <w:top w:val="nil"/>
              <w:bottom w:val="nil"/>
            </w:tcBorders>
          </w:tcPr>
          <w:p w:rsidR="00000000" w:rsidRDefault="00000000">
            <w:pPr>
              <w:pStyle w:val="a2"/>
              <w:spacing w:line="240" w:lineRule="auto"/>
              <w:ind w:right="170"/>
              <w:jc w:val="right"/>
              <w:rPr>
                <w:sz w:val="18"/>
              </w:rPr>
            </w:pPr>
            <w:r>
              <w:rPr>
                <w:sz w:val="18"/>
              </w:rPr>
              <w:t>7,949</w:t>
            </w:r>
          </w:p>
        </w:tc>
        <w:tc>
          <w:tcPr>
            <w:tcW w:w="1210" w:type="dxa"/>
            <w:tcBorders>
              <w:top w:val="nil"/>
              <w:bottom w:val="nil"/>
            </w:tcBorders>
          </w:tcPr>
          <w:p w:rsidR="00000000" w:rsidRDefault="00000000">
            <w:pPr>
              <w:pStyle w:val="a2"/>
              <w:spacing w:line="240" w:lineRule="auto"/>
              <w:ind w:right="170"/>
              <w:jc w:val="right"/>
              <w:rPr>
                <w:sz w:val="18"/>
              </w:rPr>
            </w:pPr>
            <w:r>
              <w:rPr>
                <w:sz w:val="18"/>
              </w:rPr>
              <w:t>24.79</w:t>
            </w:r>
          </w:p>
        </w:tc>
      </w:tr>
      <w:tr w:rsidR="00000000">
        <w:tblPrEx>
          <w:tblCellMar>
            <w:top w:w="0" w:type="dxa"/>
            <w:bottom w:w="0" w:type="dxa"/>
          </w:tblCellMar>
        </w:tblPrEx>
        <w:trPr>
          <w:cantSplit/>
          <w:jc w:val="center"/>
        </w:trPr>
        <w:tc>
          <w:tcPr>
            <w:tcW w:w="1345" w:type="dxa"/>
            <w:vMerge/>
            <w:tcBorders>
              <w:top w:val="nil"/>
              <w:bottom w:val="single" w:sz="4" w:space="0" w:color="auto"/>
            </w:tcBorders>
          </w:tcPr>
          <w:p w:rsidR="00000000" w:rsidRDefault="00000000">
            <w:pPr>
              <w:pStyle w:val="a2"/>
              <w:spacing w:line="240" w:lineRule="auto"/>
              <w:rPr>
                <w:sz w:val="18"/>
              </w:rPr>
            </w:pPr>
          </w:p>
        </w:tc>
        <w:tc>
          <w:tcPr>
            <w:tcW w:w="771" w:type="dxa"/>
            <w:tcBorders>
              <w:top w:val="nil"/>
              <w:bottom w:val="single" w:sz="4" w:space="0" w:color="auto"/>
            </w:tcBorders>
          </w:tcPr>
          <w:p w:rsidR="00000000" w:rsidRDefault="00000000">
            <w:pPr>
              <w:pStyle w:val="a2"/>
              <w:spacing w:line="240" w:lineRule="auto"/>
              <w:ind w:right="170"/>
              <w:jc w:val="left"/>
              <w:rPr>
                <w:rFonts w:hint="eastAsia"/>
                <w:sz w:val="18"/>
              </w:rPr>
            </w:pPr>
            <w:r>
              <w:rPr>
                <w:rFonts w:hint="eastAsia"/>
                <w:sz w:val="17"/>
              </w:rPr>
              <w:t>共计</w:t>
            </w:r>
          </w:p>
        </w:tc>
        <w:tc>
          <w:tcPr>
            <w:tcW w:w="1085" w:type="dxa"/>
            <w:tcBorders>
              <w:top w:val="nil"/>
              <w:bottom w:val="single" w:sz="4" w:space="0" w:color="auto"/>
            </w:tcBorders>
          </w:tcPr>
          <w:p w:rsidR="00000000" w:rsidRDefault="00000000">
            <w:pPr>
              <w:pStyle w:val="a2"/>
              <w:spacing w:line="240" w:lineRule="auto"/>
              <w:ind w:right="170"/>
              <w:jc w:val="right"/>
              <w:rPr>
                <w:sz w:val="18"/>
              </w:rPr>
            </w:pPr>
            <w:r>
              <w:rPr>
                <w:sz w:val="18"/>
              </w:rPr>
              <w:t>422,623</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110,536</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26.15</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76,679</w:t>
            </w:r>
          </w:p>
        </w:tc>
        <w:tc>
          <w:tcPr>
            <w:tcW w:w="1209" w:type="dxa"/>
            <w:tcBorders>
              <w:top w:val="nil"/>
              <w:bottom w:val="single" w:sz="4" w:space="0" w:color="auto"/>
            </w:tcBorders>
          </w:tcPr>
          <w:p w:rsidR="00000000" w:rsidRDefault="00000000">
            <w:pPr>
              <w:pStyle w:val="a2"/>
              <w:spacing w:line="240" w:lineRule="auto"/>
              <w:ind w:right="170"/>
              <w:jc w:val="right"/>
              <w:rPr>
                <w:sz w:val="18"/>
              </w:rPr>
            </w:pPr>
            <w:r>
              <w:rPr>
                <w:sz w:val="18"/>
              </w:rPr>
              <w:t>18,242</w:t>
            </w:r>
          </w:p>
        </w:tc>
        <w:tc>
          <w:tcPr>
            <w:tcW w:w="1210" w:type="dxa"/>
            <w:tcBorders>
              <w:top w:val="nil"/>
              <w:bottom w:val="single" w:sz="4" w:space="0" w:color="auto"/>
            </w:tcBorders>
          </w:tcPr>
          <w:p w:rsidR="00000000" w:rsidRDefault="00000000">
            <w:pPr>
              <w:pStyle w:val="a2"/>
              <w:spacing w:line="240" w:lineRule="auto"/>
              <w:ind w:right="170"/>
              <w:jc w:val="right"/>
              <w:rPr>
                <w:sz w:val="18"/>
              </w:rPr>
            </w:pPr>
            <w:r>
              <w:rPr>
                <w:sz w:val="18"/>
              </w:rPr>
              <w:t>23.79</w:t>
            </w:r>
          </w:p>
        </w:tc>
      </w:tr>
      <w:tr w:rsidR="00000000">
        <w:tblPrEx>
          <w:tblCellMar>
            <w:top w:w="0" w:type="dxa"/>
            <w:bottom w:w="0" w:type="dxa"/>
          </w:tblCellMar>
        </w:tblPrEx>
        <w:trPr>
          <w:cantSplit/>
          <w:jc w:val="center"/>
        </w:trPr>
        <w:tc>
          <w:tcPr>
            <w:tcW w:w="1345" w:type="dxa"/>
            <w:vMerge w:val="restart"/>
            <w:tcBorders>
              <w:top w:val="single" w:sz="4" w:space="0" w:color="auto"/>
              <w:bottom w:val="nil"/>
            </w:tcBorders>
          </w:tcPr>
          <w:p w:rsidR="00000000" w:rsidRDefault="00000000">
            <w:pPr>
              <w:pStyle w:val="a2"/>
              <w:spacing w:line="240" w:lineRule="auto"/>
              <w:rPr>
                <w:rFonts w:hint="eastAsia"/>
                <w:sz w:val="18"/>
              </w:rPr>
            </w:pPr>
            <w:r>
              <w:rPr>
                <w:sz w:val="18"/>
              </w:rPr>
              <w:t>1997-1998</w:t>
            </w:r>
            <w:r>
              <w:rPr>
                <w:rFonts w:hint="eastAsia"/>
                <w:sz w:val="18"/>
              </w:rPr>
              <w:t>年</w:t>
            </w:r>
          </w:p>
        </w:tc>
        <w:tc>
          <w:tcPr>
            <w:tcW w:w="771" w:type="dxa"/>
            <w:tcBorders>
              <w:top w:val="single" w:sz="4" w:space="0" w:color="auto"/>
              <w:bottom w:val="nil"/>
            </w:tcBorders>
          </w:tcPr>
          <w:p w:rsidR="00000000" w:rsidRDefault="00000000">
            <w:pPr>
              <w:pStyle w:val="a2"/>
              <w:spacing w:line="240" w:lineRule="auto"/>
              <w:ind w:right="170"/>
              <w:jc w:val="left"/>
              <w:rPr>
                <w:rFonts w:hint="eastAsia"/>
                <w:sz w:val="18"/>
              </w:rPr>
            </w:pPr>
            <w:r>
              <w:rPr>
                <w:rFonts w:hint="eastAsia"/>
                <w:sz w:val="18"/>
              </w:rPr>
              <w:t>男</w:t>
            </w:r>
          </w:p>
        </w:tc>
        <w:tc>
          <w:tcPr>
            <w:tcW w:w="1085" w:type="dxa"/>
            <w:tcBorders>
              <w:top w:val="single" w:sz="4" w:space="0" w:color="auto"/>
              <w:bottom w:val="nil"/>
            </w:tcBorders>
          </w:tcPr>
          <w:p w:rsidR="00000000" w:rsidRDefault="00000000">
            <w:pPr>
              <w:pStyle w:val="a2"/>
              <w:spacing w:line="240" w:lineRule="auto"/>
              <w:ind w:right="170"/>
              <w:jc w:val="right"/>
              <w:rPr>
                <w:sz w:val="18"/>
              </w:rPr>
            </w:pPr>
            <w:r>
              <w:rPr>
                <w:sz w:val="18"/>
              </w:rPr>
              <w:t>208,797</w:t>
            </w:r>
          </w:p>
        </w:tc>
        <w:tc>
          <w:tcPr>
            <w:tcW w:w="1209" w:type="dxa"/>
            <w:tcBorders>
              <w:top w:val="single" w:sz="4" w:space="0" w:color="auto"/>
              <w:bottom w:val="nil"/>
            </w:tcBorders>
          </w:tcPr>
          <w:p w:rsidR="00000000" w:rsidRDefault="00000000">
            <w:pPr>
              <w:pStyle w:val="a2"/>
              <w:spacing w:line="240" w:lineRule="auto"/>
              <w:ind w:right="170"/>
              <w:jc w:val="right"/>
              <w:rPr>
                <w:sz w:val="18"/>
              </w:rPr>
            </w:pP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0.00</w:t>
            </w:r>
          </w:p>
        </w:tc>
        <w:tc>
          <w:tcPr>
            <w:tcW w:w="1209" w:type="dxa"/>
            <w:tcBorders>
              <w:top w:val="single" w:sz="4" w:space="0" w:color="auto"/>
              <w:bottom w:val="nil"/>
            </w:tcBorders>
          </w:tcPr>
          <w:p w:rsidR="00000000" w:rsidRDefault="00000000">
            <w:pPr>
              <w:pStyle w:val="a2"/>
              <w:spacing w:line="240" w:lineRule="auto"/>
              <w:ind w:right="170"/>
              <w:jc w:val="right"/>
              <w:rPr>
                <w:sz w:val="18"/>
              </w:rPr>
            </w:pPr>
            <w:r>
              <w:rPr>
                <w:sz w:val="18"/>
              </w:rPr>
              <w:t>46,696</w:t>
            </w:r>
          </w:p>
        </w:tc>
        <w:tc>
          <w:tcPr>
            <w:tcW w:w="1209" w:type="dxa"/>
            <w:tcBorders>
              <w:top w:val="single" w:sz="4" w:space="0" w:color="auto"/>
              <w:bottom w:val="nil"/>
            </w:tcBorders>
          </w:tcPr>
          <w:p w:rsidR="00000000" w:rsidRDefault="00000000">
            <w:pPr>
              <w:pStyle w:val="a2"/>
              <w:spacing w:line="240" w:lineRule="auto"/>
              <w:ind w:right="170"/>
              <w:jc w:val="right"/>
              <w:rPr>
                <w:sz w:val="18"/>
              </w:rPr>
            </w:pPr>
          </w:p>
        </w:tc>
        <w:tc>
          <w:tcPr>
            <w:tcW w:w="1210" w:type="dxa"/>
            <w:tcBorders>
              <w:top w:val="single" w:sz="4" w:space="0" w:color="auto"/>
              <w:bottom w:val="nil"/>
            </w:tcBorders>
          </w:tcPr>
          <w:p w:rsidR="00000000" w:rsidRDefault="00000000">
            <w:pPr>
              <w:pStyle w:val="a2"/>
              <w:spacing w:line="240" w:lineRule="auto"/>
              <w:ind w:right="170"/>
              <w:jc w:val="right"/>
              <w:rPr>
                <w:sz w:val="18"/>
              </w:rPr>
            </w:pPr>
            <w:r>
              <w:rPr>
                <w:sz w:val="18"/>
              </w:rPr>
              <w:t>0.00</w:t>
            </w:r>
          </w:p>
        </w:tc>
      </w:tr>
      <w:tr w:rsidR="00000000">
        <w:tblPrEx>
          <w:tblCellMar>
            <w:top w:w="0" w:type="dxa"/>
            <w:bottom w:w="0" w:type="dxa"/>
          </w:tblCellMar>
        </w:tblPrEx>
        <w:trPr>
          <w:cantSplit/>
          <w:jc w:val="center"/>
        </w:trPr>
        <w:tc>
          <w:tcPr>
            <w:tcW w:w="1345" w:type="dxa"/>
            <w:vMerge/>
            <w:tcBorders>
              <w:top w:val="nil"/>
              <w:bottom w:val="nil"/>
            </w:tcBorders>
          </w:tcPr>
          <w:p w:rsidR="00000000" w:rsidRDefault="00000000">
            <w:pPr>
              <w:pStyle w:val="a2"/>
              <w:spacing w:line="240" w:lineRule="auto"/>
              <w:rPr>
                <w:sz w:val="18"/>
              </w:rPr>
            </w:pPr>
          </w:p>
        </w:tc>
        <w:tc>
          <w:tcPr>
            <w:tcW w:w="771" w:type="dxa"/>
            <w:tcBorders>
              <w:top w:val="nil"/>
              <w:bottom w:val="nil"/>
            </w:tcBorders>
          </w:tcPr>
          <w:p w:rsidR="00000000" w:rsidRDefault="00000000">
            <w:pPr>
              <w:pStyle w:val="a2"/>
              <w:spacing w:line="240" w:lineRule="auto"/>
              <w:ind w:right="170"/>
              <w:jc w:val="left"/>
              <w:rPr>
                <w:rFonts w:hint="eastAsia"/>
                <w:sz w:val="18"/>
              </w:rPr>
            </w:pPr>
            <w:r>
              <w:rPr>
                <w:rFonts w:hint="eastAsia"/>
                <w:sz w:val="18"/>
              </w:rPr>
              <w:t>女</w:t>
            </w:r>
          </w:p>
        </w:tc>
        <w:tc>
          <w:tcPr>
            <w:tcW w:w="1085" w:type="dxa"/>
            <w:tcBorders>
              <w:top w:val="nil"/>
              <w:bottom w:val="nil"/>
            </w:tcBorders>
          </w:tcPr>
          <w:p w:rsidR="00000000" w:rsidRDefault="00000000">
            <w:pPr>
              <w:pStyle w:val="a2"/>
              <w:spacing w:line="240" w:lineRule="auto"/>
              <w:ind w:right="170"/>
              <w:jc w:val="right"/>
              <w:rPr>
                <w:sz w:val="18"/>
              </w:rPr>
            </w:pPr>
            <w:r>
              <w:rPr>
                <w:sz w:val="18"/>
              </w:rPr>
              <w:t>209,329</w:t>
            </w:r>
          </w:p>
        </w:tc>
        <w:tc>
          <w:tcPr>
            <w:tcW w:w="1209" w:type="dxa"/>
            <w:tcBorders>
              <w:top w:val="nil"/>
              <w:bottom w:val="nil"/>
            </w:tcBorders>
          </w:tcPr>
          <w:p w:rsidR="00000000" w:rsidRDefault="00000000">
            <w:pPr>
              <w:pStyle w:val="a2"/>
              <w:spacing w:line="240" w:lineRule="auto"/>
              <w:ind w:right="170"/>
              <w:jc w:val="right"/>
              <w:rPr>
                <w:sz w:val="18"/>
              </w:rPr>
            </w:pPr>
          </w:p>
        </w:tc>
        <w:tc>
          <w:tcPr>
            <w:tcW w:w="1209" w:type="dxa"/>
            <w:tcBorders>
              <w:top w:val="nil"/>
              <w:bottom w:val="nil"/>
            </w:tcBorders>
          </w:tcPr>
          <w:p w:rsidR="00000000" w:rsidRDefault="00000000">
            <w:pPr>
              <w:pStyle w:val="a2"/>
              <w:spacing w:line="240" w:lineRule="auto"/>
              <w:ind w:right="170"/>
              <w:jc w:val="right"/>
              <w:rPr>
                <w:sz w:val="18"/>
              </w:rPr>
            </w:pPr>
            <w:r>
              <w:rPr>
                <w:sz w:val="18"/>
              </w:rPr>
              <w:t>0.00</w:t>
            </w:r>
          </w:p>
        </w:tc>
        <w:tc>
          <w:tcPr>
            <w:tcW w:w="1209" w:type="dxa"/>
            <w:tcBorders>
              <w:top w:val="nil"/>
              <w:bottom w:val="nil"/>
            </w:tcBorders>
          </w:tcPr>
          <w:p w:rsidR="00000000" w:rsidRDefault="00000000">
            <w:pPr>
              <w:pStyle w:val="a2"/>
              <w:spacing w:line="240" w:lineRule="auto"/>
              <w:ind w:right="170"/>
              <w:jc w:val="right"/>
              <w:rPr>
                <w:sz w:val="18"/>
              </w:rPr>
            </w:pPr>
            <w:r>
              <w:rPr>
                <w:sz w:val="18"/>
              </w:rPr>
              <w:t>34,020</w:t>
            </w:r>
          </w:p>
        </w:tc>
        <w:tc>
          <w:tcPr>
            <w:tcW w:w="1209" w:type="dxa"/>
            <w:tcBorders>
              <w:top w:val="nil"/>
              <w:bottom w:val="nil"/>
            </w:tcBorders>
          </w:tcPr>
          <w:p w:rsidR="00000000" w:rsidRDefault="00000000">
            <w:pPr>
              <w:pStyle w:val="a2"/>
              <w:spacing w:line="240" w:lineRule="auto"/>
              <w:ind w:right="170"/>
              <w:jc w:val="right"/>
              <w:rPr>
                <w:sz w:val="18"/>
              </w:rPr>
            </w:pPr>
          </w:p>
        </w:tc>
        <w:tc>
          <w:tcPr>
            <w:tcW w:w="1210" w:type="dxa"/>
            <w:tcBorders>
              <w:top w:val="nil"/>
              <w:bottom w:val="nil"/>
            </w:tcBorders>
          </w:tcPr>
          <w:p w:rsidR="00000000" w:rsidRDefault="00000000">
            <w:pPr>
              <w:pStyle w:val="a2"/>
              <w:spacing w:line="240" w:lineRule="auto"/>
              <w:ind w:right="170"/>
              <w:jc w:val="right"/>
              <w:rPr>
                <w:sz w:val="18"/>
              </w:rPr>
            </w:pPr>
            <w:r>
              <w:rPr>
                <w:sz w:val="18"/>
              </w:rPr>
              <w:t>0.00</w:t>
            </w:r>
          </w:p>
        </w:tc>
      </w:tr>
      <w:tr w:rsidR="00000000">
        <w:tblPrEx>
          <w:tblCellMar>
            <w:top w:w="0" w:type="dxa"/>
            <w:bottom w:w="0" w:type="dxa"/>
          </w:tblCellMar>
        </w:tblPrEx>
        <w:trPr>
          <w:cantSplit/>
          <w:jc w:val="center"/>
        </w:trPr>
        <w:tc>
          <w:tcPr>
            <w:tcW w:w="1345" w:type="dxa"/>
            <w:vMerge/>
            <w:tcBorders>
              <w:top w:val="nil"/>
            </w:tcBorders>
          </w:tcPr>
          <w:p w:rsidR="00000000" w:rsidRDefault="00000000">
            <w:pPr>
              <w:pStyle w:val="a2"/>
              <w:spacing w:line="240" w:lineRule="auto"/>
              <w:rPr>
                <w:sz w:val="18"/>
              </w:rPr>
            </w:pPr>
          </w:p>
        </w:tc>
        <w:tc>
          <w:tcPr>
            <w:tcW w:w="771" w:type="dxa"/>
            <w:tcBorders>
              <w:top w:val="nil"/>
            </w:tcBorders>
          </w:tcPr>
          <w:p w:rsidR="00000000" w:rsidRDefault="00000000">
            <w:pPr>
              <w:pStyle w:val="a2"/>
              <w:spacing w:line="240" w:lineRule="auto"/>
              <w:ind w:right="170"/>
              <w:jc w:val="left"/>
              <w:rPr>
                <w:rFonts w:hint="eastAsia"/>
                <w:sz w:val="18"/>
              </w:rPr>
            </w:pPr>
            <w:r>
              <w:rPr>
                <w:rFonts w:hint="eastAsia"/>
                <w:sz w:val="17"/>
              </w:rPr>
              <w:t>共计</w:t>
            </w:r>
          </w:p>
        </w:tc>
        <w:tc>
          <w:tcPr>
            <w:tcW w:w="1085" w:type="dxa"/>
            <w:tcBorders>
              <w:top w:val="nil"/>
            </w:tcBorders>
          </w:tcPr>
          <w:p w:rsidR="00000000" w:rsidRDefault="00000000">
            <w:pPr>
              <w:pStyle w:val="a2"/>
              <w:spacing w:line="240" w:lineRule="auto"/>
              <w:ind w:right="170"/>
              <w:jc w:val="right"/>
              <w:rPr>
                <w:sz w:val="18"/>
              </w:rPr>
            </w:pPr>
            <w:r>
              <w:rPr>
                <w:sz w:val="18"/>
              </w:rPr>
              <w:t>418,126</w:t>
            </w:r>
          </w:p>
        </w:tc>
        <w:tc>
          <w:tcPr>
            <w:tcW w:w="1209" w:type="dxa"/>
            <w:tcBorders>
              <w:top w:val="nil"/>
            </w:tcBorders>
          </w:tcPr>
          <w:p w:rsidR="00000000" w:rsidRDefault="00000000">
            <w:pPr>
              <w:pStyle w:val="a2"/>
              <w:spacing w:line="240" w:lineRule="auto"/>
              <w:ind w:right="170"/>
              <w:jc w:val="right"/>
              <w:rPr>
                <w:sz w:val="18"/>
              </w:rPr>
            </w:pPr>
          </w:p>
        </w:tc>
        <w:tc>
          <w:tcPr>
            <w:tcW w:w="1209" w:type="dxa"/>
            <w:tcBorders>
              <w:top w:val="nil"/>
            </w:tcBorders>
          </w:tcPr>
          <w:p w:rsidR="00000000" w:rsidRDefault="00000000">
            <w:pPr>
              <w:pStyle w:val="a2"/>
              <w:spacing w:line="240" w:lineRule="auto"/>
              <w:ind w:right="170"/>
              <w:jc w:val="right"/>
              <w:rPr>
                <w:sz w:val="18"/>
              </w:rPr>
            </w:pPr>
            <w:r>
              <w:rPr>
                <w:sz w:val="18"/>
              </w:rPr>
              <w:t>0.00</w:t>
            </w:r>
          </w:p>
        </w:tc>
        <w:tc>
          <w:tcPr>
            <w:tcW w:w="1209" w:type="dxa"/>
            <w:tcBorders>
              <w:top w:val="nil"/>
            </w:tcBorders>
          </w:tcPr>
          <w:p w:rsidR="00000000" w:rsidRDefault="00000000">
            <w:pPr>
              <w:pStyle w:val="a2"/>
              <w:spacing w:line="240" w:lineRule="auto"/>
              <w:ind w:right="170"/>
              <w:jc w:val="right"/>
              <w:rPr>
                <w:sz w:val="18"/>
              </w:rPr>
            </w:pPr>
            <w:r>
              <w:rPr>
                <w:sz w:val="18"/>
              </w:rPr>
              <w:t>80,716</w:t>
            </w:r>
          </w:p>
        </w:tc>
        <w:tc>
          <w:tcPr>
            <w:tcW w:w="1209" w:type="dxa"/>
            <w:tcBorders>
              <w:top w:val="nil"/>
            </w:tcBorders>
          </w:tcPr>
          <w:p w:rsidR="00000000" w:rsidRDefault="00000000">
            <w:pPr>
              <w:pStyle w:val="a2"/>
              <w:spacing w:line="240" w:lineRule="auto"/>
              <w:ind w:right="170"/>
              <w:jc w:val="right"/>
              <w:rPr>
                <w:sz w:val="18"/>
              </w:rPr>
            </w:pPr>
          </w:p>
        </w:tc>
        <w:tc>
          <w:tcPr>
            <w:tcW w:w="1210" w:type="dxa"/>
            <w:tcBorders>
              <w:top w:val="nil"/>
            </w:tcBorders>
          </w:tcPr>
          <w:p w:rsidR="00000000" w:rsidRDefault="00000000">
            <w:pPr>
              <w:pStyle w:val="a2"/>
              <w:spacing w:line="240" w:lineRule="auto"/>
              <w:ind w:right="170"/>
              <w:jc w:val="right"/>
              <w:rPr>
                <w:sz w:val="18"/>
              </w:rPr>
            </w:pPr>
            <w:r>
              <w:rPr>
                <w:sz w:val="18"/>
              </w:rPr>
              <w:t>0.00</w:t>
            </w:r>
          </w:p>
        </w:tc>
      </w:tr>
    </w:tbl>
    <w:p w:rsidR="00000000" w:rsidRDefault="00000000">
      <w:pPr>
        <w:pStyle w:val="FootnoteText"/>
        <w:spacing w:before="300"/>
        <w:rPr>
          <w:sz w:val="22"/>
        </w:rPr>
      </w:pPr>
      <w:r>
        <w:rPr>
          <w:rFonts w:hint="eastAsia"/>
          <w:sz w:val="22"/>
          <w:u w:val="single"/>
        </w:rPr>
        <w:t>资料来源</w:t>
      </w:r>
      <w:r>
        <w:rPr>
          <w:sz w:val="22"/>
        </w:rPr>
        <w:t>：</w:t>
      </w:r>
      <w:r>
        <w:rPr>
          <w:rFonts w:hint="eastAsia"/>
          <w:sz w:val="22"/>
        </w:rPr>
        <w:t>《厄瓜多尔国家教育制度统计》。</w:t>
      </w:r>
    </w:p>
    <w:p w:rsidR="00000000" w:rsidRDefault="00000000">
      <w:pPr>
        <w:pStyle w:val="FootnoteText"/>
        <w:rPr>
          <w:sz w:val="22"/>
        </w:rPr>
      </w:pPr>
      <w:r>
        <w:rPr>
          <w:rFonts w:hint="eastAsia"/>
          <w:sz w:val="22"/>
          <w:u w:val="single"/>
        </w:rPr>
        <w:t>编制</w:t>
      </w:r>
      <w:r>
        <w:rPr>
          <w:sz w:val="22"/>
        </w:rPr>
        <w:t>：</w:t>
      </w:r>
      <w:r>
        <w:rPr>
          <w:rFonts w:hint="eastAsia"/>
          <w:sz w:val="22"/>
        </w:rPr>
        <w:t>教育部和文化统计小组。</w:t>
      </w:r>
    </w:p>
    <w:p w:rsidR="00000000" w:rsidRDefault="00000000">
      <w:pPr>
        <w:pStyle w:val="FootnoteText"/>
        <w:ind w:left="260"/>
        <w:rPr>
          <w:rFonts w:hint="eastAsia"/>
          <w:sz w:val="22"/>
        </w:rPr>
      </w:pPr>
      <w:r>
        <w:rPr>
          <w:rFonts w:hint="eastAsia"/>
          <w:sz w:val="22"/>
        </w:rPr>
        <w:t xml:space="preserve">*   </w:t>
      </w:r>
      <w:r>
        <w:rPr>
          <w:rFonts w:hint="eastAsia"/>
          <w:sz w:val="22"/>
        </w:rPr>
        <w:t>基本周期三年级升级人数。</w:t>
      </w:r>
    </w:p>
    <w:p w:rsidR="00000000" w:rsidRDefault="00000000">
      <w:pPr>
        <w:pStyle w:val="Heading3"/>
        <w:spacing w:before="300"/>
        <w:rPr>
          <w:rFonts w:hint="eastAsia"/>
          <w:u w:val="none"/>
        </w:rPr>
      </w:pPr>
      <w:r>
        <w:rPr>
          <w:rFonts w:hint="eastAsia"/>
        </w:rPr>
        <w:t>1990-1998</w:t>
      </w:r>
      <w:r>
        <w:rPr>
          <w:rFonts w:hint="eastAsia"/>
        </w:rPr>
        <w:t>年教育支出</w:t>
      </w:r>
      <w:r>
        <w:br/>
      </w:r>
      <w:r>
        <w:rPr>
          <w:rFonts w:hint="eastAsia"/>
          <w:u w:val="none"/>
        </w:rPr>
        <w:t>(</w:t>
      </w:r>
      <w:r>
        <w:rPr>
          <w:rFonts w:hint="eastAsia"/>
        </w:rPr>
        <w:t>10</w:t>
      </w:r>
      <w:r>
        <w:rPr>
          <w:rFonts w:hint="eastAsia"/>
        </w:rPr>
        <w:t>亿苏克雷和百万美元及国内总产值百分比计</w:t>
      </w:r>
      <w:r>
        <w:rPr>
          <w:rFonts w:hint="eastAsia"/>
          <w:u w:val="none"/>
        </w:rPr>
        <w:t>)</w:t>
      </w:r>
    </w:p>
    <w:tbl>
      <w:tblPr>
        <w:tblW w:w="917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4"/>
        <w:gridCol w:w="832"/>
        <w:gridCol w:w="832"/>
        <w:gridCol w:w="832"/>
        <w:gridCol w:w="832"/>
        <w:gridCol w:w="832"/>
        <w:gridCol w:w="832"/>
        <w:gridCol w:w="832"/>
        <w:gridCol w:w="832"/>
        <w:gridCol w:w="832"/>
      </w:tblGrid>
      <w:tr w:rsidR="00000000">
        <w:tblPrEx>
          <w:tblCellMar>
            <w:top w:w="0" w:type="dxa"/>
            <w:bottom w:w="0" w:type="dxa"/>
          </w:tblCellMar>
        </w:tblPrEx>
        <w:trPr>
          <w:cantSplit/>
          <w:tblHeader/>
        </w:trPr>
        <w:tc>
          <w:tcPr>
            <w:tcW w:w="1684" w:type="dxa"/>
            <w:tcBorders>
              <w:bottom w:val="single" w:sz="4" w:space="0" w:color="auto"/>
            </w:tcBorders>
            <w:vAlign w:val="center"/>
          </w:tcPr>
          <w:p w:rsidR="00000000" w:rsidRDefault="00000000">
            <w:pPr>
              <w:pStyle w:val="a2"/>
              <w:spacing w:before="80" w:after="80" w:line="260" w:lineRule="exact"/>
              <w:jc w:val="center"/>
              <w:rPr>
                <w:rFonts w:hint="eastAsia"/>
                <w:spacing w:val="0"/>
                <w:sz w:val="18"/>
                <w:u w:val="single"/>
              </w:rPr>
            </w:pPr>
            <w:r>
              <w:rPr>
                <w:rFonts w:hint="eastAsia"/>
                <w:spacing w:val="0"/>
                <w:sz w:val="18"/>
                <w:u w:val="single"/>
              </w:rPr>
              <w:t>部门教育</w:t>
            </w:r>
          </w:p>
        </w:tc>
        <w:tc>
          <w:tcPr>
            <w:tcW w:w="832" w:type="dxa"/>
            <w:tcBorders>
              <w:bottom w:val="single" w:sz="4" w:space="0" w:color="auto"/>
            </w:tcBorders>
            <w:vAlign w:val="center"/>
          </w:tcPr>
          <w:p w:rsidR="00000000" w:rsidRDefault="00000000">
            <w:pPr>
              <w:pStyle w:val="a2"/>
              <w:spacing w:before="80" w:after="80" w:line="260" w:lineRule="exact"/>
              <w:jc w:val="center"/>
              <w:rPr>
                <w:rFonts w:hint="eastAsia"/>
                <w:spacing w:val="0"/>
                <w:sz w:val="18"/>
                <w:u w:val="single"/>
              </w:rPr>
            </w:pPr>
            <w:r>
              <w:rPr>
                <w:spacing w:val="0"/>
                <w:sz w:val="18"/>
                <w:u w:val="single"/>
              </w:rPr>
              <w:t>1990</w:t>
            </w:r>
            <w:r>
              <w:rPr>
                <w:rFonts w:hint="eastAsia"/>
                <w:spacing w:val="0"/>
                <w:sz w:val="18"/>
                <w:u w:val="single"/>
              </w:rPr>
              <w:t>年</w:t>
            </w:r>
          </w:p>
        </w:tc>
        <w:tc>
          <w:tcPr>
            <w:tcW w:w="832" w:type="dxa"/>
            <w:tcBorders>
              <w:bottom w:val="single" w:sz="4" w:space="0" w:color="auto"/>
            </w:tcBorders>
            <w:vAlign w:val="center"/>
          </w:tcPr>
          <w:p w:rsidR="00000000" w:rsidRDefault="00000000">
            <w:pPr>
              <w:pStyle w:val="a2"/>
              <w:spacing w:before="80" w:after="80" w:line="260" w:lineRule="exact"/>
              <w:jc w:val="center"/>
              <w:rPr>
                <w:rFonts w:hint="eastAsia"/>
                <w:spacing w:val="0"/>
                <w:sz w:val="18"/>
                <w:u w:val="single"/>
              </w:rPr>
            </w:pPr>
            <w:r>
              <w:rPr>
                <w:spacing w:val="0"/>
                <w:sz w:val="18"/>
                <w:u w:val="single"/>
              </w:rPr>
              <w:t>1991</w:t>
            </w:r>
            <w:r>
              <w:rPr>
                <w:rFonts w:hint="eastAsia"/>
                <w:spacing w:val="0"/>
                <w:sz w:val="18"/>
                <w:u w:val="single"/>
              </w:rPr>
              <w:t>年</w:t>
            </w:r>
          </w:p>
        </w:tc>
        <w:tc>
          <w:tcPr>
            <w:tcW w:w="832" w:type="dxa"/>
            <w:tcBorders>
              <w:bottom w:val="single" w:sz="4" w:space="0" w:color="auto"/>
            </w:tcBorders>
            <w:vAlign w:val="center"/>
          </w:tcPr>
          <w:p w:rsidR="00000000" w:rsidRDefault="00000000">
            <w:pPr>
              <w:pStyle w:val="a2"/>
              <w:spacing w:before="80" w:after="80" w:line="260" w:lineRule="exact"/>
              <w:jc w:val="center"/>
              <w:rPr>
                <w:rFonts w:hint="eastAsia"/>
                <w:spacing w:val="0"/>
                <w:sz w:val="18"/>
                <w:u w:val="single"/>
              </w:rPr>
            </w:pPr>
            <w:r>
              <w:rPr>
                <w:spacing w:val="0"/>
                <w:sz w:val="18"/>
                <w:u w:val="single"/>
              </w:rPr>
              <w:t>1992</w:t>
            </w:r>
            <w:r>
              <w:rPr>
                <w:rFonts w:hint="eastAsia"/>
                <w:spacing w:val="0"/>
                <w:sz w:val="18"/>
                <w:u w:val="single"/>
              </w:rPr>
              <w:t>年</w:t>
            </w:r>
          </w:p>
        </w:tc>
        <w:tc>
          <w:tcPr>
            <w:tcW w:w="832" w:type="dxa"/>
            <w:tcBorders>
              <w:bottom w:val="single" w:sz="4" w:space="0" w:color="auto"/>
            </w:tcBorders>
            <w:vAlign w:val="center"/>
          </w:tcPr>
          <w:p w:rsidR="00000000" w:rsidRDefault="00000000">
            <w:pPr>
              <w:pStyle w:val="a2"/>
              <w:spacing w:before="80" w:after="80" w:line="260" w:lineRule="exact"/>
              <w:jc w:val="center"/>
              <w:rPr>
                <w:rFonts w:hint="eastAsia"/>
                <w:spacing w:val="0"/>
                <w:sz w:val="18"/>
                <w:u w:val="single"/>
              </w:rPr>
            </w:pPr>
            <w:r>
              <w:rPr>
                <w:spacing w:val="0"/>
                <w:sz w:val="18"/>
                <w:u w:val="single"/>
              </w:rPr>
              <w:t>1993</w:t>
            </w:r>
            <w:r>
              <w:rPr>
                <w:rFonts w:hint="eastAsia"/>
                <w:spacing w:val="0"/>
                <w:sz w:val="18"/>
                <w:u w:val="single"/>
              </w:rPr>
              <w:t>年</w:t>
            </w:r>
          </w:p>
        </w:tc>
        <w:tc>
          <w:tcPr>
            <w:tcW w:w="832" w:type="dxa"/>
            <w:tcBorders>
              <w:bottom w:val="single" w:sz="4" w:space="0" w:color="auto"/>
            </w:tcBorders>
            <w:vAlign w:val="center"/>
          </w:tcPr>
          <w:p w:rsidR="00000000" w:rsidRDefault="00000000">
            <w:pPr>
              <w:pStyle w:val="a2"/>
              <w:spacing w:before="80" w:after="80" w:line="260" w:lineRule="exact"/>
              <w:jc w:val="center"/>
              <w:rPr>
                <w:rFonts w:hint="eastAsia"/>
                <w:spacing w:val="0"/>
                <w:sz w:val="18"/>
                <w:u w:val="single"/>
              </w:rPr>
            </w:pPr>
            <w:r>
              <w:rPr>
                <w:spacing w:val="0"/>
                <w:sz w:val="18"/>
                <w:u w:val="single"/>
              </w:rPr>
              <w:t>1994</w:t>
            </w:r>
            <w:r>
              <w:rPr>
                <w:rFonts w:hint="eastAsia"/>
                <w:spacing w:val="0"/>
                <w:sz w:val="18"/>
                <w:u w:val="single"/>
              </w:rPr>
              <w:t>年</w:t>
            </w:r>
          </w:p>
        </w:tc>
        <w:tc>
          <w:tcPr>
            <w:tcW w:w="832" w:type="dxa"/>
            <w:tcBorders>
              <w:bottom w:val="single" w:sz="4" w:space="0" w:color="auto"/>
            </w:tcBorders>
            <w:vAlign w:val="center"/>
          </w:tcPr>
          <w:p w:rsidR="00000000" w:rsidRDefault="00000000">
            <w:pPr>
              <w:pStyle w:val="a2"/>
              <w:spacing w:before="80" w:after="80" w:line="260" w:lineRule="exact"/>
              <w:jc w:val="center"/>
              <w:rPr>
                <w:rFonts w:hint="eastAsia"/>
                <w:spacing w:val="0"/>
                <w:sz w:val="18"/>
                <w:u w:val="single"/>
              </w:rPr>
            </w:pPr>
            <w:r>
              <w:rPr>
                <w:spacing w:val="0"/>
                <w:sz w:val="18"/>
                <w:u w:val="single"/>
              </w:rPr>
              <w:t>1995</w:t>
            </w:r>
            <w:r>
              <w:rPr>
                <w:rFonts w:hint="eastAsia"/>
                <w:spacing w:val="0"/>
                <w:sz w:val="18"/>
                <w:u w:val="single"/>
              </w:rPr>
              <w:t>年</w:t>
            </w:r>
          </w:p>
        </w:tc>
        <w:tc>
          <w:tcPr>
            <w:tcW w:w="832" w:type="dxa"/>
            <w:tcBorders>
              <w:bottom w:val="single" w:sz="4" w:space="0" w:color="auto"/>
            </w:tcBorders>
            <w:vAlign w:val="center"/>
          </w:tcPr>
          <w:p w:rsidR="00000000" w:rsidRDefault="00000000">
            <w:pPr>
              <w:pStyle w:val="a2"/>
              <w:spacing w:before="80" w:after="80" w:line="260" w:lineRule="exact"/>
              <w:jc w:val="center"/>
              <w:rPr>
                <w:spacing w:val="0"/>
                <w:sz w:val="18"/>
                <w:u w:val="single"/>
              </w:rPr>
            </w:pPr>
            <w:r>
              <w:rPr>
                <w:spacing w:val="0"/>
                <w:sz w:val="18"/>
                <w:u w:val="single"/>
              </w:rPr>
              <w:t>1996</w:t>
            </w:r>
            <w:r>
              <w:rPr>
                <w:rFonts w:hint="eastAsia"/>
                <w:spacing w:val="0"/>
                <w:sz w:val="18"/>
                <w:u w:val="single"/>
              </w:rPr>
              <w:t>年</w:t>
            </w:r>
            <w:r>
              <w:rPr>
                <w:spacing w:val="0"/>
                <w:sz w:val="18"/>
                <w:u w:val="single"/>
              </w:rPr>
              <w:t>*</w:t>
            </w:r>
          </w:p>
        </w:tc>
        <w:tc>
          <w:tcPr>
            <w:tcW w:w="832" w:type="dxa"/>
            <w:tcBorders>
              <w:bottom w:val="single" w:sz="4" w:space="0" w:color="auto"/>
            </w:tcBorders>
            <w:vAlign w:val="center"/>
          </w:tcPr>
          <w:p w:rsidR="00000000" w:rsidRDefault="00000000">
            <w:pPr>
              <w:pStyle w:val="a2"/>
              <w:spacing w:before="80" w:after="80" w:line="260" w:lineRule="exact"/>
              <w:jc w:val="center"/>
              <w:rPr>
                <w:spacing w:val="0"/>
                <w:sz w:val="18"/>
                <w:u w:val="single"/>
              </w:rPr>
            </w:pPr>
            <w:r>
              <w:rPr>
                <w:spacing w:val="0"/>
                <w:sz w:val="18"/>
                <w:u w:val="single"/>
              </w:rPr>
              <w:t>1997</w:t>
            </w:r>
            <w:r>
              <w:rPr>
                <w:rFonts w:hint="eastAsia"/>
                <w:spacing w:val="0"/>
                <w:sz w:val="18"/>
                <w:u w:val="single"/>
              </w:rPr>
              <w:t>年</w:t>
            </w:r>
            <w:r>
              <w:rPr>
                <w:spacing w:val="0"/>
                <w:sz w:val="18"/>
                <w:u w:val="single"/>
              </w:rPr>
              <w:t>*</w:t>
            </w:r>
          </w:p>
        </w:tc>
        <w:tc>
          <w:tcPr>
            <w:tcW w:w="832" w:type="dxa"/>
            <w:tcBorders>
              <w:bottom w:val="single" w:sz="4" w:space="0" w:color="auto"/>
            </w:tcBorders>
            <w:vAlign w:val="center"/>
          </w:tcPr>
          <w:p w:rsidR="00000000" w:rsidRDefault="00000000">
            <w:pPr>
              <w:pStyle w:val="a2"/>
              <w:spacing w:before="80" w:after="80" w:line="260" w:lineRule="exact"/>
              <w:jc w:val="center"/>
              <w:rPr>
                <w:spacing w:val="0"/>
                <w:sz w:val="18"/>
                <w:u w:val="single"/>
              </w:rPr>
            </w:pPr>
            <w:r>
              <w:rPr>
                <w:spacing w:val="0"/>
                <w:sz w:val="18"/>
                <w:u w:val="single"/>
              </w:rPr>
              <w:t>1998</w:t>
            </w:r>
            <w:r>
              <w:rPr>
                <w:rFonts w:hint="eastAsia"/>
                <w:spacing w:val="0"/>
                <w:sz w:val="18"/>
                <w:u w:val="single"/>
              </w:rPr>
              <w:t>年</w:t>
            </w:r>
            <w:r>
              <w:rPr>
                <w:spacing w:val="0"/>
                <w:sz w:val="18"/>
                <w:u w:val="single"/>
              </w:rPr>
              <w:t>*</w:t>
            </w:r>
          </w:p>
        </w:tc>
      </w:tr>
      <w:tr w:rsidR="00000000">
        <w:tblPrEx>
          <w:tblCellMar>
            <w:top w:w="0" w:type="dxa"/>
            <w:bottom w:w="0" w:type="dxa"/>
          </w:tblCellMar>
        </w:tblPrEx>
        <w:trPr>
          <w:cantSplit/>
        </w:trPr>
        <w:tc>
          <w:tcPr>
            <w:tcW w:w="1684" w:type="dxa"/>
            <w:tcBorders>
              <w:bottom w:val="nil"/>
            </w:tcBorders>
          </w:tcPr>
          <w:p w:rsidR="00000000" w:rsidRDefault="00000000">
            <w:pPr>
              <w:pStyle w:val="a2"/>
              <w:spacing w:before="40" w:after="40" w:line="260" w:lineRule="exact"/>
              <w:rPr>
                <w:rFonts w:hint="eastAsia"/>
                <w:spacing w:val="0"/>
                <w:sz w:val="18"/>
                <w:szCs w:val="21"/>
              </w:rPr>
            </w:pPr>
            <w:r>
              <w:rPr>
                <w:rFonts w:hint="eastAsia"/>
                <w:spacing w:val="0"/>
                <w:sz w:val="18"/>
                <w:szCs w:val="21"/>
              </w:rPr>
              <w:t>苏克雷</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223.6</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357.2</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605.1</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797.2</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1,018.6</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1,434.5</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1,933.9</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2,256.6</w:t>
            </w:r>
          </w:p>
        </w:tc>
        <w:tc>
          <w:tcPr>
            <w:tcW w:w="832" w:type="dxa"/>
            <w:tcBorders>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3,369.3</w:t>
            </w:r>
          </w:p>
        </w:tc>
      </w:tr>
      <w:tr w:rsidR="00000000">
        <w:tblPrEx>
          <w:tblCellMar>
            <w:top w:w="0" w:type="dxa"/>
            <w:bottom w:w="0" w:type="dxa"/>
          </w:tblCellMar>
        </w:tblPrEx>
        <w:trPr>
          <w:cantSplit/>
        </w:trPr>
        <w:tc>
          <w:tcPr>
            <w:tcW w:w="1684" w:type="dxa"/>
            <w:tcBorders>
              <w:top w:val="nil"/>
              <w:bottom w:val="nil"/>
            </w:tcBorders>
          </w:tcPr>
          <w:p w:rsidR="00000000" w:rsidRDefault="00000000">
            <w:pPr>
              <w:pStyle w:val="a2"/>
              <w:spacing w:before="40" w:after="40" w:line="260" w:lineRule="exact"/>
              <w:rPr>
                <w:rFonts w:hint="eastAsia"/>
                <w:spacing w:val="0"/>
                <w:sz w:val="18"/>
                <w:szCs w:val="21"/>
              </w:rPr>
            </w:pPr>
            <w:r>
              <w:rPr>
                <w:rFonts w:hint="eastAsia"/>
                <w:spacing w:val="0"/>
                <w:sz w:val="18"/>
                <w:szCs w:val="21"/>
              </w:rPr>
              <w:t>美元</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269.9</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322.8</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378.6</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415.3</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463.6</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559.2</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606.2</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564.3</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618.6</w:t>
            </w:r>
          </w:p>
        </w:tc>
      </w:tr>
      <w:tr w:rsidR="00000000">
        <w:tblPrEx>
          <w:tblCellMar>
            <w:top w:w="0" w:type="dxa"/>
            <w:bottom w:w="0" w:type="dxa"/>
          </w:tblCellMar>
        </w:tblPrEx>
        <w:trPr>
          <w:cantSplit/>
        </w:trPr>
        <w:tc>
          <w:tcPr>
            <w:tcW w:w="1684" w:type="dxa"/>
            <w:tcBorders>
              <w:top w:val="nil"/>
              <w:bottom w:val="nil"/>
            </w:tcBorders>
          </w:tcPr>
          <w:p w:rsidR="00000000" w:rsidRDefault="00000000">
            <w:pPr>
              <w:pStyle w:val="a2"/>
              <w:spacing w:before="40" w:after="40" w:line="260" w:lineRule="exact"/>
              <w:rPr>
                <w:rFonts w:hint="eastAsia"/>
                <w:spacing w:val="0"/>
                <w:sz w:val="18"/>
                <w:szCs w:val="21"/>
              </w:rPr>
            </w:pPr>
            <w:r>
              <w:rPr>
                <w:rFonts w:hint="eastAsia"/>
                <w:spacing w:val="0"/>
                <w:sz w:val="18"/>
                <w:szCs w:val="21"/>
              </w:rPr>
              <w:t>国内总产值百分比</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2.73</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2.91</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3.12</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2.90</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2.79</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3.12</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3.18</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2.85</w:t>
            </w:r>
          </w:p>
        </w:tc>
        <w:tc>
          <w:tcPr>
            <w:tcW w:w="832" w:type="dxa"/>
            <w:tcBorders>
              <w:top w:val="nil"/>
              <w:bottom w:val="nil"/>
            </w:tcBorders>
          </w:tcPr>
          <w:p w:rsidR="00000000" w:rsidRDefault="00000000">
            <w:pPr>
              <w:pStyle w:val="a2"/>
              <w:spacing w:before="40" w:after="40" w:line="260" w:lineRule="exact"/>
              <w:ind w:right="113"/>
              <w:jc w:val="right"/>
              <w:rPr>
                <w:spacing w:val="0"/>
                <w:sz w:val="18"/>
                <w:szCs w:val="21"/>
              </w:rPr>
            </w:pPr>
            <w:r>
              <w:rPr>
                <w:spacing w:val="0"/>
                <w:sz w:val="18"/>
                <w:szCs w:val="21"/>
              </w:rPr>
              <w:t>3.14</w:t>
            </w:r>
          </w:p>
        </w:tc>
      </w:tr>
      <w:tr w:rsidR="00000000">
        <w:tblPrEx>
          <w:tblCellMar>
            <w:top w:w="0" w:type="dxa"/>
            <w:bottom w:w="0" w:type="dxa"/>
          </w:tblCellMar>
        </w:tblPrEx>
        <w:trPr>
          <w:cantSplit/>
        </w:trPr>
        <w:tc>
          <w:tcPr>
            <w:tcW w:w="1684" w:type="dxa"/>
            <w:tcBorders>
              <w:top w:val="nil"/>
            </w:tcBorders>
          </w:tcPr>
          <w:p w:rsidR="00000000" w:rsidRDefault="00000000">
            <w:pPr>
              <w:pStyle w:val="a2"/>
              <w:spacing w:before="40" w:after="40" w:line="260" w:lineRule="exact"/>
              <w:rPr>
                <w:spacing w:val="0"/>
                <w:sz w:val="18"/>
                <w:szCs w:val="21"/>
              </w:rPr>
            </w:pPr>
            <w:r>
              <w:rPr>
                <w:rFonts w:hint="eastAsia"/>
                <w:spacing w:val="0"/>
                <w:sz w:val="18"/>
                <w:szCs w:val="21"/>
              </w:rPr>
              <w:t>支出共计百分比</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18.52</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21.74</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23.75</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21.18</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18.41</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16.97</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23.47</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22.84</w:t>
            </w:r>
          </w:p>
        </w:tc>
        <w:tc>
          <w:tcPr>
            <w:tcW w:w="832" w:type="dxa"/>
            <w:tcBorders>
              <w:top w:val="nil"/>
            </w:tcBorders>
          </w:tcPr>
          <w:p w:rsidR="00000000" w:rsidRDefault="00000000">
            <w:pPr>
              <w:pStyle w:val="a2"/>
              <w:spacing w:before="40" w:after="40" w:line="260" w:lineRule="exact"/>
              <w:ind w:right="113"/>
              <w:jc w:val="right"/>
              <w:rPr>
                <w:spacing w:val="0"/>
                <w:sz w:val="18"/>
                <w:szCs w:val="21"/>
              </w:rPr>
            </w:pPr>
            <w:r>
              <w:rPr>
                <w:spacing w:val="0"/>
                <w:sz w:val="18"/>
                <w:szCs w:val="21"/>
              </w:rPr>
              <w:t>16.33</w:t>
            </w:r>
          </w:p>
        </w:tc>
      </w:tr>
    </w:tbl>
    <w:p w:rsidR="00000000" w:rsidRDefault="00000000">
      <w:pPr>
        <w:pStyle w:val="FootnoteText"/>
        <w:tabs>
          <w:tab w:val="left" w:pos="1820"/>
        </w:tabs>
        <w:spacing w:before="300"/>
        <w:rPr>
          <w:rFonts w:hint="eastAsia"/>
          <w:sz w:val="22"/>
        </w:rPr>
      </w:pPr>
      <w:r>
        <w:rPr>
          <w:rFonts w:hint="eastAsia"/>
          <w:sz w:val="22"/>
          <w:u w:val="single"/>
        </w:rPr>
        <w:t>资料来源</w:t>
      </w:r>
      <w:r>
        <w:rPr>
          <w:rFonts w:hint="eastAsia"/>
          <w:sz w:val="22"/>
        </w:rPr>
        <w:t>：</w:t>
      </w:r>
      <w:r>
        <w:rPr>
          <w:sz w:val="22"/>
        </w:rPr>
        <w:tab/>
      </w:r>
      <w:r>
        <w:rPr>
          <w:rFonts w:hint="eastAsia"/>
          <w:sz w:val="22"/>
        </w:rPr>
        <w:t>财政和公共信贷部。</w:t>
      </w:r>
    </w:p>
    <w:p w:rsidR="00000000" w:rsidRDefault="00000000">
      <w:pPr>
        <w:pStyle w:val="FootnoteText"/>
        <w:tabs>
          <w:tab w:val="left" w:pos="1820"/>
        </w:tabs>
        <w:ind w:left="260" w:firstLine="770"/>
        <w:rPr>
          <w:rFonts w:hint="eastAsia"/>
          <w:sz w:val="22"/>
        </w:rPr>
      </w:pPr>
      <w:r>
        <w:rPr>
          <w:rFonts w:hint="eastAsia"/>
          <w:sz w:val="22"/>
          <w:u w:val="single"/>
        </w:rPr>
        <w:t>编制</w:t>
      </w:r>
      <w:r>
        <w:rPr>
          <w:rFonts w:hint="eastAsia"/>
          <w:sz w:val="22"/>
        </w:rPr>
        <w:t>：</w:t>
      </w:r>
      <w:r>
        <w:rPr>
          <w:sz w:val="22"/>
        </w:rPr>
        <w:tab/>
      </w:r>
      <w:r>
        <w:rPr>
          <w:rFonts w:hint="eastAsia"/>
          <w:sz w:val="22"/>
        </w:rPr>
        <w:t>技术司。</w:t>
      </w:r>
    </w:p>
    <w:p w:rsidR="00000000" w:rsidRDefault="00000000">
      <w:pPr>
        <w:pStyle w:val="FootnoteText"/>
        <w:tabs>
          <w:tab w:val="left" w:pos="1820"/>
        </w:tabs>
        <w:spacing w:after="300"/>
        <w:ind w:left="907"/>
        <w:rPr>
          <w:rFonts w:hint="eastAsia"/>
          <w:sz w:val="22"/>
        </w:rPr>
      </w:pPr>
      <w:r>
        <w:rPr>
          <w:sz w:val="22"/>
        </w:rPr>
        <w:t>*</w:t>
      </w:r>
      <w:r>
        <w:rPr>
          <w:rFonts w:hint="eastAsia"/>
          <w:sz w:val="22"/>
        </w:rPr>
        <w:t xml:space="preserve"> </w:t>
      </w:r>
      <w:r>
        <w:rPr>
          <w:rFonts w:hint="eastAsia"/>
          <w:sz w:val="22"/>
        </w:rPr>
        <w:tab/>
      </w:r>
      <w:r>
        <w:rPr>
          <w:rFonts w:hint="eastAsia"/>
          <w:sz w:val="22"/>
        </w:rPr>
        <w:t>暂编数据。</w:t>
      </w:r>
    </w:p>
    <w:p w:rsidR="00000000" w:rsidRDefault="00000000">
      <w:pPr>
        <w:rPr>
          <w:rFonts w:hint="eastAsia"/>
        </w:rPr>
      </w:pPr>
      <w:r>
        <w:rPr>
          <w:rFonts w:hint="eastAsia"/>
          <w:sz w:val="20"/>
        </w:rPr>
        <w:tab/>
      </w:r>
      <w:r>
        <w:rPr>
          <w:rFonts w:hint="eastAsia"/>
        </w:rPr>
        <w:t xml:space="preserve">504.  </w:t>
      </w:r>
      <w:r>
        <w:rPr>
          <w:rFonts w:hint="eastAsia"/>
        </w:rPr>
        <w:t>把过去</w:t>
      </w:r>
      <w:r>
        <w:rPr>
          <w:rFonts w:hint="eastAsia"/>
        </w:rPr>
        <w:t>10</w:t>
      </w:r>
      <w:r>
        <w:rPr>
          <w:rFonts w:hint="eastAsia"/>
        </w:rPr>
        <w:t>年专门用于教育部门一般预算的资源当作中央政府的教育开支，则专用数额在国内总产值和国家总预算中维持了应占份额，因此，与整个期间其他支出相比，这类支出维持了相对优先地位。还可看出，</w:t>
      </w:r>
      <w:r>
        <w:rPr>
          <w:rFonts w:hint="eastAsia"/>
        </w:rPr>
        <w:t>1998</w:t>
      </w:r>
      <w:r>
        <w:rPr>
          <w:rFonts w:hint="eastAsia"/>
        </w:rPr>
        <w:t>年与前一年相比，这类支出的绝对增长额为</w:t>
      </w:r>
      <w:r>
        <w:rPr>
          <w:rFonts w:hint="eastAsia"/>
        </w:rPr>
        <w:t>5,430</w:t>
      </w:r>
      <w:r>
        <w:rPr>
          <w:rFonts w:hint="eastAsia"/>
        </w:rPr>
        <w:t>万美元。</w:t>
      </w:r>
    </w:p>
    <w:p w:rsidR="00000000" w:rsidRDefault="00000000">
      <w:pPr>
        <w:rPr>
          <w:rFonts w:hint="eastAsia"/>
        </w:rPr>
      </w:pPr>
      <w:r>
        <w:rPr>
          <w:rFonts w:hint="eastAsia"/>
        </w:rPr>
        <w:tab/>
        <w:t xml:space="preserve">505.  </w:t>
      </w:r>
      <w:r>
        <w:rPr>
          <w:rFonts w:hint="eastAsia"/>
        </w:rPr>
        <w:t>薪金占教育预算的</w:t>
      </w:r>
      <w:r>
        <w:rPr>
          <w:rFonts w:hint="eastAsia"/>
        </w:rPr>
        <w:t>95%</w:t>
      </w:r>
      <w:r>
        <w:rPr>
          <w:rFonts w:hint="eastAsia"/>
        </w:rPr>
        <w:t>，投资占不到</w:t>
      </w:r>
      <w:r>
        <w:rPr>
          <w:rFonts w:hint="eastAsia"/>
        </w:rPr>
        <w:t>5%</w:t>
      </w:r>
      <w:r>
        <w:rPr>
          <w:rFonts w:hint="eastAsia"/>
        </w:rPr>
        <w:t>。普通教育注册人数的</w:t>
      </w:r>
      <w:r>
        <w:rPr>
          <w:rFonts w:hint="eastAsia"/>
        </w:rPr>
        <w:t>78%</w:t>
      </w:r>
      <w:r>
        <w:rPr>
          <w:rFonts w:hint="eastAsia"/>
        </w:rPr>
        <w:t>属于公立学校。在课程改革</w:t>
      </w:r>
      <w:r>
        <w:rPr>
          <w:rFonts w:hint="eastAsia"/>
        </w:rPr>
        <w:t xml:space="preserve"> </w:t>
      </w:r>
      <w:r>
        <w:rPr>
          <w:rFonts w:hint="eastAsia"/>
          <w:b/>
          <w:vertAlign w:val="superscript"/>
        </w:rPr>
        <w:t>71</w:t>
      </w:r>
      <w:r>
        <w:rPr>
          <w:rFonts w:hint="eastAsia"/>
        </w:rPr>
        <w:t xml:space="preserve"> </w:t>
      </w:r>
      <w:r>
        <w:rPr>
          <w:rFonts w:hint="eastAsia"/>
        </w:rPr>
        <w:t>前的时期内，小学生人均投资比其他各级都低。</w:t>
      </w:r>
    </w:p>
    <w:p w:rsidR="00000000" w:rsidRDefault="00000000">
      <w:pPr>
        <w:rPr>
          <w:rFonts w:hint="eastAsia"/>
        </w:rPr>
      </w:pPr>
      <w:r>
        <w:rPr>
          <w:rFonts w:hint="eastAsia"/>
        </w:rPr>
        <w:tab/>
        <w:t xml:space="preserve">506.  </w:t>
      </w:r>
      <w:r>
        <w:rPr>
          <w:rFonts w:hint="eastAsia"/>
        </w:rPr>
        <w:t>详细审视过去两年削减支出的政府部门，人们也许会注意到，尽管参加扫盲方案的规模明显降低，</w:t>
      </w:r>
      <w:r>
        <w:rPr>
          <w:rFonts w:hint="eastAsia"/>
        </w:rPr>
        <w:t>2001</w:t>
      </w:r>
      <w:r>
        <w:rPr>
          <w:rFonts w:hint="eastAsia"/>
        </w:rPr>
        <w:t>年达到</w:t>
      </w:r>
      <w:r>
        <w:rPr>
          <w:rFonts w:hint="eastAsia"/>
        </w:rPr>
        <w:t>8.2%</w:t>
      </w:r>
      <w:r>
        <w:rPr>
          <w:rFonts w:hint="eastAsia"/>
        </w:rPr>
        <w:t>，</w:t>
      </w:r>
      <w:r>
        <w:rPr>
          <w:rFonts w:hint="eastAsia"/>
          <w:b/>
          <w:vertAlign w:val="superscript"/>
        </w:rPr>
        <w:t>72</w:t>
      </w:r>
      <w:r>
        <w:rPr>
          <w:rFonts w:hint="eastAsia"/>
        </w:rPr>
        <w:t xml:space="preserve"> </w:t>
      </w:r>
      <w:r>
        <w:rPr>
          <w:rFonts w:hint="eastAsia"/>
        </w:rPr>
        <w:t>社会支出仍然是最敏感的领域。</w:t>
      </w:r>
    </w:p>
    <w:p w:rsidR="00000000" w:rsidRDefault="00000000">
      <w:pPr>
        <w:spacing w:after="160"/>
        <w:rPr>
          <w:rFonts w:hint="eastAsia"/>
        </w:rPr>
      </w:pPr>
      <w:r>
        <w:rPr>
          <w:rFonts w:hint="eastAsia"/>
        </w:rPr>
        <w:tab/>
        <w:t xml:space="preserve">507.  </w:t>
      </w:r>
      <w:r>
        <w:rPr>
          <w:rFonts w:hint="eastAsia"/>
        </w:rPr>
        <w:t>男女享有平等参加扫盲方案的权利，但由于社会经济和文化方面的原因，妇女得不到受教育的机会，因此文盲率比男性要高</w:t>
      </w:r>
      <w:r>
        <w:rPr>
          <w:rFonts w:hint="eastAsia"/>
          <w:spacing w:val="-50"/>
        </w:rPr>
        <w:t>―</w:t>
      </w:r>
      <w:r>
        <w:rPr>
          <w:rFonts w:hint="eastAsia"/>
        </w:rPr>
        <w:t>―在乡村地区则更高。</w:t>
      </w:r>
    </w:p>
    <w:p w:rsidR="00000000" w:rsidRDefault="00000000">
      <w:pPr>
        <w:pStyle w:val="Heading3"/>
        <w:spacing w:after="0"/>
        <w:rPr>
          <w:rFonts w:eastAsia="KaiTi_GB2312" w:hint="eastAsia"/>
          <w:snapToGrid/>
          <w:spacing w:val="0"/>
          <w:kern w:val="0"/>
          <w:u w:val="none"/>
        </w:rPr>
      </w:pPr>
      <w:r>
        <w:rPr>
          <w:rFonts w:hint="eastAsia"/>
        </w:rPr>
        <w:t>文盲率</w:t>
      </w:r>
      <w:r>
        <w:rPr>
          <w:rFonts w:hint="eastAsia"/>
        </w:rPr>
        <w:t>(</w:t>
      </w:r>
      <w:r>
        <w:rPr>
          <w:rFonts w:hint="eastAsia"/>
        </w:rPr>
        <w:t>按年龄组和地区分类</w:t>
      </w:r>
      <w:r>
        <w:rPr>
          <w:rFonts w:hint="eastAsia"/>
        </w:rPr>
        <w:t>)</w:t>
      </w:r>
      <w:r>
        <w:br/>
      </w:r>
      <w:r>
        <w:rPr>
          <w:rFonts w:eastAsia="KaiTi_GB2312" w:hint="eastAsia"/>
          <w:snapToGrid/>
          <w:spacing w:val="0"/>
          <w:kern w:val="0"/>
          <w:u w:val="none"/>
        </w:rPr>
        <w:t>(</w:t>
      </w:r>
      <w:r>
        <w:rPr>
          <w:rFonts w:eastAsia="KaiTi_GB2312" w:hint="eastAsia"/>
          <w:snapToGrid/>
          <w:spacing w:val="0"/>
          <w:kern w:val="0"/>
          <w:u w:val="none"/>
        </w:rPr>
        <w:t>百分比</w:t>
      </w:r>
      <w:r>
        <w:rPr>
          <w:rFonts w:eastAsia="KaiTi_GB2312" w:hint="eastAsia"/>
          <w:snapToGrid/>
          <w:spacing w:val="0"/>
          <w:kern w:val="0"/>
          <w:u w:val="none"/>
        </w:rPr>
        <w:t>)</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5"/>
        <w:gridCol w:w="1260"/>
        <w:gridCol w:w="1260"/>
        <w:gridCol w:w="1260"/>
        <w:gridCol w:w="1260"/>
        <w:gridCol w:w="1080"/>
        <w:gridCol w:w="1114"/>
      </w:tblGrid>
      <w:tr w:rsidR="00000000">
        <w:tblPrEx>
          <w:tblCellMar>
            <w:top w:w="0" w:type="dxa"/>
            <w:bottom w:w="0" w:type="dxa"/>
          </w:tblCellMar>
        </w:tblPrEx>
        <w:trPr>
          <w:cantSplit/>
          <w:trHeight w:val="272"/>
          <w:jc w:val="center"/>
        </w:trPr>
        <w:tc>
          <w:tcPr>
            <w:tcW w:w="1185" w:type="dxa"/>
            <w:vMerge w:val="restart"/>
            <w:vAlign w:val="center"/>
          </w:tcPr>
          <w:p w:rsidR="00000000" w:rsidRDefault="00000000">
            <w:pPr>
              <w:spacing w:line="240" w:lineRule="auto"/>
              <w:jc w:val="center"/>
              <w:rPr>
                <w:rFonts w:hint="eastAsia"/>
                <w:sz w:val="20"/>
                <w:szCs w:val="22"/>
                <w:u w:val="single"/>
              </w:rPr>
            </w:pPr>
            <w:r>
              <w:rPr>
                <w:rFonts w:hint="eastAsia"/>
                <w:sz w:val="20"/>
                <w:szCs w:val="22"/>
                <w:u w:val="single"/>
              </w:rPr>
              <w:t>年龄组</w:t>
            </w:r>
          </w:p>
        </w:tc>
        <w:tc>
          <w:tcPr>
            <w:tcW w:w="2520" w:type="dxa"/>
            <w:gridSpan w:val="2"/>
            <w:vAlign w:val="center"/>
          </w:tcPr>
          <w:p w:rsidR="00000000" w:rsidRDefault="00000000">
            <w:pPr>
              <w:spacing w:before="120" w:line="240" w:lineRule="auto"/>
              <w:jc w:val="center"/>
              <w:rPr>
                <w:rFonts w:hint="eastAsia"/>
                <w:sz w:val="20"/>
                <w:szCs w:val="22"/>
                <w:u w:val="single"/>
              </w:rPr>
            </w:pPr>
            <w:r>
              <w:rPr>
                <w:rFonts w:hint="eastAsia"/>
                <w:sz w:val="20"/>
                <w:szCs w:val="22"/>
                <w:u w:val="single"/>
              </w:rPr>
              <w:t>城市地区</w:t>
            </w:r>
          </w:p>
        </w:tc>
        <w:tc>
          <w:tcPr>
            <w:tcW w:w="2520" w:type="dxa"/>
            <w:gridSpan w:val="2"/>
            <w:vAlign w:val="center"/>
          </w:tcPr>
          <w:p w:rsidR="00000000" w:rsidRDefault="00000000">
            <w:pPr>
              <w:spacing w:before="120" w:line="240" w:lineRule="auto"/>
              <w:jc w:val="center"/>
              <w:rPr>
                <w:rFonts w:hint="eastAsia"/>
                <w:sz w:val="20"/>
                <w:szCs w:val="22"/>
                <w:u w:val="single"/>
              </w:rPr>
            </w:pPr>
            <w:r>
              <w:rPr>
                <w:rFonts w:hint="eastAsia"/>
                <w:sz w:val="20"/>
                <w:szCs w:val="22"/>
                <w:u w:val="single"/>
              </w:rPr>
              <w:t>乡村地区</w:t>
            </w:r>
          </w:p>
        </w:tc>
        <w:tc>
          <w:tcPr>
            <w:tcW w:w="2194" w:type="dxa"/>
            <w:gridSpan w:val="2"/>
            <w:vAlign w:val="center"/>
          </w:tcPr>
          <w:p w:rsidR="00000000" w:rsidRDefault="00000000">
            <w:pPr>
              <w:spacing w:before="120" w:line="240" w:lineRule="auto"/>
              <w:jc w:val="center"/>
              <w:rPr>
                <w:rFonts w:hint="eastAsia"/>
                <w:sz w:val="20"/>
                <w:u w:val="single"/>
              </w:rPr>
            </w:pPr>
            <w:r>
              <w:rPr>
                <w:rFonts w:hint="eastAsia"/>
                <w:sz w:val="20"/>
                <w:szCs w:val="22"/>
                <w:u w:val="single"/>
              </w:rPr>
              <w:t>全国共计</w:t>
            </w:r>
          </w:p>
        </w:tc>
      </w:tr>
      <w:tr w:rsidR="00000000">
        <w:tblPrEx>
          <w:tblCellMar>
            <w:top w:w="0" w:type="dxa"/>
            <w:bottom w:w="0" w:type="dxa"/>
          </w:tblCellMar>
        </w:tblPrEx>
        <w:trPr>
          <w:cantSplit/>
          <w:trHeight w:val="272"/>
          <w:jc w:val="center"/>
        </w:trPr>
        <w:tc>
          <w:tcPr>
            <w:tcW w:w="1185" w:type="dxa"/>
            <w:vMerge/>
            <w:tcBorders>
              <w:bottom w:val="single" w:sz="4" w:space="0" w:color="auto"/>
            </w:tcBorders>
            <w:vAlign w:val="center"/>
          </w:tcPr>
          <w:p w:rsidR="00000000" w:rsidRDefault="00000000">
            <w:pPr>
              <w:spacing w:line="240" w:lineRule="auto"/>
              <w:jc w:val="center"/>
              <w:rPr>
                <w:sz w:val="20"/>
                <w:szCs w:val="22"/>
              </w:rPr>
            </w:pPr>
          </w:p>
        </w:tc>
        <w:tc>
          <w:tcPr>
            <w:tcW w:w="1260" w:type="dxa"/>
            <w:tcBorders>
              <w:bottom w:val="single" w:sz="4" w:space="0" w:color="auto"/>
            </w:tcBorders>
            <w:vAlign w:val="center"/>
          </w:tcPr>
          <w:p w:rsidR="00000000" w:rsidRDefault="00000000">
            <w:pPr>
              <w:spacing w:line="240" w:lineRule="auto"/>
              <w:jc w:val="center"/>
              <w:rPr>
                <w:rFonts w:hint="eastAsia"/>
                <w:sz w:val="20"/>
                <w:szCs w:val="22"/>
                <w:u w:val="single"/>
              </w:rPr>
            </w:pPr>
            <w:r>
              <w:rPr>
                <w:rFonts w:hint="eastAsia"/>
                <w:sz w:val="20"/>
                <w:szCs w:val="22"/>
                <w:u w:val="single"/>
              </w:rPr>
              <w:t>妇</w:t>
            </w:r>
            <w:r>
              <w:rPr>
                <w:rFonts w:hint="eastAsia"/>
                <w:sz w:val="20"/>
                <w:szCs w:val="22"/>
                <w:u w:val="single"/>
              </w:rPr>
              <w:t xml:space="preserve">  </w:t>
            </w:r>
            <w:r>
              <w:rPr>
                <w:rFonts w:hint="eastAsia"/>
                <w:sz w:val="20"/>
                <w:szCs w:val="22"/>
                <w:u w:val="single"/>
              </w:rPr>
              <w:t>女</w:t>
            </w:r>
          </w:p>
        </w:tc>
        <w:tc>
          <w:tcPr>
            <w:tcW w:w="1260" w:type="dxa"/>
            <w:tcBorders>
              <w:bottom w:val="single" w:sz="4" w:space="0" w:color="auto"/>
            </w:tcBorders>
            <w:vAlign w:val="center"/>
          </w:tcPr>
          <w:p w:rsidR="00000000" w:rsidRDefault="00000000">
            <w:pPr>
              <w:spacing w:line="240" w:lineRule="auto"/>
              <w:jc w:val="center"/>
              <w:rPr>
                <w:rFonts w:hint="eastAsia"/>
                <w:sz w:val="20"/>
                <w:szCs w:val="22"/>
                <w:u w:val="single"/>
              </w:rPr>
            </w:pPr>
            <w:r>
              <w:rPr>
                <w:rFonts w:hint="eastAsia"/>
                <w:sz w:val="20"/>
                <w:szCs w:val="22"/>
                <w:u w:val="single"/>
              </w:rPr>
              <w:t>男</w:t>
            </w:r>
            <w:r>
              <w:rPr>
                <w:rFonts w:hint="eastAsia"/>
                <w:sz w:val="20"/>
                <w:szCs w:val="22"/>
                <w:u w:val="single"/>
              </w:rPr>
              <w:t xml:space="preserve">  </w:t>
            </w:r>
            <w:r>
              <w:rPr>
                <w:rFonts w:hint="eastAsia"/>
                <w:sz w:val="20"/>
                <w:szCs w:val="22"/>
                <w:u w:val="single"/>
              </w:rPr>
              <w:t>子</w:t>
            </w:r>
          </w:p>
        </w:tc>
        <w:tc>
          <w:tcPr>
            <w:tcW w:w="1260" w:type="dxa"/>
            <w:tcBorders>
              <w:bottom w:val="single" w:sz="4" w:space="0" w:color="auto"/>
            </w:tcBorders>
            <w:vAlign w:val="center"/>
          </w:tcPr>
          <w:p w:rsidR="00000000" w:rsidRDefault="00000000">
            <w:pPr>
              <w:spacing w:line="240" w:lineRule="auto"/>
              <w:jc w:val="center"/>
              <w:rPr>
                <w:rFonts w:hint="eastAsia"/>
                <w:sz w:val="20"/>
                <w:szCs w:val="22"/>
                <w:u w:val="single"/>
              </w:rPr>
            </w:pPr>
            <w:r>
              <w:rPr>
                <w:rFonts w:hint="eastAsia"/>
                <w:sz w:val="20"/>
                <w:szCs w:val="22"/>
                <w:u w:val="single"/>
              </w:rPr>
              <w:t>妇</w:t>
            </w:r>
            <w:r>
              <w:rPr>
                <w:rFonts w:hint="eastAsia"/>
                <w:sz w:val="20"/>
                <w:szCs w:val="22"/>
                <w:u w:val="single"/>
              </w:rPr>
              <w:t xml:space="preserve">  </w:t>
            </w:r>
            <w:r>
              <w:rPr>
                <w:rFonts w:hint="eastAsia"/>
                <w:sz w:val="20"/>
                <w:szCs w:val="22"/>
                <w:u w:val="single"/>
              </w:rPr>
              <w:t>女</w:t>
            </w:r>
          </w:p>
        </w:tc>
        <w:tc>
          <w:tcPr>
            <w:tcW w:w="1260" w:type="dxa"/>
            <w:tcBorders>
              <w:bottom w:val="single" w:sz="4" w:space="0" w:color="auto"/>
            </w:tcBorders>
            <w:vAlign w:val="center"/>
          </w:tcPr>
          <w:p w:rsidR="00000000" w:rsidRDefault="00000000">
            <w:pPr>
              <w:spacing w:line="240" w:lineRule="auto"/>
              <w:jc w:val="center"/>
              <w:rPr>
                <w:rFonts w:hint="eastAsia"/>
                <w:sz w:val="20"/>
                <w:szCs w:val="22"/>
                <w:u w:val="single"/>
              </w:rPr>
            </w:pPr>
            <w:r>
              <w:rPr>
                <w:rFonts w:hint="eastAsia"/>
                <w:sz w:val="20"/>
                <w:szCs w:val="22"/>
                <w:u w:val="single"/>
              </w:rPr>
              <w:t>男</w:t>
            </w:r>
            <w:r>
              <w:rPr>
                <w:rFonts w:hint="eastAsia"/>
                <w:sz w:val="20"/>
                <w:szCs w:val="22"/>
                <w:u w:val="single"/>
              </w:rPr>
              <w:t xml:space="preserve">  </w:t>
            </w:r>
            <w:r>
              <w:rPr>
                <w:rFonts w:hint="eastAsia"/>
                <w:sz w:val="20"/>
                <w:szCs w:val="22"/>
                <w:u w:val="single"/>
              </w:rPr>
              <w:t>子</w:t>
            </w:r>
          </w:p>
        </w:tc>
        <w:tc>
          <w:tcPr>
            <w:tcW w:w="1080" w:type="dxa"/>
            <w:tcBorders>
              <w:bottom w:val="single" w:sz="4" w:space="0" w:color="auto"/>
            </w:tcBorders>
            <w:vAlign w:val="center"/>
          </w:tcPr>
          <w:p w:rsidR="00000000" w:rsidRDefault="00000000">
            <w:pPr>
              <w:spacing w:line="240" w:lineRule="auto"/>
              <w:jc w:val="center"/>
              <w:rPr>
                <w:rFonts w:hint="eastAsia"/>
                <w:sz w:val="20"/>
                <w:szCs w:val="22"/>
                <w:u w:val="single"/>
              </w:rPr>
            </w:pPr>
            <w:r>
              <w:rPr>
                <w:rFonts w:hint="eastAsia"/>
                <w:sz w:val="20"/>
                <w:szCs w:val="22"/>
                <w:u w:val="single"/>
              </w:rPr>
              <w:t>妇</w:t>
            </w:r>
            <w:r>
              <w:rPr>
                <w:rFonts w:hint="eastAsia"/>
                <w:sz w:val="20"/>
                <w:szCs w:val="22"/>
                <w:u w:val="single"/>
              </w:rPr>
              <w:t xml:space="preserve">  </w:t>
            </w:r>
            <w:r>
              <w:rPr>
                <w:rFonts w:hint="eastAsia"/>
                <w:sz w:val="20"/>
                <w:szCs w:val="22"/>
                <w:u w:val="single"/>
              </w:rPr>
              <w:t>女</w:t>
            </w:r>
          </w:p>
        </w:tc>
        <w:tc>
          <w:tcPr>
            <w:tcW w:w="1114" w:type="dxa"/>
            <w:tcBorders>
              <w:bottom w:val="single" w:sz="4" w:space="0" w:color="auto"/>
            </w:tcBorders>
            <w:vAlign w:val="center"/>
          </w:tcPr>
          <w:p w:rsidR="00000000" w:rsidRDefault="00000000">
            <w:pPr>
              <w:spacing w:line="240" w:lineRule="auto"/>
              <w:jc w:val="center"/>
              <w:rPr>
                <w:rFonts w:hint="eastAsia"/>
                <w:sz w:val="20"/>
                <w:u w:val="single"/>
              </w:rPr>
            </w:pPr>
            <w:r>
              <w:rPr>
                <w:rFonts w:hint="eastAsia"/>
                <w:sz w:val="20"/>
                <w:szCs w:val="22"/>
                <w:u w:val="single"/>
              </w:rPr>
              <w:t>男</w:t>
            </w:r>
            <w:r>
              <w:rPr>
                <w:rFonts w:hint="eastAsia"/>
                <w:sz w:val="20"/>
                <w:szCs w:val="22"/>
                <w:u w:val="single"/>
              </w:rPr>
              <w:t xml:space="preserve">  </w:t>
            </w:r>
            <w:r>
              <w:rPr>
                <w:rFonts w:hint="eastAsia"/>
                <w:sz w:val="20"/>
                <w:szCs w:val="22"/>
                <w:u w:val="single"/>
              </w:rPr>
              <w:t>子</w:t>
            </w:r>
          </w:p>
        </w:tc>
      </w:tr>
      <w:tr w:rsidR="00000000">
        <w:tblPrEx>
          <w:tblCellMar>
            <w:top w:w="0" w:type="dxa"/>
            <w:bottom w:w="0" w:type="dxa"/>
          </w:tblCellMar>
        </w:tblPrEx>
        <w:trPr>
          <w:trHeight w:val="273"/>
          <w:jc w:val="center"/>
        </w:trPr>
        <w:tc>
          <w:tcPr>
            <w:tcW w:w="1185" w:type="dxa"/>
            <w:tcBorders>
              <w:bottom w:val="nil"/>
            </w:tcBorders>
          </w:tcPr>
          <w:p w:rsidR="00000000" w:rsidRDefault="00000000">
            <w:pPr>
              <w:spacing w:line="240" w:lineRule="auto"/>
              <w:rPr>
                <w:rFonts w:hint="eastAsia"/>
                <w:sz w:val="20"/>
                <w:szCs w:val="22"/>
              </w:rPr>
            </w:pPr>
            <w:r>
              <w:rPr>
                <w:sz w:val="20"/>
                <w:szCs w:val="22"/>
              </w:rPr>
              <w:t>15</w:t>
            </w:r>
            <w:r>
              <w:rPr>
                <w:rFonts w:hint="eastAsia"/>
                <w:sz w:val="20"/>
                <w:szCs w:val="22"/>
              </w:rPr>
              <w:t>－</w:t>
            </w:r>
            <w:r>
              <w:rPr>
                <w:sz w:val="20"/>
                <w:szCs w:val="22"/>
              </w:rPr>
              <w:t>24</w:t>
            </w:r>
            <w:r>
              <w:rPr>
                <w:rFonts w:hint="eastAsia"/>
                <w:sz w:val="20"/>
                <w:szCs w:val="22"/>
              </w:rPr>
              <w:t>岁</w:t>
            </w:r>
          </w:p>
        </w:tc>
        <w:tc>
          <w:tcPr>
            <w:tcW w:w="1260" w:type="dxa"/>
            <w:tcBorders>
              <w:bottom w:val="nil"/>
            </w:tcBorders>
          </w:tcPr>
          <w:p w:rsidR="00000000" w:rsidRDefault="00000000">
            <w:pPr>
              <w:spacing w:line="240" w:lineRule="auto"/>
              <w:ind w:right="397"/>
              <w:jc w:val="right"/>
              <w:rPr>
                <w:sz w:val="20"/>
                <w:szCs w:val="22"/>
              </w:rPr>
            </w:pPr>
            <w:r>
              <w:rPr>
                <w:sz w:val="20"/>
                <w:szCs w:val="22"/>
              </w:rPr>
              <w:t>1.9</w:t>
            </w:r>
          </w:p>
        </w:tc>
        <w:tc>
          <w:tcPr>
            <w:tcW w:w="1260" w:type="dxa"/>
            <w:tcBorders>
              <w:bottom w:val="nil"/>
            </w:tcBorders>
          </w:tcPr>
          <w:p w:rsidR="00000000" w:rsidRDefault="00000000">
            <w:pPr>
              <w:spacing w:line="240" w:lineRule="auto"/>
              <w:ind w:right="397"/>
              <w:jc w:val="right"/>
              <w:rPr>
                <w:sz w:val="20"/>
                <w:szCs w:val="22"/>
              </w:rPr>
            </w:pPr>
            <w:r>
              <w:rPr>
                <w:sz w:val="20"/>
                <w:szCs w:val="22"/>
              </w:rPr>
              <w:t>1.5</w:t>
            </w:r>
          </w:p>
        </w:tc>
        <w:tc>
          <w:tcPr>
            <w:tcW w:w="1260" w:type="dxa"/>
            <w:tcBorders>
              <w:bottom w:val="nil"/>
            </w:tcBorders>
          </w:tcPr>
          <w:p w:rsidR="00000000" w:rsidRDefault="00000000">
            <w:pPr>
              <w:spacing w:line="240" w:lineRule="auto"/>
              <w:ind w:right="397"/>
              <w:jc w:val="right"/>
              <w:rPr>
                <w:sz w:val="20"/>
                <w:szCs w:val="22"/>
              </w:rPr>
            </w:pPr>
            <w:r>
              <w:rPr>
                <w:sz w:val="20"/>
                <w:szCs w:val="22"/>
              </w:rPr>
              <w:t>4.7</w:t>
            </w:r>
          </w:p>
        </w:tc>
        <w:tc>
          <w:tcPr>
            <w:tcW w:w="1260" w:type="dxa"/>
            <w:tcBorders>
              <w:bottom w:val="nil"/>
            </w:tcBorders>
          </w:tcPr>
          <w:p w:rsidR="00000000" w:rsidRDefault="00000000">
            <w:pPr>
              <w:spacing w:line="240" w:lineRule="auto"/>
              <w:ind w:right="397"/>
              <w:jc w:val="right"/>
              <w:rPr>
                <w:sz w:val="20"/>
                <w:szCs w:val="22"/>
              </w:rPr>
            </w:pPr>
            <w:r>
              <w:rPr>
                <w:sz w:val="20"/>
                <w:szCs w:val="22"/>
              </w:rPr>
              <w:t>4.5</w:t>
            </w:r>
          </w:p>
        </w:tc>
        <w:tc>
          <w:tcPr>
            <w:tcW w:w="1080" w:type="dxa"/>
            <w:tcBorders>
              <w:bottom w:val="nil"/>
            </w:tcBorders>
          </w:tcPr>
          <w:p w:rsidR="00000000" w:rsidRDefault="00000000">
            <w:pPr>
              <w:tabs>
                <w:tab w:val="left" w:pos="686"/>
              </w:tabs>
              <w:spacing w:line="240" w:lineRule="auto"/>
              <w:ind w:right="254"/>
              <w:jc w:val="right"/>
              <w:rPr>
                <w:sz w:val="20"/>
                <w:szCs w:val="22"/>
              </w:rPr>
            </w:pPr>
            <w:r>
              <w:rPr>
                <w:sz w:val="20"/>
                <w:szCs w:val="22"/>
              </w:rPr>
              <w:t>3.0</w:t>
            </w:r>
          </w:p>
        </w:tc>
        <w:tc>
          <w:tcPr>
            <w:tcW w:w="1114" w:type="dxa"/>
            <w:tcBorders>
              <w:bottom w:val="nil"/>
            </w:tcBorders>
          </w:tcPr>
          <w:p w:rsidR="00000000" w:rsidRDefault="00000000">
            <w:pPr>
              <w:spacing w:line="240" w:lineRule="auto"/>
              <w:ind w:right="397"/>
              <w:jc w:val="right"/>
              <w:rPr>
                <w:sz w:val="20"/>
              </w:rPr>
            </w:pPr>
            <w:r>
              <w:rPr>
                <w:sz w:val="20"/>
                <w:szCs w:val="22"/>
              </w:rPr>
              <w:t>2.7</w:t>
            </w:r>
          </w:p>
        </w:tc>
      </w:tr>
      <w:tr w:rsidR="00000000">
        <w:tblPrEx>
          <w:tblCellMar>
            <w:top w:w="0" w:type="dxa"/>
            <w:bottom w:w="0" w:type="dxa"/>
          </w:tblCellMar>
        </w:tblPrEx>
        <w:trPr>
          <w:trHeight w:val="272"/>
          <w:jc w:val="center"/>
        </w:trPr>
        <w:tc>
          <w:tcPr>
            <w:tcW w:w="1185" w:type="dxa"/>
            <w:tcBorders>
              <w:top w:val="nil"/>
              <w:bottom w:val="nil"/>
            </w:tcBorders>
          </w:tcPr>
          <w:p w:rsidR="00000000" w:rsidRDefault="00000000">
            <w:pPr>
              <w:spacing w:line="240" w:lineRule="auto"/>
              <w:rPr>
                <w:rFonts w:hint="eastAsia"/>
                <w:sz w:val="20"/>
                <w:szCs w:val="22"/>
              </w:rPr>
            </w:pPr>
            <w:r>
              <w:rPr>
                <w:sz w:val="20"/>
                <w:szCs w:val="22"/>
              </w:rPr>
              <w:t>25</w:t>
            </w:r>
            <w:r>
              <w:rPr>
                <w:rFonts w:hint="eastAsia"/>
                <w:sz w:val="20"/>
                <w:szCs w:val="22"/>
              </w:rPr>
              <w:t>－</w:t>
            </w:r>
            <w:r>
              <w:rPr>
                <w:sz w:val="20"/>
                <w:szCs w:val="22"/>
              </w:rPr>
              <w:t>39</w:t>
            </w:r>
            <w:r>
              <w:rPr>
                <w:rFonts w:hint="eastAsia"/>
                <w:sz w:val="20"/>
                <w:szCs w:val="22"/>
              </w:rPr>
              <w:t>岁</w:t>
            </w:r>
          </w:p>
        </w:tc>
        <w:tc>
          <w:tcPr>
            <w:tcW w:w="1260" w:type="dxa"/>
            <w:tcBorders>
              <w:top w:val="nil"/>
              <w:bottom w:val="nil"/>
            </w:tcBorders>
          </w:tcPr>
          <w:p w:rsidR="00000000" w:rsidRDefault="00000000">
            <w:pPr>
              <w:spacing w:line="240" w:lineRule="auto"/>
              <w:ind w:right="397"/>
              <w:jc w:val="right"/>
              <w:rPr>
                <w:sz w:val="20"/>
                <w:szCs w:val="22"/>
              </w:rPr>
            </w:pPr>
            <w:r>
              <w:rPr>
                <w:sz w:val="20"/>
                <w:szCs w:val="22"/>
              </w:rPr>
              <w:t>2.5</w:t>
            </w:r>
          </w:p>
        </w:tc>
        <w:tc>
          <w:tcPr>
            <w:tcW w:w="1260" w:type="dxa"/>
            <w:tcBorders>
              <w:top w:val="nil"/>
              <w:bottom w:val="nil"/>
            </w:tcBorders>
          </w:tcPr>
          <w:p w:rsidR="00000000" w:rsidRDefault="00000000">
            <w:pPr>
              <w:spacing w:line="240" w:lineRule="auto"/>
              <w:ind w:right="397"/>
              <w:jc w:val="right"/>
              <w:rPr>
                <w:sz w:val="20"/>
                <w:szCs w:val="22"/>
              </w:rPr>
            </w:pPr>
            <w:r>
              <w:rPr>
                <w:sz w:val="20"/>
                <w:szCs w:val="22"/>
              </w:rPr>
              <w:t>1.9</w:t>
            </w:r>
          </w:p>
        </w:tc>
        <w:tc>
          <w:tcPr>
            <w:tcW w:w="1260" w:type="dxa"/>
            <w:tcBorders>
              <w:top w:val="nil"/>
              <w:bottom w:val="nil"/>
            </w:tcBorders>
          </w:tcPr>
          <w:p w:rsidR="00000000" w:rsidRDefault="00000000">
            <w:pPr>
              <w:spacing w:line="240" w:lineRule="auto"/>
              <w:ind w:right="397"/>
              <w:jc w:val="right"/>
              <w:rPr>
                <w:sz w:val="20"/>
                <w:szCs w:val="22"/>
              </w:rPr>
            </w:pPr>
            <w:r>
              <w:rPr>
                <w:sz w:val="20"/>
                <w:szCs w:val="22"/>
              </w:rPr>
              <w:t>13.3</w:t>
            </w:r>
          </w:p>
        </w:tc>
        <w:tc>
          <w:tcPr>
            <w:tcW w:w="1260" w:type="dxa"/>
            <w:tcBorders>
              <w:top w:val="nil"/>
              <w:bottom w:val="nil"/>
            </w:tcBorders>
          </w:tcPr>
          <w:p w:rsidR="00000000" w:rsidRDefault="00000000">
            <w:pPr>
              <w:spacing w:line="240" w:lineRule="auto"/>
              <w:ind w:right="397"/>
              <w:jc w:val="right"/>
              <w:rPr>
                <w:sz w:val="20"/>
                <w:szCs w:val="22"/>
              </w:rPr>
            </w:pPr>
            <w:r>
              <w:rPr>
                <w:sz w:val="20"/>
                <w:szCs w:val="22"/>
              </w:rPr>
              <w:t>6.9</w:t>
            </w:r>
          </w:p>
        </w:tc>
        <w:tc>
          <w:tcPr>
            <w:tcW w:w="1080" w:type="dxa"/>
            <w:tcBorders>
              <w:top w:val="nil"/>
              <w:bottom w:val="nil"/>
            </w:tcBorders>
          </w:tcPr>
          <w:p w:rsidR="00000000" w:rsidRDefault="00000000">
            <w:pPr>
              <w:tabs>
                <w:tab w:val="left" w:pos="686"/>
              </w:tabs>
              <w:spacing w:line="240" w:lineRule="auto"/>
              <w:ind w:right="254"/>
              <w:jc w:val="right"/>
              <w:rPr>
                <w:sz w:val="20"/>
                <w:szCs w:val="22"/>
              </w:rPr>
            </w:pPr>
            <w:r>
              <w:rPr>
                <w:sz w:val="20"/>
                <w:szCs w:val="22"/>
              </w:rPr>
              <w:t>6.2</w:t>
            </w:r>
          </w:p>
        </w:tc>
        <w:tc>
          <w:tcPr>
            <w:tcW w:w="1114" w:type="dxa"/>
            <w:tcBorders>
              <w:top w:val="nil"/>
              <w:bottom w:val="nil"/>
            </w:tcBorders>
          </w:tcPr>
          <w:p w:rsidR="00000000" w:rsidRDefault="00000000">
            <w:pPr>
              <w:spacing w:line="240" w:lineRule="auto"/>
              <w:ind w:right="397"/>
              <w:jc w:val="right"/>
              <w:rPr>
                <w:sz w:val="20"/>
              </w:rPr>
            </w:pPr>
            <w:r>
              <w:rPr>
                <w:sz w:val="20"/>
                <w:szCs w:val="22"/>
              </w:rPr>
              <w:t>3.8</w:t>
            </w:r>
          </w:p>
        </w:tc>
      </w:tr>
      <w:tr w:rsidR="00000000">
        <w:tblPrEx>
          <w:tblCellMar>
            <w:top w:w="0" w:type="dxa"/>
            <w:bottom w:w="0" w:type="dxa"/>
          </w:tblCellMar>
        </w:tblPrEx>
        <w:trPr>
          <w:trHeight w:val="273"/>
          <w:jc w:val="center"/>
        </w:trPr>
        <w:tc>
          <w:tcPr>
            <w:tcW w:w="1185" w:type="dxa"/>
            <w:tcBorders>
              <w:top w:val="nil"/>
              <w:bottom w:val="nil"/>
            </w:tcBorders>
          </w:tcPr>
          <w:p w:rsidR="00000000" w:rsidRDefault="00000000">
            <w:pPr>
              <w:spacing w:line="240" w:lineRule="auto"/>
              <w:rPr>
                <w:rFonts w:hint="eastAsia"/>
                <w:sz w:val="20"/>
                <w:szCs w:val="22"/>
              </w:rPr>
            </w:pPr>
            <w:r>
              <w:rPr>
                <w:sz w:val="20"/>
                <w:szCs w:val="22"/>
              </w:rPr>
              <w:t>40</w:t>
            </w:r>
            <w:r>
              <w:rPr>
                <w:rFonts w:hint="eastAsia"/>
                <w:sz w:val="20"/>
                <w:szCs w:val="22"/>
              </w:rPr>
              <w:t>－</w:t>
            </w:r>
            <w:r>
              <w:rPr>
                <w:sz w:val="20"/>
                <w:szCs w:val="22"/>
              </w:rPr>
              <w:t>64</w:t>
            </w:r>
            <w:r>
              <w:rPr>
                <w:rFonts w:hint="eastAsia"/>
                <w:sz w:val="20"/>
                <w:szCs w:val="22"/>
              </w:rPr>
              <w:t>岁</w:t>
            </w:r>
          </w:p>
        </w:tc>
        <w:tc>
          <w:tcPr>
            <w:tcW w:w="1260" w:type="dxa"/>
            <w:tcBorders>
              <w:top w:val="nil"/>
              <w:bottom w:val="nil"/>
            </w:tcBorders>
          </w:tcPr>
          <w:p w:rsidR="00000000" w:rsidRDefault="00000000">
            <w:pPr>
              <w:spacing w:line="240" w:lineRule="auto"/>
              <w:ind w:right="397"/>
              <w:jc w:val="right"/>
              <w:rPr>
                <w:sz w:val="20"/>
                <w:szCs w:val="22"/>
              </w:rPr>
            </w:pPr>
            <w:r>
              <w:rPr>
                <w:sz w:val="20"/>
                <w:szCs w:val="22"/>
              </w:rPr>
              <w:t>10.1</w:t>
            </w:r>
          </w:p>
        </w:tc>
        <w:tc>
          <w:tcPr>
            <w:tcW w:w="1260" w:type="dxa"/>
            <w:tcBorders>
              <w:top w:val="nil"/>
              <w:bottom w:val="nil"/>
            </w:tcBorders>
          </w:tcPr>
          <w:p w:rsidR="00000000" w:rsidRDefault="00000000">
            <w:pPr>
              <w:spacing w:line="240" w:lineRule="auto"/>
              <w:ind w:right="397"/>
              <w:jc w:val="right"/>
              <w:rPr>
                <w:sz w:val="20"/>
                <w:szCs w:val="22"/>
              </w:rPr>
            </w:pPr>
            <w:r>
              <w:rPr>
                <w:sz w:val="20"/>
                <w:szCs w:val="22"/>
              </w:rPr>
              <w:t>5.0</w:t>
            </w:r>
          </w:p>
        </w:tc>
        <w:tc>
          <w:tcPr>
            <w:tcW w:w="1260" w:type="dxa"/>
            <w:tcBorders>
              <w:top w:val="nil"/>
              <w:bottom w:val="nil"/>
            </w:tcBorders>
          </w:tcPr>
          <w:p w:rsidR="00000000" w:rsidRDefault="00000000">
            <w:pPr>
              <w:spacing w:line="240" w:lineRule="auto"/>
              <w:ind w:right="397"/>
              <w:jc w:val="right"/>
              <w:rPr>
                <w:sz w:val="20"/>
                <w:szCs w:val="22"/>
              </w:rPr>
            </w:pPr>
            <w:r>
              <w:rPr>
                <w:sz w:val="20"/>
                <w:szCs w:val="22"/>
              </w:rPr>
              <w:t>32.5</w:t>
            </w:r>
          </w:p>
        </w:tc>
        <w:tc>
          <w:tcPr>
            <w:tcW w:w="1260" w:type="dxa"/>
            <w:tcBorders>
              <w:top w:val="nil"/>
              <w:bottom w:val="nil"/>
            </w:tcBorders>
          </w:tcPr>
          <w:p w:rsidR="00000000" w:rsidRDefault="00000000">
            <w:pPr>
              <w:spacing w:line="240" w:lineRule="auto"/>
              <w:ind w:right="397"/>
              <w:jc w:val="right"/>
              <w:rPr>
                <w:sz w:val="20"/>
                <w:szCs w:val="22"/>
              </w:rPr>
            </w:pPr>
            <w:r>
              <w:rPr>
                <w:sz w:val="20"/>
                <w:szCs w:val="22"/>
              </w:rPr>
              <w:t>23.4</w:t>
            </w:r>
          </w:p>
        </w:tc>
        <w:tc>
          <w:tcPr>
            <w:tcW w:w="1080" w:type="dxa"/>
            <w:tcBorders>
              <w:top w:val="nil"/>
              <w:bottom w:val="nil"/>
            </w:tcBorders>
          </w:tcPr>
          <w:p w:rsidR="00000000" w:rsidRDefault="00000000">
            <w:pPr>
              <w:tabs>
                <w:tab w:val="left" w:pos="686"/>
              </w:tabs>
              <w:spacing w:line="240" w:lineRule="auto"/>
              <w:ind w:right="254"/>
              <w:jc w:val="right"/>
              <w:rPr>
                <w:sz w:val="20"/>
                <w:szCs w:val="22"/>
              </w:rPr>
            </w:pPr>
            <w:r>
              <w:rPr>
                <w:sz w:val="20"/>
                <w:szCs w:val="22"/>
              </w:rPr>
              <w:t>19.4</w:t>
            </w:r>
          </w:p>
        </w:tc>
        <w:tc>
          <w:tcPr>
            <w:tcW w:w="1114" w:type="dxa"/>
            <w:tcBorders>
              <w:top w:val="nil"/>
              <w:bottom w:val="nil"/>
            </w:tcBorders>
          </w:tcPr>
          <w:p w:rsidR="00000000" w:rsidRDefault="00000000">
            <w:pPr>
              <w:spacing w:line="240" w:lineRule="auto"/>
              <w:ind w:right="397"/>
              <w:jc w:val="right"/>
              <w:rPr>
                <w:sz w:val="20"/>
              </w:rPr>
            </w:pPr>
            <w:r>
              <w:rPr>
                <w:sz w:val="20"/>
                <w:szCs w:val="22"/>
              </w:rPr>
              <w:t>13.1</w:t>
            </w:r>
          </w:p>
        </w:tc>
      </w:tr>
      <w:tr w:rsidR="00000000">
        <w:tblPrEx>
          <w:tblCellMar>
            <w:top w:w="0" w:type="dxa"/>
            <w:bottom w:w="0" w:type="dxa"/>
          </w:tblCellMar>
        </w:tblPrEx>
        <w:trPr>
          <w:trHeight w:val="272"/>
          <w:jc w:val="center"/>
        </w:trPr>
        <w:tc>
          <w:tcPr>
            <w:tcW w:w="1185" w:type="dxa"/>
            <w:tcBorders>
              <w:top w:val="nil"/>
              <w:bottom w:val="single" w:sz="4" w:space="0" w:color="auto"/>
            </w:tcBorders>
          </w:tcPr>
          <w:p w:rsidR="00000000" w:rsidRDefault="00000000">
            <w:pPr>
              <w:spacing w:line="240" w:lineRule="auto"/>
              <w:rPr>
                <w:rFonts w:hint="eastAsia"/>
                <w:sz w:val="20"/>
                <w:szCs w:val="22"/>
              </w:rPr>
            </w:pPr>
            <w:r>
              <w:rPr>
                <w:sz w:val="20"/>
                <w:szCs w:val="22"/>
              </w:rPr>
              <w:t>65</w:t>
            </w:r>
            <w:r>
              <w:rPr>
                <w:rFonts w:hint="eastAsia"/>
                <w:sz w:val="20"/>
                <w:szCs w:val="22"/>
              </w:rPr>
              <w:t>岁以上</w:t>
            </w:r>
          </w:p>
        </w:tc>
        <w:tc>
          <w:tcPr>
            <w:tcW w:w="1260" w:type="dxa"/>
            <w:tcBorders>
              <w:top w:val="nil"/>
              <w:bottom w:val="single" w:sz="4" w:space="0" w:color="auto"/>
            </w:tcBorders>
          </w:tcPr>
          <w:p w:rsidR="00000000" w:rsidRDefault="00000000">
            <w:pPr>
              <w:spacing w:line="240" w:lineRule="auto"/>
              <w:ind w:right="397"/>
              <w:jc w:val="right"/>
              <w:rPr>
                <w:sz w:val="20"/>
                <w:szCs w:val="22"/>
              </w:rPr>
            </w:pPr>
            <w:r>
              <w:rPr>
                <w:sz w:val="20"/>
                <w:szCs w:val="22"/>
              </w:rPr>
              <w:t>29.7</w:t>
            </w:r>
          </w:p>
        </w:tc>
        <w:tc>
          <w:tcPr>
            <w:tcW w:w="1260" w:type="dxa"/>
            <w:tcBorders>
              <w:top w:val="nil"/>
              <w:bottom w:val="single" w:sz="4" w:space="0" w:color="auto"/>
            </w:tcBorders>
          </w:tcPr>
          <w:p w:rsidR="00000000" w:rsidRDefault="00000000">
            <w:pPr>
              <w:spacing w:line="240" w:lineRule="auto"/>
              <w:ind w:right="397"/>
              <w:jc w:val="right"/>
              <w:rPr>
                <w:sz w:val="20"/>
                <w:szCs w:val="22"/>
              </w:rPr>
            </w:pPr>
            <w:r>
              <w:rPr>
                <w:sz w:val="20"/>
                <w:szCs w:val="22"/>
              </w:rPr>
              <w:t>16.1</w:t>
            </w:r>
          </w:p>
        </w:tc>
        <w:tc>
          <w:tcPr>
            <w:tcW w:w="1260" w:type="dxa"/>
            <w:tcBorders>
              <w:top w:val="nil"/>
              <w:bottom w:val="single" w:sz="4" w:space="0" w:color="auto"/>
            </w:tcBorders>
          </w:tcPr>
          <w:p w:rsidR="00000000" w:rsidRDefault="00000000">
            <w:pPr>
              <w:spacing w:line="240" w:lineRule="auto"/>
              <w:ind w:right="397"/>
              <w:jc w:val="right"/>
              <w:rPr>
                <w:sz w:val="20"/>
                <w:szCs w:val="22"/>
              </w:rPr>
            </w:pPr>
            <w:r>
              <w:rPr>
                <w:sz w:val="20"/>
                <w:szCs w:val="22"/>
              </w:rPr>
              <w:t>56.1</w:t>
            </w:r>
          </w:p>
        </w:tc>
        <w:tc>
          <w:tcPr>
            <w:tcW w:w="1260" w:type="dxa"/>
            <w:tcBorders>
              <w:top w:val="nil"/>
              <w:bottom w:val="single" w:sz="4" w:space="0" w:color="auto"/>
            </w:tcBorders>
          </w:tcPr>
          <w:p w:rsidR="00000000" w:rsidRDefault="00000000">
            <w:pPr>
              <w:spacing w:line="240" w:lineRule="auto"/>
              <w:ind w:right="397"/>
              <w:jc w:val="right"/>
              <w:rPr>
                <w:sz w:val="20"/>
                <w:szCs w:val="22"/>
              </w:rPr>
            </w:pPr>
            <w:r>
              <w:rPr>
                <w:sz w:val="20"/>
                <w:szCs w:val="22"/>
              </w:rPr>
              <w:t>42.0</w:t>
            </w:r>
          </w:p>
        </w:tc>
        <w:tc>
          <w:tcPr>
            <w:tcW w:w="1080" w:type="dxa"/>
            <w:tcBorders>
              <w:top w:val="nil"/>
              <w:bottom w:val="single" w:sz="4" w:space="0" w:color="auto"/>
            </w:tcBorders>
          </w:tcPr>
          <w:p w:rsidR="00000000" w:rsidRDefault="00000000">
            <w:pPr>
              <w:tabs>
                <w:tab w:val="left" w:pos="686"/>
              </w:tabs>
              <w:spacing w:line="240" w:lineRule="auto"/>
              <w:ind w:right="254"/>
              <w:jc w:val="right"/>
              <w:rPr>
                <w:sz w:val="20"/>
                <w:szCs w:val="22"/>
              </w:rPr>
            </w:pPr>
            <w:r>
              <w:rPr>
                <w:sz w:val="20"/>
                <w:szCs w:val="22"/>
              </w:rPr>
              <w:t>42.7</w:t>
            </w:r>
          </w:p>
        </w:tc>
        <w:tc>
          <w:tcPr>
            <w:tcW w:w="1114" w:type="dxa"/>
            <w:tcBorders>
              <w:top w:val="nil"/>
              <w:bottom w:val="single" w:sz="4" w:space="0" w:color="auto"/>
            </w:tcBorders>
          </w:tcPr>
          <w:p w:rsidR="00000000" w:rsidRDefault="00000000">
            <w:pPr>
              <w:spacing w:line="240" w:lineRule="auto"/>
              <w:ind w:right="397"/>
              <w:jc w:val="right"/>
              <w:rPr>
                <w:sz w:val="20"/>
              </w:rPr>
            </w:pPr>
            <w:r>
              <w:rPr>
                <w:sz w:val="20"/>
                <w:szCs w:val="22"/>
              </w:rPr>
              <w:t>30.3</w:t>
            </w:r>
          </w:p>
        </w:tc>
      </w:tr>
      <w:tr w:rsidR="00000000">
        <w:tblPrEx>
          <w:tblCellMar>
            <w:top w:w="0" w:type="dxa"/>
            <w:bottom w:w="0" w:type="dxa"/>
          </w:tblCellMar>
        </w:tblPrEx>
        <w:trPr>
          <w:trHeight w:val="273"/>
          <w:jc w:val="center"/>
        </w:trPr>
        <w:tc>
          <w:tcPr>
            <w:tcW w:w="1185" w:type="dxa"/>
            <w:tcBorders>
              <w:top w:val="single" w:sz="4" w:space="0" w:color="auto"/>
            </w:tcBorders>
          </w:tcPr>
          <w:p w:rsidR="00000000" w:rsidRDefault="00000000">
            <w:pPr>
              <w:tabs>
                <w:tab w:val="left" w:pos="180"/>
              </w:tabs>
              <w:spacing w:line="240" w:lineRule="auto"/>
              <w:rPr>
                <w:rFonts w:hint="eastAsia"/>
                <w:sz w:val="20"/>
                <w:szCs w:val="22"/>
              </w:rPr>
            </w:pPr>
            <w:r>
              <w:rPr>
                <w:sz w:val="20"/>
                <w:szCs w:val="22"/>
              </w:rPr>
              <w:tab/>
            </w:r>
            <w:r>
              <w:rPr>
                <w:rFonts w:hint="eastAsia"/>
                <w:sz w:val="20"/>
                <w:szCs w:val="22"/>
              </w:rPr>
              <w:t>共计</w:t>
            </w:r>
          </w:p>
        </w:tc>
        <w:tc>
          <w:tcPr>
            <w:tcW w:w="1260" w:type="dxa"/>
            <w:tcBorders>
              <w:top w:val="single" w:sz="4" w:space="0" w:color="auto"/>
            </w:tcBorders>
          </w:tcPr>
          <w:p w:rsidR="00000000" w:rsidRDefault="00000000">
            <w:pPr>
              <w:spacing w:line="240" w:lineRule="auto"/>
              <w:ind w:right="397"/>
              <w:jc w:val="right"/>
              <w:rPr>
                <w:sz w:val="20"/>
                <w:szCs w:val="22"/>
              </w:rPr>
            </w:pPr>
            <w:r>
              <w:rPr>
                <w:sz w:val="20"/>
                <w:szCs w:val="22"/>
              </w:rPr>
              <w:t>6.3</w:t>
            </w:r>
          </w:p>
        </w:tc>
        <w:tc>
          <w:tcPr>
            <w:tcW w:w="1260" w:type="dxa"/>
            <w:tcBorders>
              <w:top w:val="single" w:sz="4" w:space="0" w:color="auto"/>
            </w:tcBorders>
          </w:tcPr>
          <w:p w:rsidR="00000000" w:rsidRDefault="00000000">
            <w:pPr>
              <w:spacing w:line="240" w:lineRule="auto"/>
              <w:ind w:right="397"/>
              <w:jc w:val="right"/>
              <w:rPr>
                <w:sz w:val="20"/>
                <w:szCs w:val="22"/>
              </w:rPr>
            </w:pPr>
            <w:r>
              <w:rPr>
                <w:sz w:val="20"/>
                <w:szCs w:val="22"/>
              </w:rPr>
              <w:t>3.6</w:t>
            </w:r>
          </w:p>
        </w:tc>
        <w:tc>
          <w:tcPr>
            <w:tcW w:w="1260" w:type="dxa"/>
            <w:tcBorders>
              <w:top w:val="single" w:sz="4" w:space="0" w:color="auto"/>
            </w:tcBorders>
          </w:tcPr>
          <w:p w:rsidR="00000000" w:rsidRDefault="00000000">
            <w:pPr>
              <w:spacing w:line="240" w:lineRule="auto"/>
              <w:ind w:right="397"/>
              <w:jc w:val="right"/>
              <w:rPr>
                <w:sz w:val="20"/>
                <w:szCs w:val="22"/>
              </w:rPr>
            </w:pPr>
            <w:r>
              <w:rPr>
                <w:sz w:val="20"/>
                <w:szCs w:val="22"/>
              </w:rPr>
              <w:t>21.1</w:t>
            </w:r>
          </w:p>
        </w:tc>
        <w:tc>
          <w:tcPr>
            <w:tcW w:w="1260" w:type="dxa"/>
            <w:tcBorders>
              <w:top w:val="single" w:sz="4" w:space="0" w:color="auto"/>
            </w:tcBorders>
          </w:tcPr>
          <w:p w:rsidR="00000000" w:rsidRDefault="00000000">
            <w:pPr>
              <w:spacing w:line="240" w:lineRule="auto"/>
              <w:ind w:right="397"/>
              <w:jc w:val="right"/>
              <w:rPr>
                <w:sz w:val="20"/>
                <w:szCs w:val="22"/>
              </w:rPr>
            </w:pPr>
            <w:r>
              <w:rPr>
                <w:sz w:val="20"/>
                <w:szCs w:val="22"/>
              </w:rPr>
              <w:t>14.8</w:t>
            </w:r>
          </w:p>
        </w:tc>
        <w:tc>
          <w:tcPr>
            <w:tcW w:w="1080" w:type="dxa"/>
            <w:tcBorders>
              <w:top w:val="single" w:sz="4" w:space="0" w:color="auto"/>
            </w:tcBorders>
          </w:tcPr>
          <w:p w:rsidR="00000000" w:rsidRDefault="00000000">
            <w:pPr>
              <w:tabs>
                <w:tab w:val="left" w:pos="686"/>
              </w:tabs>
              <w:spacing w:line="240" w:lineRule="auto"/>
              <w:ind w:right="254"/>
              <w:jc w:val="right"/>
              <w:rPr>
                <w:sz w:val="20"/>
                <w:szCs w:val="22"/>
              </w:rPr>
            </w:pPr>
            <w:r>
              <w:rPr>
                <w:sz w:val="20"/>
                <w:szCs w:val="22"/>
              </w:rPr>
              <w:t>12.1</w:t>
            </w:r>
          </w:p>
        </w:tc>
        <w:tc>
          <w:tcPr>
            <w:tcW w:w="1114" w:type="dxa"/>
            <w:tcBorders>
              <w:top w:val="single" w:sz="4" w:space="0" w:color="auto"/>
            </w:tcBorders>
          </w:tcPr>
          <w:p w:rsidR="00000000" w:rsidRDefault="00000000">
            <w:pPr>
              <w:spacing w:line="240" w:lineRule="auto"/>
              <w:ind w:right="397"/>
              <w:jc w:val="right"/>
              <w:rPr>
                <w:sz w:val="20"/>
              </w:rPr>
            </w:pPr>
            <w:r>
              <w:rPr>
                <w:sz w:val="20"/>
                <w:szCs w:val="22"/>
              </w:rPr>
              <w:t>8.3</w:t>
            </w:r>
          </w:p>
        </w:tc>
      </w:tr>
    </w:tbl>
    <w:p w:rsidR="00000000" w:rsidRDefault="00000000">
      <w:pPr>
        <w:spacing w:before="200"/>
        <w:rPr>
          <w:rFonts w:eastAsia="KaiTi_GB2312" w:hint="eastAsia"/>
          <w:spacing w:val="0"/>
        </w:rPr>
      </w:pPr>
      <w:r>
        <w:rPr>
          <w:rFonts w:hint="eastAsia"/>
        </w:rPr>
        <w:tab/>
      </w:r>
      <w:r>
        <w:rPr>
          <w:rFonts w:eastAsia="KaiTi_GB2312" w:hint="eastAsia"/>
          <w:snapToGrid/>
          <w:spacing w:val="0"/>
          <w:u w:val="single"/>
        </w:rPr>
        <w:t>资料</w:t>
      </w:r>
      <w:r>
        <w:rPr>
          <w:rFonts w:eastAsia="KaiTi_GB2312" w:hint="eastAsia"/>
          <w:spacing w:val="0"/>
          <w:u w:val="single"/>
        </w:rPr>
        <w:t>来源</w:t>
      </w:r>
      <w:r>
        <w:rPr>
          <w:rFonts w:eastAsia="KaiTi_GB2312" w:hint="eastAsia"/>
          <w:spacing w:val="0"/>
        </w:rPr>
        <w:t>：国家统计所，《生活条件普查》第三轮，</w:t>
      </w:r>
      <w:r>
        <w:rPr>
          <w:rFonts w:eastAsia="KaiTi_GB2312" w:hint="eastAsia"/>
          <w:spacing w:val="0"/>
        </w:rPr>
        <w:t>1998</w:t>
      </w:r>
      <w:r>
        <w:rPr>
          <w:rFonts w:eastAsia="KaiTi_GB2312" w:hint="eastAsia"/>
          <w:spacing w:val="0"/>
        </w:rPr>
        <w:t>年。</w:t>
      </w:r>
    </w:p>
    <w:p w:rsidR="00000000" w:rsidRDefault="00000000">
      <w:pPr>
        <w:spacing w:after="320"/>
        <w:rPr>
          <w:rFonts w:hint="eastAsia"/>
        </w:rPr>
      </w:pPr>
      <w:r>
        <w:rPr>
          <w:rFonts w:eastAsia="KaiTi_GB2312" w:hint="eastAsia"/>
          <w:spacing w:val="0"/>
        </w:rPr>
        <w:tab/>
        <w:t xml:space="preserve">508.  </w:t>
      </w:r>
      <w:r>
        <w:rPr>
          <w:rFonts w:hint="eastAsia"/>
        </w:rPr>
        <w:t>参加扫盲方案的妇女人数同男子人数相近。城市地区的数字大约高</w:t>
      </w:r>
      <w:r>
        <w:rPr>
          <w:rFonts w:hint="eastAsia"/>
        </w:rPr>
        <w:t>0.9%</w:t>
      </w:r>
      <w:r>
        <w:rPr>
          <w:rFonts w:hint="eastAsia"/>
        </w:rPr>
        <w:t>，而在乡村地区，男子参加的比率更高，差别更明显。</w:t>
      </w:r>
    </w:p>
    <w:p w:rsidR="00000000" w:rsidRDefault="00000000">
      <w:pPr>
        <w:pStyle w:val="Heading3"/>
        <w:spacing w:after="160"/>
        <w:rPr>
          <w:rFonts w:hint="eastAsia"/>
          <w:kern w:val="0"/>
        </w:rPr>
      </w:pPr>
      <w:r>
        <w:rPr>
          <w:rFonts w:hint="eastAsia"/>
          <w:kern w:val="0"/>
        </w:rPr>
        <w:t>在校平均期限</w:t>
      </w:r>
      <w:r>
        <w:rPr>
          <w:rFonts w:hint="eastAsia"/>
          <w:kern w:val="0"/>
        </w:rPr>
        <w:t>(</w:t>
      </w:r>
      <w:r>
        <w:rPr>
          <w:rFonts w:hint="eastAsia"/>
          <w:kern w:val="0"/>
        </w:rPr>
        <w:t>年数</w:t>
      </w:r>
      <w:r>
        <w:rPr>
          <w:rFonts w:hint="eastAsia"/>
          <w:kern w:val="0"/>
        </w:rPr>
        <w:t>)</w:t>
      </w:r>
    </w:p>
    <w:tbl>
      <w:tblPr>
        <w:tblW w:w="0" w:type="auto"/>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3"/>
        <w:gridCol w:w="1305"/>
        <w:gridCol w:w="1757"/>
      </w:tblGrid>
      <w:tr w:rsidR="00000000">
        <w:tblPrEx>
          <w:tblCellMar>
            <w:top w:w="0" w:type="dxa"/>
            <w:bottom w:w="0" w:type="dxa"/>
          </w:tblCellMar>
        </w:tblPrEx>
        <w:trPr>
          <w:cantSplit/>
          <w:trHeight w:val="550"/>
          <w:jc w:val="center"/>
        </w:trPr>
        <w:tc>
          <w:tcPr>
            <w:tcW w:w="2653" w:type="dxa"/>
            <w:tcBorders>
              <w:bottom w:val="single" w:sz="4" w:space="0" w:color="auto"/>
            </w:tcBorders>
            <w:vAlign w:val="center"/>
          </w:tcPr>
          <w:p w:rsidR="00000000" w:rsidRDefault="00000000">
            <w:pPr>
              <w:spacing w:before="120" w:line="288" w:lineRule="auto"/>
              <w:jc w:val="center"/>
              <w:rPr>
                <w:rFonts w:hint="eastAsia"/>
                <w:sz w:val="22"/>
                <w:szCs w:val="23"/>
                <w:u w:val="single"/>
              </w:rPr>
            </w:pPr>
            <w:r>
              <w:rPr>
                <w:rFonts w:hint="eastAsia"/>
                <w:sz w:val="22"/>
                <w:szCs w:val="23"/>
                <w:u w:val="single"/>
              </w:rPr>
              <w:t>地</w:t>
            </w:r>
            <w:r>
              <w:rPr>
                <w:rFonts w:hint="eastAsia"/>
                <w:sz w:val="22"/>
                <w:szCs w:val="23"/>
                <w:u w:val="single"/>
              </w:rPr>
              <w:t xml:space="preserve">  </w:t>
            </w:r>
            <w:r>
              <w:rPr>
                <w:rFonts w:hint="eastAsia"/>
                <w:sz w:val="22"/>
                <w:szCs w:val="23"/>
                <w:u w:val="single"/>
              </w:rPr>
              <w:t>区</w:t>
            </w:r>
          </w:p>
        </w:tc>
        <w:tc>
          <w:tcPr>
            <w:tcW w:w="1305" w:type="dxa"/>
            <w:tcBorders>
              <w:bottom w:val="single" w:sz="4" w:space="0" w:color="auto"/>
            </w:tcBorders>
            <w:vAlign w:val="center"/>
          </w:tcPr>
          <w:p w:rsidR="00000000" w:rsidRDefault="00000000">
            <w:pPr>
              <w:spacing w:before="120" w:line="288" w:lineRule="auto"/>
              <w:jc w:val="center"/>
              <w:rPr>
                <w:rFonts w:hint="eastAsia"/>
                <w:sz w:val="22"/>
                <w:szCs w:val="23"/>
                <w:u w:val="single"/>
              </w:rPr>
            </w:pPr>
            <w:r>
              <w:rPr>
                <w:rFonts w:hint="eastAsia"/>
                <w:sz w:val="22"/>
                <w:szCs w:val="23"/>
                <w:u w:val="single"/>
              </w:rPr>
              <w:t>妇</w:t>
            </w:r>
            <w:r>
              <w:rPr>
                <w:rFonts w:hint="eastAsia"/>
                <w:sz w:val="22"/>
                <w:szCs w:val="23"/>
                <w:u w:val="single"/>
              </w:rPr>
              <w:t xml:space="preserve">  </w:t>
            </w:r>
            <w:r>
              <w:rPr>
                <w:rFonts w:hint="eastAsia"/>
                <w:sz w:val="22"/>
                <w:szCs w:val="23"/>
                <w:u w:val="single"/>
              </w:rPr>
              <w:t>女</w:t>
            </w:r>
          </w:p>
        </w:tc>
        <w:tc>
          <w:tcPr>
            <w:tcW w:w="1757" w:type="dxa"/>
            <w:tcBorders>
              <w:bottom w:val="single" w:sz="4" w:space="0" w:color="auto"/>
            </w:tcBorders>
            <w:vAlign w:val="center"/>
          </w:tcPr>
          <w:p w:rsidR="00000000" w:rsidRDefault="00000000">
            <w:pPr>
              <w:spacing w:before="120" w:line="288" w:lineRule="auto"/>
              <w:jc w:val="center"/>
              <w:rPr>
                <w:rFonts w:hint="eastAsia"/>
                <w:sz w:val="22"/>
                <w:u w:val="single"/>
              </w:rPr>
            </w:pPr>
            <w:r>
              <w:rPr>
                <w:rFonts w:hint="eastAsia"/>
                <w:sz w:val="22"/>
                <w:u w:val="single"/>
              </w:rPr>
              <w:t>男</w:t>
            </w:r>
            <w:r>
              <w:rPr>
                <w:rFonts w:hint="eastAsia"/>
                <w:sz w:val="22"/>
                <w:u w:val="single"/>
              </w:rPr>
              <w:t xml:space="preserve">  </w:t>
            </w:r>
            <w:r>
              <w:rPr>
                <w:rFonts w:hint="eastAsia"/>
                <w:sz w:val="22"/>
                <w:u w:val="single"/>
              </w:rPr>
              <w:t>子</w:t>
            </w:r>
          </w:p>
        </w:tc>
      </w:tr>
      <w:tr w:rsidR="00000000">
        <w:tblPrEx>
          <w:tblCellMar>
            <w:top w:w="0" w:type="dxa"/>
            <w:bottom w:w="0" w:type="dxa"/>
          </w:tblCellMar>
        </w:tblPrEx>
        <w:trPr>
          <w:jc w:val="center"/>
        </w:trPr>
        <w:tc>
          <w:tcPr>
            <w:tcW w:w="2653" w:type="dxa"/>
            <w:tcBorders>
              <w:bottom w:val="nil"/>
            </w:tcBorders>
          </w:tcPr>
          <w:p w:rsidR="00000000" w:rsidRDefault="00000000">
            <w:pPr>
              <w:spacing w:line="288" w:lineRule="auto"/>
              <w:rPr>
                <w:rFonts w:hint="eastAsia"/>
                <w:sz w:val="22"/>
                <w:szCs w:val="23"/>
              </w:rPr>
            </w:pPr>
            <w:r>
              <w:rPr>
                <w:rFonts w:hint="eastAsia"/>
                <w:sz w:val="22"/>
                <w:szCs w:val="23"/>
              </w:rPr>
              <w:t>城市</w:t>
            </w:r>
          </w:p>
        </w:tc>
        <w:tc>
          <w:tcPr>
            <w:tcW w:w="1305" w:type="dxa"/>
            <w:tcBorders>
              <w:bottom w:val="nil"/>
            </w:tcBorders>
          </w:tcPr>
          <w:p w:rsidR="00000000" w:rsidRDefault="00000000">
            <w:pPr>
              <w:spacing w:line="288" w:lineRule="auto"/>
              <w:jc w:val="center"/>
              <w:rPr>
                <w:sz w:val="22"/>
                <w:szCs w:val="23"/>
              </w:rPr>
            </w:pPr>
            <w:r>
              <w:rPr>
                <w:sz w:val="22"/>
                <w:szCs w:val="23"/>
              </w:rPr>
              <w:t>8.6</w:t>
            </w:r>
          </w:p>
        </w:tc>
        <w:tc>
          <w:tcPr>
            <w:tcW w:w="1757" w:type="dxa"/>
            <w:tcBorders>
              <w:bottom w:val="nil"/>
            </w:tcBorders>
          </w:tcPr>
          <w:p w:rsidR="00000000" w:rsidRDefault="00000000">
            <w:pPr>
              <w:spacing w:line="288" w:lineRule="auto"/>
              <w:jc w:val="center"/>
              <w:rPr>
                <w:sz w:val="22"/>
                <w:szCs w:val="23"/>
              </w:rPr>
            </w:pPr>
            <w:r>
              <w:rPr>
                <w:sz w:val="22"/>
                <w:szCs w:val="23"/>
              </w:rPr>
              <w:t>9.1</w:t>
            </w:r>
          </w:p>
        </w:tc>
      </w:tr>
      <w:tr w:rsidR="00000000">
        <w:tblPrEx>
          <w:tblCellMar>
            <w:top w:w="0" w:type="dxa"/>
            <w:bottom w:w="0" w:type="dxa"/>
          </w:tblCellMar>
        </w:tblPrEx>
        <w:trPr>
          <w:jc w:val="center"/>
        </w:trPr>
        <w:tc>
          <w:tcPr>
            <w:tcW w:w="2653" w:type="dxa"/>
            <w:tcBorders>
              <w:top w:val="nil"/>
              <w:bottom w:val="single" w:sz="4" w:space="0" w:color="auto"/>
            </w:tcBorders>
          </w:tcPr>
          <w:p w:rsidR="00000000" w:rsidRDefault="00000000">
            <w:pPr>
              <w:spacing w:line="288" w:lineRule="auto"/>
              <w:rPr>
                <w:rFonts w:hint="eastAsia"/>
                <w:sz w:val="22"/>
                <w:szCs w:val="23"/>
              </w:rPr>
            </w:pPr>
            <w:r>
              <w:rPr>
                <w:rFonts w:hint="eastAsia"/>
                <w:sz w:val="22"/>
                <w:szCs w:val="23"/>
              </w:rPr>
              <w:t>乡村</w:t>
            </w:r>
          </w:p>
        </w:tc>
        <w:tc>
          <w:tcPr>
            <w:tcW w:w="1305" w:type="dxa"/>
            <w:tcBorders>
              <w:top w:val="nil"/>
              <w:bottom w:val="single" w:sz="4" w:space="0" w:color="auto"/>
            </w:tcBorders>
          </w:tcPr>
          <w:p w:rsidR="00000000" w:rsidRDefault="00000000">
            <w:pPr>
              <w:spacing w:line="288" w:lineRule="auto"/>
              <w:jc w:val="center"/>
              <w:rPr>
                <w:sz w:val="22"/>
                <w:szCs w:val="23"/>
              </w:rPr>
            </w:pPr>
            <w:r>
              <w:rPr>
                <w:sz w:val="22"/>
                <w:szCs w:val="23"/>
              </w:rPr>
              <w:t>4.1</w:t>
            </w:r>
          </w:p>
        </w:tc>
        <w:tc>
          <w:tcPr>
            <w:tcW w:w="1757" w:type="dxa"/>
            <w:tcBorders>
              <w:top w:val="nil"/>
              <w:bottom w:val="single" w:sz="4" w:space="0" w:color="auto"/>
            </w:tcBorders>
          </w:tcPr>
          <w:p w:rsidR="00000000" w:rsidRDefault="00000000">
            <w:pPr>
              <w:spacing w:line="288" w:lineRule="auto"/>
              <w:jc w:val="center"/>
              <w:rPr>
                <w:sz w:val="22"/>
                <w:szCs w:val="23"/>
              </w:rPr>
            </w:pPr>
            <w:r>
              <w:rPr>
                <w:sz w:val="22"/>
                <w:szCs w:val="23"/>
              </w:rPr>
              <w:t>4.7</w:t>
            </w:r>
          </w:p>
        </w:tc>
      </w:tr>
      <w:tr w:rsidR="00000000">
        <w:tblPrEx>
          <w:tblCellMar>
            <w:top w:w="0" w:type="dxa"/>
            <w:bottom w:w="0" w:type="dxa"/>
          </w:tblCellMar>
        </w:tblPrEx>
        <w:trPr>
          <w:jc w:val="center"/>
        </w:trPr>
        <w:tc>
          <w:tcPr>
            <w:tcW w:w="2653" w:type="dxa"/>
            <w:tcBorders>
              <w:top w:val="single" w:sz="4" w:space="0" w:color="auto"/>
            </w:tcBorders>
          </w:tcPr>
          <w:p w:rsidR="00000000" w:rsidRDefault="00000000">
            <w:pPr>
              <w:tabs>
                <w:tab w:val="left" w:pos="200"/>
              </w:tabs>
              <w:spacing w:line="288" w:lineRule="auto"/>
              <w:rPr>
                <w:rFonts w:hint="eastAsia"/>
                <w:sz w:val="22"/>
                <w:szCs w:val="23"/>
              </w:rPr>
            </w:pPr>
            <w:r>
              <w:rPr>
                <w:sz w:val="22"/>
                <w:szCs w:val="23"/>
              </w:rPr>
              <w:tab/>
            </w:r>
            <w:r>
              <w:rPr>
                <w:rFonts w:hint="eastAsia"/>
                <w:sz w:val="22"/>
                <w:szCs w:val="23"/>
              </w:rPr>
              <w:t>全国共计</w:t>
            </w:r>
          </w:p>
        </w:tc>
        <w:tc>
          <w:tcPr>
            <w:tcW w:w="1305" w:type="dxa"/>
            <w:tcBorders>
              <w:top w:val="single" w:sz="4" w:space="0" w:color="auto"/>
            </w:tcBorders>
          </w:tcPr>
          <w:p w:rsidR="00000000" w:rsidRDefault="00000000">
            <w:pPr>
              <w:spacing w:line="288" w:lineRule="auto"/>
              <w:jc w:val="center"/>
              <w:rPr>
                <w:sz w:val="22"/>
                <w:szCs w:val="23"/>
              </w:rPr>
            </w:pPr>
            <w:r>
              <w:rPr>
                <w:sz w:val="22"/>
                <w:szCs w:val="23"/>
              </w:rPr>
              <w:t>7.0</w:t>
            </w:r>
          </w:p>
        </w:tc>
        <w:tc>
          <w:tcPr>
            <w:tcW w:w="1757" w:type="dxa"/>
            <w:tcBorders>
              <w:top w:val="single" w:sz="4" w:space="0" w:color="auto"/>
            </w:tcBorders>
          </w:tcPr>
          <w:p w:rsidR="00000000" w:rsidRDefault="00000000">
            <w:pPr>
              <w:spacing w:line="288" w:lineRule="auto"/>
              <w:jc w:val="center"/>
              <w:rPr>
                <w:sz w:val="22"/>
                <w:szCs w:val="23"/>
              </w:rPr>
            </w:pPr>
            <w:r>
              <w:rPr>
                <w:sz w:val="22"/>
                <w:szCs w:val="23"/>
              </w:rPr>
              <w:t>7.4</w:t>
            </w:r>
          </w:p>
        </w:tc>
      </w:tr>
    </w:tbl>
    <w:p w:rsidR="00000000" w:rsidRDefault="00000000">
      <w:pPr>
        <w:pStyle w:val="cdL1"/>
        <w:widowControl/>
        <w:tabs>
          <w:tab w:val="clear" w:pos="510"/>
        </w:tabs>
        <w:rPr>
          <w:rFonts w:hint="eastAsia"/>
          <w:snapToGrid w:val="0"/>
          <w:spacing w:val="10"/>
        </w:rPr>
      </w:pPr>
    </w:p>
    <w:p w:rsidR="00000000" w:rsidRDefault="00000000">
      <w:pPr>
        <w:pStyle w:val="FootnoteText"/>
        <w:spacing w:after="320"/>
        <w:rPr>
          <w:rFonts w:hint="eastAsia"/>
        </w:rPr>
      </w:pPr>
      <w:r>
        <w:rPr>
          <w:rFonts w:hint="eastAsia"/>
          <w:u w:val="single"/>
        </w:rPr>
        <w:t>资料来源</w:t>
      </w:r>
      <w:r>
        <w:rPr>
          <w:rFonts w:hint="eastAsia"/>
        </w:rPr>
        <w:t>：国家统计所，《生活条件普查》，</w:t>
      </w:r>
      <w:r>
        <w:rPr>
          <w:rFonts w:hint="eastAsia"/>
        </w:rPr>
        <w:t>1995</w:t>
      </w:r>
      <w:r>
        <w:rPr>
          <w:rFonts w:hint="eastAsia"/>
        </w:rPr>
        <w:t>年，</w:t>
      </w:r>
      <w:r>
        <w:rPr>
          <w:rFonts w:hint="eastAsia"/>
        </w:rPr>
        <w:t>SIISE-SEMUJERES</w:t>
      </w:r>
      <w:r>
        <w:rPr>
          <w:rFonts w:hint="eastAsia"/>
        </w:rPr>
        <w:t>。</w:t>
      </w:r>
    </w:p>
    <w:p w:rsidR="00000000" w:rsidRDefault="00000000">
      <w:pPr>
        <w:pStyle w:val="Heading4"/>
        <w:spacing w:after="160"/>
        <w:rPr>
          <w:rFonts w:eastAsia="KaiTi_GB2312" w:hint="eastAsia"/>
          <w:snapToGrid/>
          <w:spacing w:val="0"/>
          <w:u w:val="none"/>
        </w:rPr>
      </w:pPr>
      <w:r>
        <w:rPr>
          <w:rFonts w:eastAsia="KaiTi_GB2312" w:hint="eastAsia"/>
          <w:snapToGrid/>
          <w:spacing w:val="0"/>
          <w:u w:val="none"/>
        </w:rPr>
        <w:t>少数民族教育</w:t>
      </w:r>
    </w:p>
    <w:p w:rsidR="00000000" w:rsidRDefault="00000000">
      <w:pPr>
        <w:rPr>
          <w:rFonts w:hint="eastAsia"/>
        </w:rPr>
      </w:pPr>
      <w:r>
        <w:rPr>
          <w:rFonts w:hint="eastAsia"/>
        </w:rPr>
        <w:tab/>
        <w:t xml:space="preserve">509.  </w:t>
      </w:r>
      <w:r>
        <w:rPr>
          <w:rFonts w:hint="eastAsia"/>
        </w:rPr>
        <w:t>根据《宪法》规定，所有厄瓜多尔人均享有免费获得各级教育的机会，但由于地理、社会经济和文化因素，并非所有人都从教育中受益。</w:t>
      </w:r>
    </w:p>
    <w:p w:rsidR="00000000" w:rsidRDefault="00000000">
      <w:pPr>
        <w:rPr>
          <w:rFonts w:hint="eastAsia"/>
        </w:rPr>
      </w:pPr>
      <w:r>
        <w:rPr>
          <w:rFonts w:hint="eastAsia"/>
        </w:rPr>
        <w:tab/>
        <w:t xml:space="preserve">510.  </w:t>
      </w:r>
      <w:r>
        <w:rPr>
          <w:rFonts w:hint="eastAsia"/>
        </w:rPr>
        <w:t>全国进修普及教育部考虑到这些因素，为各人口群体提供课程和特定项目，保障尊重社会和文化多元化。</w:t>
      </w:r>
    </w:p>
    <w:p w:rsidR="00000000" w:rsidRDefault="00000000">
      <w:pPr>
        <w:rPr>
          <w:rFonts w:hint="eastAsia"/>
        </w:rPr>
      </w:pPr>
      <w:r>
        <w:rPr>
          <w:rFonts w:hint="eastAsia"/>
        </w:rPr>
        <w:tab/>
        <w:t xml:space="preserve">511.  </w:t>
      </w:r>
      <w:r>
        <w:rPr>
          <w:rFonts w:hint="eastAsia"/>
        </w:rPr>
        <w:t>远距离学习次级系统教育需求的存在以及对这些需求作出各种回应的方案和项目，显示出人们广泛享有这类服务的益处。</w:t>
      </w:r>
    </w:p>
    <w:p w:rsidR="00000000" w:rsidRDefault="00000000">
      <w:pPr>
        <w:rPr>
          <w:rFonts w:hint="eastAsia"/>
        </w:rPr>
      </w:pPr>
      <w:r>
        <w:rPr>
          <w:rFonts w:hint="eastAsia"/>
        </w:rPr>
        <w:tab/>
        <w:t xml:space="preserve">512.  </w:t>
      </w:r>
      <w:r>
        <w:rPr>
          <w:rFonts w:hint="eastAsia"/>
        </w:rPr>
        <w:t>土著人口中的青年人正逐渐成为国家教育体系的一部分。财政、技术、物质和基础设施方面的限制是将这些青年人融入教育进程的决定性因素。</w:t>
      </w:r>
    </w:p>
    <w:p w:rsidR="00000000" w:rsidRDefault="00000000">
      <w:pPr>
        <w:rPr>
          <w:rFonts w:hint="eastAsia"/>
        </w:rPr>
      </w:pPr>
      <w:r>
        <w:rPr>
          <w:rFonts w:hint="eastAsia"/>
        </w:rPr>
        <w:tab/>
        <w:t xml:space="preserve">513.  </w:t>
      </w:r>
      <w:r>
        <w:rPr>
          <w:rFonts w:hint="eastAsia"/>
        </w:rPr>
        <w:t>退学率和留级率高反映出国家对土著教育缺乏兴趣。在</w:t>
      </w:r>
      <w:r>
        <w:rPr>
          <w:rFonts w:hint="eastAsia"/>
        </w:rPr>
        <w:t>1997</w:t>
      </w:r>
      <w:r>
        <w:rPr>
          <w:rFonts w:hint="eastAsia"/>
        </w:rPr>
        <w:t>和</w:t>
      </w:r>
      <w:r>
        <w:rPr>
          <w:rFonts w:hint="eastAsia"/>
        </w:rPr>
        <w:t>1998</w:t>
      </w:r>
      <w:r>
        <w:rPr>
          <w:rFonts w:hint="eastAsia"/>
        </w:rPr>
        <w:t>学年期间进行的研究显示，在</w:t>
      </w:r>
      <w:r>
        <w:rPr>
          <w:rFonts w:hint="eastAsia"/>
        </w:rPr>
        <w:t>7</w:t>
      </w:r>
      <w:r>
        <w:rPr>
          <w:rFonts w:hint="eastAsia"/>
        </w:rPr>
        <w:t>、</w:t>
      </w:r>
      <w:r>
        <w:rPr>
          <w:rFonts w:hint="eastAsia"/>
        </w:rPr>
        <w:t>8</w:t>
      </w:r>
      <w:r>
        <w:rPr>
          <w:rFonts w:hint="eastAsia"/>
        </w:rPr>
        <w:t>、</w:t>
      </w:r>
      <w:r>
        <w:rPr>
          <w:rFonts w:hint="eastAsia"/>
        </w:rPr>
        <w:t>9</w:t>
      </w:r>
      <w:r>
        <w:rPr>
          <w:rFonts w:hint="eastAsia"/>
        </w:rPr>
        <w:t>年级，有</w:t>
      </w:r>
      <w:r>
        <w:rPr>
          <w:rFonts w:hint="eastAsia"/>
        </w:rPr>
        <w:t>2%</w:t>
      </w:r>
      <w:r>
        <w:rPr>
          <w:rFonts w:hint="eastAsia"/>
        </w:rPr>
        <w:t>的学生留级，有</w:t>
      </w:r>
      <w:r>
        <w:rPr>
          <w:rFonts w:hint="eastAsia"/>
        </w:rPr>
        <w:t>26.6%</w:t>
      </w:r>
      <w:r>
        <w:rPr>
          <w:rFonts w:hint="eastAsia"/>
        </w:rPr>
        <w:t>的学生退学。</w:t>
      </w:r>
    </w:p>
    <w:p w:rsidR="00000000" w:rsidRDefault="00000000">
      <w:pPr>
        <w:rPr>
          <w:rFonts w:hint="eastAsia"/>
        </w:rPr>
      </w:pPr>
      <w:r>
        <w:rPr>
          <w:rFonts w:hint="eastAsia"/>
        </w:rPr>
        <w:tab/>
        <w:t xml:space="preserve">514.  </w:t>
      </w:r>
      <w:r>
        <w:rPr>
          <w:rFonts w:hint="eastAsia"/>
        </w:rPr>
        <w:t>基础教育二年级退学率更加令人关切，因为该年级退学率高达</w:t>
      </w:r>
      <w:r>
        <w:rPr>
          <w:rFonts w:hint="eastAsia"/>
        </w:rPr>
        <w:t>33.5%</w:t>
      </w:r>
      <w:r>
        <w:rPr>
          <w:rFonts w:hint="eastAsia"/>
        </w:rPr>
        <w:t>。</w:t>
      </w:r>
    </w:p>
    <w:p w:rsidR="00000000" w:rsidRDefault="00000000">
      <w:pPr>
        <w:rPr>
          <w:rFonts w:hint="eastAsia"/>
        </w:rPr>
      </w:pPr>
      <w:r>
        <w:rPr>
          <w:rFonts w:hint="eastAsia"/>
        </w:rPr>
        <w:tab/>
        <w:t xml:space="preserve">515.  </w:t>
      </w:r>
      <w:r>
        <w:rPr>
          <w:rFonts w:hint="eastAsia"/>
        </w:rPr>
        <w:t>在读完六年级的所有学生中，只有</w:t>
      </w:r>
      <w:r>
        <w:rPr>
          <w:rFonts w:hint="eastAsia"/>
        </w:rPr>
        <w:t>40%</w:t>
      </w:r>
      <w:r>
        <w:rPr>
          <w:rFonts w:hint="eastAsia"/>
        </w:rPr>
        <w:t>的学生升学，而</w:t>
      </w:r>
      <w:r>
        <w:rPr>
          <w:rFonts w:hint="eastAsia"/>
        </w:rPr>
        <w:t>60%</w:t>
      </w:r>
      <w:r>
        <w:rPr>
          <w:rFonts w:hint="eastAsia"/>
        </w:rPr>
        <w:t>的学生则在农村或城市寻找工作。随着基础教育和中等学习的学生逐渐升级，退学率也令人震惊，只有</w:t>
      </w:r>
      <w:r>
        <w:rPr>
          <w:rFonts w:hint="eastAsia"/>
        </w:rPr>
        <w:t>10</w:t>
      </w:r>
      <w:r>
        <w:rPr>
          <w:rFonts w:hint="eastAsia"/>
        </w:rPr>
        <w:t>－</w:t>
      </w:r>
      <w:r>
        <w:rPr>
          <w:rFonts w:hint="eastAsia"/>
        </w:rPr>
        <w:t>13%</w:t>
      </w:r>
      <w:r>
        <w:rPr>
          <w:rFonts w:hint="eastAsia"/>
        </w:rPr>
        <w:t>的学生继续读完获得中等毕业证书。</w:t>
      </w:r>
    </w:p>
    <w:p w:rsidR="00000000" w:rsidRDefault="00000000">
      <w:pPr>
        <w:rPr>
          <w:rFonts w:hint="eastAsia"/>
        </w:rPr>
      </w:pPr>
      <w:r>
        <w:rPr>
          <w:rFonts w:hint="eastAsia"/>
        </w:rPr>
        <w:tab/>
        <w:t xml:space="preserve">516.  </w:t>
      </w:r>
      <w:r>
        <w:rPr>
          <w:rFonts w:hint="eastAsia"/>
        </w:rPr>
        <w:t>至于厄瓜多尔总人口一部分的残疾人口，百分之十三</w:t>
      </w:r>
      <w:r>
        <w:rPr>
          <w:rFonts w:hint="eastAsia"/>
        </w:rPr>
        <w:t>(160</w:t>
      </w:r>
      <w:r>
        <w:rPr>
          <w:rFonts w:hint="eastAsia"/>
        </w:rPr>
        <w:t>万</w:t>
      </w:r>
      <w:r>
        <w:rPr>
          <w:rFonts w:hint="eastAsia"/>
        </w:rPr>
        <w:t>)</w:t>
      </w:r>
      <w:r>
        <w:rPr>
          <w:rFonts w:hint="eastAsia"/>
        </w:rPr>
        <w:t>具有某种残疾的人中仅有</w:t>
      </w:r>
      <w:r>
        <w:rPr>
          <w:rFonts w:hint="eastAsia"/>
        </w:rPr>
        <w:t>4%</w:t>
      </w:r>
      <w:r>
        <w:rPr>
          <w:rFonts w:hint="eastAsia"/>
        </w:rPr>
        <w:t>获得特殊教育，而</w:t>
      </w:r>
      <w:r>
        <w:rPr>
          <w:rFonts w:hint="eastAsia"/>
        </w:rPr>
        <w:t>37.9%</w:t>
      </w:r>
      <w:r>
        <w:rPr>
          <w:rFonts w:hint="eastAsia"/>
        </w:rPr>
        <w:t>的残疾人没有受过任何教育。与一般文盲率</w:t>
      </w:r>
      <w:r>
        <w:rPr>
          <w:rFonts w:hint="eastAsia"/>
        </w:rPr>
        <w:t>(9.8%)</w:t>
      </w:r>
      <w:r>
        <w:rPr>
          <w:rFonts w:hint="eastAsia"/>
        </w:rPr>
        <w:t>相比，这类人口群体在获得基础教育方面处于严重劣势，机会有限。这类人口的文盲率更高，而在乡村地区甚至更高。</w:t>
      </w:r>
    </w:p>
    <w:p w:rsidR="00000000" w:rsidRDefault="00000000">
      <w:pPr>
        <w:rPr>
          <w:rFonts w:hint="eastAsia"/>
        </w:rPr>
      </w:pPr>
      <w:r>
        <w:rPr>
          <w:rFonts w:hint="eastAsia"/>
        </w:rPr>
        <w:tab/>
        <w:t xml:space="preserve">517.  </w:t>
      </w:r>
      <w:r>
        <w:rPr>
          <w:rFonts w:hint="eastAsia"/>
        </w:rPr>
        <w:t>鉴于</w:t>
      </w:r>
      <w:r>
        <w:rPr>
          <w:rFonts w:hint="eastAsia"/>
        </w:rPr>
        <w:t>50.9%</w:t>
      </w:r>
      <w:r>
        <w:rPr>
          <w:rFonts w:hint="eastAsia"/>
        </w:rPr>
        <w:t>的人口完成小学教育</w:t>
      </w:r>
      <w:r>
        <w:rPr>
          <w:rFonts w:hint="eastAsia"/>
        </w:rPr>
        <w:t>(</w:t>
      </w:r>
      <w:r>
        <w:rPr>
          <w:rFonts w:hint="eastAsia"/>
        </w:rPr>
        <w:t>七年基础教育</w:t>
      </w:r>
      <w:r>
        <w:rPr>
          <w:rFonts w:hint="eastAsia"/>
        </w:rPr>
        <w:t>)</w:t>
      </w:r>
      <w:r>
        <w:rPr>
          <w:rFonts w:hint="eastAsia"/>
        </w:rPr>
        <w:t>，而</w:t>
      </w:r>
      <w:r>
        <w:rPr>
          <w:rFonts w:hint="eastAsia"/>
        </w:rPr>
        <w:t>62.1%</w:t>
      </w:r>
      <w:r>
        <w:rPr>
          <w:rFonts w:hint="eastAsia"/>
        </w:rPr>
        <w:t>的残疾人尚未达到这一课程程度，他们显然处于劣势。但约有</w:t>
      </w:r>
      <w:r>
        <w:rPr>
          <w:rFonts w:hint="eastAsia"/>
        </w:rPr>
        <w:t>10.5%</w:t>
      </w:r>
      <w:r>
        <w:rPr>
          <w:rFonts w:hint="eastAsia"/>
        </w:rPr>
        <w:t>的残疾人读完中学，而一般人口的比率则为</w:t>
      </w:r>
      <w:r>
        <w:rPr>
          <w:rFonts w:hint="eastAsia"/>
        </w:rPr>
        <w:t>25.9%</w:t>
      </w:r>
      <w:r>
        <w:rPr>
          <w:rFonts w:hint="eastAsia"/>
        </w:rPr>
        <w:t>。将近</w:t>
      </w:r>
      <w:r>
        <w:rPr>
          <w:rFonts w:hint="eastAsia"/>
        </w:rPr>
        <w:t>23.8%</w:t>
      </w:r>
      <w:r>
        <w:rPr>
          <w:rFonts w:hint="eastAsia"/>
        </w:rPr>
        <w:t>的残疾人口在某类教育设施上学，而</w:t>
      </w:r>
      <w:r>
        <w:rPr>
          <w:rFonts w:hint="eastAsia"/>
        </w:rPr>
        <w:t>76.2%</w:t>
      </w:r>
      <w:r>
        <w:rPr>
          <w:rFonts w:hint="eastAsia"/>
        </w:rPr>
        <w:t>的残疾人没有这样做。</w:t>
      </w:r>
    </w:p>
    <w:p w:rsidR="00000000" w:rsidRDefault="00000000">
      <w:pPr>
        <w:rPr>
          <w:rFonts w:hint="eastAsia"/>
        </w:rPr>
      </w:pPr>
      <w:r>
        <w:rPr>
          <w:rFonts w:hint="eastAsia"/>
        </w:rPr>
        <w:tab/>
        <w:t xml:space="preserve">518.  </w:t>
      </w:r>
      <w:r>
        <w:rPr>
          <w:rFonts w:hint="eastAsia"/>
        </w:rPr>
        <w:t>全国范围普通学校向</w:t>
      </w:r>
      <w:r>
        <w:rPr>
          <w:rFonts w:hint="eastAsia"/>
        </w:rPr>
        <w:t>58.8%</w:t>
      </w:r>
      <w:r>
        <w:rPr>
          <w:rFonts w:hint="eastAsia"/>
        </w:rPr>
        <w:t>的残疾人提供服务。还有的其他设置和中心对其余</w:t>
      </w:r>
      <w:r>
        <w:rPr>
          <w:rFonts w:hint="eastAsia"/>
        </w:rPr>
        <w:t>34.6%</w:t>
      </w:r>
      <w:r>
        <w:rPr>
          <w:rFonts w:hint="eastAsia"/>
        </w:rPr>
        <w:t>的残疾人提供教育，尤其在沿海地区。</w:t>
      </w:r>
    </w:p>
    <w:p w:rsidR="00000000" w:rsidRDefault="00000000">
      <w:pPr>
        <w:rPr>
          <w:rFonts w:hint="eastAsia"/>
        </w:rPr>
      </w:pPr>
      <w:r>
        <w:rPr>
          <w:rFonts w:hint="eastAsia"/>
        </w:rPr>
        <w:tab/>
        <w:t xml:space="preserve">519.  </w:t>
      </w:r>
      <w:r>
        <w:rPr>
          <w:rFonts w:hint="eastAsia"/>
        </w:rPr>
        <w:t>尽管这类人士看上去被纳入了正规教育，但具有特殊教育需要的</w:t>
      </w:r>
      <w:r>
        <w:rPr>
          <w:rFonts w:hint="eastAsia"/>
        </w:rPr>
        <w:t>6.1%</w:t>
      </w:r>
      <w:r>
        <w:rPr>
          <w:rFonts w:hint="eastAsia"/>
        </w:rPr>
        <w:t>的儿童没有得到任何支助。</w:t>
      </w:r>
    </w:p>
    <w:p w:rsidR="00000000" w:rsidRDefault="00000000">
      <w:pPr>
        <w:spacing w:after="240"/>
        <w:rPr>
          <w:rFonts w:hint="eastAsia"/>
        </w:rPr>
      </w:pPr>
      <w:r>
        <w:rPr>
          <w:rFonts w:hint="eastAsia"/>
        </w:rPr>
        <w:tab/>
        <w:t xml:space="preserve">520.  </w:t>
      </w:r>
      <w:r>
        <w:rPr>
          <w:rFonts w:hint="eastAsia"/>
        </w:rPr>
        <w:t>全国特殊教育司实行自我管理，代表具有特殊教育需要的学生开展各种活动。目前，全国有</w:t>
      </w:r>
      <w:r>
        <w:rPr>
          <w:rFonts w:hint="eastAsia"/>
        </w:rPr>
        <w:t>97</w:t>
      </w:r>
      <w:r>
        <w:rPr>
          <w:rFonts w:hint="eastAsia"/>
        </w:rPr>
        <w:t>个国家资助和私立特殊教育设施，有</w:t>
      </w:r>
      <w:r>
        <w:rPr>
          <w:rFonts w:hint="eastAsia"/>
        </w:rPr>
        <w:t>1,379</w:t>
      </w:r>
      <w:r>
        <w:rPr>
          <w:rFonts w:hint="eastAsia"/>
        </w:rPr>
        <w:t>名教师协助下列各类学生学习：</w:t>
      </w:r>
      <w:r>
        <w:rPr>
          <w:rFonts w:hint="eastAsia"/>
        </w:rPr>
        <w:t>4,140</w:t>
      </w:r>
      <w:r>
        <w:rPr>
          <w:rFonts w:hint="eastAsia"/>
        </w:rPr>
        <w:t>名弱智学生；</w:t>
      </w:r>
      <w:r>
        <w:rPr>
          <w:rFonts w:hint="eastAsia"/>
        </w:rPr>
        <w:t>1,185</w:t>
      </w:r>
      <w:r>
        <w:rPr>
          <w:rFonts w:hint="eastAsia"/>
        </w:rPr>
        <w:t>名听力缺陷学生；</w:t>
      </w:r>
      <w:r>
        <w:rPr>
          <w:rFonts w:hint="eastAsia"/>
        </w:rPr>
        <w:t>330</w:t>
      </w:r>
      <w:r>
        <w:rPr>
          <w:rFonts w:hint="eastAsia"/>
        </w:rPr>
        <w:t>名视觉障碍学生；</w:t>
      </w:r>
      <w:r>
        <w:rPr>
          <w:rFonts w:hint="eastAsia"/>
        </w:rPr>
        <w:t>462</w:t>
      </w:r>
      <w:r>
        <w:rPr>
          <w:rFonts w:hint="eastAsia"/>
        </w:rPr>
        <w:t>名大脑麻痹学生；及</w:t>
      </w:r>
      <w:r>
        <w:rPr>
          <w:rFonts w:hint="eastAsia"/>
        </w:rPr>
        <w:t>26</w:t>
      </w:r>
      <w:r>
        <w:rPr>
          <w:rFonts w:hint="eastAsia"/>
        </w:rPr>
        <w:t>名肢体运动困难学生，共</w:t>
      </w:r>
      <w:r>
        <w:rPr>
          <w:rFonts w:hint="eastAsia"/>
        </w:rPr>
        <w:t>6,143</w:t>
      </w:r>
      <w:r>
        <w:rPr>
          <w:rFonts w:hint="eastAsia"/>
        </w:rPr>
        <w:t>名学生。</w:t>
      </w:r>
    </w:p>
    <w:p w:rsidR="00000000" w:rsidRDefault="00000000">
      <w:pPr>
        <w:pStyle w:val="Heading4"/>
        <w:spacing w:after="160"/>
        <w:rPr>
          <w:rFonts w:eastAsia="KaiTi_GB2312" w:hint="eastAsia"/>
          <w:snapToGrid/>
          <w:spacing w:val="0"/>
          <w:u w:val="none"/>
        </w:rPr>
      </w:pPr>
      <w:r>
        <w:rPr>
          <w:rFonts w:eastAsia="KaiTi_GB2312" w:hint="eastAsia"/>
          <w:snapToGrid/>
          <w:spacing w:val="0"/>
          <w:u w:val="none"/>
        </w:rPr>
        <w:t>教育平等</w:t>
      </w:r>
    </w:p>
    <w:p w:rsidR="00000000" w:rsidRDefault="00000000">
      <w:pPr>
        <w:rPr>
          <w:rFonts w:hint="eastAsia"/>
        </w:rPr>
      </w:pPr>
      <w:r>
        <w:rPr>
          <w:rFonts w:hint="eastAsia"/>
        </w:rPr>
        <w:tab/>
        <w:t xml:space="preserve">521.  </w:t>
      </w:r>
      <w:r>
        <w:rPr>
          <w:rFonts w:hint="eastAsia"/>
        </w:rPr>
        <w:t>厄瓜多尔为了保障国民平等获得各级教育的机会而采取的措施主要依靠各级政府采取的政策，但在小学一级基本实施了下列各项措施：</w:t>
      </w:r>
    </w:p>
    <w:p w:rsidR="00000000" w:rsidRDefault="00000000">
      <w:pPr>
        <w:numPr>
          <w:ilvl w:val="0"/>
          <w:numId w:val="195"/>
        </w:numPr>
        <w:rPr>
          <w:rFonts w:hint="eastAsia"/>
        </w:rPr>
      </w:pPr>
      <w:r>
        <w:rPr>
          <w:rFonts w:hint="eastAsia"/>
        </w:rPr>
        <w:t>课程改革；</w:t>
      </w:r>
    </w:p>
    <w:p w:rsidR="00000000" w:rsidRDefault="00000000">
      <w:pPr>
        <w:numPr>
          <w:ilvl w:val="0"/>
          <w:numId w:val="195"/>
        </w:numPr>
        <w:rPr>
          <w:rFonts w:hint="eastAsia"/>
        </w:rPr>
      </w:pPr>
      <w:r>
        <w:rPr>
          <w:rFonts w:hint="eastAsia"/>
        </w:rPr>
        <w:t>学校包；</w:t>
      </w:r>
    </w:p>
    <w:p w:rsidR="00000000" w:rsidRDefault="00000000">
      <w:pPr>
        <w:numPr>
          <w:ilvl w:val="0"/>
          <w:numId w:val="195"/>
        </w:numPr>
        <w:rPr>
          <w:rFonts w:hint="eastAsia"/>
        </w:rPr>
      </w:pPr>
      <w:r>
        <w:rPr>
          <w:rFonts w:hint="eastAsia"/>
        </w:rPr>
        <w:t>学校加餐；</w:t>
      </w:r>
    </w:p>
    <w:p w:rsidR="00000000" w:rsidRDefault="00000000">
      <w:pPr>
        <w:numPr>
          <w:ilvl w:val="0"/>
          <w:numId w:val="195"/>
        </w:numPr>
        <w:rPr>
          <w:rFonts w:hint="eastAsia"/>
        </w:rPr>
      </w:pPr>
      <w:r>
        <w:rPr>
          <w:rFonts w:hint="eastAsia"/>
        </w:rPr>
        <w:t>学校午餐；</w:t>
      </w:r>
    </w:p>
    <w:p w:rsidR="00000000" w:rsidRDefault="00000000">
      <w:pPr>
        <w:numPr>
          <w:ilvl w:val="0"/>
          <w:numId w:val="195"/>
        </w:numPr>
        <w:rPr>
          <w:rFonts w:hint="eastAsia"/>
        </w:rPr>
      </w:pPr>
      <w:r>
        <w:rPr>
          <w:rFonts w:hint="eastAsia"/>
        </w:rPr>
        <w:t>学校代金券。</w:t>
      </w:r>
    </w:p>
    <w:p w:rsidR="00000000" w:rsidRDefault="00000000">
      <w:pPr>
        <w:rPr>
          <w:rFonts w:hint="eastAsia"/>
        </w:rPr>
      </w:pPr>
      <w:r>
        <w:rPr>
          <w:rFonts w:hint="eastAsia"/>
        </w:rPr>
        <w:tab/>
        <w:t xml:space="preserve">522.  </w:t>
      </w:r>
      <w:r>
        <w:rPr>
          <w:rFonts w:hint="eastAsia"/>
        </w:rPr>
        <w:t>厄瓜多尔复杂的教育问题通过制订一套详细改革草案的方式来解决，最近的一份草案是全国教育理事会所通过的“关于基础教育课程改革协商一致提案”，该提案自</w:t>
      </w:r>
      <w:r>
        <w:rPr>
          <w:rFonts w:hint="eastAsia"/>
        </w:rPr>
        <w:t>1996</w:t>
      </w:r>
      <w:r>
        <w:rPr>
          <w:rFonts w:hint="eastAsia"/>
        </w:rPr>
        <w:t>年</w:t>
      </w:r>
      <w:r>
        <w:rPr>
          <w:rFonts w:hint="eastAsia"/>
        </w:rPr>
        <w:t>2</w:t>
      </w:r>
      <w:r>
        <w:rPr>
          <w:rFonts w:hint="eastAsia"/>
        </w:rPr>
        <w:t>月生效。</w:t>
      </w:r>
    </w:p>
    <w:p w:rsidR="00000000" w:rsidRDefault="00000000">
      <w:pPr>
        <w:rPr>
          <w:rFonts w:hint="eastAsia"/>
        </w:rPr>
      </w:pPr>
      <w:r>
        <w:rPr>
          <w:rFonts w:hint="eastAsia"/>
        </w:rPr>
        <w:tab/>
        <w:t xml:space="preserve">523.  </w:t>
      </w:r>
      <w:r>
        <w:rPr>
          <w:rFonts w:hint="eastAsia"/>
        </w:rPr>
        <w:t>进行课程改革和变革是为了实施现行提案，以有效推动课程改革，即在教师的倡导下，在课堂进行改革，涉及课本、教材、基础设施、学习时间、管理方法和家长及社区的参与。这一办法是使高质量的现行教育改革制度化努力的关键，反映出厄瓜多尔社会文化和经济的多样性。教育课程必须通过道德、科学和文化训练满足学生及其社区的需要和兴趣，支持为工作和可持续发展而进行的一般培训，优先注意乡村和城市地区处境不利的人口。</w:t>
      </w:r>
      <w:r>
        <w:rPr>
          <w:rFonts w:hint="eastAsia"/>
          <w:b/>
          <w:vertAlign w:val="superscript"/>
        </w:rPr>
        <w:t>73</w:t>
      </w:r>
    </w:p>
    <w:p w:rsidR="00000000" w:rsidRDefault="00000000">
      <w:pPr>
        <w:rPr>
          <w:rFonts w:hint="eastAsia"/>
        </w:rPr>
      </w:pPr>
      <w:r>
        <w:rPr>
          <w:rFonts w:hint="eastAsia"/>
        </w:rPr>
        <w:tab/>
        <w:t xml:space="preserve">524.  </w:t>
      </w:r>
      <w:r>
        <w:rPr>
          <w:rFonts w:hint="eastAsia"/>
        </w:rPr>
        <w:t>除基础教育</w:t>
      </w:r>
      <w:r>
        <w:rPr>
          <w:rFonts w:hint="eastAsia"/>
        </w:rPr>
        <w:t>/</w:t>
      </w:r>
      <w:r>
        <w:rPr>
          <w:rFonts w:hint="eastAsia"/>
        </w:rPr>
        <w:t>发展、效果和质量项目以及乡村地区社会和劳动力培训方案所涵盖的学校之外，将向国家资助和国家与教会共同资助的全国学前教育和小学的所有儿童免费分发学校包：</w:t>
      </w:r>
    </w:p>
    <w:p w:rsidR="00000000" w:rsidRDefault="00000000">
      <w:pPr>
        <w:numPr>
          <w:ilvl w:val="0"/>
          <w:numId w:val="196"/>
        </w:numPr>
        <w:rPr>
          <w:rFonts w:hint="eastAsia"/>
        </w:rPr>
      </w:pPr>
      <w:r>
        <w:rPr>
          <w:rFonts w:hint="eastAsia"/>
        </w:rPr>
        <w:t>基础一年级</w:t>
      </w:r>
      <w:r>
        <w:rPr>
          <w:rFonts w:hint="eastAsia"/>
        </w:rPr>
        <w:t>(</w:t>
      </w:r>
      <w:r>
        <w:rPr>
          <w:rFonts w:hint="eastAsia"/>
        </w:rPr>
        <w:t>以前为幼儿园</w:t>
      </w:r>
      <w:r>
        <w:rPr>
          <w:rFonts w:hint="eastAsia"/>
        </w:rPr>
        <w:t>)</w:t>
      </w:r>
      <w:r>
        <w:rPr>
          <w:rFonts w:hint="eastAsia"/>
          <w:spacing w:val="-50"/>
        </w:rPr>
        <w:t>―</w:t>
      </w:r>
      <w:r>
        <w:rPr>
          <w:rFonts w:hint="eastAsia"/>
        </w:rPr>
        <w:t>―练习本；</w:t>
      </w:r>
    </w:p>
    <w:p w:rsidR="00000000" w:rsidRDefault="00000000">
      <w:pPr>
        <w:numPr>
          <w:ilvl w:val="0"/>
          <w:numId w:val="196"/>
        </w:numPr>
        <w:rPr>
          <w:rFonts w:hint="eastAsia"/>
        </w:rPr>
      </w:pPr>
      <w:r>
        <w:rPr>
          <w:rFonts w:hint="eastAsia"/>
        </w:rPr>
        <w:t>基础二年级</w:t>
      </w:r>
      <w:r>
        <w:rPr>
          <w:rFonts w:hint="eastAsia"/>
        </w:rPr>
        <w:t>(</w:t>
      </w:r>
      <w:r>
        <w:rPr>
          <w:rFonts w:hint="eastAsia"/>
        </w:rPr>
        <w:t>以前为一年级</w:t>
      </w:r>
      <w:r>
        <w:rPr>
          <w:rFonts w:hint="eastAsia"/>
        </w:rPr>
        <w:t>)</w:t>
      </w:r>
      <w:r>
        <w:rPr>
          <w:rFonts w:hint="eastAsia"/>
          <w:spacing w:val="-50"/>
        </w:rPr>
        <w:t>―</w:t>
      </w:r>
      <w:r>
        <w:rPr>
          <w:rFonts w:hint="eastAsia"/>
        </w:rPr>
        <w:t>―练习本和包括笔记本、彩笔、尺子和个人卫生物品在内的学校包；</w:t>
      </w:r>
    </w:p>
    <w:p w:rsidR="00000000" w:rsidRDefault="00000000">
      <w:pPr>
        <w:numPr>
          <w:ilvl w:val="0"/>
          <w:numId w:val="196"/>
        </w:numPr>
        <w:rPr>
          <w:rFonts w:hint="eastAsia"/>
        </w:rPr>
      </w:pPr>
      <w:r>
        <w:rPr>
          <w:rFonts w:hint="eastAsia"/>
        </w:rPr>
        <w:t>基础三年级</w:t>
      </w:r>
      <w:r>
        <w:rPr>
          <w:rFonts w:hint="eastAsia"/>
        </w:rPr>
        <w:t>(</w:t>
      </w:r>
      <w:r>
        <w:rPr>
          <w:rFonts w:hint="eastAsia"/>
        </w:rPr>
        <w:t>以前为二年级</w:t>
      </w:r>
      <w:r>
        <w:rPr>
          <w:rFonts w:hint="eastAsia"/>
        </w:rPr>
        <w:t>)</w:t>
      </w:r>
      <w:r>
        <w:rPr>
          <w:rFonts w:hint="eastAsia"/>
          <w:spacing w:val="-50"/>
        </w:rPr>
        <w:t>―</w:t>
      </w:r>
      <w:r>
        <w:rPr>
          <w:rFonts w:hint="eastAsia"/>
        </w:rPr>
        <w:t>―学校包；</w:t>
      </w:r>
    </w:p>
    <w:p w:rsidR="00000000" w:rsidRDefault="00000000">
      <w:pPr>
        <w:numPr>
          <w:ilvl w:val="0"/>
          <w:numId w:val="196"/>
        </w:numPr>
        <w:rPr>
          <w:rFonts w:hint="eastAsia"/>
        </w:rPr>
      </w:pPr>
      <w:r>
        <w:rPr>
          <w:rFonts w:hint="eastAsia"/>
        </w:rPr>
        <w:t>根据在基础四和五年级</w:t>
      </w:r>
      <w:r>
        <w:rPr>
          <w:rFonts w:hint="eastAsia"/>
        </w:rPr>
        <w:t>(</w:t>
      </w:r>
      <w:r>
        <w:rPr>
          <w:rFonts w:hint="eastAsia"/>
        </w:rPr>
        <w:t>以前为三和四年级</w:t>
      </w:r>
      <w:r>
        <w:rPr>
          <w:rFonts w:hint="eastAsia"/>
        </w:rPr>
        <w:t>)</w:t>
      </w:r>
      <w:r>
        <w:rPr>
          <w:rFonts w:hint="eastAsia"/>
        </w:rPr>
        <w:t>注册的学生数量</w:t>
      </w:r>
      <w:r>
        <w:rPr>
          <w:rFonts w:hint="eastAsia"/>
          <w:spacing w:val="-50"/>
        </w:rPr>
        <w:t>―</w:t>
      </w:r>
      <w:r>
        <w:rPr>
          <w:rFonts w:hint="eastAsia"/>
        </w:rPr>
        <w:t>―学校将得到读本，成为学校的财产。</w:t>
      </w:r>
    </w:p>
    <w:p w:rsidR="00000000" w:rsidRDefault="00000000">
      <w:pPr>
        <w:rPr>
          <w:rFonts w:hint="eastAsia"/>
        </w:rPr>
      </w:pPr>
      <w:r>
        <w:rPr>
          <w:rFonts w:hint="eastAsia"/>
        </w:rPr>
        <w:tab/>
        <w:t xml:space="preserve">525.  </w:t>
      </w:r>
      <w:r>
        <w:rPr>
          <w:rFonts w:hint="eastAsia"/>
        </w:rPr>
        <w:t>正在努力提供学校午餐和奖学金，采取向穷困家庭提供代金券的方式，使儿童能够上学。这类奖励旨在通过鼓励家庭送子女上学，使最贫穷家庭的孩子享有受教育的权利。</w:t>
      </w:r>
    </w:p>
    <w:p w:rsidR="00000000" w:rsidRDefault="00000000">
      <w:pPr>
        <w:rPr>
          <w:rFonts w:hint="eastAsia"/>
        </w:rPr>
      </w:pPr>
      <w:r>
        <w:rPr>
          <w:rFonts w:hint="eastAsia"/>
        </w:rPr>
        <w:tab/>
        <w:t xml:space="preserve">526.  </w:t>
      </w:r>
      <w:r>
        <w:rPr>
          <w:rFonts w:hint="eastAsia"/>
        </w:rPr>
        <w:t>教育部在</w:t>
      </w:r>
      <w:r>
        <w:rPr>
          <w:rFonts w:hint="eastAsia"/>
        </w:rPr>
        <w:t>1999</w:t>
      </w:r>
      <w:r>
        <w:rPr>
          <w:rFonts w:hint="eastAsia"/>
        </w:rPr>
        <w:t>至</w:t>
      </w:r>
      <w:r>
        <w:rPr>
          <w:rFonts w:hint="eastAsia"/>
        </w:rPr>
        <w:t>2002</w:t>
      </w:r>
      <w:r>
        <w:rPr>
          <w:rFonts w:hint="eastAsia"/>
        </w:rPr>
        <w:t>年期间实施乡村教育友好质量网络方案。</w:t>
      </w:r>
    </w:p>
    <w:p w:rsidR="00000000" w:rsidRDefault="00000000">
      <w:pPr>
        <w:rPr>
          <w:rFonts w:hint="eastAsia"/>
        </w:rPr>
      </w:pPr>
      <w:r>
        <w:rPr>
          <w:rFonts w:hint="eastAsia"/>
        </w:rPr>
        <w:tab/>
        <w:t xml:space="preserve">527.  </w:t>
      </w:r>
      <w:r>
        <w:rPr>
          <w:rFonts w:hint="eastAsia"/>
        </w:rPr>
        <w:t>采取的措施没有取得预期成果，因为尽管这些措施旨在帮助学年期间注册的儿童，但并不足以确保所有儿童能够行使其受教育的权利，这是由于严重的危机正在影响贫困家庭，迫使最易受伤害的阶层寻求新的生存战略，其中之一就是让孩子缀学，帮助赚取某种收入，满足家庭诸如医疗卫生和食品等最基本的需要。越来越多的儿童缀学，加入到非正规劳动力市场，造成不可挽回和无法弥补的后果。</w:t>
      </w:r>
    </w:p>
    <w:p w:rsidR="00000000" w:rsidRDefault="00000000">
      <w:pPr>
        <w:spacing w:after="320"/>
        <w:rPr>
          <w:rFonts w:hint="eastAsia"/>
        </w:rPr>
      </w:pPr>
      <w:r>
        <w:rPr>
          <w:rFonts w:hint="eastAsia"/>
        </w:rPr>
        <w:tab/>
        <w:t xml:space="preserve">528.  </w:t>
      </w:r>
      <w:r>
        <w:rPr>
          <w:rFonts w:hint="eastAsia"/>
        </w:rPr>
        <w:t>为了解决这一问题，社会保护方案发明了学校代金券，这是支付给家庭的一种补助金，使儿童得以上学。这笔钱直接交给由于危机而不再挣有收入的家长，帮助补偿收入损失。在乡村地区签名申请的家庭可以获得</w:t>
      </w:r>
      <w:r>
        <w:rPr>
          <w:rFonts w:hint="eastAsia"/>
        </w:rPr>
        <w:t>12</w:t>
      </w:r>
      <w:r>
        <w:rPr>
          <w:rFonts w:hint="eastAsia"/>
        </w:rPr>
        <w:t>至</w:t>
      </w:r>
      <w:r>
        <w:rPr>
          <w:rFonts w:hint="eastAsia"/>
        </w:rPr>
        <w:t>15</w:t>
      </w:r>
      <w:r>
        <w:rPr>
          <w:rFonts w:hint="eastAsia"/>
        </w:rPr>
        <w:t>美元的补助金。</w:t>
      </w:r>
    </w:p>
    <w:p w:rsidR="00000000" w:rsidRDefault="00000000">
      <w:pPr>
        <w:pStyle w:val="Heading4"/>
        <w:rPr>
          <w:rFonts w:eastAsia="KaiTi_GB2312" w:hint="eastAsia"/>
          <w:snapToGrid/>
          <w:spacing w:val="0"/>
          <w:u w:val="none"/>
        </w:rPr>
      </w:pPr>
      <w:r>
        <w:rPr>
          <w:rFonts w:eastAsia="KaiTi_GB2312" w:hint="eastAsia"/>
          <w:snapToGrid/>
          <w:spacing w:val="0"/>
          <w:u w:val="none"/>
        </w:rPr>
        <w:t>双语教育</w:t>
      </w:r>
    </w:p>
    <w:p w:rsidR="00000000" w:rsidRDefault="00000000">
      <w:pPr>
        <w:rPr>
          <w:rFonts w:hint="eastAsia"/>
        </w:rPr>
      </w:pPr>
      <w:r>
        <w:rPr>
          <w:rFonts w:hint="eastAsia"/>
        </w:rPr>
        <w:tab/>
        <w:t xml:space="preserve">529.  </w:t>
      </w:r>
      <w:r>
        <w:rPr>
          <w:rFonts w:hint="eastAsia"/>
        </w:rPr>
        <w:t>厄瓜多尔在二十世纪中期开始谈论土著教育问题，这一阶段是土著社区教育发生重大变化的时期。从殖民时代一直到二十世纪，土著教育没有发生任何变化，因为众所周知，印第安人不仅被剥夺了权利，而且还被置于最污辱人格和不人道的状况之中。</w:t>
      </w:r>
      <w:r>
        <w:rPr>
          <w:rFonts w:hint="eastAsia"/>
          <w:b/>
          <w:vertAlign w:val="superscript"/>
        </w:rPr>
        <w:t>74</w:t>
      </w:r>
    </w:p>
    <w:p w:rsidR="00000000" w:rsidRDefault="00000000">
      <w:pPr>
        <w:spacing w:after="320"/>
        <w:rPr>
          <w:rFonts w:hint="eastAsia"/>
        </w:rPr>
      </w:pPr>
      <w:r>
        <w:rPr>
          <w:rFonts w:hint="eastAsia"/>
        </w:rPr>
        <w:tab/>
        <w:t xml:space="preserve">530.  </w:t>
      </w:r>
      <w:r>
        <w:rPr>
          <w:rFonts w:hint="eastAsia"/>
        </w:rPr>
        <w:t>设立国家政府文化间双语教育部的提案是在属于厄瓜多尔土著民族邦联各组织的参与下于</w:t>
      </w:r>
      <w:r>
        <w:rPr>
          <w:rFonts w:hint="eastAsia"/>
        </w:rPr>
        <w:t>1988</w:t>
      </w:r>
      <w:r>
        <w:rPr>
          <w:rFonts w:hint="eastAsia"/>
        </w:rPr>
        <w:t>年</w:t>
      </w:r>
      <w:r>
        <w:rPr>
          <w:rFonts w:hint="eastAsia"/>
        </w:rPr>
        <w:t>11</w:t>
      </w:r>
      <w:r>
        <w:rPr>
          <w:rFonts w:hint="eastAsia"/>
        </w:rPr>
        <w:t>月提出的。随后，厄瓜多尔通过文化间双语提案，接管了这一群体的教育工作。教育部和邦联于</w:t>
      </w:r>
      <w:r>
        <w:rPr>
          <w:rFonts w:hint="eastAsia"/>
        </w:rPr>
        <w:t>1989</w:t>
      </w:r>
      <w:r>
        <w:rPr>
          <w:rFonts w:hint="eastAsia"/>
        </w:rPr>
        <w:t>年签署了科学合作协定。该协定的具体目的是进行语言和教学法研究、编写识字和识字后教材，并逐步培训</w:t>
      </w:r>
      <w:r>
        <w:rPr>
          <w:rFonts w:hint="eastAsia"/>
        </w:rPr>
        <w:t>Q</w:t>
      </w:r>
      <w:r>
        <w:t>uechua</w:t>
      </w:r>
      <w:r>
        <w:rPr>
          <w:rFonts w:hint="eastAsia"/>
        </w:rPr>
        <w:t>、</w:t>
      </w:r>
      <w:r>
        <w:rPr>
          <w:rFonts w:hint="eastAsia"/>
        </w:rPr>
        <w:t>A</w:t>
      </w:r>
      <w:r>
        <w:t>wa</w:t>
      </w:r>
      <w:r>
        <w:rPr>
          <w:rFonts w:hint="eastAsia"/>
        </w:rPr>
        <w:t>、</w:t>
      </w:r>
      <w:r>
        <w:rPr>
          <w:rFonts w:hint="eastAsia"/>
        </w:rPr>
        <w:t>C</w:t>
      </w:r>
      <w:r>
        <w:t>hachi</w:t>
      </w:r>
      <w:r>
        <w:rPr>
          <w:rFonts w:hint="eastAsia"/>
        </w:rPr>
        <w:t>、</w:t>
      </w:r>
      <w:r>
        <w:rPr>
          <w:rFonts w:hint="eastAsia"/>
        </w:rPr>
        <w:t>T</w:t>
      </w:r>
      <w:r>
        <w:t>sachi</w:t>
      </w:r>
      <w:r>
        <w:rPr>
          <w:rFonts w:hint="eastAsia"/>
        </w:rPr>
        <w:t>和厄瓜多尔其他语文的参与工作人员。</w:t>
      </w:r>
      <w:r>
        <w:rPr>
          <w:rFonts w:hint="eastAsia"/>
          <w:b/>
          <w:vertAlign w:val="superscript"/>
        </w:rPr>
        <w:t>75</w:t>
      </w:r>
    </w:p>
    <w:p w:rsidR="00000000" w:rsidRDefault="00000000">
      <w:pPr>
        <w:pStyle w:val="Heading3"/>
        <w:rPr>
          <w:rFonts w:hint="eastAsia"/>
          <w:u w:val="none"/>
        </w:rPr>
      </w:pPr>
      <w:r>
        <w:rPr>
          <w:rFonts w:hint="eastAsia"/>
        </w:rPr>
        <w:t>文化间双语教育</w:t>
      </w:r>
      <w:r>
        <w:br/>
      </w:r>
      <w:r>
        <w:rPr>
          <w:rFonts w:hint="eastAsia"/>
          <w:u w:val="none"/>
        </w:rPr>
        <w:t>(1989-1990-1997-1998</w:t>
      </w:r>
      <w:r>
        <w:rPr>
          <w:rFonts w:hint="eastAsia"/>
          <w:u w:val="none"/>
        </w:rPr>
        <w:t>学年</w:t>
      </w:r>
      <w:r>
        <w:rPr>
          <w:rFonts w:hint="eastAsia"/>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1"/>
        <w:gridCol w:w="1570"/>
        <w:gridCol w:w="1569"/>
        <w:gridCol w:w="1569"/>
        <w:gridCol w:w="1571"/>
      </w:tblGrid>
      <w:tr w:rsidR="00000000">
        <w:tblPrEx>
          <w:tblCellMar>
            <w:top w:w="0" w:type="dxa"/>
            <w:bottom w:w="0" w:type="dxa"/>
          </w:tblCellMar>
        </w:tblPrEx>
        <w:tc>
          <w:tcPr>
            <w:tcW w:w="1719" w:type="pct"/>
            <w:tcBorders>
              <w:bottom w:val="single" w:sz="4" w:space="0" w:color="auto"/>
            </w:tcBorders>
          </w:tcPr>
          <w:p w:rsidR="00000000" w:rsidRDefault="00000000">
            <w:pPr>
              <w:pStyle w:val="a2"/>
              <w:spacing w:before="60" w:after="20"/>
              <w:jc w:val="center"/>
            </w:pPr>
          </w:p>
        </w:tc>
        <w:tc>
          <w:tcPr>
            <w:tcW w:w="820" w:type="pct"/>
            <w:tcBorders>
              <w:bottom w:val="single" w:sz="4" w:space="0" w:color="auto"/>
            </w:tcBorders>
          </w:tcPr>
          <w:p w:rsidR="00000000" w:rsidRDefault="00000000">
            <w:pPr>
              <w:pStyle w:val="a2"/>
              <w:tabs>
                <w:tab w:val="decimal" w:pos="791"/>
              </w:tabs>
              <w:spacing w:before="60" w:after="20"/>
            </w:pPr>
            <w:r>
              <w:t>1989-1990</w:t>
            </w:r>
          </w:p>
        </w:tc>
        <w:tc>
          <w:tcPr>
            <w:tcW w:w="820" w:type="pct"/>
            <w:tcBorders>
              <w:bottom w:val="single" w:sz="4" w:space="0" w:color="auto"/>
            </w:tcBorders>
          </w:tcPr>
          <w:p w:rsidR="00000000" w:rsidRDefault="00000000">
            <w:pPr>
              <w:pStyle w:val="a2"/>
              <w:tabs>
                <w:tab w:val="decimal" w:pos="791"/>
              </w:tabs>
              <w:spacing w:before="60" w:after="20"/>
            </w:pPr>
            <w:r>
              <w:t>1994-1995</w:t>
            </w:r>
          </w:p>
        </w:tc>
        <w:tc>
          <w:tcPr>
            <w:tcW w:w="820" w:type="pct"/>
            <w:tcBorders>
              <w:bottom w:val="single" w:sz="4" w:space="0" w:color="auto"/>
            </w:tcBorders>
          </w:tcPr>
          <w:p w:rsidR="00000000" w:rsidRDefault="00000000">
            <w:pPr>
              <w:pStyle w:val="a2"/>
              <w:tabs>
                <w:tab w:val="decimal" w:pos="791"/>
              </w:tabs>
              <w:spacing w:before="60" w:after="20"/>
            </w:pPr>
            <w:r>
              <w:t>1996-1997</w:t>
            </w:r>
          </w:p>
        </w:tc>
        <w:tc>
          <w:tcPr>
            <w:tcW w:w="821" w:type="pct"/>
            <w:tcBorders>
              <w:bottom w:val="single" w:sz="4" w:space="0" w:color="auto"/>
            </w:tcBorders>
          </w:tcPr>
          <w:p w:rsidR="00000000" w:rsidRDefault="00000000">
            <w:pPr>
              <w:pStyle w:val="a2"/>
              <w:tabs>
                <w:tab w:val="decimal" w:pos="791"/>
              </w:tabs>
              <w:spacing w:before="60" w:after="20"/>
            </w:pPr>
            <w:r>
              <w:t>1997-1998</w:t>
            </w:r>
          </w:p>
        </w:tc>
      </w:tr>
      <w:tr w:rsidR="00000000">
        <w:tblPrEx>
          <w:tblCellMar>
            <w:top w:w="0" w:type="dxa"/>
            <w:bottom w:w="0" w:type="dxa"/>
          </w:tblCellMar>
        </w:tblPrEx>
        <w:tc>
          <w:tcPr>
            <w:tcW w:w="1719" w:type="pct"/>
            <w:tcBorders>
              <w:bottom w:val="nil"/>
            </w:tcBorders>
          </w:tcPr>
          <w:p w:rsidR="00000000" w:rsidRDefault="00000000">
            <w:pPr>
              <w:pStyle w:val="a2"/>
              <w:rPr>
                <w:rFonts w:hint="eastAsia"/>
              </w:rPr>
            </w:pPr>
            <w:r>
              <w:rPr>
                <w:rFonts w:hint="eastAsia"/>
              </w:rPr>
              <w:t>学前教育学校</w:t>
            </w:r>
          </w:p>
        </w:tc>
        <w:tc>
          <w:tcPr>
            <w:tcW w:w="820" w:type="pct"/>
            <w:tcBorders>
              <w:bottom w:val="nil"/>
            </w:tcBorders>
          </w:tcPr>
          <w:p w:rsidR="00000000" w:rsidRDefault="00000000">
            <w:pPr>
              <w:pStyle w:val="a2"/>
              <w:tabs>
                <w:tab w:val="decimal" w:pos="909"/>
              </w:tabs>
            </w:pPr>
            <w:r>
              <w:t>27</w:t>
            </w:r>
          </w:p>
        </w:tc>
        <w:tc>
          <w:tcPr>
            <w:tcW w:w="820" w:type="pct"/>
            <w:tcBorders>
              <w:bottom w:val="nil"/>
            </w:tcBorders>
          </w:tcPr>
          <w:p w:rsidR="00000000" w:rsidRDefault="00000000">
            <w:pPr>
              <w:pStyle w:val="a2"/>
              <w:tabs>
                <w:tab w:val="decimal" w:pos="909"/>
              </w:tabs>
            </w:pPr>
            <w:r>
              <w:t>37</w:t>
            </w:r>
          </w:p>
        </w:tc>
        <w:tc>
          <w:tcPr>
            <w:tcW w:w="820" w:type="pct"/>
            <w:tcBorders>
              <w:bottom w:val="nil"/>
            </w:tcBorders>
          </w:tcPr>
          <w:p w:rsidR="00000000" w:rsidRDefault="00000000">
            <w:pPr>
              <w:pStyle w:val="a2"/>
              <w:tabs>
                <w:tab w:val="decimal" w:pos="909"/>
              </w:tabs>
            </w:pPr>
          </w:p>
        </w:tc>
        <w:tc>
          <w:tcPr>
            <w:tcW w:w="821" w:type="pct"/>
            <w:tcBorders>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教师</w:t>
            </w:r>
          </w:p>
        </w:tc>
        <w:tc>
          <w:tcPr>
            <w:tcW w:w="820" w:type="pct"/>
            <w:tcBorders>
              <w:top w:val="nil"/>
              <w:bottom w:val="nil"/>
            </w:tcBorders>
          </w:tcPr>
          <w:p w:rsidR="00000000" w:rsidRDefault="00000000">
            <w:pPr>
              <w:pStyle w:val="a2"/>
              <w:tabs>
                <w:tab w:val="decimal" w:pos="909"/>
              </w:tabs>
            </w:pPr>
            <w:r>
              <w:t>27</w:t>
            </w:r>
          </w:p>
        </w:tc>
        <w:tc>
          <w:tcPr>
            <w:tcW w:w="820" w:type="pct"/>
            <w:tcBorders>
              <w:top w:val="nil"/>
              <w:bottom w:val="nil"/>
            </w:tcBorders>
          </w:tcPr>
          <w:p w:rsidR="00000000" w:rsidRDefault="00000000">
            <w:pPr>
              <w:pStyle w:val="a2"/>
              <w:tabs>
                <w:tab w:val="decimal" w:pos="909"/>
              </w:tabs>
            </w:pPr>
            <w:r>
              <w:t>41</w:t>
            </w:r>
          </w:p>
        </w:tc>
        <w:tc>
          <w:tcPr>
            <w:tcW w:w="820" w:type="pct"/>
            <w:tcBorders>
              <w:top w:val="nil"/>
              <w:bottom w:val="nil"/>
            </w:tcBorders>
          </w:tcPr>
          <w:p w:rsidR="00000000" w:rsidRDefault="00000000">
            <w:pPr>
              <w:pStyle w:val="a2"/>
              <w:tabs>
                <w:tab w:val="decimal" w:pos="909"/>
              </w:tabs>
            </w:pP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在册生</w:t>
            </w:r>
          </w:p>
        </w:tc>
        <w:tc>
          <w:tcPr>
            <w:tcW w:w="820" w:type="pct"/>
            <w:tcBorders>
              <w:top w:val="nil"/>
              <w:bottom w:val="nil"/>
            </w:tcBorders>
          </w:tcPr>
          <w:p w:rsidR="00000000" w:rsidRDefault="00000000">
            <w:pPr>
              <w:pStyle w:val="a2"/>
              <w:tabs>
                <w:tab w:val="decimal" w:pos="909"/>
              </w:tabs>
            </w:pPr>
            <w:r>
              <w:t>525</w:t>
            </w:r>
          </w:p>
        </w:tc>
        <w:tc>
          <w:tcPr>
            <w:tcW w:w="820" w:type="pct"/>
            <w:tcBorders>
              <w:top w:val="nil"/>
              <w:bottom w:val="nil"/>
            </w:tcBorders>
          </w:tcPr>
          <w:p w:rsidR="00000000" w:rsidRDefault="00000000">
            <w:pPr>
              <w:pStyle w:val="a2"/>
              <w:tabs>
                <w:tab w:val="decimal" w:pos="909"/>
              </w:tabs>
            </w:pPr>
            <w:r>
              <w:t>798</w:t>
            </w:r>
          </w:p>
        </w:tc>
        <w:tc>
          <w:tcPr>
            <w:tcW w:w="820" w:type="pct"/>
            <w:tcBorders>
              <w:top w:val="nil"/>
              <w:bottom w:val="nil"/>
            </w:tcBorders>
          </w:tcPr>
          <w:p w:rsidR="00000000" w:rsidRDefault="00000000">
            <w:pPr>
              <w:pStyle w:val="a2"/>
              <w:tabs>
                <w:tab w:val="decimal" w:pos="909"/>
              </w:tabs>
            </w:pP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pPr>
            <w:r>
              <w:rPr>
                <w:rFonts w:hint="eastAsia"/>
              </w:rPr>
              <w:t>小学校</w:t>
            </w:r>
          </w:p>
        </w:tc>
        <w:tc>
          <w:tcPr>
            <w:tcW w:w="820" w:type="pct"/>
            <w:tcBorders>
              <w:top w:val="nil"/>
              <w:bottom w:val="nil"/>
            </w:tcBorders>
          </w:tcPr>
          <w:p w:rsidR="00000000" w:rsidRDefault="00000000">
            <w:pPr>
              <w:pStyle w:val="a2"/>
              <w:tabs>
                <w:tab w:val="decimal" w:pos="909"/>
              </w:tabs>
            </w:pPr>
            <w:r>
              <w:t>899</w:t>
            </w:r>
          </w:p>
        </w:tc>
        <w:tc>
          <w:tcPr>
            <w:tcW w:w="820" w:type="pct"/>
            <w:tcBorders>
              <w:top w:val="nil"/>
              <w:bottom w:val="nil"/>
            </w:tcBorders>
          </w:tcPr>
          <w:p w:rsidR="00000000" w:rsidRDefault="00000000">
            <w:pPr>
              <w:pStyle w:val="a2"/>
              <w:tabs>
                <w:tab w:val="decimal" w:pos="909"/>
              </w:tabs>
            </w:pPr>
            <w:r>
              <w:t>1,635</w:t>
            </w:r>
          </w:p>
        </w:tc>
        <w:tc>
          <w:tcPr>
            <w:tcW w:w="820" w:type="pct"/>
            <w:tcBorders>
              <w:top w:val="nil"/>
              <w:bottom w:val="nil"/>
            </w:tcBorders>
          </w:tcPr>
          <w:p w:rsidR="00000000" w:rsidRDefault="00000000">
            <w:pPr>
              <w:pStyle w:val="a2"/>
              <w:tabs>
                <w:tab w:val="decimal" w:pos="909"/>
              </w:tabs>
            </w:pPr>
            <w:r>
              <w:t>1,697</w:t>
            </w:r>
          </w:p>
        </w:tc>
        <w:tc>
          <w:tcPr>
            <w:tcW w:w="821" w:type="pct"/>
            <w:tcBorders>
              <w:top w:val="nil"/>
              <w:bottom w:val="nil"/>
            </w:tcBorders>
          </w:tcPr>
          <w:p w:rsidR="00000000" w:rsidRDefault="00000000">
            <w:pPr>
              <w:pStyle w:val="a2"/>
              <w:tabs>
                <w:tab w:val="decimal" w:pos="909"/>
              </w:tabs>
            </w:pPr>
            <w:r>
              <w:t>1,730</w:t>
            </w: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教师</w:t>
            </w:r>
          </w:p>
        </w:tc>
        <w:tc>
          <w:tcPr>
            <w:tcW w:w="820" w:type="pct"/>
            <w:tcBorders>
              <w:top w:val="nil"/>
              <w:bottom w:val="nil"/>
            </w:tcBorders>
          </w:tcPr>
          <w:p w:rsidR="00000000" w:rsidRDefault="00000000">
            <w:pPr>
              <w:pStyle w:val="a2"/>
              <w:tabs>
                <w:tab w:val="decimal" w:pos="909"/>
              </w:tabs>
            </w:pPr>
            <w:r>
              <w:t>2,157</w:t>
            </w:r>
          </w:p>
        </w:tc>
        <w:tc>
          <w:tcPr>
            <w:tcW w:w="820" w:type="pct"/>
            <w:tcBorders>
              <w:top w:val="nil"/>
              <w:bottom w:val="nil"/>
            </w:tcBorders>
          </w:tcPr>
          <w:p w:rsidR="00000000" w:rsidRDefault="00000000">
            <w:pPr>
              <w:pStyle w:val="a2"/>
              <w:tabs>
                <w:tab w:val="decimal" w:pos="909"/>
              </w:tabs>
            </w:pPr>
            <w:r>
              <w:t>3,602</w:t>
            </w:r>
          </w:p>
        </w:tc>
        <w:tc>
          <w:tcPr>
            <w:tcW w:w="820" w:type="pct"/>
            <w:tcBorders>
              <w:top w:val="nil"/>
              <w:bottom w:val="nil"/>
            </w:tcBorders>
          </w:tcPr>
          <w:p w:rsidR="00000000" w:rsidRDefault="00000000">
            <w:pPr>
              <w:pStyle w:val="a2"/>
              <w:tabs>
                <w:tab w:val="decimal" w:pos="909"/>
              </w:tabs>
            </w:pPr>
            <w:r>
              <w:t>4,117</w:t>
            </w:r>
          </w:p>
        </w:tc>
        <w:tc>
          <w:tcPr>
            <w:tcW w:w="821" w:type="pct"/>
            <w:tcBorders>
              <w:top w:val="nil"/>
              <w:bottom w:val="nil"/>
            </w:tcBorders>
          </w:tcPr>
          <w:p w:rsidR="00000000" w:rsidRDefault="00000000">
            <w:pPr>
              <w:pStyle w:val="a2"/>
              <w:tabs>
                <w:tab w:val="decimal" w:pos="909"/>
              </w:tabs>
            </w:pPr>
            <w:r>
              <w:t>4,231</w:t>
            </w: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在册生</w:t>
            </w:r>
          </w:p>
        </w:tc>
        <w:tc>
          <w:tcPr>
            <w:tcW w:w="820" w:type="pct"/>
            <w:tcBorders>
              <w:top w:val="nil"/>
              <w:bottom w:val="nil"/>
            </w:tcBorders>
          </w:tcPr>
          <w:p w:rsidR="00000000" w:rsidRDefault="00000000">
            <w:pPr>
              <w:pStyle w:val="a2"/>
              <w:tabs>
                <w:tab w:val="decimal" w:pos="909"/>
              </w:tabs>
            </w:pPr>
            <w:r>
              <w:t>38,722</w:t>
            </w:r>
          </w:p>
        </w:tc>
        <w:tc>
          <w:tcPr>
            <w:tcW w:w="820" w:type="pct"/>
            <w:tcBorders>
              <w:top w:val="nil"/>
              <w:bottom w:val="nil"/>
            </w:tcBorders>
          </w:tcPr>
          <w:p w:rsidR="00000000" w:rsidRDefault="00000000">
            <w:pPr>
              <w:pStyle w:val="a2"/>
              <w:tabs>
                <w:tab w:val="decimal" w:pos="909"/>
              </w:tabs>
            </w:pPr>
            <w:r>
              <w:t>74,094</w:t>
            </w:r>
          </w:p>
        </w:tc>
        <w:tc>
          <w:tcPr>
            <w:tcW w:w="820" w:type="pct"/>
            <w:tcBorders>
              <w:top w:val="nil"/>
              <w:bottom w:val="nil"/>
            </w:tcBorders>
          </w:tcPr>
          <w:p w:rsidR="00000000" w:rsidRDefault="00000000">
            <w:pPr>
              <w:pStyle w:val="a2"/>
              <w:tabs>
                <w:tab w:val="decimal" w:pos="909"/>
              </w:tabs>
            </w:pPr>
            <w:r>
              <w:t>80,067</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升级生</w:t>
            </w:r>
          </w:p>
        </w:tc>
        <w:tc>
          <w:tcPr>
            <w:tcW w:w="820" w:type="pct"/>
            <w:tcBorders>
              <w:top w:val="nil"/>
              <w:bottom w:val="nil"/>
            </w:tcBorders>
          </w:tcPr>
          <w:p w:rsidR="00000000" w:rsidRDefault="00000000">
            <w:pPr>
              <w:pStyle w:val="a2"/>
              <w:tabs>
                <w:tab w:val="decimal" w:pos="909"/>
              </w:tabs>
            </w:pPr>
            <w:r>
              <w:t>34,525</w:t>
            </w:r>
          </w:p>
        </w:tc>
        <w:tc>
          <w:tcPr>
            <w:tcW w:w="820" w:type="pct"/>
            <w:tcBorders>
              <w:top w:val="nil"/>
              <w:bottom w:val="nil"/>
            </w:tcBorders>
          </w:tcPr>
          <w:p w:rsidR="00000000" w:rsidRDefault="00000000">
            <w:pPr>
              <w:pStyle w:val="a2"/>
              <w:tabs>
                <w:tab w:val="decimal" w:pos="909"/>
              </w:tabs>
            </w:pPr>
            <w:r>
              <w:t>62,479</w:t>
            </w:r>
          </w:p>
        </w:tc>
        <w:tc>
          <w:tcPr>
            <w:tcW w:w="820" w:type="pct"/>
            <w:tcBorders>
              <w:top w:val="nil"/>
              <w:bottom w:val="nil"/>
            </w:tcBorders>
          </w:tcPr>
          <w:p w:rsidR="00000000" w:rsidRDefault="00000000">
            <w:pPr>
              <w:pStyle w:val="a2"/>
              <w:tabs>
                <w:tab w:val="decimal" w:pos="909"/>
              </w:tabs>
            </w:pPr>
            <w:r>
              <w:t>67,092</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留级生</w:t>
            </w:r>
          </w:p>
        </w:tc>
        <w:tc>
          <w:tcPr>
            <w:tcW w:w="820" w:type="pct"/>
            <w:tcBorders>
              <w:top w:val="nil"/>
              <w:bottom w:val="nil"/>
            </w:tcBorders>
          </w:tcPr>
          <w:p w:rsidR="00000000" w:rsidRDefault="00000000">
            <w:pPr>
              <w:pStyle w:val="a2"/>
              <w:tabs>
                <w:tab w:val="decimal" w:pos="909"/>
              </w:tabs>
            </w:pPr>
            <w:r>
              <w:t>2,525</w:t>
            </w:r>
          </w:p>
        </w:tc>
        <w:tc>
          <w:tcPr>
            <w:tcW w:w="820" w:type="pct"/>
            <w:tcBorders>
              <w:top w:val="nil"/>
              <w:bottom w:val="nil"/>
            </w:tcBorders>
          </w:tcPr>
          <w:p w:rsidR="00000000" w:rsidRDefault="00000000">
            <w:pPr>
              <w:pStyle w:val="a2"/>
              <w:tabs>
                <w:tab w:val="decimal" w:pos="909"/>
              </w:tabs>
            </w:pPr>
            <w:r>
              <w:t>6,106</w:t>
            </w:r>
          </w:p>
        </w:tc>
        <w:tc>
          <w:tcPr>
            <w:tcW w:w="820" w:type="pct"/>
            <w:tcBorders>
              <w:top w:val="nil"/>
              <w:bottom w:val="nil"/>
            </w:tcBorders>
          </w:tcPr>
          <w:p w:rsidR="00000000" w:rsidRDefault="00000000">
            <w:pPr>
              <w:pStyle w:val="a2"/>
              <w:tabs>
                <w:tab w:val="decimal" w:pos="909"/>
              </w:tabs>
            </w:pPr>
            <w:r>
              <w:t>6,545</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缀学生</w:t>
            </w:r>
          </w:p>
        </w:tc>
        <w:tc>
          <w:tcPr>
            <w:tcW w:w="820" w:type="pct"/>
            <w:tcBorders>
              <w:top w:val="nil"/>
              <w:bottom w:val="nil"/>
            </w:tcBorders>
          </w:tcPr>
          <w:p w:rsidR="00000000" w:rsidRDefault="00000000">
            <w:pPr>
              <w:pStyle w:val="a2"/>
              <w:tabs>
                <w:tab w:val="decimal" w:pos="909"/>
              </w:tabs>
            </w:pPr>
            <w:r>
              <w:t>1,672</w:t>
            </w:r>
          </w:p>
        </w:tc>
        <w:tc>
          <w:tcPr>
            <w:tcW w:w="820" w:type="pct"/>
            <w:tcBorders>
              <w:top w:val="nil"/>
              <w:bottom w:val="nil"/>
            </w:tcBorders>
          </w:tcPr>
          <w:p w:rsidR="00000000" w:rsidRDefault="00000000">
            <w:pPr>
              <w:pStyle w:val="a2"/>
              <w:tabs>
                <w:tab w:val="decimal" w:pos="909"/>
              </w:tabs>
            </w:pPr>
            <w:r>
              <w:t>5,509</w:t>
            </w:r>
          </w:p>
        </w:tc>
        <w:tc>
          <w:tcPr>
            <w:tcW w:w="820" w:type="pct"/>
            <w:tcBorders>
              <w:top w:val="nil"/>
              <w:bottom w:val="nil"/>
            </w:tcBorders>
          </w:tcPr>
          <w:p w:rsidR="00000000" w:rsidRDefault="00000000">
            <w:pPr>
              <w:pStyle w:val="a2"/>
              <w:tabs>
                <w:tab w:val="decimal" w:pos="909"/>
              </w:tabs>
            </w:pPr>
            <w:r>
              <w:t>6,430</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中学校</w:t>
            </w:r>
          </w:p>
        </w:tc>
        <w:tc>
          <w:tcPr>
            <w:tcW w:w="820" w:type="pct"/>
            <w:tcBorders>
              <w:top w:val="nil"/>
              <w:bottom w:val="nil"/>
            </w:tcBorders>
          </w:tcPr>
          <w:p w:rsidR="00000000" w:rsidRDefault="00000000">
            <w:pPr>
              <w:pStyle w:val="a2"/>
              <w:tabs>
                <w:tab w:val="decimal" w:pos="909"/>
              </w:tabs>
            </w:pPr>
            <w:r>
              <w:t>22</w:t>
            </w:r>
          </w:p>
        </w:tc>
        <w:tc>
          <w:tcPr>
            <w:tcW w:w="820" w:type="pct"/>
            <w:tcBorders>
              <w:top w:val="nil"/>
              <w:bottom w:val="nil"/>
            </w:tcBorders>
          </w:tcPr>
          <w:p w:rsidR="00000000" w:rsidRDefault="00000000">
            <w:pPr>
              <w:pStyle w:val="a2"/>
              <w:tabs>
                <w:tab w:val="decimal" w:pos="909"/>
              </w:tabs>
            </w:pPr>
            <w:r>
              <w:t>63</w:t>
            </w:r>
          </w:p>
        </w:tc>
        <w:tc>
          <w:tcPr>
            <w:tcW w:w="820" w:type="pct"/>
            <w:tcBorders>
              <w:top w:val="nil"/>
              <w:bottom w:val="nil"/>
            </w:tcBorders>
          </w:tcPr>
          <w:p w:rsidR="00000000" w:rsidRDefault="00000000">
            <w:pPr>
              <w:pStyle w:val="a2"/>
              <w:tabs>
                <w:tab w:val="decimal" w:pos="909"/>
              </w:tabs>
            </w:pPr>
            <w:r>
              <w:t>101</w:t>
            </w:r>
          </w:p>
        </w:tc>
        <w:tc>
          <w:tcPr>
            <w:tcW w:w="821" w:type="pct"/>
            <w:tcBorders>
              <w:top w:val="nil"/>
              <w:bottom w:val="nil"/>
            </w:tcBorders>
          </w:tcPr>
          <w:p w:rsidR="00000000" w:rsidRDefault="00000000">
            <w:pPr>
              <w:pStyle w:val="a2"/>
              <w:tabs>
                <w:tab w:val="decimal" w:pos="909"/>
              </w:tabs>
            </w:pPr>
            <w:r>
              <w:t>103</w:t>
            </w: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教师</w:t>
            </w:r>
          </w:p>
        </w:tc>
        <w:tc>
          <w:tcPr>
            <w:tcW w:w="820" w:type="pct"/>
            <w:tcBorders>
              <w:top w:val="nil"/>
              <w:bottom w:val="nil"/>
            </w:tcBorders>
          </w:tcPr>
          <w:p w:rsidR="00000000" w:rsidRDefault="00000000">
            <w:pPr>
              <w:pStyle w:val="a2"/>
              <w:tabs>
                <w:tab w:val="decimal" w:pos="909"/>
              </w:tabs>
            </w:pPr>
            <w:r>
              <w:t>416</w:t>
            </w:r>
          </w:p>
        </w:tc>
        <w:tc>
          <w:tcPr>
            <w:tcW w:w="820" w:type="pct"/>
            <w:tcBorders>
              <w:top w:val="nil"/>
              <w:bottom w:val="nil"/>
            </w:tcBorders>
          </w:tcPr>
          <w:p w:rsidR="00000000" w:rsidRDefault="00000000">
            <w:pPr>
              <w:pStyle w:val="a2"/>
              <w:tabs>
                <w:tab w:val="decimal" w:pos="909"/>
              </w:tabs>
            </w:pPr>
            <w:r>
              <w:t>915</w:t>
            </w:r>
          </w:p>
        </w:tc>
        <w:tc>
          <w:tcPr>
            <w:tcW w:w="820" w:type="pct"/>
            <w:tcBorders>
              <w:top w:val="nil"/>
              <w:bottom w:val="nil"/>
            </w:tcBorders>
          </w:tcPr>
          <w:p w:rsidR="00000000" w:rsidRDefault="00000000">
            <w:pPr>
              <w:pStyle w:val="a2"/>
              <w:tabs>
                <w:tab w:val="decimal" w:pos="909"/>
              </w:tabs>
            </w:pPr>
            <w:r>
              <w:t>1,060</w:t>
            </w:r>
          </w:p>
        </w:tc>
        <w:tc>
          <w:tcPr>
            <w:tcW w:w="821" w:type="pct"/>
            <w:tcBorders>
              <w:top w:val="nil"/>
              <w:bottom w:val="nil"/>
            </w:tcBorders>
          </w:tcPr>
          <w:p w:rsidR="00000000" w:rsidRDefault="00000000">
            <w:pPr>
              <w:pStyle w:val="a2"/>
              <w:tabs>
                <w:tab w:val="decimal" w:pos="909"/>
              </w:tabs>
            </w:pPr>
            <w:r>
              <w:t>1,176</w:t>
            </w: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在册生</w:t>
            </w:r>
          </w:p>
        </w:tc>
        <w:tc>
          <w:tcPr>
            <w:tcW w:w="820" w:type="pct"/>
            <w:tcBorders>
              <w:top w:val="nil"/>
              <w:bottom w:val="nil"/>
            </w:tcBorders>
          </w:tcPr>
          <w:p w:rsidR="00000000" w:rsidRDefault="00000000">
            <w:pPr>
              <w:pStyle w:val="a2"/>
              <w:tabs>
                <w:tab w:val="decimal" w:pos="909"/>
              </w:tabs>
            </w:pPr>
            <w:r>
              <w:t>2,158</w:t>
            </w:r>
          </w:p>
        </w:tc>
        <w:tc>
          <w:tcPr>
            <w:tcW w:w="820" w:type="pct"/>
            <w:tcBorders>
              <w:top w:val="nil"/>
              <w:bottom w:val="nil"/>
            </w:tcBorders>
          </w:tcPr>
          <w:p w:rsidR="00000000" w:rsidRDefault="00000000">
            <w:pPr>
              <w:pStyle w:val="a2"/>
              <w:tabs>
                <w:tab w:val="decimal" w:pos="909"/>
              </w:tabs>
            </w:pPr>
            <w:r>
              <w:t>6,580</w:t>
            </w:r>
          </w:p>
        </w:tc>
        <w:tc>
          <w:tcPr>
            <w:tcW w:w="820" w:type="pct"/>
            <w:tcBorders>
              <w:top w:val="nil"/>
              <w:bottom w:val="nil"/>
            </w:tcBorders>
          </w:tcPr>
          <w:p w:rsidR="00000000" w:rsidRDefault="00000000">
            <w:pPr>
              <w:pStyle w:val="a2"/>
              <w:tabs>
                <w:tab w:val="decimal" w:pos="909"/>
              </w:tabs>
            </w:pPr>
            <w:r>
              <w:t>7,968</w:t>
            </w:r>
          </w:p>
        </w:tc>
        <w:tc>
          <w:tcPr>
            <w:tcW w:w="821" w:type="pct"/>
            <w:tcBorders>
              <w:top w:val="nil"/>
              <w:bottom w:val="nil"/>
            </w:tcBorders>
          </w:tcPr>
          <w:p w:rsidR="00000000" w:rsidRDefault="00000000">
            <w:pPr>
              <w:pStyle w:val="a2"/>
              <w:tabs>
                <w:tab w:val="decimal" w:pos="909"/>
              </w:tabs>
            </w:pPr>
            <w:r>
              <w:t>9,272</w:t>
            </w: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升级生</w:t>
            </w:r>
          </w:p>
        </w:tc>
        <w:tc>
          <w:tcPr>
            <w:tcW w:w="820" w:type="pct"/>
            <w:tcBorders>
              <w:top w:val="nil"/>
              <w:bottom w:val="nil"/>
            </w:tcBorders>
          </w:tcPr>
          <w:p w:rsidR="00000000" w:rsidRDefault="00000000">
            <w:pPr>
              <w:pStyle w:val="a2"/>
              <w:tabs>
                <w:tab w:val="decimal" w:pos="909"/>
              </w:tabs>
            </w:pPr>
            <w:r>
              <w:t>1,678</w:t>
            </w:r>
          </w:p>
        </w:tc>
        <w:tc>
          <w:tcPr>
            <w:tcW w:w="820" w:type="pct"/>
            <w:tcBorders>
              <w:top w:val="nil"/>
              <w:bottom w:val="nil"/>
            </w:tcBorders>
          </w:tcPr>
          <w:p w:rsidR="00000000" w:rsidRDefault="00000000">
            <w:pPr>
              <w:pStyle w:val="a2"/>
              <w:tabs>
                <w:tab w:val="decimal" w:pos="909"/>
              </w:tabs>
            </w:pPr>
            <w:r>
              <w:t>5,488</w:t>
            </w:r>
          </w:p>
        </w:tc>
        <w:tc>
          <w:tcPr>
            <w:tcW w:w="820" w:type="pct"/>
            <w:tcBorders>
              <w:top w:val="nil"/>
              <w:bottom w:val="nil"/>
            </w:tcBorders>
          </w:tcPr>
          <w:p w:rsidR="00000000" w:rsidRDefault="00000000">
            <w:pPr>
              <w:pStyle w:val="a2"/>
              <w:tabs>
                <w:tab w:val="decimal" w:pos="909"/>
              </w:tabs>
            </w:pPr>
            <w:r>
              <w:t>6,524</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留级生</w:t>
            </w:r>
          </w:p>
        </w:tc>
        <w:tc>
          <w:tcPr>
            <w:tcW w:w="820" w:type="pct"/>
            <w:tcBorders>
              <w:top w:val="nil"/>
              <w:bottom w:val="nil"/>
            </w:tcBorders>
          </w:tcPr>
          <w:p w:rsidR="00000000" w:rsidRDefault="00000000">
            <w:pPr>
              <w:pStyle w:val="a2"/>
              <w:tabs>
                <w:tab w:val="decimal" w:pos="909"/>
              </w:tabs>
            </w:pPr>
            <w:r>
              <w:t>192</w:t>
            </w:r>
          </w:p>
        </w:tc>
        <w:tc>
          <w:tcPr>
            <w:tcW w:w="820" w:type="pct"/>
            <w:tcBorders>
              <w:top w:val="nil"/>
              <w:bottom w:val="nil"/>
            </w:tcBorders>
          </w:tcPr>
          <w:p w:rsidR="00000000" w:rsidRDefault="00000000">
            <w:pPr>
              <w:pStyle w:val="a2"/>
              <w:tabs>
                <w:tab w:val="decimal" w:pos="909"/>
              </w:tabs>
            </w:pPr>
            <w:r>
              <w:t>446</w:t>
            </w:r>
          </w:p>
        </w:tc>
        <w:tc>
          <w:tcPr>
            <w:tcW w:w="820" w:type="pct"/>
            <w:tcBorders>
              <w:top w:val="nil"/>
              <w:bottom w:val="nil"/>
            </w:tcBorders>
          </w:tcPr>
          <w:p w:rsidR="00000000" w:rsidRDefault="00000000">
            <w:pPr>
              <w:pStyle w:val="a2"/>
              <w:tabs>
                <w:tab w:val="decimal" w:pos="909"/>
              </w:tabs>
            </w:pPr>
            <w:r>
              <w:t>833</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缀学生</w:t>
            </w:r>
          </w:p>
        </w:tc>
        <w:tc>
          <w:tcPr>
            <w:tcW w:w="820" w:type="pct"/>
            <w:tcBorders>
              <w:top w:val="nil"/>
              <w:bottom w:val="nil"/>
            </w:tcBorders>
          </w:tcPr>
          <w:p w:rsidR="00000000" w:rsidRDefault="00000000">
            <w:pPr>
              <w:pStyle w:val="a2"/>
              <w:tabs>
                <w:tab w:val="decimal" w:pos="909"/>
              </w:tabs>
            </w:pPr>
            <w:r>
              <w:t>288</w:t>
            </w:r>
          </w:p>
        </w:tc>
        <w:tc>
          <w:tcPr>
            <w:tcW w:w="820" w:type="pct"/>
            <w:tcBorders>
              <w:top w:val="nil"/>
              <w:bottom w:val="nil"/>
            </w:tcBorders>
          </w:tcPr>
          <w:p w:rsidR="00000000" w:rsidRDefault="00000000">
            <w:pPr>
              <w:pStyle w:val="a2"/>
              <w:tabs>
                <w:tab w:val="decimal" w:pos="909"/>
              </w:tabs>
            </w:pPr>
            <w:r>
              <w:t>646</w:t>
            </w:r>
          </w:p>
        </w:tc>
        <w:tc>
          <w:tcPr>
            <w:tcW w:w="820" w:type="pct"/>
            <w:tcBorders>
              <w:top w:val="nil"/>
              <w:bottom w:val="nil"/>
            </w:tcBorders>
          </w:tcPr>
          <w:p w:rsidR="00000000" w:rsidRDefault="00000000">
            <w:pPr>
              <w:pStyle w:val="a2"/>
              <w:tabs>
                <w:tab w:val="decimal" w:pos="909"/>
              </w:tabs>
            </w:pPr>
            <w:r>
              <w:t>611</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大专院校</w:t>
            </w:r>
          </w:p>
        </w:tc>
        <w:tc>
          <w:tcPr>
            <w:tcW w:w="820" w:type="pct"/>
            <w:tcBorders>
              <w:top w:val="nil"/>
              <w:bottom w:val="nil"/>
            </w:tcBorders>
          </w:tcPr>
          <w:p w:rsidR="00000000" w:rsidRDefault="00000000">
            <w:pPr>
              <w:pStyle w:val="a2"/>
              <w:tabs>
                <w:tab w:val="decimal" w:pos="909"/>
              </w:tabs>
            </w:pPr>
            <w:r>
              <w:t>3</w:t>
            </w:r>
          </w:p>
        </w:tc>
        <w:tc>
          <w:tcPr>
            <w:tcW w:w="820" w:type="pct"/>
            <w:tcBorders>
              <w:top w:val="nil"/>
              <w:bottom w:val="nil"/>
            </w:tcBorders>
          </w:tcPr>
          <w:p w:rsidR="00000000" w:rsidRDefault="00000000">
            <w:pPr>
              <w:pStyle w:val="a2"/>
              <w:tabs>
                <w:tab w:val="decimal" w:pos="909"/>
              </w:tabs>
            </w:pPr>
            <w:r>
              <w:t>5</w:t>
            </w:r>
          </w:p>
        </w:tc>
        <w:tc>
          <w:tcPr>
            <w:tcW w:w="820" w:type="pct"/>
            <w:tcBorders>
              <w:top w:val="nil"/>
              <w:bottom w:val="nil"/>
            </w:tcBorders>
          </w:tcPr>
          <w:p w:rsidR="00000000" w:rsidRDefault="00000000">
            <w:pPr>
              <w:pStyle w:val="a2"/>
              <w:tabs>
                <w:tab w:val="decimal" w:pos="909"/>
              </w:tabs>
            </w:pPr>
            <w:r>
              <w:t>7</w:t>
            </w:r>
          </w:p>
        </w:tc>
        <w:tc>
          <w:tcPr>
            <w:tcW w:w="821" w:type="pct"/>
            <w:tcBorders>
              <w:top w:val="nil"/>
              <w:bottom w:val="nil"/>
            </w:tcBorders>
          </w:tcPr>
          <w:p w:rsidR="00000000" w:rsidRDefault="00000000">
            <w:pPr>
              <w:pStyle w:val="a2"/>
              <w:tabs>
                <w:tab w:val="decimal" w:pos="909"/>
              </w:tabs>
            </w:pPr>
            <w:r>
              <w:t>8</w:t>
            </w: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教师</w:t>
            </w:r>
          </w:p>
        </w:tc>
        <w:tc>
          <w:tcPr>
            <w:tcW w:w="820" w:type="pct"/>
            <w:tcBorders>
              <w:top w:val="nil"/>
              <w:bottom w:val="nil"/>
            </w:tcBorders>
          </w:tcPr>
          <w:p w:rsidR="00000000" w:rsidRDefault="00000000">
            <w:pPr>
              <w:pStyle w:val="a2"/>
              <w:tabs>
                <w:tab w:val="decimal" w:pos="909"/>
              </w:tabs>
            </w:pPr>
            <w:r>
              <w:t>94</w:t>
            </w:r>
          </w:p>
        </w:tc>
        <w:tc>
          <w:tcPr>
            <w:tcW w:w="820" w:type="pct"/>
            <w:tcBorders>
              <w:top w:val="nil"/>
              <w:bottom w:val="nil"/>
            </w:tcBorders>
          </w:tcPr>
          <w:p w:rsidR="00000000" w:rsidRDefault="00000000">
            <w:pPr>
              <w:pStyle w:val="a2"/>
              <w:tabs>
                <w:tab w:val="decimal" w:pos="909"/>
              </w:tabs>
            </w:pPr>
            <w:r>
              <w:t>153</w:t>
            </w:r>
          </w:p>
        </w:tc>
        <w:tc>
          <w:tcPr>
            <w:tcW w:w="820" w:type="pct"/>
            <w:tcBorders>
              <w:top w:val="nil"/>
              <w:bottom w:val="nil"/>
            </w:tcBorders>
          </w:tcPr>
          <w:p w:rsidR="00000000" w:rsidRDefault="00000000">
            <w:pPr>
              <w:pStyle w:val="a2"/>
              <w:tabs>
                <w:tab w:val="decimal" w:pos="909"/>
              </w:tabs>
            </w:pPr>
            <w:r>
              <w:t>210</w:t>
            </w:r>
          </w:p>
        </w:tc>
        <w:tc>
          <w:tcPr>
            <w:tcW w:w="821" w:type="pct"/>
            <w:tcBorders>
              <w:top w:val="nil"/>
              <w:bottom w:val="nil"/>
            </w:tcBorders>
          </w:tcPr>
          <w:p w:rsidR="00000000" w:rsidRDefault="00000000">
            <w:pPr>
              <w:pStyle w:val="a2"/>
              <w:tabs>
                <w:tab w:val="decimal" w:pos="909"/>
              </w:tabs>
            </w:pPr>
            <w:r>
              <w:t>220</w:t>
            </w: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在册生</w:t>
            </w:r>
          </w:p>
        </w:tc>
        <w:tc>
          <w:tcPr>
            <w:tcW w:w="820" w:type="pct"/>
            <w:tcBorders>
              <w:top w:val="nil"/>
              <w:bottom w:val="nil"/>
            </w:tcBorders>
          </w:tcPr>
          <w:p w:rsidR="00000000" w:rsidRDefault="00000000">
            <w:pPr>
              <w:pStyle w:val="a2"/>
              <w:tabs>
                <w:tab w:val="decimal" w:pos="909"/>
              </w:tabs>
            </w:pPr>
            <w:r>
              <w:t>290</w:t>
            </w:r>
          </w:p>
        </w:tc>
        <w:tc>
          <w:tcPr>
            <w:tcW w:w="820" w:type="pct"/>
            <w:tcBorders>
              <w:top w:val="nil"/>
              <w:bottom w:val="nil"/>
            </w:tcBorders>
          </w:tcPr>
          <w:p w:rsidR="00000000" w:rsidRDefault="00000000">
            <w:pPr>
              <w:pStyle w:val="a2"/>
              <w:tabs>
                <w:tab w:val="decimal" w:pos="909"/>
              </w:tabs>
            </w:pPr>
            <w:r>
              <w:t>598</w:t>
            </w:r>
          </w:p>
        </w:tc>
        <w:tc>
          <w:tcPr>
            <w:tcW w:w="820" w:type="pct"/>
            <w:tcBorders>
              <w:top w:val="nil"/>
              <w:bottom w:val="nil"/>
            </w:tcBorders>
          </w:tcPr>
          <w:p w:rsidR="00000000" w:rsidRDefault="00000000">
            <w:pPr>
              <w:pStyle w:val="a2"/>
              <w:tabs>
                <w:tab w:val="decimal" w:pos="909"/>
              </w:tabs>
            </w:pPr>
            <w:r>
              <w:t>716</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升级生</w:t>
            </w:r>
          </w:p>
        </w:tc>
        <w:tc>
          <w:tcPr>
            <w:tcW w:w="820" w:type="pct"/>
            <w:tcBorders>
              <w:top w:val="nil"/>
              <w:bottom w:val="nil"/>
            </w:tcBorders>
          </w:tcPr>
          <w:p w:rsidR="00000000" w:rsidRDefault="00000000">
            <w:pPr>
              <w:pStyle w:val="a2"/>
              <w:tabs>
                <w:tab w:val="decimal" w:pos="909"/>
              </w:tabs>
            </w:pPr>
            <w:r>
              <w:t>286</w:t>
            </w:r>
          </w:p>
        </w:tc>
        <w:tc>
          <w:tcPr>
            <w:tcW w:w="820" w:type="pct"/>
            <w:tcBorders>
              <w:top w:val="nil"/>
              <w:bottom w:val="nil"/>
            </w:tcBorders>
          </w:tcPr>
          <w:p w:rsidR="00000000" w:rsidRDefault="00000000">
            <w:pPr>
              <w:pStyle w:val="a2"/>
              <w:tabs>
                <w:tab w:val="decimal" w:pos="909"/>
              </w:tabs>
            </w:pPr>
            <w:r>
              <w:t>573</w:t>
            </w:r>
          </w:p>
        </w:tc>
        <w:tc>
          <w:tcPr>
            <w:tcW w:w="820" w:type="pct"/>
            <w:tcBorders>
              <w:top w:val="nil"/>
              <w:bottom w:val="nil"/>
            </w:tcBorders>
          </w:tcPr>
          <w:p w:rsidR="00000000" w:rsidRDefault="00000000">
            <w:pPr>
              <w:pStyle w:val="a2"/>
              <w:tabs>
                <w:tab w:val="decimal" w:pos="909"/>
              </w:tabs>
            </w:pPr>
            <w:r>
              <w:t>543</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bottom w:val="nil"/>
            </w:tcBorders>
          </w:tcPr>
          <w:p w:rsidR="00000000" w:rsidRDefault="00000000">
            <w:pPr>
              <w:pStyle w:val="a2"/>
              <w:rPr>
                <w:rFonts w:hint="eastAsia"/>
              </w:rPr>
            </w:pPr>
            <w:r>
              <w:rPr>
                <w:rFonts w:hint="eastAsia"/>
              </w:rPr>
              <w:t>留级生</w:t>
            </w:r>
          </w:p>
        </w:tc>
        <w:tc>
          <w:tcPr>
            <w:tcW w:w="820" w:type="pct"/>
            <w:tcBorders>
              <w:top w:val="nil"/>
              <w:bottom w:val="nil"/>
            </w:tcBorders>
          </w:tcPr>
          <w:p w:rsidR="00000000" w:rsidRDefault="00000000">
            <w:pPr>
              <w:pStyle w:val="a2"/>
              <w:tabs>
                <w:tab w:val="decimal" w:pos="909"/>
              </w:tabs>
            </w:pPr>
            <w:r>
              <w:t>4</w:t>
            </w:r>
          </w:p>
        </w:tc>
        <w:tc>
          <w:tcPr>
            <w:tcW w:w="820" w:type="pct"/>
            <w:tcBorders>
              <w:top w:val="nil"/>
              <w:bottom w:val="nil"/>
            </w:tcBorders>
          </w:tcPr>
          <w:p w:rsidR="00000000" w:rsidRDefault="00000000">
            <w:pPr>
              <w:pStyle w:val="a2"/>
              <w:tabs>
                <w:tab w:val="decimal" w:pos="909"/>
              </w:tabs>
            </w:pPr>
            <w:r>
              <w:t>22</w:t>
            </w:r>
          </w:p>
        </w:tc>
        <w:tc>
          <w:tcPr>
            <w:tcW w:w="820" w:type="pct"/>
            <w:tcBorders>
              <w:top w:val="nil"/>
              <w:bottom w:val="nil"/>
            </w:tcBorders>
          </w:tcPr>
          <w:p w:rsidR="00000000" w:rsidRDefault="00000000">
            <w:pPr>
              <w:pStyle w:val="a2"/>
              <w:tabs>
                <w:tab w:val="decimal" w:pos="909"/>
              </w:tabs>
            </w:pPr>
            <w:r>
              <w:t>102</w:t>
            </w:r>
          </w:p>
        </w:tc>
        <w:tc>
          <w:tcPr>
            <w:tcW w:w="821" w:type="pct"/>
            <w:tcBorders>
              <w:top w:val="nil"/>
              <w:bottom w:val="nil"/>
            </w:tcBorders>
          </w:tcPr>
          <w:p w:rsidR="00000000" w:rsidRDefault="00000000">
            <w:pPr>
              <w:pStyle w:val="a2"/>
              <w:tabs>
                <w:tab w:val="decimal" w:pos="909"/>
              </w:tabs>
            </w:pPr>
          </w:p>
        </w:tc>
      </w:tr>
      <w:tr w:rsidR="00000000">
        <w:tblPrEx>
          <w:tblCellMar>
            <w:top w:w="0" w:type="dxa"/>
            <w:bottom w:w="0" w:type="dxa"/>
          </w:tblCellMar>
        </w:tblPrEx>
        <w:tc>
          <w:tcPr>
            <w:tcW w:w="1719" w:type="pct"/>
            <w:tcBorders>
              <w:top w:val="nil"/>
            </w:tcBorders>
          </w:tcPr>
          <w:p w:rsidR="00000000" w:rsidRDefault="00000000">
            <w:pPr>
              <w:pStyle w:val="a2"/>
              <w:rPr>
                <w:rFonts w:hint="eastAsia"/>
              </w:rPr>
            </w:pPr>
            <w:r>
              <w:rPr>
                <w:rFonts w:hint="eastAsia"/>
              </w:rPr>
              <w:t>缀学生</w:t>
            </w:r>
          </w:p>
        </w:tc>
        <w:tc>
          <w:tcPr>
            <w:tcW w:w="820" w:type="pct"/>
            <w:tcBorders>
              <w:top w:val="nil"/>
            </w:tcBorders>
          </w:tcPr>
          <w:p w:rsidR="00000000" w:rsidRDefault="00000000">
            <w:pPr>
              <w:pStyle w:val="a2"/>
              <w:tabs>
                <w:tab w:val="decimal" w:pos="909"/>
              </w:tabs>
            </w:pPr>
            <w:r>
              <w:t>0</w:t>
            </w:r>
          </w:p>
        </w:tc>
        <w:tc>
          <w:tcPr>
            <w:tcW w:w="820" w:type="pct"/>
            <w:tcBorders>
              <w:top w:val="nil"/>
            </w:tcBorders>
          </w:tcPr>
          <w:p w:rsidR="00000000" w:rsidRDefault="00000000">
            <w:pPr>
              <w:pStyle w:val="a2"/>
              <w:tabs>
                <w:tab w:val="decimal" w:pos="909"/>
              </w:tabs>
            </w:pPr>
            <w:r>
              <w:t>3</w:t>
            </w:r>
          </w:p>
        </w:tc>
        <w:tc>
          <w:tcPr>
            <w:tcW w:w="820" w:type="pct"/>
            <w:tcBorders>
              <w:top w:val="nil"/>
            </w:tcBorders>
          </w:tcPr>
          <w:p w:rsidR="00000000" w:rsidRDefault="00000000">
            <w:pPr>
              <w:pStyle w:val="a2"/>
              <w:tabs>
                <w:tab w:val="decimal" w:pos="909"/>
              </w:tabs>
            </w:pPr>
            <w:r>
              <w:t>71</w:t>
            </w:r>
          </w:p>
        </w:tc>
        <w:tc>
          <w:tcPr>
            <w:tcW w:w="821" w:type="pct"/>
            <w:tcBorders>
              <w:top w:val="nil"/>
            </w:tcBorders>
          </w:tcPr>
          <w:p w:rsidR="00000000" w:rsidRDefault="00000000">
            <w:pPr>
              <w:pStyle w:val="a2"/>
              <w:tabs>
                <w:tab w:val="decimal" w:pos="909"/>
              </w:tabs>
            </w:pPr>
          </w:p>
        </w:tc>
      </w:tr>
    </w:tbl>
    <w:p w:rsidR="00000000" w:rsidRDefault="00000000">
      <w:pPr>
        <w:pStyle w:val="FootnoteText"/>
        <w:spacing w:before="280" w:after="320"/>
        <w:rPr>
          <w:rFonts w:hint="eastAsia"/>
          <w:iCs/>
        </w:rPr>
      </w:pPr>
      <w:r>
        <w:rPr>
          <w:rFonts w:hint="eastAsia"/>
          <w:u w:val="single"/>
        </w:rPr>
        <w:t>资料来源</w:t>
      </w:r>
      <w:r>
        <w:t>：</w:t>
      </w:r>
      <w:r>
        <w:rPr>
          <w:rFonts w:hint="eastAsia"/>
        </w:rPr>
        <w:t>《文化间双语教育统计年鉴》。</w:t>
      </w:r>
    </w:p>
    <w:p w:rsidR="00000000" w:rsidRDefault="00000000">
      <w:pPr>
        <w:pStyle w:val="Heading4"/>
        <w:rPr>
          <w:rFonts w:eastAsia="KaiTi_GB2312" w:hint="eastAsia"/>
          <w:snapToGrid/>
          <w:spacing w:val="0"/>
          <w:u w:val="none"/>
        </w:rPr>
      </w:pPr>
      <w:r>
        <w:rPr>
          <w:rFonts w:eastAsia="KaiTi_GB2312" w:hint="eastAsia"/>
          <w:snapToGrid/>
          <w:spacing w:val="0"/>
          <w:u w:val="none"/>
        </w:rPr>
        <w:t>教师状况</w:t>
      </w:r>
    </w:p>
    <w:p w:rsidR="00000000" w:rsidRDefault="00000000">
      <w:pPr>
        <w:rPr>
          <w:rFonts w:hint="eastAsia"/>
        </w:rPr>
      </w:pPr>
      <w:r>
        <w:rPr>
          <w:rFonts w:hint="eastAsia"/>
        </w:rPr>
        <w:tab/>
        <w:t xml:space="preserve">531.  </w:t>
      </w:r>
      <w:r>
        <w:rPr>
          <w:rFonts w:hint="eastAsia"/>
        </w:rPr>
        <w:t>教学工作人员</w:t>
      </w:r>
      <w:r>
        <w:rPr>
          <w:rFonts w:hint="eastAsia"/>
        </w:rPr>
        <w:t>(</w:t>
      </w:r>
      <w:r>
        <w:rPr>
          <w:rFonts w:hint="eastAsia"/>
        </w:rPr>
        <w:t>教师</w:t>
      </w:r>
      <w:r>
        <w:rPr>
          <w:rFonts w:hint="eastAsia"/>
        </w:rPr>
        <w:t>)</w:t>
      </w:r>
      <w:r>
        <w:rPr>
          <w:rFonts w:hint="eastAsia"/>
        </w:rPr>
        <w:t>的薪金由《全国教学专业和薪金表法》确定和调节，而行政和事务职员的薪金则由《公务员和公共行政法》确定。特别制度决定自治和部级机构薪金表。由于此一条例，教学人员的薪级一直在增长。</w:t>
      </w:r>
    </w:p>
    <w:p w:rsidR="00000000" w:rsidRDefault="00000000">
      <w:pPr>
        <w:rPr>
          <w:rFonts w:hint="eastAsia"/>
        </w:rPr>
      </w:pPr>
      <w:r>
        <w:rPr>
          <w:rFonts w:hint="eastAsia"/>
        </w:rPr>
        <w:tab/>
        <w:t xml:space="preserve">532.  </w:t>
      </w:r>
      <w:r>
        <w:rPr>
          <w:rFonts w:hint="eastAsia"/>
        </w:rPr>
        <w:t>《全国教学专业和薪金表法》及条例旨在保护教学专业人员，调节教育专业人员的薪金政策，并根据教师要求和政府预算进行修改。加拉帕戈斯省还有保护教师薪金和红利的特定条例。</w:t>
      </w:r>
    </w:p>
    <w:p w:rsidR="00000000" w:rsidRDefault="00000000">
      <w:pPr>
        <w:rPr>
          <w:rFonts w:hint="eastAsia"/>
        </w:rPr>
      </w:pPr>
      <w:r>
        <w:rPr>
          <w:rFonts w:hint="eastAsia"/>
        </w:rPr>
        <w:tab/>
        <w:t xml:space="preserve">533.  </w:t>
      </w:r>
      <w:r>
        <w:rPr>
          <w:rFonts w:hint="eastAsia"/>
        </w:rPr>
        <w:t>公务员的薪资增长并非总能与教师的薪资增长相等。然而，必须指出，教师薪资低，因此教师每年罢课要求增加工资和准时付薪是众所周知的。</w:t>
      </w:r>
    </w:p>
    <w:p w:rsidR="00000000" w:rsidRDefault="00000000">
      <w:pPr>
        <w:rPr>
          <w:rFonts w:hint="eastAsia"/>
        </w:rPr>
      </w:pPr>
      <w:r>
        <w:rPr>
          <w:rFonts w:hint="eastAsia"/>
        </w:rPr>
        <w:tab/>
        <w:t xml:space="preserve">534.  </w:t>
      </w:r>
      <w:r>
        <w:rPr>
          <w:rFonts w:hint="eastAsia"/>
        </w:rPr>
        <w:t>由于近年以来国家资助的教育部门存在各种问题，私立教育设施数量增加。因此，可以说，在设立新学校方面没有限制。</w:t>
      </w:r>
    </w:p>
    <w:p w:rsidR="00000000" w:rsidRDefault="00000000">
      <w:pPr>
        <w:spacing w:after="240"/>
        <w:rPr>
          <w:rFonts w:hint="eastAsia"/>
        </w:rPr>
      </w:pPr>
      <w:r>
        <w:rPr>
          <w:rFonts w:hint="eastAsia"/>
        </w:rPr>
        <w:tab/>
        <w:t xml:space="preserve">535.  </w:t>
      </w:r>
      <w:r>
        <w:rPr>
          <w:rFonts w:hint="eastAsia"/>
        </w:rPr>
        <w:t>没有采取任何影响厄瓜多尔人享受免费教育权利的行动。相反，正在作出各种努力，确保提供高质量的教育机会，以满足主要社会需要。</w:t>
      </w:r>
    </w:p>
    <w:p w:rsidR="00000000" w:rsidRDefault="00000000">
      <w:pPr>
        <w:pStyle w:val="Heading4"/>
        <w:rPr>
          <w:rFonts w:eastAsia="KaiTi_GB2312" w:hint="eastAsia"/>
          <w:snapToGrid/>
          <w:spacing w:val="0"/>
          <w:u w:val="none"/>
        </w:rPr>
      </w:pPr>
      <w:r>
        <w:rPr>
          <w:rFonts w:eastAsia="KaiTi_GB2312" w:hint="eastAsia"/>
          <w:snapToGrid/>
          <w:spacing w:val="0"/>
          <w:u w:val="none"/>
        </w:rPr>
        <w:t>国际援助</w:t>
      </w:r>
    </w:p>
    <w:p w:rsidR="00000000" w:rsidRDefault="00000000">
      <w:pPr>
        <w:rPr>
          <w:rFonts w:hint="eastAsia"/>
        </w:rPr>
      </w:pPr>
      <w:r>
        <w:rPr>
          <w:rFonts w:hint="eastAsia"/>
        </w:rPr>
        <w:tab/>
        <w:t xml:space="preserve">536.  </w:t>
      </w:r>
      <w:r>
        <w:rPr>
          <w:rFonts w:hint="eastAsia"/>
        </w:rPr>
        <w:t>迄今为止，由于诸如儿童基金会和</w:t>
      </w:r>
      <w:r>
        <w:rPr>
          <w:rFonts w:hint="eastAsia"/>
        </w:rPr>
        <w:t>EBI-GTZ-HANS SEIDEL</w:t>
      </w:r>
      <w:r>
        <w:rPr>
          <w:rFonts w:hint="eastAsia"/>
        </w:rPr>
        <w:t>项目、</w:t>
      </w:r>
      <w:r>
        <w:rPr>
          <w:rFonts w:hint="eastAsia"/>
        </w:rPr>
        <w:t>IBIS</w:t>
      </w:r>
      <w:r>
        <w:rPr>
          <w:rFonts w:hint="eastAsia"/>
          <w:spacing w:val="-50"/>
        </w:rPr>
        <w:t>―</w:t>
      </w:r>
      <w:r>
        <w:rPr>
          <w:rFonts w:hint="eastAsia"/>
        </w:rPr>
        <w:t>―厄瓜多尔土著人联合会</w:t>
      </w:r>
      <w:r>
        <w:rPr>
          <w:rFonts w:hint="eastAsia"/>
          <w:spacing w:val="-50"/>
        </w:rPr>
        <w:t>―</w:t>
      </w:r>
      <w:r>
        <w:rPr>
          <w:rFonts w:hint="eastAsia"/>
        </w:rPr>
        <w:t>―丹麦项目、</w:t>
      </w:r>
      <w:r>
        <w:rPr>
          <w:rFonts w:hint="eastAsia"/>
        </w:rPr>
        <w:t>PROMECEB</w:t>
      </w:r>
      <w:r>
        <w:rPr>
          <w:rFonts w:hint="eastAsia"/>
        </w:rPr>
        <w:t>和</w:t>
      </w:r>
      <w:r>
        <w:rPr>
          <w:rFonts w:hint="eastAsia"/>
        </w:rPr>
        <w:t>834</w:t>
      </w:r>
      <w:r>
        <w:rPr>
          <w:rFonts w:hint="eastAsia"/>
          <w:spacing w:val="-50"/>
        </w:rPr>
        <w:t>―</w:t>
      </w:r>
      <w:r>
        <w:rPr>
          <w:rFonts w:hint="eastAsia"/>
        </w:rPr>
        <w:t>―媒体专家委员会</w:t>
      </w:r>
      <w:r>
        <w:rPr>
          <w:rFonts w:hint="eastAsia"/>
          <w:spacing w:val="-50"/>
        </w:rPr>
        <w:t>―</w:t>
      </w:r>
      <w:r>
        <w:rPr>
          <w:rFonts w:hint="eastAsia"/>
        </w:rPr>
        <w:t>―工发理事会项目、西方石油公司和马克萨斯石油公司、国际计划、世界展望和援外社等国际组织的主要贡献，使发展和加强文化间双语教育成为可能。</w:t>
      </w:r>
    </w:p>
    <w:p w:rsidR="00000000" w:rsidRDefault="00000000">
      <w:pPr>
        <w:rPr>
          <w:rFonts w:hint="eastAsia"/>
        </w:rPr>
      </w:pPr>
      <w:r>
        <w:rPr>
          <w:rFonts w:hint="eastAsia"/>
        </w:rPr>
        <w:tab/>
        <w:t xml:space="preserve">537.  </w:t>
      </w:r>
      <w:r>
        <w:rPr>
          <w:rFonts w:hint="eastAsia"/>
        </w:rPr>
        <w:t>受益者为属于厄瓜多尔</w:t>
      </w:r>
      <w:r>
        <w:rPr>
          <w:rFonts w:hint="eastAsia"/>
        </w:rPr>
        <w:t>11</w:t>
      </w:r>
      <w:r>
        <w:rPr>
          <w:rFonts w:hint="eastAsia"/>
        </w:rPr>
        <w:t>个土著团体的一般和基础教育中的教师、儿童和青年。为所有从事教学但没有教学证书的小学教师举办了证书和专业课程。</w:t>
      </w:r>
    </w:p>
    <w:p w:rsidR="00000000" w:rsidRDefault="00000000">
      <w:pPr>
        <w:rPr>
          <w:rFonts w:hint="eastAsia"/>
        </w:rPr>
      </w:pPr>
      <w:r>
        <w:rPr>
          <w:rFonts w:hint="eastAsia"/>
        </w:rPr>
        <w:tab/>
        <w:t xml:space="preserve">538.  </w:t>
      </w:r>
      <w:r>
        <w:rPr>
          <w:rFonts w:hint="eastAsia"/>
        </w:rPr>
        <w:t>下列是最重要的领域：</w:t>
      </w:r>
    </w:p>
    <w:p w:rsidR="00000000" w:rsidRDefault="00000000">
      <w:pPr>
        <w:numPr>
          <w:ilvl w:val="0"/>
          <w:numId w:val="197"/>
        </w:numPr>
        <w:rPr>
          <w:rFonts w:hint="eastAsia"/>
        </w:rPr>
      </w:pPr>
      <w:r>
        <w:rPr>
          <w:rFonts w:hint="eastAsia"/>
        </w:rPr>
        <w:t>培训文化间双语教育部人力资源；</w:t>
      </w:r>
    </w:p>
    <w:p w:rsidR="00000000" w:rsidRDefault="00000000">
      <w:pPr>
        <w:numPr>
          <w:ilvl w:val="0"/>
          <w:numId w:val="197"/>
        </w:numPr>
        <w:rPr>
          <w:rFonts w:hint="eastAsia"/>
        </w:rPr>
      </w:pPr>
      <w:r>
        <w:rPr>
          <w:rFonts w:hint="eastAsia"/>
        </w:rPr>
        <w:t>技术咨询；</w:t>
      </w:r>
    </w:p>
    <w:p w:rsidR="00000000" w:rsidRDefault="00000000">
      <w:pPr>
        <w:numPr>
          <w:ilvl w:val="0"/>
          <w:numId w:val="197"/>
        </w:numPr>
        <w:rPr>
          <w:rFonts w:hint="eastAsia"/>
        </w:rPr>
      </w:pPr>
      <w:r>
        <w:rPr>
          <w:rFonts w:hint="eastAsia"/>
        </w:rPr>
        <w:t>分发和公布技术文件；</w:t>
      </w:r>
    </w:p>
    <w:p w:rsidR="00000000" w:rsidRDefault="00000000">
      <w:pPr>
        <w:numPr>
          <w:ilvl w:val="0"/>
          <w:numId w:val="197"/>
        </w:numPr>
        <w:rPr>
          <w:rFonts w:hint="eastAsia"/>
        </w:rPr>
      </w:pPr>
      <w:r>
        <w:rPr>
          <w:rFonts w:hint="eastAsia"/>
        </w:rPr>
        <w:t>编写教学资料；</w:t>
      </w:r>
    </w:p>
    <w:p w:rsidR="00000000" w:rsidRDefault="00000000">
      <w:pPr>
        <w:numPr>
          <w:ilvl w:val="0"/>
          <w:numId w:val="197"/>
        </w:numPr>
        <w:rPr>
          <w:rFonts w:hint="eastAsia"/>
        </w:rPr>
      </w:pPr>
      <w:r>
        <w:rPr>
          <w:rFonts w:hint="eastAsia"/>
        </w:rPr>
        <w:t>出版教学课本；</w:t>
      </w:r>
    </w:p>
    <w:p w:rsidR="00000000" w:rsidRDefault="00000000">
      <w:pPr>
        <w:numPr>
          <w:ilvl w:val="0"/>
          <w:numId w:val="197"/>
        </w:numPr>
        <w:rPr>
          <w:rFonts w:hint="eastAsia"/>
        </w:rPr>
      </w:pPr>
      <w:r>
        <w:rPr>
          <w:rFonts w:hint="eastAsia"/>
        </w:rPr>
        <w:t>研究文化间双语教育；</w:t>
      </w:r>
    </w:p>
    <w:p w:rsidR="00000000" w:rsidRDefault="00000000">
      <w:pPr>
        <w:numPr>
          <w:ilvl w:val="0"/>
          <w:numId w:val="197"/>
        </w:numPr>
        <w:rPr>
          <w:rFonts w:hint="eastAsia"/>
        </w:rPr>
      </w:pPr>
      <w:r>
        <w:rPr>
          <w:rFonts w:hint="eastAsia"/>
        </w:rPr>
        <w:t>国际课程；</w:t>
      </w:r>
    </w:p>
    <w:p w:rsidR="00000000" w:rsidRDefault="00000000">
      <w:pPr>
        <w:numPr>
          <w:ilvl w:val="0"/>
          <w:numId w:val="197"/>
        </w:numPr>
        <w:rPr>
          <w:rFonts w:hint="eastAsia"/>
        </w:rPr>
      </w:pPr>
      <w:r>
        <w:rPr>
          <w:rFonts w:hint="eastAsia"/>
        </w:rPr>
        <w:t>支助教育基础设施；</w:t>
      </w:r>
    </w:p>
    <w:p w:rsidR="00000000" w:rsidRDefault="00000000">
      <w:pPr>
        <w:numPr>
          <w:ilvl w:val="0"/>
          <w:numId w:val="197"/>
        </w:numPr>
        <w:rPr>
          <w:rFonts w:hint="eastAsia"/>
        </w:rPr>
      </w:pPr>
      <w:r>
        <w:rPr>
          <w:rFonts w:hint="eastAsia"/>
        </w:rPr>
        <w:t>发展生产性技术；</w:t>
      </w:r>
    </w:p>
    <w:p w:rsidR="00000000" w:rsidRDefault="00000000">
      <w:pPr>
        <w:numPr>
          <w:ilvl w:val="0"/>
          <w:numId w:val="197"/>
        </w:numPr>
        <w:rPr>
          <w:rFonts w:hint="eastAsia"/>
        </w:rPr>
      </w:pPr>
      <w:r>
        <w:rPr>
          <w:rFonts w:hint="eastAsia"/>
        </w:rPr>
        <w:t>在生产中心应用教学资源；</w:t>
      </w:r>
    </w:p>
    <w:p w:rsidR="00000000" w:rsidRDefault="00000000">
      <w:pPr>
        <w:numPr>
          <w:ilvl w:val="0"/>
          <w:numId w:val="197"/>
        </w:numPr>
        <w:rPr>
          <w:rFonts w:hint="eastAsia"/>
        </w:rPr>
      </w:pPr>
      <w:r>
        <w:rPr>
          <w:rFonts w:hint="eastAsia"/>
        </w:rPr>
        <w:t>编制广播电台和电视节目。</w:t>
      </w:r>
    </w:p>
    <w:p w:rsidR="00000000" w:rsidRDefault="00000000">
      <w:pPr>
        <w:rPr>
          <w:rFonts w:hint="eastAsia"/>
        </w:rPr>
      </w:pPr>
      <w:r>
        <w:rPr>
          <w:rFonts w:hint="eastAsia"/>
        </w:rPr>
        <w:tab/>
        <w:t xml:space="preserve">539.  </w:t>
      </w:r>
      <w:r>
        <w:rPr>
          <w:rFonts w:hint="eastAsia"/>
        </w:rPr>
        <w:t>评价：国际组织参与文化间双语教育是对执行旨在改进教育质量和土著人民生活质量的教育项目的非常宝贵的贡献，没有它，就不可能实现全国正规和特殊教育部及教育和文化部所确定的各项目标。</w:t>
      </w:r>
    </w:p>
    <w:p w:rsidR="00000000" w:rsidRDefault="00000000">
      <w:pPr>
        <w:rPr>
          <w:rFonts w:hint="eastAsia"/>
        </w:rPr>
      </w:pPr>
      <w:r>
        <w:rPr>
          <w:rFonts w:hint="eastAsia"/>
        </w:rPr>
        <w:tab/>
        <w:t xml:space="preserve">540.  </w:t>
      </w:r>
      <w:r>
        <w:rPr>
          <w:rFonts w:hint="eastAsia"/>
        </w:rPr>
        <w:t>特殊教育：国际组织的参与。教科文组织支助诸如培训和装备一些特殊教育设施等单独方案。目前，教科文组织正在为基多市的四个教育设施提供教育一体化方案支助。</w:t>
      </w:r>
    </w:p>
    <w:p w:rsidR="00000000" w:rsidRDefault="00000000">
      <w:pPr>
        <w:rPr>
          <w:rFonts w:hint="eastAsia"/>
        </w:rPr>
      </w:pPr>
      <w:r>
        <w:rPr>
          <w:rFonts w:hint="eastAsia"/>
        </w:rPr>
        <w:tab/>
        <w:t>541.  CONUEP</w:t>
      </w:r>
      <w:r>
        <w:rPr>
          <w:rFonts w:hint="eastAsia"/>
        </w:rPr>
        <w:t>：在开展有关大学和理工院校宗旨和职能活动方面获得的国际合作非常有限；</w:t>
      </w:r>
      <w:r>
        <w:rPr>
          <w:rFonts w:hint="eastAsia"/>
        </w:rPr>
        <w:t>CONUEP</w:t>
      </w:r>
      <w:r>
        <w:rPr>
          <w:rFonts w:hint="eastAsia"/>
        </w:rPr>
        <w:t>和若干大学正在努力维护与国际组织的关系和协定，并与友好国家开展特定项目。</w:t>
      </w:r>
    </w:p>
    <w:p w:rsidR="00000000" w:rsidRDefault="00000000">
      <w:pPr>
        <w:rPr>
          <w:rFonts w:hint="eastAsia"/>
        </w:rPr>
      </w:pPr>
      <w:r>
        <w:rPr>
          <w:rFonts w:hint="eastAsia"/>
        </w:rPr>
        <w:tab/>
        <w:t xml:space="preserve">542.  </w:t>
      </w:r>
      <w:r>
        <w:rPr>
          <w:rFonts w:hint="eastAsia"/>
        </w:rPr>
        <w:t>为了实施改进和扩展技术教育项目</w:t>
      </w:r>
      <w:r>
        <w:rPr>
          <w:rFonts w:hint="eastAsia"/>
        </w:rPr>
        <w:t>(PROMEET</w:t>
      </w:r>
      <w:r>
        <w:rPr>
          <w:rFonts w:hint="eastAsia"/>
        </w:rPr>
        <w:t>一和</w:t>
      </w:r>
      <w:r>
        <w:rPr>
          <w:rFonts w:hint="eastAsia"/>
        </w:rPr>
        <w:t>PROMEET</w:t>
      </w:r>
      <w:r>
        <w:rPr>
          <w:rFonts w:hint="eastAsia"/>
        </w:rPr>
        <w:t>二</w:t>
      </w:r>
      <w:r>
        <w:rPr>
          <w:rFonts w:hint="eastAsia"/>
        </w:rPr>
        <w:t>)</w:t>
      </w:r>
      <w:r>
        <w:rPr>
          <w:rFonts w:hint="eastAsia"/>
        </w:rPr>
        <w:t>，厄瓜多尔共和国和工发理事会缔结的第</w:t>
      </w:r>
      <w:r>
        <w:rPr>
          <w:rFonts w:hint="eastAsia"/>
        </w:rPr>
        <w:t>618 SF/EC</w:t>
      </w:r>
      <w:r>
        <w:rPr>
          <w:rFonts w:hint="eastAsia"/>
        </w:rPr>
        <w:t>和第</w:t>
      </w:r>
      <w:r>
        <w:rPr>
          <w:rFonts w:hint="eastAsia"/>
        </w:rPr>
        <w:t>792 SF/EC</w:t>
      </w:r>
      <w:r>
        <w:rPr>
          <w:rFonts w:hint="eastAsia"/>
        </w:rPr>
        <w:t>号贷款合约有利于改进次级系统和基础设施、设备和人力资源培训的质量，使技术教育受益。</w:t>
      </w:r>
    </w:p>
    <w:p w:rsidR="00000000" w:rsidRDefault="00000000">
      <w:pPr>
        <w:rPr>
          <w:rFonts w:hint="eastAsia"/>
        </w:rPr>
      </w:pPr>
      <w:r>
        <w:rPr>
          <w:rFonts w:hint="eastAsia"/>
        </w:rPr>
        <w:tab/>
        <w:t xml:space="preserve">543.  </w:t>
      </w:r>
      <w:r>
        <w:rPr>
          <w:rFonts w:hint="eastAsia"/>
        </w:rPr>
        <w:t>不久将在</w:t>
      </w:r>
      <w:r>
        <w:rPr>
          <w:rFonts w:hint="eastAsia"/>
        </w:rPr>
        <w:t>L</w:t>
      </w:r>
      <w:r>
        <w:t>oja</w:t>
      </w:r>
      <w:r>
        <w:rPr>
          <w:rFonts w:hint="eastAsia"/>
        </w:rPr>
        <w:t>省实施加强农业和渔业技术教育的项目，资金来自比利时政府通过佛兰芒发展合作和技术援助协会</w:t>
      </w:r>
      <w:r>
        <w:rPr>
          <w:rFonts w:hint="eastAsia"/>
        </w:rPr>
        <w:t>(VVOB)</w:t>
      </w:r>
      <w:r>
        <w:rPr>
          <w:rFonts w:hint="eastAsia"/>
        </w:rPr>
        <w:t>以</w:t>
      </w:r>
      <w:r>
        <w:rPr>
          <w:rFonts w:hint="eastAsia"/>
        </w:rPr>
        <w:t>110</w:t>
      </w:r>
      <w:r>
        <w:rPr>
          <w:rFonts w:hint="eastAsia"/>
        </w:rPr>
        <w:t>万美元无偿贷款的形式提供的双边援助。</w:t>
      </w:r>
    </w:p>
    <w:p w:rsidR="00000000" w:rsidRDefault="00000000">
      <w:pPr>
        <w:spacing w:after="320"/>
        <w:rPr>
          <w:rFonts w:hint="eastAsia"/>
        </w:rPr>
      </w:pPr>
      <w:r>
        <w:rPr>
          <w:rFonts w:hint="eastAsia"/>
        </w:rPr>
        <w:tab/>
        <w:t xml:space="preserve">544.  </w:t>
      </w:r>
      <w:r>
        <w:rPr>
          <w:rFonts w:hint="eastAsia"/>
        </w:rPr>
        <w:t>尤其是在乡村地区和技术教育领域，尽管作出扩展努力，但由于实施</w:t>
      </w:r>
      <w:r>
        <w:rPr>
          <w:rFonts w:hint="eastAsia"/>
        </w:rPr>
        <w:t>AMER-PROMEET</w:t>
      </w:r>
      <w:r>
        <w:rPr>
          <w:rFonts w:hint="eastAsia"/>
        </w:rPr>
        <w:t>、</w:t>
      </w:r>
      <w:r>
        <w:rPr>
          <w:rFonts w:hint="eastAsia"/>
        </w:rPr>
        <w:t>PROMECEB</w:t>
      </w:r>
      <w:r>
        <w:rPr>
          <w:rFonts w:hint="eastAsia"/>
        </w:rPr>
        <w:t>和</w:t>
      </w:r>
      <w:r>
        <w:rPr>
          <w:rFonts w:hint="eastAsia"/>
        </w:rPr>
        <w:t>EB-PRODEC</w:t>
      </w:r>
      <w:r>
        <w:rPr>
          <w:rFonts w:hint="eastAsia"/>
        </w:rPr>
        <w:t>项目，学校房舍、设备、课本和教育技术仍然缺口巨大。</w:t>
      </w:r>
      <w:r>
        <w:rPr>
          <w:rFonts w:hint="eastAsia"/>
          <w:b/>
          <w:vertAlign w:val="superscript"/>
        </w:rPr>
        <w:t>76</w:t>
      </w:r>
    </w:p>
    <w:p w:rsidR="00000000" w:rsidRDefault="00000000">
      <w:pPr>
        <w:pStyle w:val="Heading3"/>
        <w:spacing w:after="160"/>
        <w:rPr>
          <w:rFonts w:hint="eastAsia"/>
        </w:rPr>
      </w:pPr>
      <w:r>
        <w:rPr>
          <w:rFonts w:hint="eastAsia"/>
        </w:rPr>
        <w:t>第</w:t>
      </w:r>
      <w:r>
        <w:t xml:space="preserve"> </w:t>
      </w:r>
      <w:r>
        <w:rPr>
          <w:rFonts w:hint="eastAsia"/>
        </w:rPr>
        <w:t>十四</w:t>
      </w:r>
      <w:r>
        <w:t xml:space="preserve"> </w:t>
      </w:r>
      <w:r>
        <w:rPr>
          <w:rFonts w:hint="eastAsia"/>
        </w:rPr>
        <w:t>条</w:t>
      </w:r>
    </w:p>
    <w:p w:rsidR="00000000" w:rsidRDefault="00000000">
      <w:pPr>
        <w:pStyle w:val="Heading4"/>
        <w:rPr>
          <w:rFonts w:hint="eastAsia"/>
        </w:rPr>
      </w:pPr>
      <w:r>
        <w:rPr>
          <w:rFonts w:hint="eastAsia"/>
        </w:rPr>
        <w:t>免费基础教育</w:t>
      </w:r>
    </w:p>
    <w:p w:rsidR="00000000" w:rsidRDefault="00000000">
      <w:pPr>
        <w:spacing w:after="320"/>
        <w:rPr>
          <w:rFonts w:hint="eastAsia"/>
        </w:rPr>
      </w:pPr>
      <w:r>
        <w:rPr>
          <w:rFonts w:hint="eastAsia"/>
        </w:rPr>
        <w:tab/>
        <w:t xml:space="preserve">545.  </w:t>
      </w:r>
      <w:r>
        <w:rPr>
          <w:rFonts w:hint="eastAsia"/>
        </w:rPr>
        <w:t>正如本报告与《公约》第</w:t>
      </w:r>
      <w:r>
        <w:rPr>
          <w:rFonts w:hint="eastAsia"/>
        </w:rPr>
        <w:t>13</w:t>
      </w:r>
      <w:r>
        <w:rPr>
          <w:rFonts w:hint="eastAsia"/>
        </w:rPr>
        <w:t>条有关的部分所指出，《宪法》第</w:t>
      </w:r>
      <w:r>
        <w:rPr>
          <w:rFonts w:hint="eastAsia"/>
        </w:rPr>
        <w:t>67</w:t>
      </w:r>
      <w:r>
        <w:rPr>
          <w:rFonts w:hint="eastAsia"/>
        </w:rPr>
        <w:t>条规定所有厄瓜多尔人均有免费受教育的权利：“各级公立教育均应政教分立；小学以下程度为义务教育，学士或同等学位以下各级教育免费。公立学校应免费向所有需要教育的人士免费提供社会服务。生活极端贫穷的学生将获得特别补贴。”</w:t>
      </w:r>
    </w:p>
    <w:p w:rsidR="00000000" w:rsidRDefault="00000000">
      <w:pPr>
        <w:pStyle w:val="Heading3"/>
        <w:rPr>
          <w:rFonts w:hint="eastAsia"/>
        </w:rPr>
      </w:pPr>
      <w:r>
        <w:rPr>
          <w:rFonts w:hint="eastAsia"/>
        </w:rPr>
        <w:t>第</w:t>
      </w:r>
      <w:r>
        <w:t xml:space="preserve"> </w:t>
      </w:r>
      <w:r>
        <w:rPr>
          <w:rFonts w:hint="eastAsia"/>
        </w:rPr>
        <w:t>十五</w:t>
      </w:r>
      <w:r>
        <w:t xml:space="preserve"> </w:t>
      </w:r>
      <w:r>
        <w:rPr>
          <w:rFonts w:hint="eastAsia"/>
        </w:rPr>
        <w:t>条</w:t>
      </w:r>
    </w:p>
    <w:p w:rsidR="00000000" w:rsidRDefault="00000000">
      <w:pPr>
        <w:pStyle w:val="Heading4"/>
        <w:rPr>
          <w:rFonts w:hint="eastAsia"/>
        </w:rPr>
      </w:pPr>
      <w:r>
        <w:rPr>
          <w:rFonts w:hint="eastAsia"/>
        </w:rPr>
        <w:t>文化建设</w:t>
      </w:r>
    </w:p>
    <w:p w:rsidR="00000000" w:rsidRDefault="00000000">
      <w:pPr>
        <w:rPr>
          <w:rFonts w:hint="eastAsia"/>
        </w:rPr>
      </w:pPr>
      <w:r>
        <w:rPr>
          <w:rFonts w:hint="eastAsia"/>
        </w:rPr>
        <w:tab/>
        <w:t xml:space="preserve">546.  </w:t>
      </w:r>
      <w:r>
        <w:rPr>
          <w:rFonts w:hint="eastAsia"/>
        </w:rPr>
        <w:t>厄瓜多尔全国文化理事会负责推动文化特性。该理事会主要依靠全国文化基金实现这一目标，该基金具有下列特征和职能：</w:t>
      </w:r>
    </w:p>
    <w:p w:rsidR="00000000" w:rsidRDefault="00000000">
      <w:pPr>
        <w:numPr>
          <w:ilvl w:val="0"/>
          <w:numId w:val="198"/>
        </w:numPr>
        <w:rPr>
          <w:rFonts w:hint="eastAsia"/>
        </w:rPr>
      </w:pPr>
      <w:r>
        <w:rPr>
          <w:rFonts w:hint="eastAsia"/>
        </w:rPr>
        <w:t>该基金通过比市场更优惠的金融条件提供贷款，为执行全国或区域性文化项目筹措资金；</w:t>
      </w:r>
    </w:p>
    <w:p w:rsidR="00000000" w:rsidRDefault="00000000">
      <w:pPr>
        <w:numPr>
          <w:ilvl w:val="0"/>
          <w:numId w:val="198"/>
        </w:numPr>
        <w:rPr>
          <w:rFonts w:hint="eastAsia"/>
        </w:rPr>
      </w:pPr>
      <w:r>
        <w:rPr>
          <w:rFonts w:hint="eastAsia"/>
        </w:rPr>
        <w:t>其目标是推动音乐、戏剧、造型艺术、文学、视听和电子艺术以及大众艺术等领域文化作品的创作、翻译和制作。</w:t>
      </w:r>
    </w:p>
    <w:p w:rsidR="00000000" w:rsidRDefault="00000000">
      <w:pPr>
        <w:rPr>
          <w:rFonts w:hint="eastAsia"/>
        </w:rPr>
      </w:pPr>
      <w:r>
        <w:rPr>
          <w:rFonts w:hint="eastAsia"/>
        </w:rPr>
        <w:tab/>
        <w:t xml:space="preserve">547.  </w:t>
      </w:r>
      <w:r>
        <w:rPr>
          <w:rFonts w:hint="eastAsia"/>
        </w:rPr>
        <w:t>厄瓜多尔参与文化活动的艺术家、知识分子、制作人、设计师、基金会、组织、协会和公共或私营公司均获益于该基金。</w:t>
      </w:r>
    </w:p>
    <w:p w:rsidR="00000000" w:rsidRDefault="00000000">
      <w:pPr>
        <w:rPr>
          <w:rFonts w:hint="eastAsia"/>
        </w:rPr>
      </w:pPr>
      <w:r>
        <w:rPr>
          <w:rFonts w:hint="eastAsia"/>
        </w:rPr>
        <w:tab/>
        <w:t xml:space="preserve">548.  </w:t>
      </w:r>
      <w:r>
        <w:rPr>
          <w:rFonts w:hint="eastAsia"/>
        </w:rPr>
        <w:t>该基金以优惠利率为低息贷款供资，在</w:t>
      </w:r>
      <w:r>
        <w:rPr>
          <w:rFonts w:hint="eastAsia"/>
        </w:rPr>
        <w:t>1</w:t>
      </w:r>
      <w:r>
        <w:rPr>
          <w:rFonts w:hint="eastAsia"/>
        </w:rPr>
        <w:t>至</w:t>
      </w:r>
      <w:r>
        <w:rPr>
          <w:rFonts w:hint="eastAsia"/>
        </w:rPr>
        <w:t>10</w:t>
      </w:r>
      <w:r>
        <w:rPr>
          <w:rFonts w:hint="eastAsia"/>
        </w:rPr>
        <w:t>年期间内偿还，宽限期为</w:t>
      </w:r>
      <w:r>
        <w:rPr>
          <w:rFonts w:hint="eastAsia"/>
        </w:rPr>
        <w:t>1</w:t>
      </w:r>
      <w:r>
        <w:rPr>
          <w:rFonts w:hint="eastAsia"/>
        </w:rPr>
        <w:t>至</w:t>
      </w:r>
      <w:r>
        <w:rPr>
          <w:rFonts w:hint="eastAsia"/>
        </w:rPr>
        <w:t>3</w:t>
      </w:r>
      <w:r>
        <w:rPr>
          <w:rFonts w:hint="eastAsia"/>
        </w:rPr>
        <w:t>年，按季度或及早结欠付款。</w:t>
      </w:r>
    </w:p>
    <w:p w:rsidR="00000000" w:rsidRDefault="00000000">
      <w:pPr>
        <w:rPr>
          <w:rFonts w:hint="eastAsia"/>
        </w:rPr>
      </w:pPr>
      <w:r>
        <w:rPr>
          <w:rFonts w:hint="eastAsia"/>
        </w:rPr>
        <w:tab/>
        <w:t xml:space="preserve">549.  </w:t>
      </w:r>
      <w:r>
        <w:rPr>
          <w:rFonts w:hint="eastAsia"/>
        </w:rPr>
        <w:t>为了确保实现项目的各项目标，该基金在筹备文化项目方面提供咨询、培训和宣传。为了获得贷款，须填写项目建议表格，并履行全国文化基金条例的各项要求。</w:t>
      </w:r>
    </w:p>
    <w:p w:rsidR="00000000" w:rsidRDefault="00000000">
      <w:pPr>
        <w:rPr>
          <w:rFonts w:hint="eastAsia"/>
        </w:rPr>
      </w:pPr>
      <w:r>
        <w:rPr>
          <w:rFonts w:hint="eastAsia"/>
        </w:rPr>
        <w:tab/>
        <w:t xml:space="preserve">550.  </w:t>
      </w:r>
      <w:r>
        <w:rPr>
          <w:rFonts w:hint="eastAsia"/>
        </w:rPr>
        <w:t>提交拟议文化活动业务和预算计划也很重要。为此，全国文化理事会把执行文化发展行动计划</w:t>
      </w:r>
      <w:r>
        <w:rPr>
          <w:rFonts w:hint="eastAsia"/>
        </w:rPr>
        <w:t>(1997-1998</w:t>
      </w:r>
      <w:r>
        <w:rPr>
          <w:rFonts w:hint="eastAsia"/>
        </w:rPr>
        <w:t>年</w:t>
      </w:r>
      <w:r>
        <w:rPr>
          <w:rFonts w:hint="eastAsia"/>
        </w:rPr>
        <w:t>)</w:t>
      </w:r>
      <w:r>
        <w:rPr>
          <w:rFonts w:hint="eastAsia"/>
        </w:rPr>
        <w:t>作为厄瓜多尔文化发展中期计划</w:t>
      </w:r>
      <w:r>
        <w:rPr>
          <w:rFonts w:hint="eastAsia"/>
        </w:rPr>
        <w:t>(1991-2000</w:t>
      </w:r>
      <w:r>
        <w:rPr>
          <w:rFonts w:hint="eastAsia"/>
        </w:rPr>
        <w:t>年</w:t>
      </w:r>
      <w:r>
        <w:rPr>
          <w:rFonts w:hint="eastAsia"/>
        </w:rPr>
        <w:t>)</w:t>
      </w:r>
      <w:r>
        <w:rPr>
          <w:rFonts w:hint="eastAsia"/>
        </w:rPr>
        <w:t>的一部分。按照该计划，该理事会支持各项文化政策和措施，以在传播、宣传、信息、登记、编制、规划和资助文化活动方面弥补文化机构总体制度的差距和不足。</w:t>
      </w:r>
    </w:p>
    <w:p w:rsidR="00000000" w:rsidRDefault="00000000">
      <w:pPr>
        <w:rPr>
          <w:rFonts w:hint="eastAsia"/>
        </w:rPr>
      </w:pPr>
      <w:r>
        <w:rPr>
          <w:rFonts w:hint="eastAsia"/>
        </w:rPr>
        <w:tab/>
        <w:t xml:space="preserve">551.  </w:t>
      </w:r>
      <w:r>
        <w:rPr>
          <w:rFonts w:hint="eastAsia"/>
        </w:rPr>
        <w:t>为了使全国文化基金能够通过执行《行动计划》所涉项目来执行这些政策，公共和私营部门之间进行合作至关重要。下列基金和项目将参与运作：</w:t>
      </w:r>
    </w:p>
    <w:p w:rsidR="00000000" w:rsidRDefault="00000000">
      <w:pPr>
        <w:numPr>
          <w:ilvl w:val="0"/>
          <w:numId w:val="199"/>
        </w:numPr>
        <w:rPr>
          <w:rFonts w:hint="eastAsia"/>
        </w:rPr>
      </w:pPr>
      <w:r>
        <w:rPr>
          <w:rFonts w:hint="eastAsia"/>
        </w:rPr>
        <w:t>文化院出版基金包括与厄瓜多尔本杰明·卡里翁文化院联合出版各种丛书和全集，大部分为涉及以下内容的选集：小说、儿童文学、非洲</w:t>
      </w:r>
      <w:r>
        <w:rPr>
          <w:rFonts w:hint="eastAsia"/>
          <w:spacing w:val="-50"/>
        </w:rPr>
        <w:t>―</w:t>
      </w:r>
      <w:r>
        <w:rPr>
          <w:rFonts w:hint="eastAsia"/>
        </w:rPr>
        <w:t>―厄瓜多尔口述传统、萨满教传统、厄瓜多尔文学主要人物传记、厄瓜多尔民间故事、流行文化和</w:t>
      </w:r>
      <w:r>
        <w:rPr>
          <w:rFonts w:hint="eastAsia"/>
          <w:u w:val="single"/>
        </w:rPr>
        <w:t>全国文化评论</w:t>
      </w:r>
      <w:r>
        <w:rPr>
          <w:rFonts w:hint="eastAsia"/>
        </w:rPr>
        <w:t>。这些丛书和联合出版物将以西班牙文和英文两种语文出版；</w:t>
      </w:r>
    </w:p>
    <w:p w:rsidR="00000000" w:rsidRDefault="00000000">
      <w:pPr>
        <w:numPr>
          <w:ilvl w:val="0"/>
          <w:numId w:val="199"/>
        </w:numPr>
        <w:rPr>
          <w:rFonts w:hint="eastAsia"/>
        </w:rPr>
      </w:pPr>
      <w:r>
        <w:rPr>
          <w:rFonts w:hint="eastAsia"/>
        </w:rPr>
        <w:t>厄瓜多尔文化录象图象基金由文化部副部长办公室和国家通讯秘书处共同主办。最初将由厄瓜多尔主要艺术家生平档案记录以及各种活动和流行文化视听档案制品组成。将在国家和国际一级发行这类资料；</w:t>
      </w:r>
    </w:p>
    <w:p w:rsidR="00000000" w:rsidRDefault="00000000">
      <w:pPr>
        <w:numPr>
          <w:ilvl w:val="0"/>
          <w:numId w:val="199"/>
        </w:numPr>
        <w:rPr>
          <w:rFonts w:hint="eastAsia"/>
        </w:rPr>
      </w:pPr>
      <w:r>
        <w:rPr>
          <w:rFonts w:hint="eastAsia"/>
        </w:rPr>
        <w:t>厄瓜多尔文化信息基金。在构成《行动计划》组成部分的各种项目研究基础上，将在国家和国际一级编制和发行电子书籍与杂志。该基金开始将制作本杰明·卡里翁的作品，随后将出版主要著作的电子版本；</w:t>
      </w:r>
    </w:p>
    <w:p w:rsidR="00000000" w:rsidRDefault="00000000">
      <w:pPr>
        <w:numPr>
          <w:ilvl w:val="0"/>
          <w:numId w:val="199"/>
        </w:numPr>
        <w:rPr>
          <w:rFonts w:hint="eastAsia"/>
          <w:spacing w:val="6"/>
        </w:rPr>
      </w:pPr>
      <w:r>
        <w:rPr>
          <w:rFonts w:hint="eastAsia"/>
          <w:spacing w:val="6"/>
        </w:rPr>
        <w:t>厄瓜多尔文化音乐基金将包括厄瓜多尔当代、学术、流行、传统、现代和民间音乐的激光唱片和听力磁带的录音唱片，在国家和国际一级发行；</w:t>
      </w:r>
    </w:p>
    <w:p w:rsidR="00000000" w:rsidRDefault="00000000">
      <w:pPr>
        <w:numPr>
          <w:ilvl w:val="0"/>
          <w:numId w:val="199"/>
        </w:numPr>
        <w:rPr>
          <w:rFonts w:hint="eastAsia"/>
        </w:rPr>
      </w:pPr>
      <w:r>
        <w:rPr>
          <w:rFonts w:hint="eastAsia"/>
        </w:rPr>
        <w:t>首次拉丁美洲文化奖每年将颁发给拉丁美洲文化的杰出人士。将在地方一级组织诸如与学术和艺术界进行访谈、讨论、论坛、音乐会、电影节或不限成员名额参加的造型艺术展览等一系列活动，并将这些活动制成录象带；</w:t>
      </w:r>
    </w:p>
    <w:p w:rsidR="00000000" w:rsidRDefault="00000000">
      <w:pPr>
        <w:numPr>
          <w:ilvl w:val="0"/>
          <w:numId w:val="199"/>
        </w:numPr>
        <w:rPr>
          <w:rFonts w:hint="eastAsia"/>
        </w:rPr>
      </w:pPr>
      <w:r>
        <w:rPr>
          <w:rFonts w:hint="eastAsia"/>
        </w:rPr>
        <w:t>族裔文化自我管理项目，将寻求发展和巩固族裔团体文化，并通过开展各种活动扩大对厄瓜多尔多文化和多民族特性的认识</w:t>
      </w:r>
      <w:r>
        <w:rPr>
          <w:rFonts w:hint="eastAsia"/>
          <w:spacing w:val="-50"/>
        </w:rPr>
        <w:t>―</w:t>
      </w:r>
      <w:r>
        <w:rPr>
          <w:rFonts w:hint="eastAsia"/>
        </w:rPr>
        <w:t>―制作土著和非洲</w:t>
      </w:r>
      <w:r>
        <w:rPr>
          <w:rFonts w:hint="eastAsia"/>
          <w:spacing w:val="-50"/>
        </w:rPr>
        <w:t>―</w:t>
      </w:r>
      <w:r>
        <w:rPr>
          <w:rFonts w:hint="eastAsia"/>
        </w:rPr>
        <w:t>―厄瓜多尔音乐激光唱片、关于从事民间医药土著妇女的记录片、出版土著作家作品选集、宣传</w:t>
      </w:r>
      <w:r>
        <w:rPr>
          <w:rFonts w:hint="eastAsia"/>
        </w:rPr>
        <w:t>A</w:t>
      </w:r>
      <w:r>
        <w:t>bya Yala</w:t>
      </w:r>
      <w:r>
        <w:rPr>
          <w:rFonts w:hint="eastAsia"/>
        </w:rPr>
        <w:t>民族节最佳作品，并编纂居住在高地上的非洲</w:t>
      </w:r>
      <w:r>
        <w:rPr>
          <w:rFonts w:hint="eastAsia"/>
          <w:spacing w:val="-50"/>
        </w:rPr>
        <w:t>―</w:t>
      </w:r>
      <w:r>
        <w:rPr>
          <w:rFonts w:hint="eastAsia"/>
        </w:rPr>
        <w:t>―厄瓜多尔人的传统；</w:t>
      </w:r>
    </w:p>
    <w:p w:rsidR="00000000" w:rsidRDefault="00000000">
      <w:pPr>
        <w:numPr>
          <w:ilvl w:val="0"/>
          <w:numId w:val="199"/>
        </w:numPr>
        <w:rPr>
          <w:rFonts w:hint="eastAsia"/>
        </w:rPr>
      </w:pPr>
      <w:r>
        <w:rPr>
          <w:rFonts w:hint="eastAsia"/>
        </w:rPr>
        <w:t>民间纪念常设委员会是外交部的组成部分，通过该委员会工作基础上的项目编制和发行出版物。已经编纂了关于国家生活中最著名人士的各种出版物。在</w:t>
      </w:r>
      <w:r>
        <w:rPr>
          <w:rFonts w:hint="eastAsia"/>
        </w:rPr>
        <w:t>2000</w:t>
      </w:r>
      <w:r>
        <w:rPr>
          <w:rFonts w:hint="eastAsia"/>
        </w:rPr>
        <w:t>年出版了大学和研究所分发版本。在</w:t>
      </w:r>
      <w:r>
        <w:rPr>
          <w:rFonts w:hint="eastAsia"/>
        </w:rPr>
        <w:t>2002</w:t>
      </w:r>
      <w:r>
        <w:rPr>
          <w:rFonts w:hint="eastAsia"/>
        </w:rPr>
        <w:t>年，出版了一本有关当代主要艺术家的书籍和另一本关于厄瓜多尔文化财富的书籍；</w:t>
      </w:r>
    </w:p>
    <w:p w:rsidR="00000000" w:rsidRDefault="00000000">
      <w:pPr>
        <w:numPr>
          <w:ilvl w:val="0"/>
          <w:numId w:val="199"/>
        </w:numPr>
        <w:rPr>
          <w:rFonts w:hint="eastAsia"/>
        </w:rPr>
      </w:pPr>
      <w:r>
        <w:rPr>
          <w:rFonts w:hint="eastAsia"/>
        </w:rPr>
        <w:t>文化发展专业培训涉及负责厄瓜多尔文化活动的人士。根据与</w:t>
      </w:r>
      <w:r>
        <w:rPr>
          <w:rFonts w:hint="eastAsia"/>
        </w:rPr>
        <w:t>C</w:t>
      </w:r>
      <w:r>
        <w:t>uenca</w:t>
      </w:r>
      <w:r>
        <w:rPr>
          <w:rFonts w:hint="eastAsia"/>
        </w:rPr>
        <w:t>大学所签署的一项协定，资助了有关开设文化管理课程的研究；</w:t>
      </w:r>
    </w:p>
    <w:p w:rsidR="00000000" w:rsidRDefault="00000000">
      <w:pPr>
        <w:numPr>
          <w:ilvl w:val="0"/>
          <w:numId w:val="199"/>
        </w:numPr>
        <w:rPr>
          <w:rFonts w:hint="eastAsia"/>
        </w:rPr>
      </w:pPr>
      <w:r>
        <w:rPr>
          <w:rFonts w:hint="eastAsia"/>
        </w:rPr>
        <w:t>文化规划者规划工具培训包括高级</w:t>
      </w:r>
      <w:r>
        <w:rPr>
          <w:rFonts w:hint="eastAsia"/>
        </w:rPr>
        <w:t>ZOPP</w:t>
      </w:r>
      <w:r>
        <w:rPr>
          <w:rFonts w:hint="eastAsia"/>
        </w:rPr>
        <w:t>规划课程和应用微软项目安排项目及采取后续行动。</w:t>
      </w:r>
    </w:p>
    <w:p w:rsidR="00000000" w:rsidRDefault="00000000">
      <w:pPr>
        <w:rPr>
          <w:rFonts w:hint="eastAsia"/>
        </w:rPr>
      </w:pPr>
      <w:r>
        <w:rPr>
          <w:rFonts w:hint="eastAsia"/>
        </w:rPr>
        <w:tab/>
        <w:t xml:space="preserve">552.  </w:t>
      </w:r>
      <w:r>
        <w:rPr>
          <w:rFonts w:hint="eastAsia"/>
        </w:rPr>
        <w:t>中央银行通过货币理事会发布了旨在开发文化发展资源的各种条例。政府将文化成就奖的价值从</w:t>
      </w:r>
      <w:r>
        <w:rPr>
          <w:rFonts w:hint="eastAsia"/>
        </w:rPr>
        <w:t>3,000</w:t>
      </w:r>
      <w:r>
        <w:rPr>
          <w:rFonts w:hint="eastAsia"/>
        </w:rPr>
        <w:t>万苏克雷增加到</w:t>
      </w:r>
      <w:r>
        <w:rPr>
          <w:rFonts w:hint="eastAsia"/>
        </w:rPr>
        <w:t>6,000</w:t>
      </w:r>
      <w:r>
        <w:rPr>
          <w:rFonts w:hint="eastAsia"/>
        </w:rPr>
        <w:t>万苏克雷，并引申这一计划，如果获奖人死亡，可将奖品授予其配偶或子女。</w:t>
      </w:r>
    </w:p>
    <w:p w:rsidR="00000000" w:rsidRDefault="00000000">
      <w:pPr>
        <w:spacing w:after="320"/>
        <w:rPr>
          <w:rFonts w:hint="eastAsia"/>
        </w:rPr>
      </w:pPr>
      <w:r>
        <w:rPr>
          <w:rFonts w:hint="eastAsia"/>
        </w:rPr>
        <w:tab/>
        <w:t xml:space="preserve">553.  </w:t>
      </w:r>
      <w:r>
        <w:rPr>
          <w:rFonts w:hint="eastAsia"/>
        </w:rPr>
        <w:t>另一个重要的贡献是团结基金每财政年度拨款７</w:t>
      </w:r>
      <w:r>
        <w:rPr>
          <w:rFonts w:hint="eastAsia"/>
        </w:rPr>
        <w:t>0</w:t>
      </w:r>
      <w:r>
        <w:rPr>
          <w:rFonts w:hint="eastAsia"/>
        </w:rPr>
        <w:t>亿苏克雷用于编写教科书。</w:t>
      </w:r>
    </w:p>
    <w:p w:rsidR="00000000" w:rsidRDefault="00000000">
      <w:pPr>
        <w:pStyle w:val="Heading4"/>
        <w:rPr>
          <w:rFonts w:eastAsia="KaiTi_GB2312" w:hint="eastAsia"/>
          <w:snapToGrid/>
          <w:spacing w:val="0"/>
          <w:u w:val="none"/>
        </w:rPr>
      </w:pPr>
      <w:r>
        <w:rPr>
          <w:rFonts w:eastAsia="KaiTi_GB2312" w:hint="eastAsia"/>
          <w:snapToGrid/>
          <w:spacing w:val="0"/>
          <w:u w:val="none"/>
        </w:rPr>
        <w:t>社会与文化</w:t>
      </w:r>
    </w:p>
    <w:p w:rsidR="00000000" w:rsidRDefault="00000000">
      <w:pPr>
        <w:rPr>
          <w:rFonts w:hint="eastAsia"/>
        </w:rPr>
      </w:pPr>
      <w:r>
        <w:rPr>
          <w:rFonts w:hint="eastAsia"/>
        </w:rPr>
        <w:tab/>
        <w:t>554.  1984</w:t>
      </w:r>
      <w:r>
        <w:rPr>
          <w:rFonts w:hint="eastAsia"/>
        </w:rPr>
        <w:t>年</w:t>
      </w:r>
      <w:r>
        <w:rPr>
          <w:rFonts w:hint="eastAsia"/>
        </w:rPr>
        <w:t>8</w:t>
      </w:r>
      <w:r>
        <w:rPr>
          <w:rFonts w:hint="eastAsia"/>
        </w:rPr>
        <w:t>月</w:t>
      </w:r>
      <w:r>
        <w:rPr>
          <w:rFonts w:hint="eastAsia"/>
        </w:rPr>
        <w:t>10</w:t>
      </w:r>
      <w:r>
        <w:rPr>
          <w:rFonts w:hint="eastAsia"/>
        </w:rPr>
        <w:t>日第</w:t>
      </w:r>
      <w:r>
        <w:rPr>
          <w:rFonts w:hint="eastAsia"/>
        </w:rPr>
        <w:t>805</w:t>
      </w:r>
      <w:r>
        <w:rPr>
          <w:rFonts w:hint="eastAsia"/>
        </w:rPr>
        <w:t>号政府公报公布的第</w:t>
      </w:r>
      <w:r>
        <w:rPr>
          <w:rFonts w:hint="eastAsia"/>
        </w:rPr>
        <w:t>181</w:t>
      </w:r>
      <w:r>
        <w:rPr>
          <w:rFonts w:hint="eastAsia"/>
        </w:rPr>
        <w:t>号文化法以及有关该法案的条例</w:t>
      </w:r>
      <w:r>
        <w:rPr>
          <w:rFonts w:hint="eastAsia"/>
        </w:rPr>
        <w:t>(1986</w:t>
      </w:r>
      <w:r>
        <w:rPr>
          <w:rFonts w:hint="eastAsia"/>
        </w:rPr>
        <w:t>年</w:t>
      </w:r>
      <w:r>
        <w:rPr>
          <w:rFonts w:hint="eastAsia"/>
        </w:rPr>
        <w:t>6</w:t>
      </w:r>
      <w:r>
        <w:rPr>
          <w:rFonts w:hint="eastAsia"/>
        </w:rPr>
        <w:t>月</w:t>
      </w:r>
      <w:r>
        <w:rPr>
          <w:rFonts w:hint="eastAsia"/>
        </w:rPr>
        <w:t>3</w:t>
      </w:r>
      <w:r>
        <w:rPr>
          <w:rFonts w:hint="eastAsia"/>
        </w:rPr>
        <w:t>日第</w:t>
      </w:r>
      <w:r>
        <w:rPr>
          <w:rFonts w:hint="eastAsia"/>
        </w:rPr>
        <w:t>449</w:t>
      </w:r>
      <w:r>
        <w:rPr>
          <w:rFonts w:hint="eastAsia"/>
        </w:rPr>
        <w:t>号政府公报</w:t>
      </w:r>
      <w:r>
        <w:rPr>
          <w:rFonts w:hint="eastAsia"/>
        </w:rPr>
        <w:t>)</w:t>
      </w:r>
      <w:r>
        <w:rPr>
          <w:rFonts w:hint="eastAsia"/>
        </w:rPr>
        <w:t>规定设立厄瓜多尔文化机构体系，包括：</w:t>
      </w:r>
    </w:p>
    <w:p w:rsidR="00000000" w:rsidRDefault="00000000">
      <w:pPr>
        <w:numPr>
          <w:ilvl w:val="0"/>
          <w:numId w:val="200"/>
        </w:numPr>
        <w:rPr>
          <w:rFonts w:hint="eastAsia"/>
        </w:rPr>
      </w:pPr>
      <w:r>
        <w:rPr>
          <w:rFonts w:hint="eastAsia"/>
        </w:rPr>
        <w:t>教育和文化部；</w:t>
      </w:r>
    </w:p>
    <w:p w:rsidR="00000000" w:rsidRDefault="00000000">
      <w:pPr>
        <w:numPr>
          <w:ilvl w:val="0"/>
          <w:numId w:val="200"/>
        </w:numPr>
        <w:rPr>
          <w:rFonts w:hint="eastAsia"/>
        </w:rPr>
      </w:pPr>
      <w:r>
        <w:rPr>
          <w:rFonts w:hint="eastAsia"/>
        </w:rPr>
        <w:t>全国文化理事会；</w:t>
      </w:r>
    </w:p>
    <w:p w:rsidR="00000000" w:rsidRDefault="00000000">
      <w:pPr>
        <w:numPr>
          <w:ilvl w:val="0"/>
          <w:numId w:val="200"/>
        </w:numPr>
        <w:rPr>
          <w:rFonts w:hint="eastAsia"/>
        </w:rPr>
      </w:pPr>
      <w:r>
        <w:rPr>
          <w:rFonts w:hint="eastAsia"/>
        </w:rPr>
        <w:t>厄瓜多尔文化院；</w:t>
      </w:r>
    </w:p>
    <w:p w:rsidR="00000000" w:rsidRDefault="00000000">
      <w:pPr>
        <w:numPr>
          <w:ilvl w:val="0"/>
          <w:numId w:val="200"/>
        </w:numPr>
        <w:rPr>
          <w:rFonts w:hint="eastAsia"/>
        </w:rPr>
      </w:pPr>
      <w:r>
        <w:rPr>
          <w:rFonts w:hint="eastAsia"/>
        </w:rPr>
        <w:t>文化传统研究所；</w:t>
      </w:r>
    </w:p>
    <w:p w:rsidR="00000000" w:rsidRDefault="00000000">
      <w:pPr>
        <w:numPr>
          <w:ilvl w:val="0"/>
          <w:numId w:val="200"/>
        </w:numPr>
        <w:rPr>
          <w:rFonts w:hint="eastAsia"/>
        </w:rPr>
      </w:pPr>
      <w:r>
        <w:rPr>
          <w:rFonts w:hint="eastAsia"/>
        </w:rPr>
        <w:t>包括国家档案理事会、图书馆和博物馆在内的其他开展文化活动的公共部门和私营部门机构。</w:t>
      </w:r>
    </w:p>
    <w:p w:rsidR="00000000" w:rsidRDefault="00000000">
      <w:pPr>
        <w:rPr>
          <w:rFonts w:hint="eastAsia"/>
        </w:rPr>
      </w:pPr>
      <w:r>
        <w:rPr>
          <w:rFonts w:hint="eastAsia"/>
        </w:rPr>
        <w:tab/>
        <w:t xml:space="preserve">555.  </w:t>
      </w:r>
      <w:r>
        <w:rPr>
          <w:rFonts w:hint="eastAsia"/>
        </w:rPr>
        <w:t>关于教育和文化部，该条例第</w:t>
      </w:r>
      <w:r>
        <w:rPr>
          <w:rFonts w:hint="eastAsia"/>
        </w:rPr>
        <w:t>2</w:t>
      </w:r>
      <w:r>
        <w:rPr>
          <w:rFonts w:hint="eastAsia"/>
        </w:rPr>
        <w:t>条指出，“文化法第</w:t>
      </w:r>
      <w:r>
        <w:rPr>
          <w:rFonts w:hint="eastAsia"/>
        </w:rPr>
        <w:t>3</w:t>
      </w:r>
      <w:r>
        <w:rPr>
          <w:rFonts w:hint="eastAsia"/>
        </w:rPr>
        <w:t>和第</w:t>
      </w:r>
      <w:r>
        <w:rPr>
          <w:rFonts w:hint="eastAsia"/>
        </w:rPr>
        <w:t>4</w:t>
      </w:r>
      <w:r>
        <w:rPr>
          <w:rFonts w:hint="eastAsia"/>
        </w:rPr>
        <w:t>条赋予该部的各项职能由该部文化副部长办公室履行”，此外，该部还应该“贯彻载于国家发展方案中的准则和文化方案”。</w:t>
      </w:r>
    </w:p>
    <w:p w:rsidR="00000000" w:rsidRDefault="00000000">
      <w:pPr>
        <w:rPr>
          <w:rFonts w:hint="eastAsia"/>
        </w:rPr>
      </w:pPr>
      <w:r>
        <w:rPr>
          <w:rFonts w:hint="eastAsia"/>
        </w:rPr>
        <w:tab/>
        <w:t xml:space="preserve">556.  </w:t>
      </w:r>
      <w:r>
        <w:rPr>
          <w:rFonts w:hint="eastAsia"/>
        </w:rPr>
        <w:t>第</w:t>
      </w:r>
      <w:r>
        <w:rPr>
          <w:rFonts w:hint="eastAsia"/>
        </w:rPr>
        <w:t>3</w:t>
      </w:r>
      <w:r>
        <w:rPr>
          <w:rFonts w:hint="eastAsia"/>
        </w:rPr>
        <w:t>条将全国文化理事会纳入文化副部长办公室，将其称为负责执行文化政策的机构。在全国文化理事会的各项职能中，第</w:t>
      </w:r>
      <w:r>
        <w:rPr>
          <w:rFonts w:hint="eastAsia"/>
        </w:rPr>
        <w:t>10</w:t>
      </w:r>
      <w:r>
        <w:rPr>
          <w:rFonts w:hint="eastAsia"/>
        </w:rPr>
        <w:t>条提到下列职能：“通过并改革文化部门的多年总计划，并在文化部门内明确查明文化次级部门，注意确保平衡发展全国所有地区的文化。”</w:t>
      </w:r>
    </w:p>
    <w:p w:rsidR="00000000" w:rsidRDefault="00000000">
      <w:pPr>
        <w:spacing w:after="320"/>
        <w:rPr>
          <w:rFonts w:hint="eastAsia"/>
        </w:rPr>
      </w:pPr>
      <w:r>
        <w:rPr>
          <w:rFonts w:hint="eastAsia"/>
        </w:rPr>
        <w:tab/>
        <w:t xml:space="preserve">557.  </w:t>
      </w:r>
      <w:r>
        <w:rPr>
          <w:rFonts w:hint="eastAsia"/>
        </w:rPr>
        <w:t>关于文化院，文化法</w:t>
      </w:r>
      <w:r>
        <w:rPr>
          <w:rFonts w:hint="eastAsia"/>
        </w:rPr>
        <w:t>(</w:t>
      </w:r>
      <w:r>
        <w:rPr>
          <w:rFonts w:hint="eastAsia"/>
        </w:rPr>
        <w:t>修正案</w:t>
      </w:r>
      <w:r>
        <w:rPr>
          <w:rFonts w:hint="eastAsia"/>
        </w:rPr>
        <w:t>)(</w:t>
      </w:r>
      <w:r>
        <w:rPr>
          <w:rFonts w:hint="eastAsia"/>
        </w:rPr>
        <w:t>第</w:t>
      </w:r>
      <w:r>
        <w:rPr>
          <w:rFonts w:hint="eastAsia"/>
        </w:rPr>
        <w:t>113</w:t>
      </w:r>
      <w:r>
        <w:rPr>
          <w:rFonts w:hint="eastAsia"/>
        </w:rPr>
        <w:t>号</w:t>
      </w:r>
      <w:r>
        <w:rPr>
          <w:rFonts w:hint="eastAsia"/>
        </w:rPr>
        <w:t>)</w:t>
      </w:r>
      <w:r>
        <w:rPr>
          <w:rFonts w:hint="eastAsia"/>
        </w:rPr>
        <w:t>法案于</w:t>
      </w:r>
      <w:r>
        <w:rPr>
          <w:rFonts w:hint="eastAsia"/>
        </w:rPr>
        <w:t>1991</w:t>
      </w:r>
      <w:r>
        <w:rPr>
          <w:rFonts w:hint="eastAsia"/>
        </w:rPr>
        <w:t>年</w:t>
      </w:r>
      <w:r>
        <w:rPr>
          <w:rFonts w:hint="eastAsia"/>
        </w:rPr>
        <w:t>1</w:t>
      </w:r>
      <w:r>
        <w:rPr>
          <w:rFonts w:hint="eastAsia"/>
        </w:rPr>
        <w:t>月</w:t>
      </w:r>
      <w:r>
        <w:rPr>
          <w:rFonts w:hint="eastAsia"/>
        </w:rPr>
        <w:t>28</w:t>
      </w:r>
      <w:r>
        <w:rPr>
          <w:rFonts w:hint="eastAsia"/>
        </w:rPr>
        <w:t>日在第</w:t>
      </w:r>
      <w:r>
        <w:rPr>
          <w:rFonts w:hint="eastAsia"/>
        </w:rPr>
        <w:t>612</w:t>
      </w:r>
      <w:r>
        <w:rPr>
          <w:rFonts w:hint="eastAsia"/>
        </w:rPr>
        <w:t>号政府公报上发表，规定国家有义务按照《宪法》“发布各种措施以培育、促进和维护文化价值的优先项目”，并为此在中央和厄瓜多尔文化院</w:t>
      </w:r>
      <w:r>
        <w:rPr>
          <w:rFonts w:hint="eastAsia"/>
        </w:rPr>
        <w:t>22</w:t>
      </w:r>
      <w:r>
        <w:rPr>
          <w:rFonts w:hint="eastAsia"/>
        </w:rPr>
        <w:t>个省级办公室加强和增加文化活动，按照第</w:t>
      </w:r>
      <w:r>
        <w:rPr>
          <w:rFonts w:hint="eastAsia"/>
        </w:rPr>
        <w:t>13</w:t>
      </w:r>
      <w:r>
        <w:rPr>
          <w:rFonts w:hint="eastAsia"/>
        </w:rPr>
        <w:t>条修正条款为其提供经济和财政自治，该条款规定：“公共法规定，厄瓜多尔本杰明·卡里翁文化院系具有法人、财产、自有资金及经济、行政、财政和业务自主权的机构”，并指出，“在不妨碍其自主权的情况下，文化院应与全国文化理事会一道协调其各项活动和方案”。</w:t>
      </w:r>
    </w:p>
    <w:p w:rsidR="00000000" w:rsidRDefault="00000000">
      <w:pPr>
        <w:pStyle w:val="Heading4"/>
        <w:rPr>
          <w:rFonts w:hint="eastAsia"/>
        </w:rPr>
      </w:pPr>
      <w:r>
        <w:rPr>
          <w:rFonts w:hint="eastAsia"/>
        </w:rPr>
        <w:t>厄瓜多尔的文化特性</w:t>
      </w:r>
    </w:p>
    <w:p w:rsidR="00000000" w:rsidRDefault="00000000">
      <w:pPr>
        <w:spacing w:after="320"/>
        <w:rPr>
          <w:rFonts w:hint="eastAsia"/>
        </w:rPr>
      </w:pPr>
      <w:r>
        <w:rPr>
          <w:rFonts w:hint="eastAsia"/>
        </w:rPr>
        <w:tab/>
        <w:t xml:space="preserve">558.  </w:t>
      </w:r>
      <w:r>
        <w:rPr>
          <w:rFonts w:hint="eastAsia"/>
        </w:rPr>
        <w:t>厄瓜多尔可动和不动文化财产是其文化遗产的主要组成部分，系统研究和传播这一遗产对加强其民族特征至关重要。根据这种优先秩序，全国文化遗产研究所正努力为所有文化财产编目，以维护和加强物质文化遗产。作为此一进程的一部分，教育和文化部对课程进行改革，将该国历史、社会和文化研究方面的进展包括进来，同时鼓励各族裔社区通过文化间双语教育方案参与查明各项教育需求。</w:t>
      </w:r>
    </w:p>
    <w:p w:rsidR="00000000" w:rsidRDefault="00000000">
      <w:pPr>
        <w:pStyle w:val="Heading4"/>
        <w:rPr>
          <w:rFonts w:eastAsia="KaiTi_GB2312" w:hint="eastAsia"/>
          <w:snapToGrid/>
          <w:spacing w:val="0"/>
          <w:u w:val="none"/>
        </w:rPr>
      </w:pPr>
      <w:r>
        <w:rPr>
          <w:rFonts w:eastAsia="KaiTi_GB2312" w:hint="eastAsia"/>
          <w:snapToGrid/>
          <w:spacing w:val="0"/>
          <w:u w:val="none"/>
        </w:rPr>
        <w:t>文化推广</w:t>
      </w:r>
    </w:p>
    <w:p w:rsidR="00000000" w:rsidRDefault="00000000">
      <w:pPr>
        <w:rPr>
          <w:rFonts w:hint="eastAsia"/>
        </w:rPr>
      </w:pPr>
      <w:r>
        <w:rPr>
          <w:rFonts w:hint="eastAsia"/>
        </w:rPr>
        <w:tab/>
        <w:t xml:space="preserve">559.  </w:t>
      </w:r>
      <w:r>
        <w:rPr>
          <w:rFonts w:hint="eastAsia"/>
        </w:rPr>
        <w:t>各个社区都有自己真正文化正式表达方式的宝库，反映出国家文化特性的一种基本组成部分。提倡和欣赏通俗文化的表现形式使人们得以每天都坚持文化特性，并自由发扬文化传统，将文化和自然遗产知识和鉴赏纳入教育进程，成为实现各土著社区和其他族裔阶层文化的生动形式。一个有效的方式便是抢救口头文学及其神话、传说、故事和传统以及歌曲、民谣、韵律和乐器等文化遗产内所涵括的文化；社区庆祝活动的起源和意义；手工艺及其象征意义和大量文化财富的表达方式。这些都配合教育进程的发展，在维护土著文化方面成为活的资料和辩证实施的本质所在。</w:t>
      </w:r>
    </w:p>
    <w:p w:rsidR="00000000" w:rsidRDefault="00000000">
      <w:pPr>
        <w:rPr>
          <w:rFonts w:hint="eastAsia"/>
        </w:rPr>
      </w:pPr>
      <w:r>
        <w:rPr>
          <w:rFonts w:hint="eastAsia"/>
        </w:rPr>
        <w:tab/>
        <w:t xml:space="preserve">560.  </w:t>
      </w:r>
      <w:r>
        <w:rPr>
          <w:rFonts w:hint="eastAsia"/>
        </w:rPr>
        <w:t>虽然文化推广也许似乎尚未成为结构化和制度化的整体，但厄瓜多尔政府、省级和市政委员会正致力开展各种推广文化的活动。外交部造型艺术家作品、题为“厄瓜多尔形象”的文化推广方案、有关厄瓜多尔文化的录象带和私营组织发行的有关民间庆祝活动、当代造型艺术和照片的出版物显示出我们的文化活动是近年以来最杰出的文化活动之一。</w:t>
      </w:r>
    </w:p>
    <w:p w:rsidR="00000000" w:rsidRDefault="00000000">
      <w:pPr>
        <w:spacing w:after="320"/>
        <w:rPr>
          <w:rFonts w:hint="eastAsia"/>
        </w:rPr>
      </w:pPr>
      <w:r>
        <w:rPr>
          <w:rFonts w:hint="eastAsia"/>
        </w:rPr>
        <w:tab/>
        <w:t xml:space="preserve">561.  </w:t>
      </w:r>
      <w:r>
        <w:rPr>
          <w:rFonts w:hint="eastAsia"/>
        </w:rPr>
        <w:t>一项传播文化的全国性方案包括若干不同部分：通过大众媒体</w:t>
      </w:r>
      <w:r>
        <w:rPr>
          <w:rFonts w:hint="eastAsia"/>
          <w:spacing w:val="-50"/>
        </w:rPr>
        <w:t>―</w:t>
      </w:r>
      <w:r>
        <w:rPr>
          <w:rFonts w:hint="eastAsia"/>
        </w:rPr>
        <w:t>―新闻、无线电、电视、因特网和视听通讯</w:t>
      </w:r>
      <w:r>
        <w:rPr>
          <w:rFonts w:hint="eastAsia"/>
          <w:spacing w:val="-50"/>
        </w:rPr>
        <w:t>―</w:t>
      </w:r>
      <w:r>
        <w:rPr>
          <w:rFonts w:hint="eastAsia"/>
        </w:rPr>
        <w:t>―制作和发行；印刷和出版；以及在国际上传播厄瓜多尔文化。</w:t>
      </w:r>
    </w:p>
    <w:p w:rsidR="00000000" w:rsidRDefault="00000000">
      <w:pPr>
        <w:pStyle w:val="Heading4"/>
        <w:rPr>
          <w:rFonts w:eastAsia="KaiTi_GB2312" w:hint="eastAsia"/>
          <w:spacing w:val="0"/>
          <w:u w:val="none"/>
        </w:rPr>
      </w:pPr>
      <w:r>
        <w:rPr>
          <w:rFonts w:eastAsia="KaiTi_GB2312" w:hint="eastAsia"/>
          <w:spacing w:val="0"/>
          <w:u w:val="none"/>
        </w:rPr>
        <w:t>文化遗产构成部分</w:t>
      </w:r>
    </w:p>
    <w:p w:rsidR="00000000" w:rsidRDefault="00000000">
      <w:pPr>
        <w:rPr>
          <w:rFonts w:hint="eastAsia"/>
        </w:rPr>
      </w:pPr>
      <w:r>
        <w:rPr>
          <w:rFonts w:hint="eastAsia"/>
        </w:rPr>
        <w:tab/>
        <w:t xml:space="preserve">562.  </w:t>
      </w:r>
      <w:r>
        <w:rPr>
          <w:rFonts w:hint="eastAsia"/>
        </w:rPr>
        <w:t>联合国教育、科学及文化组织</w:t>
      </w:r>
      <w:r>
        <w:rPr>
          <w:rFonts w:hint="eastAsia"/>
        </w:rPr>
        <w:t>(</w:t>
      </w:r>
      <w:r>
        <w:rPr>
          <w:rFonts w:hint="eastAsia"/>
        </w:rPr>
        <w:t>教科文组织</w:t>
      </w:r>
      <w:r>
        <w:rPr>
          <w:rFonts w:hint="eastAsia"/>
        </w:rPr>
        <w:t>)</w:t>
      </w:r>
      <w:r>
        <w:rPr>
          <w:rFonts w:hint="eastAsia"/>
        </w:rPr>
        <w:t>于</w:t>
      </w:r>
      <w:r>
        <w:rPr>
          <w:rFonts w:hint="eastAsia"/>
        </w:rPr>
        <w:t>1978</w:t>
      </w:r>
      <w:r>
        <w:rPr>
          <w:rFonts w:hint="eastAsia"/>
        </w:rPr>
        <w:t>年</w:t>
      </w:r>
      <w:r>
        <w:rPr>
          <w:rFonts w:hint="eastAsia"/>
        </w:rPr>
        <w:t>9</w:t>
      </w:r>
      <w:r>
        <w:rPr>
          <w:rFonts w:hint="eastAsia"/>
        </w:rPr>
        <w:t>月宣布厄瓜多尔首都基多为人类文化遗产的一部分。同时，教科文组织还宣布加拉帕戈斯岛为人类自然遗产的一部分。昆卡由于其历史中心、博物馆和每两年举办一次的展览而于</w:t>
      </w:r>
      <w:r>
        <w:rPr>
          <w:rFonts w:hint="eastAsia"/>
        </w:rPr>
        <w:t>2001</w:t>
      </w:r>
      <w:r>
        <w:rPr>
          <w:rFonts w:hint="eastAsia"/>
        </w:rPr>
        <w:t>年被列入文化遗产的一部分。</w:t>
      </w:r>
    </w:p>
    <w:p w:rsidR="00000000" w:rsidRDefault="00000000">
      <w:pPr>
        <w:rPr>
          <w:rFonts w:hint="eastAsia"/>
        </w:rPr>
      </w:pPr>
      <w:r>
        <w:rPr>
          <w:rFonts w:hint="eastAsia"/>
        </w:rPr>
        <w:tab/>
        <w:t xml:space="preserve">563.  </w:t>
      </w:r>
      <w:r>
        <w:rPr>
          <w:rFonts w:hint="eastAsia"/>
        </w:rPr>
        <w:t>国民大会于</w:t>
      </w:r>
      <w:r>
        <w:rPr>
          <w:rFonts w:hint="eastAsia"/>
        </w:rPr>
        <w:t>1987</w:t>
      </w:r>
      <w:r>
        <w:rPr>
          <w:rFonts w:hint="eastAsia"/>
        </w:rPr>
        <w:t>年</w:t>
      </w:r>
      <w:r>
        <w:rPr>
          <w:rFonts w:hint="eastAsia"/>
        </w:rPr>
        <w:t>12</w:t>
      </w:r>
      <w:r>
        <w:rPr>
          <w:rFonts w:hint="eastAsia"/>
        </w:rPr>
        <w:t>月</w:t>
      </w:r>
      <w:r>
        <w:rPr>
          <w:rFonts w:hint="eastAsia"/>
        </w:rPr>
        <w:t>23</w:t>
      </w:r>
      <w:r>
        <w:rPr>
          <w:rFonts w:hint="eastAsia"/>
        </w:rPr>
        <w:t>日在第</w:t>
      </w:r>
      <w:r>
        <w:rPr>
          <w:rFonts w:hint="eastAsia"/>
        </w:rPr>
        <w:t>838</w:t>
      </w:r>
      <w:r>
        <w:rPr>
          <w:rFonts w:hint="eastAsia"/>
        </w:rPr>
        <w:t>号政府公报上发表第</w:t>
      </w:r>
      <w:r>
        <w:rPr>
          <w:rFonts w:hint="eastAsia"/>
        </w:rPr>
        <w:t>82</w:t>
      </w:r>
      <w:r>
        <w:rPr>
          <w:rFonts w:hint="eastAsia"/>
        </w:rPr>
        <w:t>号法案，设立了文化遗产抢救基金，以修复、维护和保护受</w:t>
      </w:r>
      <w:r>
        <w:rPr>
          <w:rFonts w:hint="eastAsia"/>
        </w:rPr>
        <w:t>1987</w:t>
      </w:r>
      <w:r>
        <w:rPr>
          <w:rFonts w:hint="eastAsia"/>
        </w:rPr>
        <w:t>年</w:t>
      </w:r>
      <w:r>
        <w:rPr>
          <w:rFonts w:hint="eastAsia"/>
        </w:rPr>
        <w:t>3</w:t>
      </w:r>
      <w:r>
        <w:rPr>
          <w:rFonts w:hint="eastAsia"/>
        </w:rPr>
        <w:t>月地震影响的历史、艺术、宗教和文化物品，此次地震严重破坏了基多市的历史文化遗产。该基金每年可获得</w:t>
      </w:r>
      <w:r>
        <w:rPr>
          <w:rFonts w:hint="eastAsia"/>
        </w:rPr>
        <w:t>10%</w:t>
      </w:r>
      <w:r>
        <w:rPr>
          <w:rFonts w:hint="eastAsia"/>
        </w:rPr>
        <w:t>的国家紧急基金预算；然而，尚未进行这类预算转拨，从而削弱了修复受影响文化宝藏进程的效力。</w:t>
      </w:r>
    </w:p>
    <w:p w:rsidR="00000000" w:rsidRDefault="00000000">
      <w:pPr>
        <w:rPr>
          <w:rFonts w:hint="eastAsia"/>
        </w:rPr>
      </w:pPr>
      <w:r>
        <w:rPr>
          <w:rFonts w:hint="eastAsia"/>
        </w:rPr>
        <w:tab/>
        <w:t xml:space="preserve">564.  </w:t>
      </w:r>
      <w:r>
        <w:rPr>
          <w:rFonts w:hint="eastAsia"/>
        </w:rPr>
        <w:t>为此，国民大会通过了一项法案，修正设立文化遗产抢救基金的立法，并于</w:t>
      </w:r>
      <w:r>
        <w:rPr>
          <w:rFonts w:hint="eastAsia"/>
        </w:rPr>
        <w:t>1991</w:t>
      </w:r>
      <w:r>
        <w:rPr>
          <w:rFonts w:hint="eastAsia"/>
        </w:rPr>
        <w:t>年</w:t>
      </w:r>
      <w:r>
        <w:rPr>
          <w:rFonts w:hint="eastAsia"/>
        </w:rPr>
        <w:t>11</w:t>
      </w:r>
      <w:r>
        <w:rPr>
          <w:rFonts w:hint="eastAsia"/>
        </w:rPr>
        <w:t>月</w:t>
      </w:r>
      <w:r>
        <w:rPr>
          <w:rFonts w:hint="eastAsia"/>
        </w:rPr>
        <w:t>8</w:t>
      </w:r>
      <w:r>
        <w:rPr>
          <w:rFonts w:hint="eastAsia"/>
        </w:rPr>
        <w:t>日在第</w:t>
      </w:r>
      <w:r>
        <w:rPr>
          <w:rFonts w:hint="eastAsia"/>
        </w:rPr>
        <w:t>808</w:t>
      </w:r>
      <w:r>
        <w:rPr>
          <w:rFonts w:hint="eastAsia"/>
        </w:rPr>
        <w:t>号政府公报上公布。该法案要求全国紧急基金划拨相等于其</w:t>
      </w:r>
      <w:r>
        <w:rPr>
          <w:rFonts w:hint="eastAsia"/>
        </w:rPr>
        <w:t>10%</w:t>
      </w:r>
      <w:r>
        <w:rPr>
          <w:rFonts w:hint="eastAsia"/>
        </w:rPr>
        <w:t>的初步预算到基多市在中央银行的特别帐户。自此之后，修复进程按期进行。同时，文化遗产抢救基金还收到海外款项，作为修复文化遗产非常重要的支助来源。</w:t>
      </w:r>
    </w:p>
    <w:p w:rsidR="00000000" w:rsidRDefault="00000000">
      <w:pPr>
        <w:rPr>
          <w:rFonts w:hint="eastAsia"/>
        </w:rPr>
      </w:pPr>
      <w:r>
        <w:rPr>
          <w:rFonts w:hint="eastAsia"/>
        </w:rPr>
        <w:tab/>
        <w:t xml:space="preserve">565.  </w:t>
      </w:r>
      <w:r>
        <w:rPr>
          <w:rFonts w:hint="eastAsia"/>
        </w:rPr>
        <w:t>《宪法》第</w:t>
      </w:r>
      <w:r>
        <w:rPr>
          <w:rFonts w:hint="eastAsia"/>
        </w:rPr>
        <w:t>62</w:t>
      </w:r>
      <w:r>
        <w:rPr>
          <w:rFonts w:hint="eastAsia"/>
        </w:rPr>
        <w:t>条规定，“文化是人民的遗产，构成其特性的基本组成部分。国家应提倡并鼓励文化、创造、艺术培训和科学研究。应制定维护、修复和保护及尊重有形和无形文化遗产、艺术、历史、语言和考古财富方面的连贯政策，以及树立国家、多种文化和多族裔特性的一系列价值观和多样表现形式。国家应培育多元文化，其政策和机构应建立在公平和文化平等原则的基础之上。”</w:t>
      </w:r>
    </w:p>
    <w:p w:rsidR="00000000" w:rsidRDefault="00000000">
      <w:pPr>
        <w:rPr>
          <w:rFonts w:hint="eastAsia"/>
        </w:rPr>
      </w:pPr>
      <w:r>
        <w:rPr>
          <w:rFonts w:hint="eastAsia"/>
        </w:rPr>
        <w:tab/>
        <w:t xml:space="preserve">566.  </w:t>
      </w:r>
      <w:r>
        <w:rPr>
          <w:rFonts w:hint="eastAsia"/>
        </w:rPr>
        <w:t>第</w:t>
      </w:r>
      <w:r>
        <w:rPr>
          <w:rFonts w:hint="eastAsia"/>
        </w:rPr>
        <w:t>63</w:t>
      </w:r>
      <w:r>
        <w:rPr>
          <w:rFonts w:hint="eastAsia"/>
        </w:rPr>
        <w:t>条提到个人参加文化活动：“国家应保障每个人均享有平等环境和机会行使和参与文化产品、服务和表现形式，并采取各项措施确保社会、教育体系、私营企业和媒体对培育创造性和多种表现形式的文化活动作出贡献。知识分子和艺术家应通过其组织参与拟订文化政策。”</w:t>
      </w:r>
    </w:p>
    <w:p w:rsidR="00000000" w:rsidRDefault="00000000">
      <w:pPr>
        <w:rPr>
          <w:rFonts w:hint="eastAsia"/>
        </w:rPr>
      </w:pPr>
      <w:r>
        <w:rPr>
          <w:rFonts w:hint="eastAsia"/>
        </w:rPr>
        <w:tab/>
        <w:t>567.  1948</w:t>
      </w:r>
      <w:r>
        <w:rPr>
          <w:rFonts w:hint="eastAsia"/>
        </w:rPr>
        <w:t>年《世界人权宣言》第</w:t>
      </w:r>
      <w:r>
        <w:rPr>
          <w:rFonts w:hint="eastAsia"/>
        </w:rPr>
        <w:t>27</w:t>
      </w:r>
      <w:r>
        <w:rPr>
          <w:rFonts w:hint="eastAsia"/>
        </w:rPr>
        <w:t>条规定：“人人有权自由参加社会的文化生活，享受艺术，并分享科学进步及其产生的福利。”该宣言又补充规定：“人人对由于他所创作的任何科学、文学或美术作品而产生的精神的和物质的利益，有享受保护的权利。”</w:t>
      </w:r>
    </w:p>
    <w:p w:rsidR="00000000" w:rsidRDefault="00000000">
      <w:pPr>
        <w:rPr>
          <w:rFonts w:hint="eastAsia"/>
        </w:rPr>
      </w:pPr>
      <w:r>
        <w:rPr>
          <w:rFonts w:hint="eastAsia"/>
        </w:rPr>
        <w:tab/>
        <w:t xml:space="preserve">568.  </w:t>
      </w:r>
      <w:r>
        <w:rPr>
          <w:rFonts w:hint="eastAsia"/>
        </w:rPr>
        <w:t>厄瓜多尔在缔结</w:t>
      </w:r>
      <w:r>
        <w:rPr>
          <w:rFonts w:hint="eastAsia"/>
        </w:rPr>
        <w:t>1886</w:t>
      </w:r>
      <w:r>
        <w:rPr>
          <w:rFonts w:hint="eastAsia"/>
        </w:rPr>
        <w:t>年《伯尔尼保护文学和艺术品公约》一年后通过并颁布了《</w:t>
      </w:r>
      <w:r>
        <w:rPr>
          <w:rFonts w:hint="eastAsia"/>
        </w:rPr>
        <w:t>1887</w:t>
      </w:r>
      <w:r>
        <w:rPr>
          <w:rFonts w:hint="eastAsia"/>
        </w:rPr>
        <w:t>年艺术和文学产权法》，该法在</w:t>
      </w:r>
      <w:r>
        <w:rPr>
          <w:rFonts w:hint="eastAsia"/>
        </w:rPr>
        <w:t>1958</w:t>
      </w:r>
      <w:r>
        <w:rPr>
          <w:rFonts w:hint="eastAsia"/>
        </w:rPr>
        <w:t>年前一直有效。厄瓜多尔于</w:t>
      </w:r>
      <w:r>
        <w:rPr>
          <w:rFonts w:hint="eastAsia"/>
        </w:rPr>
        <w:t>1958</w:t>
      </w:r>
      <w:r>
        <w:rPr>
          <w:rFonts w:hint="eastAsia"/>
        </w:rPr>
        <w:t>年</w:t>
      </w:r>
      <w:r>
        <w:rPr>
          <w:rFonts w:hint="eastAsia"/>
        </w:rPr>
        <w:t>2</w:t>
      </w:r>
      <w:r>
        <w:rPr>
          <w:rFonts w:hint="eastAsia"/>
        </w:rPr>
        <w:t>月颁布了《知识产权法》。这是受到</w:t>
      </w:r>
      <w:r>
        <w:rPr>
          <w:rFonts w:hint="eastAsia"/>
        </w:rPr>
        <w:t>1952</w:t>
      </w:r>
      <w:r>
        <w:rPr>
          <w:rFonts w:hint="eastAsia"/>
        </w:rPr>
        <w:t>年在日内瓦缔结的《世界版权公约》的启发，该公约随后由厄瓜多尔议会于</w:t>
      </w:r>
      <w:r>
        <w:rPr>
          <w:rFonts w:hint="eastAsia"/>
        </w:rPr>
        <w:t>1956</w:t>
      </w:r>
      <w:r>
        <w:rPr>
          <w:rFonts w:hint="eastAsia"/>
        </w:rPr>
        <w:t>年</w:t>
      </w:r>
      <w:r>
        <w:rPr>
          <w:rFonts w:hint="eastAsia"/>
        </w:rPr>
        <w:t>11</w:t>
      </w:r>
      <w:r>
        <w:rPr>
          <w:rFonts w:hint="eastAsia"/>
        </w:rPr>
        <w:t>月</w:t>
      </w:r>
      <w:r>
        <w:rPr>
          <w:rFonts w:hint="eastAsia"/>
        </w:rPr>
        <w:t>6</w:t>
      </w:r>
      <w:r>
        <w:rPr>
          <w:rFonts w:hint="eastAsia"/>
        </w:rPr>
        <w:t>日纳入国内法，这反映在</w:t>
      </w:r>
      <w:r>
        <w:rPr>
          <w:rFonts w:hint="eastAsia"/>
        </w:rPr>
        <w:t>1957</w:t>
      </w:r>
      <w:r>
        <w:rPr>
          <w:rFonts w:hint="eastAsia"/>
        </w:rPr>
        <w:t>年</w:t>
      </w:r>
      <w:r>
        <w:rPr>
          <w:rFonts w:hint="eastAsia"/>
        </w:rPr>
        <w:t>4</w:t>
      </w:r>
      <w:r>
        <w:rPr>
          <w:rFonts w:hint="eastAsia"/>
        </w:rPr>
        <w:t>月</w:t>
      </w:r>
      <w:r>
        <w:rPr>
          <w:rFonts w:hint="eastAsia"/>
        </w:rPr>
        <w:t>24</w:t>
      </w:r>
      <w:r>
        <w:rPr>
          <w:rFonts w:hint="eastAsia"/>
        </w:rPr>
        <w:t>日第</w:t>
      </w:r>
      <w:r>
        <w:rPr>
          <w:rFonts w:hint="eastAsia"/>
        </w:rPr>
        <w:t>194</w:t>
      </w:r>
      <w:r>
        <w:rPr>
          <w:rFonts w:hint="eastAsia"/>
        </w:rPr>
        <w:t>号政府公报中。</w:t>
      </w:r>
    </w:p>
    <w:p w:rsidR="00000000" w:rsidRDefault="00000000">
      <w:pPr>
        <w:rPr>
          <w:rFonts w:hint="eastAsia"/>
        </w:rPr>
      </w:pPr>
      <w:r>
        <w:rPr>
          <w:rFonts w:hint="eastAsia"/>
        </w:rPr>
        <w:tab/>
        <w:t>569.  1971</w:t>
      </w:r>
      <w:r>
        <w:rPr>
          <w:rFonts w:hint="eastAsia"/>
        </w:rPr>
        <w:t>年</w:t>
      </w:r>
      <w:r>
        <w:rPr>
          <w:rFonts w:hint="eastAsia"/>
        </w:rPr>
        <w:t>7</w:t>
      </w:r>
      <w:r>
        <w:rPr>
          <w:rFonts w:hint="eastAsia"/>
        </w:rPr>
        <w:t>月</w:t>
      </w:r>
      <w:r>
        <w:rPr>
          <w:rFonts w:hint="eastAsia"/>
        </w:rPr>
        <w:t>24</w:t>
      </w:r>
      <w:r>
        <w:rPr>
          <w:rFonts w:hint="eastAsia"/>
        </w:rPr>
        <w:t>日的法案在巴黎修订了《世界版权公约》和《伯尔尼公约》之后，厄瓜多尔成为这些新国际文书的缔约国，于</w:t>
      </w:r>
      <w:r>
        <w:rPr>
          <w:rFonts w:hint="eastAsia"/>
        </w:rPr>
        <w:t>1976</w:t>
      </w:r>
      <w:r>
        <w:rPr>
          <w:rFonts w:hint="eastAsia"/>
        </w:rPr>
        <w:t>年</w:t>
      </w:r>
      <w:r>
        <w:rPr>
          <w:rFonts w:hint="eastAsia"/>
        </w:rPr>
        <w:t>8</w:t>
      </w:r>
      <w:r>
        <w:rPr>
          <w:rFonts w:hint="eastAsia"/>
        </w:rPr>
        <w:t>月</w:t>
      </w:r>
      <w:r>
        <w:rPr>
          <w:rFonts w:hint="eastAsia"/>
        </w:rPr>
        <w:t>13</w:t>
      </w:r>
      <w:r>
        <w:rPr>
          <w:rFonts w:hint="eastAsia"/>
        </w:rPr>
        <w:t>日在第</w:t>
      </w:r>
      <w:r>
        <w:rPr>
          <w:rFonts w:hint="eastAsia"/>
        </w:rPr>
        <w:t>149</w:t>
      </w:r>
      <w:r>
        <w:rPr>
          <w:rFonts w:hint="eastAsia"/>
        </w:rPr>
        <w:t>号政府公报中颁布了《版权法》；于</w:t>
      </w:r>
      <w:r>
        <w:rPr>
          <w:rFonts w:hint="eastAsia"/>
        </w:rPr>
        <w:t>1977</w:t>
      </w:r>
      <w:r>
        <w:rPr>
          <w:rFonts w:hint="eastAsia"/>
        </w:rPr>
        <w:t>年</w:t>
      </w:r>
      <w:r>
        <w:rPr>
          <w:rFonts w:hint="eastAsia"/>
        </w:rPr>
        <w:t>12</w:t>
      </w:r>
      <w:r>
        <w:rPr>
          <w:rFonts w:hint="eastAsia"/>
        </w:rPr>
        <w:t>月</w:t>
      </w:r>
      <w:r>
        <w:rPr>
          <w:rFonts w:hint="eastAsia"/>
        </w:rPr>
        <w:t>30</w:t>
      </w:r>
      <w:r>
        <w:rPr>
          <w:rFonts w:hint="eastAsia"/>
        </w:rPr>
        <w:t>日在第</w:t>
      </w:r>
      <w:r>
        <w:rPr>
          <w:rFonts w:hint="eastAsia"/>
        </w:rPr>
        <w:t>495</w:t>
      </w:r>
      <w:r>
        <w:rPr>
          <w:rFonts w:hint="eastAsia"/>
        </w:rPr>
        <w:t>号政府公报中颁布了《版权法总执行条例》。根据此一法案和条例，厄瓜多尔政府于</w:t>
      </w:r>
      <w:r>
        <w:rPr>
          <w:rFonts w:hint="eastAsia"/>
        </w:rPr>
        <w:t>1979</w:t>
      </w:r>
      <w:r>
        <w:rPr>
          <w:rFonts w:hint="eastAsia"/>
        </w:rPr>
        <w:t>年批准成立厄瓜多尔作家和作曲家协会，作为管理音乐创作领域权利的唯一的集体管理协会，这是因为《版权法》明文禁止在厄瓜多尔国内两个或更多同类协会的法律存在。在</w:t>
      </w:r>
      <w:r>
        <w:rPr>
          <w:rFonts w:hint="eastAsia"/>
        </w:rPr>
        <w:t>1979</w:t>
      </w:r>
      <w:r>
        <w:rPr>
          <w:rFonts w:hint="eastAsia"/>
        </w:rPr>
        <w:t>年，重新修正了《巴黎法》，厄瓜多尔随后加入。</w:t>
      </w:r>
    </w:p>
    <w:p w:rsidR="00000000" w:rsidRDefault="00000000">
      <w:pPr>
        <w:rPr>
          <w:rFonts w:hint="eastAsia"/>
        </w:rPr>
      </w:pPr>
      <w:r>
        <w:rPr>
          <w:rFonts w:hint="eastAsia"/>
        </w:rPr>
        <w:tab/>
        <w:t xml:space="preserve">570.  </w:t>
      </w:r>
      <w:r>
        <w:rPr>
          <w:rFonts w:hint="eastAsia"/>
        </w:rPr>
        <w:t>因此，应该强调两项《世界公约》和《版权法》的各项规定以及《保护表演者、唱片制作者和广播组织国际公约》的各项规定已在厄瓜多尔生效。《保护录音制品制作者防止未经许可复制其录音制品公约》的条款规定也在厄瓜多尔生效。为此，国民大会于</w:t>
      </w:r>
      <w:r>
        <w:rPr>
          <w:rFonts w:hint="eastAsia"/>
        </w:rPr>
        <w:t>1992</w:t>
      </w:r>
      <w:r>
        <w:rPr>
          <w:rFonts w:hint="eastAsia"/>
        </w:rPr>
        <w:t>年</w:t>
      </w:r>
      <w:r>
        <w:rPr>
          <w:rFonts w:hint="eastAsia"/>
        </w:rPr>
        <w:t>7</w:t>
      </w:r>
      <w:r>
        <w:rPr>
          <w:rFonts w:hint="eastAsia"/>
        </w:rPr>
        <w:t>月</w:t>
      </w:r>
      <w:r>
        <w:rPr>
          <w:rFonts w:hint="eastAsia"/>
        </w:rPr>
        <w:t>22</w:t>
      </w:r>
      <w:r>
        <w:rPr>
          <w:rFonts w:hint="eastAsia"/>
        </w:rPr>
        <w:t>日第</w:t>
      </w:r>
      <w:r>
        <w:rPr>
          <w:rFonts w:hint="eastAsia"/>
        </w:rPr>
        <w:t>984</w:t>
      </w:r>
      <w:r>
        <w:rPr>
          <w:rFonts w:hint="eastAsia"/>
        </w:rPr>
        <w:t>号政府公报中颁布了《防止音乐盗版法》。</w:t>
      </w:r>
    </w:p>
    <w:p w:rsidR="00000000" w:rsidRDefault="00000000">
      <w:pPr>
        <w:rPr>
          <w:rFonts w:hint="eastAsia"/>
        </w:rPr>
      </w:pPr>
      <w:r>
        <w:rPr>
          <w:rFonts w:hint="eastAsia"/>
        </w:rPr>
        <w:tab/>
        <w:t xml:space="preserve">571.  </w:t>
      </w:r>
      <w:r>
        <w:rPr>
          <w:rFonts w:hint="eastAsia"/>
        </w:rPr>
        <w:t>国民大会按照世界贸易组织《关于与贸易有关的知识产权方面的协定》新的条款规定，于</w:t>
      </w:r>
      <w:r>
        <w:rPr>
          <w:rFonts w:hint="eastAsia"/>
        </w:rPr>
        <w:t>1998</w:t>
      </w:r>
      <w:r>
        <w:rPr>
          <w:rFonts w:hint="eastAsia"/>
        </w:rPr>
        <w:t>年</w:t>
      </w:r>
      <w:r>
        <w:rPr>
          <w:rFonts w:hint="eastAsia"/>
        </w:rPr>
        <w:t>5</w:t>
      </w:r>
      <w:r>
        <w:rPr>
          <w:rFonts w:hint="eastAsia"/>
        </w:rPr>
        <w:t>月</w:t>
      </w:r>
      <w:r>
        <w:rPr>
          <w:rFonts w:hint="eastAsia"/>
        </w:rPr>
        <w:t>19</w:t>
      </w:r>
      <w:r>
        <w:rPr>
          <w:rFonts w:hint="eastAsia"/>
        </w:rPr>
        <w:t>日在第</w:t>
      </w:r>
      <w:r>
        <w:rPr>
          <w:rFonts w:hint="eastAsia"/>
        </w:rPr>
        <w:t>320</w:t>
      </w:r>
      <w:r>
        <w:rPr>
          <w:rFonts w:hint="eastAsia"/>
        </w:rPr>
        <w:t>号政府公报中发布了新的《知识产权法》。</w:t>
      </w:r>
    </w:p>
    <w:p w:rsidR="00000000" w:rsidRDefault="00000000">
      <w:pPr>
        <w:rPr>
          <w:rFonts w:hint="eastAsia"/>
        </w:rPr>
      </w:pPr>
      <w:r>
        <w:rPr>
          <w:rFonts w:hint="eastAsia"/>
        </w:rPr>
        <w:tab/>
        <w:t xml:space="preserve">572.  </w:t>
      </w:r>
      <w:r>
        <w:rPr>
          <w:rFonts w:hint="eastAsia"/>
        </w:rPr>
        <w:t>厄瓜多尔于</w:t>
      </w:r>
      <w:r>
        <w:rPr>
          <w:rFonts w:hint="eastAsia"/>
        </w:rPr>
        <w:t>1963</w:t>
      </w:r>
      <w:r>
        <w:rPr>
          <w:rFonts w:hint="eastAsia"/>
        </w:rPr>
        <w:t>年经由</w:t>
      </w:r>
      <w:r>
        <w:rPr>
          <w:rFonts w:hint="eastAsia"/>
        </w:rPr>
        <w:t>1963</w:t>
      </w:r>
      <w:r>
        <w:rPr>
          <w:rFonts w:hint="eastAsia"/>
        </w:rPr>
        <w:t>年</w:t>
      </w:r>
      <w:r>
        <w:rPr>
          <w:rFonts w:hint="eastAsia"/>
        </w:rPr>
        <w:t>10</w:t>
      </w:r>
      <w:r>
        <w:rPr>
          <w:rFonts w:hint="eastAsia"/>
        </w:rPr>
        <w:t>月</w:t>
      </w:r>
      <w:r>
        <w:rPr>
          <w:rFonts w:hint="eastAsia"/>
        </w:rPr>
        <w:t>24</w:t>
      </w:r>
      <w:r>
        <w:rPr>
          <w:rFonts w:hint="eastAsia"/>
        </w:rPr>
        <w:t>日第</w:t>
      </w:r>
      <w:r>
        <w:rPr>
          <w:rFonts w:hint="eastAsia"/>
        </w:rPr>
        <w:t>137</w:t>
      </w:r>
      <w:r>
        <w:rPr>
          <w:rFonts w:hint="eastAsia"/>
        </w:rPr>
        <w:t>号政府公报公布第</w:t>
      </w:r>
      <w:r>
        <w:rPr>
          <w:rFonts w:hint="eastAsia"/>
        </w:rPr>
        <w:t>811</w:t>
      </w:r>
      <w:r>
        <w:rPr>
          <w:rFonts w:hint="eastAsia"/>
        </w:rPr>
        <w:t>号最高法令成为《保护表演者、唱片制作者和广播组织国际公约》缔约国。</w:t>
      </w:r>
    </w:p>
    <w:p w:rsidR="00000000" w:rsidRDefault="00000000">
      <w:pPr>
        <w:rPr>
          <w:rFonts w:hint="eastAsia"/>
        </w:rPr>
      </w:pPr>
      <w:r>
        <w:rPr>
          <w:rFonts w:hint="eastAsia"/>
        </w:rPr>
        <w:tab/>
        <w:t xml:space="preserve">573.  </w:t>
      </w:r>
      <w:r>
        <w:rPr>
          <w:rFonts w:hint="eastAsia"/>
        </w:rPr>
        <w:t>厄瓜多尔于</w:t>
      </w:r>
      <w:r>
        <w:rPr>
          <w:rFonts w:hint="eastAsia"/>
        </w:rPr>
        <w:t>1971</w:t>
      </w:r>
      <w:r>
        <w:rPr>
          <w:rFonts w:hint="eastAsia"/>
        </w:rPr>
        <w:t>和</w:t>
      </w:r>
      <w:r>
        <w:rPr>
          <w:rFonts w:hint="eastAsia"/>
        </w:rPr>
        <w:t>1979</w:t>
      </w:r>
      <w:r>
        <w:rPr>
          <w:rFonts w:hint="eastAsia"/>
        </w:rPr>
        <w:t>年签署了《伯尔尼保护文学和艺术品公约》条款。</w:t>
      </w:r>
    </w:p>
    <w:p w:rsidR="00000000" w:rsidRDefault="00000000">
      <w:pPr>
        <w:rPr>
          <w:rFonts w:hint="eastAsia"/>
        </w:rPr>
      </w:pPr>
      <w:r>
        <w:rPr>
          <w:rFonts w:hint="eastAsia"/>
        </w:rPr>
        <w:tab/>
        <w:t xml:space="preserve">574.  </w:t>
      </w:r>
      <w:r>
        <w:rPr>
          <w:rFonts w:hint="eastAsia"/>
        </w:rPr>
        <w:t>厄瓜多尔于</w:t>
      </w:r>
      <w:r>
        <w:rPr>
          <w:rFonts w:hint="eastAsia"/>
        </w:rPr>
        <w:t>1971</w:t>
      </w:r>
      <w:r>
        <w:rPr>
          <w:rFonts w:hint="eastAsia"/>
        </w:rPr>
        <w:t>年签署了</w:t>
      </w:r>
      <w:r>
        <w:rPr>
          <w:rFonts w:hint="eastAsia"/>
        </w:rPr>
        <w:t>1971</w:t>
      </w:r>
      <w:r>
        <w:rPr>
          <w:rFonts w:hint="eastAsia"/>
        </w:rPr>
        <w:t>年</w:t>
      </w:r>
      <w:r>
        <w:rPr>
          <w:rFonts w:hint="eastAsia"/>
        </w:rPr>
        <w:t>7</w:t>
      </w:r>
      <w:r>
        <w:rPr>
          <w:rFonts w:hint="eastAsia"/>
        </w:rPr>
        <w:t>月</w:t>
      </w:r>
      <w:r>
        <w:rPr>
          <w:rFonts w:hint="eastAsia"/>
        </w:rPr>
        <w:t>14</w:t>
      </w:r>
      <w:r>
        <w:rPr>
          <w:rFonts w:hint="eastAsia"/>
        </w:rPr>
        <w:t>日在巴黎修订的《世界版权公约》，该公约通常称作“《</w:t>
      </w:r>
      <w:r>
        <w:rPr>
          <w:rFonts w:hint="eastAsia"/>
        </w:rPr>
        <w:t>1952</w:t>
      </w:r>
      <w:r>
        <w:rPr>
          <w:rFonts w:hint="eastAsia"/>
        </w:rPr>
        <w:t>年公约》”，此后称为“《</w:t>
      </w:r>
      <w:r>
        <w:rPr>
          <w:rFonts w:hint="eastAsia"/>
        </w:rPr>
        <w:t>1971</w:t>
      </w:r>
      <w:r>
        <w:rPr>
          <w:rFonts w:hint="eastAsia"/>
        </w:rPr>
        <w:t>年公约》”。</w:t>
      </w:r>
    </w:p>
    <w:p w:rsidR="00000000" w:rsidRDefault="00000000">
      <w:pPr>
        <w:spacing w:after="320"/>
        <w:rPr>
          <w:rFonts w:hint="eastAsia"/>
        </w:rPr>
      </w:pPr>
      <w:r>
        <w:rPr>
          <w:rFonts w:hint="eastAsia"/>
        </w:rPr>
        <w:tab/>
        <w:t xml:space="preserve">575.  </w:t>
      </w:r>
      <w:r>
        <w:rPr>
          <w:rFonts w:hint="eastAsia"/>
        </w:rPr>
        <w:t>厄瓜多尔于</w:t>
      </w:r>
      <w:r>
        <w:rPr>
          <w:rFonts w:hint="eastAsia"/>
        </w:rPr>
        <w:t>1996</w:t>
      </w:r>
      <w:r>
        <w:rPr>
          <w:rFonts w:hint="eastAsia"/>
        </w:rPr>
        <w:t>年通过了有关《世界知识产权组织表演和唱片条约》外交会议的《商定声明》。</w:t>
      </w:r>
    </w:p>
    <w:p w:rsidR="00000000" w:rsidRDefault="00000000">
      <w:pPr>
        <w:pStyle w:val="Heading3"/>
        <w:rPr>
          <w:rFonts w:hint="eastAsia"/>
        </w:rPr>
      </w:pPr>
      <w:r>
        <w:rPr>
          <w:rFonts w:hint="eastAsia"/>
        </w:rPr>
        <w:t>次级系统艺术培训文化机构</w:t>
      </w:r>
    </w:p>
    <w:p w:rsidR="00000000" w:rsidRDefault="00000000">
      <w:pPr>
        <w:pStyle w:val="Heading4"/>
        <w:rPr>
          <w:rFonts w:hint="eastAsia"/>
        </w:rPr>
      </w:pPr>
      <w:r>
        <w:rPr>
          <w:rFonts w:hint="eastAsia"/>
        </w:rPr>
        <w:t>音</w:t>
      </w:r>
      <w:r>
        <w:rPr>
          <w:rFonts w:hint="eastAsia"/>
        </w:rPr>
        <w:t xml:space="preserve">  </w:t>
      </w:r>
      <w:r>
        <w:rPr>
          <w:rFonts w:hint="eastAsia"/>
        </w:rPr>
        <w:t>乐</w:t>
      </w:r>
    </w:p>
    <w:p w:rsidR="00000000" w:rsidRDefault="00000000">
      <w:pPr>
        <w:pStyle w:val="Heading4"/>
        <w:rPr>
          <w:rFonts w:eastAsia="KaiTi_GB2312" w:hint="eastAsia"/>
          <w:spacing w:val="0"/>
          <w:u w:val="none"/>
        </w:rPr>
      </w:pPr>
      <w:r>
        <w:rPr>
          <w:rFonts w:eastAsia="KaiTi_GB2312" w:hint="eastAsia"/>
          <w:spacing w:val="0"/>
          <w:u w:val="none"/>
        </w:rPr>
        <w:t>音乐学校</w:t>
      </w:r>
    </w:p>
    <w:tbl>
      <w:tblPr>
        <w:tblW w:w="4958" w:type="pct"/>
        <w:tblInd w:w="40" w:type="dxa"/>
        <w:tblBorders>
          <w:top w:val="single" w:sz="6" w:space="0" w:color="auto"/>
          <w:left w:val="single" w:sz="6" w:space="0" w:color="auto"/>
          <w:bottom w:val="single" w:sz="6" w:space="0" w:color="auto"/>
          <w:right w:val="single" w:sz="6" w:space="0" w:color="auto"/>
          <w:insideV w:val="single" w:sz="6" w:space="0" w:color="auto"/>
        </w:tblBorders>
        <w:tblCellMar>
          <w:left w:w="40" w:type="dxa"/>
          <w:right w:w="40" w:type="dxa"/>
        </w:tblCellMar>
        <w:tblLook w:val="0000" w:firstRow="0" w:lastRow="0" w:firstColumn="0" w:lastColumn="0" w:noHBand="0" w:noVBand="0"/>
      </w:tblPr>
      <w:tblGrid>
        <w:gridCol w:w="6319"/>
        <w:gridCol w:w="1618"/>
        <w:gridCol w:w="1418"/>
      </w:tblGrid>
      <w:tr w:rsidR="00000000">
        <w:tblPrEx>
          <w:tblCellMar>
            <w:top w:w="0" w:type="dxa"/>
            <w:bottom w:w="0" w:type="dxa"/>
          </w:tblCellMar>
        </w:tblPrEx>
        <w:tc>
          <w:tcPr>
            <w:tcW w:w="3377" w:type="pct"/>
          </w:tcPr>
          <w:p w:rsidR="00000000" w:rsidRDefault="00000000">
            <w:pPr>
              <w:keepNext/>
              <w:keepLines/>
              <w:spacing w:before="60"/>
              <w:ind w:left="113"/>
              <w:rPr>
                <w:sz w:val="21"/>
                <w:lang w:val="fr-CH"/>
              </w:rPr>
            </w:pPr>
            <w:r>
              <w:rPr>
                <w:sz w:val="21"/>
                <w:szCs w:val="25"/>
                <w:lang w:val="fr-CH"/>
              </w:rPr>
              <w:t>Conservatorio Nacional de Música</w:t>
            </w:r>
          </w:p>
        </w:tc>
        <w:tc>
          <w:tcPr>
            <w:tcW w:w="865" w:type="pct"/>
          </w:tcPr>
          <w:p w:rsidR="00000000" w:rsidRDefault="00000000">
            <w:pPr>
              <w:keepNext/>
              <w:keepLines/>
              <w:spacing w:before="60"/>
              <w:ind w:left="113"/>
              <w:rPr>
                <w:sz w:val="21"/>
                <w:lang w:val="fr-CH"/>
              </w:rPr>
            </w:pPr>
            <w:r>
              <w:rPr>
                <w:sz w:val="21"/>
                <w:szCs w:val="25"/>
                <w:lang w:val="fr-CH"/>
              </w:rPr>
              <w:t>皮钦查</w:t>
            </w:r>
          </w:p>
        </w:tc>
        <w:tc>
          <w:tcPr>
            <w:tcW w:w="758" w:type="pct"/>
          </w:tcPr>
          <w:p w:rsidR="00000000" w:rsidRDefault="00000000">
            <w:pPr>
              <w:keepNext/>
              <w:keepLines/>
              <w:spacing w:before="60"/>
              <w:ind w:left="113"/>
              <w:rPr>
                <w:rFonts w:hint="eastAsia"/>
                <w:sz w:val="21"/>
                <w:lang w:val="fr-CH"/>
              </w:rPr>
            </w:pPr>
            <w:r>
              <w:rPr>
                <w:rFonts w:hint="eastAsia"/>
                <w:sz w:val="21"/>
                <w:lang w:val="fr-CH"/>
              </w:rPr>
              <w:t>基多</w:t>
            </w:r>
          </w:p>
        </w:tc>
      </w:tr>
      <w:tr w:rsidR="00000000">
        <w:tblPrEx>
          <w:tblCellMar>
            <w:top w:w="0" w:type="dxa"/>
            <w:bottom w:w="0" w:type="dxa"/>
          </w:tblCellMar>
        </w:tblPrEx>
        <w:tc>
          <w:tcPr>
            <w:tcW w:w="3377" w:type="pct"/>
          </w:tcPr>
          <w:p w:rsidR="00000000" w:rsidRDefault="00000000">
            <w:pPr>
              <w:keepNext/>
              <w:keepLines/>
              <w:ind w:left="113"/>
              <w:rPr>
                <w:sz w:val="21"/>
                <w:lang w:val="fr-CH"/>
              </w:rPr>
            </w:pPr>
            <w:r>
              <w:rPr>
                <w:sz w:val="21"/>
                <w:szCs w:val="25"/>
                <w:lang w:val="fr-CH"/>
              </w:rPr>
              <w:t>Conservatorio Nacional “Antonio Neumane”</w:t>
            </w:r>
          </w:p>
        </w:tc>
        <w:tc>
          <w:tcPr>
            <w:tcW w:w="865" w:type="pct"/>
          </w:tcPr>
          <w:p w:rsidR="00000000" w:rsidRDefault="00000000">
            <w:pPr>
              <w:keepNext/>
              <w:keepLines/>
              <w:ind w:left="113"/>
              <w:rPr>
                <w:sz w:val="21"/>
                <w:lang w:val="fr-CH"/>
              </w:rPr>
            </w:pPr>
            <w:r>
              <w:rPr>
                <w:sz w:val="21"/>
                <w:szCs w:val="25"/>
                <w:lang w:val="fr-CH"/>
              </w:rPr>
              <w:t>瓜亚斯</w:t>
            </w:r>
          </w:p>
        </w:tc>
        <w:tc>
          <w:tcPr>
            <w:tcW w:w="758" w:type="pct"/>
          </w:tcPr>
          <w:p w:rsidR="00000000" w:rsidRDefault="00000000">
            <w:pPr>
              <w:keepNext/>
              <w:keepLines/>
              <w:ind w:left="113"/>
              <w:rPr>
                <w:rFonts w:hint="eastAsia"/>
                <w:sz w:val="21"/>
                <w:lang w:val="fr-CH"/>
              </w:rPr>
            </w:pPr>
            <w:r>
              <w:rPr>
                <w:rFonts w:hint="eastAsia"/>
                <w:sz w:val="21"/>
                <w:lang w:val="fr-CH"/>
              </w:rPr>
              <w:t>瓜亚基尔</w:t>
            </w:r>
          </w:p>
        </w:tc>
      </w:tr>
      <w:tr w:rsidR="00000000">
        <w:tblPrEx>
          <w:tblCellMar>
            <w:top w:w="0" w:type="dxa"/>
            <w:bottom w:w="0" w:type="dxa"/>
          </w:tblCellMar>
        </w:tblPrEx>
        <w:tc>
          <w:tcPr>
            <w:tcW w:w="3377" w:type="pct"/>
          </w:tcPr>
          <w:p w:rsidR="00000000" w:rsidRDefault="00000000">
            <w:pPr>
              <w:keepNext/>
              <w:keepLines/>
              <w:ind w:left="113"/>
              <w:rPr>
                <w:sz w:val="21"/>
                <w:lang w:val="fr-CH"/>
              </w:rPr>
            </w:pPr>
            <w:r>
              <w:rPr>
                <w:sz w:val="21"/>
                <w:szCs w:val="25"/>
                <w:lang w:val="fr-CH"/>
              </w:rPr>
              <w:t>Conservatorio Nacional de Música “José María Rodríguez”</w:t>
            </w:r>
          </w:p>
        </w:tc>
        <w:tc>
          <w:tcPr>
            <w:tcW w:w="865" w:type="pct"/>
          </w:tcPr>
          <w:p w:rsidR="00000000" w:rsidRDefault="00000000">
            <w:pPr>
              <w:keepNext/>
              <w:keepLines/>
              <w:ind w:left="113"/>
              <w:rPr>
                <w:sz w:val="21"/>
                <w:lang w:val="fr-CH"/>
              </w:rPr>
            </w:pPr>
            <w:r>
              <w:rPr>
                <w:sz w:val="21"/>
                <w:szCs w:val="25"/>
                <w:lang w:val="fr-CH"/>
              </w:rPr>
              <w:t>阿苏艾</w:t>
            </w:r>
          </w:p>
        </w:tc>
        <w:tc>
          <w:tcPr>
            <w:tcW w:w="758" w:type="pct"/>
          </w:tcPr>
          <w:p w:rsidR="00000000" w:rsidRDefault="00000000">
            <w:pPr>
              <w:keepNext/>
              <w:keepLines/>
              <w:ind w:left="113"/>
              <w:rPr>
                <w:rFonts w:hint="eastAsia"/>
                <w:sz w:val="21"/>
                <w:lang w:val="fr-CH"/>
              </w:rPr>
            </w:pPr>
            <w:r>
              <w:rPr>
                <w:rFonts w:hint="eastAsia"/>
                <w:sz w:val="21"/>
                <w:lang w:val="fr-CH"/>
              </w:rPr>
              <w:t>昆卡</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de Música “Salvador Bustamante Celi”</w:t>
            </w:r>
          </w:p>
        </w:tc>
        <w:tc>
          <w:tcPr>
            <w:tcW w:w="865" w:type="pct"/>
          </w:tcPr>
          <w:p w:rsidR="00000000" w:rsidRDefault="00000000">
            <w:pPr>
              <w:ind w:left="113"/>
              <w:rPr>
                <w:sz w:val="21"/>
                <w:lang w:val="fr-CH"/>
              </w:rPr>
            </w:pPr>
            <w:r>
              <w:rPr>
                <w:sz w:val="21"/>
                <w:szCs w:val="25"/>
                <w:lang w:val="fr-CH"/>
              </w:rPr>
              <w:t>洛哈</w:t>
            </w:r>
          </w:p>
        </w:tc>
        <w:tc>
          <w:tcPr>
            <w:tcW w:w="758" w:type="pct"/>
          </w:tcPr>
          <w:p w:rsidR="00000000" w:rsidRDefault="00000000">
            <w:pPr>
              <w:ind w:left="113"/>
              <w:rPr>
                <w:sz w:val="21"/>
                <w:lang w:val="fr-CH"/>
              </w:rPr>
            </w:pPr>
            <w:r>
              <w:rPr>
                <w:sz w:val="21"/>
                <w:szCs w:val="25"/>
                <w:lang w:val="fr-CH"/>
              </w:rPr>
              <w:t>洛哈</w:t>
            </w:r>
          </w:p>
        </w:tc>
      </w:tr>
      <w:tr w:rsidR="00000000">
        <w:tblPrEx>
          <w:tblCellMar>
            <w:top w:w="0" w:type="dxa"/>
            <w:bottom w:w="0" w:type="dxa"/>
          </w:tblCellMar>
        </w:tblPrEx>
        <w:tc>
          <w:tcPr>
            <w:tcW w:w="3377" w:type="pct"/>
          </w:tcPr>
          <w:p w:rsidR="00000000" w:rsidRDefault="00000000">
            <w:pPr>
              <w:ind w:left="113"/>
              <w:rPr>
                <w:sz w:val="21"/>
                <w:szCs w:val="25"/>
                <w:lang w:val="fr-CH"/>
              </w:rPr>
            </w:pPr>
            <w:r>
              <w:rPr>
                <w:sz w:val="21"/>
                <w:szCs w:val="25"/>
                <w:lang w:val="fr-CH"/>
              </w:rPr>
              <w:t>Conservatorio Fiscomisional de Música, Teatro y Danza</w:t>
            </w:r>
          </w:p>
          <w:p w:rsidR="00000000" w:rsidRDefault="00000000">
            <w:pPr>
              <w:ind w:left="113"/>
              <w:rPr>
                <w:sz w:val="21"/>
                <w:lang w:val="fr-CH"/>
              </w:rPr>
            </w:pPr>
            <w:r>
              <w:rPr>
                <w:sz w:val="21"/>
                <w:szCs w:val="25"/>
                <w:lang w:val="fr-CH"/>
              </w:rPr>
              <w:t xml:space="preserve">   “La Merced”</w:t>
            </w:r>
          </w:p>
        </w:tc>
        <w:tc>
          <w:tcPr>
            <w:tcW w:w="865" w:type="pct"/>
          </w:tcPr>
          <w:p w:rsidR="00000000" w:rsidRDefault="00000000">
            <w:pPr>
              <w:ind w:left="113"/>
              <w:rPr>
                <w:sz w:val="21"/>
                <w:lang w:val="fr-CH"/>
              </w:rPr>
            </w:pPr>
            <w:r>
              <w:rPr>
                <w:sz w:val="21"/>
                <w:szCs w:val="23"/>
                <w:lang w:val="fr-CH"/>
              </w:rPr>
              <w:t>通古拉瓦</w:t>
            </w:r>
          </w:p>
        </w:tc>
        <w:tc>
          <w:tcPr>
            <w:tcW w:w="758" w:type="pct"/>
          </w:tcPr>
          <w:p w:rsidR="00000000" w:rsidRDefault="00000000">
            <w:pPr>
              <w:ind w:left="113"/>
              <w:rPr>
                <w:sz w:val="21"/>
                <w:lang w:val="fr-CH"/>
              </w:rPr>
            </w:pPr>
            <w:r>
              <w:rPr>
                <w:sz w:val="21"/>
                <w:lang w:val="fr-CH"/>
              </w:rPr>
              <w:t>安巴托</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Particular de Música “Padre Jaime Manuel Mola”</w:t>
            </w:r>
          </w:p>
        </w:tc>
        <w:tc>
          <w:tcPr>
            <w:tcW w:w="865" w:type="pct"/>
          </w:tcPr>
          <w:p w:rsidR="00000000" w:rsidRDefault="00000000">
            <w:pPr>
              <w:ind w:left="113"/>
              <w:rPr>
                <w:sz w:val="21"/>
                <w:lang w:val="fr-CH"/>
              </w:rPr>
            </w:pPr>
            <w:r>
              <w:rPr>
                <w:sz w:val="21"/>
                <w:szCs w:val="25"/>
                <w:lang w:val="fr-CH"/>
              </w:rPr>
              <w:t>皮钦查</w:t>
            </w:r>
          </w:p>
        </w:tc>
        <w:tc>
          <w:tcPr>
            <w:tcW w:w="758" w:type="pct"/>
          </w:tcPr>
          <w:p w:rsidR="00000000" w:rsidRDefault="00000000">
            <w:pPr>
              <w:ind w:left="113"/>
              <w:rPr>
                <w:sz w:val="21"/>
                <w:lang w:val="fr-CH"/>
              </w:rPr>
            </w:pPr>
            <w:r>
              <w:rPr>
                <w:rFonts w:hint="eastAsia"/>
                <w:sz w:val="21"/>
                <w:lang w:val="fr-CH"/>
              </w:rPr>
              <w:t>基多</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Particular de Música “Rimsky Korsakov”</w:t>
            </w:r>
          </w:p>
        </w:tc>
        <w:tc>
          <w:tcPr>
            <w:tcW w:w="865" w:type="pct"/>
          </w:tcPr>
          <w:p w:rsidR="00000000" w:rsidRDefault="00000000">
            <w:pPr>
              <w:ind w:left="113"/>
              <w:rPr>
                <w:sz w:val="21"/>
                <w:lang w:val="fr-CH"/>
              </w:rPr>
            </w:pPr>
            <w:r>
              <w:rPr>
                <w:sz w:val="21"/>
                <w:szCs w:val="25"/>
                <w:lang w:val="fr-CH"/>
              </w:rPr>
              <w:t>瓜亚斯</w:t>
            </w:r>
          </w:p>
        </w:tc>
        <w:tc>
          <w:tcPr>
            <w:tcW w:w="758" w:type="pct"/>
          </w:tcPr>
          <w:p w:rsidR="00000000" w:rsidRDefault="00000000">
            <w:pPr>
              <w:ind w:left="113"/>
              <w:rPr>
                <w:sz w:val="21"/>
                <w:lang w:val="fr-CH"/>
              </w:rPr>
            </w:pPr>
            <w:r>
              <w:rPr>
                <w:sz w:val="21"/>
                <w:szCs w:val="25"/>
                <w:lang w:val="fr-CH"/>
              </w:rPr>
              <w:t>瓜亚基尔</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del Sur - Municipio del Distrito Metropolitano</w:t>
            </w:r>
          </w:p>
        </w:tc>
        <w:tc>
          <w:tcPr>
            <w:tcW w:w="865" w:type="pct"/>
          </w:tcPr>
          <w:p w:rsidR="00000000" w:rsidRDefault="00000000">
            <w:pPr>
              <w:ind w:left="113"/>
              <w:rPr>
                <w:sz w:val="21"/>
                <w:lang w:val="fr-CH"/>
              </w:rPr>
            </w:pPr>
            <w:r>
              <w:rPr>
                <w:sz w:val="21"/>
                <w:szCs w:val="25"/>
                <w:lang w:val="fr-CH"/>
              </w:rPr>
              <w:t>皮钦查</w:t>
            </w:r>
          </w:p>
        </w:tc>
        <w:tc>
          <w:tcPr>
            <w:tcW w:w="758" w:type="pct"/>
          </w:tcPr>
          <w:p w:rsidR="00000000" w:rsidRDefault="00000000">
            <w:pPr>
              <w:ind w:left="113"/>
              <w:rPr>
                <w:sz w:val="21"/>
                <w:lang w:val="fr-CH"/>
              </w:rPr>
            </w:pPr>
            <w:r>
              <w:rPr>
                <w:rFonts w:hint="eastAsia"/>
                <w:sz w:val="21"/>
                <w:lang w:val="fr-CH"/>
              </w:rPr>
              <w:t>基多</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de Música de Zamora</w:t>
            </w:r>
          </w:p>
        </w:tc>
        <w:tc>
          <w:tcPr>
            <w:tcW w:w="865" w:type="pct"/>
          </w:tcPr>
          <w:p w:rsidR="00000000" w:rsidRDefault="00000000">
            <w:pPr>
              <w:ind w:left="113"/>
              <w:rPr>
                <w:sz w:val="21"/>
                <w:szCs w:val="25"/>
                <w:lang w:val="fr-CH"/>
              </w:rPr>
            </w:pPr>
            <w:r>
              <w:rPr>
                <w:sz w:val="21"/>
                <w:szCs w:val="25"/>
                <w:lang w:val="fr-CH"/>
              </w:rPr>
              <w:t>萨莫拉</w:t>
            </w:r>
          </w:p>
          <w:p w:rsidR="00000000" w:rsidRDefault="00000000">
            <w:pPr>
              <w:ind w:left="113"/>
              <w:rPr>
                <w:sz w:val="21"/>
                <w:lang w:val="fr-CH"/>
              </w:rPr>
            </w:pPr>
            <w:r>
              <w:rPr>
                <w:sz w:val="21"/>
                <w:szCs w:val="25"/>
                <w:lang w:val="fr-CH"/>
              </w:rPr>
              <w:t xml:space="preserve">  </w:t>
            </w:r>
            <w:r>
              <w:rPr>
                <w:sz w:val="21"/>
                <w:szCs w:val="25"/>
                <w:lang w:val="fr-CH"/>
              </w:rPr>
              <w:t>钦奇佩</w:t>
            </w:r>
          </w:p>
        </w:tc>
        <w:tc>
          <w:tcPr>
            <w:tcW w:w="758" w:type="pct"/>
          </w:tcPr>
          <w:p w:rsidR="00000000" w:rsidRDefault="00000000">
            <w:pPr>
              <w:ind w:left="113"/>
              <w:rPr>
                <w:rFonts w:hint="eastAsia"/>
                <w:sz w:val="21"/>
                <w:lang w:val="fr-CH"/>
              </w:rPr>
            </w:pPr>
            <w:r>
              <w:rPr>
                <w:rFonts w:hint="eastAsia"/>
                <w:sz w:val="21"/>
                <w:lang w:val="fr-CH"/>
              </w:rPr>
              <w:t>萨莫拉</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Nacional de Música</w:t>
            </w:r>
          </w:p>
        </w:tc>
        <w:tc>
          <w:tcPr>
            <w:tcW w:w="865" w:type="pct"/>
          </w:tcPr>
          <w:p w:rsidR="00000000" w:rsidRDefault="00000000">
            <w:pPr>
              <w:ind w:left="113"/>
              <w:rPr>
                <w:sz w:val="21"/>
                <w:lang w:val="fr-CH"/>
              </w:rPr>
            </w:pPr>
            <w:r>
              <w:rPr>
                <w:sz w:val="21"/>
                <w:szCs w:val="25"/>
                <w:lang w:val="fr-CH"/>
              </w:rPr>
              <w:t>埃尔奥罗</w:t>
            </w:r>
          </w:p>
        </w:tc>
        <w:tc>
          <w:tcPr>
            <w:tcW w:w="758" w:type="pct"/>
          </w:tcPr>
          <w:p w:rsidR="00000000" w:rsidRDefault="00000000">
            <w:pPr>
              <w:ind w:left="113"/>
              <w:rPr>
                <w:sz w:val="21"/>
                <w:lang w:val="fr-CH"/>
              </w:rPr>
            </w:pPr>
            <w:r>
              <w:rPr>
                <w:sz w:val="21"/>
                <w:szCs w:val="25"/>
                <w:lang w:val="fr-CH"/>
              </w:rPr>
              <w:t>马查拉</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de Música</w:t>
            </w:r>
          </w:p>
        </w:tc>
        <w:tc>
          <w:tcPr>
            <w:tcW w:w="865" w:type="pct"/>
          </w:tcPr>
          <w:p w:rsidR="00000000" w:rsidRDefault="00000000">
            <w:pPr>
              <w:ind w:left="113"/>
              <w:rPr>
                <w:sz w:val="21"/>
                <w:lang w:val="fr-CH"/>
              </w:rPr>
            </w:pPr>
            <w:r>
              <w:rPr>
                <w:sz w:val="21"/>
                <w:szCs w:val="25"/>
              </w:rPr>
              <w:t>洛斯里奥斯</w:t>
            </w:r>
          </w:p>
        </w:tc>
        <w:tc>
          <w:tcPr>
            <w:tcW w:w="758" w:type="pct"/>
          </w:tcPr>
          <w:p w:rsidR="00000000" w:rsidRDefault="00000000">
            <w:pPr>
              <w:ind w:left="113"/>
              <w:rPr>
                <w:sz w:val="21"/>
                <w:lang w:val="fr-CH"/>
              </w:rPr>
            </w:pPr>
            <w:r>
              <w:rPr>
                <w:sz w:val="21"/>
                <w:szCs w:val="25"/>
              </w:rPr>
              <w:t>巴巴奥约</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de Música “Dr. Jorge Manzano Escalante”</w:t>
            </w:r>
          </w:p>
        </w:tc>
        <w:tc>
          <w:tcPr>
            <w:tcW w:w="865" w:type="pct"/>
          </w:tcPr>
          <w:p w:rsidR="00000000" w:rsidRDefault="00000000">
            <w:pPr>
              <w:ind w:left="113"/>
              <w:rPr>
                <w:sz w:val="21"/>
                <w:lang w:val="fr-CH"/>
              </w:rPr>
            </w:pPr>
            <w:r>
              <w:rPr>
                <w:sz w:val="21"/>
                <w:szCs w:val="25"/>
              </w:rPr>
              <w:t>瓜亚斯</w:t>
            </w:r>
          </w:p>
        </w:tc>
        <w:tc>
          <w:tcPr>
            <w:tcW w:w="758" w:type="pct"/>
          </w:tcPr>
          <w:p w:rsidR="00000000" w:rsidRDefault="00000000">
            <w:pPr>
              <w:ind w:left="113"/>
              <w:rPr>
                <w:sz w:val="21"/>
                <w:lang w:val="fr-CH"/>
              </w:rPr>
            </w:pPr>
            <w:r>
              <w:rPr>
                <w:sz w:val="21"/>
                <w:szCs w:val="25"/>
              </w:rPr>
              <w:t>瓜亚基尔</w:t>
            </w:r>
          </w:p>
        </w:tc>
      </w:tr>
      <w:tr w:rsidR="00000000">
        <w:tblPrEx>
          <w:tblCellMar>
            <w:top w:w="0" w:type="dxa"/>
            <w:bottom w:w="0" w:type="dxa"/>
          </w:tblCellMar>
        </w:tblPrEx>
        <w:tc>
          <w:tcPr>
            <w:tcW w:w="3377" w:type="pct"/>
          </w:tcPr>
          <w:p w:rsidR="00000000" w:rsidRDefault="00000000">
            <w:pPr>
              <w:ind w:left="113"/>
              <w:rPr>
                <w:sz w:val="21"/>
              </w:rPr>
            </w:pPr>
            <w:r>
              <w:rPr>
                <w:sz w:val="21"/>
                <w:szCs w:val="25"/>
              </w:rPr>
              <w:t>Conservatorio de Música “Federico Chopín”</w:t>
            </w:r>
          </w:p>
        </w:tc>
        <w:tc>
          <w:tcPr>
            <w:tcW w:w="865" w:type="pct"/>
          </w:tcPr>
          <w:p w:rsidR="00000000" w:rsidRDefault="00000000">
            <w:pPr>
              <w:ind w:left="113"/>
              <w:rPr>
                <w:sz w:val="21"/>
              </w:rPr>
            </w:pPr>
            <w:r>
              <w:rPr>
                <w:sz w:val="21"/>
                <w:szCs w:val="25"/>
              </w:rPr>
              <w:t>瓜亚斯</w:t>
            </w:r>
          </w:p>
        </w:tc>
        <w:tc>
          <w:tcPr>
            <w:tcW w:w="758" w:type="pct"/>
          </w:tcPr>
          <w:p w:rsidR="00000000" w:rsidRDefault="00000000">
            <w:pPr>
              <w:ind w:left="113"/>
              <w:rPr>
                <w:sz w:val="21"/>
              </w:rPr>
            </w:pPr>
            <w:r>
              <w:rPr>
                <w:sz w:val="21"/>
                <w:szCs w:val="25"/>
              </w:rPr>
              <w:t>瓜亚基尔</w:t>
            </w:r>
          </w:p>
        </w:tc>
      </w:tr>
      <w:tr w:rsidR="00000000">
        <w:tblPrEx>
          <w:tblCellMar>
            <w:top w:w="0" w:type="dxa"/>
            <w:bottom w:w="0" w:type="dxa"/>
          </w:tblCellMar>
        </w:tblPrEx>
        <w:tc>
          <w:tcPr>
            <w:tcW w:w="3377" w:type="pct"/>
          </w:tcPr>
          <w:p w:rsidR="00000000" w:rsidRDefault="00000000">
            <w:pPr>
              <w:ind w:left="113"/>
              <w:rPr>
                <w:sz w:val="21"/>
              </w:rPr>
            </w:pPr>
            <w:r>
              <w:rPr>
                <w:sz w:val="21"/>
                <w:szCs w:val="25"/>
              </w:rPr>
              <w:t>Conservatorio de Música “Beethoven”</w:t>
            </w:r>
          </w:p>
        </w:tc>
        <w:tc>
          <w:tcPr>
            <w:tcW w:w="865" w:type="pct"/>
          </w:tcPr>
          <w:p w:rsidR="00000000" w:rsidRDefault="00000000">
            <w:pPr>
              <w:ind w:left="113"/>
              <w:rPr>
                <w:sz w:val="21"/>
                <w:lang w:val="fr-CH"/>
              </w:rPr>
            </w:pPr>
            <w:r>
              <w:rPr>
                <w:sz w:val="21"/>
                <w:szCs w:val="25"/>
                <w:lang w:val="fr-CH"/>
              </w:rPr>
              <w:t>瓜亚斯</w:t>
            </w:r>
          </w:p>
        </w:tc>
        <w:tc>
          <w:tcPr>
            <w:tcW w:w="758" w:type="pct"/>
          </w:tcPr>
          <w:p w:rsidR="00000000" w:rsidRDefault="00000000">
            <w:pPr>
              <w:ind w:left="113"/>
              <w:rPr>
                <w:sz w:val="21"/>
                <w:lang w:val="fr-CH"/>
              </w:rPr>
            </w:pPr>
            <w:r>
              <w:rPr>
                <w:sz w:val="21"/>
                <w:szCs w:val="25"/>
                <w:lang w:val="fr-CH"/>
              </w:rPr>
              <w:t>瓜亚基尔</w:t>
            </w:r>
          </w:p>
        </w:tc>
      </w:tr>
      <w:tr w:rsidR="00000000">
        <w:tblPrEx>
          <w:tblCellMar>
            <w:top w:w="0" w:type="dxa"/>
            <w:bottom w:w="0" w:type="dxa"/>
          </w:tblCellMar>
        </w:tblPrEx>
        <w:tc>
          <w:tcPr>
            <w:tcW w:w="3377" w:type="pct"/>
          </w:tcPr>
          <w:p w:rsidR="00000000" w:rsidRDefault="00000000">
            <w:pPr>
              <w:ind w:left="113"/>
              <w:rPr>
                <w:sz w:val="21"/>
                <w:lang w:val="fr-CH"/>
              </w:rPr>
            </w:pPr>
            <w:r>
              <w:rPr>
                <w:sz w:val="21"/>
                <w:szCs w:val="25"/>
                <w:lang w:val="fr-CH"/>
              </w:rPr>
              <w:t>Conservatorio de Música “Zulema Blacio”</w:t>
            </w:r>
          </w:p>
        </w:tc>
        <w:tc>
          <w:tcPr>
            <w:tcW w:w="865" w:type="pct"/>
          </w:tcPr>
          <w:p w:rsidR="00000000" w:rsidRDefault="00000000">
            <w:pPr>
              <w:ind w:left="113"/>
              <w:rPr>
                <w:sz w:val="21"/>
                <w:lang w:val="fr-CH"/>
              </w:rPr>
            </w:pPr>
            <w:r>
              <w:rPr>
                <w:sz w:val="21"/>
                <w:szCs w:val="25"/>
                <w:lang w:val="fr-CH"/>
              </w:rPr>
              <w:t>瓜亚斯</w:t>
            </w:r>
          </w:p>
        </w:tc>
        <w:tc>
          <w:tcPr>
            <w:tcW w:w="758" w:type="pct"/>
          </w:tcPr>
          <w:p w:rsidR="00000000" w:rsidRDefault="00000000">
            <w:pPr>
              <w:ind w:left="113"/>
              <w:rPr>
                <w:sz w:val="21"/>
                <w:lang w:val="fr-CH"/>
              </w:rPr>
            </w:pPr>
            <w:r>
              <w:rPr>
                <w:sz w:val="21"/>
                <w:szCs w:val="25"/>
                <w:lang w:val="fr-CH"/>
              </w:rPr>
              <w:t>瓜亚基尔</w:t>
            </w:r>
          </w:p>
        </w:tc>
      </w:tr>
    </w:tbl>
    <w:p w:rsidR="00000000" w:rsidRDefault="00000000">
      <w:pPr>
        <w:pStyle w:val="Heading4"/>
        <w:rPr>
          <w:i/>
          <w:iCs/>
          <w:lang w:val="fr-CH"/>
        </w:rPr>
      </w:pPr>
    </w:p>
    <w:p w:rsidR="00000000" w:rsidRDefault="00000000">
      <w:pPr>
        <w:pStyle w:val="Heading4"/>
        <w:rPr>
          <w:rFonts w:eastAsia="KaiTi_GB2312"/>
          <w:spacing w:val="0"/>
          <w:u w:val="none"/>
          <w:lang w:val="fr-CH"/>
        </w:rPr>
      </w:pPr>
      <w:r>
        <w:rPr>
          <w:rFonts w:eastAsia="KaiTi_GB2312" w:hint="eastAsia"/>
          <w:spacing w:val="0"/>
          <w:u w:val="none"/>
        </w:rPr>
        <w:t>高等院校</w:t>
      </w:r>
    </w:p>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26"/>
        <w:gridCol w:w="1611"/>
        <w:gridCol w:w="1418"/>
      </w:tblGrid>
      <w:tr w:rsidR="00000000">
        <w:tblPrEx>
          <w:tblCellMar>
            <w:top w:w="0" w:type="dxa"/>
            <w:bottom w:w="0" w:type="dxa"/>
          </w:tblCellMar>
        </w:tblPrEx>
        <w:tc>
          <w:tcPr>
            <w:tcW w:w="3381" w:type="pct"/>
          </w:tcPr>
          <w:p w:rsidR="00000000" w:rsidRDefault="00000000">
            <w:pPr>
              <w:spacing w:before="60"/>
              <w:ind w:left="113"/>
              <w:rPr>
                <w:sz w:val="21"/>
                <w:lang w:val="fr-CH"/>
              </w:rPr>
            </w:pPr>
            <w:r>
              <w:rPr>
                <w:sz w:val="21"/>
                <w:szCs w:val="25"/>
                <w:lang w:val="fr-CH"/>
              </w:rPr>
              <w:t>Instituto Superior de Música “Inés Cobo Rumazo”</w:t>
            </w:r>
          </w:p>
        </w:tc>
        <w:tc>
          <w:tcPr>
            <w:tcW w:w="861" w:type="pct"/>
          </w:tcPr>
          <w:p w:rsidR="00000000" w:rsidRDefault="00000000">
            <w:pPr>
              <w:spacing w:before="60"/>
              <w:ind w:left="113"/>
              <w:rPr>
                <w:sz w:val="21"/>
                <w:lang w:val="fr-CH"/>
              </w:rPr>
            </w:pPr>
            <w:r>
              <w:rPr>
                <w:sz w:val="21"/>
                <w:szCs w:val="25"/>
                <w:lang w:val="fr-CH"/>
              </w:rPr>
              <w:t>科托帕希</w:t>
            </w:r>
          </w:p>
        </w:tc>
        <w:tc>
          <w:tcPr>
            <w:tcW w:w="758" w:type="pct"/>
          </w:tcPr>
          <w:p w:rsidR="00000000" w:rsidRDefault="00000000">
            <w:pPr>
              <w:spacing w:before="60"/>
              <w:ind w:left="113"/>
              <w:rPr>
                <w:rFonts w:hint="eastAsia"/>
                <w:sz w:val="21"/>
                <w:lang w:val="fr-CH"/>
              </w:rPr>
            </w:pPr>
            <w:r>
              <w:rPr>
                <w:rFonts w:hint="eastAsia"/>
                <w:sz w:val="21"/>
                <w:lang w:val="fr-CH"/>
              </w:rPr>
              <w:t>普希利</w:t>
            </w:r>
          </w:p>
        </w:tc>
      </w:tr>
      <w:tr w:rsidR="00000000">
        <w:tblPrEx>
          <w:tblCellMar>
            <w:top w:w="0" w:type="dxa"/>
            <w:bottom w:w="0" w:type="dxa"/>
          </w:tblCellMar>
        </w:tblPrEx>
        <w:tc>
          <w:tcPr>
            <w:tcW w:w="3381" w:type="pct"/>
          </w:tcPr>
          <w:p w:rsidR="00000000" w:rsidRDefault="00000000">
            <w:pPr>
              <w:ind w:left="113"/>
              <w:rPr>
                <w:sz w:val="21"/>
              </w:rPr>
            </w:pPr>
            <w:r>
              <w:rPr>
                <w:sz w:val="21"/>
                <w:szCs w:val="25"/>
              </w:rPr>
              <w:t>Instituto Superior “Vicente Anda Aguirre”</w:t>
            </w:r>
          </w:p>
        </w:tc>
        <w:tc>
          <w:tcPr>
            <w:tcW w:w="861" w:type="pct"/>
          </w:tcPr>
          <w:p w:rsidR="00000000" w:rsidRDefault="00000000">
            <w:pPr>
              <w:ind w:left="113"/>
              <w:rPr>
                <w:sz w:val="21"/>
                <w:lang w:val="fr-CH"/>
              </w:rPr>
            </w:pPr>
            <w:r>
              <w:rPr>
                <w:sz w:val="21"/>
                <w:szCs w:val="25"/>
                <w:lang w:val="fr-CH"/>
              </w:rPr>
              <w:t>钦博拉索</w:t>
            </w:r>
          </w:p>
        </w:tc>
        <w:tc>
          <w:tcPr>
            <w:tcW w:w="758" w:type="pct"/>
          </w:tcPr>
          <w:p w:rsidR="00000000" w:rsidRDefault="00000000">
            <w:pPr>
              <w:ind w:left="113"/>
              <w:rPr>
                <w:sz w:val="21"/>
                <w:lang w:val="fr-CH"/>
              </w:rPr>
            </w:pPr>
            <w:r>
              <w:rPr>
                <w:sz w:val="21"/>
                <w:szCs w:val="25"/>
                <w:lang w:val="fr-CH"/>
              </w:rPr>
              <w:t>里奥班巴</w:t>
            </w:r>
          </w:p>
        </w:tc>
      </w:tr>
      <w:tr w:rsidR="00000000">
        <w:tblPrEx>
          <w:tblCellMar>
            <w:top w:w="0" w:type="dxa"/>
            <w:bottom w:w="0" w:type="dxa"/>
          </w:tblCellMar>
        </w:tblPrEx>
        <w:tc>
          <w:tcPr>
            <w:tcW w:w="3381" w:type="pct"/>
          </w:tcPr>
          <w:p w:rsidR="00000000" w:rsidRDefault="00000000">
            <w:pPr>
              <w:ind w:left="113"/>
              <w:rPr>
                <w:sz w:val="21"/>
                <w:lang w:val="fr-CH"/>
              </w:rPr>
            </w:pPr>
            <w:r>
              <w:rPr>
                <w:sz w:val="21"/>
                <w:szCs w:val="25"/>
                <w:lang w:val="fr-CH"/>
              </w:rPr>
              <w:t>Instituto Superior de Música “Luis Ulpiano de La Torre”</w:t>
            </w:r>
          </w:p>
        </w:tc>
        <w:tc>
          <w:tcPr>
            <w:tcW w:w="861" w:type="pct"/>
          </w:tcPr>
          <w:p w:rsidR="00000000" w:rsidRDefault="00000000">
            <w:pPr>
              <w:ind w:left="113"/>
              <w:rPr>
                <w:sz w:val="21"/>
                <w:lang w:val="fr-CH"/>
              </w:rPr>
            </w:pPr>
            <w:r>
              <w:rPr>
                <w:sz w:val="21"/>
                <w:szCs w:val="25"/>
                <w:lang w:val="fr-CH"/>
              </w:rPr>
              <w:t>因巴布拉</w:t>
            </w:r>
          </w:p>
        </w:tc>
        <w:tc>
          <w:tcPr>
            <w:tcW w:w="758" w:type="pct"/>
          </w:tcPr>
          <w:p w:rsidR="00000000" w:rsidRDefault="00000000">
            <w:pPr>
              <w:ind w:left="113"/>
              <w:rPr>
                <w:sz w:val="21"/>
                <w:lang w:val="fr-CH"/>
              </w:rPr>
            </w:pPr>
            <w:r>
              <w:rPr>
                <w:sz w:val="21"/>
                <w:szCs w:val="25"/>
                <w:lang w:val="fr-CH"/>
              </w:rPr>
              <w:t>科塔卡奇</w:t>
            </w:r>
          </w:p>
        </w:tc>
      </w:tr>
    </w:tbl>
    <w:p w:rsidR="00000000" w:rsidRDefault="00000000">
      <w:pPr>
        <w:pStyle w:val="Heading4"/>
        <w:keepNext w:val="0"/>
        <w:keepLines w:val="0"/>
        <w:pageBreakBefore/>
        <w:widowControl w:val="0"/>
        <w:rPr>
          <w:rFonts w:eastAsia="KaiTi_GB2312"/>
          <w:spacing w:val="0"/>
          <w:u w:val="none"/>
          <w:lang w:val="fr-CH"/>
        </w:rPr>
      </w:pPr>
      <w:r>
        <w:rPr>
          <w:rFonts w:eastAsia="KaiTi_GB2312" w:hint="eastAsia"/>
          <w:spacing w:val="0"/>
          <w:u w:val="none"/>
        </w:rPr>
        <w:t>学院和学校</w:t>
      </w:r>
    </w:p>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68" w:type="dxa"/>
          <w:right w:w="68" w:type="dxa"/>
        </w:tblCellMar>
        <w:tblLook w:val="0000" w:firstRow="0" w:lastRow="0" w:firstColumn="0" w:lastColumn="0" w:noHBand="0" w:noVBand="0"/>
      </w:tblPr>
      <w:tblGrid>
        <w:gridCol w:w="6337"/>
        <w:gridCol w:w="1600"/>
        <w:gridCol w:w="1418"/>
      </w:tblGrid>
      <w:tr w:rsidR="00000000">
        <w:tblPrEx>
          <w:tblCellMar>
            <w:top w:w="0" w:type="dxa"/>
            <w:bottom w:w="0" w:type="dxa"/>
          </w:tblCellMar>
        </w:tblPrEx>
        <w:tc>
          <w:tcPr>
            <w:tcW w:w="3387" w:type="pct"/>
          </w:tcPr>
          <w:p w:rsidR="00000000" w:rsidRDefault="00000000">
            <w:pPr>
              <w:spacing w:before="60"/>
              <w:ind w:left="113"/>
              <w:rPr>
                <w:sz w:val="21"/>
                <w:lang w:val="fr-CH"/>
              </w:rPr>
            </w:pPr>
            <w:r>
              <w:rPr>
                <w:sz w:val="21"/>
                <w:szCs w:val="25"/>
                <w:lang w:val="fr-CH"/>
              </w:rPr>
              <w:t>Colegio de Música “César Viera”</w:t>
            </w:r>
          </w:p>
        </w:tc>
        <w:tc>
          <w:tcPr>
            <w:tcW w:w="855" w:type="pct"/>
          </w:tcPr>
          <w:p w:rsidR="00000000" w:rsidRDefault="00000000">
            <w:pPr>
              <w:spacing w:before="60"/>
              <w:ind w:left="113"/>
              <w:rPr>
                <w:sz w:val="21"/>
                <w:lang w:val="fr-CH"/>
              </w:rPr>
            </w:pPr>
            <w:r>
              <w:rPr>
                <w:sz w:val="21"/>
                <w:szCs w:val="25"/>
                <w:lang w:val="fr-CH"/>
              </w:rPr>
              <w:t>科托帕希</w:t>
            </w:r>
          </w:p>
        </w:tc>
        <w:tc>
          <w:tcPr>
            <w:tcW w:w="758" w:type="pct"/>
          </w:tcPr>
          <w:p w:rsidR="00000000" w:rsidRDefault="00000000">
            <w:pPr>
              <w:spacing w:before="60"/>
              <w:ind w:left="113"/>
              <w:rPr>
                <w:sz w:val="21"/>
                <w:lang w:val="fr-CH"/>
              </w:rPr>
            </w:pPr>
            <w:r>
              <w:rPr>
                <w:sz w:val="21"/>
                <w:szCs w:val="25"/>
                <w:lang w:val="fr-CH"/>
              </w:rPr>
              <w:t>拉塔昆加</w:t>
            </w:r>
          </w:p>
        </w:tc>
      </w:tr>
      <w:tr w:rsidR="00000000">
        <w:tblPrEx>
          <w:tblCellMar>
            <w:top w:w="0" w:type="dxa"/>
            <w:bottom w:w="0" w:type="dxa"/>
          </w:tblCellMar>
        </w:tblPrEx>
        <w:tc>
          <w:tcPr>
            <w:tcW w:w="3387" w:type="pct"/>
          </w:tcPr>
          <w:p w:rsidR="00000000" w:rsidRDefault="00000000">
            <w:pPr>
              <w:ind w:left="113"/>
              <w:rPr>
                <w:sz w:val="21"/>
                <w:lang w:val="fr-CH"/>
              </w:rPr>
            </w:pPr>
            <w:r>
              <w:rPr>
                <w:sz w:val="21"/>
                <w:szCs w:val="25"/>
                <w:lang w:val="fr-CH"/>
              </w:rPr>
              <w:t>Colegio de Música “Juan Bautista Vásquez”</w:t>
            </w:r>
          </w:p>
        </w:tc>
        <w:tc>
          <w:tcPr>
            <w:tcW w:w="855" w:type="pct"/>
          </w:tcPr>
          <w:p w:rsidR="00000000" w:rsidRDefault="00000000">
            <w:pPr>
              <w:ind w:left="113"/>
              <w:rPr>
                <w:sz w:val="21"/>
                <w:lang w:val="fr-CH"/>
              </w:rPr>
            </w:pPr>
            <w:r>
              <w:rPr>
                <w:sz w:val="21"/>
                <w:szCs w:val="25"/>
                <w:lang w:val="fr-CH"/>
              </w:rPr>
              <w:t>卡尼亚尔</w:t>
            </w:r>
          </w:p>
        </w:tc>
        <w:tc>
          <w:tcPr>
            <w:tcW w:w="758" w:type="pct"/>
          </w:tcPr>
          <w:p w:rsidR="00000000" w:rsidRDefault="00000000">
            <w:pPr>
              <w:ind w:left="113"/>
              <w:rPr>
                <w:sz w:val="21"/>
                <w:lang w:val="fr-CH"/>
              </w:rPr>
            </w:pPr>
            <w:r>
              <w:rPr>
                <w:sz w:val="21"/>
                <w:szCs w:val="25"/>
                <w:lang w:val="fr-CH"/>
              </w:rPr>
              <w:t>阿索格斯</w:t>
            </w:r>
          </w:p>
        </w:tc>
      </w:tr>
      <w:tr w:rsidR="00000000">
        <w:tblPrEx>
          <w:tblCellMar>
            <w:top w:w="0" w:type="dxa"/>
            <w:bottom w:w="0" w:type="dxa"/>
          </w:tblCellMar>
        </w:tblPrEx>
        <w:tc>
          <w:tcPr>
            <w:tcW w:w="3387" w:type="pct"/>
          </w:tcPr>
          <w:p w:rsidR="00000000" w:rsidRDefault="00000000">
            <w:pPr>
              <w:ind w:left="113"/>
              <w:rPr>
                <w:sz w:val="21"/>
              </w:rPr>
            </w:pPr>
            <w:r>
              <w:rPr>
                <w:sz w:val="21"/>
                <w:szCs w:val="25"/>
              </w:rPr>
              <w:t>Colegio de Música “Rodrigo Barreno”</w:t>
            </w:r>
          </w:p>
        </w:tc>
        <w:tc>
          <w:tcPr>
            <w:tcW w:w="855" w:type="pct"/>
          </w:tcPr>
          <w:p w:rsidR="00000000" w:rsidRDefault="00000000">
            <w:pPr>
              <w:ind w:left="113"/>
              <w:rPr>
                <w:sz w:val="21"/>
              </w:rPr>
            </w:pPr>
            <w:r>
              <w:rPr>
                <w:sz w:val="21"/>
                <w:szCs w:val="25"/>
              </w:rPr>
              <w:t>钦博拉索</w:t>
            </w:r>
          </w:p>
        </w:tc>
        <w:tc>
          <w:tcPr>
            <w:tcW w:w="758" w:type="pct"/>
          </w:tcPr>
          <w:p w:rsidR="00000000" w:rsidRDefault="00000000">
            <w:pPr>
              <w:ind w:left="113"/>
              <w:rPr>
                <w:rFonts w:hint="eastAsia"/>
                <w:sz w:val="21"/>
              </w:rPr>
            </w:pPr>
            <w:r>
              <w:rPr>
                <w:rFonts w:hint="eastAsia"/>
                <w:sz w:val="21"/>
              </w:rPr>
              <w:t>基米亚格</w:t>
            </w:r>
          </w:p>
        </w:tc>
      </w:tr>
      <w:tr w:rsidR="00000000">
        <w:tblPrEx>
          <w:tblCellMar>
            <w:top w:w="0" w:type="dxa"/>
            <w:bottom w:w="0" w:type="dxa"/>
          </w:tblCellMar>
        </w:tblPrEx>
        <w:tc>
          <w:tcPr>
            <w:tcW w:w="3387" w:type="pct"/>
          </w:tcPr>
          <w:p w:rsidR="00000000" w:rsidRDefault="00000000">
            <w:pPr>
              <w:ind w:left="113"/>
              <w:rPr>
                <w:sz w:val="21"/>
              </w:rPr>
            </w:pPr>
            <w:r>
              <w:rPr>
                <w:sz w:val="21"/>
                <w:szCs w:val="25"/>
              </w:rPr>
              <w:t>Colegio de Música “Luis Humberto Salgado Torres”</w:t>
            </w:r>
          </w:p>
        </w:tc>
        <w:tc>
          <w:tcPr>
            <w:tcW w:w="855" w:type="pct"/>
          </w:tcPr>
          <w:p w:rsidR="00000000" w:rsidRDefault="00000000">
            <w:pPr>
              <w:ind w:left="113"/>
              <w:rPr>
                <w:sz w:val="21"/>
              </w:rPr>
            </w:pPr>
            <w:r>
              <w:rPr>
                <w:sz w:val="21"/>
                <w:szCs w:val="25"/>
              </w:rPr>
              <w:t>皮钦查</w:t>
            </w:r>
          </w:p>
        </w:tc>
        <w:tc>
          <w:tcPr>
            <w:tcW w:w="758" w:type="pct"/>
          </w:tcPr>
          <w:p w:rsidR="00000000" w:rsidRDefault="00000000">
            <w:pPr>
              <w:ind w:left="113"/>
              <w:rPr>
                <w:rFonts w:hint="eastAsia"/>
                <w:sz w:val="21"/>
              </w:rPr>
            </w:pPr>
            <w:r>
              <w:rPr>
                <w:rFonts w:hint="eastAsia"/>
                <w:sz w:val="21"/>
              </w:rPr>
              <w:t>阿马瓜那</w:t>
            </w:r>
          </w:p>
        </w:tc>
      </w:tr>
      <w:tr w:rsidR="00000000">
        <w:tblPrEx>
          <w:tblCellMar>
            <w:top w:w="0" w:type="dxa"/>
            <w:bottom w:w="0" w:type="dxa"/>
          </w:tblCellMar>
        </w:tblPrEx>
        <w:tc>
          <w:tcPr>
            <w:tcW w:w="3387" w:type="pct"/>
          </w:tcPr>
          <w:p w:rsidR="00000000" w:rsidRDefault="00000000">
            <w:pPr>
              <w:ind w:left="113"/>
              <w:rPr>
                <w:sz w:val="21"/>
              </w:rPr>
            </w:pPr>
            <w:r>
              <w:rPr>
                <w:sz w:val="21"/>
                <w:szCs w:val="25"/>
              </w:rPr>
              <w:t>Colegio Particular de Música “Teodora Lucaciu”</w:t>
            </w:r>
          </w:p>
        </w:tc>
        <w:tc>
          <w:tcPr>
            <w:tcW w:w="855" w:type="pct"/>
          </w:tcPr>
          <w:p w:rsidR="00000000" w:rsidRDefault="00000000">
            <w:pPr>
              <w:ind w:left="113"/>
              <w:rPr>
                <w:sz w:val="21"/>
              </w:rPr>
            </w:pPr>
            <w:r>
              <w:rPr>
                <w:sz w:val="21"/>
                <w:szCs w:val="25"/>
              </w:rPr>
              <w:t>埃尔奥罗</w:t>
            </w:r>
          </w:p>
        </w:tc>
        <w:tc>
          <w:tcPr>
            <w:tcW w:w="758" w:type="pct"/>
          </w:tcPr>
          <w:p w:rsidR="00000000" w:rsidRDefault="00000000">
            <w:pPr>
              <w:ind w:left="113"/>
              <w:rPr>
                <w:sz w:val="21"/>
              </w:rPr>
            </w:pPr>
            <w:r>
              <w:rPr>
                <w:sz w:val="21"/>
                <w:szCs w:val="25"/>
              </w:rPr>
              <w:t>马查拉</w:t>
            </w:r>
          </w:p>
        </w:tc>
      </w:tr>
      <w:tr w:rsidR="00000000">
        <w:tblPrEx>
          <w:tblCellMar>
            <w:top w:w="0" w:type="dxa"/>
            <w:bottom w:w="0" w:type="dxa"/>
          </w:tblCellMar>
        </w:tblPrEx>
        <w:tc>
          <w:tcPr>
            <w:tcW w:w="3387" w:type="pct"/>
          </w:tcPr>
          <w:p w:rsidR="00000000" w:rsidRDefault="00000000">
            <w:pPr>
              <w:ind w:left="113"/>
              <w:rPr>
                <w:sz w:val="21"/>
              </w:rPr>
            </w:pPr>
            <w:r>
              <w:rPr>
                <w:sz w:val="21"/>
                <w:szCs w:val="25"/>
              </w:rPr>
              <w:t>Colegio Nacional Técnico “San Lorenzo”</w:t>
            </w:r>
          </w:p>
        </w:tc>
        <w:tc>
          <w:tcPr>
            <w:tcW w:w="855" w:type="pct"/>
          </w:tcPr>
          <w:p w:rsidR="00000000" w:rsidRDefault="00000000">
            <w:pPr>
              <w:ind w:left="113"/>
              <w:rPr>
                <w:rFonts w:hint="eastAsia"/>
                <w:sz w:val="21"/>
              </w:rPr>
            </w:pPr>
            <w:r>
              <w:rPr>
                <w:sz w:val="21"/>
                <w:szCs w:val="25"/>
              </w:rPr>
              <w:t>玻利瓦尔</w:t>
            </w:r>
          </w:p>
        </w:tc>
        <w:tc>
          <w:tcPr>
            <w:tcW w:w="758" w:type="pct"/>
          </w:tcPr>
          <w:p w:rsidR="00000000" w:rsidRDefault="00000000">
            <w:pPr>
              <w:ind w:left="113"/>
              <w:rPr>
                <w:rFonts w:hint="eastAsia"/>
                <w:sz w:val="21"/>
              </w:rPr>
            </w:pPr>
            <w:r>
              <w:rPr>
                <w:rFonts w:hint="eastAsia"/>
                <w:sz w:val="21"/>
              </w:rPr>
              <w:t>瓜兰达</w:t>
            </w:r>
          </w:p>
        </w:tc>
      </w:tr>
      <w:tr w:rsidR="00000000">
        <w:tblPrEx>
          <w:tblCellMar>
            <w:top w:w="0" w:type="dxa"/>
            <w:bottom w:w="0" w:type="dxa"/>
          </w:tblCellMar>
        </w:tblPrEx>
        <w:tc>
          <w:tcPr>
            <w:tcW w:w="3387" w:type="pct"/>
          </w:tcPr>
          <w:p w:rsidR="00000000" w:rsidRDefault="00000000">
            <w:pPr>
              <w:ind w:left="113"/>
              <w:rPr>
                <w:sz w:val="21"/>
              </w:rPr>
            </w:pPr>
            <w:r>
              <w:rPr>
                <w:sz w:val="21"/>
                <w:szCs w:val="25"/>
              </w:rPr>
              <w:t>Colegio de Música “Juan Esteban Cordero” del SI.NA.MU.NE.</w:t>
            </w:r>
          </w:p>
        </w:tc>
        <w:tc>
          <w:tcPr>
            <w:tcW w:w="855" w:type="pct"/>
          </w:tcPr>
          <w:p w:rsidR="00000000" w:rsidRDefault="00000000">
            <w:pPr>
              <w:ind w:left="113"/>
              <w:rPr>
                <w:sz w:val="21"/>
              </w:rPr>
            </w:pPr>
            <w:r>
              <w:rPr>
                <w:sz w:val="21"/>
                <w:szCs w:val="25"/>
              </w:rPr>
              <w:t>皮钦查</w:t>
            </w:r>
          </w:p>
        </w:tc>
        <w:tc>
          <w:tcPr>
            <w:tcW w:w="758" w:type="pct"/>
          </w:tcPr>
          <w:p w:rsidR="00000000" w:rsidRDefault="00000000">
            <w:pPr>
              <w:ind w:left="113"/>
              <w:rPr>
                <w:sz w:val="21"/>
              </w:rPr>
            </w:pPr>
            <w:r>
              <w:rPr>
                <w:rFonts w:hint="eastAsia"/>
                <w:sz w:val="21"/>
                <w:lang w:val="fr-CH"/>
              </w:rPr>
              <w:t>基多</w:t>
            </w:r>
          </w:p>
        </w:tc>
      </w:tr>
      <w:tr w:rsidR="00000000">
        <w:tblPrEx>
          <w:tblCellMar>
            <w:top w:w="0" w:type="dxa"/>
            <w:bottom w:w="0" w:type="dxa"/>
          </w:tblCellMar>
        </w:tblPrEx>
        <w:tc>
          <w:tcPr>
            <w:tcW w:w="3387" w:type="pct"/>
          </w:tcPr>
          <w:p w:rsidR="00000000" w:rsidRDefault="00000000">
            <w:pPr>
              <w:ind w:left="113"/>
              <w:rPr>
                <w:sz w:val="21"/>
              </w:rPr>
            </w:pPr>
            <w:r>
              <w:rPr>
                <w:sz w:val="21"/>
                <w:szCs w:val="25"/>
              </w:rPr>
              <w:t>Colegio de Bellas Artes</w:t>
            </w:r>
          </w:p>
        </w:tc>
        <w:tc>
          <w:tcPr>
            <w:tcW w:w="855" w:type="pct"/>
          </w:tcPr>
          <w:p w:rsidR="00000000" w:rsidRDefault="00000000">
            <w:pPr>
              <w:ind w:left="113"/>
              <w:rPr>
                <w:spacing w:val="0"/>
                <w:sz w:val="21"/>
              </w:rPr>
            </w:pPr>
            <w:r>
              <w:rPr>
                <w:spacing w:val="0"/>
                <w:sz w:val="21"/>
                <w:szCs w:val="25"/>
              </w:rPr>
              <w:t>埃斯梅拉达斯</w:t>
            </w:r>
          </w:p>
        </w:tc>
        <w:tc>
          <w:tcPr>
            <w:tcW w:w="758" w:type="pct"/>
          </w:tcPr>
          <w:p w:rsidR="00000000" w:rsidRDefault="00000000">
            <w:pPr>
              <w:ind w:left="57"/>
              <w:rPr>
                <w:spacing w:val="-12"/>
                <w:sz w:val="21"/>
              </w:rPr>
            </w:pPr>
            <w:r>
              <w:rPr>
                <w:spacing w:val="-12"/>
                <w:sz w:val="21"/>
                <w:szCs w:val="25"/>
              </w:rPr>
              <w:t>埃斯梅拉达斯</w:t>
            </w:r>
          </w:p>
        </w:tc>
      </w:tr>
      <w:tr w:rsidR="00000000">
        <w:tblPrEx>
          <w:tblCellMar>
            <w:top w:w="0" w:type="dxa"/>
            <w:bottom w:w="0" w:type="dxa"/>
          </w:tblCellMar>
        </w:tblPrEx>
        <w:tc>
          <w:tcPr>
            <w:tcW w:w="3387" w:type="pct"/>
          </w:tcPr>
          <w:p w:rsidR="00000000" w:rsidRDefault="00000000">
            <w:pPr>
              <w:ind w:left="113"/>
              <w:rPr>
                <w:sz w:val="21"/>
                <w:lang w:val="fr-CH"/>
              </w:rPr>
            </w:pPr>
            <w:r>
              <w:rPr>
                <w:sz w:val="21"/>
                <w:szCs w:val="25"/>
                <w:lang w:val="fr-CH"/>
              </w:rPr>
              <w:t>Escuela de Música “Wolfgang A.  Mozart”</w:t>
            </w:r>
          </w:p>
        </w:tc>
        <w:tc>
          <w:tcPr>
            <w:tcW w:w="855" w:type="pct"/>
          </w:tcPr>
          <w:p w:rsidR="00000000" w:rsidRDefault="00000000">
            <w:pPr>
              <w:ind w:left="113"/>
              <w:rPr>
                <w:sz w:val="21"/>
                <w:lang w:val="fr-CH"/>
              </w:rPr>
            </w:pPr>
            <w:r>
              <w:rPr>
                <w:sz w:val="21"/>
                <w:szCs w:val="25"/>
                <w:lang w:val="fr-CH"/>
              </w:rPr>
              <w:t>皮钦查</w:t>
            </w:r>
          </w:p>
        </w:tc>
        <w:tc>
          <w:tcPr>
            <w:tcW w:w="758" w:type="pct"/>
          </w:tcPr>
          <w:p w:rsidR="00000000" w:rsidRDefault="00000000">
            <w:pPr>
              <w:ind w:left="113"/>
              <w:rPr>
                <w:sz w:val="21"/>
                <w:lang w:val="fr-CH"/>
              </w:rPr>
            </w:pPr>
            <w:r>
              <w:rPr>
                <w:rFonts w:hint="eastAsia"/>
                <w:sz w:val="21"/>
                <w:lang w:val="fr-CH"/>
              </w:rPr>
              <w:t>基多</w:t>
            </w:r>
          </w:p>
        </w:tc>
      </w:tr>
      <w:tr w:rsidR="00000000">
        <w:tblPrEx>
          <w:tblCellMar>
            <w:top w:w="0" w:type="dxa"/>
            <w:bottom w:w="0" w:type="dxa"/>
          </w:tblCellMar>
        </w:tblPrEx>
        <w:tc>
          <w:tcPr>
            <w:tcW w:w="3387" w:type="pct"/>
          </w:tcPr>
          <w:p w:rsidR="00000000" w:rsidRDefault="00000000">
            <w:pPr>
              <w:ind w:left="113"/>
              <w:rPr>
                <w:sz w:val="21"/>
                <w:lang w:val="fr-CH"/>
              </w:rPr>
            </w:pPr>
            <w:r>
              <w:rPr>
                <w:sz w:val="21"/>
                <w:szCs w:val="25"/>
                <w:lang w:val="fr-CH"/>
              </w:rPr>
              <w:t>Escuela de Música “Gerardo Alzamora Vela” (CCE-</w:t>
            </w:r>
            <w:r>
              <w:rPr>
                <w:rFonts w:hint="eastAsia"/>
                <w:sz w:val="21"/>
                <w:szCs w:val="25"/>
                <w:lang w:val="fr-CH"/>
              </w:rPr>
              <w:t>Carchi</w:t>
            </w:r>
            <w:r>
              <w:rPr>
                <w:sz w:val="21"/>
                <w:szCs w:val="25"/>
                <w:lang w:val="fr-CH"/>
              </w:rPr>
              <w:t>)</w:t>
            </w:r>
          </w:p>
        </w:tc>
        <w:tc>
          <w:tcPr>
            <w:tcW w:w="855" w:type="pct"/>
          </w:tcPr>
          <w:p w:rsidR="00000000" w:rsidRDefault="00000000">
            <w:pPr>
              <w:ind w:left="113"/>
              <w:rPr>
                <w:sz w:val="21"/>
                <w:lang w:val="fr-CH"/>
              </w:rPr>
            </w:pPr>
            <w:r>
              <w:rPr>
                <w:sz w:val="21"/>
                <w:szCs w:val="25"/>
                <w:lang w:val="fr-CH"/>
              </w:rPr>
              <w:t>卡尔奇</w:t>
            </w:r>
          </w:p>
        </w:tc>
        <w:tc>
          <w:tcPr>
            <w:tcW w:w="758" w:type="pct"/>
          </w:tcPr>
          <w:p w:rsidR="00000000" w:rsidRDefault="00000000">
            <w:pPr>
              <w:ind w:left="113"/>
              <w:rPr>
                <w:rFonts w:hint="eastAsia"/>
                <w:sz w:val="21"/>
                <w:lang w:val="fr-CH"/>
              </w:rPr>
            </w:pPr>
            <w:r>
              <w:rPr>
                <w:rFonts w:hint="eastAsia"/>
                <w:sz w:val="21"/>
                <w:lang w:val="fr-CH"/>
              </w:rPr>
              <w:t>图尔坎</w:t>
            </w:r>
          </w:p>
        </w:tc>
      </w:tr>
      <w:tr w:rsidR="00000000">
        <w:tblPrEx>
          <w:tblCellMar>
            <w:top w:w="0" w:type="dxa"/>
            <w:bottom w:w="0" w:type="dxa"/>
          </w:tblCellMar>
        </w:tblPrEx>
        <w:tc>
          <w:tcPr>
            <w:tcW w:w="3387" w:type="pct"/>
          </w:tcPr>
          <w:p w:rsidR="00000000" w:rsidRDefault="00000000">
            <w:pPr>
              <w:ind w:left="113"/>
              <w:rPr>
                <w:sz w:val="21"/>
                <w:lang w:val="fr-CH"/>
              </w:rPr>
            </w:pPr>
            <w:r>
              <w:rPr>
                <w:sz w:val="21"/>
                <w:szCs w:val="25"/>
                <w:lang w:val="fr-CH"/>
              </w:rPr>
              <w:t>Colegio de Música “Antonio de Jesús Hidalgo”</w:t>
            </w:r>
          </w:p>
        </w:tc>
        <w:tc>
          <w:tcPr>
            <w:tcW w:w="855" w:type="pct"/>
          </w:tcPr>
          <w:p w:rsidR="00000000" w:rsidRDefault="00000000">
            <w:pPr>
              <w:ind w:left="113"/>
              <w:rPr>
                <w:sz w:val="21"/>
                <w:lang w:val="fr-CH"/>
              </w:rPr>
            </w:pPr>
            <w:r>
              <w:rPr>
                <w:sz w:val="21"/>
                <w:szCs w:val="25"/>
                <w:lang w:val="fr-CH"/>
              </w:rPr>
              <w:t>埃尔奥罗</w:t>
            </w:r>
          </w:p>
        </w:tc>
        <w:tc>
          <w:tcPr>
            <w:tcW w:w="758" w:type="pct"/>
          </w:tcPr>
          <w:p w:rsidR="00000000" w:rsidRDefault="00000000">
            <w:pPr>
              <w:ind w:left="113"/>
              <w:rPr>
                <w:sz w:val="21"/>
                <w:lang w:val="fr-CH"/>
              </w:rPr>
            </w:pPr>
            <w:r>
              <w:rPr>
                <w:sz w:val="21"/>
                <w:szCs w:val="25"/>
                <w:lang w:val="fr-CH"/>
              </w:rPr>
              <w:t>马查拉</w:t>
            </w:r>
          </w:p>
        </w:tc>
      </w:tr>
      <w:tr w:rsidR="00000000">
        <w:tblPrEx>
          <w:tblCellMar>
            <w:top w:w="0" w:type="dxa"/>
            <w:bottom w:w="0" w:type="dxa"/>
          </w:tblCellMar>
        </w:tblPrEx>
        <w:tc>
          <w:tcPr>
            <w:tcW w:w="3387" w:type="pct"/>
          </w:tcPr>
          <w:p w:rsidR="00000000" w:rsidRDefault="00000000">
            <w:pPr>
              <w:ind w:left="113"/>
              <w:rPr>
                <w:sz w:val="21"/>
                <w:szCs w:val="25"/>
                <w:lang w:val="fr-CH"/>
              </w:rPr>
            </w:pPr>
            <w:r>
              <w:rPr>
                <w:sz w:val="21"/>
                <w:szCs w:val="25"/>
                <w:lang w:val="fr-CH"/>
              </w:rPr>
              <w:t>Escuela de Música de las Fuerzas Armadas</w:t>
            </w:r>
          </w:p>
        </w:tc>
        <w:tc>
          <w:tcPr>
            <w:tcW w:w="855" w:type="pct"/>
          </w:tcPr>
          <w:p w:rsidR="00000000" w:rsidRDefault="00000000">
            <w:pPr>
              <w:ind w:left="113"/>
              <w:rPr>
                <w:sz w:val="21"/>
                <w:szCs w:val="25"/>
                <w:lang w:val="fr-CH"/>
              </w:rPr>
            </w:pPr>
            <w:r>
              <w:rPr>
                <w:sz w:val="21"/>
                <w:szCs w:val="25"/>
                <w:lang w:val="fr-CH"/>
              </w:rPr>
              <w:t>皮钦查</w:t>
            </w:r>
          </w:p>
        </w:tc>
        <w:tc>
          <w:tcPr>
            <w:tcW w:w="758" w:type="pct"/>
          </w:tcPr>
          <w:p w:rsidR="00000000" w:rsidRDefault="00000000">
            <w:pPr>
              <w:ind w:left="113"/>
              <w:rPr>
                <w:sz w:val="21"/>
                <w:szCs w:val="25"/>
                <w:lang w:val="fr-CH"/>
              </w:rPr>
            </w:pPr>
            <w:r>
              <w:rPr>
                <w:rFonts w:hint="eastAsia"/>
                <w:sz w:val="21"/>
                <w:lang w:val="fr-CH"/>
              </w:rPr>
              <w:t>基多</w:t>
            </w:r>
          </w:p>
        </w:tc>
      </w:tr>
    </w:tbl>
    <w:p w:rsidR="00000000" w:rsidRDefault="00000000">
      <w:pPr>
        <w:pStyle w:val="Heading4"/>
        <w:rPr>
          <w:rFonts w:hint="eastAsia"/>
          <w:lang w:val="fr-CH"/>
        </w:rPr>
      </w:pPr>
    </w:p>
    <w:p w:rsidR="00000000" w:rsidRDefault="00000000">
      <w:pPr>
        <w:pStyle w:val="Heading4"/>
        <w:rPr>
          <w:rFonts w:hint="eastAsia"/>
          <w:lang w:val="fr-CH"/>
        </w:rPr>
      </w:pPr>
      <w:r>
        <w:rPr>
          <w:rFonts w:hint="eastAsia"/>
        </w:rPr>
        <w:t>舞</w:t>
      </w:r>
      <w:r>
        <w:rPr>
          <w:rFonts w:hint="eastAsia"/>
          <w:lang w:val="fr-CH"/>
        </w:rPr>
        <w:t xml:space="preserve">  </w:t>
      </w:r>
      <w:r>
        <w:rPr>
          <w:rFonts w:hint="eastAsia"/>
        </w:rPr>
        <w:t>蹈</w:t>
      </w:r>
    </w:p>
    <w:p w:rsidR="00000000" w:rsidRDefault="00000000">
      <w:pPr>
        <w:pStyle w:val="Heading4"/>
        <w:rPr>
          <w:rFonts w:eastAsia="KaiTi_GB2312" w:hint="eastAsia"/>
          <w:spacing w:val="0"/>
          <w:u w:val="none"/>
          <w:lang w:val="fr-CH"/>
        </w:rPr>
      </w:pPr>
      <w:r>
        <w:rPr>
          <w:rFonts w:eastAsia="KaiTi_GB2312" w:hint="eastAsia"/>
          <w:spacing w:val="0"/>
          <w:u w:val="none"/>
        </w:rPr>
        <w:t>研究所和学院</w:t>
      </w:r>
    </w:p>
    <w:tbl>
      <w:tblPr>
        <w:tblW w:w="4929" w:type="pct"/>
        <w:tblInd w:w="68" w:type="dxa"/>
        <w:tblBorders>
          <w:top w:val="single" w:sz="6" w:space="0" w:color="auto"/>
          <w:left w:val="single" w:sz="6" w:space="0" w:color="auto"/>
          <w:bottom w:val="single" w:sz="4"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84"/>
        <w:gridCol w:w="1553"/>
        <w:gridCol w:w="1418"/>
      </w:tblGrid>
      <w:tr w:rsidR="00000000">
        <w:tblPrEx>
          <w:tblCellMar>
            <w:top w:w="0" w:type="dxa"/>
            <w:bottom w:w="0" w:type="dxa"/>
          </w:tblCellMar>
        </w:tblPrEx>
        <w:tc>
          <w:tcPr>
            <w:tcW w:w="3412" w:type="pct"/>
          </w:tcPr>
          <w:p w:rsidR="00000000" w:rsidRDefault="00000000">
            <w:pPr>
              <w:keepNext/>
              <w:keepLines/>
              <w:spacing w:before="60"/>
              <w:ind w:left="113"/>
              <w:rPr>
                <w:sz w:val="21"/>
                <w:lang w:val="fr-CH"/>
              </w:rPr>
            </w:pPr>
            <w:r>
              <w:rPr>
                <w:sz w:val="21"/>
                <w:lang w:val="fr-CH"/>
              </w:rPr>
              <w:t>Instituto de Danza “Raymond Maugé”</w:t>
            </w:r>
          </w:p>
        </w:tc>
        <w:tc>
          <w:tcPr>
            <w:tcW w:w="830" w:type="pct"/>
          </w:tcPr>
          <w:p w:rsidR="00000000" w:rsidRDefault="00000000">
            <w:pPr>
              <w:keepNext/>
              <w:keepLines/>
              <w:spacing w:before="60"/>
              <w:ind w:left="113"/>
              <w:rPr>
                <w:sz w:val="21"/>
                <w:lang w:val="fr-CH"/>
              </w:rPr>
            </w:pPr>
            <w:r>
              <w:rPr>
                <w:sz w:val="21"/>
                <w:lang w:val="fr-CH"/>
              </w:rPr>
              <w:t>瓜亚斯</w:t>
            </w:r>
          </w:p>
        </w:tc>
        <w:tc>
          <w:tcPr>
            <w:tcW w:w="758" w:type="pct"/>
          </w:tcPr>
          <w:p w:rsidR="00000000" w:rsidRDefault="00000000">
            <w:pPr>
              <w:keepNext/>
              <w:keepLines/>
              <w:spacing w:before="60"/>
              <w:ind w:left="113"/>
              <w:rPr>
                <w:sz w:val="21"/>
                <w:lang w:val="fr-CH"/>
              </w:rPr>
            </w:pPr>
            <w:r>
              <w:rPr>
                <w:sz w:val="21"/>
                <w:lang w:val="fr-CH"/>
              </w:rPr>
              <w:t>瓜亚基尔</w:t>
            </w:r>
          </w:p>
        </w:tc>
      </w:tr>
      <w:tr w:rsidR="00000000">
        <w:tblPrEx>
          <w:tblCellMar>
            <w:top w:w="0" w:type="dxa"/>
            <w:bottom w:w="0" w:type="dxa"/>
          </w:tblCellMar>
        </w:tblPrEx>
        <w:tc>
          <w:tcPr>
            <w:tcW w:w="3412" w:type="pct"/>
          </w:tcPr>
          <w:p w:rsidR="00000000" w:rsidRDefault="00000000">
            <w:pPr>
              <w:ind w:left="113"/>
              <w:rPr>
                <w:sz w:val="21"/>
                <w:lang w:val="fr-CH"/>
              </w:rPr>
            </w:pPr>
            <w:r>
              <w:rPr>
                <w:sz w:val="21"/>
                <w:lang w:val="fr-CH"/>
              </w:rPr>
              <w:t>Instituto Superior de Danza</w:t>
            </w:r>
          </w:p>
        </w:tc>
        <w:tc>
          <w:tcPr>
            <w:tcW w:w="830" w:type="pct"/>
          </w:tcPr>
          <w:p w:rsidR="00000000" w:rsidRDefault="00000000">
            <w:pPr>
              <w:ind w:left="113"/>
              <w:rPr>
                <w:sz w:val="21"/>
                <w:lang w:val="fr-CH"/>
              </w:rPr>
            </w:pPr>
            <w:r>
              <w:rPr>
                <w:sz w:val="21"/>
                <w:lang w:val="fr-CH"/>
              </w:rPr>
              <w:t>皮钦查</w:t>
            </w:r>
          </w:p>
        </w:tc>
        <w:tc>
          <w:tcPr>
            <w:tcW w:w="758" w:type="pct"/>
          </w:tcPr>
          <w:p w:rsidR="00000000" w:rsidRDefault="00000000">
            <w:pPr>
              <w:ind w:left="113"/>
              <w:rPr>
                <w:sz w:val="21"/>
                <w:lang w:val="fr-CH"/>
              </w:rPr>
            </w:pPr>
            <w:r>
              <w:rPr>
                <w:rFonts w:hint="eastAsia"/>
                <w:sz w:val="21"/>
                <w:lang w:val="fr-CH"/>
              </w:rPr>
              <w:t>基多</w:t>
            </w:r>
          </w:p>
        </w:tc>
      </w:tr>
      <w:tr w:rsidR="00000000">
        <w:tblPrEx>
          <w:tblCellMar>
            <w:top w:w="0" w:type="dxa"/>
            <w:bottom w:w="0" w:type="dxa"/>
          </w:tblCellMar>
        </w:tblPrEx>
        <w:tc>
          <w:tcPr>
            <w:tcW w:w="3412" w:type="pct"/>
          </w:tcPr>
          <w:p w:rsidR="00000000" w:rsidRDefault="00000000">
            <w:pPr>
              <w:ind w:left="113"/>
              <w:rPr>
                <w:sz w:val="21"/>
                <w:lang w:val="fr-CH"/>
              </w:rPr>
            </w:pPr>
            <w:r>
              <w:rPr>
                <w:sz w:val="21"/>
                <w:lang w:val="fr-CH"/>
              </w:rPr>
              <w:t>Conservatorio Fiscomisional de Música, Danza y Teatro</w:t>
            </w:r>
          </w:p>
          <w:p w:rsidR="00000000" w:rsidRDefault="00000000">
            <w:pPr>
              <w:ind w:left="113"/>
              <w:rPr>
                <w:sz w:val="21"/>
                <w:lang w:val="fr-CH"/>
              </w:rPr>
            </w:pPr>
            <w:r>
              <w:rPr>
                <w:sz w:val="21"/>
                <w:lang w:val="fr-CH"/>
              </w:rPr>
              <w:t xml:space="preserve">   “La Merced”</w:t>
            </w:r>
          </w:p>
        </w:tc>
        <w:tc>
          <w:tcPr>
            <w:tcW w:w="830" w:type="pct"/>
          </w:tcPr>
          <w:p w:rsidR="00000000" w:rsidRDefault="00000000">
            <w:pPr>
              <w:ind w:left="113"/>
              <w:rPr>
                <w:sz w:val="21"/>
                <w:lang w:val="fr-CH"/>
              </w:rPr>
            </w:pPr>
            <w:r>
              <w:rPr>
                <w:sz w:val="21"/>
                <w:lang w:val="fr-CH"/>
              </w:rPr>
              <w:t>通古拉瓦</w:t>
            </w:r>
          </w:p>
        </w:tc>
        <w:tc>
          <w:tcPr>
            <w:tcW w:w="758" w:type="pct"/>
          </w:tcPr>
          <w:p w:rsidR="00000000" w:rsidRDefault="00000000">
            <w:pPr>
              <w:ind w:left="113"/>
              <w:rPr>
                <w:sz w:val="21"/>
                <w:lang w:val="fr-CH"/>
              </w:rPr>
            </w:pPr>
            <w:r>
              <w:rPr>
                <w:sz w:val="21"/>
                <w:lang w:val="fr-CH"/>
              </w:rPr>
              <w:t>安巴托</w:t>
            </w:r>
          </w:p>
        </w:tc>
      </w:tr>
    </w:tbl>
    <w:p w:rsidR="00000000" w:rsidRDefault="00000000">
      <w:pPr>
        <w:pStyle w:val="Heading4"/>
        <w:spacing w:after="0" w:line="240" w:lineRule="auto"/>
        <w:rPr>
          <w:rFonts w:hint="eastAsia"/>
        </w:rPr>
      </w:pPr>
    </w:p>
    <w:p w:rsidR="00000000" w:rsidRDefault="00000000">
      <w:pPr>
        <w:pStyle w:val="Heading4"/>
        <w:spacing w:after="160"/>
        <w:rPr>
          <w:rFonts w:hint="eastAsia"/>
          <w:lang w:val="fr-CH"/>
        </w:rPr>
      </w:pPr>
      <w:r>
        <w:rPr>
          <w:rFonts w:hint="eastAsia"/>
        </w:rPr>
        <w:t>造型艺术</w:t>
      </w:r>
    </w:p>
    <w:p w:rsidR="00000000" w:rsidRDefault="00000000">
      <w:pPr>
        <w:pStyle w:val="Heading4"/>
        <w:rPr>
          <w:rFonts w:eastAsia="KaiTi_GB2312" w:hint="eastAsia"/>
          <w:spacing w:val="0"/>
          <w:u w:val="none"/>
          <w:lang w:val="fr-CH"/>
        </w:rPr>
      </w:pPr>
      <w:r>
        <w:rPr>
          <w:rFonts w:eastAsia="KaiTi_GB2312" w:hint="eastAsia"/>
          <w:spacing w:val="0"/>
          <w:u w:val="none"/>
        </w:rPr>
        <w:t>研究所和学院</w:t>
      </w:r>
    </w:p>
    <w:tbl>
      <w:tblPr>
        <w:tblW w:w="4929" w:type="pct"/>
        <w:tblInd w:w="68" w:type="dxa"/>
        <w:tblBorders>
          <w:top w:val="single" w:sz="6" w:space="0" w:color="auto"/>
          <w:left w:val="single" w:sz="6" w:space="0" w:color="auto"/>
          <w:bottom w:val="single" w:sz="6" w:space="0" w:color="auto"/>
          <w:right w:val="single" w:sz="6" w:space="0" w:color="auto"/>
          <w:insideV w:val="single" w:sz="6" w:space="0" w:color="auto"/>
        </w:tblBorders>
        <w:tblCellMar>
          <w:left w:w="68" w:type="dxa"/>
          <w:right w:w="68" w:type="dxa"/>
        </w:tblCellMar>
        <w:tblLook w:val="0000" w:firstRow="0" w:lastRow="0" w:firstColumn="0" w:lastColumn="0" w:noHBand="0" w:noVBand="0"/>
      </w:tblPr>
      <w:tblGrid>
        <w:gridCol w:w="6359"/>
        <w:gridCol w:w="1480"/>
        <w:gridCol w:w="1516"/>
      </w:tblGrid>
      <w:tr w:rsidR="00000000">
        <w:tblPrEx>
          <w:tblCellMar>
            <w:top w:w="0" w:type="dxa"/>
            <w:bottom w:w="0" w:type="dxa"/>
          </w:tblCellMar>
        </w:tblPrEx>
        <w:tc>
          <w:tcPr>
            <w:tcW w:w="3399" w:type="pct"/>
          </w:tcPr>
          <w:p w:rsidR="00000000" w:rsidRDefault="00000000">
            <w:pPr>
              <w:spacing w:before="60"/>
              <w:ind w:left="113"/>
              <w:rPr>
                <w:sz w:val="21"/>
                <w:lang w:val="fr-CH"/>
              </w:rPr>
            </w:pPr>
            <w:r>
              <w:rPr>
                <w:sz w:val="21"/>
                <w:lang w:val="fr-CH"/>
              </w:rPr>
              <w:t>Instituto Superior “Daniel Reyes”</w:t>
            </w:r>
          </w:p>
        </w:tc>
        <w:tc>
          <w:tcPr>
            <w:tcW w:w="791" w:type="pct"/>
          </w:tcPr>
          <w:p w:rsidR="00000000" w:rsidRDefault="00000000">
            <w:pPr>
              <w:spacing w:before="60"/>
              <w:ind w:left="113"/>
              <w:rPr>
                <w:sz w:val="21"/>
                <w:lang w:val="fr-CH"/>
              </w:rPr>
            </w:pPr>
            <w:r>
              <w:rPr>
                <w:sz w:val="21"/>
                <w:lang w:val="fr-CH"/>
              </w:rPr>
              <w:t>因巴布拉</w:t>
            </w:r>
          </w:p>
        </w:tc>
        <w:tc>
          <w:tcPr>
            <w:tcW w:w="810" w:type="pct"/>
          </w:tcPr>
          <w:p w:rsidR="00000000" w:rsidRDefault="00000000">
            <w:pPr>
              <w:spacing w:before="60"/>
              <w:ind w:left="113"/>
              <w:rPr>
                <w:sz w:val="21"/>
                <w:lang w:val="fr-CH"/>
              </w:rPr>
            </w:pPr>
            <w:r>
              <w:rPr>
                <w:sz w:val="21"/>
                <w:lang w:val="fr-CH"/>
              </w:rPr>
              <w:t>伊瓦拉</w:t>
            </w:r>
          </w:p>
        </w:tc>
      </w:tr>
      <w:tr w:rsidR="00000000">
        <w:tblPrEx>
          <w:tblCellMar>
            <w:top w:w="0" w:type="dxa"/>
            <w:bottom w:w="0" w:type="dxa"/>
          </w:tblCellMar>
        </w:tblPrEx>
        <w:tc>
          <w:tcPr>
            <w:tcW w:w="3399" w:type="pct"/>
          </w:tcPr>
          <w:p w:rsidR="00000000" w:rsidRDefault="00000000">
            <w:pPr>
              <w:ind w:left="113"/>
              <w:rPr>
                <w:sz w:val="21"/>
                <w:lang w:val="fr-CH"/>
              </w:rPr>
            </w:pPr>
            <w:r>
              <w:rPr>
                <w:sz w:val="21"/>
                <w:lang w:val="fr-CH"/>
              </w:rPr>
              <w:t>Instituto Superior “Juan José Plaza”</w:t>
            </w:r>
          </w:p>
        </w:tc>
        <w:tc>
          <w:tcPr>
            <w:tcW w:w="791" w:type="pct"/>
          </w:tcPr>
          <w:p w:rsidR="00000000" w:rsidRDefault="00000000">
            <w:pPr>
              <w:ind w:left="113"/>
              <w:rPr>
                <w:sz w:val="21"/>
                <w:lang w:val="fr-CH"/>
              </w:rPr>
            </w:pPr>
            <w:r>
              <w:rPr>
                <w:sz w:val="21"/>
                <w:lang w:val="fr-CH"/>
              </w:rPr>
              <w:t>瓜亚斯</w:t>
            </w:r>
          </w:p>
        </w:tc>
        <w:tc>
          <w:tcPr>
            <w:tcW w:w="810" w:type="pct"/>
          </w:tcPr>
          <w:p w:rsidR="00000000" w:rsidRDefault="00000000">
            <w:pPr>
              <w:ind w:left="113"/>
              <w:rPr>
                <w:sz w:val="21"/>
                <w:lang w:val="fr-CH"/>
              </w:rPr>
            </w:pPr>
            <w:r>
              <w:rPr>
                <w:sz w:val="21"/>
                <w:lang w:val="fr-CH"/>
              </w:rPr>
              <w:t>瓜亚基尔</w:t>
            </w:r>
          </w:p>
        </w:tc>
      </w:tr>
      <w:tr w:rsidR="00000000">
        <w:tblPrEx>
          <w:tblCellMar>
            <w:top w:w="0" w:type="dxa"/>
            <w:bottom w:w="0" w:type="dxa"/>
          </w:tblCellMar>
        </w:tblPrEx>
        <w:tc>
          <w:tcPr>
            <w:tcW w:w="3399" w:type="pct"/>
          </w:tcPr>
          <w:p w:rsidR="00000000" w:rsidRDefault="00000000">
            <w:pPr>
              <w:ind w:left="113"/>
              <w:rPr>
                <w:sz w:val="21"/>
                <w:lang w:val="fr-CH"/>
              </w:rPr>
            </w:pPr>
            <w:r>
              <w:rPr>
                <w:sz w:val="21"/>
                <w:lang w:val="fr-CH"/>
              </w:rPr>
              <w:t>Colegio de Artes Plásticas “Tohalí”</w:t>
            </w:r>
          </w:p>
        </w:tc>
        <w:tc>
          <w:tcPr>
            <w:tcW w:w="791" w:type="pct"/>
          </w:tcPr>
          <w:p w:rsidR="00000000" w:rsidRDefault="00000000">
            <w:pPr>
              <w:ind w:left="113"/>
              <w:rPr>
                <w:sz w:val="21"/>
                <w:lang w:val="fr-CH"/>
              </w:rPr>
            </w:pPr>
            <w:r>
              <w:rPr>
                <w:sz w:val="21"/>
                <w:lang w:val="fr-CH"/>
              </w:rPr>
              <w:t>马纳维</w:t>
            </w:r>
          </w:p>
        </w:tc>
        <w:tc>
          <w:tcPr>
            <w:tcW w:w="810" w:type="pct"/>
          </w:tcPr>
          <w:p w:rsidR="00000000" w:rsidRDefault="00000000">
            <w:pPr>
              <w:ind w:left="113"/>
              <w:rPr>
                <w:sz w:val="21"/>
                <w:lang w:val="fr-CH"/>
              </w:rPr>
            </w:pPr>
            <w:r>
              <w:rPr>
                <w:sz w:val="21"/>
                <w:lang w:val="fr-CH"/>
              </w:rPr>
              <w:t>马纳维曼塔</w:t>
            </w:r>
          </w:p>
        </w:tc>
      </w:tr>
      <w:tr w:rsidR="00000000">
        <w:tblPrEx>
          <w:tblCellMar>
            <w:top w:w="0" w:type="dxa"/>
            <w:bottom w:w="0" w:type="dxa"/>
          </w:tblCellMar>
        </w:tblPrEx>
        <w:tc>
          <w:tcPr>
            <w:tcW w:w="3399" w:type="pct"/>
          </w:tcPr>
          <w:p w:rsidR="00000000" w:rsidRDefault="00000000">
            <w:pPr>
              <w:ind w:left="113"/>
              <w:rPr>
                <w:sz w:val="21"/>
                <w:lang w:val="fr-CH"/>
              </w:rPr>
            </w:pPr>
            <w:r>
              <w:rPr>
                <w:sz w:val="21"/>
                <w:lang w:val="fr-CH"/>
              </w:rPr>
              <w:t>Colegio de Artes Plásticas “La Pila”</w:t>
            </w:r>
          </w:p>
        </w:tc>
        <w:tc>
          <w:tcPr>
            <w:tcW w:w="791" w:type="pct"/>
          </w:tcPr>
          <w:p w:rsidR="00000000" w:rsidRDefault="00000000">
            <w:pPr>
              <w:ind w:left="113"/>
              <w:rPr>
                <w:sz w:val="21"/>
              </w:rPr>
            </w:pPr>
            <w:r>
              <w:rPr>
                <w:sz w:val="21"/>
                <w:lang w:val="fr-CH"/>
              </w:rPr>
              <w:t>马纳维</w:t>
            </w:r>
          </w:p>
        </w:tc>
        <w:tc>
          <w:tcPr>
            <w:tcW w:w="810" w:type="pct"/>
          </w:tcPr>
          <w:p w:rsidR="00000000" w:rsidRDefault="00000000">
            <w:pPr>
              <w:ind w:left="113"/>
              <w:rPr>
                <w:sz w:val="21"/>
              </w:rPr>
            </w:pPr>
            <w:r>
              <w:rPr>
                <w:sz w:val="21"/>
              </w:rPr>
              <w:t>蒙特克里斯蒂</w:t>
            </w:r>
          </w:p>
        </w:tc>
      </w:tr>
      <w:tr w:rsidR="00000000">
        <w:tblPrEx>
          <w:tblCellMar>
            <w:top w:w="0" w:type="dxa"/>
            <w:bottom w:w="0" w:type="dxa"/>
          </w:tblCellMar>
        </w:tblPrEx>
        <w:tc>
          <w:tcPr>
            <w:tcW w:w="3399" w:type="pct"/>
          </w:tcPr>
          <w:p w:rsidR="00000000" w:rsidRDefault="00000000">
            <w:pPr>
              <w:ind w:left="113"/>
              <w:rPr>
                <w:sz w:val="21"/>
              </w:rPr>
            </w:pPr>
            <w:r>
              <w:rPr>
                <w:sz w:val="21"/>
              </w:rPr>
              <w:t>Colegio “Ciudad de Portovelo”</w:t>
            </w:r>
          </w:p>
        </w:tc>
        <w:tc>
          <w:tcPr>
            <w:tcW w:w="791" w:type="pct"/>
          </w:tcPr>
          <w:p w:rsidR="00000000" w:rsidRDefault="00000000">
            <w:pPr>
              <w:ind w:left="113"/>
              <w:rPr>
                <w:sz w:val="21"/>
              </w:rPr>
            </w:pPr>
            <w:r>
              <w:rPr>
                <w:sz w:val="21"/>
                <w:szCs w:val="25"/>
                <w:lang w:val="fr-CH"/>
              </w:rPr>
              <w:t>埃尔奥罗</w:t>
            </w:r>
          </w:p>
        </w:tc>
        <w:tc>
          <w:tcPr>
            <w:tcW w:w="810" w:type="pct"/>
          </w:tcPr>
          <w:p w:rsidR="00000000" w:rsidRDefault="00000000">
            <w:pPr>
              <w:ind w:left="113"/>
              <w:rPr>
                <w:sz w:val="21"/>
              </w:rPr>
            </w:pPr>
            <w:r>
              <w:rPr>
                <w:sz w:val="21"/>
              </w:rPr>
              <w:t>波多韦洛</w:t>
            </w:r>
          </w:p>
        </w:tc>
      </w:tr>
      <w:tr w:rsidR="00000000">
        <w:tblPrEx>
          <w:tblCellMar>
            <w:top w:w="0" w:type="dxa"/>
            <w:bottom w:w="0" w:type="dxa"/>
          </w:tblCellMar>
        </w:tblPrEx>
        <w:tc>
          <w:tcPr>
            <w:tcW w:w="3399" w:type="pct"/>
          </w:tcPr>
          <w:p w:rsidR="00000000" w:rsidRDefault="00000000">
            <w:pPr>
              <w:ind w:left="113"/>
              <w:rPr>
                <w:sz w:val="21"/>
              </w:rPr>
            </w:pPr>
            <w:r>
              <w:rPr>
                <w:sz w:val="21"/>
              </w:rPr>
              <w:t>Colegio “Miguel Ángel León Pontón”</w:t>
            </w:r>
          </w:p>
        </w:tc>
        <w:tc>
          <w:tcPr>
            <w:tcW w:w="791" w:type="pct"/>
          </w:tcPr>
          <w:p w:rsidR="00000000" w:rsidRDefault="00000000">
            <w:pPr>
              <w:ind w:left="113"/>
              <w:rPr>
                <w:sz w:val="21"/>
              </w:rPr>
            </w:pPr>
            <w:r>
              <w:rPr>
                <w:sz w:val="21"/>
                <w:szCs w:val="25"/>
              </w:rPr>
              <w:t>钦博拉索</w:t>
            </w:r>
          </w:p>
        </w:tc>
        <w:tc>
          <w:tcPr>
            <w:tcW w:w="810" w:type="pct"/>
          </w:tcPr>
          <w:p w:rsidR="00000000" w:rsidRDefault="00000000">
            <w:pPr>
              <w:ind w:left="113"/>
              <w:rPr>
                <w:sz w:val="21"/>
                <w:lang w:val="fr-CH"/>
              </w:rPr>
            </w:pPr>
            <w:r>
              <w:rPr>
                <w:sz w:val="21"/>
                <w:lang w:val="fr-CH"/>
              </w:rPr>
              <w:t>里奥班巴</w:t>
            </w:r>
          </w:p>
        </w:tc>
      </w:tr>
      <w:tr w:rsidR="00000000">
        <w:tblPrEx>
          <w:tblCellMar>
            <w:top w:w="0" w:type="dxa"/>
            <w:bottom w:w="0" w:type="dxa"/>
          </w:tblCellMar>
        </w:tblPrEx>
        <w:tc>
          <w:tcPr>
            <w:tcW w:w="3399" w:type="pct"/>
          </w:tcPr>
          <w:p w:rsidR="00000000" w:rsidRDefault="00000000">
            <w:pPr>
              <w:ind w:left="113"/>
              <w:rPr>
                <w:sz w:val="21"/>
                <w:lang w:val="fr-CH"/>
              </w:rPr>
            </w:pPr>
            <w:r>
              <w:rPr>
                <w:sz w:val="21"/>
                <w:lang w:val="fr-CH"/>
              </w:rPr>
              <w:t>Colegio Casa de la Cultura</w:t>
            </w:r>
          </w:p>
        </w:tc>
        <w:tc>
          <w:tcPr>
            <w:tcW w:w="791" w:type="pct"/>
          </w:tcPr>
          <w:p w:rsidR="00000000" w:rsidRDefault="00000000">
            <w:pPr>
              <w:ind w:left="113"/>
              <w:rPr>
                <w:rFonts w:hint="eastAsia"/>
                <w:sz w:val="21"/>
              </w:rPr>
            </w:pPr>
            <w:r>
              <w:rPr>
                <w:sz w:val="21"/>
                <w:szCs w:val="25"/>
              </w:rPr>
              <w:t>洛斯里奥斯</w:t>
            </w:r>
          </w:p>
        </w:tc>
        <w:tc>
          <w:tcPr>
            <w:tcW w:w="810" w:type="pct"/>
          </w:tcPr>
          <w:p w:rsidR="00000000" w:rsidRDefault="00000000">
            <w:pPr>
              <w:ind w:left="113"/>
              <w:rPr>
                <w:sz w:val="21"/>
              </w:rPr>
            </w:pPr>
            <w:r>
              <w:rPr>
                <w:sz w:val="21"/>
                <w:szCs w:val="25"/>
              </w:rPr>
              <w:t>巴巴奥约</w:t>
            </w:r>
          </w:p>
        </w:tc>
      </w:tr>
      <w:tr w:rsidR="00000000">
        <w:tblPrEx>
          <w:tblCellMar>
            <w:top w:w="0" w:type="dxa"/>
            <w:bottom w:w="0" w:type="dxa"/>
          </w:tblCellMar>
        </w:tblPrEx>
        <w:tc>
          <w:tcPr>
            <w:tcW w:w="3399" w:type="pct"/>
          </w:tcPr>
          <w:p w:rsidR="00000000" w:rsidRDefault="00000000">
            <w:pPr>
              <w:ind w:left="113"/>
              <w:rPr>
                <w:sz w:val="21"/>
              </w:rPr>
            </w:pPr>
            <w:r>
              <w:rPr>
                <w:sz w:val="21"/>
              </w:rPr>
              <w:t>Colegio “José Peralta”</w:t>
            </w:r>
          </w:p>
        </w:tc>
        <w:tc>
          <w:tcPr>
            <w:tcW w:w="791" w:type="pct"/>
          </w:tcPr>
          <w:p w:rsidR="00000000" w:rsidRDefault="00000000">
            <w:pPr>
              <w:ind w:left="113"/>
              <w:rPr>
                <w:rFonts w:hint="eastAsia"/>
                <w:sz w:val="21"/>
                <w:lang w:val="fr-CH"/>
              </w:rPr>
            </w:pPr>
            <w:r>
              <w:rPr>
                <w:sz w:val="21"/>
                <w:lang w:val="fr-CH"/>
              </w:rPr>
              <w:t>卡尼亚尔</w:t>
            </w:r>
          </w:p>
        </w:tc>
        <w:tc>
          <w:tcPr>
            <w:tcW w:w="810" w:type="pct"/>
          </w:tcPr>
          <w:p w:rsidR="00000000" w:rsidRDefault="00000000">
            <w:pPr>
              <w:ind w:left="113"/>
              <w:rPr>
                <w:sz w:val="21"/>
                <w:lang w:val="fr-CH"/>
              </w:rPr>
            </w:pPr>
            <w:r>
              <w:rPr>
                <w:sz w:val="21"/>
                <w:lang w:val="fr-CH"/>
              </w:rPr>
              <w:t>阿索格斯</w:t>
            </w:r>
          </w:p>
        </w:tc>
      </w:tr>
      <w:tr w:rsidR="00000000">
        <w:tblPrEx>
          <w:tblCellMar>
            <w:top w:w="0" w:type="dxa"/>
            <w:bottom w:w="0" w:type="dxa"/>
          </w:tblCellMar>
        </w:tblPrEx>
        <w:tc>
          <w:tcPr>
            <w:tcW w:w="3399" w:type="pct"/>
          </w:tcPr>
          <w:p w:rsidR="00000000" w:rsidRDefault="00000000">
            <w:pPr>
              <w:ind w:left="113"/>
              <w:rPr>
                <w:sz w:val="21"/>
                <w:lang w:val="fr-CH"/>
              </w:rPr>
            </w:pPr>
            <w:r>
              <w:rPr>
                <w:sz w:val="21"/>
                <w:lang w:val="fr-CH"/>
              </w:rPr>
              <w:t>Colegio “Virgilio Abarca Montesinos”</w:t>
            </w:r>
          </w:p>
        </w:tc>
        <w:tc>
          <w:tcPr>
            <w:tcW w:w="791" w:type="pct"/>
          </w:tcPr>
          <w:p w:rsidR="00000000" w:rsidRDefault="00000000">
            <w:pPr>
              <w:ind w:left="113"/>
              <w:rPr>
                <w:sz w:val="21"/>
                <w:lang w:val="fr-CH"/>
              </w:rPr>
            </w:pPr>
            <w:r>
              <w:rPr>
                <w:sz w:val="21"/>
                <w:lang w:val="fr-CH"/>
              </w:rPr>
              <w:t>洛哈</w:t>
            </w:r>
          </w:p>
        </w:tc>
        <w:tc>
          <w:tcPr>
            <w:tcW w:w="810" w:type="pct"/>
          </w:tcPr>
          <w:p w:rsidR="00000000" w:rsidRDefault="00000000">
            <w:pPr>
              <w:ind w:left="113"/>
              <w:rPr>
                <w:sz w:val="21"/>
                <w:lang w:val="fr-CH"/>
              </w:rPr>
            </w:pPr>
            <w:r>
              <w:rPr>
                <w:sz w:val="21"/>
                <w:lang w:val="fr-CH"/>
              </w:rPr>
              <w:t>萨拉古罗</w:t>
            </w:r>
          </w:p>
        </w:tc>
      </w:tr>
      <w:tr w:rsidR="00000000">
        <w:tblPrEx>
          <w:tblCellMar>
            <w:top w:w="0" w:type="dxa"/>
            <w:bottom w:w="0" w:type="dxa"/>
          </w:tblCellMar>
        </w:tblPrEx>
        <w:tc>
          <w:tcPr>
            <w:tcW w:w="3399" w:type="pct"/>
          </w:tcPr>
          <w:p w:rsidR="00000000" w:rsidRDefault="00000000">
            <w:pPr>
              <w:ind w:left="113"/>
              <w:rPr>
                <w:sz w:val="21"/>
                <w:lang w:val="fr-CH"/>
              </w:rPr>
            </w:pPr>
            <w:r>
              <w:rPr>
                <w:sz w:val="21"/>
                <w:lang w:val="fr-CH"/>
              </w:rPr>
              <w:t>Colegio de Bellas Artes</w:t>
            </w:r>
          </w:p>
        </w:tc>
        <w:tc>
          <w:tcPr>
            <w:tcW w:w="791" w:type="pct"/>
          </w:tcPr>
          <w:p w:rsidR="00000000" w:rsidRDefault="00000000">
            <w:pPr>
              <w:pStyle w:val="a2"/>
              <w:spacing w:line="336" w:lineRule="auto"/>
              <w:rPr>
                <w:spacing w:val="-10"/>
                <w:lang w:val="fr-CH"/>
              </w:rPr>
            </w:pPr>
            <w:r>
              <w:rPr>
                <w:spacing w:val="-10"/>
                <w:lang w:val="fr-CH"/>
              </w:rPr>
              <w:t>埃斯梅拉达斯</w:t>
            </w:r>
          </w:p>
        </w:tc>
        <w:tc>
          <w:tcPr>
            <w:tcW w:w="810" w:type="pct"/>
          </w:tcPr>
          <w:p w:rsidR="00000000" w:rsidRDefault="00000000">
            <w:pPr>
              <w:ind w:left="113"/>
              <w:rPr>
                <w:spacing w:val="0"/>
                <w:sz w:val="21"/>
                <w:lang w:val="fr-CH"/>
              </w:rPr>
            </w:pPr>
            <w:r>
              <w:rPr>
                <w:spacing w:val="0"/>
                <w:sz w:val="21"/>
                <w:lang w:val="fr-CH"/>
              </w:rPr>
              <w:t>埃斯梅拉达斯</w:t>
            </w:r>
          </w:p>
        </w:tc>
      </w:tr>
      <w:tr w:rsidR="00000000">
        <w:tblPrEx>
          <w:tblCellMar>
            <w:top w:w="0" w:type="dxa"/>
            <w:bottom w:w="0" w:type="dxa"/>
          </w:tblCellMar>
        </w:tblPrEx>
        <w:tc>
          <w:tcPr>
            <w:tcW w:w="3399" w:type="pct"/>
          </w:tcPr>
          <w:p w:rsidR="00000000" w:rsidRDefault="00000000">
            <w:pPr>
              <w:ind w:left="113"/>
              <w:rPr>
                <w:sz w:val="21"/>
                <w:lang w:val="fr-CH"/>
              </w:rPr>
            </w:pPr>
            <w:r>
              <w:rPr>
                <w:sz w:val="21"/>
                <w:lang w:val="fr-CH"/>
              </w:rPr>
              <w:t xml:space="preserve">Colegio de Artes Plásticas de la Universidad </w:t>
            </w:r>
            <w:r>
              <w:rPr>
                <w:sz w:val="21"/>
                <w:lang w:val="fr-CH"/>
              </w:rPr>
              <w:br/>
              <w:t>Central del Ecuador</w:t>
            </w:r>
          </w:p>
        </w:tc>
        <w:tc>
          <w:tcPr>
            <w:tcW w:w="791" w:type="pct"/>
          </w:tcPr>
          <w:p w:rsidR="00000000" w:rsidRDefault="00000000">
            <w:pPr>
              <w:ind w:left="113"/>
              <w:rPr>
                <w:sz w:val="21"/>
                <w:lang w:val="fr-CH"/>
              </w:rPr>
            </w:pPr>
            <w:r>
              <w:rPr>
                <w:sz w:val="21"/>
                <w:lang w:val="fr-CH"/>
              </w:rPr>
              <w:t>皮钦查</w:t>
            </w:r>
          </w:p>
        </w:tc>
        <w:tc>
          <w:tcPr>
            <w:tcW w:w="810" w:type="pct"/>
          </w:tcPr>
          <w:p w:rsidR="00000000" w:rsidRDefault="00000000">
            <w:pPr>
              <w:ind w:left="113"/>
              <w:rPr>
                <w:sz w:val="21"/>
                <w:lang w:val="fr-CH"/>
              </w:rPr>
            </w:pPr>
            <w:r>
              <w:rPr>
                <w:rFonts w:hint="eastAsia"/>
                <w:sz w:val="21"/>
                <w:lang w:val="fr-CH"/>
              </w:rPr>
              <w:t>基多</w:t>
            </w:r>
          </w:p>
        </w:tc>
      </w:tr>
      <w:tr w:rsidR="00000000">
        <w:tblPrEx>
          <w:tblCellMar>
            <w:top w:w="0" w:type="dxa"/>
            <w:bottom w:w="0" w:type="dxa"/>
          </w:tblCellMar>
        </w:tblPrEx>
        <w:tc>
          <w:tcPr>
            <w:tcW w:w="3399" w:type="pct"/>
          </w:tcPr>
          <w:p w:rsidR="00000000" w:rsidRDefault="00000000">
            <w:pPr>
              <w:ind w:left="113"/>
              <w:rPr>
                <w:sz w:val="21"/>
                <w:lang w:val="fr-CH"/>
              </w:rPr>
            </w:pPr>
            <w:r>
              <w:rPr>
                <w:sz w:val="21"/>
                <w:lang w:val="fr-CH"/>
              </w:rPr>
              <w:t>Colegio “Matilde Hidalgo de Prócel”</w:t>
            </w:r>
          </w:p>
        </w:tc>
        <w:tc>
          <w:tcPr>
            <w:tcW w:w="791" w:type="pct"/>
          </w:tcPr>
          <w:p w:rsidR="00000000" w:rsidRDefault="00000000">
            <w:pPr>
              <w:ind w:left="113"/>
              <w:rPr>
                <w:sz w:val="21"/>
                <w:lang w:val="fr-CH"/>
              </w:rPr>
            </w:pPr>
            <w:r>
              <w:rPr>
                <w:sz w:val="21"/>
                <w:lang w:val="fr-CH"/>
              </w:rPr>
              <w:t>埃尔奥罗</w:t>
            </w:r>
          </w:p>
        </w:tc>
        <w:tc>
          <w:tcPr>
            <w:tcW w:w="810" w:type="pct"/>
          </w:tcPr>
          <w:p w:rsidR="00000000" w:rsidRDefault="00000000">
            <w:pPr>
              <w:ind w:left="113"/>
              <w:rPr>
                <w:sz w:val="21"/>
              </w:rPr>
            </w:pPr>
            <w:r>
              <w:rPr>
                <w:sz w:val="21"/>
                <w:szCs w:val="25"/>
                <w:lang w:val="fr-CH"/>
              </w:rPr>
              <w:t>马查拉</w:t>
            </w:r>
          </w:p>
        </w:tc>
      </w:tr>
    </w:tbl>
    <w:p w:rsidR="00000000" w:rsidRDefault="00000000">
      <w:pPr>
        <w:rPr>
          <w:rFonts w:hint="eastAsia"/>
        </w:rPr>
      </w:pPr>
    </w:p>
    <w:p w:rsidR="00000000" w:rsidRDefault="00000000">
      <w:pPr>
        <w:rPr>
          <w:rFonts w:hint="eastAsia"/>
        </w:rPr>
      </w:pPr>
      <w:r>
        <w:rPr>
          <w:rFonts w:hint="eastAsia"/>
        </w:rPr>
        <w:tab/>
        <w:t xml:space="preserve">576.  </w:t>
      </w:r>
      <w:r>
        <w:rPr>
          <w:rFonts w:hint="eastAsia"/>
        </w:rPr>
        <w:t>题为“新文化方向”的国家方案</w:t>
      </w:r>
      <w:r>
        <w:rPr>
          <w:rFonts w:hint="eastAsia"/>
        </w:rPr>
        <w:t>(1996</w:t>
      </w:r>
      <w:r>
        <w:rPr>
          <w:rFonts w:hint="eastAsia"/>
        </w:rPr>
        <w:t>年</w:t>
      </w:r>
      <w:r>
        <w:rPr>
          <w:rFonts w:hint="eastAsia"/>
        </w:rPr>
        <w:t>)</w:t>
      </w:r>
      <w:r>
        <w:rPr>
          <w:rFonts w:hint="eastAsia"/>
        </w:rPr>
        <w:t>是一个公共部门机构，其任务是通过认识文化多样性、重视并提倡通俗文化的各种表现形式，为重申民族文化特性作出贡献。其主要职能之一就是在中学生和社区的积极参与下，在国内被边缘化的城镇和乡村地区开展文化发展项目以及推动文化的实地工作。</w:t>
      </w:r>
    </w:p>
    <w:p w:rsidR="00000000" w:rsidRDefault="00000000">
      <w:pPr>
        <w:rPr>
          <w:rFonts w:eastAsia="KaiTi_GB2312" w:hint="eastAsia"/>
          <w:spacing w:val="0"/>
        </w:rPr>
      </w:pPr>
      <w:r>
        <w:rPr>
          <w:rFonts w:hint="eastAsia"/>
        </w:rPr>
        <w:tab/>
        <w:t xml:space="preserve">577.  </w:t>
      </w:r>
      <w:r>
        <w:rPr>
          <w:rFonts w:hint="eastAsia"/>
        </w:rPr>
        <w:t>为了推动社区一级的艺术表现形式并加强文化表现形式，筹备了下列项目：</w:t>
      </w:r>
      <w:r>
        <w:rPr>
          <w:rFonts w:eastAsia="KaiTi_GB2312"/>
          <w:spacing w:val="0"/>
        </w:rPr>
        <w:t>Centro de Memoria [</w:t>
      </w:r>
      <w:r>
        <w:rPr>
          <w:rFonts w:eastAsia="KaiTi_GB2312" w:hint="eastAsia"/>
          <w:spacing w:val="0"/>
        </w:rPr>
        <w:t>纪念中心</w:t>
      </w:r>
      <w:r>
        <w:rPr>
          <w:rFonts w:eastAsia="KaiTi_GB2312"/>
          <w:spacing w:val="0"/>
        </w:rPr>
        <w:t>]</w:t>
      </w:r>
      <w:r>
        <w:rPr>
          <w:rFonts w:eastAsia="KaiTi_GB2312" w:hint="eastAsia"/>
          <w:spacing w:val="0"/>
        </w:rPr>
        <w:t>、</w:t>
      </w:r>
      <w:r>
        <w:rPr>
          <w:rFonts w:eastAsia="KaiTi_GB2312"/>
          <w:spacing w:val="0"/>
        </w:rPr>
        <w:t>Ecuador Profundo[</w:t>
      </w:r>
      <w:r>
        <w:rPr>
          <w:rFonts w:eastAsia="KaiTi_GB2312" w:hint="eastAsia"/>
          <w:spacing w:val="0"/>
        </w:rPr>
        <w:t>厄瓜多尔之根</w:t>
      </w:r>
      <w:r>
        <w:rPr>
          <w:rFonts w:eastAsia="KaiTi_GB2312"/>
          <w:spacing w:val="0"/>
        </w:rPr>
        <w:t>]</w:t>
      </w:r>
      <w:r>
        <w:rPr>
          <w:rFonts w:eastAsia="KaiTi_GB2312" w:hint="eastAsia"/>
          <w:spacing w:val="0"/>
        </w:rPr>
        <w:t>、</w:t>
      </w:r>
      <w:r>
        <w:rPr>
          <w:rFonts w:eastAsia="KaiTi_GB2312"/>
          <w:spacing w:val="0"/>
        </w:rPr>
        <w:t>Semilleros de Arte [</w:t>
      </w:r>
      <w:r>
        <w:rPr>
          <w:rFonts w:eastAsia="KaiTi_GB2312" w:hint="eastAsia"/>
          <w:spacing w:val="0"/>
        </w:rPr>
        <w:t>艺术温床</w:t>
      </w:r>
      <w:r>
        <w:rPr>
          <w:rFonts w:eastAsia="KaiTi_GB2312"/>
          <w:spacing w:val="0"/>
        </w:rPr>
        <w:t>]</w:t>
      </w:r>
      <w:r>
        <w:rPr>
          <w:rFonts w:eastAsia="KaiTi_GB2312" w:hint="eastAsia"/>
          <w:spacing w:val="0"/>
        </w:rPr>
        <w:t>、</w:t>
      </w:r>
      <w:r>
        <w:rPr>
          <w:rFonts w:eastAsia="KaiTi_GB2312"/>
          <w:spacing w:val="0"/>
        </w:rPr>
        <w:t>Riqueza Mestiz</w:t>
      </w:r>
      <w:r>
        <w:rPr>
          <w:rFonts w:eastAsia="KaiTi_GB2312" w:hint="eastAsia"/>
          <w:spacing w:val="0"/>
        </w:rPr>
        <w:t>[</w:t>
      </w:r>
      <w:r>
        <w:rPr>
          <w:rFonts w:eastAsia="KaiTi_GB2312"/>
          <w:spacing w:val="0"/>
        </w:rPr>
        <w:t>Mestizo</w:t>
      </w:r>
      <w:r>
        <w:rPr>
          <w:rFonts w:eastAsia="KaiTi_GB2312" w:hint="eastAsia"/>
          <w:spacing w:val="0"/>
        </w:rPr>
        <w:t>财富</w:t>
      </w:r>
      <w:r>
        <w:rPr>
          <w:rFonts w:eastAsia="KaiTi_GB2312" w:hint="eastAsia"/>
          <w:spacing w:val="0"/>
        </w:rPr>
        <w:t>]</w:t>
      </w:r>
      <w:r>
        <w:rPr>
          <w:rFonts w:eastAsia="KaiTi_GB2312" w:hint="eastAsia"/>
          <w:spacing w:val="0"/>
        </w:rPr>
        <w:t>及文化和教育录像作品。</w:t>
      </w:r>
    </w:p>
    <w:p w:rsidR="00000000" w:rsidRDefault="00000000">
      <w:pPr>
        <w:rPr>
          <w:rFonts w:hint="eastAsia"/>
        </w:rPr>
      </w:pPr>
      <w:r>
        <w:rPr>
          <w:rFonts w:hint="eastAsia"/>
        </w:rPr>
        <w:tab/>
        <w:t xml:space="preserve">578.  </w:t>
      </w:r>
      <w:r>
        <w:rPr>
          <w:rFonts w:hint="eastAsia"/>
        </w:rPr>
        <w:t>为了使文化部门工作的人员掌握专门知识并对其进行培训，计划拟订一个项目，成立文化和艺术培训及咨询中心。</w:t>
      </w:r>
    </w:p>
    <w:p w:rsidR="00000000" w:rsidRDefault="00000000">
      <w:pPr>
        <w:rPr>
          <w:rFonts w:hint="eastAsia"/>
        </w:rPr>
      </w:pPr>
      <w:r>
        <w:rPr>
          <w:rFonts w:hint="eastAsia"/>
        </w:rPr>
        <w:tab/>
        <w:t xml:space="preserve">579.  </w:t>
      </w:r>
      <w:r>
        <w:rPr>
          <w:rFonts w:hint="eastAsia"/>
        </w:rPr>
        <w:t>第</w:t>
      </w:r>
      <w:r>
        <w:rPr>
          <w:rFonts w:hint="eastAsia"/>
        </w:rPr>
        <w:t>806</w:t>
      </w:r>
      <w:r>
        <w:rPr>
          <w:rFonts w:hint="eastAsia"/>
        </w:rPr>
        <w:t>号政府公报公布的《老年人法》第</w:t>
      </w:r>
      <w:r>
        <w:rPr>
          <w:rFonts w:hint="eastAsia"/>
        </w:rPr>
        <w:t>5</w:t>
      </w:r>
      <w:r>
        <w:rPr>
          <w:rFonts w:hint="eastAsia"/>
        </w:rPr>
        <w:t>条提到社会和国家应该给予老年人的待遇：“公共部门和私营部门机构应为愿意参加社会、文化、经济、体育、艺术和科学活动的老年人提供方便。”</w:t>
      </w:r>
    </w:p>
    <w:p w:rsidR="00000000" w:rsidRDefault="00000000">
      <w:pPr>
        <w:rPr>
          <w:rFonts w:hint="eastAsia"/>
        </w:rPr>
      </w:pPr>
      <w:r>
        <w:rPr>
          <w:rFonts w:hint="eastAsia"/>
        </w:rPr>
        <w:tab/>
        <w:t xml:space="preserve">580.  </w:t>
      </w:r>
      <w:r>
        <w:rPr>
          <w:rFonts w:hint="eastAsia"/>
        </w:rPr>
        <w:t>《残疾人法》的各项条款纳入了残疾人的基本权利以及残疾人在社会中应发挥的作用，规定在艺术、科学和文化制作与创作领域必须创造平等机会。</w:t>
      </w:r>
    </w:p>
    <w:p w:rsidR="00000000" w:rsidRDefault="00000000">
      <w:pPr>
        <w:spacing w:after="240"/>
        <w:rPr>
          <w:rFonts w:hint="eastAsia"/>
        </w:rPr>
      </w:pPr>
      <w:r>
        <w:rPr>
          <w:rFonts w:hint="eastAsia"/>
        </w:rPr>
        <w:tab/>
        <w:t xml:space="preserve">581.  </w:t>
      </w:r>
      <w:r>
        <w:rPr>
          <w:rFonts w:hint="eastAsia"/>
        </w:rPr>
        <w:t>《宪法》第</w:t>
      </w:r>
      <w:r>
        <w:rPr>
          <w:rFonts w:hint="eastAsia"/>
        </w:rPr>
        <w:t>7</w:t>
      </w:r>
      <w:r>
        <w:rPr>
          <w:rFonts w:hint="eastAsia"/>
        </w:rPr>
        <w:t>节第</w:t>
      </w:r>
      <w:r>
        <w:rPr>
          <w:rFonts w:hint="eastAsia"/>
        </w:rPr>
        <w:t>62</w:t>
      </w:r>
      <w:r>
        <w:rPr>
          <w:rFonts w:hint="eastAsia"/>
        </w:rPr>
        <w:t>和</w:t>
      </w:r>
      <w:r>
        <w:rPr>
          <w:rFonts w:hint="eastAsia"/>
        </w:rPr>
        <w:t>63</w:t>
      </w:r>
      <w:r>
        <w:rPr>
          <w:rFonts w:hint="eastAsia"/>
        </w:rPr>
        <w:t>条涉及文化问题，将文化定义为人民的遗产和人民特性的精华，明确提到需要拟订政策，保护一切有助于构成民族、多元文化和多族裔特性，执行民族文化公平和平等原则的价值观和多种表现形式。</w:t>
      </w:r>
    </w:p>
    <w:p w:rsidR="00000000" w:rsidRDefault="00000000">
      <w:pPr>
        <w:pStyle w:val="Heading4"/>
        <w:spacing w:after="160"/>
        <w:rPr>
          <w:rFonts w:eastAsia="KaiTi_GB2312" w:hint="eastAsia"/>
          <w:spacing w:val="0"/>
          <w:u w:val="none"/>
        </w:rPr>
      </w:pPr>
      <w:r>
        <w:rPr>
          <w:rFonts w:eastAsia="KaiTi_GB2312" w:hint="eastAsia"/>
          <w:spacing w:val="0"/>
          <w:u w:val="none"/>
        </w:rPr>
        <w:t>科学与技术</w:t>
      </w:r>
    </w:p>
    <w:p w:rsidR="00000000" w:rsidRDefault="00000000">
      <w:pPr>
        <w:rPr>
          <w:rFonts w:hint="eastAsia"/>
        </w:rPr>
      </w:pPr>
      <w:r>
        <w:rPr>
          <w:rFonts w:hint="eastAsia"/>
        </w:rPr>
        <w:tab/>
        <w:t xml:space="preserve">582.  </w:t>
      </w:r>
      <w:r>
        <w:rPr>
          <w:rFonts w:hint="eastAsia"/>
        </w:rPr>
        <w:t>厄瓜多尔《宪法》第</w:t>
      </w:r>
      <w:r>
        <w:rPr>
          <w:rFonts w:hint="eastAsia"/>
        </w:rPr>
        <w:t>80</w:t>
      </w:r>
      <w:r>
        <w:rPr>
          <w:rFonts w:hint="eastAsia"/>
        </w:rPr>
        <w:t>条涉及科学与技术：“国家特别应在各级教育中提倡科学与技术，以提高生产率，确保自然资源的可持续管理，以及满足国民的基本需要。国家应保障科学与技术活动的自由，并在法律上保护科技成果以及集体性的祖传知识。应在大学、理工院校、高等专科和技术学院以及科学研究中心进行科学研究，酌情与生产部门以及法律规定设立的公共机构进行协作；法律还应对科研人员的地位作出规定。”</w:t>
      </w:r>
    </w:p>
    <w:p w:rsidR="00000000" w:rsidRDefault="00000000">
      <w:pPr>
        <w:rPr>
          <w:rFonts w:hint="eastAsia"/>
        </w:rPr>
      </w:pPr>
      <w:r>
        <w:rPr>
          <w:rFonts w:hint="eastAsia"/>
        </w:rPr>
        <w:tab/>
        <w:t xml:space="preserve">583.  </w:t>
      </w:r>
      <w:r>
        <w:rPr>
          <w:rFonts w:hint="eastAsia"/>
        </w:rPr>
        <w:t>载于</w:t>
      </w:r>
      <w:r>
        <w:rPr>
          <w:rFonts w:hint="eastAsia"/>
        </w:rPr>
        <w:t>1994</w:t>
      </w:r>
      <w:r>
        <w:rPr>
          <w:rFonts w:hint="eastAsia"/>
        </w:rPr>
        <w:t>年</w:t>
      </w:r>
      <w:r>
        <w:rPr>
          <w:rFonts w:hint="eastAsia"/>
        </w:rPr>
        <w:t>4</w:t>
      </w:r>
      <w:r>
        <w:rPr>
          <w:rFonts w:hint="eastAsia"/>
        </w:rPr>
        <w:t>月</w:t>
      </w:r>
      <w:r>
        <w:rPr>
          <w:rFonts w:hint="eastAsia"/>
        </w:rPr>
        <w:t>8</w:t>
      </w:r>
      <w:r>
        <w:rPr>
          <w:rFonts w:hint="eastAsia"/>
        </w:rPr>
        <w:t>日第</w:t>
      </w:r>
      <w:r>
        <w:rPr>
          <w:rFonts w:hint="eastAsia"/>
        </w:rPr>
        <w:t>416</w:t>
      </w:r>
      <w:r>
        <w:rPr>
          <w:rFonts w:hint="eastAsia"/>
        </w:rPr>
        <w:t>号政府公报第</w:t>
      </w:r>
      <w:r>
        <w:rPr>
          <w:rFonts w:hint="eastAsia"/>
        </w:rPr>
        <w:t>1605</w:t>
      </w:r>
      <w:r>
        <w:rPr>
          <w:rFonts w:hint="eastAsia"/>
        </w:rPr>
        <w:t>号行政法令设立了科学与技术基金会，列明其职能，并说明其制作和传播知识及其科学应用的职权范围。</w:t>
      </w:r>
    </w:p>
    <w:p w:rsidR="00000000" w:rsidRDefault="00000000">
      <w:pPr>
        <w:rPr>
          <w:rFonts w:hint="eastAsia"/>
        </w:rPr>
      </w:pPr>
      <w:r>
        <w:rPr>
          <w:rFonts w:hint="eastAsia"/>
        </w:rPr>
        <w:tab/>
        <w:t xml:space="preserve">584.  </w:t>
      </w:r>
      <w:r>
        <w:rPr>
          <w:rFonts w:hint="eastAsia"/>
        </w:rPr>
        <w:t>厄瓜多尔政府主要关切事项之一是捍卫和保护环境的法律框架。厄瓜多尔在</w:t>
      </w:r>
      <w:r>
        <w:rPr>
          <w:rFonts w:hint="eastAsia"/>
        </w:rPr>
        <w:t>1979</w:t>
      </w:r>
      <w:r>
        <w:rPr>
          <w:rFonts w:hint="eastAsia"/>
        </w:rPr>
        <w:t>年通过了《环境保护法》，并于</w:t>
      </w:r>
      <w:r>
        <w:rPr>
          <w:rFonts w:hint="eastAsia"/>
        </w:rPr>
        <w:t>1996</w:t>
      </w:r>
      <w:r>
        <w:rPr>
          <w:rFonts w:hint="eastAsia"/>
        </w:rPr>
        <w:t>年成立环境部，取代于</w:t>
      </w:r>
      <w:r>
        <w:rPr>
          <w:rFonts w:hint="eastAsia"/>
        </w:rPr>
        <w:t>1988</w:t>
      </w:r>
      <w:r>
        <w:rPr>
          <w:rFonts w:hint="eastAsia"/>
        </w:rPr>
        <w:t>年设立的附属共和国总统办公室的环境咨询委员会。</w:t>
      </w:r>
    </w:p>
    <w:p w:rsidR="00000000" w:rsidRDefault="00000000">
      <w:pPr>
        <w:rPr>
          <w:rFonts w:hint="eastAsia"/>
        </w:rPr>
      </w:pPr>
      <w:r>
        <w:rPr>
          <w:rFonts w:hint="eastAsia"/>
        </w:rPr>
        <w:tab/>
        <w:t xml:space="preserve">585.  </w:t>
      </w:r>
      <w:r>
        <w:rPr>
          <w:rFonts w:hint="eastAsia"/>
        </w:rPr>
        <w:t>随着科学与技术基金会的设立，全国科学与技术系统被建立起来。该系统与构成全国大学和理工院校理事会的大学和理工院校及私营部门其他机构相联系，按照有关法律努力满足国家企业部门的研究需要。</w:t>
      </w:r>
    </w:p>
    <w:p w:rsidR="00000000" w:rsidRDefault="00000000">
      <w:pPr>
        <w:rPr>
          <w:rFonts w:hint="eastAsia"/>
        </w:rPr>
      </w:pPr>
      <w:r>
        <w:rPr>
          <w:rFonts w:hint="eastAsia"/>
        </w:rPr>
        <w:tab/>
        <w:t xml:space="preserve">586.  </w:t>
      </w:r>
      <w:r>
        <w:rPr>
          <w:rFonts w:hint="eastAsia"/>
        </w:rPr>
        <w:t>载于</w:t>
      </w:r>
      <w:r>
        <w:rPr>
          <w:rFonts w:hint="eastAsia"/>
        </w:rPr>
        <w:t>1994</w:t>
      </w:r>
      <w:r>
        <w:rPr>
          <w:rFonts w:hint="eastAsia"/>
        </w:rPr>
        <w:t>年</w:t>
      </w:r>
      <w:r>
        <w:rPr>
          <w:rFonts w:hint="eastAsia"/>
        </w:rPr>
        <w:t>4</w:t>
      </w:r>
      <w:r>
        <w:rPr>
          <w:rFonts w:hint="eastAsia"/>
        </w:rPr>
        <w:t>月</w:t>
      </w:r>
      <w:r>
        <w:rPr>
          <w:rFonts w:hint="eastAsia"/>
        </w:rPr>
        <w:t>5</w:t>
      </w:r>
      <w:r>
        <w:rPr>
          <w:rFonts w:hint="eastAsia"/>
        </w:rPr>
        <w:t>日的第</w:t>
      </w:r>
      <w:r>
        <w:rPr>
          <w:rFonts w:hint="eastAsia"/>
        </w:rPr>
        <w:t>413</w:t>
      </w:r>
      <w:r>
        <w:rPr>
          <w:rFonts w:hint="eastAsia"/>
        </w:rPr>
        <w:t>号政府公报发表的第</w:t>
      </w:r>
      <w:r>
        <w:rPr>
          <w:rFonts w:hint="eastAsia"/>
        </w:rPr>
        <w:t>1603</w:t>
      </w:r>
      <w:r>
        <w:rPr>
          <w:rFonts w:hint="eastAsia"/>
        </w:rPr>
        <w:t>号行政法令规定重组全国科学与技术系统，并在共和国总统办公室内设立全国科学与技术秘书处，作为管理全国科学与技术系统的政治机构，受共和国总统任命的全国科学与技术秘书领导。</w:t>
      </w:r>
    </w:p>
    <w:p w:rsidR="00000000" w:rsidRDefault="00000000">
      <w:pPr>
        <w:rPr>
          <w:rFonts w:hint="eastAsia"/>
        </w:rPr>
      </w:pPr>
      <w:r>
        <w:rPr>
          <w:rFonts w:hint="eastAsia"/>
        </w:rPr>
        <w:tab/>
        <w:t xml:space="preserve">587.  </w:t>
      </w:r>
      <w:r>
        <w:rPr>
          <w:rFonts w:hint="eastAsia"/>
        </w:rPr>
        <w:t>应注意到下列机构为生产部门开展的工作：中央大学科学协调办公室在各系、各校和研究生院为生产部门制订研究项目，以及各研究机构与</w:t>
      </w:r>
      <w:r>
        <w:rPr>
          <w:rFonts w:hint="eastAsia"/>
        </w:rPr>
        <w:t>INIAP</w:t>
      </w:r>
      <w:r>
        <w:rPr>
          <w:rFonts w:hint="eastAsia"/>
        </w:rPr>
        <w:t>在诸如农业等领域开展研究项目</w:t>
      </w:r>
      <w:r>
        <w:rPr>
          <w:rFonts w:hint="eastAsia"/>
          <w:spacing w:val="-50"/>
        </w:rPr>
        <w:t>―</w:t>
      </w:r>
      <w:r>
        <w:rPr>
          <w:rFonts w:hint="eastAsia"/>
        </w:rPr>
        <w:t>―</w:t>
      </w:r>
      <w:r>
        <w:rPr>
          <w:rFonts w:hint="eastAsia"/>
        </w:rPr>
        <w:t>INIAP</w:t>
      </w:r>
      <w:r>
        <w:rPr>
          <w:rFonts w:hint="eastAsia"/>
        </w:rPr>
        <w:t>通过《行动计划》力图成为改造厄瓜多尔农工部门的有力工具，而海军海洋学院则参与水产养殖研究。</w:t>
      </w:r>
    </w:p>
    <w:p w:rsidR="00000000" w:rsidRDefault="00000000">
      <w:pPr>
        <w:spacing w:after="160"/>
        <w:rPr>
          <w:rFonts w:hint="eastAsia"/>
        </w:rPr>
      </w:pPr>
      <w:r>
        <w:rPr>
          <w:rFonts w:hint="eastAsia"/>
        </w:rPr>
        <w:tab/>
        <w:t xml:space="preserve">588.  </w:t>
      </w:r>
      <w:r>
        <w:rPr>
          <w:rFonts w:hint="eastAsia"/>
        </w:rPr>
        <w:t>所有这些中心和研究所都通过各种媒体传播有关科学进展的信息：科学与技术基金会为国内和国际科学界发行定期出版物，并设有网站。所有其它研究中心的情况亦相同。中央大学拥有一个世纪之久的出版物</w:t>
      </w:r>
      <w:r>
        <w:rPr>
          <w:lang w:val="fr-CH"/>
        </w:rPr>
        <w:t xml:space="preserve">Anales, </w:t>
      </w:r>
      <w:r>
        <w:rPr>
          <w:rFonts w:hint="eastAsia"/>
        </w:rPr>
        <w:t>是厄瓜多尔最重要的科学出版物之一。</w:t>
      </w:r>
    </w:p>
    <w:p w:rsidR="00000000" w:rsidRDefault="00000000">
      <w:pPr>
        <w:pStyle w:val="Heading4"/>
        <w:spacing w:after="160"/>
        <w:rPr>
          <w:rFonts w:eastAsia="KaiTi_GB2312" w:hint="eastAsia"/>
          <w:spacing w:val="0"/>
          <w:u w:val="none"/>
        </w:rPr>
      </w:pPr>
      <w:r>
        <w:rPr>
          <w:rFonts w:eastAsia="KaiTi_GB2312" w:hint="eastAsia"/>
          <w:spacing w:val="0"/>
          <w:u w:val="none"/>
        </w:rPr>
        <w:t>知识产权</w:t>
      </w:r>
    </w:p>
    <w:p w:rsidR="00000000" w:rsidRDefault="00000000">
      <w:pPr>
        <w:spacing w:after="320"/>
        <w:rPr>
          <w:rFonts w:hint="eastAsia"/>
        </w:rPr>
      </w:pPr>
      <w:r>
        <w:rPr>
          <w:rFonts w:hint="eastAsia"/>
        </w:rPr>
        <w:tab/>
        <w:t xml:space="preserve">589.  </w:t>
      </w:r>
      <w:r>
        <w:rPr>
          <w:rFonts w:hint="eastAsia"/>
        </w:rPr>
        <w:t>按照《宪法》第</w:t>
      </w:r>
      <w:r>
        <w:rPr>
          <w:rFonts w:hint="eastAsia"/>
        </w:rPr>
        <w:t>75</w:t>
      </w:r>
      <w:r>
        <w:rPr>
          <w:rFonts w:hint="eastAsia"/>
        </w:rPr>
        <w:t>条的规定，各大学和理工院校的主要职能是进行研究，“研究国内的各种问题，并提出解决问题的办法”。这就是预示着在普通媒体上通过出版和传播成果而增加知识。这类知识应该在研制新产品或进程中通过应用这些知识帮助改进厄瓜多尔人的生活质量。《宪法》第</w:t>
      </w:r>
      <w:r>
        <w:rPr>
          <w:rFonts w:hint="eastAsia"/>
        </w:rPr>
        <w:t>80</w:t>
      </w:r>
      <w:r>
        <w:rPr>
          <w:rFonts w:hint="eastAsia"/>
        </w:rPr>
        <w:t>条对法律保护研究成果以及科学与技术活动自由作出保障。</w:t>
      </w:r>
    </w:p>
    <w:p w:rsidR="00000000" w:rsidRDefault="00000000">
      <w:pPr>
        <w:pStyle w:val="Heading4"/>
        <w:rPr>
          <w:rFonts w:eastAsia="KaiTi_GB2312" w:hint="eastAsia"/>
          <w:spacing w:val="0"/>
          <w:u w:val="none"/>
        </w:rPr>
      </w:pPr>
      <w:r>
        <w:rPr>
          <w:rFonts w:eastAsia="KaiTi_GB2312" w:hint="eastAsia"/>
          <w:spacing w:val="0"/>
          <w:u w:val="none"/>
        </w:rPr>
        <w:t>传播科学与文化</w:t>
      </w:r>
    </w:p>
    <w:p w:rsidR="00000000" w:rsidRDefault="00000000">
      <w:pPr>
        <w:rPr>
          <w:rFonts w:hint="eastAsia"/>
        </w:rPr>
      </w:pPr>
      <w:r>
        <w:rPr>
          <w:rFonts w:hint="eastAsia"/>
        </w:rPr>
        <w:tab/>
        <w:t xml:space="preserve">590.  </w:t>
      </w:r>
      <w:r>
        <w:rPr>
          <w:rFonts w:hint="eastAsia"/>
        </w:rPr>
        <w:t>《厄瓜多尔宪法》包含科学与技术及有关问题的重要条款。实际上，这是第一部专有一节涉及科学与技术的宪法。上述条款规定如下：</w:t>
      </w:r>
    </w:p>
    <w:p w:rsidR="00000000" w:rsidRDefault="00000000">
      <w:pPr>
        <w:rPr>
          <w:rFonts w:hint="eastAsia"/>
        </w:rPr>
      </w:pPr>
      <w:r>
        <w:rPr>
          <w:rFonts w:hint="eastAsia"/>
        </w:rPr>
        <w:tab/>
        <w:t xml:space="preserve">591.  </w:t>
      </w:r>
      <w:r>
        <w:rPr>
          <w:rFonts w:hint="eastAsia"/>
        </w:rPr>
        <w:t>第二章</w:t>
      </w:r>
      <w:r>
        <w:rPr>
          <w:rFonts w:hint="eastAsia"/>
        </w:rPr>
        <w:t>(</w:t>
      </w:r>
      <w:r>
        <w:rPr>
          <w:rFonts w:hint="eastAsia"/>
        </w:rPr>
        <w:t>民权</w:t>
      </w:r>
      <w:r>
        <w:rPr>
          <w:rFonts w:hint="eastAsia"/>
        </w:rPr>
        <w:t>)</w:t>
      </w:r>
      <w:r>
        <w:rPr>
          <w:rFonts w:hint="eastAsia"/>
        </w:rPr>
        <w:t>第三篇</w:t>
      </w:r>
      <w:r>
        <w:rPr>
          <w:rFonts w:hint="eastAsia"/>
        </w:rPr>
        <w:t>(</w:t>
      </w:r>
      <w:r>
        <w:rPr>
          <w:rFonts w:hint="eastAsia"/>
        </w:rPr>
        <w:t>权利、保障和义务</w:t>
      </w:r>
      <w:r>
        <w:rPr>
          <w:rFonts w:hint="eastAsia"/>
        </w:rPr>
        <w:t>)</w:t>
      </w:r>
      <w:r>
        <w:rPr>
          <w:rFonts w:hint="eastAsia"/>
        </w:rPr>
        <w:t>第</w:t>
      </w:r>
      <w:r>
        <w:rPr>
          <w:rFonts w:hint="eastAsia"/>
        </w:rPr>
        <w:t>23</w:t>
      </w:r>
      <w:r>
        <w:rPr>
          <w:rFonts w:hint="eastAsia"/>
        </w:rPr>
        <w:t>条规定：“在不损害本宪法和现行国际文书既定权利的条件下，国家应确认和保障个人享有下列权利：</w:t>
      </w:r>
      <w:r>
        <w:rPr>
          <w:rFonts w:hint="eastAsia"/>
        </w:rPr>
        <w:t>[</w:t>
      </w:r>
      <w:r>
        <w:rPr>
          <w:rFonts w:hint="eastAsia"/>
        </w:rPr>
        <w:t>…</w:t>
      </w:r>
      <w:r>
        <w:t>…</w:t>
      </w:r>
      <w:r>
        <w:rPr>
          <w:rFonts w:hint="eastAsia"/>
        </w:rPr>
        <w:t>]</w:t>
      </w:r>
      <w:r>
        <w:rPr>
          <w:rFonts w:hint="eastAsia"/>
        </w:rPr>
        <w:t>人格完整。禁止残酷惩罚和酷刑；不人道或有辱人格的待遇，或涉及身体、心理或性暴力或道义胁迫，以及应用和滥用人类基因材料。</w:t>
      </w:r>
      <w:r>
        <w:rPr>
          <w:rFonts w:hint="eastAsia"/>
        </w:rPr>
        <w:t>[</w:t>
      </w:r>
      <w:r>
        <w:rPr>
          <w:rFonts w:hint="eastAsia"/>
        </w:rPr>
        <w:t>…</w:t>
      </w:r>
      <w:r>
        <w:t>…</w:t>
      </w:r>
      <w:r>
        <w:rPr>
          <w:rFonts w:hint="eastAsia"/>
        </w:rPr>
        <w:t>]</w:t>
      </w:r>
      <w:r>
        <w:rPr>
          <w:rFonts w:hint="eastAsia"/>
        </w:rPr>
        <w:t>生活在清洁、生态平衡和没有污染环境的权利。为了保护环境，法律将确定行使某种权利和自由的限制。</w:t>
      </w:r>
      <w:r>
        <w:rPr>
          <w:rFonts w:hint="eastAsia"/>
        </w:rPr>
        <w:t>[</w:t>
      </w:r>
      <w:r>
        <w:rPr>
          <w:rFonts w:hint="eastAsia"/>
        </w:rPr>
        <w:t>…</w:t>
      </w:r>
      <w:r>
        <w:t>…</w:t>
      </w:r>
      <w:r>
        <w:rPr>
          <w:rFonts w:hint="eastAsia"/>
        </w:rPr>
        <w:t>]</w:t>
      </w:r>
      <w:r>
        <w:rPr>
          <w:rFonts w:hint="eastAsia"/>
        </w:rPr>
        <w:t>人人有权享受高质量生活的权利，确保医疗、食物和营养、饮水、环境卫生、教育、工作、就业、休闲、住房、衣着和其他必要的社会服务。”</w:t>
      </w:r>
    </w:p>
    <w:p w:rsidR="00000000" w:rsidRDefault="00000000">
      <w:pPr>
        <w:rPr>
          <w:rFonts w:hint="eastAsia"/>
        </w:rPr>
      </w:pPr>
      <w:r>
        <w:rPr>
          <w:rFonts w:hint="eastAsia"/>
        </w:rPr>
        <w:tab/>
        <w:t xml:space="preserve">592.  </w:t>
      </w:r>
      <w:r>
        <w:rPr>
          <w:rFonts w:hint="eastAsia"/>
        </w:rPr>
        <w:t>第四章</w:t>
      </w:r>
      <w:r>
        <w:rPr>
          <w:rFonts w:hint="eastAsia"/>
        </w:rPr>
        <w:t>(</w:t>
      </w:r>
      <w:r>
        <w:rPr>
          <w:rFonts w:hint="eastAsia"/>
        </w:rPr>
        <w:t>经济、社会和文化权利</w:t>
      </w:r>
      <w:r>
        <w:rPr>
          <w:rFonts w:hint="eastAsia"/>
        </w:rPr>
        <w:t>)</w:t>
      </w:r>
      <w:r>
        <w:rPr>
          <w:rFonts w:hint="eastAsia"/>
        </w:rPr>
        <w:t>、第一节</w:t>
      </w:r>
      <w:r>
        <w:rPr>
          <w:rFonts w:hint="eastAsia"/>
        </w:rPr>
        <w:t>(</w:t>
      </w:r>
      <w:r>
        <w:rPr>
          <w:rFonts w:hint="eastAsia"/>
        </w:rPr>
        <w:t>财产</w:t>
      </w:r>
      <w:r>
        <w:rPr>
          <w:rFonts w:hint="eastAsia"/>
        </w:rPr>
        <w:t>)</w:t>
      </w:r>
      <w:r>
        <w:rPr>
          <w:rFonts w:hint="eastAsia"/>
        </w:rPr>
        <w:t>第</w:t>
      </w:r>
      <w:r>
        <w:rPr>
          <w:rFonts w:hint="eastAsia"/>
        </w:rPr>
        <w:t>30</w:t>
      </w:r>
      <w:r>
        <w:rPr>
          <w:rFonts w:hint="eastAsia"/>
        </w:rPr>
        <w:t>条规定：“应按照法律规定和现行协定及条约确认和保障知识产权。”</w:t>
      </w:r>
    </w:p>
    <w:p w:rsidR="00000000" w:rsidRDefault="00000000">
      <w:pPr>
        <w:rPr>
          <w:rFonts w:hint="eastAsia"/>
        </w:rPr>
      </w:pPr>
      <w:r>
        <w:rPr>
          <w:rFonts w:hint="eastAsia"/>
        </w:rPr>
        <w:tab/>
        <w:t xml:space="preserve">593.  </w:t>
      </w:r>
      <w:r>
        <w:rPr>
          <w:rFonts w:hint="eastAsia"/>
        </w:rPr>
        <w:t>载于第四节</w:t>
      </w:r>
      <w:r>
        <w:rPr>
          <w:rFonts w:hint="eastAsia"/>
        </w:rPr>
        <w:t>(</w:t>
      </w:r>
      <w:r>
        <w:rPr>
          <w:rFonts w:hint="eastAsia"/>
        </w:rPr>
        <w:t>卫生</w:t>
      </w:r>
      <w:r>
        <w:rPr>
          <w:rFonts w:hint="eastAsia"/>
        </w:rPr>
        <w:t>)</w:t>
      </w:r>
      <w:r>
        <w:rPr>
          <w:rFonts w:hint="eastAsia"/>
        </w:rPr>
        <w:t>的第</w:t>
      </w:r>
      <w:r>
        <w:rPr>
          <w:rFonts w:hint="eastAsia"/>
        </w:rPr>
        <w:t>44</w:t>
      </w:r>
      <w:r>
        <w:rPr>
          <w:rFonts w:hint="eastAsia"/>
        </w:rPr>
        <w:t>条规定：“国家应制定全国卫生政策，并确保其得到实施；应监测卫生部门各机构的运作；应确认、尊重和推动传统和替代医药的发展，并将受法律的制约，应鼓励卫生领域的科学与技术进步，并遵循生物伦理原则。”</w:t>
      </w:r>
    </w:p>
    <w:p w:rsidR="00000000" w:rsidRDefault="00000000">
      <w:pPr>
        <w:rPr>
          <w:rFonts w:hint="eastAsia"/>
        </w:rPr>
      </w:pPr>
      <w:r>
        <w:rPr>
          <w:rFonts w:hint="eastAsia"/>
        </w:rPr>
        <w:tab/>
        <w:t xml:space="preserve">594.  </w:t>
      </w:r>
      <w:r>
        <w:rPr>
          <w:rFonts w:hint="eastAsia"/>
        </w:rPr>
        <w:t>载于第七节</w:t>
      </w:r>
      <w:r>
        <w:rPr>
          <w:rFonts w:hint="eastAsia"/>
        </w:rPr>
        <w:t>(</w:t>
      </w:r>
      <w:r>
        <w:rPr>
          <w:rFonts w:hint="eastAsia"/>
        </w:rPr>
        <w:t>文化</w:t>
      </w:r>
      <w:r>
        <w:rPr>
          <w:rFonts w:hint="eastAsia"/>
        </w:rPr>
        <w:t>)</w:t>
      </w:r>
      <w:r>
        <w:rPr>
          <w:rFonts w:hint="eastAsia"/>
        </w:rPr>
        <w:t>的第</w:t>
      </w:r>
      <w:r>
        <w:rPr>
          <w:rFonts w:hint="eastAsia"/>
        </w:rPr>
        <w:t>62</w:t>
      </w:r>
      <w:r>
        <w:rPr>
          <w:rFonts w:hint="eastAsia"/>
        </w:rPr>
        <w:t>条规定：“文化是人民的遗产，是其特性的基本组成部分。国家应提倡并鼓励文化、创作、艺术培训和科学研究。”</w:t>
      </w:r>
    </w:p>
    <w:p w:rsidR="00000000" w:rsidRDefault="00000000">
      <w:pPr>
        <w:rPr>
          <w:rFonts w:hint="eastAsia"/>
        </w:rPr>
      </w:pPr>
      <w:r>
        <w:rPr>
          <w:rFonts w:hint="eastAsia"/>
        </w:rPr>
        <w:tab/>
        <w:t xml:space="preserve">595.  </w:t>
      </w:r>
      <w:r>
        <w:rPr>
          <w:rFonts w:hint="eastAsia"/>
        </w:rPr>
        <w:t>第八节</w:t>
      </w:r>
      <w:r>
        <w:rPr>
          <w:rFonts w:hint="eastAsia"/>
        </w:rPr>
        <w:t>(</w:t>
      </w:r>
      <w:r>
        <w:rPr>
          <w:rFonts w:hint="eastAsia"/>
        </w:rPr>
        <w:t>教育</w:t>
      </w:r>
      <w:r>
        <w:rPr>
          <w:rFonts w:hint="eastAsia"/>
        </w:rPr>
        <w:t>)</w:t>
      </w:r>
      <w:r>
        <w:rPr>
          <w:rFonts w:hint="eastAsia"/>
        </w:rPr>
        <w:t>第</w:t>
      </w:r>
      <w:r>
        <w:rPr>
          <w:rFonts w:hint="eastAsia"/>
        </w:rPr>
        <w:t>66</w:t>
      </w:r>
      <w:r>
        <w:rPr>
          <w:rFonts w:hint="eastAsia"/>
        </w:rPr>
        <w:t>条规定：“教育是一项不能放弃的权利，是国家、社会和家庭的必要义务；是公共投资的优先领域，是国家发展的需要和社会公平的保障。国家有责任规定并执行各项政策，使这些目标得以实现。教育是建立在道德、多元化、民主、人道和科学原则的基础之上，应提倡尊重人权、开拓思路和鼓励公民意识；提供各种技能，确保劳动和生产高效率；激发创造性、使每个人的个性和特殊能力充分发展；并培育多种文化、团结与和平。”</w:t>
      </w:r>
    </w:p>
    <w:p w:rsidR="00000000" w:rsidRDefault="00000000">
      <w:pPr>
        <w:rPr>
          <w:rFonts w:hint="eastAsia"/>
        </w:rPr>
      </w:pPr>
      <w:r>
        <w:rPr>
          <w:rFonts w:hint="eastAsia"/>
        </w:rPr>
        <w:tab/>
        <w:t xml:space="preserve">596.  </w:t>
      </w:r>
      <w:r>
        <w:rPr>
          <w:rFonts w:hint="eastAsia"/>
        </w:rPr>
        <w:t>第</w:t>
      </w:r>
      <w:r>
        <w:rPr>
          <w:rFonts w:hint="eastAsia"/>
        </w:rPr>
        <w:t>72</w:t>
      </w:r>
      <w:r>
        <w:rPr>
          <w:rFonts w:hint="eastAsia"/>
        </w:rPr>
        <w:t>条规定：“自然人和法人应能对包括教育部门家具和教材在内的基础设施作出经济贡献，应按照法律规定自税务付款中予以扣除。”</w:t>
      </w:r>
    </w:p>
    <w:p w:rsidR="00000000" w:rsidRDefault="00000000">
      <w:pPr>
        <w:rPr>
          <w:rFonts w:hint="eastAsia"/>
        </w:rPr>
      </w:pPr>
      <w:r>
        <w:rPr>
          <w:rFonts w:hint="eastAsia"/>
        </w:rPr>
        <w:tab/>
        <w:t xml:space="preserve">597.  </w:t>
      </w:r>
      <w:r>
        <w:rPr>
          <w:rFonts w:hint="eastAsia"/>
        </w:rPr>
        <w:t>第</w:t>
      </w:r>
      <w:r>
        <w:rPr>
          <w:rFonts w:hint="eastAsia"/>
        </w:rPr>
        <w:t>75</w:t>
      </w:r>
      <w:r>
        <w:rPr>
          <w:rFonts w:hint="eastAsia"/>
        </w:rPr>
        <w:t>条规定：“科学研究、专业和技术培训、创造和发展民族文化和在人民中进行传播，以及研究国内各种问题并提出解决问题的办法，应为各大学和理工院校的主要职能，应用实现这些目标的特定方法和准则，为创建一个新的和更加公平的厄瓜多尔社会作出贡献。”</w:t>
      </w:r>
    </w:p>
    <w:p w:rsidR="00000000" w:rsidRDefault="00000000">
      <w:pPr>
        <w:rPr>
          <w:rFonts w:hint="eastAsia"/>
        </w:rPr>
      </w:pPr>
      <w:r>
        <w:rPr>
          <w:rFonts w:hint="eastAsia"/>
        </w:rPr>
        <w:tab/>
        <w:t xml:space="preserve">598.  </w:t>
      </w:r>
      <w:r>
        <w:rPr>
          <w:rFonts w:hint="eastAsia"/>
        </w:rPr>
        <w:t>第十一条</w:t>
      </w:r>
      <w:r>
        <w:rPr>
          <w:rFonts w:hint="eastAsia"/>
        </w:rPr>
        <w:t>(</w:t>
      </w:r>
      <w:r>
        <w:rPr>
          <w:rFonts w:hint="eastAsia"/>
        </w:rPr>
        <w:t>科学与技术</w:t>
      </w:r>
      <w:r>
        <w:rPr>
          <w:rFonts w:hint="eastAsia"/>
        </w:rPr>
        <w:t>)</w:t>
      </w:r>
      <w:r>
        <w:rPr>
          <w:rFonts w:hint="eastAsia"/>
        </w:rPr>
        <w:t>第</w:t>
      </w:r>
      <w:r>
        <w:rPr>
          <w:rFonts w:hint="eastAsia"/>
        </w:rPr>
        <w:t>80</w:t>
      </w:r>
      <w:r>
        <w:rPr>
          <w:rFonts w:hint="eastAsia"/>
        </w:rPr>
        <w:t>条规定：“国家尤其应在各级教育中推动科学与技术，以提高生产率、竞争力和可持续地管理自然资源，满足国民的基本需要。国家应保障科学与技术活动的自由，并对科技成果以及集体性的祖传知识提供法律保护。”</w:t>
      </w:r>
    </w:p>
    <w:p w:rsidR="00000000" w:rsidRDefault="00000000">
      <w:pPr>
        <w:rPr>
          <w:rFonts w:hint="eastAsia"/>
        </w:rPr>
      </w:pPr>
      <w:r>
        <w:rPr>
          <w:rFonts w:hint="eastAsia"/>
        </w:rPr>
        <w:tab/>
        <w:t xml:space="preserve">599.  </w:t>
      </w:r>
      <w:r>
        <w:rPr>
          <w:rFonts w:hint="eastAsia"/>
        </w:rPr>
        <w:t>第五章</w:t>
      </w:r>
      <w:r>
        <w:rPr>
          <w:rFonts w:hint="eastAsia"/>
        </w:rPr>
        <w:t>(</w:t>
      </w:r>
      <w:r>
        <w:rPr>
          <w:rFonts w:hint="eastAsia"/>
        </w:rPr>
        <w:t>集体权利</w:t>
      </w:r>
      <w:r>
        <w:rPr>
          <w:rFonts w:hint="eastAsia"/>
        </w:rPr>
        <w:t>)</w:t>
      </w:r>
      <w:r>
        <w:rPr>
          <w:rFonts w:hint="eastAsia"/>
        </w:rPr>
        <w:t>第一节</w:t>
      </w:r>
      <w:r>
        <w:rPr>
          <w:rFonts w:hint="eastAsia"/>
        </w:rPr>
        <w:t>(</w:t>
      </w:r>
      <w:r>
        <w:rPr>
          <w:rFonts w:hint="eastAsia"/>
        </w:rPr>
        <w:t>土著和黑人或非洲</w:t>
      </w:r>
      <w:r>
        <w:rPr>
          <w:rFonts w:hint="eastAsia"/>
          <w:spacing w:val="-50"/>
        </w:rPr>
        <w:t>―</w:t>
      </w:r>
      <w:r>
        <w:rPr>
          <w:rFonts w:hint="eastAsia"/>
        </w:rPr>
        <w:t>―厄瓜多尔人</w:t>
      </w:r>
      <w:r>
        <w:rPr>
          <w:rFonts w:hint="eastAsia"/>
        </w:rPr>
        <w:t>)</w:t>
      </w:r>
      <w:r>
        <w:rPr>
          <w:rFonts w:hint="eastAsia"/>
        </w:rPr>
        <w:t>第</w:t>
      </w:r>
      <w:r>
        <w:rPr>
          <w:rFonts w:hint="eastAsia"/>
        </w:rPr>
        <w:t>84</w:t>
      </w:r>
      <w:r>
        <w:rPr>
          <w:rFonts w:hint="eastAsia"/>
        </w:rPr>
        <w:t>条规定，国家应按照《宪法》和法律以及尊重法治和人权，向土著民族确认和保障下列各项集体权利：</w:t>
      </w:r>
      <w:r>
        <w:rPr>
          <w:rFonts w:hint="eastAsia"/>
        </w:rPr>
        <w:t>[</w:t>
      </w:r>
      <w:r>
        <w:rPr>
          <w:rFonts w:hint="eastAsia"/>
        </w:rPr>
        <w:t>…</w:t>
      </w:r>
      <w:r>
        <w:t>…</w:t>
      </w:r>
      <w:r>
        <w:rPr>
          <w:rFonts w:hint="eastAsia"/>
        </w:rPr>
        <w:t>]</w:t>
      </w:r>
      <w:r>
        <w:rPr>
          <w:rFonts w:hint="eastAsia"/>
        </w:rPr>
        <w:t>尊重其祖传知识的集体性知识产权；按照法律予以欣赏、使用和发展；尊重其传统医学系统、知识与实践，包括保护仪式和圣地、植物、动物、矿物和从这个角度来看有关切身利益的生态系统的权利。”</w:t>
      </w:r>
    </w:p>
    <w:p w:rsidR="00000000" w:rsidRDefault="00000000">
      <w:pPr>
        <w:rPr>
          <w:rFonts w:hint="eastAsia"/>
        </w:rPr>
      </w:pPr>
      <w:r>
        <w:rPr>
          <w:rFonts w:hint="eastAsia"/>
        </w:rPr>
        <w:tab/>
        <w:t xml:space="preserve">600.  </w:t>
      </w:r>
      <w:r>
        <w:rPr>
          <w:rFonts w:hint="eastAsia"/>
        </w:rPr>
        <w:t>第二节</w:t>
      </w:r>
      <w:r>
        <w:rPr>
          <w:rFonts w:hint="eastAsia"/>
        </w:rPr>
        <w:t>(</w:t>
      </w:r>
      <w:r>
        <w:rPr>
          <w:rFonts w:hint="eastAsia"/>
        </w:rPr>
        <w:t>环境</w:t>
      </w:r>
      <w:r>
        <w:rPr>
          <w:rFonts w:hint="eastAsia"/>
        </w:rPr>
        <w:t>)</w:t>
      </w:r>
      <w:r>
        <w:rPr>
          <w:rFonts w:hint="eastAsia"/>
        </w:rPr>
        <w:t>第</w:t>
      </w:r>
      <w:r>
        <w:rPr>
          <w:rFonts w:hint="eastAsia"/>
        </w:rPr>
        <w:t>86</w:t>
      </w:r>
      <w:r>
        <w:rPr>
          <w:rFonts w:hint="eastAsia"/>
        </w:rPr>
        <w:t>条规定：“国家保护人们居住在清洁和保障可持续发展的生态平衡环境中的权利。应确保这一权利不受影响，并保障维护自然。宣布下列各项为公共利益，并受法律制约：维护环境、保护生态系统、生物多样性</w:t>
      </w:r>
      <w:r>
        <w:rPr>
          <w:rFonts w:hint="eastAsia"/>
        </w:rPr>
        <w:t>[</w:t>
      </w:r>
      <w:r>
        <w:rPr>
          <w:rFonts w:hint="eastAsia"/>
        </w:rPr>
        <w:t>和</w:t>
      </w:r>
      <w:r>
        <w:rPr>
          <w:rFonts w:hint="eastAsia"/>
        </w:rPr>
        <w:t>]</w:t>
      </w:r>
      <w:r>
        <w:rPr>
          <w:rFonts w:hint="eastAsia"/>
        </w:rPr>
        <w:t>国家基因遗产的完整性。应要求公共和私营活动做到防止环境污染、恢复退化自然地区、可持续开发自然资源。”</w:t>
      </w:r>
    </w:p>
    <w:p w:rsidR="00000000" w:rsidRDefault="00000000">
      <w:pPr>
        <w:rPr>
          <w:rFonts w:hint="eastAsia"/>
        </w:rPr>
      </w:pPr>
      <w:r>
        <w:rPr>
          <w:rFonts w:hint="eastAsia"/>
        </w:rPr>
        <w:tab/>
        <w:t xml:space="preserve">601.  </w:t>
      </w:r>
      <w:r>
        <w:rPr>
          <w:rFonts w:hint="eastAsia"/>
        </w:rPr>
        <w:t>国家应按照第</w:t>
      </w:r>
      <w:r>
        <w:rPr>
          <w:rFonts w:hint="eastAsia"/>
        </w:rPr>
        <w:t>89</w:t>
      </w:r>
      <w:r>
        <w:rPr>
          <w:rFonts w:hint="eastAsia"/>
        </w:rPr>
        <w:t>条的规定采取措施，实现下列各项目标：“在公共和私营部门，提倡使用无害环境的清洁技术和非污染性替代能源。按照严格的生物安全标准，制约基因改变的生物体在环境中的传播、试验和使用、销售和进口。”</w:t>
      </w:r>
    </w:p>
    <w:p w:rsidR="00000000" w:rsidRDefault="00000000">
      <w:pPr>
        <w:rPr>
          <w:rFonts w:hint="eastAsia"/>
        </w:rPr>
      </w:pPr>
      <w:r>
        <w:rPr>
          <w:rFonts w:hint="eastAsia"/>
        </w:rPr>
        <w:tab/>
        <w:t xml:space="preserve">602.  </w:t>
      </w:r>
      <w:r>
        <w:rPr>
          <w:rFonts w:hint="eastAsia"/>
        </w:rPr>
        <w:t>第一章</w:t>
      </w:r>
      <w:r>
        <w:rPr>
          <w:rFonts w:hint="eastAsia"/>
        </w:rPr>
        <w:t>(</w:t>
      </w:r>
      <w:r>
        <w:rPr>
          <w:rFonts w:hint="eastAsia"/>
        </w:rPr>
        <w:t>总原则</w:t>
      </w:r>
      <w:r>
        <w:rPr>
          <w:rFonts w:hint="eastAsia"/>
        </w:rPr>
        <w:t>)</w:t>
      </w:r>
      <w:r>
        <w:rPr>
          <w:rFonts w:hint="eastAsia"/>
        </w:rPr>
        <w:t>第十二篇</w:t>
      </w:r>
      <w:r>
        <w:rPr>
          <w:rFonts w:hint="eastAsia"/>
        </w:rPr>
        <w:t>(</w:t>
      </w:r>
      <w:r>
        <w:rPr>
          <w:rFonts w:hint="eastAsia"/>
        </w:rPr>
        <w:t>经济体系</w:t>
      </w:r>
      <w:r>
        <w:rPr>
          <w:rFonts w:hint="eastAsia"/>
        </w:rPr>
        <w:t>)</w:t>
      </w:r>
      <w:r>
        <w:rPr>
          <w:rFonts w:hint="eastAsia"/>
        </w:rPr>
        <w:t>第</w:t>
      </w:r>
      <w:r>
        <w:rPr>
          <w:rFonts w:hint="eastAsia"/>
        </w:rPr>
        <w:t>244</w:t>
      </w:r>
      <w:r>
        <w:rPr>
          <w:rFonts w:hint="eastAsia"/>
        </w:rPr>
        <w:t>条规定，国家应在社会市场经济体系内：“创建物质、科学和技术基础设施；并提供基本的发展服务。”</w:t>
      </w:r>
    </w:p>
    <w:p w:rsidR="00000000" w:rsidRDefault="00000000">
      <w:pPr>
        <w:rPr>
          <w:rFonts w:hint="eastAsia"/>
        </w:rPr>
      </w:pPr>
      <w:r>
        <w:rPr>
          <w:rFonts w:hint="eastAsia"/>
        </w:rPr>
        <w:tab/>
        <w:t xml:space="preserve">603.  </w:t>
      </w:r>
      <w:r>
        <w:rPr>
          <w:rFonts w:hint="eastAsia"/>
        </w:rPr>
        <w:t>第</w:t>
      </w:r>
      <w:r>
        <w:rPr>
          <w:rFonts w:hint="eastAsia"/>
        </w:rPr>
        <w:t>248</w:t>
      </w:r>
      <w:r>
        <w:rPr>
          <w:rFonts w:hint="eastAsia"/>
        </w:rPr>
        <w:t>条规定：“国家应对生物多样性、自然蕴藏、受保护地区和国家公园拥有主权。”</w:t>
      </w:r>
    </w:p>
    <w:p w:rsidR="00000000" w:rsidRDefault="00000000">
      <w:pPr>
        <w:rPr>
          <w:rFonts w:hint="eastAsia"/>
        </w:rPr>
      </w:pPr>
      <w:r>
        <w:rPr>
          <w:rFonts w:hint="eastAsia"/>
        </w:rPr>
        <w:tab/>
        <w:t xml:space="preserve">604.  </w:t>
      </w:r>
      <w:r>
        <w:rPr>
          <w:rFonts w:hint="eastAsia"/>
        </w:rPr>
        <w:t>第六章</w:t>
      </w:r>
      <w:r>
        <w:rPr>
          <w:rFonts w:hint="eastAsia"/>
        </w:rPr>
        <w:t>(</w:t>
      </w:r>
      <w:r>
        <w:rPr>
          <w:rFonts w:hint="eastAsia"/>
        </w:rPr>
        <w:t>农业系统</w:t>
      </w:r>
      <w:r>
        <w:rPr>
          <w:rFonts w:hint="eastAsia"/>
        </w:rPr>
        <w:t>)</w:t>
      </w:r>
      <w:r>
        <w:rPr>
          <w:rFonts w:hint="eastAsia"/>
        </w:rPr>
        <w:t>第</w:t>
      </w:r>
      <w:r>
        <w:rPr>
          <w:rFonts w:hint="eastAsia"/>
        </w:rPr>
        <w:t>266</w:t>
      </w:r>
      <w:r>
        <w:rPr>
          <w:rFonts w:hint="eastAsia"/>
        </w:rPr>
        <w:t>条规定：“高度优先的整体和可持续发展农业、畜牧业、水产养殖、渔业和农工活动为国内和国外市场提供高质量的产品、提供基础设施、现代化和土地开垦，科学研究和技术转让应是国家各项政策的一贯目标。”</w:t>
      </w:r>
    </w:p>
    <w:p w:rsidR="00000000" w:rsidRDefault="00000000">
      <w:pPr>
        <w:spacing w:after="320"/>
        <w:rPr>
          <w:rFonts w:hint="eastAsia"/>
        </w:rPr>
      </w:pPr>
      <w:r>
        <w:rPr>
          <w:rFonts w:hint="eastAsia"/>
        </w:rPr>
        <w:tab/>
        <w:t xml:space="preserve">605.  </w:t>
      </w:r>
      <w:r>
        <w:rPr>
          <w:rFonts w:hint="eastAsia"/>
        </w:rPr>
        <w:t>第</w:t>
      </w:r>
      <w:r>
        <w:rPr>
          <w:rFonts w:hint="eastAsia"/>
        </w:rPr>
        <w:t>270</w:t>
      </w:r>
      <w:r>
        <w:rPr>
          <w:rFonts w:hint="eastAsia"/>
        </w:rPr>
        <w:t>条规定：“国家应优先进行农业领域的研究，并承认农业活动是人口营养和粮食安全以及国家发展国际竞争力的根本性基础。”</w:t>
      </w:r>
    </w:p>
    <w:p w:rsidR="00000000" w:rsidRDefault="00000000">
      <w:pPr>
        <w:pStyle w:val="Heading4"/>
        <w:rPr>
          <w:rFonts w:eastAsia="KaiTi_GB2312" w:hint="eastAsia"/>
          <w:spacing w:val="0"/>
          <w:u w:val="none"/>
        </w:rPr>
      </w:pPr>
      <w:r>
        <w:rPr>
          <w:rFonts w:eastAsia="KaiTi_GB2312" w:hint="eastAsia"/>
          <w:spacing w:val="0"/>
          <w:u w:val="none"/>
        </w:rPr>
        <w:t>科学与技术体系</w:t>
      </w:r>
    </w:p>
    <w:p w:rsidR="00000000" w:rsidRDefault="00000000">
      <w:pPr>
        <w:rPr>
          <w:rFonts w:hint="eastAsia"/>
        </w:rPr>
      </w:pPr>
      <w:r>
        <w:rPr>
          <w:rFonts w:hint="eastAsia"/>
        </w:rPr>
        <w:tab/>
        <w:t xml:space="preserve">606.  </w:t>
      </w:r>
      <w:r>
        <w:rPr>
          <w:rFonts w:hint="eastAsia"/>
        </w:rPr>
        <w:t>推动科学与技术的法律框架以国家科学与技术系统法</w:t>
      </w:r>
      <w:r>
        <w:rPr>
          <w:rFonts w:hint="eastAsia"/>
        </w:rPr>
        <w:t>(</w:t>
      </w:r>
      <w:r>
        <w:rPr>
          <w:rFonts w:hint="eastAsia"/>
        </w:rPr>
        <w:t>该系统由第</w:t>
      </w:r>
      <w:r>
        <w:rPr>
          <w:rFonts w:hint="eastAsia"/>
        </w:rPr>
        <w:t>1603</w:t>
      </w:r>
      <w:r>
        <w:rPr>
          <w:rFonts w:hint="eastAsia"/>
        </w:rPr>
        <w:t>号行政令改组</w:t>
      </w:r>
      <w:r>
        <w:rPr>
          <w:rFonts w:hint="eastAsia"/>
        </w:rPr>
        <w:t>)</w:t>
      </w:r>
      <w:r>
        <w:rPr>
          <w:rFonts w:hint="eastAsia"/>
        </w:rPr>
        <w:t>为基础。</w:t>
      </w:r>
    </w:p>
    <w:p w:rsidR="00000000" w:rsidRDefault="00000000">
      <w:pPr>
        <w:rPr>
          <w:rFonts w:hint="eastAsia"/>
        </w:rPr>
      </w:pPr>
      <w:r>
        <w:rPr>
          <w:rFonts w:hint="eastAsia"/>
        </w:rPr>
        <w:tab/>
        <w:t xml:space="preserve">607.  </w:t>
      </w:r>
      <w:r>
        <w:rPr>
          <w:rFonts w:hint="eastAsia"/>
        </w:rPr>
        <w:t>公共采购法</w:t>
      </w:r>
      <w:r>
        <w:rPr>
          <w:rFonts w:hint="eastAsia"/>
        </w:rPr>
        <w:t>(</w:t>
      </w:r>
      <w:r>
        <w:rPr>
          <w:rFonts w:hint="eastAsia"/>
        </w:rPr>
        <w:t>第</w:t>
      </w:r>
      <w:r>
        <w:rPr>
          <w:rFonts w:hint="eastAsia"/>
        </w:rPr>
        <w:t>117</w:t>
      </w:r>
      <w:r>
        <w:rPr>
          <w:rFonts w:hint="eastAsia"/>
        </w:rPr>
        <w:t>和</w:t>
      </w:r>
      <w:r>
        <w:rPr>
          <w:rFonts w:hint="eastAsia"/>
        </w:rPr>
        <w:t>118</w:t>
      </w:r>
      <w:r>
        <w:rPr>
          <w:rFonts w:hint="eastAsia"/>
        </w:rPr>
        <w:t>条</w:t>
      </w:r>
      <w:r>
        <w:rPr>
          <w:rFonts w:hint="eastAsia"/>
        </w:rPr>
        <w:t>)</w:t>
      </w:r>
      <w:r>
        <w:rPr>
          <w:rFonts w:hint="eastAsia"/>
        </w:rPr>
        <w:t>为厄瓜多尔科学与技术活动提供了重要的资金来源：该法案提到的所有达到或超过</w:t>
      </w:r>
      <w:r>
        <w:rPr>
          <w:rFonts w:hint="eastAsia"/>
        </w:rPr>
        <w:t>1,500</w:t>
      </w:r>
      <w:r>
        <w:rPr>
          <w:rFonts w:hint="eastAsia"/>
        </w:rPr>
        <w:t>单位一般最低生活工资的合同须缴交合同金额</w:t>
      </w:r>
      <w:r>
        <w:rPr>
          <w:rFonts w:hint="eastAsia"/>
        </w:rPr>
        <w:t>0.25%</w:t>
      </w:r>
      <w:r>
        <w:rPr>
          <w:rFonts w:hint="eastAsia"/>
        </w:rPr>
        <w:t>的税以及此类合同价格调整表的</w:t>
      </w:r>
      <w:r>
        <w:rPr>
          <w:rFonts w:hint="eastAsia"/>
        </w:rPr>
        <w:t>0.125%</w:t>
      </w:r>
      <w:r>
        <w:rPr>
          <w:rFonts w:hint="eastAsia"/>
        </w:rPr>
        <w:t>。征金付给全国科学与技术秘书处，通过科学与技术基金会为科学与技术活动筹措资金。</w:t>
      </w:r>
    </w:p>
    <w:p w:rsidR="00000000" w:rsidRDefault="00000000">
      <w:pPr>
        <w:rPr>
          <w:rFonts w:hint="eastAsia"/>
        </w:rPr>
      </w:pPr>
      <w:r>
        <w:rPr>
          <w:rFonts w:hint="eastAsia"/>
        </w:rPr>
        <w:tab/>
        <w:t xml:space="preserve">608.  </w:t>
      </w:r>
      <w:r>
        <w:rPr>
          <w:rFonts w:hint="eastAsia"/>
        </w:rPr>
        <w:t>厄瓜多尔知识产权和文学与艺术财产问题正在研究之中。知识产权包括两个主要领域或分支，工业财产，主要指发明或商标；及工业设计或模型和版权，主要指文学、音乐、艺术、唱片和视听作品。</w:t>
      </w:r>
    </w:p>
    <w:p w:rsidR="00000000" w:rsidRDefault="00000000">
      <w:pPr>
        <w:rPr>
          <w:rFonts w:hint="eastAsia"/>
        </w:rPr>
      </w:pPr>
      <w:r>
        <w:rPr>
          <w:rFonts w:hint="eastAsia"/>
        </w:rPr>
        <w:tab/>
        <w:t xml:space="preserve">609.  </w:t>
      </w:r>
      <w:r>
        <w:rPr>
          <w:rFonts w:hint="eastAsia"/>
        </w:rPr>
        <w:t>厄瓜多尔具有法律效率的有关知识产权的主要国际标准有：</w:t>
      </w:r>
      <w:r>
        <w:rPr>
          <w:rFonts w:hint="eastAsia"/>
        </w:rPr>
        <w:t>1883</w:t>
      </w:r>
      <w:r>
        <w:rPr>
          <w:rFonts w:hint="eastAsia"/>
        </w:rPr>
        <w:t>年</w:t>
      </w:r>
      <w:r>
        <w:rPr>
          <w:rFonts w:hint="eastAsia"/>
        </w:rPr>
        <w:t>3</w:t>
      </w:r>
      <w:r>
        <w:rPr>
          <w:rFonts w:hint="eastAsia"/>
        </w:rPr>
        <w:t>月</w:t>
      </w:r>
      <w:r>
        <w:rPr>
          <w:rFonts w:hint="eastAsia"/>
        </w:rPr>
        <w:t>20</w:t>
      </w:r>
      <w:r>
        <w:rPr>
          <w:rFonts w:hint="eastAsia"/>
        </w:rPr>
        <w:t>日的《保护工业产权巴黎公约》，最后一次修订于</w:t>
      </w:r>
      <w:r>
        <w:rPr>
          <w:rFonts w:hint="eastAsia"/>
        </w:rPr>
        <w:t>1979</w:t>
      </w:r>
      <w:r>
        <w:rPr>
          <w:rFonts w:hint="eastAsia"/>
        </w:rPr>
        <w:t>年；</w:t>
      </w:r>
      <w:r>
        <w:rPr>
          <w:rFonts w:hint="eastAsia"/>
        </w:rPr>
        <w:t>1891</w:t>
      </w:r>
      <w:r>
        <w:rPr>
          <w:rFonts w:hint="eastAsia"/>
        </w:rPr>
        <w:t>年</w:t>
      </w:r>
      <w:r>
        <w:rPr>
          <w:rFonts w:hint="eastAsia"/>
        </w:rPr>
        <w:t>4</w:t>
      </w:r>
      <w:r>
        <w:rPr>
          <w:rFonts w:hint="eastAsia"/>
        </w:rPr>
        <w:t>月</w:t>
      </w:r>
      <w:r>
        <w:rPr>
          <w:rFonts w:hint="eastAsia"/>
        </w:rPr>
        <w:t>14</w:t>
      </w:r>
      <w:r>
        <w:rPr>
          <w:rFonts w:hint="eastAsia"/>
        </w:rPr>
        <w:t>日的《禁止产品来源虚假或欺骗性标记马德里协定》；</w:t>
      </w:r>
      <w:r>
        <w:rPr>
          <w:rFonts w:hint="eastAsia"/>
        </w:rPr>
        <w:t xml:space="preserve"> 1970</w:t>
      </w:r>
      <w:r>
        <w:rPr>
          <w:rFonts w:hint="eastAsia"/>
        </w:rPr>
        <w:t>年</w:t>
      </w:r>
      <w:r>
        <w:rPr>
          <w:rFonts w:hint="eastAsia"/>
        </w:rPr>
        <w:t>7</w:t>
      </w:r>
      <w:r>
        <w:rPr>
          <w:rFonts w:hint="eastAsia"/>
        </w:rPr>
        <w:t>月</w:t>
      </w:r>
      <w:r>
        <w:rPr>
          <w:rFonts w:hint="eastAsia"/>
        </w:rPr>
        <w:t>19</w:t>
      </w:r>
      <w:r>
        <w:rPr>
          <w:rFonts w:hint="eastAsia"/>
        </w:rPr>
        <w:t>日的《专利法条约》，最后一次修订于</w:t>
      </w:r>
      <w:r>
        <w:rPr>
          <w:rFonts w:hint="eastAsia"/>
        </w:rPr>
        <w:t>1984</w:t>
      </w:r>
      <w:r>
        <w:rPr>
          <w:rFonts w:hint="eastAsia"/>
        </w:rPr>
        <w:t>年；及</w:t>
      </w:r>
      <w:r>
        <w:rPr>
          <w:rFonts w:hint="eastAsia"/>
        </w:rPr>
        <w:t>1977</w:t>
      </w:r>
      <w:r>
        <w:rPr>
          <w:rFonts w:hint="eastAsia"/>
        </w:rPr>
        <w:t>年</w:t>
      </w:r>
      <w:r>
        <w:rPr>
          <w:rFonts w:hint="eastAsia"/>
        </w:rPr>
        <w:t>4</w:t>
      </w:r>
      <w:r>
        <w:rPr>
          <w:rFonts w:hint="eastAsia"/>
        </w:rPr>
        <w:t>月</w:t>
      </w:r>
      <w:r>
        <w:rPr>
          <w:rFonts w:hint="eastAsia"/>
        </w:rPr>
        <w:t>28</w:t>
      </w:r>
      <w:r>
        <w:rPr>
          <w:rFonts w:hint="eastAsia"/>
        </w:rPr>
        <w:t>日《国际承认用于专利程序的微生物保存布达佩斯条约》。关于标记问题，厄瓜多尔已经</w:t>
      </w:r>
      <w:r>
        <w:rPr>
          <w:rFonts w:hint="eastAsia"/>
        </w:rPr>
        <w:t>[</w:t>
      </w:r>
      <w:r>
        <w:rPr>
          <w:rFonts w:hint="eastAsia"/>
        </w:rPr>
        <w:t>签署</w:t>
      </w:r>
      <w:r>
        <w:rPr>
          <w:rFonts w:hint="eastAsia"/>
        </w:rPr>
        <w:t>]</w:t>
      </w:r>
      <w:r>
        <w:rPr>
          <w:rFonts w:hint="eastAsia"/>
        </w:rPr>
        <w:t>了</w:t>
      </w:r>
      <w:r>
        <w:rPr>
          <w:rFonts w:hint="eastAsia"/>
        </w:rPr>
        <w:t>1891</w:t>
      </w:r>
      <w:r>
        <w:rPr>
          <w:rFonts w:hint="eastAsia"/>
        </w:rPr>
        <w:t>年</w:t>
      </w:r>
      <w:r>
        <w:rPr>
          <w:rFonts w:hint="eastAsia"/>
        </w:rPr>
        <w:t>4</w:t>
      </w:r>
      <w:r>
        <w:rPr>
          <w:rFonts w:hint="eastAsia"/>
        </w:rPr>
        <w:t>月</w:t>
      </w:r>
      <w:r>
        <w:rPr>
          <w:rFonts w:hint="eastAsia"/>
        </w:rPr>
        <w:t>14</w:t>
      </w:r>
      <w:r>
        <w:rPr>
          <w:rFonts w:hint="eastAsia"/>
        </w:rPr>
        <w:t>日的《商标国际注册马德里协定》和于</w:t>
      </w:r>
      <w:r>
        <w:rPr>
          <w:rFonts w:hint="eastAsia"/>
        </w:rPr>
        <w:t>1979</w:t>
      </w:r>
      <w:r>
        <w:rPr>
          <w:rFonts w:hint="eastAsia"/>
        </w:rPr>
        <w:t>年修正的</w:t>
      </w:r>
      <w:r>
        <w:rPr>
          <w:rFonts w:hint="eastAsia"/>
        </w:rPr>
        <w:t>1958</w:t>
      </w:r>
      <w:r>
        <w:rPr>
          <w:rFonts w:hint="eastAsia"/>
        </w:rPr>
        <w:t>年</w:t>
      </w:r>
      <w:r>
        <w:rPr>
          <w:rFonts w:hint="eastAsia"/>
        </w:rPr>
        <w:t>10</w:t>
      </w:r>
      <w:r>
        <w:rPr>
          <w:rFonts w:hint="eastAsia"/>
        </w:rPr>
        <w:t>月</w:t>
      </w:r>
      <w:r>
        <w:rPr>
          <w:rFonts w:hint="eastAsia"/>
        </w:rPr>
        <w:t>31</w:t>
      </w:r>
      <w:r>
        <w:rPr>
          <w:rFonts w:hint="eastAsia"/>
        </w:rPr>
        <w:t>日《保护原产地名称及其国际注册里斯本协定》。</w:t>
      </w:r>
    </w:p>
    <w:p w:rsidR="00000000" w:rsidRDefault="00000000">
      <w:pPr>
        <w:rPr>
          <w:rFonts w:hint="eastAsia"/>
        </w:rPr>
      </w:pPr>
      <w:r>
        <w:rPr>
          <w:rFonts w:hint="eastAsia"/>
        </w:rPr>
        <w:tab/>
        <w:t xml:space="preserve">610.  </w:t>
      </w:r>
      <w:r>
        <w:rPr>
          <w:rFonts w:hint="eastAsia"/>
        </w:rPr>
        <w:t>关于工业设计和模型，有</w:t>
      </w:r>
      <w:r>
        <w:rPr>
          <w:rFonts w:hint="eastAsia"/>
        </w:rPr>
        <w:t>1979</w:t>
      </w:r>
      <w:r>
        <w:rPr>
          <w:rFonts w:hint="eastAsia"/>
        </w:rPr>
        <w:t>年修改的</w:t>
      </w:r>
      <w:r>
        <w:rPr>
          <w:rFonts w:hint="eastAsia"/>
        </w:rPr>
        <w:t>1925</w:t>
      </w:r>
      <w:r>
        <w:rPr>
          <w:rFonts w:hint="eastAsia"/>
        </w:rPr>
        <w:t>年</w:t>
      </w:r>
      <w:r>
        <w:rPr>
          <w:rFonts w:hint="eastAsia"/>
        </w:rPr>
        <w:t>11</w:t>
      </w:r>
      <w:r>
        <w:rPr>
          <w:rFonts w:hint="eastAsia"/>
        </w:rPr>
        <w:t>月</w:t>
      </w:r>
      <w:r>
        <w:rPr>
          <w:rFonts w:hint="eastAsia"/>
        </w:rPr>
        <w:t>6</w:t>
      </w:r>
      <w:r>
        <w:rPr>
          <w:rFonts w:hint="eastAsia"/>
        </w:rPr>
        <w:t>日《工业品外观设计国际保存海牙协定》；</w:t>
      </w:r>
      <w:r>
        <w:rPr>
          <w:rFonts w:hint="eastAsia"/>
        </w:rPr>
        <w:t>1979</w:t>
      </w:r>
      <w:r>
        <w:rPr>
          <w:rFonts w:hint="eastAsia"/>
        </w:rPr>
        <w:t>年修改的</w:t>
      </w:r>
      <w:r>
        <w:rPr>
          <w:rFonts w:hint="eastAsia"/>
        </w:rPr>
        <w:t>1971</w:t>
      </w:r>
      <w:r>
        <w:rPr>
          <w:rFonts w:hint="eastAsia"/>
        </w:rPr>
        <w:t>年</w:t>
      </w:r>
      <w:r>
        <w:rPr>
          <w:rFonts w:hint="eastAsia"/>
        </w:rPr>
        <w:t>3</w:t>
      </w:r>
      <w:r>
        <w:rPr>
          <w:rFonts w:hint="eastAsia"/>
        </w:rPr>
        <w:t>月</w:t>
      </w:r>
      <w:r>
        <w:rPr>
          <w:rFonts w:hint="eastAsia"/>
        </w:rPr>
        <w:t>24</w:t>
      </w:r>
      <w:r>
        <w:rPr>
          <w:rFonts w:hint="eastAsia"/>
        </w:rPr>
        <w:t>日《斯特拉斯堡国际专利分类协定》；及最后一次修订于</w:t>
      </w:r>
      <w:r>
        <w:rPr>
          <w:rFonts w:hint="eastAsia"/>
        </w:rPr>
        <w:t>1979</w:t>
      </w:r>
      <w:r>
        <w:rPr>
          <w:rFonts w:hint="eastAsia"/>
        </w:rPr>
        <w:t>年的</w:t>
      </w:r>
      <w:r>
        <w:rPr>
          <w:rFonts w:hint="eastAsia"/>
        </w:rPr>
        <w:t>1957</w:t>
      </w:r>
      <w:r>
        <w:rPr>
          <w:rFonts w:hint="eastAsia"/>
        </w:rPr>
        <w:t>年</w:t>
      </w:r>
      <w:r>
        <w:rPr>
          <w:rFonts w:hint="eastAsia"/>
        </w:rPr>
        <w:t>6</w:t>
      </w:r>
      <w:r>
        <w:rPr>
          <w:rFonts w:hint="eastAsia"/>
        </w:rPr>
        <w:t>月</w:t>
      </w:r>
      <w:r>
        <w:rPr>
          <w:rFonts w:hint="eastAsia"/>
        </w:rPr>
        <w:t>15</w:t>
      </w:r>
      <w:r>
        <w:rPr>
          <w:rFonts w:hint="eastAsia"/>
        </w:rPr>
        <w:t>日《关于商标注册用商品和服务国际分类的尼斯协定》。还有</w:t>
      </w:r>
      <w:r>
        <w:rPr>
          <w:rFonts w:hint="eastAsia"/>
        </w:rPr>
        <w:t>1979</w:t>
      </w:r>
      <w:r>
        <w:rPr>
          <w:rFonts w:hint="eastAsia"/>
        </w:rPr>
        <w:t>年修改的</w:t>
      </w:r>
      <w:r>
        <w:rPr>
          <w:rFonts w:hint="eastAsia"/>
        </w:rPr>
        <w:t>1968</w:t>
      </w:r>
      <w:r>
        <w:rPr>
          <w:rFonts w:hint="eastAsia"/>
        </w:rPr>
        <w:t>年</w:t>
      </w:r>
      <w:r>
        <w:rPr>
          <w:rFonts w:hint="eastAsia"/>
        </w:rPr>
        <w:t>10</w:t>
      </w:r>
      <w:r>
        <w:rPr>
          <w:rFonts w:hint="eastAsia"/>
        </w:rPr>
        <w:t>月</w:t>
      </w:r>
      <w:r>
        <w:rPr>
          <w:rFonts w:hint="eastAsia"/>
        </w:rPr>
        <w:t>8</w:t>
      </w:r>
      <w:r>
        <w:rPr>
          <w:rFonts w:hint="eastAsia"/>
        </w:rPr>
        <w:t>日《建立工业品外观设计国际分类洛迦诺协定》；</w:t>
      </w:r>
      <w:r>
        <w:rPr>
          <w:rFonts w:hint="eastAsia"/>
        </w:rPr>
        <w:t>1973</w:t>
      </w:r>
      <w:r>
        <w:rPr>
          <w:rFonts w:hint="eastAsia"/>
        </w:rPr>
        <w:t>年</w:t>
      </w:r>
      <w:r>
        <w:rPr>
          <w:rFonts w:hint="eastAsia"/>
        </w:rPr>
        <w:t>6</w:t>
      </w:r>
      <w:r>
        <w:rPr>
          <w:rFonts w:hint="eastAsia"/>
        </w:rPr>
        <w:t>月</w:t>
      </w:r>
      <w:r>
        <w:rPr>
          <w:rFonts w:hint="eastAsia"/>
        </w:rPr>
        <w:t>12</w:t>
      </w:r>
      <w:r>
        <w:rPr>
          <w:rFonts w:hint="eastAsia"/>
        </w:rPr>
        <w:t>日《关于订立标志图案国际分类的维也纳协定》；</w:t>
      </w:r>
      <w:r>
        <w:rPr>
          <w:rFonts w:hint="eastAsia"/>
        </w:rPr>
        <w:t>1961</w:t>
      </w:r>
      <w:r>
        <w:rPr>
          <w:rFonts w:hint="eastAsia"/>
        </w:rPr>
        <w:t>年在巴黎和</w:t>
      </w:r>
      <w:r>
        <w:rPr>
          <w:rFonts w:hint="eastAsia"/>
        </w:rPr>
        <w:t>1978</w:t>
      </w:r>
      <w:r>
        <w:rPr>
          <w:rFonts w:hint="eastAsia"/>
        </w:rPr>
        <w:t>年在日内瓦签署的《保护植物新品种国际公约》；以及《世界贸易组织知识产权协定》。</w:t>
      </w:r>
    </w:p>
    <w:p w:rsidR="00000000" w:rsidRDefault="00000000">
      <w:pPr>
        <w:spacing w:after="320"/>
        <w:rPr>
          <w:rFonts w:hint="eastAsia"/>
        </w:rPr>
      </w:pPr>
      <w:r>
        <w:rPr>
          <w:rFonts w:hint="eastAsia"/>
        </w:rPr>
        <w:tab/>
        <w:t xml:space="preserve">611.  </w:t>
      </w:r>
      <w:r>
        <w:rPr>
          <w:rFonts w:hint="eastAsia"/>
        </w:rPr>
        <w:t>关于文学和艺术财产问题，厄瓜多尔承认《版权法》的一个基本原则：脑力创作所有权财产形式合法的法律原则等于说包括作家在内的作者应享有拥有自己著作的权利。他们拥有并享有保护其著作免受未经许可被使用的权利，并获得公众使用这类著作所产生的收益的一部分。版权还保护若干关键方面，例如确认作品的著作权，把它作为知识的创作，尊重其完整性。</w:t>
      </w:r>
    </w:p>
    <w:p w:rsidR="00000000" w:rsidRDefault="00000000">
      <w:pPr>
        <w:pStyle w:val="Heading4"/>
        <w:rPr>
          <w:rFonts w:hint="eastAsia"/>
        </w:rPr>
      </w:pPr>
      <w:r>
        <w:rPr>
          <w:rFonts w:hint="eastAsia"/>
        </w:rPr>
        <w:t>科学研究、法律框架</w:t>
      </w:r>
    </w:p>
    <w:p w:rsidR="00000000" w:rsidRDefault="00000000">
      <w:pPr>
        <w:rPr>
          <w:rFonts w:hint="eastAsia"/>
        </w:rPr>
      </w:pPr>
      <w:r>
        <w:rPr>
          <w:rFonts w:hint="eastAsia"/>
        </w:rPr>
        <w:tab/>
        <w:t xml:space="preserve">612.  </w:t>
      </w:r>
      <w:r>
        <w:rPr>
          <w:rFonts w:hint="eastAsia"/>
        </w:rPr>
        <w:t>《宪法》保障科学与技术活动的自由。因此，第</w:t>
      </w:r>
      <w:r>
        <w:rPr>
          <w:rFonts w:hint="eastAsia"/>
        </w:rPr>
        <w:t>80</w:t>
      </w:r>
      <w:r>
        <w:rPr>
          <w:rFonts w:hint="eastAsia"/>
        </w:rPr>
        <w:t>条规定，“国家尤其应在各级教育中推动科学与技术，以提高生产率、竞争力和自然资源的可持续管理，并满足人口的基本需要。国家保障科学与技术活动的自由，并在法律上保护科技成果以及集体性的祖传知识。”</w:t>
      </w:r>
    </w:p>
    <w:p w:rsidR="00000000" w:rsidRDefault="00000000">
      <w:pPr>
        <w:spacing w:after="320"/>
        <w:rPr>
          <w:rFonts w:hint="eastAsia"/>
        </w:rPr>
      </w:pPr>
      <w:r>
        <w:rPr>
          <w:rFonts w:hint="eastAsia"/>
        </w:rPr>
        <w:tab/>
        <w:t xml:space="preserve">613.  </w:t>
      </w:r>
      <w:r>
        <w:rPr>
          <w:rFonts w:hint="eastAsia"/>
        </w:rPr>
        <w:t>厄瓜多尔科学界于</w:t>
      </w:r>
      <w:r>
        <w:rPr>
          <w:rFonts w:hint="eastAsia"/>
        </w:rPr>
        <w:t>1895</w:t>
      </w:r>
      <w:r>
        <w:rPr>
          <w:rFonts w:hint="eastAsia"/>
        </w:rPr>
        <w:t>年</w:t>
      </w:r>
      <w:r>
        <w:rPr>
          <w:rFonts w:hint="eastAsia"/>
        </w:rPr>
        <w:t>5</w:t>
      </w:r>
      <w:r>
        <w:rPr>
          <w:rFonts w:hint="eastAsia"/>
        </w:rPr>
        <w:t>月在法律上形成，以有组织的形式在全国范围将科学研究人员联合起来。在</w:t>
      </w:r>
      <w:r>
        <w:rPr>
          <w:rFonts w:hint="eastAsia"/>
        </w:rPr>
        <w:t>1996</w:t>
      </w:r>
      <w:r>
        <w:rPr>
          <w:rFonts w:hint="eastAsia"/>
        </w:rPr>
        <w:t>年成为国家科学院，在国家科学院的当然、荣誉和协理会员的基础上又增加了正式成员。国家科学院按科组成，会员申请须送交科学院院长，并按科学院所规定的日期和地点递交简历和研究项目副本。在科学院每半年组织一次的科学大会上提交的项目可作为获准会员资格的有效根据。科学院设有省级分院，例如基多、昆卡、瓜亚基尔和洛哈</w:t>
      </w:r>
      <w:r>
        <w:t>，</w:t>
      </w:r>
      <w:r>
        <w:t xml:space="preserve"> </w:t>
      </w:r>
      <w:r>
        <w:rPr>
          <w:rFonts w:hint="eastAsia"/>
        </w:rPr>
        <w:t>其他分院正在设立之中。</w:t>
      </w:r>
    </w:p>
    <w:p w:rsidR="00000000" w:rsidRDefault="00000000">
      <w:pPr>
        <w:pStyle w:val="Heading4"/>
        <w:rPr>
          <w:rFonts w:eastAsia="KaiTi_GB2312" w:hint="eastAsia"/>
          <w:snapToGrid/>
          <w:spacing w:val="0"/>
          <w:u w:val="none"/>
        </w:rPr>
      </w:pPr>
      <w:r>
        <w:rPr>
          <w:rFonts w:eastAsia="KaiTi_GB2312" w:hint="eastAsia"/>
          <w:snapToGrid/>
          <w:spacing w:val="0"/>
          <w:u w:val="none"/>
        </w:rPr>
        <w:t>文化领域的国际合作</w:t>
      </w:r>
    </w:p>
    <w:p w:rsidR="00000000" w:rsidRDefault="00000000">
      <w:pPr>
        <w:rPr>
          <w:rFonts w:hint="eastAsia"/>
        </w:rPr>
      </w:pPr>
      <w:r>
        <w:rPr>
          <w:rFonts w:hint="eastAsia"/>
        </w:rPr>
        <w:tab/>
        <w:t xml:space="preserve">614.  </w:t>
      </w:r>
      <w:r>
        <w:rPr>
          <w:rFonts w:hint="eastAsia"/>
        </w:rPr>
        <w:t>厄瓜多尔与各国和机构签有科学与文化交流协定。这类协定条款创造各种机会，厄瓜多尔可以从中获益，但在许多情况下，由于传播信息困难、与可以从中获益的部门缺乏直接交流，和</w:t>
      </w:r>
      <w:r>
        <w:rPr>
          <w:rFonts w:hint="eastAsia"/>
        </w:rPr>
        <w:t>/</w:t>
      </w:r>
      <w:r>
        <w:rPr>
          <w:rFonts w:hint="eastAsia"/>
        </w:rPr>
        <w:t>或缺乏实际措施推广科学、技术、文化和艺术，这些协定并未充分加以利用。</w:t>
      </w:r>
    </w:p>
    <w:p w:rsidR="00000000" w:rsidRDefault="00000000">
      <w:pPr>
        <w:pStyle w:val="ad"/>
        <w:rPr>
          <w:rFonts w:hint="eastAsia"/>
        </w:rPr>
      </w:pPr>
      <w:r>
        <w:rPr>
          <w:rFonts w:hint="eastAsia"/>
        </w:rPr>
        <w:t>维护和宣传厄瓜多尔文化遗产项目。</w:t>
      </w:r>
    </w:p>
    <w:p w:rsidR="00000000" w:rsidRDefault="00000000">
      <w:pPr>
        <w:pStyle w:val="ad"/>
        <w:rPr>
          <w:rFonts w:hint="eastAsia"/>
        </w:rPr>
      </w:pPr>
      <w:r>
        <w:rPr>
          <w:rFonts w:hint="eastAsia"/>
        </w:rPr>
        <w:t>研究哥伦比亚前共同边界文化行动计划。</w:t>
      </w:r>
    </w:p>
    <w:p w:rsidR="00000000" w:rsidRDefault="00000000">
      <w:pPr>
        <w:pStyle w:val="ad"/>
        <w:rPr>
          <w:rFonts w:hint="eastAsia"/>
        </w:rPr>
      </w:pPr>
      <w:r>
        <w:rPr>
          <w:rFonts w:hint="eastAsia"/>
        </w:rPr>
        <w:t>厄瓜多尔政府和中国政府文化交流计划。</w:t>
      </w:r>
    </w:p>
    <w:p w:rsidR="00000000" w:rsidRDefault="00000000">
      <w:pPr>
        <w:pStyle w:val="ad"/>
        <w:rPr>
          <w:rFonts w:hint="eastAsia"/>
        </w:rPr>
      </w:pPr>
      <w:r>
        <w:rPr>
          <w:rFonts w:hint="eastAsia"/>
        </w:rPr>
        <w:t>文化、教育和科学领域合作与交流项目部分协定</w:t>
      </w:r>
      <w:r>
        <w:rPr>
          <w:rFonts w:hint="eastAsia"/>
        </w:rPr>
        <w:t>(</w:t>
      </w:r>
      <w:r>
        <w:rPr>
          <w:rFonts w:hint="eastAsia"/>
        </w:rPr>
        <w:t>古巴加入议定书</w:t>
      </w:r>
      <w:r>
        <w:rPr>
          <w:rFonts w:hint="eastAsia"/>
        </w:rPr>
        <w:t>)</w:t>
      </w:r>
      <w:r>
        <w:rPr>
          <w:rFonts w:hint="eastAsia"/>
        </w:rPr>
        <w:t>。</w:t>
      </w:r>
    </w:p>
    <w:p w:rsidR="00000000" w:rsidRDefault="00000000">
      <w:pPr>
        <w:pStyle w:val="ad"/>
        <w:rPr>
          <w:rFonts w:hint="eastAsia"/>
        </w:rPr>
      </w:pPr>
      <w:r>
        <w:rPr>
          <w:rFonts w:hint="eastAsia"/>
        </w:rPr>
        <w:t>文化、教育和科学领域合作与交流项目部分协定</w:t>
      </w:r>
      <w:r>
        <w:rPr>
          <w:rFonts w:hint="eastAsia"/>
        </w:rPr>
        <w:t>(</w:t>
      </w:r>
      <w:r>
        <w:rPr>
          <w:rFonts w:hint="eastAsia"/>
        </w:rPr>
        <w:t>智利加入议定书</w:t>
      </w:r>
      <w:r>
        <w:rPr>
          <w:rFonts w:hint="eastAsia"/>
        </w:rPr>
        <w:t>)</w:t>
      </w:r>
      <w:r>
        <w:rPr>
          <w:rFonts w:hint="eastAsia"/>
        </w:rPr>
        <w:t>。</w:t>
      </w:r>
    </w:p>
    <w:p w:rsidR="00000000" w:rsidRDefault="00000000">
      <w:pPr>
        <w:pStyle w:val="ad"/>
        <w:rPr>
          <w:rFonts w:hint="eastAsia"/>
        </w:rPr>
      </w:pPr>
      <w:r>
        <w:rPr>
          <w:rFonts w:hint="eastAsia"/>
        </w:rPr>
        <w:t>安德烈斯·贝洛条约组织教育、科学、技术和文化领域协定。</w:t>
      </w:r>
    </w:p>
    <w:p w:rsidR="00000000" w:rsidRDefault="00000000">
      <w:pPr>
        <w:pStyle w:val="ad"/>
        <w:rPr>
          <w:rFonts w:hint="eastAsia"/>
        </w:rPr>
      </w:pPr>
      <w:r>
        <w:rPr>
          <w:rFonts w:hint="eastAsia"/>
        </w:rPr>
        <w:t>日本捐赠</w:t>
      </w:r>
      <w:r>
        <w:rPr>
          <w:rFonts w:hint="eastAsia"/>
        </w:rPr>
        <w:t>4,700</w:t>
      </w:r>
      <w:r>
        <w:rPr>
          <w:rFonts w:hint="eastAsia"/>
        </w:rPr>
        <w:t>万日元协定，用以修复和维护厄瓜多尔文化遗产艺术</w:t>
      </w:r>
      <w:r>
        <w:br/>
      </w:r>
      <w:r>
        <w:rPr>
          <w:rFonts w:hint="eastAsia"/>
        </w:rPr>
        <w:t>作品和名胜古迹。</w:t>
      </w:r>
    </w:p>
    <w:p w:rsidR="00000000" w:rsidRDefault="00000000">
      <w:pPr>
        <w:pStyle w:val="ad"/>
        <w:rPr>
          <w:rFonts w:hint="eastAsia"/>
        </w:rPr>
      </w:pPr>
      <w:r>
        <w:rPr>
          <w:rFonts w:hint="eastAsia"/>
        </w:rPr>
        <w:t>厄瓜多尔与俄罗斯联邦合作和文化与科学交流计划。</w:t>
      </w:r>
    </w:p>
    <w:p w:rsidR="00000000" w:rsidRDefault="00000000">
      <w:pPr>
        <w:pStyle w:val="ad"/>
        <w:rPr>
          <w:rFonts w:hint="eastAsia"/>
        </w:rPr>
      </w:pPr>
      <w:r>
        <w:rPr>
          <w:rFonts w:hint="eastAsia"/>
        </w:rPr>
        <w:t>厄瓜多尔－巴拉圭文化交流计划。</w:t>
      </w:r>
    </w:p>
    <w:p w:rsidR="00000000" w:rsidRDefault="00000000">
      <w:pPr>
        <w:pStyle w:val="ad"/>
        <w:rPr>
          <w:rFonts w:hint="eastAsia"/>
        </w:rPr>
      </w:pPr>
      <w:r>
        <w:rPr>
          <w:rFonts w:hint="eastAsia"/>
        </w:rPr>
        <w:t>厄瓜多尔政府和埃及政府间文化协定。</w:t>
      </w:r>
    </w:p>
    <w:p w:rsidR="00000000" w:rsidRDefault="00000000">
      <w:pPr>
        <w:pStyle w:val="ad"/>
        <w:rPr>
          <w:rFonts w:hint="eastAsia"/>
        </w:rPr>
      </w:pPr>
      <w:r>
        <w:rPr>
          <w:rFonts w:hint="eastAsia"/>
        </w:rPr>
        <w:t>联合国开发计划署和厄瓜多尔政府间管理事务协定。</w:t>
      </w:r>
    </w:p>
    <w:p w:rsidR="00000000" w:rsidRDefault="00000000">
      <w:pPr>
        <w:pStyle w:val="ad"/>
        <w:rPr>
          <w:rFonts w:hint="eastAsia"/>
        </w:rPr>
      </w:pPr>
      <w:r>
        <w:rPr>
          <w:rFonts w:hint="eastAsia"/>
        </w:rPr>
        <w:t>中国和厄瓜多尔军队武术领域文化合作协定。</w:t>
      </w:r>
    </w:p>
    <w:p w:rsidR="00000000" w:rsidRDefault="00000000">
      <w:pPr>
        <w:pStyle w:val="ad"/>
        <w:rPr>
          <w:rFonts w:hint="eastAsia"/>
        </w:rPr>
      </w:pPr>
      <w:r>
        <w:rPr>
          <w:rFonts w:hint="eastAsia"/>
        </w:rPr>
        <w:t>厄瓜多尔教育和文化部与法国外交部关于</w:t>
      </w:r>
      <w:r>
        <w:t>La Condamine</w:t>
      </w:r>
      <w:r>
        <w:rPr>
          <w:rFonts w:hint="eastAsia"/>
        </w:rPr>
        <w:t>文化基金会和大学预科章程行政谅解。</w:t>
      </w:r>
    </w:p>
    <w:p w:rsidR="00000000" w:rsidRDefault="00000000">
      <w:pPr>
        <w:pStyle w:val="ad"/>
        <w:rPr>
          <w:rFonts w:hint="eastAsia"/>
        </w:rPr>
      </w:pPr>
      <w:r>
        <w:rPr>
          <w:rFonts w:hint="eastAsia"/>
        </w:rPr>
        <w:t>与日本政府关于为文化院</w:t>
      </w:r>
      <w:r>
        <w:t>Eugenio Espejo</w:t>
      </w:r>
      <w:r>
        <w:rPr>
          <w:rFonts w:hint="eastAsia"/>
        </w:rPr>
        <w:t>国家图书馆提供微缩胶卷设备的合作协定。</w:t>
      </w:r>
    </w:p>
    <w:p w:rsidR="00000000" w:rsidRDefault="00000000">
      <w:pPr>
        <w:pStyle w:val="ad"/>
        <w:rPr>
          <w:rFonts w:hint="eastAsia"/>
        </w:rPr>
      </w:pPr>
      <w:r>
        <w:rPr>
          <w:rFonts w:hint="eastAsia"/>
        </w:rPr>
        <w:t>厄瓜多尔与萨尔瓦多文化合作基本协定。</w:t>
      </w:r>
    </w:p>
    <w:p w:rsidR="00000000" w:rsidRDefault="00000000">
      <w:pPr>
        <w:pStyle w:val="ad"/>
        <w:rPr>
          <w:rFonts w:hint="eastAsia"/>
        </w:rPr>
      </w:pPr>
      <w:r>
        <w:rPr>
          <w:rFonts w:hint="eastAsia"/>
        </w:rPr>
        <w:t>西班牙贸易和旅游部与厄瓜多尔旅游部旅游领域合作协定。</w:t>
      </w:r>
    </w:p>
    <w:p w:rsidR="00000000" w:rsidRDefault="00000000">
      <w:pPr>
        <w:pStyle w:val="ad"/>
        <w:rPr>
          <w:rFonts w:hint="eastAsia"/>
        </w:rPr>
      </w:pPr>
      <w:r>
        <w:rPr>
          <w:rFonts w:hint="eastAsia"/>
        </w:rPr>
        <w:t>古巴高等教育部和厄瓜多尔理工院校全国理事会科学、文化和技术交流协定。</w:t>
      </w:r>
    </w:p>
    <w:p w:rsidR="00000000" w:rsidRDefault="00000000">
      <w:pPr>
        <w:pStyle w:val="ad"/>
        <w:rPr>
          <w:rFonts w:hint="eastAsia"/>
        </w:rPr>
      </w:pPr>
      <w:r>
        <w:rPr>
          <w:rFonts w:hint="eastAsia"/>
        </w:rPr>
        <w:t>厄瓜多尔政府与日本政府关于装备厄瓜多尔交响乐团的文化捐款换文。</w:t>
      </w:r>
    </w:p>
    <w:p w:rsidR="00000000" w:rsidRDefault="00000000">
      <w:pPr>
        <w:pStyle w:val="ad"/>
        <w:rPr>
          <w:rFonts w:hint="eastAsia"/>
        </w:rPr>
      </w:pPr>
      <w:r>
        <w:rPr>
          <w:rFonts w:hint="eastAsia"/>
        </w:rPr>
        <w:t>厄瓜多尔和比利时关于向国家文化遗产研究所捐赠设备的换文。</w:t>
      </w:r>
    </w:p>
    <w:p w:rsidR="00000000" w:rsidRDefault="00000000">
      <w:pPr>
        <w:pStyle w:val="ad"/>
        <w:rPr>
          <w:rFonts w:hint="eastAsia"/>
        </w:rPr>
      </w:pPr>
      <w:r>
        <w:rPr>
          <w:rFonts w:hint="eastAsia"/>
        </w:rPr>
        <w:t>厄瓜多尔政府和意大利政府关于文化、科学和技术合作的协定。</w:t>
      </w:r>
    </w:p>
    <w:p w:rsidR="00000000" w:rsidRDefault="00000000">
      <w:pPr>
        <w:pStyle w:val="ad"/>
        <w:rPr>
          <w:rFonts w:hint="eastAsia"/>
        </w:rPr>
      </w:pPr>
      <w:r>
        <w:rPr>
          <w:rFonts w:hint="eastAsia"/>
        </w:rPr>
        <w:t>外交部与联合国教育、科学及文化组织</w:t>
      </w:r>
      <w:r>
        <w:rPr>
          <w:rFonts w:hint="eastAsia"/>
        </w:rPr>
        <w:t>(</w:t>
      </w:r>
      <w:r>
        <w:rPr>
          <w:rFonts w:hint="eastAsia"/>
        </w:rPr>
        <w:t>教科文组织</w:t>
      </w:r>
      <w:r>
        <w:rPr>
          <w:rFonts w:hint="eastAsia"/>
        </w:rPr>
        <w:t>)</w:t>
      </w:r>
      <w:r>
        <w:rPr>
          <w:rFonts w:hint="eastAsia"/>
        </w:rPr>
        <w:t>驻厄瓜多尔办</w:t>
      </w:r>
      <w:r>
        <w:br/>
      </w:r>
      <w:r>
        <w:rPr>
          <w:rFonts w:hint="eastAsia"/>
        </w:rPr>
        <w:t>事处合作协定。</w:t>
      </w:r>
    </w:p>
    <w:p w:rsidR="00000000" w:rsidRDefault="00000000">
      <w:pPr>
        <w:pStyle w:val="ad"/>
        <w:spacing w:after="320"/>
        <w:rPr>
          <w:rFonts w:hint="eastAsia"/>
        </w:rPr>
      </w:pPr>
      <w:r>
        <w:rPr>
          <w:rFonts w:hint="eastAsia"/>
        </w:rPr>
        <w:t>外交部与泛美研究基金会中心协定。</w:t>
      </w:r>
    </w:p>
    <w:p w:rsidR="00000000" w:rsidRDefault="00000000">
      <w:pPr>
        <w:pStyle w:val="Heading4"/>
        <w:rPr>
          <w:rFonts w:eastAsia="KaiTi_GB2312" w:hint="eastAsia"/>
          <w:snapToGrid/>
          <w:spacing w:val="0"/>
          <w:u w:val="none"/>
        </w:rPr>
      </w:pPr>
      <w:r>
        <w:rPr>
          <w:rFonts w:eastAsia="KaiTi_GB2312" w:hint="eastAsia"/>
          <w:snapToGrid/>
          <w:spacing w:val="0"/>
          <w:u w:val="none"/>
        </w:rPr>
        <w:t>国际援助</w:t>
      </w:r>
    </w:p>
    <w:p w:rsidR="00000000" w:rsidRDefault="00000000">
      <w:pPr>
        <w:spacing w:after="320"/>
        <w:rPr>
          <w:rFonts w:hint="eastAsia"/>
        </w:rPr>
      </w:pPr>
      <w:r>
        <w:rPr>
          <w:rFonts w:hint="eastAsia"/>
        </w:rPr>
        <w:tab/>
        <w:t xml:space="preserve">615.  </w:t>
      </w:r>
      <w:r>
        <w:rPr>
          <w:rFonts w:hint="eastAsia"/>
        </w:rPr>
        <w:t>政府支助民族技术革新政策的历史并不平坦。铭记这一事实，国际援助着眼于加强厄瓜多尔各项技术革新能力，以实现经济和社会的发展潜力，支助人力资源、技术管理以及在农业、工业和服务行业创业和财政科学创新领域的生产部门，以满足国家的主要社会需要，并促进知识和研究成果转让。这一政策旨在扩展科学与技术基础，并最大限度地利用国际社会的能力，建立和加强厄瓜多尔优先领域的研究与开发团体，并通过各国之间的密切协调，制订各项计划，构建和改善全国科学、技术与革新体系，同时促进文化，并发展各民族的权利，使之团结一致，享受和平的利益。</w:t>
      </w:r>
    </w:p>
    <w:p w:rsidR="00000000" w:rsidRDefault="00000000">
      <w:pPr>
        <w:spacing w:after="320"/>
        <w:rPr>
          <w:rFonts w:hint="eastAsia"/>
        </w:rPr>
      </w:pPr>
    </w:p>
    <w:p w:rsidR="00000000" w:rsidRDefault="00000000">
      <w:pPr>
        <w:spacing w:line="240" w:lineRule="auto"/>
        <w:rPr>
          <w:rFonts w:hint="eastAsia"/>
        </w:rPr>
      </w:pPr>
    </w:p>
    <w:sectPr w:rsidR="00000000">
      <w:headerReference w:type="even" r:id="rId7"/>
      <w:headerReference w:type="default" r:id="rId8"/>
      <w:headerReference w:type="first" r:id="rId9"/>
      <w:footerReference w:type="first" r:id="rId10"/>
      <w:endnotePr>
        <w:numFmt w:val="decimal"/>
      </w:endnotePr>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Heading3"/>
        <w:rPr>
          <w:rFonts w:hint="eastAsia"/>
        </w:rPr>
      </w:pPr>
      <w:r>
        <w:rPr>
          <w:rFonts w:hint="eastAsia"/>
        </w:rPr>
        <w:t>注</w:t>
      </w:r>
    </w:p>
  </w:endnote>
  <w:endnote w:type="continuationSeparator" w:id="0">
    <w:p w:rsidR="00000000" w:rsidRDefault="00000000">
      <w:pPr>
        <w:pStyle w:val="Footer"/>
      </w:pPr>
    </w:p>
  </w:endnote>
  <w:endnote w:id="1">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根据经社理事会第</w:t>
      </w:r>
      <w:r>
        <w:rPr>
          <w:rFonts w:hint="eastAsia"/>
          <w:snapToGrid/>
          <w:spacing w:val="0"/>
        </w:rPr>
        <w:t>1988(LX)</w:t>
      </w:r>
      <w:r>
        <w:rPr>
          <w:rFonts w:hint="eastAsia"/>
          <w:snapToGrid/>
          <w:spacing w:val="0"/>
        </w:rPr>
        <w:t>决议就</w:t>
      </w:r>
      <w:r>
        <w:rPr>
          <w:rFonts w:hint="eastAsia"/>
          <w:snapToGrid/>
          <w:spacing w:val="0"/>
        </w:rPr>
        <w:t>6</w:t>
      </w:r>
      <w:r>
        <w:rPr>
          <w:rFonts w:hint="eastAsia"/>
          <w:snapToGrid/>
          <w:spacing w:val="0"/>
        </w:rPr>
        <w:t>至</w:t>
      </w:r>
      <w:r>
        <w:rPr>
          <w:rFonts w:hint="eastAsia"/>
          <w:snapToGrid/>
          <w:spacing w:val="0"/>
        </w:rPr>
        <w:t>9</w:t>
      </w:r>
      <w:r>
        <w:rPr>
          <w:rFonts w:hint="eastAsia"/>
          <w:snapToGrid/>
          <w:spacing w:val="0"/>
        </w:rPr>
        <w:t>条规定的权利而提交的第二份报告。</w:t>
      </w:r>
      <w:r>
        <w:rPr>
          <w:snapToGrid/>
          <w:spacing w:val="0"/>
        </w:rPr>
        <w:t>E/1984/WG.1/SR.22</w:t>
      </w:r>
      <w:r>
        <w:rPr>
          <w:rFonts w:hint="eastAsia"/>
          <w:snapToGrid/>
          <w:spacing w:val="0"/>
        </w:rPr>
        <w:t>；根据《公约》第</w:t>
      </w:r>
      <w:r>
        <w:rPr>
          <w:rFonts w:hint="eastAsia"/>
          <w:snapToGrid/>
          <w:spacing w:val="0"/>
        </w:rPr>
        <w:t>16</w:t>
      </w:r>
      <w:r>
        <w:rPr>
          <w:rFonts w:hint="eastAsia"/>
          <w:snapToGrid/>
          <w:spacing w:val="0"/>
        </w:rPr>
        <w:t>和</w:t>
      </w:r>
      <w:r>
        <w:rPr>
          <w:rFonts w:hint="eastAsia"/>
          <w:snapToGrid/>
          <w:spacing w:val="0"/>
        </w:rPr>
        <w:t>17</w:t>
      </w:r>
      <w:r>
        <w:rPr>
          <w:rFonts w:hint="eastAsia"/>
          <w:snapToGrid/>
          <w:spacing w:val="0"/>
        </w:rPr>
        <w:t>条而由缔约国提交的报告，</w:t>
      </w:r>
      <w:r>
        <w:rPr>
          <w:snapToGrid/>
          <w:spacing w:val="0"/>
        </w:rPr>
        <w:t>E/C.12/1990/</w:t>
      </w:r>
      <w:r>
        <w:rPr>
          <w:rFonts w:hint="eastAsia"/>
          <w:snapToGrid/>
          <w:spacing w:val="0"/>
        </w:rPr>
        <w:t xml:space="preserve"> </w:t>
      </w:r>
      <w:r>
        <w:rPr>
          <w:snapToGrid/>
          <w:spacing w:val="0"/>
        </w:rPr>
        <w:t>SR.37(</w:t>
      </w:r>
      <w:r>
        <w:rPr>
          <w:rFonts w:hint="eastAsia"/>
          <w:snapToGrid/>
          <w:spacing w:val="0"/>
        </w:rPr>
        <w:t>第</w:t>
      </w:r>
      <w:r>
        <w:rPr>
          <w:rFonts w:hint="eastAsia"/>
          <w:snapToGrid/>
          <w:spacing w:val="0"/>
        </w:rPr>
        <w:t>10</w:t>
      </w:r>
      <w:r>
        <w:rPr>
          <w:rFonts w:hint="eastAsia"/>
          <w:snapToGrid/>
          <w:spacing w:val="0"/>
        </w:rPr>
        <w:t>至</w:t>
      </w:r>
      <w:r>
        <w:rPr>
          <w:rFonts w:hint="eastAsia"/>
          <w:snapToGrid/>
          <w:spacing w:val="0"/>
        </w:rPr>
        <w:t>12</w:t>
      </w:r>
      <w:r>
        <w:rPr>
          <w:rFonts w:hint="eastAsia"/>
          <w:snapToGrid/>
          <w:spacing w:val="0"/>
        </w:rPr>
        <w:t>条</w:t>
      </w:r>
      <w:r>
        <w:rPr>
          <w:rFonts w:hint="eastAsia"/>
          <w:snapToGrid/>
          <w:spacing w:val="0"/>
        </w:rPr>
        <w:t>)</w:t>
      </w:r>
      <w:r>
        <w:rPr>
          <w:rFonts w:hint="eastAsia"/>
          <w:snapToGrid/>
          <w:spacing w:val="0"/>
        </w:rPr>
        <w:t>，</w:t>
      </w:r>
      <w:r>
        <w:rPr>
          <w:snapToGrid/>
          <w:spacing w:val="0"/>
        </w:rPr>
        <w:t>E/C.12/1990/SR.3</w:t>
      </w:r>
      <w:r>
        <w:rPr>
          <w:rFonts w:hint="eastAsia"/>
          <w:snapToGrid/>
          <w:spacing w:val="0"/>
        </w:rPr>
        <w:t>8</w:t>
      </w:r>
      <w:r>
        <w:rPr>
          <w:snapToGrid/>
          <w:spacing w:val="0"/>
        </w:rPr>
        <w:t>(</w:t>
      </w:r>
      <w:r>
        <w:rPr>
          <w:rFonts w:hint="eastAsia"/>
          <w:snapToGrid/>
          <w:spacing w:val="0"/>
        </w:rPr>
        <w:t>第</w:t>
      </w:r>
      <w:r>
        <w:rPr>
          <w:rFonts w:hint="eastAsia"/>
          <w:snapToGrid/>
          <w:spacing w:val="0"/>
        </w:rPr>
        <w:t>1</w:t>
      </w:r>
      <w:r>
        <w:rPr>
          <w:snapToGrid/>
          <w:spacing w:val="0"/>
        </w:rPr>
        <w:t>3</w:t>
      </w:r>
      <w:r>
        <w:rPr>
          <w:rFonts w:hint="eastAsia"/>
          <w:snapToGrid/>
          <w:spacing w:val="0"/>
        </w:rPr>
        <w:t>至</w:t>
      </w:r>
      <w:r>
        <w:rPr>
          <w:rFonts w:hint="eastAsia"/>
          <w:snapToGrid/>
          <w:spacing w:val="0"/>
        </w:rPr>
        <w:t>1</w:t>
      </w:r>
      <w:r>
        <w:rPr>
          <w:snapToGrid/>
          <w:spacing w:val="0"/>
        </w:rPr>
        <w:t>5</w:t>
      </w:r>
      <w:r>
        <w:rPr>
          <w:rFonts w:hint="eastAsia"/>
          <w:snapToGrid/>
          <w:spacing w:val="0"/>
        </w:rPr>
        <w:t>条</w:t>
      </w:r>
      <w:r>
        <w:rPr>
          <w:rFonts w:hint="eastAsia"/>
          <w:snapToGrid/>
          <w:spacing w:val="0"/>
        </w:rPr>
        <w:t>)</w:t>
      </w:r>
      <w:r>
        <w:rPr>
          <w:rFonts w:hint="eastAsia"/>
          <w:snapToGrid/>
          <w:spacing w:val="0"/>
        </w:rPr>
        <w:t>，</w:t>
      </w:r>
      <w:r>
        <w:rPr>
          <w:snapToGrid/>
          <w:spacing w:val="0"/>
        </w:rPr>
        <w:t>E/C.12/1990/SR.3</w:t>
      </w:r>
      <w:r>
        <w:rPr>
          <w:rFonts w:hint="eastAsia"/>
          <w:snapToGrid/>
          <w:spacing w:val="0"/>
        </w:rPr>
        <w:t>9</w:t>
      </w:r>
      <w:r>
        <w:rPr>
          <w:rFonts w:hint="eastAsia"/>
          <w:snapToGrid/>
          <w:spacing w:val="0"/>
        </w:rPr>
        <w:t>和</w:t>
      </w:r>
      <w:r>
        <w:rPr>
          <w:snapToGrid/>
          <w:spacing w:val="0"/>
        </w:rPr>
        <w:t>E/C.12/1990/</w:t>
      </w:r>
      <w:r>
        <w:rPr>
          <w:rFonts w:hint="eastAsia"/>
          <w:snapToGrid/>
          <w:spacing w:val="0"/>
        </w:rPr>
        <w:t xml:space="preserve"> </w:t>
      </w:r>
      <w:r>
        <w:rPr>
          <w:snapToGrid/>
          <w:spacing w:val="0"/>
        </w:rPr>
        <w:t>SR.</w:t>
      </w:r>
      <w:r>
        <w:rPr>
          <w:rFonts w:hint="eastAsia"/>
          <w:snapToGrid/>
          <w:spacing w:val="0"/>
        </w:rPr>
        <w:t>42</w:t>
      </w:r>
      <w:r>
        <w:rPr>
          <w:snapToGrid/>
          <w:spacing w:val="0"/>
        </w:rPr>
        <w:t>(</w:t>
      </w:r>
      <w:r>
        <w:rPr>
          <w:rFonts w:hint="eastAsia"/>
          <w:snapToGrid/>
          <w:spacing w:val="0"/>
        </w:rPr>
        <w:t>1991</w:t>
      </w:r>
      <w:r>
        <w:rPr>
          <w:rFonts w:hint="eastAsia"/>
          <w:snapToGrid/>
          <w:spacing w:val="0"/>
        </w:rPr>
        <w:t>年</w:t>
      </w:r>
      <w:r>
        <w:rPr>
          <w:rFonts w:hint="eastAsia"/>
          <w:snapToGrid/>
          <w:spacing w:val="0"/>
        </w:rPr>
        <w:t>4</w:t>
      </w:r>
      <w:r>
        <w:rPr>
          <w:rFonts w:hint="eastAsia"/>
          <w:snapToGrid/>
          <w:spacing w:val="0"/>
        </w:rPr>
        <w:t>月</w:t>
      </w:r>
      <w:r>
        <w:rPr>
          <w:rFonts w:hint="eastAsia"/>
          <w:snapToGrid/>
          <w:spacing w:val="0"/>
        </w:rPr>
        <w:t>)</w:t>
      </w:r>
    </w:p>
  </w:endnote>
  <w:endnote w:id="2">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本报告所载的信息主要根据厄瓜多尔统计数据的官方来源，即厄瓜多尔国家统计与人口普查所</w:t>
      </w:r>
      <w:r>
        <w:rPr>
          <w:rFonts w:hint="eastAsia"/>
          <w:snapToGrid/>
          <w:spacing w:val="0"/>
        </w:rPr>
        <w:t>(</w:t>
      </w:r>
      <w:r>
        <w:rPr>
          <w:rFonts w:hint="eastAsia"/>
          <w:snapToGrid/>
          <w:spacing w:val="0"/>
        </w:rPr>
        <w:t>国家统计所</w:t>
      </w:r>
      <w:r>
        <w:rPr>
          <w:rFonts w:hint="eastAsia"/>
          <w:snapToGrid/>
          <w:spacing w:val="0"/>
        </w:rPr>
        <w:t>)</w:t>
      </w:r>
      <w:r>
        <w:rPr>
          <w:rFonts w:hint="eastAsia"/>
          <w:snapToGrid/>
          <w:spacing w:val="0"/>
        </w:rPr>
        <w:t>所提供的统计数据。本报告所依据的主要数据为：</w:t>
      </w:r>
      <w:r>
        <w:rPr>
          <w:rFonts w:hint="eastAsia"/>
          <w:snapToGrid/>
          <w:spacing w:val="0"/>
        </w:rPr>
        <w:t>1990</w:t>
      </w:r>
      <w:r>
        <w:rPr>
          <w:rFonts w:hint="eastAsia"/>
          <w:snapToGrid/>
          <w:spacing w:val="0"/>
        </w:rPr>
        <w:t>年全国人口普查以及</w:t>
      </w:r>
      <w:r>
        <w:rPr>
          <w:rFonts w:hint="eastAsia"/>
          <w:snapToGrid/>
          <w:spacing w:val="0"/>
        </w:rPr>
        <w:t>1990</w:t>
      </w:r>
      <w:r>
        <w:rPr>
          <w:rFonts w:hint="eastAsia"/>
          <w:snapToGrid/>
          <w:spacing w:val="0"/>
        </w:rPr>
        <w:t>年</w:t>
      </w:r>
      <w:r>
        <w:rPr>
          <w:rFonts w:hint="eastAsia"/>
          <w:snapToGrid/>
          <w:spacing w:val="0"/>
        </w:rPr>
        <w:t>11</w:t>
      </w:r>
      <w:r>
        <w:rPr>
          <w:rFonts w:hint="eastAsia"/>
          <w:snapToGrid/>
          <w:spacing w:val="0"/>
        </w:rPr>
        <w:t>月、</w:t>
      </w:r>
      <w:r>
        <w:rPr>
          <w:rFonts w:hint="eastAsia"/>
          <w:snapToGrid/>
          <w:spacing w:val="0"/>
        </w:rPr>
        <w:t>1995</w:t>
      </w:r>
      <w:r>
        <w:rPr>
          <w:rFonts w:hint="eastAsia"/>
          <w:snapToGrid/>
          <w:spacing w:val="0"/>
        </w:rPr>
        <w:t>年和</w:t>
      </w:r>
      <w:r>
        <w:rPr>
          <w:rFonts w:hint="eastAsia"/>
          <w:snapToGrid/>
          <w:spacing w:val="0"/>
        </w:rPr>
        <w:t>1998</w:t>
      </w:r>
      <w:r>
        <w:rPr>
          <w:rFonts w:hint="eastAsia"/>
          <w:snapToGrid/>
          <w:spacing w:val="0"/>
        </w:rPr>
        <w:t>年所进行的全国人口普查：就业、失业以及就业不足，第二轮。鉴于厄瓜多尔唯一能够得到的农村部门的资料是１９９０年的，统计所于</w:t>
      </w:r>
      <w:r>
        <w:rPr>
          <w:rFonts w:hint="eastAsia"/>
          <w:snapToGrid/>
          <w:spacing w:val="0"/>
        </w:rPr>
        <w:t>2001</w:t>
      </w:r>
      <w:r>
        <w:rPr>
          <w:rFonts w:hint="eastAsia"/>
          <w:snapToGrid/>
          <w:spacing w:val="0"/>
        </w:rPr>
        <w:t>年进行了全国农村人口普查。</w:t>
      </w:r>
    </w:p>
  </w:endnote>
  <w:endnote w:id="3">
    <w:p w:rsidR="00000000" w:rsidRDefault="00000000">
      <w:pPr>
        <w:pStyle w:val="EndnoteText"/>
        <w:rPr>
          <w:rFonts w:hint="eastAsia"/>
          <w:snapToGrid/>
          <w:spacing w:val="0"/>
          <w:lang w:val="fr-CH"/>
        </w:rPr>
      </w:pPr>
      <w:r>
        <w:rPr>
          <w:rStyle w:val="EndnoteReference"/>
          <w:snapToGrid/>
        </w:rPr>
        <w:endnoteRef/>
      </w:r>
      <w:r>
        <w:rPr>
          <w:snapToGrid/>
          <w:spacing w:val="0"/>
          <w:lang w:val="fr-CH"/>
        </w:rPr>
        <w:t xml:space="preserve"> </w:t>
      </w:r>
      <w:r>
        <w:rPr>
          <w:rFonts w:hint="eastAsia"/>
          <w:snapToGrid/>
          <w:spacing w:val="0"/>
          <w:lang w:val="fr-CH"/>
        </w:rPr>
        <w:tab/>
      </w:r>
      <w:r>
        <w:rPr>
          <w:snapToGrid/>
          <w:spacing w:val="0"/>
          <w:lang w:val="fr-CH"/>
        </w:rPr>
        <w:t>Retrato de mujeres. Indicadores sociales sobre la situación de las campesinas e indigenas del Ecuador rural [</w:t>
      </w:r>
      <w:r>
        <w:rPr>
          <w:rFonts w:hint="eastAsia"/>
          <w:snapToGrid/>
          <w:spacing w:val="0"/>
          <w:lang w:val="fr-CH"/>
        </w:rPr>
        <w:t>妇女画象：厄瓜多尔农村地区农妇和土著妇女状况的社会指标</w:t>
      </w:r>
      <w:r>
        <w:rPr>
          <w:snapToGrid/>
          <w:spacing w:val="0"/>
          <w:lang w:val="fr-CH"/>
        </w:rPr>
        <w:t>]</w:t>
      </w:r>
      <w:r>
        <w:rPr>
          <w:rFonts w:hint="eastAsia"/>
          <w:snapToGrid/>
          <w:spacing w:val="0"/>
          <w:lang w:val="fr-CH"/>
        </w:rPr>
        <w:t>，</w:t>
      </w:r>
      <w:r>
        <w:rPr>
          <w:snapToGrid/>
          <w:spacing w:val="0"/>
          <w:lang w:val="fr-CH"/>
        </w:rPr>
        <w:t xml:space="preserve">El derarrollo sicial en ek Ecuador 2, Quito, </w:t>
      </w:r>
      <w:r>
        <w:rPr>
          <w:rFonts w:hint="eastAsia"/>
          <w:snapToGrid/>
          <w:spacing w:val="0"/>
          <w:lang w:val="fr-CH"/>
        </w:rPr>
        <w:t>社会阵线秘书处</w:t>
      </w:r>
      <w:r>
        <w:rPr>
          <w:snapToGrid/>
          <w:spacing w:val="0"/>
          <w:lang w:val="fr-CH"/>
        </w:rPr>
        <w:t xml:space="preserve"> (STFS)</w:t>
      </w:r>
      <w:r>
        <w:rPr>
          <w:rFonts w:hint="eastAsia"/>
          <w:snapToGrid/>
          <w:spacing w:val="0"/>
          <w:lang w:val="fr-CH"/>
        </w:rPr>
        <w:t>，联合国妇女发展基金以及艾滋病全球方案，</w:t>
      </w:r>
      <w:r>
        <w:rPr>
          <w:rFonts w:hint="eastAsia"/>
          <w:snapToGrid/>
          <w:spacing w:val="0"/>
          <w:lang w:val="fr-CH"/>
        </w:rPr>
        <w:t>1998</w:t>
      </w:r>
      <w:r>
        <w:rPr>
          <w:rFonts w:hint="eastAsia"/>
          <w:snapToGrid/>
          <w:spacing w:val="0"/>
          <w:lang w:val="fr-CH"/>
        </w:rPr>
        <w:t>。</w:t>
      </w:r>
    </w:p>
  </w:endnote>
  <w:endnote w:id="4">
    <w:p w:rsidR="00000000" w:rsidRDefault="00000000">
      <w:pPr>
        <w:pStyle w:val="EndnoteText"/>
        <w:rPr>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人口研究与社会发展中心，《初步报告》，</w:t>
      </w:r>
      <w:r>
        <w:rPr>
          <w:rFonts w:hint="eastAsia"/>
          <w:snapToGrid/>
          <w:spacing w:val="0"/>
        </w:rPr>
        <w:t>99</w:t>
      </w:r>
      <w:r>
        <w:rPr>
          <w:rFonts w:hint="eastAsia"/>
          <w:snapToGrid/>
          <w:spacing w:val="0"/>
        </w:rPr>
        <w:t>年人口普查。</w:t>
      </w:r>
    </w:p>
  </w:endnote>
  <w:endnote w:id="5">
    <w:p w:rsidR="00000000" w:rsidRDefault="00000000">
      <w:pPr>
        <w:pStyle w:val="EndnoteText"/>
        <w:rPr>
          <w:rFonts w:hint="eastAsia"/>
          <w:snapToGrid/>
          <w:spacing w:val="0"/>
          <w:lang w:val="fr-CH"/>
        </w:rPr>
      </w:pPr>
      <w:r>
        <w:rPr>
          <w:rStyle w:val="EndnoteReference"/>
          <w:snapToGrid/>
        </w:rPr>
        <w:endnoteRef/>
      </w:r>
      <w:r>
        <w:rPr>
          <w:snapToGrid/>
          <w:spacing w:val="0"/>
          <w:lang w:val="fr-CH"/>
        </w:rPr>
        <w:t xml:space="preserve"> </w:t>
      </w:r>
      <w:r>
        <w:rPr>
          <w:rFonts w:hint="eastAsia"/>
          <w:snapToGrid/>
          <w:spacing w:val="0"/>
          <w:lang w:val="fr-CH"/>
        </w:rPr>
        <w:tab/>
      </w:r>
      <w:r>
        <w:rPr>
          <w:snapToGrid/>
          <w:spacing w:val="0"/>
          <w:lang w:val="fr-CH"/>
        </w:rPr>
        <w:t xml:space="preserve">Retrato de mujeres. Indicadores sociales sobre la situación de las campesinas e indigenas del Ecuador rural, </w:t>
      </w:r>
      <w:r>
        <w:rPr>
          <w:snapToGrid/>
          <w:spacing w:val="0"/>
          <w:u w:val="single"/>
          <w:lang w:val="fr-CH"/>
        </w:rPr>
        <w:t>El desarrollo sacial en el Ecuador 2,</w:t>
      </w:r>
      <w:r>
        <w:rPr>
          <w:snapToGrid/>
          <w:spacing w:val="0"/>
          <w:lang w:val="fr-CH"/>
        </w:rPr>
        <w:t xml:space="preserve"> </w:t>
      </w:r>
      <w:r>
        <w:rPr>
          <w:rFonts w:hint="eastAsia"/>
          <w:snapToGrid/>
          <w:spacing w:val="0"/>
          <w:lang w:val="fr-CH"/>
        </w:rPr>
        <w:t>社会阵线秘书处、联合国妇女发展基金以及全球艾滋病方案，</w:t>
      </w:r>
      <w:r>
        <w:rPr>
          <w:rFonts w:hint="eastAsia"/>
          <w:snapToGrid/>
          <w:spacing w:val="0"/>
          <w:lang w:val="fr-CH"/>
        </w:rPr>
        <w:t>1998,</w:t>
      </w:r>
      <w:r>
        <w:rPr>
          <w:rFonts w:hint="eastAsia"/>
          <w:snapToGrid/>
          <w:spacing w:val="0"/>
          <w:lang w:val="fr-CH"/>
        </w:rPr>
        <w:t>第</w:t>
      </w:r>
      <w:r>
        <w:rPr>
          <w:rFonts w:hint="eastAsia"/>
          <w:snapToGrid/>
          <w:spacing w:val="0"/>
          <w:lang w:val="fr-CH"/>
        </w:rPr>
        <w:t>118</w:t>
      </w:r>
      <w:r>
        <w:rPr>
          <w:rFonts w:hint="eastAsia"/>
          <w:snapToGrid/>
          <w:spacing w:val="0"/>
          <w:lang w:val="fr-CH"/>
        </w:rPr>
        <w:t>页。</w:t>
      </w:r>
    </w:p>
  </w:endnote>
  <w:endnote w:id="6">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全国妇女理事会，性别指标。</w:t>
      </w:r>
    </w:p>
  </w:endnote>
  <w:endnote w:id="7">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同上。</w:t>
      </w:r>
    </w:p>
  </w:endnote>
  <w:endnote w:id="8">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《宪法》</w:t>
      </w:r>
      <w:r>
        <w:rPr>
          <w:rFonts w:hint="eastAsia"/>
          <w:snapToGrid/>
          <w:spacing w:val="0"/>
        </w:rPr>
        <w:t>(</w:t>
      </w:r>
      <w:r>
        <w:rPr>
          <w:rFonts w:hint="eastAsia"/>
          <w:snapToGrid/>
          <w:spacing w:val="0"/>
        </w:rPr>
        <w:t>第九十三条</w:t>
      </w:r>
      <w:r>
        <w:rPr>
          <w:rFonts w:hint="eastAsia"/>
          <w:snapToGrid/>
          <w:spacing w:val="0"/>
        </w:rPr>
        <w:t>)</w:t>
      </w:r>
      <w:r>
        <w:rPr>
          <w:rFonts w:hint="eastAsia"/>
          <w:snapToGrid/>
          <w:spacing w:val="0"/>
        </w:rPr>
        <w:t>。</w:t>
      </w:r>
    </w:p>
  </w:endnote>
  <w:endnote w:id="9">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同上</w:t>
      </w:r>
      <w:r>
        <w:rPr>
          <w:rFonts w:hint="eastAsia"/>
          <w:snapToGrid/>
          <w:spacing w:val="0"/>
        </w:rPr>
        <w:t>(</w:t>
      </w:r>
      <w:r>
        <w:rPr>
          <w:rFonts w:hint="eastAsia"/>
          <w:snapToGrid/>
          <w:spacing w:val="0"/>
        </w:rPr>
        <w:t>第九十四条</w:t>
      </w:r>
      <w:r>
        <w:rPr>
          <w:rFonts w:hint="eastAsia"/>
          <w:snapToGrid/>
          <w:spacing w:val="0"/>
        </w:rPr>
        <w:t>)</w:t>
      </w:r>
      <w:r>
        <w:rPr>
          <w:rFonts w:hint="eastAsia"/>
          <w:snapToGrid/>
          <w:spacing w:val="0"/>
        </w:rPr>
        <w:t>。</w:t>
      </w:r>
    </w:p>
  </w:endnote>
  <w:endnote w:id="10">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同上</w:t>
      </w:r>
      <w:r>
        <w:rPr>
          <w:rFonts w:hint="eastAsia"/>
          <w:snapToGrid/>
          <w:spacing w:val="0"/>
        </w:rPr>
        <w:t>(</w:t>
      </w:r>
      <w:r>
        <w:rPr>
          <w:rFonts w:hint="eastAsia"/>
          <w:snapToGrid/>
          <w:spacing w:val="0"/>
        </w:rPr>
        <w:t>第九十五条</w:t>
      </w:r>
      <w:r>
        <w:rPr>
          <w:rFonts w:hint="eastAsia"/>
          <w:snapToGrid/>
          <w:spacing w:val="0"/>
        </w:rPr>
        <w:t>)</w:t>
      </w:r>
      <w:r>
        <w:rPr>
          <w:rFonts w:hint="eastAsia"/>
          <w:snapToGrid/>
          <w:spacing w:val="0"/>
        </w:rPr>
        <w:t>。</w:t>
      </w:r>
    </w:p>
  </w:endnote>
  <w:endnote w:id="11">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同上</w:t>
      </w:r>
      <w:r>
        <w:rPr>
          <w:rFonts w:hint="eastAsia"/>
          <w:snapToGrid/>
          <w:spacing w:val="0"/>
        </w:rPr>
        <w:t>(</w:t>
      </w:r>
      <w:r>
        <w:rPr>
          <w:rFonts w:hint="eastAsia"/>
          <w:snapToGrid/>
          <w:spacing w:val="0"/>
        </w:rPr>
        <w:t>第九十六条</w:t>
      </w:r>
      <w:r>
        <w:rPr>
          <w:rFonts w:hint="eastAsia"/>
          <w:snapToGrid/>
          <w:spacing w:val="0"/>
        </w:rPr>
        <w:t>)</w:t>
      </w:r>
      <w:r>
        <w:rPr>
          <w:rFonts w:hint="eastAsia"/>
          <w:snapToGrid/>
          <w:spacing w:val="0"/>
        </w:rPr>
        <w:t>。</w:t>
      </w:r>
    </w:p>
  </w:endnote>
  <w:endnote w:id="12">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监察员办公室</w:t>
      </w:r>
      <w:r>
        <w:rPr>
          <w:rFonts w:hint="eastAsia"/>
          <w:snapToGrid/>
          <w:spacing w:val="0"/>
        </w:rPr>
        <w:t>(1999</w:t>
      </w:r>
      <w:r>
        <w:rPr>
          <w:rFonts w:hint="eastAsia"/>
          <w:snapToGrid/>
          <w:spacing w:val="0"/>
        </w:rPr>
        <w:t>年</w:t>
      </w:r>
      <w:r>
        <w:rPr>
          <w:rFonts w:hint="eastAsia"/>
          <w:snapToGrid/>
          <w:spacing w:val="0"/>
        </w:rPr>
        <w:t>10</w:t>
      </w:r>
      <w:r>
        <w:rPr>
          <w:rFonts w:hint="eastAsia"/>
          <w:snapToGrid/>
          <w:spacing w:val="0"/>
        </w:rPr>
        <w:t>月</w:t>
      </w:r>
      <w:r>
        <w:rPr>
          <w:rFonts w:hint="eastAsia"/>
          <w:snapToGrid/>
          <w:spacing w:val="0"/>
        </w:rPr>
        <w:t>)</w:t>
      </w:r>
      <w:r>
        <w:rPr>
          <w:rFonts w:hint="eastAsia"/>
          <w:snapToGrid/>
          <w:spacing w:val="0"/>
        </w:rPr>
        <w:t>。</w:t>
      </w:r>
    </w:p>
  </w:endnote>
  <w:endnote w:id="13">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snapToGrid/>
          <w:spacing w:val="0"/>
        </w:rPr>
        <w:t xml:space="preserve">Lageografia de la pobreza en el Ecuador, </w:t>
      </w:r>
      <w:r>
        <w:rPr>
          <w:rFonts w:hint="eastAsia"/>
          <w:snapToGrid/>
          <w:spacing w:val="0"/>
          <w:lang w:val="fr-CH"/>
        </w:rPr>
        <w:t>基多</w:t>
      </w:r>
      <w:r>
        <w:rPr>
          <w:rFonts w:hint="eastAsia"/>
          <w:snapToGrid/>
          <w:spacing w:val="0"/>
        </w:rPr>
        <w:t>，</w:t>
      </w:r>
      <w:r>
        <w:rPr>
          <w:rFonts w:hint="eastAsia"/>
          <w:snapToGrid/>
          <w:spacing w:val="0"/>
          <w:lang w:val="fr-CH"/>
        </w:rPr>
        <w:t>社会阵线技术秘书处和联合国开发计划署</w:t>
      </w:r>
      <w:r>
        <w:rPr>
          <w:rFonts w:hint="eastAsia"/>
          <w:snapToGrid/>
          <w:spacing w:val="0"/>
        </w:rPr>
        <w:t>，</w:t>
      </w:r>
      <w:r>
        <w:rPr>
          <w:rFonts w:hint="eastAsia"/>
          <w:snapToGrid/>
          <w:spacing w:val="0"/>
        </w:rPr>
        <w:t>1996</w:t>
      </w:r>
      <w:r>
        <w:rPr>
          <w:rFonts w:hint="eastAsia"/>
          <w:snapToGrid/>
          <w:spacing w:val="0"/>
          <w:lang w:val="fr-CH"/>
        </w:rPr>
        <w:t>。</w:t>
      </w:r>
    </w:p>
  </w:endnote>
  <w:endnote w:id="14">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见上文，尾注</w:t>
      </w:r>
      <w:r>
        <w:rPr>
          <w:rFonts w:hint="eastAsia"/>
          <w:snapToGrid/>
          <w:spacing w:val="0"/>
        </w:rPr>
        <w:t>3</w:t>
      </w:r>
      <w:r>
        <w:rPr>
          <w:rFonts w:hint="eastAsia"/>
          <w:snapToGrid/>
          <w:spacing w:val="0"/>
        </w:rPr>
        <w:t>。</w:t>
      </w:r>
    </w:p>
  </w:endnote>
  <w:endnote w:id="15">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w:t>
      </w:r>
      <w:r>
        <w:rPr>
          <w:rFonts w:hint="eastAsia"/>
          <w:snapToGrid/>
          <w:spacing w:val="0"/>
        </w:rPr>
        <w:t>L</w:t>
      </w:r>
      <w:r>
        <w:rPr>
          <w:snapToGrid/>
          <w:spacing w:val="0"/>
        </w:rPr>
        <w:t xml:space="preserve">a geografia de la pobreza en el Ecuador </w:t>
      </w:r>
      <w:r>
        <w:rPr>
          <w:rFonts w:hint="eastAsia"/>
          <w:snapToGrid/>
          <w:spacing w:val="0"/>
        </w:rPr>
        <w:t>”</w:t>
      </w:r>
      <w:r>
        <w:rPr>
          <w:rFonts w:hint="eastAsia"/>
          <w:snapToGrid/>
          <w:spacing w:val="0"/>
        </w:rPr>
        <w:t>(</w:t>
      </w:r>
      <w:r>
        <w:rPr>
          <w:rFonts w:hint="eastAsia"/>
          <w:snapToGrid/>
          <w:spacing w:val="0"/>
          <w:lang w:val="fr-CH"/>
        </w:rPr>
        <w:t>厄瓜多尔的残疾状况</w:t>
      </w:r>
      <w:r>
        <w:rPr>
          <w:rFonts w:hint="eastAsia"/>
          <w:snapToGrid/>
          <w:spacing w:val="0"/>
        </w:rPr>
        <w:t>)</w:t>
      </w:r>
      <w:r>
        <w:rPr>
          <w:rFonts w:hint="eastAsia"/>
          <w:snapToGrid/>
          <w:spacing w:val="0"/>
        </w:rPr>
        <w:t>，</w:t>
      </w:r>
      <w:r>
        <w:rPr>
          <w:rFonts w:hint="eastAsia"/>
          <w:snapToGrid/>
          <w:spacing w:val="0"/>
          <w:lang w:val="fr-CH"/>
        </w:rPr>
        <w:t>全国残疾理事会。</w:t>
      </w:r>
    </w:p>
  </w:endnote>
  <w:endnote w:id="16">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lang w:val="fr-CH"/>
        </w:rPr>
        <w:t>《宪法》</w:t>
      </w:r>
      <w:r>
        <w:rPr>
          <w:rFonts w:hint="eastAsia"/>
          <w:snapToGrid/>
          <w:spacing w:val="0"/>
        </w:rPr>
        <w:t>，</w:t>
      </w:r>
      <w:r>
        <w:rPr>
          <w:rFonts w:hint="eastAsia"/>
          <w:snapToGrid/>
          <w:spacing w:val="0"/>
          <w:lang w:val="fr-CH"/>
        </w:rPr>
        <w:t>第</w:t>
      </w:r>
      <w:r>
        <w:rPr>
          <w:rFonts w:hint="eastAsia"/>
          <w:snapToGrid/>
          <w:spacing w:val="0"/>
        </w:rPr>
        <w:t>三</w:t>
      </w:r>
      <w:r>
        <w:rPr>
          <w:rFonts w:hint="eastAsia"/>
          <w:snapToGrid/>
          <w:spacing w:val="0"/>
          <w:lang w:val="fr-CH"/>
        </w:rPr>
        <w:t>条。</w:t>
      </w:r>
    </w:p>
  </w:endnote>
  <w:endnote w:id="17">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同上，第二十三条。</w:t>
      </w:r>
    </w:p>
  </w:endnote>
  <w:endnote w:id="18">
    <w:p w:rsidR="00000000" w:rsidRDefault="00000000">
      <w:pPr>
        <w:pStyle w:val="EndnoteText"/>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同上，第三十五条。</w:t>
      </w:r>
    </w:p>
  </w:endnote>
  <w:endnote w:id="19">
    <w:p w:rsidR="00000000" w:rsidRDefault="00000000">
      <w:pPr>
        <w:pStyle w:val="EndnoteText"/>
        <w:spacing w:line="264" w:lineRule="auto"/>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同上，第三十六条。</w:t>
      </w:r>
    </w:p>
  </w:endnote>
  <w:endnote w:id="20">
    <w:p w:rsidR="00000000" w:rsidRDefault="00000000">
      <w:pPr>
        <w:pStyle w:val="EndnoteText"/>
        <w:spacing w:line="264" w:lineRule="auto"/>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《劳动法》，第</w:t>
      </w:r>
      <w:r>
        <w:rPr>
          <w:rFonts w:hint="eastAsia"/>
          <w:snapToGrid/>
          <w:spacing w:val="0"/>
        </w:rPr>
        <w:t>3</w:t>
      </w:r>
      <w:r>
        <w:rPr>
          <w:rFonts w:hint="eastAsia"/>
          <w:snapToGrid/>
          <w:spacing w:val="0"/>
        </w:rPr>
        <w:t>条。</w:t>
      </w:r>
    </w:p>
  </w:endnote>
  <w:endnote w:id="21">
    <w:p w:rsidR="00000000" w:rsidRDefault="00000000">
      <w:pPr>
        <w:pStyle w:val="EndnoteText"/>
        <w:spacing w:line="264" w:lineRule="auto"/>
        <w:rPr>
          <w:rFonts w:hint="eastAsia"/>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《劳动法》，第</w:t>
      </w:r>
      <w:r>
        <w:rPr>
          <w:rFonts w:hint="eastAsia"/>
          <w:snapToGrid/>
          <w:spacing w:val="0"/>
        </w:rPr>
        <w:t>50</w:t>
      </w:r>
      <w:r>
        <w:rPr>
          <w:rFonts w:hint="eastAsia"/>
          <w:snapToGrid/>
          <w:spacing w:val="0"/>
        </w:rPr>
        <w:t>条。</w:t>
      </w:r>
    </w:p>
  </w:endnote>
  <w:endnote w:id="22">
    <w:p w:rsidR="00000000" w:rsidRDefault="00000000">
      <w:pPr>
        <w:pStyle w:val="EndnoteText"/>
        <w:spacing w:line="264" w:lineRule="auto"/>
        <w:rPr>
          <w:snapToGrid/>
          <w:spacing w:val="0"/>
        </w:rPr>
      </w:pPr>
      <w:r>
        <w:rPr>
          <w:rStyle w:val="EndnoteReference"/>
          <w:snapToGrid/>
        </w:rPr>
        <w:endnoteRef/>
      </w:r>
      <w:r>
        <w:rPr>
          <w:snapToGrid/>
          <w:spacing w:val="0"/>
        </w:rPr>
        <w:t xml:space="preserve"> </w:t>
      </w:r>
      <w:r>
        <w:rPr>
          <w:rFonts w:hint="eastAsia"/>
          <w:snapToGrid/>
          <w:spacing w:val="0"/>
        </w:rPr>
        <w:tab/>
      </w:r>
      <w:r>
        <w:rPr>
          <w:rFonts w:hint="eastAsia"/>
          <w:snapToGrid/>
          <w:spacing w:val="0"/>
        </w:rPr>
        <w:t>同上，第</w:t>
      </w:r>
      <w:r>
        <w:rPr>
          <w:rFonts w:hint="eastAsia"/>
          <w:snapToGrid/>
          <w:spacing w:val="0"/>
        </w:rPr>
        <w:t>53</w:t>
      </w:r>
      <w:r>
        <w:rPr>
          <w:rFonts w:hint="eastAsia"/>
          <w:snapToGrid/>
          <w:spacing w:val="0"/>
        </w:rPr>
        <w:t>条。</w:t>
      </w:r>
    </w:p>
    <w:p w:rsidR="00000000" w:rsidRDefault="00000000">
      <w:pPr>
        <w:pStyle w:val="EndnoteText"/>
        <w:spacing w:line="264" w:lineRule="auto"/>
        <w:rPr>
          <w:rFonts w:hint="eastAsia"/>
          <w:b/>
          <w:bCs/>
          <w:spacing w:val="0"/>
          <w:vertAlign w:val="superscript"/>
        </w:rPr>
      </w:pPr>
      <w:r>
        <w:rPr>
          <w:b/>
          <w:bCs/>
          <w:spacing w:val="0"/>
          <w:vertAlign w:val="superscript"/>
        </w:rPr>
        <w:t>23</w:t>
      </w:r>
      <w:r>
        <w:rPr>
          <w:b/>
          <w:bCs/>
          <w:spacing w:val="0"/>
          <w:vertAlign w:val="superscript"/>
        </w:rPr>
        <w:tab/>
      </w:r>
      <w:r>
        <w:rPr>
          <w:rFonts w:hint="eastAsia"/>
          <w:spacing w:val="0"/>
        </w:rPr>
        <w:t>强制性社会保险制度改革技术备忘录。</w:t>
      </w:r>
    </w:p>
    <w:p w:rsidR="00000000" w:rsidRDefault="00000000">
      <w:pPr>
        <w:pStyle w:val="EndnoteText"/>
        <w:spacing w:line="264" w:lineRule="auto"/>
        <w:rPr>
          <w:rFonts w:hint="eastAsia"/>
          <w:spacing w:val="0"/>
        </w:rPr>
      </w:pPr>
      <w:r>
        <w:rPr>
          <w:b/>
          <w:bCs/>
          <w:spacing w:val="0"/>
          <w:vertAlign w:val="superscript"/>
        </w:rPr>
        <w:t>24</w:t>
      </w:r>
      <w:r>
        <w:rPr>
          <w:b/>
          <w:bCs/>
          <w:spacing w:val="0"/>
          <w:vertAlign w:val="superscript"/>
        </w:rPr>
        <w:tab/>
      </w:r>
      <w:r>
        <w:rPr>
          <w:rFonts w:hint="eastAsia"/>
          <w:spacing w:val="0"/>
        </w:rPr>
        <w:t>《宪法》</w:t>
      </w:r>
      <w:r>
        <w:rPr>
          <w:rFonts w:hint="eastAsia"/>
          <w:spacing w:val="0"/>
        </w:rPr>
        <w:t>(</w:t>
      </w:r>
      <w:r>
        <w:rPr>
          <w:rFonts w:hint="eastAsia"/>
          <w:spacing w:val="0"/>
        </w:rPr>
        <w:t>第三十七条</w:t>
      </w:r>
      <w:r>
        <w:rPr>
          <w:rFonts w:hint="eastAsia"/>
          <w:spacing w:val="0"/>
        </w:rPr>
        <w:t>)</w:t>
      </w:r>
      <w:r>
        <w:rPr>
          <w:rFonts w:hint="eastAsia"/>
          <w:spacing w:val="0"/>
        </w:rPr>
        <w:t>。</w:t>
      </w:r>
    </w:p>
    <w:p w:rsidR="00000000" w:rsidRDefault="00000000">
      <w:pPr>
        <w:pStyle w:val="EndnoteText"/>
        <w:spacing w:line="264" w:lineRule="auto"/>
        <w:rPr>
          <w:rFonts w:hint="eastAsia"/>
          <w:b/>
          <w:bCs/>
          <w:spacing w:val="0"/>
          <w:vertAlign w:val="superscript"/>
        </w:rPr>
      </w:pPr>
      <w:r>
        <w:rPr>
          <w:b/>
          <w:bCs/>
          <w:spacing w:val="0"/>
          <w:vertAlign w:val="superscript"/>
        </w:rPr>
        <w:t>25</w:t>
      </w:r>
      <w:r>
        <w:rPr>
          <w:b/>
          <w:bCs/>
          <w:spacing w:val="0"/>
          <w:vertAlign w:val="superscript"/>
        </w:rPr>
        <w:tab/>
      </w:r>
      <w:r>
        <w:rPr>
          <w:rFonts w:hint="eastAsia"/>
          <w:spacing w:val="0"/>
        </w:rPr>
        <w:t>同上，</w:t>
      </w:r>
      <w:r>
        <w:rPr>
          <w:rFonts w:hint="eastAsia"/>
          <w:spacing w:val="0"/>
        </w:rPr>
        <w:t>(</w:t>
      </w:r>
      <w:r>
        <w:rPr>
          <w:rFonts w:hint="eastAsia"/>
          <w:spacing w:val="0"/>
        </w:rPr>
        <w:t>第三十九条</w:t>
      </w:r>
      <w:r>
        <w:rPr>
          <w:rFonts w:hint="eastAsia"/>
          <w:spacing w:val="0"/>
        </w:rPr>
        <w:t>)</w:t>
      </w:r>
      <w:r>
        <w:rPr>
          <w:rFonts w:hint="eastAsia"/>
          <w:spacing w:val="0"/>
        </w:rPr>
        <w:t>。</w:t>
      </w:r>
    </w:p>
    <w:p w:rsidR="00000000" w:rsidRDefault="00000000">
      <w:pPr>
        <w:pStyle w:val="EndnoteText"/>
        <w:spacing w:line="264" w:lineRule="auto"/>
        <w:rPr>
          <w:rFonts w:hint="eastAsia"/>
          <w:b/>
          <w:bCs/>
          <w:spacing w:val="0"/>
          <w:vertAlign w:val="superscript"/>
        </w:rPr>
      </w:pPr>
      <w:r>
        <w:rPr>
          <w:b/>
          <w:bCs/>
          <w:spacing w:val="0"/>
          <w:vertAlign w:val="superscript"/>
        </w:rPr>
        <w:t>26</w:t>
      </w:r>
      <w:r>
        <w:rPr>
          <w:b/>
          <w:bCs/>
          <w:spacing w:val="0"/>
          <w:vertAlign w:val="superscript"/>
        </w:rPr>
        <w:tab/>
      </w:r>
      <w:r>
        <w:rPr>
          <w:rFonts w:hint="eastAsia"/>
          <w:spacing w:val="0"/>
        </w:rPr>
        <w:t>参见</w:t>
      </w:r>
      <w:r>
        <w:rPr>
          <w:spacing w:val="0"/>
          <w:u w:val="single"/>
        </w:rPr>
        <w:t>Los niños y niñas del Ecuador a los diez años de la Convención sobre los Derechos de la Niñez</w:t>
      </w:r>
      <w:r>
        <w:rPr>
          <w:spacing w:val="0"/>
        </w:rPr>
        <w:t xml:space="preserve"> (</w:t>
      </w:r>
      <w:r>
        <w:rPr>
          <w:rFonts w:hint="eastAsia"/>
          <w:spacing w:val="0"/>
        </w:rPr>
        <w:t>国家儿童与家庭研究所－人力发展部－</w:t>
      </w:r>
      <w:r>
        <w:rPr>
          <w:spacing w:val="0"/>
        </w:rPr>
        <w:t>SINIÑEZ</w:t>
      </w:r>
      <w:r>
        <w:rPr>
          <w:rFonts w:hint="eastAsia"/>
          <w:spacing w:val="0"/>
        </w:rPr>
        <w:t>－社会指数综合系统</w:t>
      </w:r>
      <w:r>
        <w:rPr>
          <w:spacing w:val="0"/>
        </w:rPr>
        <w:t>(SIISE)</w:t>
      </w:r>
      <w:r>
        <w:rPr>
          <w:spacing w:val="0"/>
        </w:rPr>
        <w:t>，</w:t>
      </w:r>
      <w:r>
        <w:rPr>
          <w:spacing w:val="0"/>
        </w:rPr>
        <w:t xml:space="preserve"> 1999</w:t>
      </w:r>
      <w:r>
        <w:rPr>
          <w:rFonts w:hint="eastAsia"/>
          <w:spacing w:val="0"/>
        </w:rPr>
        <w:t>年，基多</w:t>
      </w:r>
      <w:r>
        <w:rPr>
          <w:spacing w:val="0"/>
        </w:rPr>
        <w:t>)</w:t>
      </w:r>
    </w:p>
    <w:p w:rsidR="00000000" w:rsidRDefault="00000000">
      <w:pPr>
        <w:pStyle w:val="EndnoteText"/>
        <w:spacing w:line="264" w:lineRule="auto"/>
        <w:rPr>
          <w:b/>
          <w:bCs/>
          <w:spacing w:val="0"/>
          <w:vertAlign w:val="superscript"/>
        </w:rPr>
      </w:pPr>
      <w:r>
        <w:rPr>
          <w:b/>
          <w:bCs/>
          <w:spacing w:val="0"/>
          <w:vertAlign w:val="superscript"/>
        </w:rPr>
        <w:t>27</w:t>
      </w:r>
      <w:r>
        <w:rPr>
          <w:b/>
          <w:bCs/>
          <w:spacing w:val="0"/>
          <w:vertAlign w:val="superscript"/>
        </w:rPr>
        <w:tab/>
      </w:r>
      <w:r>
        <w:rPr>
          <w:rFonts w:hint="eastAsia"/>
          <w:spacing w:val="0"/>
        </w:rPr>
        <w:t>同上。</w:t>
      </w:r>
    </w:p>
    <w:p w:rsidR="00000000" w:rsidRDefault="00000000">
      <w:pPr>
        <w:pStyle w:val="EndnoteText"/>
        <w:spacing w:line="264" w:lineRule="auto"/>
        <w:rPr>
          <w:b/>
          <w:bCs/>
          <w:spacing w:val="0"/>
          <w:vertAlign w:val="superscript"/>
        </w:rPr>
      </w:pPr>
      <w:r>
        <w:rPr>
          <w:b/>
          <w:bCs/>
          <w:spacing w:val="0"/>
          <w:vertAlign w:val="superscript"/>
        </w:rPr>
        <w:t>28</w:t>
      </w:r>
      <w:r>
        <w:rPr>
          <w:b/>
          <w:bCs/>
          <w:spacing w:val="0"/>
          <w:vertAlign w:val="superscript"/>
        </w:rPr>
        <w:tab/>
      </w:r>
      <w:r>
        <w:rPr>
          <w:rFonts w:hint="eastAsia"/>
          <w:spacing w:val="0"/>
        </w:rPr>
        <w:t>同上。</w:t>
      </w:r>
    </w:p>
    <w:p w:rsidR="00000000" w:rsidRDefault="00000000">
      <w:pPr>
        <w:pStyle w:val="EndnoteText"/>
        <w:spacing w:line="264" w:lineRule="auto"/>
        <w:rPr>
          <w:b/>
          <w:bCs/>
          <w:spacing w:val="0"/>
          <w:vertAlign w:val="superscript"/>
        </w:rPr>
      </w:pPr>
      <w:r>
        <w:rPr>
          <w:b/>
          <w:bCs/>
          <w:spacing w:val="0"/>
          <w:vertAlign w:val="superscript"/>
        </w:rPr>
        <w:t>29</w:t>
      </w:r>
      <w:r>
        <w:rPr>
          <w:b/>
          <w:bCs/>
          <w:spacing w:val="0"/>
          <w:vertAlign w:val="superscript"/>
        </w:rPr>
        <w:tab/>
      </w:r>
      <w:r>
        <w:rPr>
          <w:rFonts w:hint="eastAsia"/>
          <w:spacing w:val="0"/>
        </w:rPr>
        <w:t>社会指数综合系统－人力发展部，</w:t>
      </w:r>
      <w:r>
        <w:rPr>
          <w:rFonts w:hint="eastAsia"/>
          <w:spacing w:val="0"/>
        </w:rPr>
        <w:t>1999</w:t>
      </w:r>
      <w:r>
        <w:rPr>
          <w:rFonts w:hint="eastAsia"/>
          <w:spacing w:val="0"/>
        </w:rPr>
        <w:t>年。</w:t>
      </w:r>
    </w:p>
    <w:p w:rsidR="00000000" w:rsidRDefault="00000000">
      <w:pPr>
        <w:pStyle w:val="EndnoteText"/>
        <w:spacing w:line="264" w:lineRule="auto"/>
        <w:rPr>
          <w:rFonts w:hint="eastAsia"/>
          <w:b/>
          <w:bCs/>
          <w:spacing w:val="0"/>
          <w:vertAlign w:val="superscript"/>
        </w:rPr>
      </w:pPr>
      <w:r>
        <w:rPr>
          <w:b/>
          <w:bCs/>
          <w:spacing w:val="0"/>
          <w:vertAlign w:val="superscript"/>
        </w:rPr>
        <w:t>30</w:t>
      </w:r>
      <w:r>
        <w:rPr>
          <w:b/>
          <w:bCs/>
          <w:spacing w:val="0"/>
          <w:vertAlign w:val="superscript"/>
        </w:rPr>
        <w:tab/>
      </w:r>
      <w:r>
        <w:rPr>
          <w:rFonts w:hint="eastAsia"/>
          <w:spacing w:val="0"/>
        </w:rPr>
        <w:t>《儿童法》</w:t>
      </w:r>
      <w:r>
        <w:rPr>
          <w:rFonts w:hint="eastAsia"/>
          <w:spacing w:val="0"/>
        </w:rPr>
        <w:t>(</w:t>
      </w:r>
      <w:r>
        <w:rPr>
          <w:rFonts w:hint="eastAsia"/>
          <w:spacing w:val="0"/>
        </w:rPr>
        <w:t>第</w:t>
      </w:r>
      <w:r>
        <w:rPr>
          <w:rFonts w:hint="eastAsia"/>
          <w:spacing w:val="0"/>
        </w:rPr>
        <w:t>92</w:t>
      </w:r>
      <w:r>
        <w:rPr>
          <w:rFonts w:hint="eastAsia"/>
          <w:spacing w:val="0"/>
        </w:rPr>
        <w:t>条</w:t>
      </w:r>
      <w:r>
        <w:rPr>
          <w:rFonts w:hint="eastAsia"/>
          <w:spacing w:val="0"/>
        </w:rPr>
        <w:t>)</w:t>
      </w:r>
      <w:r>
        <w:rPr>
          <w:rFonts w:hint="eastAsia"/>
          <w:spacing w:val="0"/>
        </w:rPr>
        <w:t>。</w:t>
      </w:r>
    </w:p>
    <w:p w:rsidR="00000000" w:rsidRDefault="00000000">
      <w:pPr>
        <w:pStyle w:val="EndnoteText"/>
        <w:spacing w:line="264" w:lineRule="auto"/>
        <w:rPr>
          <w:rFonts w:hint="eastAsia"/>
          <w:b/>
          <w:bCs/>
          <w:spacing w:val="0"/>
          <w:vertAlign w:val="superscript"/>
        </w:rPr>
      </w:pPr>
      <w:r>
        <w:rPr>
          <w:b/>
          <w:bCs/>
          <w:spacing w:val="0"/>
          <w:vertAlign w:val="superscript"/>
        </w:rPr>
        <w:t>31</w:t>
      </w:r>
      <w:r>
        <w:rPr>
          <w:b/>
          <w:bCs/>
          <w:spacing w:val="0"/>
          <w:vertAlign w:val="superscript"/>
        </w:rPr>
        <w:tab/>
      </w:r>
      <w:r>
        <w:rPr>
          <w:rFonts w:hint="eastAsia"/>
          <w:spacing w:val="0"/>
        </w:rPr>
        <w:t>国家儿童与家庭研究所。</w:t>
      </w:r>
    </w:p>
    <w:p w:rsidR="00000000" w:rsidRDefault="00000000">
      <w:pPr>
        <w:pStyle w:val="EndnoteText"/>
        <w:spacing w:line="264" w:lineRule="auto"/>
        <w:rPr>
          <w:rFonts w:hint="eastAsia"/>
          <w:spacing w:val="0"/>
        </w:rPr>
      </w:pPr>
      <w:r>
        <w:rPr>
          <w:rFonts w:hint="eastAsia"/>
          <w:b/>
          <w:bCs/>
          <w:spacing w:val="0"/>
          <w:vertAlign w:val="superscript"/>
        </w:rPr>
        <w:t>32</w:t>
      </w:r>
      <w:r>
        <w:rPr>
          <w:rFonts w:hint="eastAsia"/>
          <w:spacing w:val="0"/>
        </w:rPr>
        <w:tab/>
      </w:r>
      <w:r>
        <w:rPr>
          <w:rFonts w:hint="eastAsia"/>
          <w:spacing w:val="0"/>
        </w:rPr>
        <w:t>国家统计局，</w:t>
      </w:r>
      <w:r>
        <w:rPr>
          <w:rFonts w:hint="eastAsia"/>
          <w:spacing w:val="0"/>
        </w:rPr>
        <w:t>2000</w:t>
      </w:r>
      <w:r>
        <w:rPr>
          <w:rFonts w:hint="eastAsia"/>
          <w:spacing w:val="0"/>
        </w:rPr>
        <w:t>年</w:t>
      </w:r>
      <w:r>
        <w:rPr>
          <w:rFonts w:hint="eastAsia"/>
          <w:spacing w:val="0"/>
        </w:rPr>
        <w:t>2</w:t>
      </w:r>
      <w:r>
        <w:rPr>
          <w:rFonts w:hint="eastAsia"/>
          <w:spacing w:val="0"/>
        </w:rPr>
        <w:t>月。</w:t>
      </w:r>
      <w:r>
        <w:rPr>
          <w:rFonts w:hint="eastAsia"/>
          <w:spacing w:val="0"/>
        </w:rPr>
        <w:t>2002</w:t>
      </w:r>
      <w:r>
        <w:rPr>
          <w:rFonts w:hint="eastAsia"/>
          <w:spacing w:val="0"/>
        </w:rPr>
        <w:t>年每一家庭的成员人数由</w:t>
      </w:r>
      <w:r>
        <w:rPr>
          <w:rFonts w:hint="eastAsia"/>
          <w:spacing w:val="0"/>
        </w:rPr>
        <w:t>5</w:t>
      </w:r>
      <w:r>
        <w:rPr>
          <w:rFonts w:hint="eastAsia"/>
          <w:spacing w:val="0"/>
        </w:rPr>
        <w:t>变成</w:t>
      </w:r>
      <w:r>
        <w:rPr>
          <w:rFonts w:hint="eastAsia"/>
          <w:spacing w:val="0"/>
        </w:rPr>
        <w:t>4</w:t>
      </w:r>
      <w:r>
        <w:rPr>
          <w:rFonts w:hint="eastAsia"/>
          <w:spacing w:val="0"/>
        </w:rPr>
        <w:t>。</w:t>
      </w:r>
    </w:p>
    <w:p w:rsidR="00000000" w:rsidRDefault="00000000">
      <w:pPr>
        <w:pStyle w:val="EndnoteText"/>
        <w:spacing w:line="264" w:lineRule="auto"/>
        <w:rPr>
          <w:rFonts w:hint="eastAsia"/>
          <w:spacing w:val="0"/>
        </w:rPr>
      </w:pPr>
      <w:r>
        <w:rPr>
          <w:rFonts w:hint="eastAsia"/>
          <w:b/>
          <w:spacing w:val="0"/>
          <w:vertAlign w:val="superscript"/>
        </w:rPr>
        <w:t>33</w:t>
      </w:r>
      <w:r>
        <w:rPr>
          <w:rFonts w:hint="eastAsia"/>
          <w:spacing w:val="0"/>
          <w:vertAlign w:val="superscript"/>
        </w:rPr>
        <w:tab/>
      </w:r>
      <w:r>
        <w:rPr>
          <w:rFonts w:hint="eastAsia"/>
          <w:spacing w:val="0"/>
        </w:rPr>
        <w:t>CEDATOS</w:t>
      </w:r>
      <w:r>
        <w:rPr>
          <w:rFonts w:hint="eastAsia"/>
          <w:spacing w:val="0"/>
        </w:rPr>
        <w:t>研究：</w:t>
      </w:r>
      <w:r>
        <w:rPr>
          <w:rFonts w:hint="eastAsia"/>
          <w:spacing w:val="0"/>
          <w:u w:val="single"/>
        </w:rPr>
        <w:t>厄瓜多尔面面观</w:t>
      </w:r>
      <w:r>
        <w:rPr>
          <w:rFonts w:hint="eastAsia"/>
          <w:spacing w:val="0"/>
        </w:rPr>
        <w:t>，</w:t>
      </w:r>
      <w:r>
        <w:rPr>
          <w:rFonts w:hint="eastAsia"/>
          <w:spacing w:val="0"/>
        </w:rPr>
        <w:t>1999</w:t>
      </w:r>
      <w:r>
        <w:rPr>
          <w:rFonts w:hint="eastAsia"/>
          <w:spacing w:val="0"/>
        </w:rPr>
        <w:t>年</w:t>
      </w:r>
      <w:r>
        <w:rPr>
          <w:rFonts w:hint="eastAsia"/>
          <w:spacing w:val="0"/>
        </w:rPr>
        <w:t>11</w:t>
      </w:r>
      <w:r>
        <w:rPr>
          <w:rFonts w:hint="eastAsia"/>
          <w:spacing w:val="0"/>
        </w:rPr>
        <w:t>月。</w:t>
      </w:r>
    </w:p>
    <w:p w:rsidR="00000000" w:rsidRDefault="00000000">
      <w:pPr>
        <w:pStyle w:val="EndnoteText"/>
        <w:spacing w:line="264" w:lineRule="auto"/>
        <w:rPr>
          <w:rFonts w:hint="eastAsia"/>
          <w:spacing w:val="0"/>
        </w:rPr>
      </w:pPr>
      <w:r>
        <w:rPr>
          <w:rFonts w:hint="eastAsia"/>
          <w:b/>
          <w:spacing w:val="0"/>
          <w:vertAlign w:val="superscript"/>
        </w:rPr>
        <w:t>34</w:t>
      </w:r>
      <w:r>
        <w:rPr>
          <w:rFonts w:hint="eastAsia"/>
          <w:spacing w:val="0"/>
        </w:rPr>
        <w:tab/>
      </w:r>
      <w:r>
        <w:rPr>
          <w:rFonts w:hint="eastAsia"/>
          <w:spacing w:val="0"/>
        </w:rPr>
        <w:t>为典型的五人家庭计算的基本篮子是一套该家庭消费或使用的最具代表性的物品。贫困线篮子基本上指的是食品。</w:t>
      </w:r>
    </w:p>
    <w:p w:rsidR="00000000" w:rsidRDefault="00000000">
      <w:pPr>
        <w:pStyle w:val="EndnoteText"/>
        <w:spacing w:line="264" w:lineRule="auto"/>
        <w:rPr>
          <w:rFonts w:hint="eastAsia"/>
          <w:spacing w:val="0"/>
        </w:rPr>
      </w:pPr>
      <w:r>
        <w:rPr>
          <w:rFonts w:hint="eastAsia"/>
          <w:b/>
          <w:spacing w:val="0"/>
          <w:vertAlign w:val="superscript"/>
        </w:rPr>
        <w:t>35</w:t>
      </w:r>
      <w:r>
        <w:rPr>
          <w:rFonts w:hint="eastAsia"/>
          <w:b/>
          <w:spacing w:val="0"/>
        </w:rPr>
        <w:tab/>
      </w:r>
      <w:r>
        <w:rPr>
          <w:rFonts w:hint="eastAsia"/>
          <w:spacing w:val="0"/>
        </w:rPr>
        <w:t>国家统计局，</w:t>
      </w:r>
      <w:r>
        <w:rPr>
          <w:rFonts w:hint="eastAsia"/>
          <w:spacing w:val="0"/>
        </w:rPr>
        <w:t>2000</w:t>
      </w:r>
      <w:r>
        <w:rPr>
          <w:rFonts w:hint="eastAsia"/>
          <w:spacing w:val="0"/>
        </w:rPr>
        <w:t>年</w:t>
      </w:r>
      <w:r>
        <w:rPr>
          <w:rFonts w:hint="eastAsia"/>
          <w:spacing w:val="0"/>
        </w:rPr>
        <w:t>2</w:t>
      </w:r>
      <w:r>
        <w:rPr>
          <w:rFonts w:hint="eastAsia"/>
          <w:spacing w:val="0"/>
        </w:rPr>
        <w:t>月。</w:t>
      </w:r>
    </w:p>
    <w:p w:rsidR="00000000" w:rsidRDefault="00000000">
      <w:pPr>
        <w:pStyle w:val="EndnoteText"/>
        <w:spacing w:line="264" w:lineRule="auto"/>
        <w:rPr>
          <w:rFonts w:hint="eastAsia"/>
          <w:spacing w:val="0"/>
        </w:rPr>
      </w:pPr>
      <w:r>
        <w:rPr>
          <w:rFonts w:hint="eastAsia"/>
          <w:b/>
          <w:spacing w:val="0"/>
          <w:vertAlign w:val="superscript"/>
        </w:rPr>
        <w:t>36</w:t>
      </w:r>
      <w:r>
        <w:rPr>
          <w:rFonts w:hint="eastAsia"/>
          <w:b/>
          <w:spacing w:val="0"/>
        </w:rPr>
        <w:tab/>
      </w:r>
      <w:r>
        <w:rPr>
          <w:rFonts w:hint="eastAsia"/>
          <w:spacing w:val="0"/>
        </w:rPr>
        <w:t>社会指数综合系统。</w:t>
      </w:r>
    </w:p>
    <w:p w:rsidR="00000000" w:rsidRDefault="00000000">
      <w:pPr>
        <w:pStyle w:val="EndnoteText"/>
        <w:spacing w:line="264" w:lineRule="auto"/>
        <w:rPr>
          <w:rFonts w:hint="eastAsia"/>
          <w:snapToGrid/>
          <w:spacing w:val="0"/>
        </w:rPr>
      </w:pPr>
      <w:r>
        <w:rPr>
          <w:rFonts w:hint="eastAsia"/>
          <w:b/>
          <w:spacing w:val="0"/>
          <w:vertAlign w:val="superscript"/>
        </w:rPr>
        <w:t>37</w:t>
      </w:r>
      <w:r>
        <w:rPr>
          <w:rFonts w:hint="eastAsia"/>
          <w:b/>
          <w:spacing w:val="0"/>
        </w:rPr>
        <w:tab/>
      </w:r>
      <w:r>
        <w:rPr>
          <w:rFonts w:hint="eastAsia"/>
          <w:spacing w:val="0"/>
        </w:rPr>
        <w:t>厄瓜多尔</w:t>
      </w:r>
      <w:r>
        <w:rPr>
          <w:rFonts w:eastAsia="SimSun" w:hint="eastAsia"/>
          <w:snapToGrid/>
          <w:spacing w:val="-50"/>
        </w:rPr>
        <w:t>―</w:t>
      </w:r>
      <w:r>
        <w:rPr>
          <w:rFonts w:eastAsia="SimSun" w:hint="eastAsia"/>
          <w:snapToGrid/>
          <w:spacing w:val="0"/>
        </w:rPr>
        <w:t>―</w:t>
      </w:r>
      <w:r>
        <w:rPr>
          <w:rFonts w:hint="eastAsia"/>
          <w:snapToGrid/>
          <w:spacing w:val="0"/>
        </w:rPr>
        <w:t>美洲间发展银行。母亲与儿童营养方案分析，</w:t>
      </w:r>
      <w:r>
        <w:rPr>
          <w:rFonts w:hint="eastAsia"/>
          <w:snapToGrid/>
          <w:spacing w:val="0"/>
        </w:rPr>
        <w:t>1999</w:t>
      </w:r>
      <w:r>
        <w:rPr>
          <w:rFonts w:hint="eastAsia"/>
          <w:snapToGrid/>
          <w:spacing w:val="0"/>
        </w:rPr>
        <w:t>年。</w:t>
      </w:r>
    </w:p>
    <w:p w:rsidR="00000000" w:rsidRDefault="00000000">
      <w:pPr>
        <w:pStyle w:val="EndnoteText"/>
        <w:spacing w:line="264" w:lineRule="auto"/>
        <w:rPr>
          <w:rFonts w:hint="eastAsia"/>
          <w:snapToGrid/>
          <w:spacing w:val="0"/>
        </w:rPr>
      </w:pPr>
      <w:r>
        <w:rPr>
          <w:rFonts w:hint="eastAsia"/>
          <w:b/>
          <w:snapToGrid/>
          <w:spacing w:val="0"/>
          <w:vertAlign w:val="superscript"/>
        </w:rPr>
        <w:t>38</w:t>
      </w:r>
      <w:r>
        <w:rPr>
          <w:rFonts w:hint="eastAsia"/>
          <w:b/>
          <w:snapToGrid/>
          <w:spacing w:val="0"/>
        </w:rPr>
        <w:tab/>
      </w:r>
      <w:r>
        <w:rPr>
          <w:rFonts w:hint="eastAsia"/>
          <w:snapToGrid/>
          <w:spacing w:val="0"/>
        </w:rPr>
        <w:t>农业与牧业部，粮食平衡表。</w:t>
      </w:r>
    </w:p>
    <w:p w:rsidR="00000000" w:rsidRDefault="00000000">
      <w:pPr>
        <w:pStyle w:val="EndnoteText"/>
        <w:spacing w:line="264" w:lineRule="auto"/>
        <w:rPr>
          <w:rFonts w:hint="eastAsia"/>
          <w:snapToGrid/>
          <w:spacing w:val="0"/>
        </w:rPr>
      </w:pPr>
      <w:r>
        <w:rPr>
          <w:rFonts w:hint="eastAsia"/>
          <w:b/>
          <w:snapToGrid/>
          <w:spacing w:val="0"/>
          <w:vertAlign w:val="superscript"/>
        </w:rPr>
        <w:t>39</w:t>
      </w:r>
      <w:r>
        <w:rPr>
          <w:rFonts w:hint="eastAsia"/>
          <w:b/>
          <w:snapToGrid/>
          <w:spacing w:val="0"/>
        </w:rPr>
        <w:tab/>
      </w:r>
      <w:r>
        <w:rPr>
          <w:rFonts w:hint="eastAsia"/>
          <w:snapToGrid/>
          <w:spacing w:val="0"/>
        </w:rPr>
        <w:t>初步数据，</w:t>
      </w:r>
      <w:r>
        <w:rPr>
          <w:rFonts w:hint="eastAsia"/>
          <w:snapToGrid/>
          <w:spacing w:val="0"/>
        </w:rPr>
        <w:t>2002</w:t>
      </w:r>
      <w:r>
        <w:rPr>
          <w:rFonts w:hint="eastAsia"/>
          <w:snapToGrid/>
          <w:spacing w:val="0"/>
        </w:rPr>
        <w:t>年。</w:t>
      </w:r>
    </w:p>
    <w:p w:rsidR="00000000" w:rsidRDefault="00000000">
      <w:pPr>
        <w:pStyle w:val="EndnoteText"/>
        <w:spacing w:line="264" w:lineRule="auto"/>
        <w:rPr>
          <w:rFonts w:hint="eastAsia"/>
          <w:snapToGrid/>
          <w:spacing w:val="0"/>
        </w:rPr>
      </w:pPr>
      <w:r>
        <w:rPr>
          <w:rFonts w:hint="eastAsia"/>
          <w:b/>
          <w:snapToGrid/>
          <w:spacing w:val="0"/>
          <w:vertAlign w:val="superscript"/>
        </w:rPr>
        <w:t>40</w:t>
      </w:r>
      <w:r>
        <w:rPr>
          <w:rFonts w:hint="eastAsia"/>
          <w:b/>
          <w:snapToGrid/>
          <w:spacing w:val="0"/>
        </w:rPr>
        <w:tab/>
      </w:r>
      <w:r>
        <w:rPr>
          <w:rFonts w:hint="eastAsia"/>
          <w:snapToGrid/>
          <w:spacing w:val="0"/>
        </w:rPr>
        <w:t>厄瓜多尔血红蛋白值，《新闻公报》第</w:t>
      </w:r>
      <w:r>
        <w:rPr>
          <w:rFonts w:hint="eastAsia"/>
          <w:snapToGrid/>
          <w:spacing w:val="0"/>
        </w:rPr>
        <w:t>3</w:t>
      </w:r>
      <w:r>
        <w:rPr>
          <w:rFonts w:hint="eastAsia"/>
          <w:snapToGrid/>
          <w:spacing w:val="0"/>
        </w:rPr>
        <w:t>号，国家卫生科学与技术研究所，公共卫生部。</w:t>
      </w:r>
    </w:p>
    <w:p w:rsidR="00000000" w:rsidRDefault="00000000">
      <w:pPr>
        <w:pStyle w:val="EndnoteText"/>
        <w:spacing w:line="264" w:lineRule="auto"/>
        <w:rPr>
          <w:rFonts w:hint="eastAsia"/>
          <w:snapToGrid/>
          <w:spacing w:val="0"/>
        </w:rPr>
      </w:pPr>
      <w:r>
        <w:rPr>
          <w:rFonts w:hint="eastAsia"/>
          <w:b/>
          <w:bCs/>
          <w:snapToGrid/>
          <w:spacing w:val="0"/>
          <w:vertAlign w:val="superscript"/>
        </w:rPr>
        <w:t>41</w:t>
      </w:r>
      <w:r>
        <w:rPr>
          <w:rFonts w:hint="eastAsia"/>
          <w:snapToGrid/>
          <w:spacing w:val="0"/>
        </w:rPr>
        <w:tab/>
      </w:r>
      <w:r>
        <w:rPr>
          <w:rFonts w:hint="eastAsia"/>
          <w:snapToGrid/>
          <w:spacing w:val="0"/>
        </w:rPr>
        <w:t>最常用的营养不良判断标准是低于被调查人年龄组的参考体重中位数的两个标准差以上。</w:t>
      </w:r>
    </w:p>
    <w:p w:rsidR="00000000" w:rsidRDefault="00000000">
      <w:pPr>
        <w:pStyle w:val="EndnoteText"/>
        <w:spacing w:line="264" w:lineRule="auto"/>
        <w:rPr>
          <w:rFonts w:hint="eastAsia"/>
          <w:snapToGrid/>
          <w:spacing w:val="0"/>
        </w:rPr>
      </w:pPr>
      <w:r>
        <w:rPr>
          <w:rFonts w:hint="eastAsia"/>
          <w:b/>
          <w:bCs/>
          <w:snapToGrid/>
          <w:spacing w:val="0"/>
          <w:vertAlign w:val="superscript"/>
        </w:rPr>
        <w:t>42</w:t>
      </w:r>
      <w:r>
        <w:rPr>
          <w:rFonts w:hint="eastAsia"/>
          <w:snapToGrid/>
          <w:spacing w:val="0"/>
        </w:rPr>
        <w:tab/>
      </w:r>
      <w:r>
        <w:rPr>
          <w:rFonts w:hint="eastAsia"/>
          <w:snapToGrid/>
          <w:spacing w:val="0"/>
        </w:rPr>
        <w:t>厄瓜多尔：母亲和儿童人口营养方案分析。</w:t>
      </w:r>
      <w:r>
        <w:rPr>
          <w:rFonts w:hint="eastAsia"/>
          <w:snapToGrid/>
          <w:spacing w:val="0"/>
        </w:rPr>
        <w:t>A</w:t>
      </w:r>
      <w:r>
        <w:rPr>
          <w:snapToGrid/>
          <w:spacing w:val="0"/>
        </w:rPr>
        <w:t>talah S.</w:t>
      </w:r>
      <w:r>
        <w:rPr>
          <w:rFonts w:hint="eastAsia"/>
          <w:snapToGrid/>
          <w:spacing w:val="0"/>
        </w:rPr>
        <w:t>，美洲间发展银行，</w:t>
      </w:r>
      <w:r>
        <w:rPr>
          <w:rFonts w:hint="eastAsia"/>
          <w:snapToGrid/>
          <w:spacing w:val="0"/>
        </w:rPr>
        <w:t>1999</w:t>
      </w:r>
      <w:r>
        <w:rPr>
          <w:rFonts w:hint="eastAsia"/>
          <w:snapToGrid/>
          <w:spacing w:val="0"/>
        </w:rPr>
        <w:t>年</w:t>
      </w:r>
      <w:r>
        <w:rPr>
          <w:rFonts w:hint="eastAsia"/>
          <w:snapToGrid/>
          <w:spacing w:val="0"/>
        </w:rPr>
        <w:t>12</w:t>
      </w:r>
      <w:r>
        <w:rPr>
          <w:rFonts w:hint="eastAsia"/>
          <w:snapToGrid/>
          <w:spacing w:val="0"/>
        </w:rPr>
        <w:t>月。</w:t>
      </w:r>
    </w:p>
    <w:p w:rsidR="00000000" w:rsidRDefault="00000000">
      <w:pPr>
        <w:pStyle w:val="EndnoteText"/>
        <w:spacing w:line="264" w:lineRule="auto"/>
        <w:rPr>
          <w:rFonts w:hint="eastAsia"/>
          <w:snapToGrid/>
          <w:spacing w:val="0"/>
        </w:rPr>
      </w:pPr>
      <w:r>
        <w:rPr>
          <w:rFonts w:hint="eastAsia"/>
          <w:b/>
          <w:snapToGrid/>
          <w:spacing w:val="0"/>
          <w:vertAlign w:val="superscript"/>
        </w:rPr>
        <w:t>43</w:t>
      </w:r>
      <w:r>
        <w:rPr>
          <w:rFonts w:hint="eastAsia"/>
          <w:snapToGrid/>
          <w:spacing w:val="0"/>
        </w:rPr>
        <w:tab/>
      </w:r>
      <w:r>
        <w:rPr>
          <w:rFonts w:hint="eastAsia"/>
          <w:snapToGrid/>
          <w:spacing w:val="0"/>
        </w:rPr>
        <w:t>同上。</w:t>
      </w:r>
    </w:p>
    <w:p w:rsidR="00000000" w:rsidRDefault="00000000">
      <w:pPr>
        <w:pStyle w:val="EndnoteText"/>
        <w:spacing w:line="264" w:lineRule="auto"/>
        <w:rPr>
          <w:rFonts w:hint="eastAsia"/>
          <w:snapToGrid/>
          <w:spacing w:val="0"/>
        </w:rPr>
      </w:pPr>
      <w:r>
        <w:rPr>
          <w:rFonts w:hint="eastAsia"/>
          <w:b/>
          <w:snapToGrid/>
          <w:spacing w:val="0"/>
          <w:vertAlign w:val="superscript"/>
        </w:rPr>
        <w:t>44</w:t>
      </w:r>
      <w:r>
        <w:rPr>
          <w:rFonts w:hint="eastAsia"/>
          <w:snapToGrid/>
          <w:spacing w:val="0"/>
        </w:rPr>
        <w:tab/>
      </w:r>
      <w:r>
        <w:rPr>
          <w:rFonts w:hint="eastAsia"/>
          <w:snapToGrid/>
          <w:spacing w:val="0"/>
        </w:rPr>
        <w:t>国家农业研究所</w:t>
      </w:r>
      <w:r>
        <w:rPr>
          <w:rFonts w:hint="eastAsia"/>
          <w:snapToGrid/>
          <w:spacing w:val="0"/>
        </w:rPr>
        <w:t>(INIAP)</w:t>
      </w:r>
      <w:r>
        <w:rPr>
          <w:rFonts w:hint="eastAsia"/>
          <w:snapToGrid/>
          <w:spacing w:val="0"/>
        </w:rPr>
        <w:t>，战略计划。农业发展技术。</w:t>
      </w:r>
    </w:p>
    <w:p w:rsidR="00000000" w:rsidRDefault="00000000">
      <w:pPr>
        <w:pStyle w:val="EndnoteText"/>
        <w:spacing w:line="264" w:lineRule="auto"/>
        <w:rPr>
          <w:rFonts w:hint="eastAsia"/>
          <w:snapToGrid/>
          <w:spacing w:val="0"/>
        </w:rPr>
      </w:pPr>
      <w:r>
        <w:rPr>
          <w:rFonts w:hint="eastAsia"/>
          <w:b/>
          <w:bCs/>
          <w:snapToGrid/>
          <w:spacing w:val="0"/>
          <w:vertAlign w:val="superscript"/>
        </w:rPr>
        <w:t>45</w:t>
      </w:r>
      <w:r>
        <w:rPr>
          <w:rFonts w:hint="eastAsia"/>
          <w:snapToGrid/>
          <w:spacing w:val="0"/>
        </w:rPr>
        <w:tab/>
      </w:r>
      <w:r>
        <w:rPr>
          <w:rFonts w:hint="eastAsia"/>
          <w:snapToGrid/>
          <w:spacing w:val="0"/>
        </w:rPr>
        <w:t>“</w:t>
      </w:r>
      <w:r>
        <w:rPr>
          <w:rFonts w:hint="eastAsia"/>
          <w:snapToGrid/>
          <w:spacing w:val="0"/>
        </w:rPr>
        <w:t>1963-1964</w:t>
      </w:r>
      <w:r>
        <w:rPr>
          <w:rFonts w:hint="eastAsia"/>
          <w:snapToGrid/>
          <w:spacing w:val="0"/>
        </w:rPr>
        <w:t>年厄瓜多尔区域土地评估”，总报告概要，农业与牧业部</w:t>
      </w:r>
      <w:r>
        <w:rPr>
          <w:rFonts w:eastAsia="SimSun" w:hint="eastAsia"/>
          <w:snapToGrid/>
          <w:spacing w:val="-50"/>
        </w:rPr>
        <w:t>―</w:t>
      </w:r>
      <w:r>
        <w:rPr>
          <w:rFonts w:eastAsia="SimSun" w:hint="eastAsia"/>
          <w:snapToGrid/>
          <w:spacing w:val="0"/>
        </w:rPr>
        <w:t>―</w:t>
      </w:r>
      <w:r>
        <w:rPr>
          <w:rFonts w:hint="eastAsia"/>
          <w:snapToGrid/>
          <w:spacing w:val="0"/>
        </w:rPr>
        <w:t>全国规划机构</w:t>
      </w:r>
      <w:r>
        <w:rPr>
          <w:rFonts w:eastAsia="SimSun" w:hint="eastAsia"/>
          <w:snapToGrid/>
          <w:spacing w:val="-50"/>
        </w:rPr>
        <w:t>―</w:t>
      </w:r>
      <w:r>
        <w:rPr>
          <w:rFonts w:eastAsia="SimSun" w:hint="eastAsia"/>
          <w:snapToGrid/>
          <w:spacing w:val="0"/>
        </w:rPr>
        <w:t>―</w:t>
      </w:r>
      <w:r>
        <w:rPr>
          <w:rFonts w:hint="eastAsia"/>
          <w:snapToGrid/>
          <w:spacing w:val="0"/>
        </w:rPr>
        <w:t>厄瓜多尔农业改革与争端解决研究所</w:t>
      </w:r>
      <w:r>
        <w:rPr>
          <w:rFonts w:hint="eastAsia"/>
          <w:snapToGrid/>
          <w:spacing w:val="0"/>
        </w:rPr>
        <w:t>(IERAC)</w:t>
      </w:r>
      <w:r>
        <w:rPr>
          <w:rFonts w:hint="eastAsia"/>
          <w:snapToGrid/>
          <w:spacing w:val="0"/>
        </w:rPr>
        <w:t>，</w:t>
      </w:r>
      <w:r>
        <w:rPr>
          <w:rFonts w:hint="eastAsia"/>
          <w:snapToGrid/>
          <w:spacing w:val="0"/>
        </w:rPr>
        <w:t>1977</w:t>
      </w:r>
      <w:r>
        <w:rPr>
          <w:rFonts w:hint="eastAsia"/>
          <w:snapToGrid/>
          <w:spacing w:val="0"/>
        </w:rPr>
        <w:t>年。</w:t>
      </w:r>
    </w:p>
    <w:p w:rsidR="00000000" w:rsidRDefault="00000000">
      <w:pPr>
        <w:pStyle w:val="EndnoteText"/>
        <w:spacing w:line="264" w:lineRule="auto"/>
        <w:rPr>
          <w:rFonts w:hint="eastAsia"/>
          <w:snapToGrid/>
          <w:spacing w:val="0"/>
        </w:rPr>
      </w:pPr>
      <w:r>
        <w:rPr>
          <w:rFonts w:hint="eastAsia"/>
          <w:b/>
          <w:snapToGrid/>
          <w:spacing w:val="0"/>
          <w:vertAlign w:val="superscript"/>
        </w:rPr>
        <w:t>46</w:t>
      </w:r>
      <w:r>
        <w:rPr>
          <w:rFonts w:hint="eastAsia"/>
          <w:snapToGrid/>
          <w:spacing w:val="0"/>
          <w:vertAlign w:val="superscript"/>
        </w:rPr>
        <w:tab/>
      </w:r>
      <w:r>
        <w:rPr>
          <w:rFonts w:hint="eastAsia"/>
          <w:snapToGrid/>
          <w:spacing w:val="0"/>
        </w:rPr>
        <w:t>全国</w:t>
      </w:r>
      <w:r>
        <w:rPr>
          <w:rFonts w:hint="eastAsia"/>
          <w:snapToGrid/>
          <w:spacing w:val="0"/>
        </w:rPr>
        <w:t>C</w:t>
      </w:r>
      <w:r>
        <w:rPr>
          <w:snapToGrid/>
          <w:spacing w:val="0"/>
        </w:rPr>
        <w:t>ampesino</w:t>
      </w:r>
      <w:r>
        <w:rPr>
          <w:rFonts w:hint="eastAsia"/>
          <w:snapToGrid/>
          <w:spacing w:val="0"/>
        </w:rPr>
        <w:t>培训方案，农业与牧业部</w:t>
      </w:r>
      <w:r>
        <w:rPr>
          <w:rFonts w:eastAsia="SimSun" w:hint="eastAsia"/>
          <w:snapToGrid/>
          <w:spacing w:val="-50"/>
        </w:rPr>
        <w:t>―</w:t>
      </w:r>
      <w:r>
        <w:rPr>
          <w:rFonts w:eastAsia="SimSun" w:hint="eastAsia"/>
          <w:snapToGrid/>
          <w:spacing w:val="0"/>
        </w:rPr>
        <w:t>―</w:t>
      </w:r>
      <w:r>
        <w:rPr>
          <w:rFonts w:hint="eastAsia"/>
          <w:snapToGrid/>
          <w:spacing w:val="0"/>
        </w:rPr>
        <w:t>INCCA, 1998</w:t>
      </w:r>
      <w:r>
        <w:rPr>
          <w:rFonts w:hint="eastAsia"/>
          <w:snapToGrid/>
          <w:spacing w:val="0"/>
        </w:rPr>
        <w:t>年。</w:t>
      </w:r>
    </w:p>
    <w:p w:rsidR="00000000" w:rsidRDefault="00000000">
      <w:pPr>
        <w:pStyle w:val="EndnoteText"/>
        <w:spacing w:line="264" w:lineRule="auto"/>
        <w:rPr>
          <w:rFonts w:hint="eastAsia"/>
          <w:snapToGrid/>
          <w:spacing w:val="0"/>
        </w:rPr>
      </w:pPr>
      <w:r>
        <w:rPr>
          <w:rFonts w:hint="eastAsia"/>
          <w:b/>
          <w:snapToGrid/>
          <w:spacing w:val="0"/>
          <w:vertAlign w:val="superscript"/>
        </w:rPr>
        <w:t>47</w:t>
      </w:r>
      <w:r>
        <w:rPr>
          <w:rFonts w:hint="eastAsia"/>
          <w:snapToGrid/>
          <w:spacing w:val="0"/>
        </w:rPr>
        <w:tab/>
      </w:r>
      <w:r>
        <w:rPr>
          <w:rFonts w:hint="eastAsia"/>
          <w:snapToGrid/>
          <w:spacing w:val="0"/>
        </w:rPr>
        <w:t>残疾人社会融合国家理事会</w:t>
      </w:r>
      <w:r>
        <w:rPr>
          <w:rFonts w:hint="eastAsia"/>
          <w:snapToGrid/>
          <w:spacing w:val="0"/>
        </w:rPr>
        <w:t>(CONADIS)</w:t>
      </w:r>
      <w:r>
        <w:rPr>
          <w:rFonts w:hint="eastAsia"/>
          <w:snapToGrid/>
          <w:spacing w:val="0"/>
        </w:rPr>
        <w:t>。</w:t>
      </w:r>
    </w:p>
    <w:p w:rsidR="00000000" w:rsidRDefault="00000000">
      <w:pPr>
        <w:pStyle w:val="EndnoteText"/>
        <w:spacing w:line="264" w:lineRule="auto"/>
        <w:rPr>
          <w:rFonts w:hint="eastAsia"/>
          <w:snapToGrid/>
          <w:spacing w:val="0"/>
        </w:rPr>
      </w:pPr>
      <w:r>
        <w:rPr>
          <w:rFonts w:hint="eastAsia"/>
          <w:b/>
          <w:snapToGrid/>
          <w:spacing w:val="0"/>
          <w:vertAlign w:val="superscript"/>
        </w:rPr>
        <w:t>48</w:t>
      </w:r>
      <w:r>
        <w:rPr>
          <w:rFonts w:hint="eastAsia"/>
          <w:snapToGrid/>
          <w:spacing w:val="0"/>
        </w:rPr>
        <w:tab/>
      </w:r>
      <w:r>
        <w:rPr>
          <w:rFonts w:hint="eastAsia"/>
          <w:snapToGrid/>
          <w:spacing w:val="0"/>
        </w:rPr>
        <w:t>如厄瓜多尔中央银行</w:t>
      </w:r>
      <w:r>
        <w:rPr>
          <w:rFonts w:hint="eastAsia"/>
          <w:snapToGrid/>
          <w:spacing w:val="0"/>
        </w:rPr>
        <w:t>1999</w:t>
      </w:r>
      <w:r>
        <w:rPr>
          <w:rFonts w:hint="eastAsia"/>
          <w:snapToGrid/>
          <w:spacing w:val="0"/>
        </w:rPr>
        <w:t>年</w:t>
      </w:r>
      <w:r>
        <w:rPr>
          <w:rFonts w:hint="eastAsia"/>
          <w:snapToGrid/>
          <w:spacing w:val="0"/>
        </w:rPr>
        <w:t>12</w:t>
      </w:r>
      <w:r>
        <w:rPr>
          <w:rFonts w:hint="eastAsia"/>
          <w:snapToGrid/>
          <w:spacing w:val="0"/>
        </w:rPr>
        <w:t>月</w:t>
      </w:r>
      <w:r>
        <w:rPr>
          <w:rFonts w:hint="eastAsia"/>
          <w:snapToGrid/>
          <w:spacing w:val="0"/>
        </w:rPr>
        <w:t>31</w:t>
      </w:r>
      <w:r>
        <w:rPr>
          <w:rFonts w:hint="eastAsia"/>
          <w:snapToGrid/>
          <w:spacing w:val="0"/>
        </w:rPr>
        <w:t>日所引。</w:t>
      </w:r>
    </w:p>
    <w:p w:rsidR="00000000" w:rsidRDefault="00000000">
      <w:pPr>
        <w:pStyle w:val="EndnoteText"/>
        <w:spacing w:line="264" w:lineRule="auto"/>
        <w:rPr>
          <w:rFonts w:hint="eastAsia"/>
          <w:snapToGrid/>
          <w:spacing w:val="0"/>
        </w:rPr>
      </w:pPr>
      <w:r>
        <w:rPr>
          <w:rFonts w:hint="eastAsia"/>
          <w:b/>
          <w:snapToGrid/>
          <w:spacing w:val="0"/>
          <w:vertAlign w:val="superscript"/>
        </w:rPr>
        <w:t>49</w:t>
      </w:r>
      <w:r>
        <w:rPr>
          <w:rFonts w:hint="eastAsia"/>
          <w:snapToGrid/>
          <w:spacing w:val="0"/>
        </w:rPr>
        <w:tab/>
        <w:t xml:space="preserve">PUCE ISP </w:t>
      </w:r>
      <w:r>
        <w:rPr>
          <w:snapToGrid/>
          <w:spacing w:val="0"/>
        </w:rPr>
        <w:t>base document, Boletín APS NO.2,</w:t>
      </w:r>
      <w:r>
        <w:rPr>
          <w:rFonts w:hint="eastAsia"/>
          <w:snapToGrid/>
          <w:spacing w:val="0"/>
        </w:rPr>
        <w:t xml:space="preserve"> </w:t>
      </w:r>
      <w:r>
        <w:rPr>
          <w:rFonts w:hint="eastAsia"/>
          <w:snapToGrid/>
          <w:spacing w:val="0"/>
        </w:rPr>
        <w:t>公共卫生部，</w:t>
      </w:r>
      <w:r>
        <w:rPr>
          <w:rFonts w:hint="eastAsia"/>
          <w:snapToGrid/>
          <w:spacing w:val="0"/>
        </w:rPr>
        <w:t>1998</w:t>
      </w:r>
      <w:r>
        <w:rPr>
          <w:rFonts w:hint="eastAsia"/>
          <w:snapToGrid/>
          <w:spacing w:val="0"/>
        </w:rPr>
        <w:t>年</w:t>
      </w:r>
      <w:r>
        <w:rPr>
          <w:rFonts w:hint="eastAsia"/>
          <w:snapToGrid/>
          <w:spacing w:val="0"/>
        </w:rPr>
        <w:t>12</w:t>
      </w:r>
      <w:r>
        <w:rPr>
          <w:rFonts w:hint="eastAsia"/>
          <w:snapToGrid/>
          <w:spacing w:val="0"/>
        </w:rPr>
        <w:t>月。</w:t>
      </w:r>
    </w:p>
    <w:p w:rsidR="00000000" w:rsidRDefault="00000000">
      <w:pPr>
        <w:pStyle w:val="EndnoteText"/>
        <w:spacing w:line="264" w:lineRule="auto"/>
        <w:rPr>
          <w:rFonts w:hint="eastAsia"/>
          <w:snapToGrid/>
          <w:spacing w:val="0"/>
        </w:rPr>
      </w:pPr>
      <w:r>
        <w:rPr>
          <w:rFonts w:hint="eastAsia"/>
          <w:b/>
          <w:snapToGrid/>
          <w:spacing w:val="0"/>
          <w:vertAlign w:val="superscript"/>
        </w:rPr>
        <w:t>50</w:t>
      </w:r>
      <w:r>
        <w:rPr>
          <w:rFonts w:hint="eastAsia"/>
          <w:snapToGrid/>
          <w:spacing w:val="0"/>
        </w:rPr>
        <w:tab/>
      </w:r>
      <w:r>
        <w:rPr>
          <w:rFonts w:hint="eastAsia"/>
          <w:snapToGrid/>
          <w:spacing w:val="0"/>
        </w:rPr>
        <w:t>公共卫生部，全国精神卫生计划，</w:t>
      </w:r>
      <w:r>
        <w:rPr>
          <w:rFonts w:hint="eastAsia"/>
          <w:snapToGrid/>
          <w:spacing w:val="0"/>
        </w:rPr>
        <w:t>1999</w:t>
      </w:r>
      <w:r>
        <w:rPr>
          <w:rFonts w:hint="eastAsia"/>
          <w:snapToGrid/>
          <w:spacing w:val="0"/>
        </w:rPr>
        <w:t>年。</w:t>
      </w:r>
    </w:p>
    <w:p w:rsidR="00000000" w:rsidRDefault="00000000">
      <w:pPr>
        <w:pStyle w:val="EndnoteText"/>
        <w:spacing w:line="264" w:lineRule="auto"/>
        <w:rPr>
          <w:rFonts w:hint="eastAsia"/>
          <w:snapToGrid/>
          <w:spacing w:val="0"/>
        </w:rPr>
      </w:pPr>
      <w:r>
        <w:rPr>
          <w:rFonts w:hint="eastAsia"/>
          <w:b/>
          <w:snapToGrid/>
          <w:spacing w:val="0"/>
          <w:vertAlign w:val="superscript"/>
        </w:rPr>
        <w:t>51</w:t>
      </w:r>
      <w:r>
        <w:rPr>
          <w:rFonts w:hint="eastAsia"/>
          <w:snapToGrid/>
          <w:spacing w:val="0"/>
        </w:rPr>
        <w:tab/>
      </w:r>
      <w:r>
        <w:rPr>
          <w:rFonts w:hint="eastAsia"/>
          <w:snapToGrid/>
          <w:spacing w:val="0"/>
        </w:rPr>
        <w:t>人口与计划生育研究中心</w:t>
      </w:r>
      <w:r>
        <w:rPr>
          <w:rFonts w:hint="eastAsia"/>
          <w:snapToGrid/>
          <w:spacing w:val="0"/>
        </w:rPr>
        <w:t>(CEPAR)</w:t>
      </w:r>
      <w:r>
        <w:rPr>
          <w:rFonts w:hint="eastAsia"/>
          <w:snapToGrid/>
          <w:spacing w:val="0"/>
        </w:rPr>
        <w:t>，</w:t>
      </w:r>
      <w:r>
        <w:rPr>
          <w:rFonts w:hint="eastAsia"/>
          <w:snapToGrid/>
          <w:spacing w:val="0"/>
        </w:rPr>
        <w:t>C</w:t>
      </w:r>
      <w:r>
        <w:rPr>
          <w:snapToGrid/>
          <w:spacing w:val="0"/>
        </w:rPr>
        <w:t>orreo Poblacional y de la Salud, 1997</w:t>
      </w:r>
      <w:r>
        <w:rPr>
          <w:rFonts w:hint="eastAsia"/>
          <w:snapToGrid/>
          <w:spacing w:val="0"/>
        </w:rPr>
        <w:t>年。</w:t>
      </w:r>
    </w:p>
    <w:p w:rsidR="00000000" w:rsidRDefault="00000000">
      <w:pPr>
        <w:pStyle w:val="EndnoteText"/>
        <w:spacing w:line="264" w:lineRule="auto"/>
        <w:rPr>
          <w:rFonts w:hint="eastAsia"/>
          <w:snapToGrid/>
          <w:spacing w:val="0"/>
        </w:rPr>
      </w:pPr>
      <w:r>
        <w:rPr>
          <w:rFonts w:hint="eastAsia"/>
          <w:b/>
          <w:snapToGrid/>
          <w:spacing w:val="0"/>
          <w:vertAlign w:val="superscript"/>
        </w:rPr>
        <w:t>52</w:t>
      </w:r>
      <w:r>
        <w:rPr>
          <w:rFonts w:hint="eastAsia"/>
          <w:snapToGrid/>
          <w:spacing w:val="0"/>
        </w:rPr>
        <w:tab/>
      </w:r>
      <w:r>
        <w:rPr>
          <w:rFonts w:hint="eastAsia"/>
          <w:snapToGrid/>
          <w:spacing w:val="0"/>
        </w:rPr>
        <w:t>社会阵线秘书处，社会指数综合系统。</w:t>
      </w:r>
    </w:p>
    <w:p w:rsidR="00000000" w:rsidRDefault="00000000">
      <w:pPr>
        <w:pStyle w:val="EndnoteText"/>
        <w:spacing w:line="264" w:lineRule="auto"/>
        <w:rPr>
          <w:rFonts w:hint="eastAsia"/>
          <w:snapToGrid/>
          <w:spacing w:val="0"/>
        </w:rPr>
      </w:pPr>
      <w:r>
        <w:rPr>
          <w:rFonts w:hint="eastAsia"/>
          <w:b/>
          <w:snapToGrid/>
          <w:spacing w:val="0"/>
          <w:vertAlign w:val="superscript"/>
        </w:rPr>
        <w:t>53</w:t>
      </w:r>
      <w:r>
        <w:rPr>
          <w:rFonts w:hint="eastAsia"/>
          <w:snapToGrid/>
          <w:spacing w:val="0"/>
        </w:rPr>
        <w:tab/>
      </w:r>
      <w:r>
        <w:rPr>
          <w:rFonts w:hint="eastAsia"/>
          <w:snapToGrid/>
          <w:spacing w:val="0"/>
        </w:rPr>
        <w:t>参见上文脚注</w:t>
      </w:r>
      <w:r>
        <w:rPr>
          <w:rFonts w:hint="eastAsia"/>
          <w:snapToGrid/>
          <w:spacing w:val="0"/>
        </w:rPr>
        <w:t>50</w:t>
      </w:r>
      <w:r>
        <w:rPr>
          <w:rFonts w:hint="eastAsia"/>
          <w:snapToGrid/>
          <w:spacing w:val="0"/>
        </w:rPr>
        <w:t>。</w:t>
      </w:r>
    </w:p>
    <w:p w:rsidR="00000000" w:rsidRDefault="00000000">
      <w:pPr>
        <w:pStyle w:val="EndnoteText"/>
        <w:spacing w:line="264" w:lineRule="auto"/>
        <w:rPr>
          <w:rFonts w:hint="eastAsia"/>
          <w:snapToGrid/>
          <w:spacing w:val="0"/>
        </w:rPr>
      </w:pPr>
      <w:r>
        <w:rPr>
          <w:rFonts w:hint="eastAsia"/>
          <w:b/>
          <w:snapToGrid/>
          <w:spacing w:val="0"/>
          <w:vertAlign w:val="superscript"/>
        </w:rPr>
        <w:t>54</w:t>
      </w:r>
      <w:r>
        <w:rPr>
          <w:rFonts w:hint="eastAsia"/>
          <w:snapToGrid/>
          <w:spacing w:val="0"/>
        </w:rPr>
        <w:tab/>
        <w:t>94</w:t>
      </w:r>
      <w:r>
        <w:rPr>
          <w:rFonts w:hint="eastAsia"/>
          <w:snapToGrid/>
          <w:spacing w:val="0"/>
        </w:rPr>
        <w:t>年调查。</w:t>
      </w:r>
    </w:p>
    <w:p w:rsidR="00000000" w:rsidRDefault="00000000">
      <w:pPr>
        <w:pStyle w:val="EndnoteText"/>
        <w:spacing w:line="264" w:lineRule="auto"/>
        <w:rPr>
          <w:rFonts w:hint="eastAsia"/>
          <w:snapToGrid/>
          <w:spacing w:val="0"/>
        </w:rPr>
      </w:pPr>
      <w:r>
        <w:rPr>
          <w:rFonts w:hint="eastAsia"/>
          <w:b/>
          <w:snapToGrid/>
          <w:spacing w:val="0"/>
          <w:vertAlign w:val="superscript"/>
        </w:rPr>
        <w:t>55</w:t>
      </w:r>
      <w:r>
        <w:rPr>
          <w:rFonts w:hint="eastAsia"/>
          <w:snapToGrid/>
          <w:spacing w:val="0"/>
        </w:rPr>
        <w:tab/>
        <w:t>99</w:t>
      </w:r>
      <w:r>
        <w:rPr>
          <w:rFonts w:hint="eastAsia"/>
          <w:snapToGrid/>
          <w:spacing w:val="0"/>
        </w:rPr>
        <w:t>年调查，初步报告。</w:t>
      </w:r>
    </w:p>
    <w:p w:rsidR="00000000" w:rsidRDefault="00000000">
      <w:pPr>
        <w:pStyle w:val="EndnoteText"/>
        <w:spacing w:line="264" w:lineRule="auto"/>
        <w:rPr>
          <w:rFonts w:hint="eastAsia"/>
          <w:snapToGrid/>
          <w:spacing w:val="0"/>
        </w:rPr>
      </w:pPr>
      <w:r>
        <w:rPr>
          <w:rFonts w:hint="eastAsia"/>
          <w:b/>
          <w:snapToGrid/>
          <w:spacing w:val="0"/>
          <w:vertAlign w:val="superscript"/>
        </w:rPr>
        <w:t>56</w:t>
      </w:r>
      <w:r>
        <w:rPr>
          <w:rFonts w:hint="eastAsia"/>
          <w:snapToGrid/>
          <w:spacing w:val="0"/>
        </w:rPr>
        <w:tab/>
      </w:r>
      <w:r>
        <w:rPr>
          <w:rFonts w:hint="eastAsia"/>
          <w:snapToGrid/>
          <w:spacing w:val="0"/>
        </w:rPr>
        <w:t>同上。</w:t>
      </w:r>
    </w:p>
    <w:p w:rsidR="00000000" w:rsidRDefault="00000000">
      <w:pPr>
        <w:pStyle w:val="EndnoteText"/>
        <w:spacing w:line="264" w:lineRule="auto"/>
        <w:rPr>
          <w:rFonts w:hint="eastAsia"/>
          <w:snapToGrid/>
          <w:spacing w:val="0"/>
        </w:rPr>
      </w:pPr>
      <w:r>
        <w:rPr>
          <w:rFonts w:hint="eastAsia"/>
          <w:b/>
          <w:snapToGrid/>
          <w:spacing w:val="0"/>
          <w:vertAlign w:val="superscript"/>
        </w:rPr>
        <w:t>57</w:t>
      </w:r>
      <w:r>
        <w:rPr>
          <w:rFonts w:hint="eastAsia"/>
          <w:snapToGrid/>
          <w:spacing w:val="0"/>
        </w:rPr>
        <w:tab/>
      </w:r>
      <w:r>
        <w:rPr>
          <w:rFonts w:hint="eastAsia"/>
          <w:snapToGrid/>
          <w:spacing w:val="0"/>
        </w:rPr>
        <w:t>国家统计局，</w:t>
      </w:r>
      <w:r>
        <w:rPr>
          <w:rFonts w:hint="eastAsia"/>
          <w:snapToGrid/>
          <w:spacing w:val="0"/>
        </w:rPr>
        <w:t>1994-1999</w:t>
      </w:r>
      <w:r>
        <w:rPr>
          <w:rFonts w:hint="eastAsia"/>
          <w:snapToGrid/>
          <w:spacing w:val="0"/>
        </w:rPr>
        <w:t>生活状况调查。</w:t>
      </w:r>
    </w:p>
    <w:p w:rsidR="00000000" w:rsidRDefault="00000000">
      <w:pPr>
        <w:pStyle w:val="EndnoteText"/>
        <w:spacing w:line="264" w:lineRule="auto"/>
        <w:rPr>
          <w:rFonts w:hint="eastAsia"/>
          <w:snapToGrid/>
          <w:spacing w:val="0"/>
        </w:rPr>
      </w:pPr>
      <w:r>
        <w:rPr>
          <w:rFonts w:hint="eastAsia"/>
          <w:b/>
          <w:snapToGrid/>
          <w:spacing w:val="0"/>
          <w:vertAlign w:val="superscript"/>
        </w:rPr>
        <w:t>58</w:t>
      </w:r>
      <w:r>
        <w:rPr>
          <w:rFonts w:hint="eastAsia"/>
          <w:snapToGrid/>
          <w:spacing w:val="0"/>
        </w:rPr>
        <w:tab/>
      </w:r>
      <w:r>
        <w:rPr>
          <w:rFonts w:hint="eastAsia"/>
          <w:snapToGrid/>
          <w:spacing w:val="0"/>
        </w:rPr>
        <w:t>国家生殖健康方案，公共卫生部，</w:t>
      </w:r>
      <w:r>
        <w:rPr>
          <w:rFonts w:hint="eastAsia"/>
          <w:snapToGrid/>
          <w:spacing w:val="0"/>
        </w:rPr>
        <w:t>1999</w:t>
      </w:r>
      <w:r>
        <w:rPr>
          <w:rFonts w:hint="eastAsia"/>
          <w:snapToGrid/>
          <w:spacing w:val="0"/>
        </w:rPr>
        <w:t>年。</w:t>
      </w:r>
    </w:p>
    <w:p w:rsidR="00000000" w:rsidRDefault="00000000">
      <w:pPr>
        <w:pStyle w:val="EndnoteText"/>
        <w:spacing w:line="264" w:lineRule="auto"/>
        <w:rPr>
          <w:rFonts w:hint="eastAsia"/>
          <w:snapToGrid/>
          <w:spacing w:val="0"/>
        </w:rPr>
      </w:pPr>
      <w:r>
        <w:rPr>
          <w:rFonts w:hint="eastAsia"/>
          <w:b/>
          <w:snapToGrid/>
          <w:spacing w:val="0"/>
          <w:vertAlign w:val="superscript"/>
        </w:rPr>
        <w:t>59</w:t>
      </w:r>
      <w:r>
        <w:rPr>
          <w:rFonts w:hint="eastAsia"/>
          <w:snapToGrid/>
          <w:spacing w:val="0"/>
        </w:rPr>
        <w:tab/>
      </w:r>
      <w:r>
        <w:rPr>
          <w:rFonts w:hint="eastAsia"/>
          <w:snapToGrid/>
          <w:spacing w:val="0"/>
        </w:rPr>
        <w:t>国家统计局，人口统计资料，</w:t>
      </w:r>
      <w:r>
        <w:rPr>
          <w:rFonts w:hint="eastAsia"/>
          <w:snapToGrid/>
          <w:spacing w:val="0"/>
        </w:rPr>
        <w:t>1997</w:t>
      </w:r>
      <w:r>
        <w:rPr>
          <w:rFonts w:hint="eastAsia"/>
          <w:snapToGrid/>
          <w:spacing w:val="0"/>
        </w:rPr>
        <w:t>年。</w:t>
      </w:r>
    </w:p>
    <w:p w:rsidR="00000000" w:rsidRDefault="00000000">
      <w:pPr>
        <w:pStyle w:val="EndnoteText"/>
        <w:spacing w:line="264" w:lineRule="auto"/>
        <w:rPr>
          <w:rFonts w:hint="eastAsia"/>
          <w:snapToGrid/>
          <w:spacing w:val="0"/>
        </w:rPr>
      </w:pPr>
      <w:r>
        <w:rPr>
          <w:rFonts w:hint="eastAsia"/>
          <w:b/>
          <w:snapToGrid/>
          <w:spacing w:val="0"/>
          <w:vertAlign w:val="superscript"/>
        </w:rPr>
        <w:t>60</w:t>
      </w:r>
      <w:r>
        <w:rPr>
          <w:rFonts w:hint="eastAsia"/>
          <w:snapToGrid/>
          <w:spacing w:val="0"/>
        </w:rPr>
        <w:tab/>
      </w:r>
      <w:r>
        <w:rPr>
          <w:rFonts w:hint="eastAsia"/>
          <w:snapToGrid/>
          <w:spacing w:val="0"/>
        </w:rPr>
        <w:t>公共卫生部，统计局，所提供服务。</w:t>
      </w:r>
    </w:p>
    <w:p w:rsidR="00000000" w:rsidRDefault="00000000">
      <w:pPr>
        <w:pStyle w:val="EndnoteText"/>
        <w:spacing w:line="264" w:lineRule="auto"/>
        <w:rPr>
          <w:rFonts w:hint="eastAsia"/>
          <w:snapToGrid/>
          <w:spacing w:val="0"/>
        </w:rPr>
      </w:pPr>
      <w:r>
        <w:rPr>
          <w:rFonts w:hint="eastAsia"/>
          <w:b/>
          <w:snapToGrid/>
          <w:spacing w:val="0"/>
          <w:vertAlign w:val="superscript"/>
        </w:rPr>
        <w:t>61</w:t>
      </w:r>
      <w:r>
        <w:rPr>
          <w:rFonts w:hint="eastAsia"/>
          <w:snapToGrid/>
          <w:spacing w:val="0"/>
        </w:rPr>
        <w:tab/>
        <w:t>99</w:t>
      </w:r>
      <w:r>
        <w:rPr>
          <w:rFonts w:hint="eastAsia"/>
          <w:snapToGrid/>
          <w:spacing w:val="0"/>
        </w:rPr>
        <w:t>年调查，初步报告。</w:t>
      </w:r>
    </w:p>
    <w:p w:rsidR="00000000" w:rsidRDefault="00000000">
      <w:pPr>
        <w:pStyle w:val="EndnoteText"/>
        <w:spacing w:line="264" w:lineRule="auto"/>
        <w:rPr>
          <w:rFonts w:hint="eastAsia"/>
          <w:spacing w:val="0"/>
        </w:rPr>
      </w:pPr>
      <w:r>
        <w:rPr>
          <w:rFonts w:hint="eastAsia"/>
          <w:b/>
          <w:snapToGrid/>
          <w:spacing w:val="0"/>
          <w:vertAlign w:val="superscript"/>
        </w:rPr>
        <w:t>62</w:t>
      </w:r>
      <w:r>
        <w:rPr>
          <w:rFonts w:hint="eastAsia"/>
          <w:snapToGrid/>
          <w:spacing w:val="0"/>
        </w:rPr>
        <w:tab/>
      </w:r>
      <w:r>
        <w:rPr>
          <w:rFonts w:hint="eastAsia"/>
          <w:spacing w:val="0"/>
        </w:rPr>
        <w:t>见</w:t>
      </w:r>
      <w:r>
        <w:rPr>
          <w:spacing w:val="0"/>
        </w:rPr>
        <w:t>A. Zabala B.</w:t>
      </w:r>
      <w:r>
        <w:rPr>
          <w:spacing w:val="0"/>
        </w:rPr>
        <w:t>，</w:t>
      </w:r>
      <w:r>
        <w:rPr>
          <w:spacing w:val="0"/>
        </w:rPr>
        <w:t xml:space="preserve"> </w:t>
      </w:r>
      <w:r>
        <w:rPr>
          <w:i/>
          <w:iCs/>
          <w:spacing w:val="0"/>
        </w:rPr>
        <w:t xml:space="preserve">Salud Mental entre la Crisis y la Esperanza - Salud Mental Indigena, </w:t>
      </w:r>
      <w:r>
        <w:rPr>
          <w:rFonts w:hint="eastAsia"/>
          <w:spacing w:val="0"/>
        </w:rPr>
        <w:t>公共卫生部。</w:t>
      </w:r>
    </w:p>
    <w:p w:rsidR="00000000" w:rsidRDefault="00000000">
      <w:pPr>
        <w:pStyle w:val="EndnoteText"/>
        <w:spacing w:line="264" w:lineRule="auto"/>
        <w:rPr>
          <w:rFonts w:hint="eastAsia"/>
          <w:spacing w:val="0"/>
        </w:rPr>
      </w:pPr>
      <w:r>
        <w:rPr>
          <w:rFonts w:hint="eastAsia"/>
          <w:b/>
          <w:spacing w:val="0"/>
          <w:vertAlign w:val="superscript"/>
        </w:rPr>
        <w:t>63</w:t>
      </w:r>
      <w:r>
        <w:rPr>
          <w:rFonts w:hint="eastAsia"/>
          <w:spacing w:val="0"/>
        </w:rPr>
        <w:tab/>
      </w:r>
      <w:r>
        <w:rPr>
          <w:rFonts w:hint="eastAsia"/>
          <w:spacing w:val="0"/>
        </w:rPr>
        <w:t>同上。</w:t>
      </w:r>
    </w:p>
    <w:p w:rsidR="00000000" w:rsidRDefault="00000000">
      <w:pPr>
        <w:pStyle w:val="EndnoteText"/>
        <w:spacing w:line="264" w:lineRule="auto"/>
        <w:rPr>
          <w:rFonts w:hint="eastAsia"/>
          <w:spacing w:val="0"/>
        </w:rPr>
      </w:pPr>
      <w:r>
        <w:rPr>
          <w:rFonts w:hint="eastAsia"/>
          <w:b/>
          <w:spacing w:val="0"/>
          <w:vertAlign w:val="superscript"/>
        </w:rPr>
        <w:t>64</w:t>
      </w:r>
      <w:r>
        <w:rPr>
          <w:rFonts w:hint="eastAsia"/>
          <w:spacing w:val="0"/>
        </w:rPr>
        <w:tab/>
      </w:r>
      <w:r>
        <w:rPr>
          <w:rFonts w:hint="eastAsia"/>
          <w:spacing w:val="0"/>
        </w:rPr>
        <w:t>公共卫生部，</w:t>
      </w:r>
      <w:r>
        <w:rPr>
          <w:spacing w:val="0"/>
        </w:rPr>
        <w:t>“Rol del Estado, Políticas Nacionales de Salud y Reforma Constitucional”</w:t>
      </w:r>
      <w:r>
        <w:rPr>
          <w:rFonts w:hint="eastAsia"/>
          <w:spacing w:val="0"/>
        </w:rPr>
        <w:t>。</w:t>
      </w:r>
    </w:p>
    <w:p w:rsidR="00000000" w:rsidRDefault="00000000">
      <w:pPr>
        <w:pStyle w:val="EndnoteText"/>
        <w:spacing w:line="264" w:lineRule="auto"/>
        <w:rPr>
          <w:rFonts w:hint="eastAsia"/>
          <w:spacing w:val="0"/>
        </w:rPr>
      </w:pPr>
      <w:r>
        <w:rPr>
          <w:rFonts w:hint="eastAsia"/>
          <w:b/>
          <w:bCs/>
          <w:spacing w:val="0"/>
          <w:vertAlign w:val="superscript"/>
        </w:rPr>
        <w:t>65</w:t>
      </w:r>
      <w:r>
        <w:rPr>
          <w:rFonts w:hint="eastAsia"/>
          <w:spacing w:val="0"/>
        </w:rPr>
        <w:tab/>
      </w:r>
      <w:r>
        <w:rPr>
          <w:rFonts w:hint="eastAsia"/>
          <w:spacing w:val="0"/>
        </w:rPr>
        <w:t>见</w:t>
      </w:r>
      <w:r>
        <w:rPr>
          <w:spacing w:val="0"/>
        </w:rPr>
        <w:t>J. Suárez, “Los proyectos locales de Promoción de la Salud”</w:t>
      </w:r>
      <w:r>
        <w:rPr>
          <w:spacing w:val="0"/>
        </w:rPr>
        <w:t>，</w:t>
      </w:r>
      <w:r>
        <w:rPr>
          <w:spacing w:val="0"/>
        </w:rPr>
        <w:t xml:space="preserve"> </w:t>
      </w:r>
      <w:r>
        <w:rPr>
          <w:i/>
          <w:iCs/>
          <w:spacing w:val="0"/>
        </w:rPr>
        <w:t>Boletín APS</w:t>
      </w:r>
      <w:r>
        <w:rPr>
          <w:spacing w:val="0"/>
        </w:rPr>
        <w:t xml:space="preserve"> No. 3,</w:t>
      </w:r>
      <w:r>
        <w:rPr>
          <w:rFonts w:hint="eastAsia"/>
          <w:spacing w:val="0"/>
        </w:rPr>
        <w:t>公共卫生部。</w:t>
      </w:r>
    </w:p>
    <w:p w:rsidR="00000000" w:rsidRDefault="00000000">
      <w:pPr>
        <w:pStyle w:val="EndnoteText"/>
        <w:spacing w:line="264" w:lineRule="auto"/>
        <w:rPr>
          <w:rFonts w:hint="eastAsia"/>
          <w:spacing w:val="0"/>
        </w:rPr>
      </w:pPr>
      <w:r>
        <w:rPr>
          <w:rFonts w:hint="eastAsia"/>
          <w:b/>
          <w:spacing w:val="0"/>
          <w:vertAlign w:val="superscript"/>
        </w:rPr>
        <w:t>66</w:t>
      </w:r>
      <w:r>
        <w:rPr>
          <w:rFonts w:hint="eastAsia"/>
          <w:spacing w:val="0"/>
        </w:rPr>
        <w:tab/>
      </w:r>
      <w:r>
        <w:rPr>
          <w:rFonts w:hint="eastAsia"/>
          <w:spacing w:val="0"/>
        </w:rPr>
        <w:t>见上文脚注</w:t>
      </w:r>
      <w:r>
        <w:rPr>
          <w:rFonts w:hint="eastAsia"/>
          <w:spacing w:val="0"/>
        </w:rPr>
        <w:t>4</w:t>
      </w:r>
      <w:r>
        <w:rPr>
          <w:rFonts w:hint="eastAsia"/>
          <w:spacing w:val="0"/>
        </w:rPr>
        <w:t>。</w:t>
      </w:r>
    </w:p>
    <w:p w:rsidR="00000000" w:rsidRDefault="00000000">
      <w:pPr>
        <w:pStyle w:val="EndnoteText"/>
        <w:spacing w:line="264" w:lineRule="auto"/>
        <w:rPr>
          <w:rFonts w:hint="eastAsia"/>
          <w:spacing w:val="0"/>
        </w:rPr>
      </w:pPr>
      <w:r>
        <w:rPr>
          <w:rFonts w:hint="eastAsia"/>
          <w:b/>
          <w:spacing w:val="0"/>
          <w:vertAlign w:val="superscript"/>
        </w:rPr>
        <w:t>67</w:t>
      </w:r>
      <w:r>
        <w:rPr>
          <w:rFonts w:hint="eastAsia"/>
          <w:spacing w:val="0"/>
        </w:rPr>
        <w:tab/>
      </w:r>
      <w:r>
        <w:rPr>
          <w:rFonts w:hint="eastAsia"/>
          <w:spacing w:val="0"/>
        </w:rPr>
        <w:t>公共卫生部，</w:t>
      </w:r>
      <w:r>
        <w:rPr>
          <w:rFonts w:hint="eastAsia"/>
          <w:spacing w:val="0"/>
        </w:rPr>
        <w:t>2000-2005</w:t>
      </w:r>
      <w:r>
        <w:rPr>
          <w:rFonts w:hint="eastAsia"/>
          <w:spacing w:val="0"/>
        </w:rPr>
        <w:t>年国家卫生计划。</w:t>
      </w:r>
    </w:p>
    <w:p w:rsidR="00000000" w:rsidRDefault="00000000">
      <w:pPr>
        <w:pStyle w:val="EndnoteText"/>
        <w:spacing w:line="264" w:lineRule="auto"/>
        <w:rPr>
          <w:rFonts w:hint="eastAsia"/>
          <w:spacing w:val="0"/>
        </w:rPr>
      </w:pPr>
      <w:r>
        <w:rPr>
          <w:rStyle w:val="EndnoteReference"/>
          <w:rFonts w:hint="eastAsia"/>
        </w:rPr>
        <w:t>68</w:t>
      </w:r>
      <w:r>
        <w:rPr>
          <w:spacing w:val="0"/>
        </w:rPr>
        <w:t xml:space="preserve"> </w:t>
      </w:r>
      <w:r>
        <w:rPr>
          <w:rFonts w:hint="eastAsia"/>
          <w:spacing w:val="0"/>
        </w:rPr>
        <w:tab/>
      </w:r>
      <w:r>
        <w:rPr>
          <w:rFonts w:hint="eastAsia"/>
          <w:spacing w:val="0"/>
        </w:rPr>
        <w:t>《宪法》</w:t>
      </w:r>
      <w:r>
        <w:rPr>
          <w:rFonts w:hint="eastAsia"/>
          <w:spacing w:val="0"/>
        </w:rPr>
        <w:t>(</w:t>
      </w:r>
      <w:r>
        <w:rPr>
          <w:rFonts w:hint="eastAsia"/>
          <w:spacing w:val="0"/>
        </w:rPr>
        <w:t>第</w:t>
      </w:r>
      <w:r>
        <w:rPr>
          <w:rFonts w:hint="eastAsia"/>
          <w:spacing w:val="0"/>
        </w:rPr>
        <w:t>66</w:t>
      </w:r>
      <w:r>
        <w:rPr>
          <w:rFonts w:hint="eastAsia"/>
          <w:spacing w:val="0"/>
        </w:rPr>
        <w:t>条</w:t>
      </w:r>
      <w:r>
        <w:rPr>
          <w:rFonts w:hint="eastAsia"/>
          <w:spacing w:val="0"/>
        </w:rPr>
        <w:t>)</w:t>
      </w:r>
      <w:r>
        <w:rPr>
          <w:rFonts w:hint="eastAsia"/>
          <w:spacing w:val="0"/>
        </w:rPr>
        <w:t>。</w:t>
      </w:r>
    </w:p>
    <w:p w:rsidR="00000000" w:rsidRDefault="00000000">
      <w:pPr>
        <w:pStyle w:val="EndnoteText"/>
        <w:spacing w:line="264" w:lineRule="auto"/>
        <w:rPr>
          <w:rFonts w:hint="eastAsia"/>
          <w:spacing w:val="0"/>
        </w:rPr>
      </w:pPr>
      <w:r>
        <w:rPr>
          <w:rStyle w:val="EndnoteReference"/>
          <w:rFonts w:hint="eastAsia"/>
        </w:rPr>
        <w:t>69</w:t>
      </w:r>
      <w:r>
        <w:rPr>
          <w:spacing w:val="0"/>
        </w:rPr>
        <w:t xml:space="preserve"> </w:t>
      </w:r>
      <w:r>
        <w:rPr>
          <w:rFonts w:hint="eastAsia"/>
          <w:spacing w:val="0"/>
        </w:rPr>
        <w:tab/>
      </w:r>
      <w:r>
        <w:rPr>
          <w:rFonts w:hint="eastAsia"/>
          <w:spacing w:val="0"/>
        </w:rPr>
        <w:t>国家统计所，《生活条件普查》，《统计丛刊》，</w:t>
      </w:r>
      <w:r>
        <w:rPr>
          <w:rFonts w:hint="eastAsia"/>
          <w:spacing w:val="0"/>
        </w:rPr>
        <w:t>1994-1999</w:t>
      </w:r>
      <w:r>
        <w:rPr>
          <w:rFonts w:hint="eastAsia"/>
          <w:spacing w:val="0"/>
        </w:rPr>
        <w:t>年。</w:t>
      </w:r>
    </w:p>
    <w:p w:rsidR="00000000" w:rsidRDefault="00000000">
      <w:pPr>
        <w:pStyle w:val="EndnoteText"/>
        <w:spacing w:line="264" w:lineRule="auto"/>
        <w:rPr>
          <w:rFonts w:hint="eastAsia"/>
          <w:spacing w:val="0"/>
        </w:rPr>
      </w:pPr>
      <w:r>
        <w:rPr>
          <w:rStyle w:val="EndnoteReference"/>
          <w:rFonts w:hint="eastAsia"/>
        </w:rPr>
        <w:t>70</w:t>
      </w:r>
      <w:r>
        <w:rPr>
          <w:spacing w:val="0"/>
        </w:rPr>
        <w:t xml:space="preserve"> </w:t>
      </w:r>
      <w:r>
        <w:rPr>
          <w:rFonts w:hint="eastAsia"/>
          <w:spacing w:val="0"/>
        </w:rPr>
        <w:tab/>
      </w:r>
      <w:r>
        <w:rPr>
          <w:rFonts w:hint="eastAsia"/>
          <w:spacing w:val="0"/>
        </w:rPr>
        <w:t>同上。</w:t>
      </w:r>
    </w:p>
    <w:p w:rsidR="00000000" w:rsidRDefault="00000000">
      <w:pPr>
        <w:pStyle w:val="EndnoteText"/>
        <w:spacing w:line="264" w:lineRule="auto"/>
        <w:rPr>
          <w:rFonts w:eastAsia="SimSun" w:hint="eastAsia"/>
          <w:spacing w:val="0"/>
        </w:rPr>
      </w:pPr>
      <w:r>
        <w:rPr>
          <w:rStyle w:val="EndnoteReference"/>
          <w:rFonts w:hint="eastAsia"/>
        </w:rPr>
        <w:t>71</w:t>
      </w:r>
      <w:r>
        <w:rPr>
          <w:spacing w:val="0"/>
        </w:rPr>
        <w:t xml:space="preserve"> </w:t>
      </w:r>
      <w:r>
        <w:rPr>
          <w:rFonts w:hint="eastAsia"/>
          <w:spacing w:val="0"/>
        </w:rPr>
        <w:tab/>
      </w:r>
      <w:r>
        <w:rPr>
          <w:rFonts w:hint="eastAsia"/>
          <w:spacing w:val="0"/>
        </w:rPr>
        <w:t>教育和文化部</w:t>
      </w:r>
      <w:r>
        <w:rPr>
          <w:rFonts w:eastAsia="SimSun" w:hint="eastAsia"/>
          <w:spacing w:val="-50"/>
        </w:rPr>
        <w:t>―</w:t>
      </w:r>
      <w:r>
        <w:rPr>
          <w:rFonts w:eastAsia="SimSun" w:hint="eastAsia"/>
          <w:spacing w:val="0"/>
        </w:rPr>
        <w:t>―</w:t>
      </w:r>
      <w:r>
        <w:rPr>
          <w:rFonts w:hint="eastAsia"/>
          <w:spacing w:val="0"/>
        </w:rPr>
        <w:t>友好网络方案。</w:t>
      </w:r>
    </w:p>
    <w:p w:rsidR="00000000" w:rsidRDefault="00000000">
      <w:pPr>
        <w:pStyle w:val="EndnoteText"/>
        <w:spacing w:line="264" w:lineRule="auto"/>
        <w:rPr>
          <w:rFonts w:hint="eastAsia"/>
          <w:spacing w:val="0"/>
        </w:rPr>
      </w:pPr>
      <w:r>
        <w:rPr>
          <w:rStyle w:val="EndnoteReference"/>
          <w:rFonts w:hint="eastAsia"/>
        </w:rPr>
        <w:t>72</w:t>
      </w:r>
      <w:r>
        <w:rPr>
          <w:spacing w:val="0"/>
        </w:rPr>
        <w:t xml:space="preserve"> </w:t>
      </w:r>
      <w:r>
        <w:rPr>
          <w:rFonts w:hint="eastAsia"/>
          <w:spacing w:val="0"/>
        </w:rPr>
        <w:tab/>
        <w:t>2001</w:t>
      </w:r>
      <w:r>
        <w:rPr>
          <w:rFonts w:hint="eastAsia"/>
          <w:spacing w:val="0"/>
        </w:rPr>
        <w:t>年</w:t>
      </w:r>
      <w:r>
        <w:rPr>
          <w:rFonts w:hint="eastAsia"/>
          <w:spacing w:val="0"/>
        </w:rPr>
        <w:t>11</w:t>
      </w:r>
      <w:r>
        <w:rPr>
          <w:rFonts w:hint="eastAsia"/>
          <w:spacing w:val="0"/>
        </w:rPr>
        <w:t>月</w:t>
      </w:r>
      <w:r>
        <w:rPr>
          <w:rFonts w:hint="eastAsia"/>
          <w:spacing w:val="0"/>
        </w:rPr>
        <w:t>21</w:t>
      </w:r>
      <w:r>
        <w:rPr>
          <w:rFonts w:hint="eastAsia"/>
          <w:spacing w:val="0"/>
        </w:rPr>
        <w:t>日全国人口普查。</w:t>
      </w:r>
    </w:p>
    <w:p w:rsidR="00000000" w:rsidRDefault="00000000">
      <w:pPr>
        <w:pStyle w:val="EndnoteText"/>
        <w:spacing w:line="264" w:lineRule="auto"/>
        <w:rPr>
          <w:rFonts w:hint="eastAsia"/>
          <w:spacing w:val="0"/>
        </w:rPr>
      </w:pPr>
      <w:r>
        <w:rPr>
          <w:rStyle w:val="EndnoteReference"/>
          <w:rFonts w:hint="eastAsia"/>
        </w:rPr>
        <w:t>73</w:t>
      </w:r>
      <w:r>
        <w:rPr>
          <w:spacing w:val="0"/>
        </w:rPr>
        <w:t xml:space="preserve"> </w:t>
      </w:r>
      <w:r>
        <w:rPr>
          <w:rFonts w:hint="eastAsia"/>
          <w:spacing w:val="0"/>
        </w:rPr>
        <w:tab/>
      </w:r>
      <w:r>
        <w:rPr>
          <w:rFonts w:hint="eastAsia"/>
          <w:spacing w:val="0"/>
        </w:rPr>
        <w:t>《厄瓜多尔全国社会发展计划》，</w:t>
      </w:r>
      <w:r>
        <w:rPr>
          <w:rFonts w:hint="eastAsia"/>
          <w:spacing w:val="0"/>
        </w:rPr>
        <w:t>1996-2005</w:t>
      </w:r>
      <w:r>
        <w:rPr>
          <w:rFonts w:hint="eastAsia"/>
          <w:spacing w:val="0"/>
        </w:rPr>
        <w:t>年，社会阵线秘书处。</w:t>
      </w:r>
    </w:p>
    <w:p w:rsidR="00000000" w:rsidRDefault="00000000">
      <w:pPr>
        <w:pStyle w:val="EndnoteText"/>
        <w:spacing w:line="264" w:lineRule="auto"/>
        <w:rPr>
          <w:rFonts w:hint="eastAsia"/>
          <w:spacing w:val="0"/>
        </w:rPr>
      </w:pPr>
      <w:r>
        <w:rPr>
          <w:rStyle w:val="EndnoteReference"/>
          <w:rFonts w:hint="eastAsia"/>
        </w:rPr>
        <w:t>74</w:t>
      </w:r>
      <w:r>
        <w:rPr>
          <w:spacing w:val="0"/>
        </w:rPr>
        <w:t xml:space="preserve"> </w:t>
      </w:r>
      <w:r>
        <w:rPr>
          <w:rFonts w:hint="eastAsia"/>
          <w:spacing w:val="0"/>
        </w:rPr>
        <w:tab/>
      </w:r>
      <w:r>
        <w:rPr>
          <w:rFonts w:hint="eastAsia"/>
          <w:spacing w:val="0"/>
        </w:rPr>
        <w:t>见《文化间双语教育统计年鉴》，</w:t>
      </w:r>
      <w:r>
        <w:rPr>
          <w:rFonts w:hint="eastAsia"/>
          <w:spacing w:val="0"/>
        </w:rPr>
        <w:t>1989-1998</w:t>
      </w:r>
      <w:r>
        <w:rPr>
          <w:rFonts w:hint="eastAsia"/>
          <w:spacing w:val="0"/>
        </w:rPr>
        <w:t>学年，教育和文化部</w:t>
      </w:r>
      <w:r>
        <w:rPr>
          <w:rFonts w:hint="eastAsia"/>
          <w:spacing w:val="0"/>
        </w:rPr>
        <w:t>EBI/GTC</w:t>
      </w:r>
      <w:r>
        <w:rPr>
          <w:rFonts w:hint="eastAsia"/>
          <w:spacing w:val="0"/>
        </w:rPr>
        <w:t>文化间双语教育部项目。</w:t>
      </w:r>
    </w:p>
    <w:p w:rsidR="00000000" w:rsidRDefault="00000000">
      <w:pPr>
        <w:pStyle w:val="EndnoteText"/>
        <w:spacing w:line="264" w:lineRule="auto"/>
        <w:rPr>
          <w:rFonts w:hint="eastAsia"/>
          <w:spacing w:val="0"/>
        </w:rPr>
      </w:pPr>
      <w:r>
        <w:rPr>
          <w:rStyle w:val="EndnoteReference"/>
          <w:rFonts w:hint="eastAsia"/>
        </w:rPr>
        <w:t>75</w:t>
      </w:r>
      <w:r>
        <w:rPr>
          <w:spacing w:val="0"/>
        </w:rPr>
        <w:t xml:space="preserve"> </w:t>
      </w:r>
      <w:r>
        <w:rPr>
          <w:rFonts w:hint="eastAsia"/>
          <w:spacing w:val="0"/>
        </w:rPr>
        <w:tab/>
      </w:r>
      <w:r>
        <w:rPr>
          <w:rFonts w:hint="eastAsia"/>
          <w:spacing w:val="0"/>
        </w:rPr>
        <w:t>同上。</w:t>
      </w:r>
    </w:p>
    <w:p w:rsidR="00000000" w:rsidRDefault="00000000">
      <w:pPr>
        <w:pStyle w:val="EndnoteText"/>
        <w:spacing w:line="264" w:lineRule="auto"/>
        <w:rPr>
          <w:rFonts w:hint="eastAsia"/>
          <w:spacing w:val="0"/>
        </w:rPr>
      </w:pPr>
      <w:r>
        <w:rPr>
          <w:rStyle w:val="EndnoteReference"/>
          <w:rFonts w:hint="eastAsia"/>
        </w:rPr>
        <w:t>76</w:t>
      </w:r>
      <w:r>
        <w:rPr>
          <w:spacing w:val="0"/>
        </w:rPr>
        <w:t xml:space="preserve"> </w:t>
      </w:r>
      <w:r>
        <w:rPr>
          <w:rFonts w:hint="eastAsia"/>
          <w:spacing w:val="0"/>
        </w:rPr>
        <w:tab/>
      </w:r>
      <w:r>
        <w:rPr>
          <w:rFonts w:hint="eastAsia"/>
          <w:spacing w:val="0"/>
        </w:rPr>
        <w:t>见上注</w:t>
      </w:r>
      <w:r>
        <w:rPr>
          <w:rFonts w:hint="eastAsia"/>
          <w:spacing w:val="0"/>
        </w:rPr>
        <w:t>73</w:t>
      </w:r>
      <w:r>
        <w:rPr>
          <w:rFonts w:hint="eastAsia"/>
          <w:spacing w:val="0"/>
        </w:rPr>
        <w:t>。</w:t>
      </w:r>
    </w:p>
    <w:p w:rsidR="00000000" w:rsidRDefault="00000000">
      <w:pPr>
        <w:pStyle w:val="EndnoteText"/>
        <w:spacing w:after="320"/>
        <w:rPr>
          <w:rFonts w:hint="eastAsia"/>
          <w:snapToGrid/>
          <w:spacing w:val="0"/>
        </w:rPr>
      </w:pPr>
    </w:p>
    <w:p w:rsidR="00000000" w:rsidRDefault="00000000">
      <w:pPr>
        <w:jc w:val="center"/>
        <w:rPr>
          <w:rFonts w:hint="eastAsia"/>
          <w:snapToGrid/>
        </w:rP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2</w:t>
          </w:r>
          <w:r>
            <w:t>-46409 (C)</w:t>
          </w:r>
        </w:p>
      </w:tc>
      <w:tc>
        <w:tcPr>
          <w:tcW w:w="1050" w:type="dxa"/>
        </w:tcPr>
        <w:p w:rsidR="00000000" w:rsidRDefault="00000000">
          <w:pPr>
            <w:pStyle w:val="Footer"/>
            <w:rPr>
              <w:rFonts w:hint="eastAsia"/>
            </w:rPr>
          </w:pPr>
          <w:r>
            <w:t>15070</w:t>
          </w:r>
          <w:r>
            <w:rPr>
              <w:rFonts w:hint="eastAsia"/>
            </w:rPr>
            <w:t>3</w:t>
          </w:r>
        </w:p>
      </w:tc>
      <w:tc>
        <w:tcPr>
          <w:tcW w:w="6061" w:type="dxa"/>
        </w:tcPr>
        <w:p w:rsidR="00000000" w:rsidRDefault="00000000">
          <w:pPr>
            <w:pStyle w:val="Footer"/>
            <w:rPr>
              <w:rFonts w:hint="eastAsia"/>
            </w:rPr>
          </w:pPr>
          <w:r>
            <w:rPr>
              <w:rFonts w:hint="eastAsia"/>
            </w:rPr>
            <w:t>2907</w:t>
          </w:r>
          <w:r>
            <w:t>0</w:t>
          </w:r>
          <w:r>
            <w:rPr>
              <w:rFonts w:hint="eastAsia"/>
            </w:rPr>
            <w:t>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EndnoteText"/>
        <w:rPr>
          <w:rFonts w:hint="eastAsia"/>
          <w:spacing w:val="0"/>
        </w:rPr>
      </w:pPr>
      <w:r>
        <w:rPr>
          <w:rStyle w:val="FootnoteReference"/>
          <w:vertAlign w:val="baseline"/>
        </w:rPr>
        <w:t>*</w:t>
      </w:r>
      <w:r>
        <w:rPr>
          <w:spacing w:val="0"/>
        </w:rPr>
        <w:t xml:space="preserve"> </w:t>
      </w:r>
      <w:r>
        <w:rPr>
          <w:rFonts w:hint="eastAsia"/>
          <w:spacing w:val="0"/>
        </w:rPr>
        <w:tab/>
      </w:r>
      <w:r>
        <w:rPr>
          <w:rFonts w:hint="eastAsia"/>
          <w:spacing w:val="0"/>
        </w:rPr>
        <w:t>厄瓜多尔政府提交的有关《公约》第六至九条、第十至十二条以及第十三至十五条所包括的权利的首次报告</w:t>
      </w:r>
      <w:r>
        <w:rPr>
          <w:rFonts w:hint="eastAsia"/>
          <w:spacing w:val="0"/>
        </w:rPr>
        <w:t>(</w:t>
      </w:r>
      <w:r>
        <w:rPr>
          <w:spacing w:val="0"/>
        </w:rPr>
        <w:t>E/1978/8/Add.1, E/1986/3/Add.14</w:t>
      </w:r>
      <w:r>
        <w:rPr>
          <w:rFonts w:hint="eastAsia"/>
          <w:spacing w:val="0"/>
        </w:rPr>
        <w:t>以及</w:t>
      </w:r>
      <w:r>
        <w:rPr>
          <w:spacing w:val="0"/>
        </w:rPr>
        <w:t>E/1988/5/Add.7</w:t>
      </w:r>
      <w:r>
        <w:rPr>
          <w:rFonts w:hint="eastAsia"/>
          <w:spacing w:val="0"/>
        </w:rPr>
        <w:t>)</w:t>
      </w:r>
      <w:r>
        <w:rPr>
          <w:rFonts w:hint="eastAsia"/>
          <w:spacing w:val="0"/>
        </w:rPr>
        <w:t>、以及关于《公约》第六至九条所包括的权利的第二份定期报告，已经由经社理事会政府专家工作组于</w:t>
      </w:r>
      <w:r>
        <w:rPr>
          <w:rFonts w:hint="eastAsia"/>
          <w:spacing w:val="0"/>
        </w:rPr>
        <w:t>1980</w:t>
      </w:r>
      <w:r>
        <w:rPr>
          <w:rFonts w:hint="eastAsia"/>
          <w:spacing w:val="0"/>
        </w:rPr>
        <w:t>年</w:t>
      </w:r>
      <w:r>
        <w:rPr>
          <w:rFonts w:hint="eastAsia"/>
          <w:spacing w:val="0"/>
        </w:rPr>
        <w:t>(</w:t>
      </w:r>
      <w:r>
        <w:rPr>
          <w:rFonts w:hint="eastAsia"/>
          <w:spacing w:val="0"/>
        </w:rPr>
        <w:t>见</w:t>
      </w:r>
      <w:r>
        <w:rPr>
          <w:spacing w:val="0"/>
        </w:rPr>
        <w:t>E/1980/WG.1/SR.4</w:t>
      </w:r>
      <w:r>
        <w:rPr>
          <w:rFonts w:hint="eastAsia"/>
          <w:spacing w:val="0"/>
        </w:rPr>
        <w:t>和</w:t>
      </w:r>
      <w:r>
        <w:rPr>
          <w:rFonts w:hint="eastAsia"/>
          <w:spacing w:val="0"/>
        </w:rPr>
        <w:t>5)1984</w:t>
      </w:r>
      <w:r>
        <w:rPr>
          <w:rFonts w:hint="eastAsia"/>
          <w:spacing w:val="0"/>
        </w:rPr>
        <w:t>年</w:t>
      </w:r>
      <w:r>
        <w:rPr>
          <w:rFonts w:hint="eastAsia"/>
          <w:spacing w:val="0"/>
        </w:rPr>
        <w:t>(</w:t>
      </w:r>
      <w:r>
        <w:rPr>
          <w:rFonts w:hint="eastAsia"/>
          <w:spacing w:val="0"/>
        </w:rPr>
        <w:t>见</w:t>
      </w:r>
      <w:r>
        <w:rPr>
          <w:rFonts w:hint="eastAsia"/>
          <w:spacing w:val="0"/>
        </w:rPr>
        <w:t>E/1984/WG.1/SR.20</w:t>
      </w:r>
      <w:r>
        <w:rPr>
          <w:rFonts w:hint="eastAsia"/>
          <w:spacing w:val="0"/>
        </w:rPr>
        <w:t>和</w:t>
      </w:r>
      <w:r>
        <w:rPr>
          <w:rFonts w:hint="eastAsia"/>
          <w:spacing w:val="0"/>
        </w:rPr>
        <w:t>22)</w:t>
      </w:r>
      <w:r>
        <w:rPr>
          <w:rFonts w:hint="eastAsia"/>
          <w:spacing w:val="0"/>
        </w:rPr>
        <w:t>，以及经济、社会和文化权利委员会</w:t>
      </w:r>
      <w:r>
        <w:rPr>
          <w:rFonts w:hint="eastAsia"/>
          <w:spacing w:val="0"/>
        </w:rPr>
        <w:t>1990</w:t>
      </w:r>
      <w:r>
        <w:rPr>
          <w:rFonts w:hint="eastAsia"/>
          <w:spacing w:val="0"/>
        </w:rPr>
        <w:t>年第五届会议</w:t>
      </w:r>
      <w:r>
        <w:rPr>
          <w:rFonts w:hint="eastAsia"/>
          <w:spacing w:val="0"/>
        </w:rPr>
        <w:t>(</w:t>
      </w:r>
      <w:r>
        <w:rPr>
          <w:rFonts w:hint="eastAsia"/>
          <w:spacing w:val="0"/>
        </w:rPr>
        <w:t>见</w:t>
      </w:r>
      <w:r>
        <w:rPr>
          <w:spacing w:val="0"/>
        </w:rPr>
        <w:t>E/</w:t>
      </w:r>
      <w:r>
        <w:rPr>
          <w:rFonts w:hint="eastAsia"/>
          <w:spacing w:val="0"/>
        </w:rPr>
        <w:t>C</w:t>
      </w:r>
      <w:r>
        <w:rPr>
          <w:spacing w:val="0"/>
        </w:rPr>
        <w:t>.12/1990/SR.37-3</w:t>
      </w:r>
      <w:r>
        <w:rPr>
          <w:rFonts w:hint="eastAsia"/>
          <w:spacing w:val="0"/>
        </w:rPr>
        <w:t>9</w:t>
      </w:r>
      <w:r>
        <w:rPr>
          <w:rFonts w:hint="eastAsia"/>
          <w:spacing w:val="0"/>
        </w:rPr>
        <w:t>和</w:t>
      </w:r>
      <w:r>
        <w:rPr>
          <w:rFonts w:hint="eastAsia"/>
          <w:spacing w:val="0"/>
        </w:rPr>
        <w:t>42</w:t>
      </w:r>
      <w:r>
        <w:rPr>
          <w:rFonts w:hint="eastAsia"/>
          <w:spacing w:val="0"/>
        </w:rPr>
        <w:t>号文件</w:t>
      </w:r>
      <w:r>
        <w:rPr>
          <w:rFonts w:hint="eastAsia"/>
          <w:spacing w:val="0"/>
        </w:rPr>
        <w:t>)</w:t>
      </w:r>
      <w:r>
        <w:rPr>
          <w:rFonts w:hint="eastAsia"/>
          <w:spacing w:val="0"/>
        </w:rPr>
        <w:t>，分别予以审议。</w:t>
      </w:r>
    </w:p>
  </w:footnote>
  <w:footnote w:id="2">
    <w:p w:rsidR="00000000" w:rsidRDefault="00000000">
      <w:pPr>
        <w:pStyle w:val="FootnoteText"/>
        <w:spacing w:after="160"/>
        <w:rPr>
          <w:spacing w:val="0"/>
        </w:rPr>
      </w:pPr>
      <w:r>
        <w:rPr>
          <w:rStyle w:val="FootnoteReference"/>
          <w:b w:val="0"/>
          <w:bCs/>
          <w:vertAlign w:val="baseline"/>
        </w:rPr>
        <w:t>**</w:t>
      </w:r>
      <w:r>
        <w:rPr>
          <w:spacing w:val="0"/>
        </w:rPr>
        <w:t xml:space="preserve"> </w:t>
      </w:r>
      <w:r>
        <w:rPr>
          <w:spacing w:val="0"/>
        </w:rPr>
        <w:tab/>
      </w:r>
      <w:r>
        <w:rPr>
          <w:rFonts w:hint="eastAsia"/>
          <w:spacing w:val="0"/>
        </w:rPr>
        <w:t>根据有关缔约国报告的初始部分的综合指南而提交的资料载于核心文件</w:t>
      </w:r>
      <w:r>
        <w:rPr>
          <w:rFonts w:hint="eastAsia"/>
          <w:spacing w:val="0"/>
        </w:rPr>
        <w:t>(</w:t>
      </w:r>
      <w:r>
        <w:rPr>
          <w:spacing w:val="0"/>
        </w:rPr>
        <w:t>HRI/CORE/</w:t>
      </w:r>
      <w:r>
        <w:rPr>
          <w:rFonts w:hint="eastAsia"/>
          <w:spacing w:val="0"/>
        </w:rPr>
        <w:t>1</w:t>
      </w:r>
      <w:r>
        <w:rPr>
          <w:spacing w:val="0"/>
        </w:rPr>
        <w:t>/Add.7</w:t>
      </w:r>
      <w:r>
        <w:rPr>
          <w:rFonts w:hint="eastAsia"/>
          <w:spacing w:val="0"/>
        </w:rPr>
        <w:t>)</w:t>
      </w:r>
      <w:r>
        <w:rPr>
          <w:rFonts w:hint="eastAsia"/>
          <w:spacing w:val="0"/>
        </w:rPr>
        <w:t>。</w:t>
      </w:r>
    </w:p>
    <w:p w:rsidR="00000000" w:rsidRDefault="00000000">
      <w:pPr>
        <w:pStyle w:val="FootnoteText"/>
        <w:spacing w:after="16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E/1990/6/Add.36</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E/1990/6/Add.36</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E/1990/6/Add.36</w:t>
                </w:r>
              </w:p>
              <w:p w:rsidR="00000000" w:rsidRDefault="00000000">
                <w:pPr>
                  <w:pStyle w:val="Header"/>
                </w:pPr>
                <w:r>
                  <w:t>20 December 2002</w:t>
                </w:r>
              </w:p>
              <w:p w:rsidR="00000000" w:rsidRDefault="00000000">
                <w:pPr>
                  <w:pStyle w:val="Header"/>
                </w:pPr>
                <w:r>
                  <w:t>CHINESE</w:t>
                </w:r>
              </w:p>
              <w:p w:rsidR="00000000" w:rsidRDefault="00000000">
                <w:pPr>
                  <w:pStyle w:val="Header"/>
                </w:pPr>
                <w:r>
                  <w:t>Original:</w:t>
                </w:r>
                <w:r>
                  <w:tab/>
                  <w:t>SPANISH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47F04EFE"/>
    <w:lvl w:ilvl="0">
      <w:start w:val="1"/>
      <w:numFmt w:val="bullet"/>
      <w:lvlText w:val=""/>
      <w:lvlJc w:val="left"/>
      <w:pPr>
        <w:tabs>
          <w:tab w:val="num" w:pos="360"/>
        </w:tabs>
        <w:ind w:left="360" w:hanging="360"/>
      </w:pPr>
      <w:rPr>
        <w:rFonts w:ascii="Symbol" w:hAnsi="Symbol" w:hint="default"/>
      </w:rPr>
    </w:lvl>
  </w:abstractNum>
  <w:abstractNum w:abstractNumId="10">
    <w:nsid w:val="00155AEF"/>
    <w:multiLevelType w:val="hybridMultilevel"/>
    <w:tmpl w:val="7814177E"/>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0737411"/>
    <w:multiLevelType w:val="hybridMultilevel"/>
    <w:tmpl w:val="088E89D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0C22DF6"/>
    <w:multiLevelType w:val="hybridMultilevel"/>
    <w:tmpl w:val="0360D4D8"/>
    <w:lvl w:ilvl="0" w:tplc="65328E8C">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16">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03E46AF4"/>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08414EBC"/>
    <w:multiLevelType w:val="hybridMultilevel"/>
    <w:tmpl w:val="84EA772E"/>
    <w:lvl w:ilvl="0" w:tplc="C236347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21">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22">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B480A40"/>
    <w:multiLevelType w:val="singleLevel"/>
    <w:tmpl w:val="E7BCB06A"/>
    <w:lvl w:ilvl="0">
      <w:start w:val="1"/>
      <w:numFmt w:val="chineseCountingThousand"/>
      <w:lvlText w:val="(%1)"/>
      <w:legacy w:legacy="1" w:legacySpace="0" w:legacyIndent="510"/>
      <w:lvlJc w:val="left"/>
      <w:pPr>
        <w:ind w:left="1531" w:hanging="510"/>
      </w:pPr>
    </w:lvl>
  </w:abstractNum>
  <w:abstractNum w:abstractNumId="2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0F4F7546"/>
    <w:multiLevelType w:val="hybridMultilevel"/>
    <w:tmpl w:val="A5E4AD6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11C43F62"/>
    <w:multiLevelType w:val="hybridMultilevel"/>
    <w:tmpl w:val="87FEA866"/>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34">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5">
    <w:nsid w:val="12D51BC2"/>
    <w:multiLevelType w:val="hybridMultilevel"/>
    <w:tmpl w:val="37286F42"/>
    <w:lvl w:ilvl="0" w:tplc="C236347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2FC73EC"/>
    <w:multiLevelType w:val="hybridMultilevel"/>
    <w:tmpl w:val="CCBAA230"/>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4E97250"/>
    <w:multiLevelType w:val="hybridMultilevel"/>
    <w:tmpl w:val="9404E83C"/>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5907CAA"/>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15C849FC"/>
    <w:multiLevelType w:val="hybridMultilevel"/>
    <w:tmpl w:val="2494B29A"/>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620735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166B3763"/>
    <w:multiLevelType w:val="hybridMultilevel"/>
    <w:tmpl w:val="FCD2B28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170C549E"/>
    <w:multiLevelType w:val="singleLevel"/>
    <w:tmpl w:val="01325DD6"/>
    <w:lvl w:ilvl="0">
      <w:start w:val="1"/>
      <w:numFmt w:val="lowerLetter"/>
      <w:lvlText w:val="(%1)"/>
      <w:lvlJc w:val="left"/>
      <w:pPr>
        <w:tabs>
          <w:tab w:val="num" w:pos="720"/>
        </w:tabs>
        <w:ind w:left="720" w:hanging="720"/>
      </w:pPr>
    </w:lvl>
  </w:abstractNum>
  <w:abstractNum w:abstractNumId="4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179C67F1"/>
    <w:multiLevelType w:val="hybridMultilevel"/>
    <w:tmpl w:val="AE707FD4"/>
    <w:lvl w:ilvl="0" w:tplc="1C3A1E7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47">
    <w:nsid w:val="18EB25CA"/>
    <w:multiLevelType w:val="singleLevel"/>
    <w:tmpl w:val="5C4C31B6"/>
    <w:lvl w:ilvl="0">
      <w:start w:val="1"/>
      <w:numFmt w:val="lowerLetter"/>
      <w:lvlText w:val="(%1)"/>
      <w:legacy w:legacy="1" w:legacySpace="0" w:legacyIndent="425"/>
      <w:lvlJc w:val="left"/>
      <w:pPr>
        <w:ind w:left="1446" w:hanging="425"/>
      </w:pPr>
    </w:lvl>
  </w:abstractNum>
  <w:abstractNum w:abstractNumId="48">
    <w:nsid w:val="19191056"/>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19B85F8B"/>
    <w:multiLevelType w:val="singleLevel"/>
    <w:tmpl w:val="5C4C31B6"/>
    <w:lvl w:ilvl="0">
      <w:start w:val="1"/>
      <w:numFmt w:val="lowerLetter"/>
      <w:lvlText w:val="(%1)"/>
      <w:legacy w:legacy="1" w:legacySpace="0" w:legacyIndent="425"/>
      <w:lvlJc w:val="left"/>
      <w:pPr>
        <w:ind w:left="1446" w:hanging="425"/>
      </w:pPr>
    </w:lvl>
  </w:abstractNum>
  <w:abstractNum w:abstractNumId="50">
    <w:nsid w:val="1A6B2DCD"/>
    <w:multiLevelType w:val="hybridMultilevel"/>
    <w:tmpl w:val="A48E6A48"/>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1C371A00"/>
    <w:multiLevelType w:val="hybridMultilevel"/>
    <w:tmpl w:val="2F12350A"/>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53">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1EEF645F"/>
    <w:multiLevelType w:val="hybridMultilevel"/>
    <w:tmpl w:val="AA74BC16"/>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1F426513"/>
    <w:multiLevelType w:val="hybridMultilevel"/>
    <w:tmpl w:val="C2F267DA"/>
    <w:lvl w:ilvl="0" w:tplc="138412C4">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56">
    <w:nsid w:val="1F652D3C"/>
    <w:multiLevelType w:val="hybridMultilevel"/>
    <w:tmpl w:val="2A72C208"/>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1FD0219D"/>
    <w:multiLevelType w:val="hybridMultilevel"/>
    <w:tmpl w:val="7C60DA8A"/>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21310ECF"/>
    <w:multiLevelType w:val="hybridMultilevel"/>
    <w:tmpl w:val="B1D6EE3A"/>
    <w:lvl w:ilvl="0" w:tplc="66A4FBE2">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2861BC1"/>
    <w:multiLevelType w:val="hybridMultilevel"/>
    <w:tmpl w:val="E9EE010C"/>
    <w:lvl w:ilvl="0" w:tplc="C236347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64">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26862EF7"/>
    <w:multiLevelType w:val="hybridMultilevel"/>
    <w:tmpl w:val="E14A634C"/>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29525B1E"/>
    <w:multiLevelType w:val="hybridMultilevel"/>
    <w:tmpl w:val="D3469DAA"/>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2B3F49C6"/>
    <w:multiLevelType w:val="singleLevel"/>
    <w:tmpl w:val="993C2E68"/>
    <w:lvl w:ilvl="0">
      <w:start w:val="1"/>
      <w:numFmt w:val="lowerRoman"/>
      <w:lvlText w:val="(%1)"/>
      <w:lvlJc w:val="right"/>
      <w:pPr>
        <w:tabs>
          <w:tab w:val="num" w:pos="2160"/>
        </w:tabs>
        <w:ind w:left="2160" w:hanging="516"/>
      </w:pPr>
      <w:rPr>
        <w:rFonts w:hint="default"/>
        <w:b w:val="0"/>
        <w:i w:val="0"/>
      </w:rPr>
    </w:lvl>
  </w:abstractNum>
  <w:abstractNum w:abstractNumId="69">
    <w:nsid w:val="2EFF268A"/>
    <w:multiLevelType w:val="hybridMultilevel"/>
    <w:tmpl w:val="50C63E46"/>
    <w:lvl w:ilvl="0" w:tplc="2670E3AC">
      <w:start w:val="1"/>
      <w:numFmt w:val="bullet"/>
      <w:lvlRestart w:val="0"/>
      <w:lvlText w:val="–"/>
      <w:lvlJc w:val="left"/>
      <w:pPr>
        <w:tabs>
          <w:tab w:val="num" w:pos="0"/>
        </w:tabs>
        <w:ind w:left="1531" w:hanging="51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F2F59D4"/>
    <w:multiLevelType w:val="hybridMultilevel"/>
    <w:tmpl w:val="BF6E5AF8"/>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2F9F21ED"/>
    <w:multiLevelType w:val="hybridMultilevel"/>
    <w:tmpl w:val="6B528012"/>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302A75A7"/>
    <w:multiLevelType w:val="singleLevel"/>
    <w:tmpl w:val="3496DD40"/>
    <w:lvl w:ilvl="0">
      <w:start w:val="1"/>
      <w:numFmt w:val="decimal"/>
      <w:lvlText w:val="(%1)"/>
      <w:lvlJc w:val="left"/>
      <w:pPr>
        <w:tabs>
          <w:tab w:val="num" w:pos="1440"/>
        </w:tabs>
        <w:ind w:left="1440" w:hanging="720"/>
      </w:pPr>
    </w:lvl>
  </w:abstractNum>
  <w:abstractNum w:abstractNumId="73">
    <w:nsid w:val="30933FC6"/>
    <w:multiLevelType w:val="singleLevel"/>
    <w:tmpl w:val="5C4C31B6"/>
    <w:lvl w:ilvl="0">
      <w:start w:val="1"/>
      <w:numFmt w:val="lowerLetter"/>
      <w:lvlText w:val="(%1)"/>
      <w:legacy w:legacy="1" w:legacySpace="0" w:legacyIndent="425"/>
      <w:lvlJc w:val="left"/>
      <w:pPr>
        <w:ind w:left="1446" w:hanging="425"/>
      </w:pPr>
    </w:lvl>
  </w:abstractNum>
  <w:abstractNum w:abstractNumId="74">
    <w:nsid w:val="31787CFA"/>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32157DB3"/>
    <w:multiLevelType w:val="hybridMultilevel"/>
    <w:tmpl w:val="2CE006CA"/>
    <w:lvl w:ilvl="0" w:tplc="8ED02AF2">
      <w:start w:val="12"/>
      <w:numFmt w:val="decimal"/>
      <w:lvlText w:val="%1."/>
      <w:lvlJc w:val="left"/>
      <w:pPr>
        <w:tabs>
          <w:tab w:val="num" w:pos="927"/>
        </w:tabs>
        <w:ind w:left="0" w:firstLine="567"/>
      </w:pPr>
      <w:rPr>
        <w:rFonts w:ascii="Times New Roman" w:hAnsi="Times New Roman" w:hint="default"/>
        <w:b w:val="0"/>
        <w:i w:val="0"/>
        <w:snapToGrid w:val="0"/>
        <w:color w:val="FF0000"/>
        <w:spacing w:val="0"/>
        <w:ker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77">
    <w:nsid w:val="3390494B"/>
    <w:multiLevelType w:val="hybridMultilevel"/>
    <w:tmpl w:val="F0C2DFD6"/>
    <w:lvl w:ilvl="0" w:tplc="66A4FBE2">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79">
    <w:nsid w:val="33E4799F"/>
    <w:multiLevelType w:val="hybridMultilevel"/>
    <w:tmpl w:val="31389C26"/>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33F74C12"/>
    <w:multiLevelType w:val="hybridMultilevel"/>
    <w:tmpl w:val="416A0650"/>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82">
    <w:nsid w:val="351D4898"/>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36255761"/>
    <w:multiLevelType w:val="singleLevel"/>
    <w:tmpl w:val="0409000F"/>
    <w:lvl w:ilvl="0">
      <w:start w:val="1"/>
      <w:numFmt w:val="decimal"/>
      <w:lvlText w:val="%1."/>
      <w:lvlJc w:val="left"/>
      <w:pPr>
        <w:tabs>
          <w:tab w:val="num" w:pos="360"/>
        </w:tabs>
        <w:ind w:left="360" w:hanging="360"/>
      </w:pPr>
    </w:lvl>
  </w:abstractNum>
  <w:abstractNum w:abstractNumId="84">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5">
    <w:nsid w:val="38794117"/>
    <w:multiLevelType w:val="hybridMultilevel"/>
    <w:tmpl w:val="AEC2F04A"/>
    <w:lvl w:ilvl="0" w:tplc="BC048C74">
      <w:start w:val="1"/>
      <w:numFmt w:val="lowerLetter"/>
      <w:lvlRestart w:val="0"/>
      <w:lvlText w:val="(%1)"/>
      <w:lvlJc w:val="right"/>
      <w:pPr>
        <w:tabs>
          <w:tab w:val="num" w:pos="1531"/>
        </w:tabs>
        <w:ind w:left="1531" w:hanging="227"/>
      </w:pPr>
      <w:rPr>
        <w:rFonts w:ascii="Times New Roman" w:hAnsi="Times New Roman" w:hint="default"/>
        <w:b w:val="0"/>
        <w:i w:val="0"/>
        <w:color w:val="00000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87">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88">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89">
    <w:nsid w:val="3A4E7148"/>
    <w:multiLevelType w:val="hybridMultilevel"/>
    <w:tmpl w:val="68028DD2"/>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3A6A2D20"/>
    <w:multiLevelType w:val="hybridMultilevel"/>
    <w:tmpl w:val="E6E2003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3B223C69"/>
    <w:multiLevelType w:val="hybridMultilevel"/>
    <w:tmpl w:val="9286A90A"/>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3C69370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94">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95">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6">
    <w:nsid w:val="3DC32EBE"/>
    <w:multiLevelType w:val="hybridMultilevel"/>
    <w:tmpl w:val="DC7E86EA"/>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3E5922E9"/>
    <w:multiLevelType w:val="singleLevel"/>
    <w:tmpl w:val="5C4C31B6"/>
    <w:lvl w:ilvl="0">
      <w:start w:val="1"/>
      <w:numFmt w:val="lowerLetter"/>
      <w:lvlText w:val="(%1)"/>
      <w:legacy w:legacy="1" w:legacySpace="0" w:legacyIndent="425"/>
      <w:lvlJc w:val="left"/>
      <w:pPr>
        <w:ind w:left="1446" w:hanging="425"/>
      </w:pPr>
    </w:lvl>
  </w:abstractNum>
  <w:abstractNum w:abstractNumId="98">
    <w:nsid w:val="40221049"/>
    <w:multiLevelType w:val="singleLevel"/>
    <w:tmpl w:val="04D4B0C4"/>
    <w:lvl w:ilvl="0">
      <w:start w:val="1"/>
      <w:numFmt w:val="decimal"/>
      <w:lvlText w:val="%1."/>
      <w:lvlJc w:val="left"/>
      <w:pPr>
        <w:tabs>
          <w:tab w:val="num" w:pos="360"/>
        </w:tabs>
        <w:ind w:left="360" w:hanging="360"/>
      </w:pPr>
    </w:lvl>
  </w:abstractNum>
  <w:abstractNum w:abstractNumId="99">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100">
    <w:nsid w:val="42DD5E10"/>
    <w:multiLevelType w:val="hybridMultilevel"/>
    <w:tmpl w:val="C6843F34"/>
    <w:lvl w:ilvl="0" w:tplc="374242F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102">
    <w:nsid w:val="4427500C"/>
    <w:multiLevelType w:val="hybridMultilevel"/>
    <w:tmpl w:val="6346DBA2"/>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452D144C"/>
    <w:multiLevelType w:val="singleLevel"/>
    <w:tmpl w:val="7C4C0A7C"/>
    <w:lvl w:ilvl="0">
      <w:start w:val="1"/>
      <w:numFmt w:val="decimal"/>
      <w:lvlText w:val="(%1)"/>
      <w:lvlJc w:val="left"/>
      <w:pPr>
        <w:tabs>
          <w:tab w:val="num" w:pos="720"/>
        </w:tabs>
        <w:ind w:left="720" w:hanging="720"/>
      </w:pPr>
    </w:lvl>
  </w:abstractNum>
  <w:abstractNum w:abstractNumId="104">
    <w:nsid w:val="453A0C69"/>
    <w:multiLevelType w:val="hybridMultilevel"/>
    <w:tmpl w:val="85B017B6"/>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4573113B"/>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10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8">
    <w:nsid w:val="47C643A1"/>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09">
    <w:nsid w:val="48291074"/>
    <w:multiLevelType w:val="hybridMultilevel"/>
    <w:tmpl w:val="BF187BE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2">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3">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4AB83939"/>
    <w:multiLevelType w:val="hybridMultilevel"/>
    <w:tmpl w:val="D9C61836"/>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11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117">
    <w:nsid w:val="4DF44E37"/>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18">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119">
    <w:nsid w:val="4EFA2598"/>
    <w:multiLevelType w:val="singleLevel"/>
    <w:tmpl w:val="0409000F"/>
    <w:lvl w:ilvl="0">
      <w:start w:val="1"/>
      <w:numFmt w:val="decimal"/>
      <w:lvlText w:val="%1."/>
      <w:lvlJc w:val="left"/>
      <w:pPr>
        <w:tabs>
          <w:tab w:val="num" w:pos="360"/>
        </w:tabs>
        <w:ind w:left="360" w:hanging="360"/>
      </w:pPr>
    </w:lvl>
  </w:abstractNum>
  <w:abstractNum w:abstractNumId="120">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1">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12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123">
    <w:nsid w:val="507C6342"/>
    <w:multiLevelType w:val="hybridMultilevel"/>
    <w:tmpl w:val="50B83248"/>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125">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26">
    <w:nsid w:val="51DD496C"/>
    <w:multiLevelType w:val="hybridMultilevel"/>
    <w:tmpl w:val="E36659DA"/>
    <w:lvl w:ilvl="0" w:tplc="A0FEAC68">
      <w:start w:val="1"/>
      <w:numFmt w:val="lowerLetter"/>
      <w:lvlRestart w:val="0"/>
      <w:lvlText w:val="(%1)"/>
      <w:lvlJc w:val="right"/>
      <w:pPr>
        <w:tabs>
          <w:tab w:val="num" w:pos="1531"/>
        </w:tabs>
        <w:ind w:left="1531" w:hanging="227"/>
      </w:pPr>
      <w:rPr>
        <w:rFonts w:ascii="Times New Roman" w:hAnsi="Times New Roman"/>
        <w:b w:val="0"/>
        <w:i w:val="0"/>
        <w:sz w:val="24"/>
      </w:rPr>
    </w:lvl>
    <w:lvl w:ilvl="1" w:tplc="7D26B32A">
      <w:start w:val="1"/>
      <w:numFmt w:val="chineseCountingThousand"/>
      <w:lvlRestart w:val="0"/>
      <w:lvlText w:val="(%2)"/>
      <w:lvlJc w:val="right"/>
      <w:pPr>
        <w:tabs>
          <w:tab w:val="num" w:pos="1250"/>
        </w:tabs>
        <w:ind w:left="1250" w:hanging="170"/>
      </w:pPr>
      <w:rPr>
        <w:rFonts w:ascii="Times New Roman" w:hAnsi="Times New Roman"/>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51F43763"/>
    <w:multiLevelType w:val="hybridMultilevel"/>
    <w:tmpl w:val="10C232B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2304890"/>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9">
    <w:nsid w:val="530D56E0"/>
    <w:multiLevelType w:val="singleLevel"/>
    <w:tmpl w:val="90B28824"/>
    <w:lvl w:ilvl="0">
      <w:start w:val="1"/>
      <w:numFmt w:val="lowerLetter"/>
      <w:lvlText w:val="(%1)"/>
      <w:lvlJc w:val="left"/>
      <w:pPr>
        <w:tabs>
          <w:tab w:val="num" w:pos="1020"/>
        </w:tabs>
        <w:ind w:left="0" w:firstLine="0"/>
      </w:pPr>
      <w:rPr>
        <w:rFonts w:ascii="Times New Roman" w:hAnsi="Times New Roman" w:hint="default"/>
      </w:rPr>
    </w:lvl>
  </w:abstractNum>
  <w:abstractNum w:abstractNumId="130">
    <w:nsid w:val="54016864"/>
    <w:multiLevelType w:val="hybridMultilevel"/>
    <w:tmpl w:val="354E6B40"/>
    <w:lvl w:ilvl="0" w:tplc="66A4FBE2">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32">
    <w:nsid w:val="557D6A27"/>
    <w:multiLevelType w:val="singleLevel"/>
    <w:tmpl w:val="5C4C31B6"/>
    <w:lvl w:ilvl="0">
      <w:start w:val="1"/>
      <w:numFmt w:val="lowerLetter"/>
      <w:lvlText w:val="(%1)"/>
      <w:legacy w:legacy="1" w:legacySpace="0" w:legacyIndent="425"/>
      <w:lvlJc w:val="left"/>
      <w:pPr>
        <w:ind w:left="1446" w:hanging="425"/>
      </w:pPr>
    </w:lvl>
  </w:abstractNum>
  <w:abstractNum w:abstractNumId="133">
    <w:nsid w:val="567F03A3"/>
    <w:multiLevelType w:val="hybridMultilevel"/>
    <w:tmpl w:val="6B04F63C"/>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35">
    <w:nsid w:val="57E6619E"/>
    <w:multiLevelType w:val="hybridMultilevel"/>
    <w:tmpl w:val="894EDCA8"/>
    <w:lvl w:ilvl="0" w:tplc="C2363472">
      <w:start w:val="1"/>
      <w:numFmt w:val="lowerLetter"/>
      <w:lvlRestart w:val="0"/>
      <w:lvlText w:val="(%1)"/>
      <w:lvlJc w:val="right"/>
      <w:pPr>
        <w:tabs>
          <w:tab w:val="num" w:pos="2552"/>
        </w:tabs>
        <w:ind w:left="2552" w:hanging="227"/>
      </w:pPr>
      <w:rPr>
        <w:rFonts w:ascii="Times New Roman" w:hAnsi="Times New Roman" w:hint="eastAsia"/>
        <w:b w:val="0"/>
        <w:i w:val="0"/>
        <w:sz w:val="24"/>
      </w:rPr>
    </w:lvl>
    <w:lvl w:ilvl="1" w:tplc="04090019" w:tentative="1">
      <w:start w:val="1"/>
      <w:numFmt w:val="lowerLetter"/>
      <w:lvlText w:val="%2."/>
      <w:lvlJc w:val="left"/>
      <w:pPr>
        <w:tabs>
          <w:tab w:val="num" w:pos="2461"/>
        </w:tabs>
        <w:ind w:left="2461" w:hanging="360"/>
      </w:pPr>
    </w:lvl>
    <w:lvl w:ilvl="2" w:tplc="0409001B">
      <w:start w:val="1"/>
      <w:numFmt w:val="lowerRoman"/>
      <w:lvlText w:val="%3."/>
      <w:lvlJc w:val="right"/>
      <w:pPr>
        <w:tabs>
          <w:tab w:val="num" w:pos="3181"/>
        </w:tabs>
        <w:ind w:left="3181" w:hanging="180"/>
      </w:p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136">
    <w:nsid w:val="589C30B0"/>
    <w:multiLevelType w:val="singleLevel"/>
    <w:tmpl w:val="E7BCB06A"/>
    <w:lvl w:ilvl="0">
      <w:start w:val="1"/>
      <w:numFmt w:val="chineseCountingThousand"/>
      <w:lvlText w:val="(%1)"/>
      <w:legacy w:legacy="1" w:legacySpace="0" w:legacyIndent="510"/>
      <w:lvlJc w:val="left"/>
      <w:pPr>
        <w:ind w:left="1531" w:hanging="510"/>
      </w:pPr>
    </w:lvl>
  </w:abstractNum>
  <w:abstractNum w:abstractNumId="137">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1">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42">
    <w:nsid w:val="5C421DE9"/>
    <w:multiLevelType w:val="singleLevel"/>
    <w:tmpl w:val="E7BCB06A"/>
    <w:lvl w:ilvl="0">
      <w:start w:val="1"/>
      <w:numFmt w:val="chineseCountingThousand"/>
      <w:lvlText w:val="(%1)"/>
      <w:legacy w:legacy="1" w:legacySpace="0" w:legacyIndent="510"/>
      <w:lvlJc w:val="left"/>
      <w:pPr>
        <w:ind w:left="1531" w:hanging="510"/>
      </w:pPr>
    </w:lvl>
  </w:abstractNum>
  <w:abstractNum w:abstractNumId="14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4">
    <w:nsid w:val="5C4D4FDC"/>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5">
    <w:nsid w:val="5C700773"/>
    <w:multiLevelType w:val="hybridMultilevel"/>
    <w:tmpl w:val="E93AFF0A"/>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7">
    <w:nsid w:val="5D0002F8"/>
    <w:multiLevelType w:val="hybridMultilevel"/>
    <w:tmpl w:val="3C444CF0"/>
    <w:lvl w:ilvl="0" w:tplc="C2363472">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9">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50">
    <w:nsid w:val="5DE6165A"/>
    <w:multiLevelType w:val="hybridMultilevel"/>
    <w:tmpl w:val="5C88517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5EAA74DE"/>
    <w:multiLevelType w:val="hybridMultilevel"/>
    <w:tmpl w:val="50C63E46"/>
    <w:lvl w:ilvl="0" w:tplc="2670E3AC">
      <w:start w:val="1"/>
      <w:numFmt w:val="bullet"/>
      <w:lvlRestart w:val="0"/>
      <w:lvlText w:val="–"/>
      <w:lvlJc w:val="left"/>
      <w:pPr>
        <w:tabs>
          <w:tab w:val="num" w:pos="0"/>
        </w:tabs>
        <w:ind w:left="1531" w:hanging="51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5EB35287"/>
    <w:multiLevelType w:val="hybridMultilevel"/>
    <w:tmpl w:val="BC407FC0"/>
    <w:lvl w:ilvl="0" w:tplc="66A4FBE2">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54">
    <w:nsid w:val="5F3F4DE7"/>
    <w:multiLevelType w:val="hybridMultilevel"/>
    <w:tmpl w:val="9AECBA2E"/>
    <w:lvl w:ilvl="0" w:tplc="BC048C74">
      <w:start w:val="1"/>
      <w:numFmt w:val="lowerLetter"/>
      <w:lvlRestart w:val="0"/>
      <w:lvlText w:val="(%1)"/>
      <w:lvlJc w:val="right"/>
      <w:pPr>
        <w:tabs>
          <w:tab w:val="num" w:pos="1531"/>
        </w:tabs>
        <w:ind w:left="1531" w:hanging="227"/>
      </w:pPr>
      <w:rPr>
        <w:rFonts w:ascii="Times New Roman" w:hAnsi="Times New Roman" w:hint="default"/>
        <w:b w:val="0"/>
        <w:i w:val="0"/>
        <w:color w:val="00000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61E009EC"/>
    <w:multiLevelType w:val="hybridMultilevel"/>
    <w:tmpl w:val="BF18B174"/>
    <w:lvl w:ilvl="0" w:tplc="44DACF72">
      <w:start w:val="1"/>
      <w:numFmt w:val="bullet"/>
      <w:lvlRestart w:val="0"/>
      <w:lvlText w:val="–"/>
      <w:lvlJc w:val="left"/>
      <w:pPr>
        <w:tabs>
          <w:tab w:val="num" w:pos="0"/>
        </w:tabs>
        <w:ind w:left="1531" w:hanging="511"/>
      </w:pPr>
      <w:rPr>
        <w:rFonts w:ascii="SimSun" w:eastAsia="SimSun" w:hAnsi="Symbol" w:hint="eastAsia"/>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7">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58">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59">
    <w:nsid w:val="6499056E"/>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0">
    <w:nsid w:val="65A12192"/>
    <w:multiLevelType w:val="multilevel"/>
    <w:tmpl w:val="407A0E30"/>
    <w:lvl w:ilvl="0">
      <w:start w:val="1"/>
      <w:numFmt w:val="upperRoman"/>
      <w:lvlText w:val="%1."/>
      <w:lvlJc w:val="left"/>
      <w:pPr>
        <w:tabs>
          <w:tab w:val="num" w:pos="-720"/>
        </w:tabs>
        <w:ind w:left="-1440" w:firstLine="0"/>
      </w:pPr>
      <w:rPr>
        <w:rFonts w:hint="default"/>
      </w:rPr>
    </w:lvl>
    <w:lvl w:ilvl="1">
      <w:start w:val="1"/>
      <w:numFmt w:val="none"/>
      <w:lvlText w:val="%2"/>
      <w:lvlJc w:val="left"/>
      <w:pPr>
        <w:tabs>
          <w:tab w:val="num" w:pos="-360"/>
        </w:tabs>
        <w:ind w:left="-720" w:firstLine="0"/>
      </w:pPr>
      <w:rPr>
        <w:rFonts w:hint="default"/>
      </w:rPr>
    </w:lvl>
    <w:lvl w:ilvl="2">
      <w:start w:val="1"/>
      <w:numFmt w:val="decimal"/>
      <w:lvlText w:val="%3."/>
      <w:lvlJc w:val="left"/>
      <w:pPr>
        <w:tabs>
          <w:tab w:val="num" w:pos="360"/>
        </w:tabs>
        <w:ind w:left="0" w:firstLine="0"/>
      </w:pPr>
      <w:rPr>
        <w:rFonts w:hint="default"/>
      </w:rPr>
    </w:lvl>
    <w:lvl w:ilvl="3">
      <w:start w:val="1"/>
      <w:numFmt w:val="lowerLetter"/>
      <w:lvlRestart w:val="1"/>
      <w:lvlText w:val="(%4)"/>
      <w:lvlJc w:val="left"/>
      <w:pPr>
        <w:tabs>
          <w:tab w:val="num" w:pos="1080"/>
        </w:tabs>
        <w:ind w:left="720" w:firstLine="0"/>
      </w:pPr>
      <w:rPr>
        <w:rFonts w:hint="default"/>
      </w:rPr>
    </w:lvl>
    <w:lvl w:ilvl="4">
      <w:start w:val="1"/>
      <w:numFmt w:val="decimal"/>
      <w:lvlText w:val="(%5)"/>
      <w:lvlJc w:val="left"/>
      <w:pPr>
        <w:tabs>
          <w:tab w:val="num" w:pos="1800"/>
        </w:tabs>
        <w:ind w:left="1440" w:firstLine="0"/>
      </w:pPr>
      <w:rPr>
        <w:rFonts w:hint="default"/>
      </w:rPr>
    </w:lvl>
    <w:lvl w:ilvl="5">
      <w:start w:val="1"/>
      <w:numFmt w:val="lowerLetter"/>
      <w:lvlText w:val="(%6)"/>
      <w:lvlJc w:val="left"/>
      <w:pPr>
        <w:tabs>
          <w:tab w:val="num" w:pos="2520"/>
        </w:tabs>
        <w:ind w:left="2160" w:firstLine="0"/>
      </w:pPr>
      <w:rPr>
        <w:rFonts w:hint="default"/>
      </w:rPr>
    </w:lvl>
    <w:lvl w:ilvl="6">
      <w:start w:val="1"/>
      <w:numFmt w:val="lowerRoman"/>
      <w:lvlText w:val="(%7)"/>
      <w:lvlJc w:val="left"/>
      <w:pPr>
        <w:tabs>
          <w:tab w:val="num" w:pos="3240"/>
        </w:tabs>
        <w:ind w:left="2880" w:firstLine="0"/>
      </w:pPr>
      <w:rPr>
        <w:rFonts w:hint="default"/>
      </w:rPr>
    </w:lvl>
    <w:lvl w:ilvl="7">
      <w:start w:val="1"/>
      <w:numFmt w:val="lowerLetter"/>
      <w:lvlText w:val="(%8)"/>
      <w:lvlJc w:val="left"/>
      <w:pPr>
        <w:tabs>
          <w:tab w:val="num" w:pos="3960"/>
        </w:tabs>
        <w:ind w:left="3600" w:firstLine="0"/>
      </w:pPr>
      <w:rPr>
        <w:rFonts w:hint="default"/>
      </w:rPr>
    </w:lvl>
    <w:lvl w:ilvl="8">
      <w:start w:val="1"/>
      <w:numFmt w:val="lowerRoman"/>
      <w:lvlText w:val="(%9)"/>
      <w:lvlJc w:val="left"/>
      <w:pPr>
        <w:tabs>
          <w:tab w:val="num" w:pos="4680"/>
        </w:tabs>
        <w:ind w:left="4320" w:firstLine="0"/>
      </w:pPr>
      <w:rPr>
        <w:rFonts w:hint="default"/>
      </w:rPr>
    </w:lvl>
  </w:abstractNum>
  <w:abstractNum w:abstractNumId="161">
    <w:nsid w:val="65D15DFE"/>
    <w:multiLevelType w:val="singleLevel"/>
    <w:tmpl w:val="475E6D3C"/>
    <w:lvl w:ilvl="0">
      <w:start w:val="1"/>
      <w:numFmt w:val="decimal"/>
      <w:lvlText w:val="%1."/>
      <w:lvlJc w:val="left"/>
      <w:pPr>
        <w:tabs>
          <w:tab w:val="num" w:pos="360"/>
        </w:tabs>
        <w:ind w:left="360" w:hanging="360"/>
      </w:pPr>
    </w:lvl>
  </w:abstractNum>
  <w:abstractNum w:abstractNumId="162">
    <w:nsid w:val="669A7479"/>
    <w:multiLevelType w:val="hybridMultilevel"/>
    <w:tmpl w:val="4628F38A"/>
    <w:lvl w:ilvl="0" w:tplc="BC048C74">
      <w:start w:val="1"/>
      <w:numFmt w:val="lowerLetter"/>
      <w:lvlRestart w:val="0"/>
      <w:lvlText w:val="(%1)"/>
      <w:lvlJc w:val="right"/>
      <w:pPr>
        <w:tabs>
          <w:tab w:val="num" w:pos="1531"/>
        </w:tabs>
        <w:ind w:left="1531" w:hanging="227"/>
      </w:pPr>
      <w:rPr>
        <w:rFonts w:ascii="Times New Roman" w:hAnsi="Times New Roman" w:hint="default"/>
        <w:b w:val="0"/>
        <w:i w:val="0"/>
        <w:color w:val="00000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64">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5">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66">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67">
    <w:nsid w:val="6B4F7F89"/>
    <w:multiLevelType w:val="multilevel"/>
    <w:tmpl w:val="D7347498"/>
    <w:lvl w:ilvl="0">
      <w:start w:val="1"/>
      <w:numFmt w:val="none"/>
      <w:lvlText w:val=""/>
      <w:lvlJc w:val="left"/>
      <w:pPr>
        <w:tabs>
          <w:tab w:val="num" w:pos="-1080"/>
        </w:tabs>
        <w:ind w:left="-1440" w:firstLine="0"/>
      </w:pPr>
      <w:rPr>
        <w:rFonts w:hint="default"/>
      </w:rPr>
    </w:lvl>
    <w:lvl w:ilvl="1">
      <w:start w:val="1"/>
      <w:numFmt w:val="none"/>
      <w:lvlRestart w:val="0"/>
      <w:suff w:val="space"/>
      <w:lvlText w:val=""/>
      <w:lvlJc w:val="left"/>
      <w:pPr>
        <w:ind w:left="-720" w:firstLine="0"/>
      </w:pPr>
      <w:rPr>
        <w:rFonts w:hint="default"/>
      </w:rPr>
    </w:lvl>
    <w:lvl w:ilvl="2">
      <w:start w:val="1"/>
      <w:numFmt w:val="decimal"/>
      <w:lvlText w:val="%3."/>
      <w:lvlJc w:val="left"/>
      <w:pPr>
        <w:tabs>
          <w:tab w:val="num" w:pos="360"/>
        </w:tabs>
        <w:ind w:left="0" w:firstLine="0"/>
      </w:pPr>
      <w:rPr>
        <w:rFonts w:hint="default"/>
      </w:rPr>
    </w:lvl>
    <w:lvl w:ilvl="3">
      <w:start w:val="1"/>
      <w:numFmt w:val="lowerLetter"/>
      <w:lvlRestart w:val="1"/>
      <w:lvlText w:val="(%4)"/>
      <w:lvlJc w:val="left"/>
      <w:pPr>
        <w:tabs>
          <w:tab w:val="num" w:pos="1080"/>
        </w:tabs>
        <w:ind w:left="720" w:firstLine="0"/>
      </w:pPr>
      <w:rPr>
        <w:rFonts w:hint="default"/>
      </w:rPr>
    </w:lvl>
    <w:lvl w:ilvl="4">
      <w:start w:val="1"/>
      <w:numFmt w:val="decimal"/>
      <w:lvlText w:val="(%5)"/>
      <w:lvlJc w:val="left"/>
      <w:pPr>
        <w:tabs>
          <w:tab w:val="num" w:pos="1800"/>
        </w:tabs>
        <w:ind w:left="1440" w:firstLine="0"/>
      </w:pPr>
      <w:rPr>
        <w:rFonts w:hint="default"/>
      </w:rPr>
    </w:lvl>
    <w:lvl w:ilvl="5">
      <w:start w:val="1"/>
      <w:numFmt w:val="lowerLetter"/>
      <w:lvlText w:val="(%6)"/>
      <w:lvlJc w:val="left"/>
      <w:pPr>
        <w:tabs>
          <w:tab w:val="num" w:pos="2520"/>
        </w:tabs>
        <w:ind w:left="2160" w:firstLine="0"/>
      </w:pPr>
      <w:rPr>
        <w:rFonts w:hint="default"/>
      </w:rPr>
    </w:lvl>
    <w:lvl w:ilvl="6">
      <w:start w:val="1"/>
      <w:numFmt w:val="lowerRoman"/>
      <w:lvlText w:val="(%7)"/>
      <w:lvlJc w:val="left"/>
      <w:pPr>
        <w:tabs>
          <w:tab w:val="num" w:pos="3240"/>
        </w:tabs>
        <w:ind w:left="2880" w:firstLine="0"/>
      </w:pPr>
      <w:rPr>
        <w:rFonts w:hint="default"/>
      </w:rPr>
    </w:lvl>
    <w:lvl w:ilvl="7">
      <w:start w:val="1"/>
      <w:numFmt w:val="lowerLetter"/>
      <w:lvlText w:val="(%8)"/>
      <w:lvlJc w:val="left"/>
      <w:pPr>
        <w:tabs>
          <w:tab w:val="num" w:pos="3960"/>
        </w:tabs>
        <w:ind w:left="3600" w:firstLine="0"/>
      </w:pPr>
      <w:rPr>
        <w:rFonts w:hint="default"/>
      </w:rPr>
    </w:lvl>
    <w:lvl w:ilvl="8">
      <w:start w:val="1"/>
      <w:numFmt w:val="lowerRoman"/>
      <w:lvlText w:val="(%9)"/>
      <w:lvlJc w:val="left"/>
      <w:pPr>
        <w:tabs>
          <w:tab w:val="num" w:pos="4680"/>
        </w:tabs>
        <w:ind w:left="4320" w:firstLine="0"/>
      </w:pPr>
      <w:rPr>
        <w:rFonts w:hint="default"/>
      </w:rPr>
    </w:lvl>
  </w:abstractNum>
  <w:abstractNum w:abstractNumId="168">
    <w:nsid w:val="6C02514D"/>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9">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0">
    <w:nsid w:val="6E3D5A40"/>
    <w:multiLevelType w:val="hybridMultilevel"/>
    <w:tmpl w:val="145EDE94"/>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6F055564"/>
    <w:multiLevelType w:val="hybridMultilevel"/>
    <w:tmpl w:val="4F8289A2"/>
    <w:lvl w:ilvl="0" w:tplc="1C3A1E7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707877CF"/>
    <w:multiLevelType w:val="hybridMultilevel"/>
    <w:tmpl w:val="0100C7AE"/>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4">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5">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6">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7">
    <w:nsid w:val="745A6EA9"/>
    <w:multiLevelType w:val="singleLevel"/>
    <w:tmpl w:val="E7BCB06A"/>
    <w:lvl w:ilvl="0">
      <w:start w:val="1"/>
      <w:numFmt w:val="chineseCountingThousand"/>
      <w:lvlText w:val="(%1)"/>
      <w:legacy w:legacy="1" w:legacySpace="0" w:legacyIndent="510"/>
      <w:lvlJc w:val="left"/>
      <w:pPr>
        <w:ind w:left="1531" w:hanging="510"/>
      </w:pPr>
    </w:lvl>
  </w:abstractNum>
  <w:abstractNum w:abstractNumId="178">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79">
    <w:nsid w:val="762F3A98"/>
    <w:multiLevelType w:val="hybridMultilevel"/>
    <w:tmpl w:val="498874EC"/>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nsid w:val="765316D2"/>
    <w:multiLevelType w:val="hybridMultilevel"/>
    <w:tmpl w:val="7AD6D00E"/>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76FD29C3"/>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2">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4">
    <w:nsid w:val="780939D2"/>
    <w:multiLevelType w:val="hybridMultilevel"/>
    <w:tmpl w:val="D4FA320E"/>
    <w:lvl w:ilvl="0" w:tplc="A056873C">
      <w:start w:val="1"/>
      <w:numFmt w:val="chineseCountingThousand"/>
      <w:lvlRestart w:val="0"/>
      <w:lvlText w:val="(%1)"/>
      <w:lvlJc w:val="right"/>
      <w:pPr>
        <w:tabs>
          <w:tab w:val="num" w:pos="1474"/>
        </w:tabs>
        <w:ind w:left="1474" w:hanging="170"/>
      </w:pPr>
      <w:rPr>
        <w:rFonts w:ascii="Times New Roman" w:hAnsi="Times New Roman" w:hint="eastAsia"/>
        <w:sz w:val="20"/>
      </w:rPr>
    </w:lvl>
    <w:lvl w:ilvl="1" w:tplc="04090019" w:tentative="1">
      <w:start w:val="1"/>
      <w:numFmt w:val="lowerLetter"/>
      <w:lvlText w:val="%2."/>
      <w:lvlJc w:val="left"/>
      <w:pPr>
        <w:tabs>
          <w:tab w:val="num" w:pos="1383"/>
        </w:tabs>
        <w:ind w:left="1383" w:hanging="360"/>
      </w:pPr>
    </w:lvl>
    <w:lvl w:ilvl="2" w:tplc="0409001B" w:tentative="1">
      <w:start w:val="1"/>
      <w:numFmt w:val="lowerRoman"/>
      <w:lvlText w:val="%3."/>
      <w:lvlJc w:val="right"/>
      <w:pPr>
        <w:tabs>
          <w:tab w:val="num" w:pos="2103"/>
        </w:tabs>
        <w:ind w:left="2103" w:hanging="180"/>
      </w:pPr>
    </w:lvl>
    <w:lvl w:ilvl="3" w:tplc="0409000F" w:tentative="1">
      <w:start w:val="1"/>
      <w:numFmt w:val="decimal"/>
      <w:lvlText w:val="%4."/>
      <w:lvlJc w:val="left"/>
      <w:pPr>
        <w:tabs>
          <w:tab w:val="num" w:pos="2823"/>
        </w:tabs>
        <w:ind w:left="2823" w:hanging="360"/>
      </w:pPr>
    </w:lvl>
    <w:lvl w:ilvl="4" w:tplc="04090019" w:tentative="1">
      <w:start w:val="1"/>
      <w:numFmt w:val="lowerLetter"/>
      <w:lvlText w:val="%5."/>
      <w:lvlJc w:val="left"/>
      <w:pPr>
        <w:tabs>
          <w:tab w:val="num" w:pos="3543"/>
        </w:tabs>
        <w:ind w:left="3543" w:hanging="360"/>
      </w:pPr>
    </w:lvl>
    <w:lvl w:ilvl="5" w:tplc="0409001B" w:tentative="1">
      <w:start w:val="1"/>
      <w:numFmt w:val="lowerRoman"/>
      <w:lvlText w:val="%6."/>
      <w:lvlJc w:val="right"/>
      <w:pPr>
        <w:tabs>
          <w:tab w:val="num" w:pos="4263"/>
        </w:tabs>
        <w:ind w:left="4263" w:hanging="180"/>
      </w:pPr>
    </w:lvl>
    <w:lvl w:ilvl="6" w:tplc="0409000F" w:tentative="1">
      <w:start w:val="1"/>
      <w:numFmt w:val="decimal"/>
      <w:lvlText w:val="%7."/>
      <w:lvlJc w:val="left"/>
      <w:pPr>
        <w:tabs>
          <w:tab w:val="num" w:pos="4983"/>
        </w:tabs>
        <w:ind w:left="4983" w:hanging="360"/>
      </w:pPr>
    </w:lvl>
    <w:lvl w:ilvl="7" w:tplc="04090019" w:tentative="1">
      <w:start w:val="1"/>
      <w:numFmt w:val="lowerLetter"/>
      <w:lvlText w:val="%8."/>
      <w:lvlJc w:val="left"/>
      <w:pPr>
        <w:tabs>
          <w:tab w:val="num" w:pos="5703"/>
        </w:tabs>
        <w:ind w:left="5703" w:hanging="360"/>
      </w:pPr>
    </w:lvl>
    <w:lvl w:ilvl="8" w:tplc="0409001B" w:tentative="1">
      <w:start w:val="1"/>
      <w:numFmt w:val="lowerRoman"/>
      <w:lvlText w:val="%9."/>
      <w:lvlJc w:val="right"/>
      <w:pPr>
        <w:tabs>
          <w:tab w:val="num" w:pos="6423"/>
        </w:tabs>
        <w:ind w:left="6423" w:hanging="180"/>
      </w:pPr>
    </w:lvl>
  </w:abstractNum>
  <w:abstractNum w:abstractNumId="185">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86">
    <w:nsid w:val="7ACA643D"/>
    <w:multiLevelType w:val="singleLevel"/>
    <w:tmpl w:val="0409000F"/>
    <w:lvl w:ilvl="0">
      <w:start w:val="1"/>
      <w:numFmt w:val="decimal"/>
      <w:lvlText w:val="%1."/>
      <w:lvlJc w:val="left"/>
      <w:pPr>
        <w:tabs>
          <w:tab w:val="num" w:pos="360"/>
        </w:tabs>
        <w:ind w:left="360" w:hanging="360"/>
      </w:pPr>
    </w:lvl>
  </w:abstractNum>
  <w:abstractNum w:abstractNumId="187">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88">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89">
    <w:nsid w:val="7C4B28A3"/>
    <w:multiLevelType w:val="hybridMultilevel"/>
    <w:tmpl w:val="50C63E46"/>
    <w:lvl w:ilvl="0" w:tplc="5EAA3E9A">
      <w:start w:val="1"/>
      <w:numFmt w:val="bullet"/>
      <w:lvlRestart w:val="0"/>
      <w:lvlText w:val="-"/>
      <w:lvlJc w:val="left"/>
      <w:pPr>
        <w:tabs>
          <w:tab w:val="num" w:pos="0"/>
        </w:tabs>
        <w:ind w:left="1531" w:hanging="511"/>
      </w:pPr>
      <w:rPr>
        <w:rFonts w:ascii="SimSun" w:eastAsia="SimSun" w:hAnsi="Symbol" w:hint="eastAsia"/>
      </w:rPr>
    </w:lvl>
    <w:lvl w:ilvl="1" w:tplc="66A4FBE2">
      <w:start w:val="1"/>
      <w:numFmt w:val="lowerLetter"/>
      <w:lvlRestart w:val="0"/>
      <w:lvlText w:val="(%2)"/>
      <w:lvlJc w:val="left"/>
      <w:pPr>
        <w:tabs>
          <w:tab w:val="num" w:pos="60"/>
        </w:tabs>
        <w:ind w:left="1591" w:hanging="511"/>
      </w:pPr>
      <w:rPr>
        <w:u w:val="no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7C535792"/>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92">
    <w:nsid w:val="7D836CBF"/>
    <w:multiLevelType w:val="hybridMultilevel"/>
    <w:tmpl w:val="0100C7AE"/>
    <w:lvl w:ilvl="0" w:tplc="861C770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93">
    <w:nsid w:val="7DBF6B58"/>
    <w:multiLevelType w:val="singleLevel"/>
    <w:tmpl w:val="0409000F"/>
    <w:lvl w:ilvl="0">
      <w:start w:val="1"/>
      <w:numFmt w:val="decimal"/>
      <w:lvlText w:val="%1."/>
      <w:lvlJc w:val="left"/>
      <w:pPr>
        <w:tabs>
          <w:tab w:val="num" w:pos="360"/>
        </w:tabs>
        <w:ind w:left="360" w:hanging="360"/>
      </w:pPr>
    </w:lvl>
  </w:abstractNum>
  <w:abstractNum w:abstractNumId="194">
    <w:nsid w:val="7DC95337"/>
    <w:multiLevelType w:val="singleLevel"/>
    <w:tmpl w:val="0E9A6C52"/>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5">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6">
    <w:nsid w:val="7E2223F5"/>
    <w:multiLevelType w:val="hybridMultilevel"/>
    <w:tmpl w:val="5B64825A"/>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198">
    <w:nsid w:val="7F0F4127"/>
    <w:multiLevelType w:val="hybridMultilevel"/>
    <w:tmpl w:val="55C6F4EC"/>
    <w:lvl w:ilvl="0" w:tplc="A0EAD0F6">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2"/>
  </w:num>
  <w:num w:numId="2">
    <w:abstractNumId w:val="87"/>
  </w:num>
  <w:num w:numId="3">
    <w:abstractNumId w:val="78"/>
  </w:num>
  <w:num w:numId="4">
    <w:abstractNumId w:val="76"/>
  </w:num>
  <w:num w:numId="5">
    <w:abstractNumId w:val="20"/>
  </w:num>
  <w:num w:numId="6">
    <w:abstractNumId w:val="182"/>
  </w:num>
  <w:num w:numId="7">
    <w:abstractNumId w:val="62"/>
  </w:num>
  <w:num w:numId="8">
    <w:abstractNumId w:val="179"/>
  </w:num>
  <w:num w:numId="9">
    <w:abstractNumId w:val="196"/>
  </w:num>
  <w:num w:numId="10">
    <w:abstractNumId w:val="159"/>
  </w:num>
  <w:num w:numId="11">
    <w:abstractNumId w:val="17"/>
  </w:num>
  <w:num w:numId="12">
    <w:abstractNumId w:val="168"/>
  </w:num>
  <w:num w:numId="13">
    <w:abstractNumId w:val="74"/>
  </w:num>
  <w:num w:numId="14">
    <w:abstractNumId w:val="128"/>
  </w:num>
  <w:num w:numId="15">
    <w:abstractNumId w:val="48"/>
  </w:num>
  <w:num w:numId="16">
    <w:abstractNumId w:val="194"/>
  </w:num>
  <w:num w:numId="17">
    <w:abstractNumId w:val="181"/>
  </w:num>
  <w:num w:numId="18">
    <w:abstractNumId w:val="105"/>
  </w:num>
  <w:num w:numId="19">
    <w:abstractNumId w:val="190"/>
  </w:num>
  <w:num w:numId="20">
    <w:abstractNumId w:val="92"/>
  </w:num>
  <w:num w:numId="21">
    <w:abstractNumId w:val="144"/>
  </w:num>
  <w:num w:numId="22">
    <w:abstractNumId w:val="49"/>
  </w:num>
  <w:num w:numId="23">
    <w:abstractNumId w:val="97"/>
  </w:num>
  <w:num w:numId="24">
    <w:abstractNumId w:val="47"/>
  </w:num>
  <w:num w:numId="25">
    <w:abstractNumId w:val="73"/>
  </w:num>
  <w:num w:numId="26">
    <w:abstractNumId w:val="25"/>
  </w:num>
  <w:num w:numId="27">
    <w:abstractNumId w:val="177"/>
  </w:num>
  <w:num w:numId="28">
    <w:abstractNumId w:val="38"/>
  </w:num>
  <w:num w:numId="29">
    <w:abstractNumId w:val="136"/>
  </w:num>
  <w:num w:numId="30">
    <w:abstractNumId w:val="132"/>
  </w:num>
  <w:num w:numId="31">
    <w:abstractNumId w:val="142"/>
  </w:num>
  <w:num w:numId="32">
    <w:abstractNumId w:val="40"/>
  </w:num>
  <w:num w:numId="33">
    <w:abstractNumId w:val="82"/>
  </w:num>
  <w:num w:numId="34">
    <w:abstractNumId w:val="183"/>
  </w:num>
  <w:num w:numId="35">
    <w:abstractNumId w:val="13"/>
  </w:num>
  <w:num w:numId="36">
    <w:abstractNumId w:val="112"/>
  </w:num>
  <w:num w:numId="37">
    <w:abstractNumId w:val="64"/>
  </w:num>
  <w:num w:numId="38">
    <w:abstractNumId w:val="28"/>
  </w:num>
  <w:num w:numId="39">
    <w:abstractNumId w:val="42"/>
  </w:num>
  <w:num w:numId="40">
    <w:abstractNumId w:val="173"/>
  </w:num>
  <w:num w:numId="41">
    <w:abstractNumId w:val="52"/>
  </w:num>
  <w:num w:numId="42">
    <w:abstractNumId w:val="178"/>
  </w:num>
  <w:num w:numId="43">
    <w:abstractNumId w:val="118"/>
  </w:num>
  <w:num w:numId="44">
    <w:abstractNumId w:val="124"/>
  </w:num>
  <w:num w:numId="45">
    <w:abstractNumId w:val="21"/>
  </w:num>
  <w:num w:numId="46">
    <w:abstractNumId w:val="195"/>
  </w:num>
  <w:num w:numId="47">
    <w:abstractNumId w:val="169"/>
  </w:num>
  <w:num w:numId="48">
    <w:abstractNumId w:val="164"/>
  </w:num>
  <w:num w:numId="49">
    <w:abstractNumId w:val="23"/>
  </w:num>
  <w:num w:numId="50">
    <w:abstractNumId w:val="121"/>
  </w:num>
  <w:num w:numId="51">
    <w:abstractNumId w:val="131"/>
  </w:num>
  <w:num w:numId="52">
    <w:abstractNumId w:val="187"/>
  </w:num>
  <w:num w:numId="53">
    <w:abstractNumId w:val="149"/>
  </w:num>
  <w:num w:numId="54">
    <w:abstractNumId w:val="146"/>
  </w:num>
  <w:num w:numId="55">
    <w:abstractNumId w:val="110"/>
  </w:num>
  <w:num w:numId="56">
    <w:abstractNumId w:val="31"/>
  </w:num>
  <w:num w:numId="57">
    <w:abstractNumId w:val="27"/>
  </w:num>
  <w:num w:numId="58">
    <w:abstractNumId w:val="197"/>
  </w:num>
  <w:num w:numId="59">
    <w:abstractNumId w:val="15"/>
  </w:num>
  <w:num w:numId="60">
    <w:abstractNumId w:val="46"/>
  </w:num>
  <w:num w:numId="61">
    <w:abstractNumId w:val="176"/>
  </w:num>
  <w:num w:numId="62">
    <w:abstractNumId w:val="66"/>
  </w:num>
  <w:num w:numId="63">
    <w:abstractNumId w:val="163"/>
  </w:num>
  <w:num w:numId="64">
    <w:abstractNumId w:val="158"/>
  </w:num>
  <w:num w:numId="65">
    <w:abstractNumId w:val="88"/>
  </w:num>
  <w:num w:numId="66">
    <w:abstractNumId w:val="134"/>
  </w:num>
  <w:num w:numId="67">
    <w:abstractNumId w:val="143"/>
  </w:num>
  <w:num w:numId="68">
    <w:abstractNumId w:val="174"/>
  </w:num>
  <w:num w:numId="69">
    <w:abstractNumId w:val="22"/>
  </w:num>
  <w:num w:numId="70">
    <w:abstractNumId w:val="84"/>
  </w:num>
  <w:num w:numId="71">
    <w:abstractNumId w:val="188"/>
  </w:num>
  <w:num w:numId="72">
    <w:abstractNumId w:val="141"/>
  </w:num>
  <w:num w:numId="73">
    <w:abstractNumId w:val="165"/>
  </w:num>
  <w:num w:numId="74">
    <w:abstractNumId w:val="63"/>
  </w:num>
  <w:num w:numId="75">
    <w:abstractNumId w:val="86"/>
  </w:num>
  <w:num w:numId="76">
    <w:abstractNumId w:val="34"/>
  </w:num>
  <w:num w:numId="77">
    <w:abstractNumId w:val="153"/>
  </w:num>
  <w:num w:numId="78">
    <w:abstractNumId w:val="137"/>
  </w:num>
  <w:num w:numId="79">
    <w:abstractNumId w:val="95"/>
  </w:num>
  <w:num w:numId="80">
    <w:abstractNumId w:val="44"/>
  </w:num>
  <w:num w:numId="81">
    <w:abstractNumId w:val="139"/>
  </w:num>
  <w:num w:numId="82">
    <w:abstractNumId w:val="33"/>
  </w:num>
  <w:num w:numId="83">
    <w:abstractNumId w:val="94"/>
  </w:num>
  <w:num w:numId="84">
    <w:abstractNumId w:val="115"/>
  </w:num>
  <w:num w:numId="85">
    <w:abstractNumId w:val="185"/>
  </w:num>
  <w:num w:numId="86">
    <w:abstractNumId w:val="125"/>
  </w:num>
  <w:num w:numId="87">
    <w:abstractNumId w:val="99"/>
  </w:num>
  <w:num w:numId="88">
    <w:abstractNumId w:val="81"/>
  </w:num>
  <w:num w:numId="89">
    <w:abstractNumId w:val="116"/>
  </w:num>
  <w:num w:numId="90">
    <w:abstractNumId w:val="58"/>
  </w:num>
  <w:num w:numId="91">
    <w:abstractNumId w:val="157"/>
  </w:num>
  <w:num w:numId="92">
    <w:abstractNumId w:val="156"/>
  </w:num>
  <w:num w:numId="93">
    <w:abstractNumId w:val="16"/>
  </w:num>
  <w:num w:numId="94">
    <w:abstractNumId w:val="120"/>
  </w:num>
  <w:num w:numId="95">
    <w:abstractNumId w:val="53"/>
  </w:num>
  <w:num w:numId="96">
    <w:abstractNumId w:val="113"/>
  </w:num>
  <w:num w:numId="97">
    <w:abstractNumId w:val="30"/>
  </w:num>
  <w:num w:numId="98">
    <w:abstractNumId w:val="148"/>
  </w:num>
  <w:num w:numId="99">
    <w:abstractNumId w:val="107"/>
  </w:num>
  <w:num w:numId="100">
    <w:abstractNumId w:val="175"/>
  </w:num>
  <w:num w:numId="101">
    <w:abstractNumId w:val="166"/>
  </w:num>
  <w:num w:numId="102">
    <w:abstractNumId w:val="61"/>
  </w:num>
  <w:num w:numId="103">
    <w:abstractNumId w:val="101"/>
  </w:num>
  <w:num w:numId="104">
    <w:abstractNumId w:val="106"/>
  </w:num>
  <w:num w:numId="105">
    <w:abstractNumId w:val="75"/>
  </w:num>
  <w:num w:numId="106">
    <w:abstractNumId w:val="41"/>
  </w:num>
  <w:num w:numId="107">
    <w:abstractNumId w:val="104"/>
  </w:num>
  <w:num w:numId="108">
    <w:abstractNumId w:val="29"/>
  </w:num>
  <w:num w:numId="109">
    <w:abstractNumId w:val="9"/>
  </w:num>
  <w:num w:numId="110">
    <w:abstractNumId w:val="45"/>
  </w:num>
  <w:num w:numId="111">
    <w:abstractNumId w:val="191"/>
  </w:num>
  <w:num w:numId="112">
    <w:abstractNumId w:val="68"/>
  </w:num>
  <w:num w:numId="113">
    <w:abstractNumId w:val="19"/>
  </w:num>
  <w:num w:numId="114">
    <w:abstractNumId w:val="83"/>
  </w:num>
  <w:num w:numId="115">
    <w:abstractNumId w:val="98"/>
  </w:num>
  <w:num w:numId="116">
    <w:abstractNumId w:val="186"/>
  </w:num>
  <w:num w:numId="117">
    <w:abstractNumId w:val="119"/>
  </w:num>
  <w:num w:numId="118">
    <w:abstractNumId w:val="193"/>
  </w:num>
  <w:num w:numId="119">
    <w:abstractNumId w:val="111"/>
  </w:num>
  <w:num w:numId="120">
    <w:abstractNumId w:val="161"/>
  </w:num>
  <w:num w:numId="121">
    <w:abstractNumId w:val="93"/>
  </w:num>
  <w:num w:numId="122">
    <w:abstractNumId w:val="1"/>
  </w:num>
  <w:num w:numId="123">
    <w:abstractNumId w:val="0"/>
  </w:num>
  <w:num w:numId="124">
    <w:abstractNumId w:val="72"/>
  </w:num>
  <w:num w:numId="125">
    <w:abstractNumId w:val="14"/>
  </w:num>
  <w:num w:numId="126">
    <w:abstractNumId w:val="43"/>
  </w:num>
  <w:num w:numId="127">
    <w:abstractNumId w:val="24"/>
  </w:num>
  <w:num w:numId="128">
    <w:abstractNumId w:val="103"/>
  </w:num>
  <w:num w:numId="129">
    <w:abstractNumId w:val="140"/>
  </w:num>
  <w:num w:numId="130">
    <w:abstractNumId w:val="2"/>
  </w:num>
  <w:num w:numId="131">
    <w:abstractNumId w:val="3"/>
  </w:num>
  <w:num w:numId="132">
    <w:abstractNumId w:val="8"/>
  </w:num>
  <w:num w:numId="133">
    <w:abstractNumId w:val="7"/>
  </w:num>
  <w:num w:numId="134">
    <w:abstractNumId w:val="6"/>
  </w:num>
  <w:num w:numId="135">
    <w:abstractNumId w:val="5"/>
  </w:num>
  <w:num w:numId="136">
    <w:abstractNumId w:val="4"/>
  </w:num>
  <w:num w:numId="137">
    <w:abstractNumId w:val="26"/>
  </w:num>
  <w:num w:numId="138">
    <w:abstractNumId w:val="138"/>
  </w:num>
  <w:num w:numId="139">
    <w:abstractNumId w:val="12"/>
  </w:num>
  <w:num w:numId="140">
    <w:abstractNumId w:val="56"/>
  </w:num>
  <w:num w:numId="141">
    <w:abstractNumId w:val="160"/>
  </w:num>
  <w:num w:numId="142">
    <w:abstractNumId w:val="167"/>
  </w:num>
  <w:num w:numId="143">
    <w:abstractNumId w:val="172"/>
  </w:num>
  <w:num w:numId="144">
    <w:abstractNumId w:val="192"/>
  </w:num>
  <w:num w:numId="145">
    <w:abstractNumId w:val="55"/>
  </w:num>
  <w:num w:numId="146">
    <w:abstractNumId w:val="68"/>
    <w:lvlOverride w:ilvl="0">
      <w:startOverride w:val="1"/>
    </w:lvlOverride>
  </w:num>
  <w:num w:numId="147">
    <w:abstractNumId w:val="171"/>
  </w:num>
  <w:num w:numId="148">
    <w:abstractNumId w:val="90"/>
  </w:num>
  <w:num w:numId="149">
    <w:abstractNumId w:val="145"/>
  </w:num>
  <w:num w:numId="150">
    <w:abstractNumId w:val="170"/>
  </w:num>
  <w:num w:numId="151">
    <w:abstractNumId w:val="102"/>
  </w:num>
  <w:num w:numId="152">
    <w:abstractNumId w:val="79"/>
  </w:num>
  <w:num w:numId="153">
    <w:abstractNumId w:val="91"/>
  </w:num>
  <w:num w:numId="154">
    <w:abstractNumId w:val="71"/>
  </w:num>
  <w:num w:numId="155">
    <w:abstractNumId w:val="133"/>
  </w:num>
  <w:num w:numId="156">
    <w:abstractNumId w:val="180"/>
  </w:num>
  <w:num w:numId="157">
    <w:abstractNumId w:val="126"/>
  </w:num>
  <w:num w:numId="158">
    <w:abstractNumId w:val="154"/>
  </w:num>
  <w:num w:numId="159">
    <w:abstractNumId w:val="85"/>
  </w:num>
  <w:num w:numId="160">
    <w:abstractNumId w:val="162"/>
  </w:num>
  <w:num w:numId="161">
    <w:abstractNumId w:val="100"/>
  </w:num>
  <w:num w:numId="162">
    <w:abstractNumId w:val="117"/>
  </w:num>
  <w:num w:numId="163">
    <w:abstractNumId w:val="108"/>
  </w:num>
  <w:num w:numId="164">
    <w:abstractNumId w:val="129"/>
  </w:num>
  <w:num w:numId="165">
    <w:abstractNumId w:val="77"/>
  </w:num>
  <w:num w:numId="166">
    <w:abstractNumId w:val="130"/>
  </w:num>
  <w:num w:numId="167">
    <w:abstractNumId w:val="152"/>
  </w:num>
  <w:num w:numId="168">
    <w:abstractNumId w:val="151"/>
  </w:num>
  <w:num w:numId="169">
    <w:abstractNumId w:val="69"/>
  </w:num>
  <w:num w:numId="170">
    <w:abstractNumId w:val="189"/>
  </w:num>
  <w:num w:numId="171">
    <w:abstractNumId w:val="155"/>
  </w:num>
  <w:num w:numId="172">
    <w:abstractNumId w:val="59"/>
  </w:num>
  <w:num w:numId="173">
    <w:abstractNumId w:val="60"/>
  </w:num>
  <w:num w:numId="174">
    <w:abstractNumId w:val="18"/>
  </w:num>
  <w:num w:numId="175">
    <w:abstractNumId w:val="147"/>
  </w:num>
  <w:num w:numId="176">
    <w:abstractNumId w:val="35"/>
  </w:num>
  <w:num w:numId="177">
    <w:abstractNumId w:val="135"/>
  </w:num>
  <w:num w:numId="178">
    <w:abstractNumId w:val="80"/>
  </w:num>
  <w:num w:numId="179">
    <w:abstractNumId w:val="89"/>
  </w:num>
  <w:num w:numId="180">
    <w:abstractNumId w:val="36"/>
  </w:num>
  <w:num w:numId="181">
    <w:abstractNumId w:val="109"/>
  </w:num>
  <w:num w:numId="182">
    <w:abstractNumId w:val="67"/>
  </w:num>
  <w:num w:numId="183">
    <w:abstractNumId w:val="39"/>
  </w:num>
  <w:num w:numId="184">
    <w:abstractNumId w:val="50"/>
  </w:num>
  <w:num w:numId="185">
    <w:abstractNumId w:val="150"/>
  </w:num>
  <w:num w:numId="186">
    <w:abstractNumId w:val="70"/>
  </w:num>
  <w:num w:numId="187">
    <w:abstractNumId w:val="51"/>
  </w:num>
  <w:num w:numId="188">
    <w:abstractNumId w:val="65"/>
  </w:num>
  <w:num w:numId="189">
    <w:abstractNumId w:val="10"/>
  </w:num>
  <w:num w:numId="190">
    <w:abstractNumId w:val="96"/>
  </w:num>
  <w:num w:numId="191">
    <w:abstractNumId w:val="54"/>
  </w:num>
  <w:num w:numId="192">
    <w:abstractNumId w:val="37"/>
  </w:num>
  <w:num w:numId="193">
    <w:abstractNumId w:val="184"/>
  </w:num>
  <w:num w:numId="194">
    <w:abstractNumId w:val="127"/>
  </w:num>
  <w:num w:numId="195">
    <w:abstractNumId w:val="32"/>
  </w:num>
  <w:num w:numId="196">
    <w:abstractNumId w:val="11"/>
  </w:num>
  <w:num w:numId="197">
    <w:abstractNumId w:val="198"/>
  </w:num>
  <w:num w:numId="198">
    <w:abstractNumId w:val="123"/>
  </w:num>
  <w:num w:numId="199">
    <w:abstractNumId w:val="57"/>
  </w:num>
  <w:num w:numId="200">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d">
    <w:name w:val="正文缩进"/>
    <w:basedOn w:val="Normal"/>
    <w:pPr>
      <w:ind w:left="1021" w:firstLine="510"/>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cdL1">
    <w:name w:val="cdL1"/>
    <w:basedOn w:val="Normal"/>
    <w:pPr>
      <w:widowControl w:val="0"/>
      <w:tabs>
        <w:tab w:val="left" w:pos="510"/>
      </w:tabs>
    </w:pPr>
    <w:rPr>
      <w:snapToGrid/>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334</TotalTime>
  <Pages>1</Pages>
  <Words>15673</Words>
  <Characters>89338</Characters>
  <Application>Microsoft Office Word</Application>
  <DocSecurity>4</DocSecurity>
  <Lines>744</Lines>
  <Paragraphs>178</Paragraphs>
  <ScaleCrop>false</ScaleCrop>
  <HeadingPairs>
    <vt:vector size="4" baseType="variant">
      <vt:variant>
        <vt:lpstr>题目</vt:lpstr>
      </vt:variant>
      <vt:variant>
        <vt:i4>1</vt:i4>
      </vt:variant>
      <vt:variant>
        <vt:lpstr>标题</vt:lpstr>
      </vt:variant>
      <vt:variant>
        <vt:i4>81</vt:i4>
      </vt:variant>
    </vt:vector>
  </HeadingPairs>
  <TitlesOfParts>
    <vt:vector size="82" baseType="lpstr">
      <vt:lpstr>2003年实质性会议</vt:lpstr>
      <vt:lpstr>    《经济、社会、文化权利国际公约》的执行情况</vt:lpstr>
      <vt:lpstr>        缔约国按照《公约》第十六条和第十七条 提交的第二次定期报告</vt:lpstr>
      <vt:lpstr>        增  编</vt:lpstr>
      <vt:lpstr>    厄 瓜 多 尔* **</vt:lpstr>
      <vt:lpstr>    导  言</vt:lpstr>
      <vt:lpstr>        第 一 条</vt:lpstr>
      <vt:lpstr>        第 二 条</vt:lpstr>
      <vt:lpstr>        第 三 条</vt:lpstr>
      <vt:lpstr>        15至49岁妇女总生育率 (预计生育子女数目，1965-1999年)</vt:lpstr>
      <vt:lpstr>        第 四 条</vt:lpstr>
      <vt:lpstr>        第 五 条</vt:lpstr>
      <vt:lpstr>        第 六 条</vt:lpstr>
      <vt:lpstr>        1990年农村人口总数</vt:lpstr>
      <vt:lpstr>        按性别与年龄组划分的失业状况(1998)</vt:lpstr>
      <vt:lpstr>        失业率趋势</vt:lpstr>
      <vt:lpstr>        城市人口总数(1990)</vt:lpstr>
      <vt:lpstr>        城市人口总数(1995)</vt:lpstr>
      <vt:lpstr>        城市人口总数(1998)</vt:lpstr>
      <vt:lpstr>        城市人口总数(1999)</vt:lpstr>
      <vt:lpstr>        传统性出口产品 (离岸价格，百万美元)</vt:lpstr>
      <vt:lpstr>        消费品进口 (离岸价格，百万美元)</vt:lpstr>
      <vt:lpstr>        年度活动预测 (苏克雷)</vt:lpstr>
      <vt:lpstr>        第 七 条</vt:lpstr>
      <vt:lpstr>        普通工人收入总额</vt:lpstr>
      <vt:lpstr>        Borja-Parodi, 1988年8月至1992年8月 (苏克雷)</vt:lpstr>
      <vt:lpstr>        普通工人收入总额</vt:lpstr>
      <vt:lpstr>        Duran Ballen-Dahik-Peña Triviño, 1992年8月至1996年8月 (苏克雷)</vt:lpstr>
      <vt:lpstr>        普通工人收入总额</vt:lpstr>
      <vt:lpstr>        Abdala Bucaram-Rosalía Arteaga, 1996年8月至 1997年2月Fabián Alarcón, 1997年2月至1998年8月 </vt:lpstr>
      <vt:lpstr>        普通工人收入总额 (苏克雷)</vt:lpstr>
      <vt:lpstr>        工作场所事故与工伤疾病的统计数字</vt:lpstr>
      <vt:lpstr>        工作场所事故与工伤疾病的数量</vt:lpstr>
      <vt:lpstr>        工作场所事故与工伤疾病的类别 (1989-1992)</vt:lpstr>
      <vt:lpstr>        工伤事故的趋势</vt:lpstr>
      <vt:lpstr>        厄瓜多尔安全指数(社会保障所成员)</vt:lpstr>
      <vt:lpstr>        事故指数(厄瓜多尔，社会保障所成员)</vt:lpstr>
      <vt:lpstr>        恶性伤亡率(厄瓜多尔，社会保障所)</vt:lpstr>
      <vt:lpstr>        第 八 条</vt:lpstr>
      <vt:lpstr>        第 九 条</vt:lpstr>
      <vt:lpstr>        第 十 条</vt:lpstr>
      <vt:lpstr>        第 十一 条</vt:lpstr>
      <vt:lpstr>        卡路里和蛋白质的提供量 (每日人均)</vt:lpstr>
      <vt:lpstr>        按性别和族裔群体分列的血红蛋白值和贫血症流行情况 厄瓜多尔，1997年</vt:lpstr>
      <vt:lpstr>        接教育水平分列的血红蛋白值和贫血症流行情况 厄瓜多尔，1997年</vt:lpstr>
      <vt:lpstr>        按职业分列的血红蛋白值与贫血症流行情况 厄瓜多尔，1997年</vt:lpstr>
      <vt:lpstr>        表1.  按地区分列的五岁以下儿童营养不良问题的普遍情况 (生活条件调查，1998年)</vt:lpstr>
      <vt:lpstr>        按厄瓜多尔地区分列的为进行殖民和土地改革分配的土地情况 1926-1992年 (单位：公顷)</vt:lpstr>
      <vt:lpstr>        发放的地契、面积和受益人 (单位：公顷)</vt:lpstr>
      <vt:lpstr>        单个住房单位 (1982-1990年人口普查)</vt:lpstr>
      <vt:lpstr>        按可提供的服务分列的已使用的单个住房单位 (1982-1990年人口普查)</vt:lpstr>
      <vt:lpstr>        按住房类型分列的每一住房单位的平均居住人数 (1982-1990年人口普查)</vt:lpstr>
      <vt:lpstr>        按住房类型分列的已使用的单个住房单位 (1982-1990年人口普查)</vt:lpstr>
      <vt:lpstr>        ABC新城市住房方案 (单位：苏克雷)</vt:lpstr>
      <vt:lpstr>        1998年8月至1999年12月住房情况</vt:lpstr>
      <vt:lpstr>        1999年1月至1999年12月住房情况</vt:lpstr>
      <vt:lpstr>        第 十二 条</vt:lpstr>
      <vt:lpstr>        1.  卫生政策</vt:lpstr>
      <vt:lpstr>        1994年至2000年厄瓜多尔若干选定的心理问题的年度发病率</vt:lpstr>
      <vt:lpstr>        1990年至1998年用于卫生部门的实际开支 (单位：10亿苏克雷，以及占国内总产值的百分比)</vt:lpstr>
      <vt:lpstr>        根据各次调查得出的婴儿和儿童死亡率</vt:lpstr>
      <vt:lpstr>        婴儿和儿童死亡率(1989年至1994年调查)</vt:lpstr>
      <vt:lpstr>        (1994年至1999年调查)</vt:lpstr>
      <vt:lpstr>        1998年人口指标 (公共卫生部)</vt:lpstr>
      <vt:lpstr>        按全国和地区分列的一岁以下和五岁以下 儿童疫苗接种情况</vt:lpstr>
      <vt:lpstr>        按全国和地区分列的一岁以下和五岁以下 儿童疫苗接种情况</vt:lpstr>
      <vt:lpstr>        1994年3月至1999年2月按区别特征、 活产儿分列的接生情况</vt:lpstr>
      <vt:lpstr>        按地区和区域分列的儿童体检情况 (1994年3月至1999年2月)</vt:lpstr>
      <vt:lpstr>        第 十三 条</vt:lpstr>
      <vt:lpstr>        学校、教师和学生数目 1970-1998年</vt:lpstr>
      <vt:lpstr>        文盲人口(按地区和年龄组分类) 国家一级(百分比)</vt:lpstr>
      <vt:lpstr>        正规教育三个阶段注册人数</vt:lpstr>
      <vt:lpstr>        (按地区、学年和性别分类)</vt:lpstr>
      <vt:lpstr>        正规学前教育学生升级情况(按地区、学年和性别分类)</vt:lpstr>
      <vt:lpstr>        正规小学生升级情况(按地区、学年和性别分类)</vt:lpstr>
      <vt:lpstr>        正规基本周期学生升级情况(按地区、学年和性别分类)</vt:lpstr>
      <vt:lpstr>        1990-1998年教育支出 (10亿苏克雷和百万美元及国内总产值百分比计)</vt:lpstr>
      <vt:lpstr>        文盲率(按年龄组和地区分类) (百分比)</vt:lpstr>
      <vt:lpstr>        在校平均期限(年数)</vt:lpstr>
      <vt:lpstr>        文化间双语教育 (1989-1990-1997-1998学年)</vt:lpstr>
      <vt:lpstr>        第 十四 条</vt:lpstr>
      <vt:lpstr>        第 十五 条</vt:lpstr>
    </vt:vector>
  </TitlesOfParts>
  <Company>Chinese Unit - GE</Company>
  <LinksUpToDate>false</LinksUpToDate>
  <CharactersWithSpaces>109713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2003年实质性会议</dc:title>
  <dc:subject/>
  <dc:creator>Sij</dc:creator>
  <cp:keywords/>
  <dc:description>经济及社会理事会</dc:description>
  <cp:lastModifiedBy>DUY</cp:lastModifiedBy>
  <cp:revision>19</cp:revision>
  <cp:lastPrinted>2003-07-28T14:41:00Z</cp:lastPrinted>
  <dcterms:created xsi:type="dcterms:W3CDTF">2003-07-25T08:55:00Z</dcterms:created>
  <dcterms:modified xsi:type="dcterms:W3CDTF">2003-07-28T14:45:00Z</dcterms:modified>
  <cp:category>E</cp:category>
</cp:coreProperties>
</file>