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058BD" w14:textId="77777777" w:rsidR="00450B49" w:rsidRPr="00074D32" w:rsidRDefault="00450B49" w:rsidP="00450B49">
      <w:pPr>
        <w:spacing w:line="240" w:lineRule="auto"/>
        <w:rPr>
          <w:sz w:val="2"/>
        </w:rPr>
        <w:sectPr w:rsidR="00450B49" w:rsidRPr="00074D32" w:rsidSect="00074D3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74D32">
        <w:rPr>
          <w:rStyle w:val="CommentReference"/>
          <w:szCs w:val="20"/>
        </w:rPr>
        <w:commentReference w:id="0"/>
      </w:r>
    </w:p>
    <w:p w14:paraId="39471B2B" w14:textId="77777777" w:rsidR="00074D32" w:rsidRPr="00074D32" w:rsidRDefault="00074D32" w:rsidP="00074D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074D32">
        <w:t>Comité para la Eliminación de la Discriminación contra la Mujer</w:t>
      </w:r>
    </w:p>
    <w:p w14:paraId="77EA0C12" w14:textId="77777777" w:rsidR="00074D32" w:rsidRPr="00074D32" w:rsidRDefault="00074D32" w:rsidP="00074D32">
      <w:pPr>
        <w:pStyle w:val="Session"/>
      </w:pPr>
      <w:r w:rsidRPr="00074D32">
        <w:t>90º período de sesiones</w:t>
      </w:r>
    </w:p>
    <w:p w14:paraId="68DE0B5E" w14:textId="77777777" w:rsidR="00074D32" w:rsidRPr="00074D32" w:rsidRDefault="00074D32" w:rsidP="00074D32">
      <w:pPr>
        <w:pStyle w:val="AgendaItemNormal"/>
      </w:pPr>
      <w:r w:rsidRPr="00074D32">
        <w:t>Ginebra, 3 a 21 de febrero de 2025</w:t>
      </w:r>
    </w:p>
    <w:p w14:paraId="296706AB" w14:textId="77777777" w:rsidR="00074D32" w:rsidRPr="00074D32" w:rsidRDefault="00074D32" w:rsidP="00074D32">
      <w:pPr>
        <w:pStyle w:val="AgendaItemNormal"/>
      </w:pPr>
      <w:r w:rsidRPr="00074D32">
        <w:t>Tema 2 del programa provisional</w:t>
      </w:r>
    </w:p>
    <w:p w14:paraId="707788B6" w14:textId="77777777" w:rsidR="00074D32" w:rsidRPr="00074D32" w:rsidRDefault="00074D32" w:rsidP="00074D32">
      <w:pPr>
        <w:pStyle w:val="AgendaTitleH2"/>
        <w:ind w:left="1267" w:right="1260" w:hanging="1267"/>
      </w:pPr>
      <w:r w:rsidRPr="00074D32">
        <w:t>Aprobación del programa y organización de los trabajos</w:t>
      </w:r>
    </w:p>
    <w:p w14:paraId="34C4AFF8" w14:textId="77777777" w:rsidR="00074D32" w:rsidRPr="00074D32" w:rsidRDefault="00074D32" w:rsidP="00074D32">
      <w:pPr>
        <w:pStyle w:val="SingleTxt"/>
        <w:spacing w:after="0" w:line="120" w:lineRule="exact"/>
        <w:rPr>
          <w:sz w:val="10"/>
        </w:rPr>
      </w:pPr>
    </w:p>
    <w:p w14:paraId="55CA276E" w14:textId="77777777" w:rsidR="00074D32" w:rsidRPr="00074D32" w:rsidRDefault="00074D32" w:rsidP="00074D32">
      <w:pPr>
        <w:pStyle w:val="SingleTxt"/>
        <w:spacing w:after="0" w:line="120" w:lineRule="exact"/>
        <w:rPr>
          <w:sz w:val="10"/>
        </w:rPr>
      </w:pPr>
    </w:p>
    <w:p w14:paraId="0678C1AB" w14:textId="77777777" w:rsidR="00074D32" w:rsidRPr="00074D32" w:rsidRDefault="00074D32" w:rsidP="00074D32">
      <w:pPr>
        <w:pStyle w:val="SingleTxt"/>
        <w:spacing w:after="0" w:line="120" w:lineRule="exact"/>
        <w:rPr>
          <w:sz w:val="10"/>
        </w:rPr>
      </w:pPr>
    </w:p>
    <w:p w14:paraId="42A0018E" w14:textId="5B0C3B13" w:rsidR="00074D32" w:rsidRPr="00074D32" w:rsidRDefault="00074D32" w:rsidP="00074D32">
      <w:pPr>
        <w:pStyle w:val="TitleHCH"/>
        <w:ind w:right="1260"/>
      </w:pPr>
      <w:r>
        <w:tab/>
      </w:r>
      <w:r>
        <w:tab/>
      </w:r>
      <w:r w:rsidRPr="00074D32">
        <w:t>Programa provisional anotado</w:t>
      </w:r>
    </w:p>
    <w:p w14:paraId="0F686FF8" w14:textId="77777777" w:rsidR="00074D32" w:rsidRPr="00074D32" w:rsidRDefault="00074D32" w:rsidP="00074D32">
      <w:pPr>
        <w:pStyle w:val="SingleTxt"/>
        <w:spacing w:after="0" w:line="120" w:lineRule="exact"/>
        <w:rPr>
          <w:sz w:val="10"/>
        </w:rPr>
      </w:pPr>
    </w:p>
    <w:p w14:paraId="4E247FAD" w14:textId="77777777" w:rsidR="00074D32" w:rsidRPr="00074D32" w:rsidRDefault="00074D32" w:rsidP="00074D32">
      <w:pPr>
        <w:pStyle w:val="SingleTxt"/>
        <w:spacing w:after="0" w:line="120" w:lineRule="exact"/>
        <w:rPr>
          <w:sz w:val="10"/>
        </w:rPr>
      </w:pPr>
    </w:p>
    <w:p w14:paraId="6573748E" w14:textId="77777777" w:rsidR="00074D32" w:rsidRPr="00074D32" w:rsidRDefault="00074D32" w:rsidP="00074D32">
      <w:pPr>
        <w:pStyle w:val="TitleH1"/>
        <w:ind w:right="1260"/>
      </w:pPr>
      <w:r w:rsidRPr="00074D32">
        <w:tab/>
      </w:r>
      <w:r w:rsidRPr="00074D32">
        <w:tab/>
        <w:t>Programa provisional</w:t>
      </w:r>
    </w:p>
    <w:p w14:paraId="194B6499" w14:textId="77777777" w:rsidR="00074D32" w:rsidRPr="00074D32" w:rsidRDefault="00074D32" w:rsidP="00074D32">
      <w:pPr>
        <w:pStyle w:val="SingleTxt"/>
        <w:spacing w:after="0" w:line="120" w:lineRule="exact"/>
        <w:rPr>
          <w:sz w:val="10"/>
        </w:rPr>
      </w:pPr>
    </w:p>
    <w:p w14:paraId="04E561CD" w14:textId="77777777" w:rsidR="00074D32" w:rsidRPr="00074D32" w:rsidRDefault="00074D32" w:rsidP="00074D32">
      <w:pPr>
        <w:pStyle w:val="SingleTxt"/>
        <w:spacing w:after="0" w:line="120" w:lineRule="exact"/>
        <w:rPr>
          <w:sz w:val="10"/>
        </w:rPr>
      </w:pPr>
    </w:p>
    <w:p w14:paraId="63EE9AF8" w14:textId="77777777" w:rsidR="00074D32" w:rsidRPr="00074D32" w:rsidRDefault="00074D32" w:rsidP="00074D32">
      <w:pPr>
        <w:pStyle w:val="SingleTxt"/>
        <w:ind w:left="1742" w:hanging="475"/>
        <w:jc w:val="left"/>
      </w:pPr>
      <w:r w:rsidRPr="00074D32">
        <w:t>1.</w:t>
      </w:r>
      <w:r w:rsidRPr="00074D32">
        <w:tab/>
        <w:t>Apertura del período de sesiones.</w:t>
      </w:r>
    </w:p>
    <w:p w14:paraId="53BC1327" w14:textId="77777777" w:rsidR="00074D32" w:rsidRPr="00074D32" w:rsidRDefault="00074D32" w:rsidP="00074D32">
      <w:pPr>
        <w:pStyle w:val="SingleTxt"/>
        <w:ind w:left="1742" w:hanging="475"/>
        <w:jc w:val="left"/>
      </w:pPr>
      <w:r w:rsidRPr="00074D32">
        <w:t>2.</w:t>
      </w:r>
      <w:r w:rsidRPr="00074D32">
        <w:tab/>
        <w:t>Aprobación del programa y organización de los trabajos.</w:t>
      </w:r>
    </w:p>
    <w:p w14:paraId="7137B10E" w14:textId="77777777" w:rsidR="00074D32" w:rsidRPr="00074D32" w:rsidRDefault="00074D32" w:rsidP="001A11C2">
      <w:pPr>
        <w:pStyle w:val="SingleTxt"/>
        <w:ind w:left="1742" w:right="1380" w:hanging="475"/>
        <w:jc w:val="left"/>
      </w:pPr>
      <w:r w:rsidRPr="00074D32">
        <w:t>3.</w:t>
      </w:r>
      <w:r w:rsidRPr="00074D32">
        <w:tab/>
        <w:t>Informe de la Presidencia sobre las actividades realizadas entre los períodos de sesiones 89º y 90º del Comité.</w:t>
      </w:r>
    </w:p>
    <w:p w14:paraId="009069E4" w14:textId="77777777" w:rsidR="00074D32" w:rsidRPr="00074D32" w:rsidRDefault="00074D32" w:rsidP="00074D32">
      <w:pPr>
        <w:pStyle w:val="SingleTxt"/>
        <w:ind w:left="1742" w:hanging="475"/>
        <w:jc w:val="left"/>
      </w:pPr>
      <w:r w:rsidRPr="00074D32">
        <w:t>4.</w:t>
      </w:r>
      <w:r w:rsidRPr="00074D32">
        <w:tab/>
        <w:t>Examen de los informes presentados por los Estados partes en virtud del artículo 18 de la Convención sobre la Eliminación de Todas las Formas de Discriminación contra la Mujer.</w:t>
      </w:r>
    </w:p>
    <w:p w14:paraId="3F3AF06C" w14:textId="77777777" w:rsidR="00074D32" w:rsidRPr="00074D32" w:rsidRDefault="00074D32" w:rsidP="00074D32">
      <w:pPr>
        <w:pStyle w:val="SingleTxt"/>
        <w:ind w:left="1742" w:hanging="475"/>
        <w:jc w:val="left"/>
      </w:pPr>
      <w:r w:rsidRPr="00074D32">
        <w:t>5.</w:t>
      </w:r>
      <w:r w:rsidRPr="00074D32">
        <w:tab/>
        <w:t>Seguimiento del examen de los informes presentados por los Estados partes en virtud del artículo 18 de la Convención.</w:t>
      </w:r>
    </w:p>
    <w:p w14:paraId="53263999" w14:textId="77777777" w:rsidR="00074D32" w:rsidRPr="00074D32" w:rsidRDefault="00074D32" w:rsidP="00074D32">
      <w:pPr>
        <w:pStyle w:val="SingleTxt"/>
        <w:ind w:left="1742" w:hanging="475"/>
        <w:jc w:val="left"/>
      </w:pPr>
      <w:r w:rsidRPr="00074D32">
        <w:t>6.</w:t>
      </w:r>
      <w:r w:rsidRPr="00074D32">
        <w:tab/>
        <w:t>Aplicación de los artículos 21 y 22 de la Convención.</w:t>
      </w:r>
    </w:p>
    <w:p w14:paraId="7C7C8A21" w14:textId="77777777" w:rsidR="00074D32" w:rsidRPr="00074D32" w:rsidRDefault="00074D32" w:rsidP="00074D32">
      <w:pPr>
        <w:pStyle w:val="SingleTxt"/>
        <w:ind w:left="1742" w:hanging="475"/>
        <w:jc w:val="left"/>
      </w:pPr>
      <w:r w:rsidRPr="00074D32">
        <w:t>7.</w:t>
      </w:r>
      <w:r w:rsidRPr="00074D32">
        <w:tab/>
        <w:t>Medios de agilizar los trabajos del Comité.</w:t>
      </w:r>
    </w:p>
    <w:p w14:paraId="50CC153D" w14:textId="77777777" w:rsidR="00074D32" w:rsidRPr="00074D32" w:rsidRDefault="00074D32" w:rsidP="00074D32">
      <w:pPr>
        <w:pStyle w:val="SingleTxt"/>
        <w:ind w:left="1742" w:hanging="475"/>
        <w:jc w:val="left"/>
      </w:pPr>
      <w:r w:rsidRPr="00074D32">
        <w:t>8.</w:t>
      </w:r>
      <w:r w:rsidRPr="00074D32">
        <w:tab/>
        <w:t>Actividades del Comité en relación con el Protocolo Facultativo de la Convención.</w:t>
      </w:r>
    </w:p>
    <w:p w14:paraId="4057ABBD" w14:textId="77777777" w:rsidR="00074D32" w:rsidRPr="00074D32" w:rsidRDefault="00074D32" w:rsidP="00074D32">
      <w:pPr>
        <w:pStyle w:val="SingleTxt"/>
        <w:jc w:val="left"/>
      </w:pPr>
      <w:r w:rsidRPr="00074D32">
        <w:t>9.</w:t>
      </w:r>
      <w:r w:rsidRPr="00074D32">
        <w:tab/>
        <w:t>Programa provisional del 91</w:t>
      </w:r>
      <w:r w:rsidRPr="00074D32">
        <w:rPr>
          <w:vertAlign w:val="superscript"/>
        </w:rPr>
        <w:t>er</w:t>
      </w:r>
      <w:r w:rsidRPr="00074D32">
        <w:t xml:space="preserve"> período de sesiones del Comité.</w:t>
      </w:r>
    </w:p>
    <w:p w14:paraId="7E643EAF" w14:textId="77777777" w:rsidR="00074D32" w:rsidRPr="00074D32" w:rsidRDefault="00074D32" w:rsidP="00074D32">
      <w:pPr>
        <w:pStyle w:val="SingleTxt"/>
        <w:jc w:val="left"/>
      </w:pPr>
      <w:r w:rsidRPr="00074D32">
        <w:t>10.</w:t>
      </w:r>
      <w:r w:rsidRPr="00074D32">
        <w:tab/>
        <w:t>Aprobación del informe del Comité sobre su 90º período de sesiones.</w:t>
      </w:r>
    </w:p>
    <w:p w14:paraId="66C5B549" w14:textId="77777777" w:rsidR="00074D32" w:rsidRPr="00074D32" w:rsidRDefault="00074D32" w:rsidP="00074D32">
      <w:pPr>
        <w:pStyle w:val="SingleTxt"/>
        <w:spacing w:after="0" w:line="120" w:lineRule="exact"/>
        <w:rPr>
          <w:sz w:val="10"/>
        </w:rPr>
      </w:pPr>
    </w:p>
    <w:p w14:paraId="0ACF9F22" w14:textId="77777777" w:rsidR="00074D32" w:rsidRPr="00074D32" w:rsidRDefault="00074D32" w:rsidP="00074D32">
      <w:pPr>
        <w:pStyle w:val="SingleTxt"/>
        <w:spacing w:after="0" w:line="120" w:lineRule="exact"/>
        <w:rPr>
          <w:sz w:val="10"/>
        </w:rPr>
      </w:pPr>
    </w:p>
    <w:p w14:paraId="2FA8024D" w14:textId="77777777" w:rsidR="00074D32" w:rsidRPr="00074D32" w:rsidRDefault="00074D32" w:rsidP="00074D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Anotaciones</w:t>
      </w:r>
    </w:p>
    <w:p w14:paraId="5B6CFFFD" w14:textId="77777777" w:rsidR="00074D32" w:rsidRPr="00074D32" w:rsidRDefault="00074D32" w:rsidP="00074D32">
      <w:pPr>
        <w:pStyle w:val="SingleTxt"/>
        <w:spacing w:after="0" w:line="120" w:lineRule="exact"/>
        <w:rPr>
          <w:sz w:val="10"/>
        </w:rPr>
      </w:pPr>
    </w:p>
    <w:p w14:paraId="70AF9B1D" w14:textId="77777777" w:rsidR="00074D32" w:rsidRPr="00074D32" w:rsidRDefault="00074D32" w:rsidP="00074D32">
      <w:pPr>
        <w:pStyle w:val="SingleTxt"/>
        <w:spacing w:after="0" w:line="120" w:lineRule="exact"/>
        <w:rPr>
          <w:sz w:val="10"/>
        </w:rPr>
      </w:pPr>
    </w:p>
    <w:p w14:paraId="0A3AE4B5"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1.</w:t>
      </w:r>
      <w:r w:rsidRPr="00074D32">
        <w:tab/>
        <w:t>Apertura del período de sesiones</w:t>
      </w:r>
    </w:p>
    <w:p w14:paraId="1064A00A" w14:textId="77777777" w:rsidR="00074D32" w:rsidRPr="00074D32" w:rsidRDefault="00074D32" w:rsidP="00074D32">
      <w:pPr>
        <w:pStyle w:val="SingleTxt"/>
        <w:spacing w:after="0" w:line="120" w:lineRule="exact"/>
        <w:rPr>
          <w:sz w:val="10"/>
        </w:rPr>
      </w:pPr>
    </w:p>
    <w:p w14:paraId="7F5C6084" w14:textId="77777777" w:rsidR="00074D32" w:rsidRPr="00074D32" w:rsidRDefault="00074D32" w:rsidP="00074D32">
      <w:pPr>
        <w:pStyle w:val="SingleTxt"/>
      </w:pPr>
      <w:r w:rsidRPr="00074D32">
        <w:t>El 90º período de sesiones del Comité para la Eliminación de la Discriminación contra la Mujer será inaugurado por la Presidencia del Comité el 3 de febrero de 2025.</w:t>
      </w:r>
    </w:p>
    <w:p w14:paraId="15EFB3B3" w14:textId="0A996F53" w:rsidR="00074D32" w:rsidRDefault="00074D32">
      <w:pPr>
        <w:suppressAutoHyphens w:val="0"/>
        <w:spacing w:after="160" w:line="259" w:lineRule="auto"/>
        <w:rPr>
          <w:kern w:val="14"/>
        </w:rPr>
      </w:pPr>
      <w:r>
        <w:br w:type="page"/>
      </w:r>
    </w:p>
    <w:p w14:paraId="27CD845D"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lastRenderedPageBreak/>
        <w:tab/>
        <w:t>2.</w:t>
      </w:r>
      <w:r w:rsidRPr="00074D32">
        <w:tab/>
        <w:t>Aprobación del programa y organización de los trabajos</w:t>
      </w:r>
    </w:p>
    <w:p w14:paraId="125BAF51" w14:textId="77777777" w:rsidR="00074D32" w:rsidRPr="00074D32" w:rsidRDefault="00074D32" w:rsidP="00074D32">
      <w:pPr>
        <w:pStyle w:val="SingleTxt"/>
        <w:spacing w:after="0" w:line="120" w:lineRule="exact"/>
        <w:rPr>
          <w:sz w:val="10"/>
        </w:rPr>
      </w:pPr>
    </w:p>
    <w:p w14:paraId="62616D7F" w14:textId="77777777" w:rsidR="00074D32" w:rsidRPr="00074D32" w:rsidRDefault="00074D32" w:rsidP="00074D32">
      <w:pPr>
        <w:pStyle w:val="SingleTxt"/>
      </w:pPr>
      <w:r w:rsidRPr="00074D32">
        <w:t>El artículo 9 del Reglamento dispone que el primer tema sustantivo del programa provisional de cada período de sesiones será la aprobación del programa. En el artículo 7 se establece que el Secretario General, en consulta con la Presidencia, preparará el programa provisional de cada período de sesiones, de conformidad con las disposiciones pertinentes de los artículos 17 a 22 de la Convención.</w:t>
      </w:r>
    </w:p>
    <w:p w14:paraId="4EB28E62" w14:textId="433FF9EB" w:rsidR="00074D32" w:rsidRPr="00074D32" w:rsidRDefault="00074D32" w:rsidP="00074D32">
      <w:pPr>
        <w:pStyle w:val="SingleTxt"/>
      </w:pPr>
      <w:r w:rsidRPr="00074D32">
        <w:t>En su 89º período de sesiones, el Comité aprobó el programa provisional de su 90º</w:t>
      </w:r>
      <w:r w:rsidR="001A11C2">
        <w:t> </w:t>
      </w:r>
      <w:r w:rsidRPr="00074D32">
        <w:t>período de sesiones.</w:t>
      </w:r>
    </w:p>
    <w:p w14:paraId="330D18FF" w14:textId="77777777" w:rsidR="00074D32" w:rsidRPr="00074D32" w:rsidRDefault="00074D32" w:rsidP="00074D32">
      <w:pPr>
        <w:pStyle w:val="SingleTxt"/>
        <w:spacing w:after="0" w:line="120" w:lineRule="exact"/>
        <w:rPr>
          <w:sz w:val="10"/>
        </w:rPr>
      </w:pPr>
    </w:p>
    <w:p w14:paraId="1884CED9" w14:textId="77777777" w:rsidR="00074D32" w:rsidRPr="00074D32" w:rsidRDefault="00074D32" w:rsidP="001A11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074D32">
        <w:tab/>
        <w:t>3.</w:t>
      </w:r>
      <w:r w:rsidRPr="00074D32">
        <w:tab/>
        <w:t>Informe de la Presidencia sobre las actividades realizadas entre los períodos de sesiones 89º y 90º del Comité</w:t>
      </w:r>
    </w:p>
    <w:p w14:paraId="3A001700" w14:textId="77777777" w:rsidR="00074D32" w:rsidRPr="00074D32" w:rsidRDefault="00074D32" w:rsidP="00074D32">
      <w:pPr>
        <w:pStyle w:val="SingleTxt"/>
        <w:spacing w:after="0" w:line="120" w:lineRule="exact"/>
        <w:rPr>
          <w:sz w:val="10"/>
        </w:rPr>
      </w:pPr>
    </w:p>
    <w:p w14:paraId="307F2F5F" w14:textId="77777777" w:rsidR="00074D32" w:rsidRPr="00074D32" w:rsidRDefault="00074D32" w:rsidP="00074D32">
      <w:pPr>
        <w:pStyle w:val="SingleTxt"/>
      </w:pPr>
      <w:r w:rsidRPr="00074D32">
        <w:t>La Presidencia informará al Comité sobre su participación en las actividades y los acontecimientos relacionados con la labor del Comité que hayan ocurrido desde el período de sesiones anterior.</w:t>
      </w:r>
    </w:p>
    <w:p w14:paraId="1A491739" w14:textId="77777777" w:rsidR="00074D32" w:rsidRPr="00074D32" w:rsidRDefault="00074D32" w:rsidP="00074D32">
      <w:pPr>
        <w:pStyle w:val="SingleTxt"/>
        <w:spacing w:after="0" w:line="120" w:lineRule="exact"/>
        <w:rPr>
          <w:sz w:val="10"/>
        </w:rPr>
      </w:pPr>
    </w:p>
    <w:p w14:paraId="010C92AB" w14:textId="77777777" w:rsidR="00074D32" w:rsidRPr="00074D32" w:rsidRDefault="00074D32" w:rsidP="00074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Documentación</w:t>
      </w:r>
    </w:p>
    <w:p w14:paraId="5A635CFF" w14:textId="77777777" w:rsidR="00074D32" w:rsidRPr="00074D32" w:rsidRDefault="00074D32" w:rsidP="00074D32">
      <w:pPr>
        <w:pStyle w:val="SingleTxt"/>
        <w:spacing w:after="0" w:line="120" w:lineRule="exact"/>
        <w:rPr>
          <w:sz w:val="10"/>
        </w:rPr>
      </w:pPr>
    </w:p>
    <w:p w14:paraId="30F3894A" w14:textId="126AF754" w:rsidR="00074D32" w:rsidRPr="00074D32" w:rsidRDefault="00074D32" w:rsidP="00074D32">
      <w:pPr>
        <w:pStyle w:val="SingleTxt"/>
      </w:pPr>
      <w:r w:rsidRPr="00074D32">
        <w:t>Programa provisional anotado (</w:t>
      </w:r>
      <w:hyperlink r:id="rId20" w:history="1">
        <w:r w:rsidRPr="00074D32">
          <w:rPr>
            <w:rStyle w:val="Hyperlink"/>
          </w:rPr>
          <w:t>CEDAW/C/90/1</w:t>
        </w:r>
      </w:hyperlink>
      <w:r w:rsidRPr="00074D32">
        <w:t>)</w:t>
      </w:r>
    </w:p>
    <w:p w14:paraId="09E6BB58" w14:textId="77777777" w:rsidR="00074D32" w:rsidRPr="00074D32" w:rsidRDefault="00074D32" w:rsidP="00074D32">
      <w:pPr>
        <w:pStyle w:val="SingleTxt"/>
        <w:spacing w:after="0" w:line="120" w:lineRule="exact"/>
        <w:rPr>
          <w:sz w:val="10"/>
        </w:rPr>
      </w:pPr>
    </w:p>
    <w:p w14:paraId="73ADE22D" w14:textId="161EDB3C"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4.</w:t>
      </w:r>
      <w:r w:rsidRPr="00074D32">
        <w:tab/>
        <w:t>Examen de los informes presentados por los Estados partes en virtud del artículo</w:t>
      </w:r>
      <w:r w:rsidR="001A11C2">
        <w:t> </w:t>
      </w:r>
      <w:r w:rsidRPr="00074D32">
        <w:t>18 de la Convención sobre la Eliminación de Todas las Formas de Discriminación contra la Mujer</w:t>
      </w:r>
    </w:p>
    <w:p w14:paraId="70CAD5ED" w14:textId="77777777" w:rsidR="00074D32" w:rsidRPr="00074D32" w:rsidRDefault="00074D32" w:rsidP="00074D32">
      <w:pPr>
        <w:pStyle w:val="SingleTxt"/>
        <w:spacing w:after="0" w:line="120" w:lineRule="exact"/>
        <w:rPr>
          <w:sz w:val="10"/>
        </w:rPr>
      </w:pPr>
    </w:p>
    <w:p w14:paraId="307DCF6C" w14:textId="77777777" w:rsidR="00074D32" w:rsidRPr="00074D32" w:rsidRDefault="00074D32" w:rsidP="00074D32">
      <w:pPr>
        <w:pStyle w:val="SingleTxt"/>
      </w:pPr>
      <w:r w:rsidRPr="00074D32">
        <w:t>El artículo 18 de la Convención dispone que los Estados partes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658B327B" w14:textId="77777777" w:rsidR="00074D32" w:rsidRPr="00074D32" w:rsidRDefault="00074D32" w:rsidP="00074D32">
      <w:pPr>
        <w:pStyle w:val="SingleTxt"/>
      </w:pPr>
      <w:r w:rsidRPr="00074D32">
        <w:t>Está previsto que el Comité examine los informes de los siguientes Estados partes en su 90º período de sesiones: Belarús, Belice, Congo, Liechtenstein, Luxemburgo, Nepal, República Democrática del Congo y Sri Lanka</w:t>
      </w:r>
    </w:p>
    <w:p w14:paraId="281C8721" w14:textId="77777777" w:rsidR="00074D32" w:rsidRPr="00074D32" w:rsidRDefault="00074D32" w:rsidP="00074D32">
      <w:pPr>
        <w:pStyle w:val="SingleTxt"/>
      </w:pPr>
      <w:r w:rsidRPr="00074D32">
        <w:t>El artículo 51 del Reglamento dispone que las delegaciones de los Estados partes podrán asistir a las sesiones del Comité en las que se vayan a examinar sus respectivos informes para participar en las deliberaciones y responder a las preguntas relativas a dichos informes.</w:t>
      </w:r>
    </w:p>
    <w:p w14:paraId="6978CCC9" w14:textId="77777777" w:rsidR="00074D32" w:rsidRPr="00074D32" w:rsidRDefault="00074D32" w:rsidP="00074D32">
      <w:pPr>
        <w:pStyle w:val="SingleTxt"/>
      </w:pPr>
      <w:r w:rsidRPr="00074D32">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5A552604" w14:textId="77777777" w:rsidR="00074D32" w:rsidRPr="00074D32" w:rsidRDefault="00074D32" w:rsidP="00074D32">
      <w:pPr>
        <w:pStyle w:val="SingleTxt"/>
      </w:pPr>
      <w:r w:rsidRPr="00074D32">
        <w:t>Antes de cada período de sesiones se reúne un grupo de trabajo del Comité con el fin de preparar listas de las cuestiones y preguntas relativas a los informes que hay que transmitir a los Estados partes antes de las sesiones en las que se vayan a examinar sus informes. La reunión del grupo de trabajo anterior al 90º período de sesiones, que estaba previsto celebrar del 3 al 7 de junio de 2024, se canceló debido a la crisis de liquidez que venía afectando al presupuesto ordinario de las Naciones Unidas.</w:t>
      </w:r>
    </w:p>
    <w:p w14:paraId="0FA04FFB" w14:textId="19817780" w:rsidR="00074D32" w:rsidRDefault="00074D32">
      <w:pPr>
        <w:suppressAutoHyphens w:val="0"/>
        <w:spacing w:after="160" w:line="259" w:lineRule="auto"/>
        <w:rPr>
          <w:kern w:val="14"/>
        </w:rPr>
      </w:pPr>
      <w:r>
        <w:br w:type="page"/>
      </w:r>
    </w:p>
    <w:p w14:paraId="14291293"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lastRenderedPageBreak/>
        <w:tab/>
      </w:r>
      <w:r w:rsidRPr="00074D32">
        <w:tab/>
        <w:t>Documentación</w:t>
      </w:r>
    </w:p>
    <w:p w14:paraId="06BA4256" w14:textId="77777777" w:rsidR="00074D32" w:rsidRPr="00074D32" w:rsidRDefault="00074D32" w:rsidP="00074D32">
      <w:pPr>
        <w:pStyle w:val="SingleTxt"/>
        <w:spacing w:after="0" w:line="120" w:lineRule="exact"/>
        <w:rPr>
          <w:sz w:val="10"/>
        </w:rPr>
      </w:pPr>
    </w:p>
    <w:p w14:paraId="328F81CF" w14:textId="77777777" w:rsidR="00074D32" w:rsidRPr="00074D32" w:rsidRDefault="00074D32" w:rsidP="00074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Informes</w:t>
      </w:r>
    </w:p>
    <w:p w14:paraId="4673AE40" w14:textId="77777777" w:rsidR="00074D32" w:rsidRPr="00074D32" w:rsidRDefault="00074D32" w:rsidP="00074D32">
      <w:pPr>
        <w:pStyle w:val="SingleTxt"/>
        <w:spacing w:after="0" w:line="120" w:lineRule="exact"/>
        <w:rPr>
          <w:sz w:val="10"/>
        </w:rPr>
      </w:pPr>
    </w:p>
    <w:p w14:paraId="5EF0B519" w14:textId="6A110725" w:rsidR="00074D32" w:rsidRPr="00074D32" w:rsidRDefault="00074D32" w:rsidP="00074D32">
      <w:pPr>
        <w:pStyle w:val="SingleTxt"/>
      </w:pPr>
      <w:r w:rsidRPr="00074D32">
        <w:t>Noveno informe periódico de Belarús, presentado conforme al procedimiento simplificado (</w:t>
      </w:r>
      <w:hyperlink r:id="rId21" w:history="1">
        <w:r w:rsidRPr="00074D32">
          <w:rPr>
            <w:rStyle w:val="Hyperlink"/>
          </w:rPr>
          <w:t>CEDAW/C/BLR/9</w:t>
        </w:r>
      </w:hyperlink>
      <w:r w:rsidRPr="00074D32">
        <w:t>)</w:t>
      </w:r>
    </w:p>
    <w:p w14:paraId="536076D8" w14:textId="3FE31998" w:rsidR="00074D32" w:rsidRPr="00074D32" w:rsidRDefault="00074D32" w:rsidP="00074D32">
      <w:pPr>
        <w:pStyle w:val="SingleTxt"/>
      </w:pPr>
      <w:r w:rsidRPr="00074D32">
        <w:t>Informes periódicos quinto a noveno combinados de Belice (</w:t>
      </w:r>
      <w:hyperlink r:id="rId22" w:history="1">
        <w:r w:rsidRPr="00074D32">
          <w:rPr>
            <w:rStyle w:val="Hyperlink"/>
          </w:rPr>
          <w:t>CEDAW/C/BLZ/5-9</w:t>
        </w:r>
      </w:hyperlink>
      <w:r w:rsidRPr="00074D32">
        <w:t>)</w:t>
      </w:r>
    </w:p>
    <w:p w14:paraId="36BC127D" w14:textId="39C15999" w:rsidR="00074D32" w:rsidRPr="00074D32" w:rsidRDefault="00074D32" w:rsidP="00074D32">
      <w:pPr>
        <w:pStyle w:val="SingleTxt"/>
      </w:pPr>
      <w:r w:rsidRPr="00074D32">
        <w:t>Octavo informe periódico del Congo (</w:t>
      </w:r>
      <w:hyperlink r:id="rId23" w:history="1">
        <w:r w:rsidRPr="00074D32">
          <w:rPr>
            <w:rStyle w:val="Hyperlink"/>
          </w:rPr>
          <w:t>CEDAW/C/COG/8</w:t>
        </w:r>
      </w:hyperlink>
      <w:r w:rsidRPr="00074D32">
        <w:t>)</w:t>
      </w:r>
    </w:p>
    <w:p w14:paraId="681E0CF7" w14:textId="43612178" w:rsidR="00074D32" w:rsidRPr="00074D32" w:rsidRDefault="00074D32" w:rsidP="00074D32">
      <w:pPr>
        <w:pStyle w:val="SingleTxt"/>
      </w:pPr>
      <w:r w:rsidRPr="00074D32">
        <w:t>Informe de carácter excepcional de la República Democrática del Congo (</w:t>
      </w:r>
      <w:hyperlink r:id="rId24" w:history="1">
        <w:r w:rsidRPr="00074D32">
          <w:rPr>
            <w:rStyle w:val="Hyperlink"/>
          </w:rPr>
          <w:t>CEDAW/C/COD/EP/1</w:t>
        </w:r>
      </w:hyperlink>
      <w:r w:rsidRPr="00074D32">
        <w:t>)</w:t>
      </w:r>
    </w:p>
    <w:p w14:paraId="63E44B7A" w14:textId="44F35978" w:rsidR="00074D32" w:rsidRPr="00074D32" w:rsidRDefault="00074D32" w:rsidP="00074D32">
      <w:pPr>
        <w:pStyle w:val="SingleTxt"/>
      </w:pPr>
      <w:r w:rsidRPr="00074D32">
        <w:t>Sexto informe periódico de Liechtenstein, presentado conforme al procedimiento simplificado (</w:t>
      </w:r>
      <w:hyperlink r:id="rId25" w:history="1">
        <w:r w:rsidRPr="00074D32">
          <w:rPr>
            <w:rStyle w:val="Hyperlink"/>
          </w:rPr>
          <w:t>CEDAW/C/LIE/6</w:t>
        </w:r>
      </w:hyperlink>
      <w:r w:rsidRPr="00074D32">
        <w:t>)</w:t>
      </w:r>
    </w:p>
    <w:p w14:paraId="483068CD" w14:textId="3D051540" w:rsidR="00074D32" w:rsidRPr="00074D32" w:rsidRDefault="00074D32" w:rsidP="00074D32">
      <w:pPr>
        <w:pStyle w:val="SingleTxt"/>
      </w:pPr>
      <w:r w:rsidRPr="00074D32">
        <w:t>Octavo informe periódico de Luxemburgo, presentado conforme al procedimiento simplificado (</w:t>
      </w:r>
      <w:hyperlink r:id="rId26" w:history="1">
        <w:r w:rsidRPr="00074D32">
          <w:rPr>
            <w:rStyle w:val="Hyperlink"/>
          </w:rPr>
          <w:t>CEDAW/C/LUX/8</w:t>
        </w:r>
      </w:hyperlink>
      <w:r w:rsidRPr="00074D32">
        <w:t>)</w:t>
      </w:r>
    </w:p>
    <w:p w14:paraId="04316661" w14:textId="1D2DDA80" w:rsidR="00074D32" w:rsidRPr="00074D32" w:rsidRDefault="00074D32" w:rsidP="00074D32">
      <w:pPr>
        <w:pStyle w:val="SingleTxt"/>
      </w:pPr>
      <w:r w:rsidRPr="00074D32">
        <w:t>Séptimo informe periódico de Nepal (</w:t>
      </w:r>
      <w:hyperlink r:id="rId27" w:history="1">
        <w:r w:rsidRPr="00074D32">
          <w:rPr>
            <w:rStyle w:val="Hyperlink"/>
          </w:rPr>
          <w:t>CEDAW/C/NPL/7</w:t>
        </w:r>
      </w:hyperlink>
      <w:r w:rsidRPr="00074D32">
        <w:t>)</w:t>
      </w:r>
    </w:p>
    <w:p w14:paraId="76314BE9" w14:textId="1E88DCAB" w:rsidR="00074D32" w:rsidRPr="00074D32" w:rsidRDefault="00074D32" w:rsidP="00074D32">
      <w:pPr>
        <w:pStyle w:val="SingleTxt"/>
      </w:pPr>
      <w:r w:rsidRPr="00074D32">
        <w:t>Noveno informe periódico de Sri Lanka (</w:t>
      </w:r>
      <w:hyperlink r:id="rId28" w:history="1">
        <w:r w:rsidRPr="00074D32">
          <w:rPr>
            <w:rStyle w:val="Hyperlink"/>
          </w:rPr>
          <w:t>CEDAW/C/LKA/9</w:t>
        </w:r>
      </w:hyperlink>
      <w:r w:rsidRPr="00074D32">
        <w:t>)</w:t>
      </w:r>
    </w:p>
    <w:p w14:paraId="5C3A1E15" w14:textId="77777777" w:rsidR="00074D32" w:rsidRPr="00074D32" w:rsidRDefault="00074D32" w:rsidP="00074D32">
      <w:pPr>
        <w:pStyle w:val="SingleTxt"/>
        <w:spacing w:after="0" w:line="120" w:lineRule="exact"/>
        <w:rPr>
          <w:sz w:val="10"/>
        </w:rPr>
      </w:pPr>
    </w:p>
    <w:p w14:paraId="3CA0EFF5" w14:textId="77777777" w:rsidR="00074D32" w:rsidRPr="00074D32" w:rsidRDefault="00074D32" w:rsidP="00074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Listas de cuestiones y preguntas</w:t>
      </w:r>
    </w:p>
    <w:p w14:paraId="05226C2A" w14:textId="77777777" w:rsidR="00074D32" w:rsidRPr="00074D32" w:rsidRDefault="00074D32" w:rsidP="00074D32">
      <w:pPr>
        <w:pStyle w:val="SingleTxt"/>
        <w:spacing w:after="0" w:line="120" w:lineRule="exact"/>
        <w:rPr>
          <w:sz w:val="10"/>
        </w:rPr>
      </w:pPr>
    </w:p>
    <w:p w14:paraId="149C38CA" w14:textId="54B2262C" w:rsidR="00074D32" w:rsidRPr="00074D32" w:rsidRDefault="00074D32" w:rsidP="00074D32">
      <w:pPr>
        <w:pStyle w:val="SingleTxt"/>
      </w:pPr>
      <w:r w:rsidRPr="00074D32">
        <w:t>Belarús (</w:t>
      </w:r>
      <w:hyperlink r:id="rId29" w:history="1">
        <w:r w:rsidRPr="00074D32">
          <w:rPr>
            <w:rStyle w:val="Hyperlink"/>
          </w:rPr>
          <w:t>CEDAW/C/BLR/QPR/9</w:t>
        </w:r>
      </w:hyperlink>
      <w:r w:rsidRPr="00074D32">
        <w:t>)</w:t>
      </w:r>
    </w:p>
    <w:p w14:paraId="483B5355" w14:textId="35C7BE1E" w:rsidR="00074D32" w:rsidRPr="00074D32" w:rsidRDefault="00074D32" w:rsidP="00074D32">
      <w:pPr>
        <w:pStyle w:val="SingleTxt"/>
      </w:pPr>
      <w:r w:rsidRPr="00074D32">
        <w:t>Belice (</w:t>
      </w:r>
      <w:hyperlink r:id="rId30" w:history="1">
        <w:r w:rsidRPr="00074D32">
          <w:rPr>
            <w:rStyle w:val="Hyperlink"/>
          </w:rPr>
          <w:t>CEDAW/C/BLZ/Q/5-9</w:t>
        </w:r>
      </w:hyperlink>
      <w:r w:rsidRPr="00074D32">
        <w:t>)</w:t>
      </w:r>
    </w:p>
    <w:p w14:paraId="26F8B554" w14:textId="7302B3F9" w:rsidR="00074D32" w:rsidRPr="00074D32" w:rsidRDefault="00074D32" w:rsidP="00074D32">
      <w:pPr>
        <w:pStyle w:val="SingleTxt"/>
      </w:pPr>
      <w:r w:rsidRPr="00074D32">
        <w:t>Congo (</w:t>
      </w:r>
      <w:hyperlink r:id="rId31" w:history="1">
        <w:r w:rsidRPr="00074D32">
          <w:rPr>
            <w:rStyle w:val="Hyperlink"/>
          </w:rPr>
          <w:t>CEDAW/C/COG/Q/8</w:t>
        </w:r>
      </w:hyperlink>
      <w:r w:rsidRPr="00074D32">
        <w:t>)</w:t>
      </w:r>
    </w:p>
    <w:p w14:paraId="2E511C00" w14:textId="4A25DC13" w:rsidR="00074D32" w:rsidRPr="00074D32" w:rsidRDefault="00074D32" w:rsidP="00074D32">
      <w:pPr>
        <w:pStyle w:val="SingleTxt"/>
      </w:pPr>
      <w:r w:rsidRPr="00074D32">
        <w:t>República Democrática del Congo (</w:t>
      </w:r>
      <w:hyperlink r:id="rId32" w:history="1">
        <w:r w:rsidRPr="00074D32">
          <w:rPr>
            <w:rStyle w:val="Hyperlink"/>
          </w:rPr>
          <w:t>CEDAW/C/COD/QPR/EP/1</w:t>
        </w:r>
      </w:hyperlink>
      <w:r w:rsidRPr="00074D32">
        <w:t>)</w:t>
      </w:r>
    </w:p>
    <w:p w14:paraId="78AC0696" w14:textId="1593B7FF" w:rsidR="00074D32" w:rsidRPr="00074D32" w:rsidRDefault="00074D32" w:rsidP="00074D32">
      <w:pPr>
        <w:pStyle w:val="SingleTxt"/>
      </w:pPr>
      <w:r w:rsidRPr="00074D32">
        <w:t>Liechtenstein (</w:t>
      </w:r>
      <w:hyperlink r:id="rId33" w:history="1">
        <w:r w:rsidRPr="00074D32">
          <w:rPr>
            <w:rStyle w:val="Hyperlink"/>
          </w:rPr>
          <w:t>CEDAW/C/LIE/QPR/6</w:t>
        </w:r>
      </w:hyperlink>
      <w:r w:rsidRPr="00074D32">
        <w:t>)</w:t>
      </w:r>
    </w:p>
    <w:p w14:paraId="7A85997B" w14:textId="16169C0B" w:rsidR="00074D32" w:rsidRPr="00074D32" w:rsidRDefault="00074D32" w:rsidP="00074D32">
      <w:pPr>
        <w:pStyle w:val="SingleTxt"/>
      </w:pPr>
      <w:r w:rsidRPr="00074D32">
        <w:t>Luxemburgo (</w:t>
      </w:r>
      <w:hyperlink r:id="rId34" w:history="1">
        <w:r w:rsidRPr="00074D32">
          <w:rPr>
            <w:rStyle w:val="Hyperlink"/>
          </w:rPr>
          <w:t>CEDAW/C/LUX/QPR/8</w:t>
        </w:r>
      </w:hyperlink>
      <w:r w:rsidRPr="00074D32">
        <w:t>)</w:t>
      </w:r>
    </w:p>
    <w:p w14:paraId="725E0096" w14:textId="7E0A5E08" w:rsidR="00074D32" w:rsidRPr="00074D32" w:rsidRDefault="00074D32" w:rsidP="00074D32">
      <w:pPr>
        <w:pStyle w:val="SingleTxt"/>
      </w:pPr>
      <w:r w:rsidRPr="00074D32">
        <w:t>Nepal (</w:t>
      </w:r>
      <w:hyperlink r:id="rId35" w:history="1">
        <w:r w:rsidRPr="00074D32">
          <w:rPr>
            <w:rStyle w:val="Hyperlink"/>
          </w:rPr>
          <w:t>CEDAW/C/NPL/Q/7</w:t>
        </w:r>
      </w:hyperlink>
      <w:r w:rsidRPr="00074D32">
        <w:t>)</w:t>
      </w:r>
    </w:p>
    <w:p w14:paraId="1B4972E8" w14:textId="4786B940" w:rsidR="00074D32" w:rsidRPr="00074D32" w:rsidRDefault="00074D32" w:rsidP="00074D32">
      <w:pPr>
        <w:pStyle w:val="SingleTxt"/>
      </w:pPr>
      <w:r w:rsidRPr="00074D32">
        <w:t>Sri Lanka (</w:t>
      </w:r>
      <w:hyperlink r:id="rId36" w:history="1">
        <w:r w:rsidRPr="00074D32">
          <w:rPr>
            <w:rStyle w:val="Hyperlink"/>
          </w:rPr>
          <w:t>CEDAW/C/LKA/Q/9</w:t>
        </w:r>
      </w:hyperlink>
      <w:r w:rsidRPr="00074D32">
        <w:t>)</w:t>
      </w:r>
    </w:p>
    <w:p w14:paraId="6BC9DDDC" w14:textId="77777777" w:rsidR="00074D32" w:rsidRPr="00074D32" w:rsidRDefault="00074D32" w:rsidP="00074D32">
      <w:pPr>
        <w:pStyle w:val="SingleTxt"/>
        <w:spacing w:after="0" w:line="120" w:lineRule="exact"/>
        <w:rPr>
          <w:sz w:val="10"/>
        </w:rPr>
      </w:pPr>
    </w:p>
    <w:p w14:paraId="3A5127E0" w14:textId="77777777" w:rsidR="00074D32" w:rsidRPr="00074D32" w:rsidRDefault="00074D32" w:rsidP="00074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Respuestas a las listas de cuestiones y preguntas</w:t>
      </w:r>
    </w:p>
    <w:p w14:paraId="56738607" w14:textId="77777777" w:rsidR="00074D32" w:rsidRPr="00074D32" w:rsidRDefault="00074D32" w:rsidP="00074D32">
      <w:pPr>
        <w:pStyle w:val="SingleTxt"/>
        <w:spacing w:after="0" w:line="120" w:lineRule="exact"/>
        <w:rPr>
          <w:sz w:val="10"/>
        </w:rPr>
      </w:pPr>
    </w:p>
    <w:p w14:paraId="28E9A997" w14:textId="6D81D037" w:rsidR="00074D32" w:rsidRPr="00074D32" w:rsidRDefault="00074D32" w:rsidP="00074D32">
      <w:pPr>
        <w:pStyle w:val="SingleTxt"/>
      </w:pPr>
      <w:r w:rsidRPr="00074D32">
        <w:t>Belice (</w:t>
      </w:r>
      <w:hyperlink r:id="rId37" w:history="1">
        <w:r w:rsidRPr="00074D32">
          <w:rPr>
            <w:rStyle w:val="Hyperlink"/>
          </w:rPr>
          <w:t>CEDAW/C/BLZ/RQ/5-9</w:t>
        </w:r>
      </w:hyperlink>
      <w:r w:rsidRPr="00074D32">
        <w:t>)</w:t>
      </w:r>
    </w:p>
    <w:p w14:paraId="271BC0AD" w14:textId="1784D4F7" w:rsidR="00074D32" w:rsidRPr="00074D32" w:rsidRDefault="00074D32" w:rsidP="00074D32">
      <w:pPr>
        <w:pStyle w:val="SingleTxt"/>
      </w:pPr>
      <w:r w:rsidRPr="00074D32">
        <w:t>Congo (</w:t>
      </w:r>
      <w:hyperlink r:id="rId38" w:history="1">
        <w:r w:rsidRPr="00074D32">
          <w:rPr>
            <w:rStyle w:val="Hyperlink"/>
          </w:rPr>
          <w:t>CEDAW/C/COG/RQ/8</w:t>
        </w:r>
      </w:hyperlink>
      <w:r w:rsidRPr="00074D32">
        <w:t>)</w:t>
      </w:r>
    </w:p>
    <w:p w14:paraId="6EBB76E0" w14:textId="1427AEE2" w:rsidR="00074D32" w:rsidRPr="00074D32" w:rsidRDefault="00074D32" w:rsidP="00074D32">
      <w:pPr>
        <w:pStyle w:val="SingleTxt"/>
      </w:pPr>
      <w:r w:rsidRPr="00074D32">
        <w:t>Nepal (</w:t>
      </w:r>
      <w:hyperlink r:id="rId39" w:history="1">
        <w:r w:rsidRPr="00074D32">
          <w:rPr>
            <w:rStyle w:val="Hyperlink"/>
          </w:rPr>
          <w:t>CEDAW/C/NPL/RQ/7</w:t>
        </w:r>
      </w:hyperlink>
      <w:r w:rsidRPr="00074D32">
        <w:t>)</w:t>
      </w:r>
    </w:p>
    <w:p w14:paraId="28CC5AE6" w14:textId="547C3296" w:rsidR="00074D32" w:rsidRPr="00074D32" w:rsidRDefault="00074D32" w:rsidP="00074D32">
      <w:pPr>
        <w:pStyle w:val="SingleTxt"/>
      </w:pPr>
      <w:r w:rsidRPr="00074D32">
        <w:t>Sri Lanka (</w:t>
      </w:r>
      <w:hyperlink r:id="rId40" w:history="1">
        <w:r w:rsidRPr="00074D32">
          <w:rPr>
            <w:rStyle w:val="Hyperlink"/>
          </w:rPr>
          <w:t>CEDAW/C/LKA/RQ/9</w:t>
        </w:r>
      </w:hyperlink>
      <w:r w:rsidRPr="00074D32">
        <w:t>)</w:t>
      </w:r>
    </w:p>
    <w:p w14:paraId="42C7F635" w14:textId="77777777" w:rsidR="00074D32" w:rsidRPr="00074D32" w:rsidRDefault="00074D32" w:rsidP="00074D32">
      <w:pPr>
        <w:pStyle w:val="SingleTxt"/>
        <w:spacing w:after="0" w:line="120" w:lineRule="exact"/>
        <w:rPr>
          <w:sz w:val="10"/>
        </w:rPr>
      </w:pPr>
    </w:p>
    <w:p w14:paraId="0C3D2221" w14:textId="77777777" w:rsidR="00074D32" w:rsidRPr="00074D32" w:rsidRDefault="00074D32" w:rsidP="001A11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074D32">
        <w:tab/>
        <w:t>5.</w:t>
      </w:r>
      <w:r w:rsidRPr="00074D32">
        <w:tab/>
        <w:t>Seguimiento del examen de los informes presentados por los Estados partes en virtud del artículo 18 de la Convención</w:t>
      </w:r>
    </w:p>
    <w:p w14:paraId="2052FB6C" w14:textId="77777777" w:rsidR="00074D32" w:rsidRPr="00074D32" w:rsidRDefault="00074D32" w:rsidP="00074D32">
      <w:pPr>
        <w:pStyle w:val="SingleTxt"/>
        <w:spacing w:after="0" w:line="120" w:lineRule="exact"/>
        <w:rPr>
          <w:sz w:val="10"/>
        </w:rPr>
      </w:pPr>
    </w:p>
    <w:p w14:paraId="2A8410E3" w14:textId="77777777" w:rsidR="00074D32" w:rsidRPr="00074D32" w:rsidRDefault="00074D32" w:rsidP="00074D32">
      <w:pPr>
        <w:pStyle w:val="SingleTxt"/>
      </w:pPr>
      <w:r w:rsidRPr="00074D32">
        <w:t>El Comité examinará cuestiones relacionadas con el seguimiento de las observaciones finales.</w:t>
      </w:r>
    </w:p>
    <w:p w14:paraId="2788A637" w14:textId="77777777" w:rsidR="00074D32" w:rsidRPr="00074D32" w:rsidRDefault="00074D32" w:rsidP="00074D32">
      <w:pPr>
        <w:pStyle w:val="SingleTxt"/>
        <w:spacing w:after="0" w:line="120" w:lineRule="exact"/>
        <w:rPr>
          <w:sz w:val="10"/>
        </w:rPr>
      </w:pPr>
    </w:p>
    <w:p w14:paraId="405D45FA"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6.</w:t>
      </w:r>
      <w:r w:rsidRPr="00074D32">
        <w:tab/>
        <w:t>Aplicación de los artículos 21 y 22 de la Convención</w:t>
      </w:r>
    </w:p>
    <w:p w14:paraId="555251EC" w14:textId="77777777" w:rsidR="00074D32" w:rsidRPr="00074D32" w:rsidRDefault="00074D32" w:rsidP="00074D32">
      <w:pPr>
        <w:pStyle w:val="SingleTxt"/>
        <w:spacing w:after="0" w:line="120" w:lineRule="exact"/>
        <w:rPr>
          <w:sz w:val="10"/>
        </w:rPr>
      </w:pPr>
    </w:p>
    <w:p w14:paraId="521DBD39" w14:textId="77777777" w:rsidR="00074D32" w:rsidRPr="00074D32" w:rsidRDefault="00074D32" w:rsidP="00074D32">
      <w:pPr>
        <w:pStyle w:val="SingleTxt"/>
      </w:pPr>
      <w:r w:rsidRPr="00074D32">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59F12286" w14:textId="77777777" w:rsidR="00074D32" w:rsidRPr="00074D32" w:rsidRDefault="00074D32" w:rsidP="00074D32">
      <w:pPr>
        <w:pStyle w:val="SingleTxt"/>
      </w:pPr>
      <w:r w:rsidRPr="00074D32">
        <w:lastRenderedPageBreak/>
        <w:t>El artículo 22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12C66153" w14:textId="77777777" w:rsidR="00074D32" w:rsidRPr="00074D32" w:rsidRDefault="00074D32" w:rsidP="00074D32">
      <w:pPr>
        <w:pStyle w:val="SingleTxt"/>
        <w:spacing w:after="0" w:line="120" w:lineRule="exact"/>
        <w:rPr>
          <w:sz w:val="10"/>
        </w:rPr>
      </w:pPr>
    </w:p>
    <w:p w14:paraId="5F905D2E" w14:textId="77777777" w:rsidR="00074D32" w:rsidRPr="00074D32" w:rsidRDefault="00074D32" w:rsidP="00074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Documentación</w:t>
      </w:r>
    </w:p>
    <w:p w14:paraId="4053981C" w14:textId="77777777" w:rsidR="00074D32" w:rsidRPr="00074D32" w:rsidRDefault="00074D32" w:rsidP="00074D32">
      <w:pPr>
        <w:pStyle w:val="SingleTxt"/>
        <w:spacing w:after="0" w:line="120" w:lineRule="exact"/>
        <w:rPr>
          <w:sz w:val="10"/>
        </w:rPr>
      </w:pPr>
    </w:p>
    <w:p w14:paraId="61FF4150" w14:textId="77777777" w:rsidR="00074D32" w:rsidRPr="00074D32" w:rsidRDefault="00074D32" w:rsidP="00074D32">
      <w:pPr>
        <w:pStyle w:val="SingleTxt"/>
      </w:pPr>
      <w:r w:rsidRPr="00074D32">
        <w:t>Informes presentados por los organismos especializados del sistema de las Naciones Unidas sobre la aplicación de la Convención en la esfera de sus actividades.</w:t>
      </w:r>
    </w:p>
    <w:p w14:paraId="18797D6C" w14:textId="77777777" w:rsidR="00074D32" w:rsidRPr="00074D32" w:rsidRDefault="00074D32" w:rsidP="00074D32">
      <w:pPr>
        <w:pStyle w:val="SingleTxt"/>
        <w:spacing w:after="0" w:line="120" w:lineRule="exact"/>
        <w:rPr>
          <w:sz w:val="10"/>
        </w:rPr>
      </w:pPr>
    </w:p>
    <w:p w14:paraId="07CD462B"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7.</w:t>
      </w:r>
      <w:r w:rsidRPr="00074D32">
        <w:tab/>
        <w:t>Medios de agilizar los trabajos del Comité</w:t>
      </w:r>
    </w:p>
    <w:p w14:paraId="6909A05B" w14:textId="77777777" w:rsidR="00074D32" w:rsidRPr="00074D32" w:rsidRDefault="00074D32" w:rsidP="00074D32">
      <w:pPr>
        <w:pStyle w:val="SingleTxt"/>
        <w:spacing w:after="0" w:line="120" w:lineRule="exact"/>
        <w:rPr>
          <w:sz w:val="10"/>
        </w:rPr>
      </w:pPr>
    </w:p>
    <w:p w14:paraId="3159C0DD" w14:textId="77777777" w:rsidR="00074D32" w:rsidRPr="00074D32" w:rsidRDefault="00074D32" w:rsidP="00074D32">
      <w:pPr>
        <w:pStyle w:val="SingleTxt"/>
      </w:pPr>
      <w:r w:rsidRPr="00074D32">
        <w:t>El Comité examinará cuestiones relacionadas con sus métodos de trabajo.</w:t>
      </w:r>
    </w:p>
    <w:p w14:paraId="5B48B726" w14:textId="77777777" w:rsidR="00074D32" w:rsidRPr="00074D32" w:rsidRDefault="00074D32" w:rsidP="00074D32">
      <w:pPr>
        <w:pStyle w:val="SingleTxt"/>
        <w:spacing w:after="0" w:line="120" w:lineRule="exact"/>
        <w:rPr>
          <w:sz w:val="10"/>
        </w:rPr>
      </w:pPr>
    </w:p>
    <w:p w14:paraId="0FA716FB"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8.</w:t>
      </w:r>
      <w:r w:rsidRPr="00074D32">
        <w:tab/>
        <w:t>Actividades del Comité en relación con el Protocolo Facultativo de la Convención</w:t>
      </w:r>
    </w:p>
    <w:p w14:paraId="18295D6C" w14:textId="77777777" w:rsidR="00074D32" w:rsidRPr="00074D32" w:rsidRDefault="00074D32" w:rsidP="00074D32">
      <w:pPr>
        <w:pStyle w:val="SingleTxt"/>
        <w:spacing w:after="0" w:line="120" w:lineRule="exact"/>
        <w:rPr>
          <w:sz w:val="10"/>
        </w:rPr>
      </w:pPr>
    </w:p>
    <w:p w14:paraId="05F1C198" w14:textId="77777777" w:rsidR="00074D32" w:rsidRPr="00074D32" w:rsidRDefault="00074D32" w:rsidP="00074D32">
      <w:pPr>
        <w:pStyle w:val="SingleTxt"/>
      </w:pPr>
      <w:r w:rsidRPr="00074D32">
        <w:t>El 61</w:t>
      </w:r>
      <w:r w:rsidRPr="00074D32">
        <w:rPr>
          <w:vertAlign w:val="superscript"/>
        </w:rPr>
        <w:t>er</w:t>
      </w:r>
      <w:r w:rsidRPr="00074D32">
        <w:t xml:space="preserve"> período de sesiones del Grupo de Trabajo sobre las Comunicaciones </w:t>
      </w:r>
      <w:r w:rsidRPr="00074D32">
        <w:rPr>
          <w:spacing w:val="2"/>
        </w:rPr>
        <w:t>presentadas en virtud del Protocolo Facultativo se celebrará en Ginebra del 29 al 31 de</w:t>
      </w:r>
      <w:r w:rsidRPr="00074D32">
        <w:t xml:space="preserve"> enero de 2025.</w:t>
      </w:r>
    </w:p>
    <w:p w14:paraId="269C9107" w14:textId="77777777" w:rsidR="00074D32" w:rsidRPr="00074D32" w:rsidRDefault="00074D32" w:rsidP="00074D32">
      <w:pPr>
        <w:pStyle w:val="SingleTxt"/>
      </w:pPr>
      <w:r w:rsidRPr="00074D32">
        <w:t>El 30º período de sesiones del Grupo de Trabajo sobre Investigaciones con arreglo al Protocolo Facultativo se celebrará en Ginebra los días 30 y 31 de enero de 2025.</w:t>
      </w:r>
    </w:p>
    <w:p w14:paraId="5F7484D8" w14:textId="77777777" w:rsidR="00074D32" w:rsidRPr="00074D32" w:rsidRDefault="00074D32" w:rsidP="00074D32">
      <w:pPr>
        <w:pStyle w:val="SingleTxt"/>
      </w:pPr>
      <w:r w:rsidRPr="00074D32">
        <w:t>En su 90º período de sesiones, el Comité continuará cumpliendo su mandato en virtud de los artículos 2 y 8 del Protocolo Facultativo de la Convención.</w:t>
      </w:r>
    </w:p>
    <w:p w14:paraId="1419415E" w14:textId="77777777" w:rsidR="00074D32" w:rsidRPr="00074D32" w:rsidRDefault="00074D32" w:rsidP="00074D32">
      <w:pPr>
        <w:pStyle w:val="SingleTxt"/>
        <w:spacing w:after="0" w:line="120" w:lineRule="exact"/>
        <w:rPr>
          <w:sz w:val="10"/>
        </w:rPr>
      </w:pPr>
    </w:p>
    <w:p w14:paraId="27ED6008" w14:textId="77777777" w:rsidR="00074D32" w:rsidRP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9.</w:t>
      </w:r>
      <w:r w:rsidRPr="00074D32">
        <w:tab/>
        <w:t>Programa provisional del 91</w:t>
      </w:r>
      <w:r w:rsidRPr="00074D32">
        <w:rPr>
          <w:vertAlign w:val="superscript"/>
        </w:rPr>
        <w:t>er</w:t>
      </w:r>
      <w:r w:rsidRPr="00074D32">
        <w:t xml:space="preserve"> período de sesiones del Comité</w:t>
      </w:r>
    </w:p>
    <w:p w14:paraId="5889E52D" w14:textId="77777777" w:rsidR="00074D32" w:rsidRPr="00074D32" w:rsidRDefault="00074D32" w:rsidP="00074D32">
      <w:pPr>
        <w:pStyle w:val="SingleTxt"/>
        <w:spacing w:after="0" w:line="120" w:lineRule="exact"/>
        <w:rPr>
          <w:sz w:val="10"/>
        </w:rPr>
      </w:pPr>
    </w:p>
    <w:p w14:paraId="3D29DA1F" w14:textId="77777777" w:rsidR="00074D32" w:rsidRPr="00074D32" w:rsidRDefault="00074D32" w:rsidP="00074D3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r>
      <w:r w:rsidRPr="00074D32">
        <w:tab/>
        <w:t>Documentación</w:t>
      </w:r>
    </w:p>
    <w:p w14:paraId="09A1AAE3" w14:textId="77777777" w:rsidR="00074D32" w:rsidRPr="00074D32" w:rsidRDefault="00074D32" w:rsidP="00074D32">
      <w:pPr>
        <w:pStyle w:val="SingleTxt"/>
        <w:spacing w:after="0" w:line="120" w:lineRule="exact"/>
        <w:rPr>
          <w:sz w:val="10"/>
        </w:rPr>
      </w:pPr>
    </w:p>
    <w:p w14:paraId="1A256EDB" w14:textId="086D04B8" w:rsidR="00074D32" w:rsidRPr="00074D32" w:rsidRDefault="00074D32" w:rsidP="00074D32">
      <w:pPr>
        <w:pStyle w:val="SingleTxt"/>
      </w:pPr>
      <w:r w:rsidRPr="00074D32">
        <w:t>Programa provisional anotado del 91</w:t>
      </w:r>
      <w:r w:rsidRPr="00074D32">
        <w:rPr>
          <w:vertAlign w:val="superscript"/>
        </w:rPr>
        <w:t>er</w:t>
      </w:r>
      <w:r w:rsidRPr="00074D32">
        <w:t xml:space="preserve"> período de sesiones (</w:t>
      </w:r>
      <w:hyperlink r:id="rId41" w:history="1">
        <w:r w:rsidRPr="00074D32">
          <w:rPr>
            <w:rStyle w:val="Hyperlink"/>
          </w:rPr>
          <w:t>CEDAW/C/91/1</w:t>
        </w:r>
      </w:hyperlink>
      <w:r w:rsidRPr="00074D32">
        <w:t>)</w:t>
      </w:r>
    </w:p>
    <w:p w14:paraId="7860EBE8" w14:textId="77620046" w:rsidR="00074D32" w:rsidRDefault="00074D32" w:rsidP="00074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D32">
        <w:tab/>
        <w:t>10.</w:t>
      </w:r>
      <w:r w:rsidRPr="00074D32">
        <w:tab/>
        <w:t>Aprobación del informe del Comité sobre su 90º período de sesiones</w:t>
      </w:r>
    </w:p>
    <w:p w14:paraId="711393AD" w14:textId="77777777" w:rsidR="00074D32" w:rsidRPr="00074D32" w:rsidRDefault="00074D32" w:rsidP="00074D32">
      <w:pPr>
        <w:pStyle w:val="SingleTxt"/>
        <w:spacing w:after="0" w:line="120" w:lineRule="exact"/>
        <w:rPr>
          <w:sz w:val="10"/>
        </w:rPr>
      </w:pPr>
    </w:p>
    <w:p w14:paraId="259187B7" w14:textId="17AE5AC5" w:rsidR="00074D32" w:rsidRPr="00074D32" w:rsidRDefault="00074D32" w:rsidP="00074D32">
      <w:pPr>
        <w:pStyle w:val="SingleTxt"/>
      </w:pPr>
      <w:r>
        <w:rPr>
          <w:noProof/>
          <w:w w:val="100"/>
        </w:rPr>
        <mc:AlternateContent>
          <mc:Choice Requires="wps">
            <w:drawing>
              <wp:anchor distT="0" distB="0" distL="114300" distR="114300" simplePos="0" relativeHeight="251659264" behindDoc="0" locked="0" layoutInCell="1" allowOverlap="1" wp14:anchorId="16DD08CB" wp14:editId="19B354FC">
                <wp:simplePos x="0" y="0"/>
                <wp:positionH relativeFrom="column">
                  <wp:posOffset>2669540</wp:posOffset>
                </wp:positionH>
                <wp:positionV relativeFrom="paragraph">
                  <wp:posOffset>304800</wp:posOffset>
                </wp:positionV>
                <wp:extent cx="914400" cy="0"/>
                <wp:effectExtent l="0" t="0" r="0" b="0"/>
                <wp:wrapNone/>
                <wp:docPr id="6168910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C4D75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74D32" w:rsidRPr="00074D32" w:rsidSect="00074D3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9T10:34:00Z" w:initials="Start">
    <w:p w14:paraId="666387A6" w14:textId="77777777" w:rsidR="00450B49" w:rsidRPr="00B11704" w:rsidRDefault="00450B49">
      <w:pPr>
        <w:pStyle w:val="CommentText"/>
        <w:rPr>
          <w:lang w:val="en-US"/>
        </w:rPr>
      </w:pPr>
      <w:r>
        <w:rPr>
          <w:rStyle w:val="CommentReference"/>
        </w:rPr>
        <w:annotationRef/>
      </w:r>
      <w:r w:rsidRPr="00B11704">
        <w:rPr>
          <w:lang w:val="en-US"/>
        </w:rPr>
        <w:t>&lt;&lt;ODS JOB NO&gt;&gt;N2435942S&lt;&lt;ODS JOB NO&gt;&gt;</w:t>
      </w:r>
    </w:p>
    <w:p w14:paraId="2ECA6DB6" w14:textId="77777777" w:rsidR="00450B49" w:rsidRDefault="00450B49">
      <w:pPr>
        <w:pStyle w:val="CommentText"/>
      </w:pPr>
      <w:r>
        <w:t>&lt;&lt;ODS DOC SYMBOL1&gt;&gt;CEDAW/C/90/1&lt;&lt;ODS DOC SYMBOL1&gt;&gt;</w:t>
      </w:r>
    </w:p>
    <w:p w14:paraId="7DB2435B" w14:textId="26DFA57A" w:rsidR="00450B49" w:rsidRDefault="00450B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DB243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37C7ED3" w16cex:dateUtc="2024-12-09T15: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DB2435B" w16cid:durableId="137C7E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3C165" w14:textId="77777777" w:rsidR="00AC0A08" w:rsidRDefault="00AC0A08" w:rsidP="00331D20">
      <w:r>
        <w:separator/>
      </w:r>
    </w:p>
  </w:endnote>
  <w:endnote w:type="continuationSeparator" w:id="0">
    <w:p w14:paraId="06021DBD" w14:textId="77777777" w:rsidR="00AC0A08" w:rsidRDefault="00AC0A0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50B49" w14:paraId="0EF6FAA3" w14:textId="77777777" w:rsidTr="00450B49">
      <w:tc>
        <w:tcPr>
          <w:tcW w:w="4920" w:type="dxa"/>
          <w:shd w:val="clear" w:color="auto" w:fill="auto"/>
          <w:vAlign w:val="bottom"/>
        </w:tcPr>
        <w:p w14:paraId="076FDA77" w14:textId="474A4FD0" w:rsidR="00450B49" w:rsidRPr="00450B49" w:rsidRDefault="00450B49" w:rsidP="00450B49">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691CBFCD" w14:textId="25AB3CDF" w:rsidR="00450B49" w:rsidRPr="00450B49" w:rsidRDefault="00450B49" w:rsidP="00450B4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3028">
            <w:rPr>
              <w:b w:val="0"/>
              <w:color w:val="000000"/>
              <w:sz w:val="14"/>
            </w:rPr>
            <w:t>24-21867</w:t>
          </w:r>
          <w:r>
            <w:rPr>
              <w:b w:val="0"/>
              <w:color w:val="000000"/>
              <w:sz w:val="14"/>
            </w:rPr>
            <w:fldChar w:fldCharType="end"/>
          </w:r>
        </w:p>
      </w:tc>
    </w:tr>
  </w:tbl>
  <w:p w14:paraId="7AB49A99" w14:textId="77777777" w:rsidR="00450B49" w:rsidRPr="00450B49" w:rsidRDefault="00450B49" w:rsidP="00450B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450B49" w14:paraId="1396B696" w14:textId="77777777" w:rsidTr="00450B49">
      <w:tc>
        <w:tcPr>
          <w:tcW w:w="4920" w:type="dxa"/>
          <w:shd w:val="clear" w:color="auto" w:fill="auto"/>
          <w:vAlign w:val="bottom"/>
        </w:tcPr>
        <w:p w14:paraId="0D1A4747" w14:textId="1A767C85" w:rsidR="00450B49" w:rsidRPr="00450B49" w:rsidRDefault="00450B49" w:rsidP="00450B4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53028">
            <w:rPr>
              <w:b w:val="0"/>
              <w:color w:val="000000"/>
              <w:sz w:val="14"/>
            </w:rPr>
            <w:t>24-21867</w:t>
          </w:r>
          <w:r>
            <w:rPr>
              <w:b w:val="0"/>
              <w:color w:val="000000"/>
              <w:sz w:val="14"/>
            </w:rPr>
            <w:fldChar w:fldCharType="end"/>
          </w:r>
        </w:p>
      </w:tc>
      <w:tc>
        <w:tcPr>
          <w:tcW w:w="4920" w:type="dxa"/>
          <w:shd w:val="clear" w:color="auto" w:fill="auto"/>
          <w:vAlign w:val="bottom"/>
        </w:tcPr>
        <w:p w14:paraId="442D2950" w14:textId="3A8DA0FF" w:rsidR="00450B49" w:rsidRPr="00450B49" w:rsidRDefault="00450B49" w:rsidP="00450B4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0A697D0" w14:textId="77777777" w:rsidR="00450B49" w:rsidRPr="00450B49" w:rsidRDefault="00450B49" w:rsidP="00450B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F805C5" w14:textId="4E92A6F6" w:rsidR="00450B49" w:rsidRPr="00450B49" w:rsidRDefault="00450B49" w:rsidP="00450B49">
    <w:pPr>
      <w:pStyle w:val="Footer"/>
      <w:spacing w:line="120" w:lineRule="exact"/>
      <w:rPr>
        <w:b w:val="0"/>
        <w:sz w:val="10"/>
      </w:rPr>
    </w:pPr>
    <w:r>
      <w:rPr>
        <w:b w:val="0"/>
        <w:sz w:val="10"/>
      </w:rPr>
      <w:drawing>
        <wp:anchor distT="0" distB="0" distL="114300" distR="114300" simplePos="0" relativeHeight="251658240" behindDoc="0" locked="0" layoutInCell="1" allowOverlap="1" wp14:anchorId="04358E13" wp14:editId="73EA46FD">
          <wp:simplePos x="0" y="0"/>
          <wp:positionH relativeFrom="column">
            <wp:posOffset>5568315</wp:posOffset>
          </wp:positionH>
          <wp:positionV relativeFrom="paragraph">
            <wp:posOffset>-283210</wp:posOffset>
          </wp:positionV>
          <wp:extent cx="694690" cy="694690"/>
          <wp:effectExtent l="0" t="0" r="0" b="0"/>
          <wp:wrapNone/>
          <wp:docPr id="219938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50B49" w14:paraId="354A230E" w14:textId="77777777" w:rsidTr="00450B49">
      <w:tc>
        <w:tcPr>
          <w:tcW w:w="3830" w:type="dxa"/>
          <w:shd w:val="clear" w:color="auto" w:fill="auto"/>
        </w:tcPr>
        <w:p w14:paraId="76321C4E" w14:textId="77777777" w:rsidR="00450B49" w:rsidRDefault="00450B49" w:rsidP="00450B49">
          <w:pPr>
            <w:pStyle w:val="ReleaseDate"/>
          </w:pPr>
          <w:r>
            <w:t>24-21867 (S)    091224    091224</w:t>
          </w:r>
        </w:p>
        <w:p w14:paraId="7533B896" w14:textId="7B74C89B" w:rsidR="00450B49" w:rsidRPr="00450B49" w:rsidRDefault="00450B49" w:rsidP="00450B4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*2421867*</w:t>
          </w:r>
        </w:p>
      </w:tc>
      <w:tc>
        <w:tcPr>
          <w:tcW w:w="4920" w:type="dxa"/>
          <w:shd w:val="clear" w:color="auto" w:fill="auto"/>
          <w:vAlign w:val="bottom"/>
        </w:tcPr>
        <w:p w14:paraId="5C3D4342" w14:textId="33367041" w:rsidR="00450B49" w:rsidRDefault="00450B49" w:rsidP="00450B49">
          <w:pPr>
            <w:pStyle w:val="Footer"/>
            <w:ind w:right="115"/>
            <w:jc w:val="right"/>
            <w:rPr>
              <w:b w:val="0"/>
              <w:sz w:val="20"/>
            </w:rPr>
          </w:pPr>
          <w:r>
            <w:rPr>
              <w:b w:val="0"/>
              <w:sz w:val="20"/>
            </w:rPr>
            <w:drawing>
              <wp:inline distT="0" distB="0" distL="0" distR="0" wp14:anchorId="4A7D4E1F" wp14:editId="249622EA">
                <wp:extent cx="1082042" cy="231648"/>
                <wp:effectExtent l="0" t="0" r="3810" b="0"/>
                <wp:docPr id="414189165" name="Picture 2"/>
                <wp:cNvGraphicFramePr/>
                <a:graphic xmlns:a="http://schemas.openxmlformats.org/drawingml/2006/main">
                  <a:graphicData uri="http://schemas.openxmlformats.org/drawingml/2006/picture">
                    <pic:pic xmlns:pic="http://schemas.openxmlformats.org/drawingml/2006/picture">
                      <pic:nvPicPr>
                        <pic:cNvPr id="41418916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A3889BE" w14:textId="77777777" w:rsidR="00450B49" w:rsidRPr="00450B49" w:rsidRDefault="00450B49" w:rsidP="00450B4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918EC" w14:textId="77777777" w:rsidR="00AC0A08" w:rsidRDefault="00AC0A08" w:rsidP="00331D20">
      <w:r>
        <w:separator/>
      </w:r>
    </w:p>
  </w:footnote>
  <w:footnote w:type="continuationSeparator" w:id="0">
    <w:p w14:paraId="594054F1" w14:textId="77777777" w:rsidR="00AC0A08" w:rsidRDefault="00AC0A0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0B49" w14:paraId="57E40C96" w14:textId="77777777" w:rsidTr="00450B49">
      <w:trPr>
        <w:trHeight w:hRule="exact" w:val="864"/>
      </w:trPr>
      <w:tc>
        <w:tcPr>
          <w:tcW w:w="4920" w:type="dxa"/>
          <w:shd w:val="clear" w:color="auto" w:fill="auto"/>
          <w:vAlign w:val="bottom"/>
        </w:tcPr>
        <w:p w14:paraId="145F342A" w14:textId="7A79FBA2" w:rsidR="00450B49" w:rsidRPr="00450B49" w:rsidRDefault="00450B49" w:rsidP="00450B49">
          <w:pPr>
            <w:pStyle w:val="Header"/>
            <w:spacing w:after="80"/>
            <w:rPr>
              <w:b/>
            </w:rPr>
          </w:pPr>
          <w:r>
            <w:rPr>
              <w:b/>
            </w:rPr>
            <w:fldChar w:fldCharType="begin"/>
          </w:r>
          <w:r>
            <w:rPr>
              <w:b/>
            </w:rPr>
            <w:instrText xml:space="preserve"> DOCVARIABLE "Symbol1" \* MERGEFORMAT </w:instrText>
          </w:r>
          <w:r>
            <w:rPr>
              <w:b/>
            </w:rPr>
            <w:fldChar w:fldCharType="separate"/>
          </w:r>
          <w:r w:rsidR="00053028">
            <w:rPr>
              <w:b/>
            </w:rPr>
            <w:t>CEDAW/C/90/1</w:t>
          </w:r>
          <w:r>
            <w:rPr>
              <w:b/>
            </w:rPr>
            <w:fldChar w:fldCharType="end"/>
          </w:r>
        </w:p>
      </w:tc>
      <w:tc>
        <w:tcPr>
          <w:tcW w:w="4920" w:type="dxa"/>
          <w:shd w:val="clear" w:color="auto" w:fill="auto"/>
          <w:vAlign w:val="bottom"/>
        </w:tcPr>
        <w:p w14:paraId="2360E954" w14:textId="77777777" w:rsidR="00450B49" w:rsidRDefault="00450B49" w:rsidP="00450B49">
          <w:pPr>
            <w:pStyle w:val="Header"/>
          </w:pPr>
        </w:p>
      </w:tc>
    </w:tr>
  </w:tbl>
  <w:p w14:paraId="76473806" w14:textId="77777777" w:rsidR="00450B49" w:rsidRPr="00450B49" w:rsidRDefault="00450B49" w:rsidP="00450B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0B49" w14:paraId="05575E33" w14:textId="77777777" w:rsidTr="00450B49">
      <w:trPr>
        <w:trHeight w:hRule="exact" w:val="864"/>
      </w:trPr>
      <w:tc>
        <w:tcPr>
          <w:tcW w:w="4920" w:type="dxa"/>
          <w:shd w:val="clear" w:color="auto" w:fill="auto"/>
          <w:vAlign w:val="bottom"/>
        </w:tcPr>
        <w:p w14:paraId="1BE70C22" w14:textId="77777777" w:rsidR="00450B49" w:rsidRDefault="00450B49" w:rsidP="00450B49">
          <w:pPr>
            <w:pStyle w:val="Header"/>
          </w:pPr>
        </w:p>
      </w:tc>
      <w:tc>
        <w:tcPr>
          <w:tcW w:w="4920" w:type="dxa"/>
          <w:shd w:val="clear" w:color="auto" w:fill="auto"/>
          <w:vAlign w:val="bottom"/>
        </w:tcPr>
        <w:p w14:paraId="09C929DB" w14:textId="7CD70D3A" w:rsidR="00450B49" w:rsidRPr="00450B49" w:rsidRDefault="00450B49" w:rsidP="00450B49">
          <w:pPr>
            <w:pStyle w:val="Header"/>
            <w:spacing w:after="80"/>
            <w:jc w:val="right"/>
            <w:rPr>
              <w:b/>
            </w:rPr>
          </w:pPr>
          <w:r>
            <w:rPr>
              <w:b/>
            </w:rPr>
            <w:fldChar w:fldCharType="begin"/>
          </w:r>
          <w:r>
            <w:rPr>
              <w:b/>
            </w:rPr>
            <w:instrText xml:space="preserve"> DOCVARIABLE "Symbol1" \* MERGEFORMAT </w:instrText>
          </w:r>
          <w:r>
            <w:rPr>
              <w:b/>
            </w:rPr>
            <w:fldChar w:fldCharType="separate"/>
          </w:r>
          <w:r w:rsidR="00053028">
            <w:rPr>
              <w:b/>
            </w:rPr>
            <w:t>CEDAW/C/90/1</w:t>
          </w:r>
          <w:r>
            <w:rPr>
              <w:b/>
            </w:rPr>
            <w:fldChar w:fldCharType="end"/>
          </w:r>
        </w:p>
      </w:tc>
    </w:tr>
  </w:tbl>
  <w:p w14:paraId="79B04415" w14:textId="77777777" w:rsidR="00450B49" w:rsidRPr="00450B49" w:rsidRDefault="00450B49" w:rsidP="00450B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50B49" w14:paraId="4B92CD65" w14:textId="77777777" w:rsidTr="00450B49">
      <w:trPr>
        <w:gridAfter w:val="1"/>
        <w:wAfter w:w="15" w:type="dxa"/>
        <w:trHeight w:hRule="exact" w:val="864"/>
      </w:trPr>
      <w:tc>
        <w:tcPr>
          <w:tcW w:w="1267" w:type="dxa"/>
          <w:tcBorders>
            <w:bottom w:val="single" w:sz="4" w:space="0" w:color="auto"/>
          </w:tcBorders>
          <w:shd w:val="clear" w:color="auto" w:fill="auto"/>
          <w:vAlign w:val="bottom"/>
        </w:tcPr>
        <w:p w14:paraId="7434AEFA" w14:textId="77777777" w:rsidR="00450B49" w:rsidRDefault="00450B49" w:rsidP="00450B49">
          <w:pPr>
            <w:pStyle w:val="Header"/>
            <w:spacing w:after="120"/>
          </w:pPr>
        </w:p>
      </w:tc>
      <w:tc>
        <w:tcPr>
          <w:tcW w:w="2059" w:type="dxa"/>
          <w:tcBorders>
            <w:bottom w:val="single" w:sz="4" w:space="0" w:color="auto"/>
          </w:tcBorders>
          <w:shd w:val="clear" w:color="auto" w:fill="auto"/>
          <w:vAlign w:val="bottom"/>
        </w:tcPr>
        <w:p w14:paraId="24299DBD" w14:textId="1A57B59A" w:rsidR="00450B49" w:rsidRPr="00450B49" w:rsidRDefault="00450B49" w:rsidP="00450B4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B952B4E" w14:textId="77777777" w:rsidR="00450B49" w:rsidRDefault="00450B49" w:rsidP="00450B49">
          <w:pPr>
            <w:pStyle w:val="Header"/>
            <w:spacing w:after="120"/>
          </w:pPr>
        </w:p>
      </w:tc>
      <w:tc>
        <w:tcPr>
          <w:tcW w:w="6480" w:type="dxa"/>
          <w:gridSpan w:val="3"/>
          <w:tcBorders>
            <w:bottom w:val="single" w:sz="4" w:space="0" w:color="auto"/>
          </w:tcBorders>
          <w:shd w:val="clear" w:color="auto" w:fill="auto"/>
          <w:vAlign w:val="bottom"/>
        </w:tcPr>
        <w:p w14:paraId="54AB52C2" w14:textId="435D8F4D" w:rsidR="00450B49" w:rsidRPr="00450B49" w:rsidRDefault="00450B49" w:rsidP="00450B49">
          <w:pPr>
            <w:spacing w:after="80" w:line="240" w:lineRule="auto"/>
            <w:jc w:val="right"/>
            <w:rPr>
              <w:position w:val="-4"/>
            </w:rPr>
          </w:pPr>
          <w:r>
            <w:rPr>
              <w:position w:val="-4"/>
              <w:sz w:val="40"/>
            </w:rPr>
            <w:t>CEDAW</w:t>
          </w:r>
          <w:r>
            <w:rPr>
              <w:position w:val="-4"/>
            </w:rPr>
            <w:t>/C/90/1</w:t>
          </w:r>
        </w:p>
      </w:tc>
    </w:tr>
    <w:tr w:rsidR="00450B49" w:rsidRPr="00450B49" w14:paraId="2928B941" w14:textId="77777777" w:rsidTr="00450B49">
      <w:trPr>
        <w:trHeight w:hRule="exact" w:val="2880"/>
      </w:trPr>
      <w:tc>
        <w:tcPr>
          <w:tcW w:w="1267" w:type="dxa"/>
          <w:tcBorders>
            <w:top w:val="single" w:sz="4" w:space="0" w:color="auto"/>
            <w:bottom w:val="single" w:sz="12" w:space="0" w:color="auto"/>
          </w:tcBorders>
          <w:shd w:val="clear" w:color="auto" w:fill="auto"/>
        </w:tcPr>
        <w:p w14:paraId="59DE6B44" w14:textId="63CBB614" w:rsidR="00450B49" w:rsidRPr="00450B49" w:rsidRDefault="00450B49" w:rsidP="00450B49">
          <w:pPr>
            <w:pStyle w:val="Header"/>
            <w:spacing w:before="120"/>
            <w:jc w:val="center"/>
          </w:pPr>
          <w:r>
            <w:t xml:space="preserve"> </w:t>
          </w:r>
          <w:r>
            <w:drawing>
              <wp:inline distT="0" distB="0" distL="0" distR="0" wp14:anchorId="19151035" wp14:editId="4F5E46DC">
                <wp:extent cx="713232" cy="597103"/>
                <wp:effectExtent l="0" t="0" r="0" b="0"/>
                <wp:docPr id="1490835624" name="Picture 1"/>
                <wp:cNvGraphicFramePr/>
                <a:graphic xmlns:a="http://schemas.openxmlformats.org/drawingml/2006/main">
                  <a:graphicData uri="http://schemas.openxmlformats.org/drawingml/2006/picture">
                    <pic:pic xmlns:pic="http://schemas.openxmlformats.org/drawingml/2006/picture">
                      <pic:nvPicPr>
                        <pic:cNvPr id="149083562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C5E5CC" w14:textId="6ED144DA" w:rsidR="00450B49" w:rsidRPr="00450B49" w:rsidRDefault="00450B49" w:rsidP="00450B4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70D91A2" w14:textId="77777777" w:rsidR="00450B49" w:rsidRPr="00074D32" w:rsidRDefault="00450B49" w:rsidP="00450B4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AF9BAA5" w14:textId="77777777" w:rsidR="00450B49" w:rsidRDefault="00450B49" w:rsidP="00450B49">
          <w:pPr>
            <w:pStyle w:val="Distribution"/>
            <w:spacing w:before="240"/>
          </w:pPr>
          <w:r>
            <w:t>Distr. general</w:t>
          </w:r>
        </w:p>
        <w:p w14:paraId="4EE57F22" w14:textId="77777777" w:rsidR="00450B49" w:rsidRDefault="00450B49" w:rsidP="00450B49">
          <w:pPr>
            <w:pStyle w:val="Publication"/>
          </w:pPr>
          <w:r>
            <w:t>21 de noviembre de 2024</w:t>
          </w:r>
        </w:p>
        <w:p w14:paraId="0A409775" w14:textId="77777777" w:rsidR="00450B49" w:rsidRDefault="00450B49" w:rsidP="00450B49">
          <w:r>
            <w:t>Español</w:t>
          </w:r>
        </w:p>
        <w:p w14:paraId="1AF879C9" w14:textId="77777777" w:rsidR="00450B49" w:rsidRDefault="00450B49" w:rsidP="00450B49">
          <w:pPr>
            <w:pStyle w:val="Original"/>
          </w:pPr>
          <w:r>
            <w:t>Original: inglés</w:t>
          </w:r>
        </w:p>
        <w:p w14:paraId="79BE84AC" w14:textId="77777777" w:rsidR="00B11704" w:rsidRPr="00B11704" w:rsidRDefault="00B11704" w:rsidP="00B11704">
          <w:pPr>
            <w:spacing w:line="120" w:lineRule="exact"/>
            <w:rPr>
              <w:sz w:val="10"/>
            </w:rPr>
          </w:pPr>
        </w:p>
        <w:p w14:paraId="5E98DB7A" w14:textId="0FBDA70E" w:rsidR="00450B49" w:rsidRPr="00450B49" w:rsidRDefault="00074D32" w:rsidP="00074D32">
          <w:r w:rsidRPr="00074D32">
            <w:t>Español, francés e inglés únicamente</w:t>
          </w:r>
        </w:p>
      </w:tc>
    </w:tr>
  </w:tbl>
  <w:p w14:paraId="7D53CBB5" w14:textId="77777777" w:rsidR="00450B49" w:rsidRPr="00074D32" w:rsidRDefault="00450B49" w:rsidP="00450B4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Ginebra, 3 a 21 de febrero de 2025_x000d_"/>
    <w:docVar w:name="Agenda2" w:val="Tema 2 del programa provisional_x000d_"/>
    <w:docVar w:name="Barcode" w:val="*2421867*"/>
    <w:docVar w:name="CreationDt" w:val="09/12/2024 10:33 AM"/>
    <w:docVar w:name="DocCategory" w:val="Doc"/>
    <w:docVar w:name="DocType" w:val="Final"/>
    <w:docVar w:name="DutyStation" w:val="New York"/>
    <w:docVar w:name="FooterJN" w:val="24-21867"/>
    <w:docVar w:name="jobn" w:val="24-21867 (S)"/>
    <w:docVar w:name="jobnDT" w:val="24-21867 (S)   091224"/>
    <w:docVar w:name="jobnDTDT" w:val="24-21867 (S)   091224   091224"/>
    <w:docVar w:name="JobNo" w:val="2421867S"/>
    <w:docVar w:name="JobNo2" w:val="243594210:33 AM"/>
    <w:docVar w:name="LocalDrive" w:val="-1"/>
    <w:docVar w:name="OandT" w:val="pl"/>
    <w:docVar w:name="Session1" w:val="90º período de sesiones_x000d_"/>
    <w:docVar w:name="sss1" w:val="CEDAW/C/90/1"/>
    <w:docVar w:name="sss2" w:val="-"/>
    <w:docVar w:name="Symbol1" w:val="CEDAW/C/90/1"/>
    <w:docVar w:name="Symbol2" w:val="-"/>
    <w:docVar w:name="Title1" w:val="_x0009__x0009_Programa provisional anotado_x000d_"/>
    <w:docVar w:name="Title2" w:val="_x0009__x0009_Programa provisional_x000d_"/>
  </w:docVars>
  <w:rsids>
    <w:rsidRoot w:val="00401A04"/>
    <w:rsid w:val="00001169"/>
    <w:rsid w:val="00001967"/>
    <w:rsid w:val="00007643"/>
    <w:rsid w:val="00007C26"/>
    <w:rsid w:val="00032014"/>
    <w:rsid w:val="000518E7"/>
    <w:rsid w:val="00053028"/>
    <w:rsid w:val="00060DBF"/>
    <w:rsid w:val="00070BDC"/>
    <w:rsid w:val="00074D32"/>
    <w:rsid w:val="00077C91"/>
    <w:rsid w:val="00083DF9"/>
    <w:rsid w:val="00085784"/>
    <w:rsid w:val="00091B4A"/>
    <w:rsid w:val="00094C1F"/>
    <w:rsid w:val="00097641"/>
    <w:rsid w:val="000A1886"/>
    <w:rsid w:val="000B72AF"/>
    <w:rsid w:val="000B7A80"/>
    <w:rsid w:val="000F0141"/>
    <w:rsid w:val="00105618"/>
    <w:rsid w:val="001325B0"/>
    <w:rsid w:val="00151F81"/>
    <w:rsid w:val="00171CDD"/>
    <w:rsid w:val="00183535"/>
    <w:rsid w:val="00197796"/>
    <w:rsid w:val="001978D5"/>
    <w:rsid w:val="00197F69"/>
    <w:rsid w:val="001A11C2"/>
    <w:rsid w:val="001A531A"/>
    <w:rsid w:val="001D40CD"/>
    <w:rsid w:val="001E0D46"/>
    <w:rsid w:val="00203B21"/>
    <w:rsid w:val="0021594D"/>
    <w:rsid w:val="002201DA"/>
    <w:rsid w:val="00247400"/>
    <w:rsid w:val="00262B32"/>
    <w:rsid w:val="00264D86"/>
    <w:rsid w:val="0027492E"/>
    <w:rsid w:val="002835C9"/>
    <w:rsid w:val="002A0B37"/>
    <w:rsid w:val="002A7E56"/>
    <w:rsid w:val="002B27BE"/>
    <w:rsid w:val="002B3315"/>
    <w:rsid w:val="002B78E0"/>
    <w:rsid w:val="002D1A82"/>
    <w:rsid w:val="002D20B1"/>
    <w:rsid w:val="002D3AD3"/>
    <w:rsid w:val="002D4476"/>
    <w:rsid w:val="002D5C25"/>
    <w:rsid w:val="002D6080"/>
    <w:rsid w:val="002D6A12"/>
    <w:rsid w:val="002E1006"/>
    <w:rsid w:val="002E625C"/>
    <w:rsid w:val="002F61A6"/>
    <w:rsid w:val="00307D4F"/>
    <w:rsid w:val="00315700"/>
    <w:rsid w:val="003171A7"/>
    <w:rsid w:val="00317BB9"/>
    <w:rsid w:val="0032704C"/>
    <w:rsid w:val="00331772"/>
    <w:rsid w:val="00331D20"/>
    <w:rsid w:val="00365FD7"/>
    <w:rsid w:val="00367AF6"/>
    <w:rsid w:val="00372963"/>
    <w:rsid w:val="00383066"/>
    <w:rsid w:val="003834C6"/>
    <w:rsid w:val="00397816"/>
    <w:rsid w:val="003B6A8B"/>
    <w:rsid w:val="003C1B64"/>
    <w:rsid w:val="003C437A"/>
    <w:rsid w:val="003E5E54"/>
    <w:rsid w:val="003F0D40"/>
    <w:rsid w:val="003F75F8"/>
    <w:rsid w:val="00401A04"/>
    <w:rsid w:val="00403221"/>
    <w:rsid w:val="004130B5"/>
    <w:rsid w:val="00422410"/>
    <w:rsid w:val="004231FC"/>
    <w:rsid w:val="00443D21"/>
    <w:rsid w:val="00450B2B"/>
    <w:rsid w:val="00450B49"/>
    <w:rsid w:val="00454606"/>
    <w:rsid w:val="00464854"/>
    <w:rsid w:val="0047638E"/>
    <w:rsid w:val="004764B0"/>
    <w:rsid w:val="00481221"/>
    <w:rsid w:val="00482C6C"/>
    <w:rsid w:val="00492571"/>
    <w:rsid w:val="00495E7B"/>
    <w:rsid w:val="0049669D"/>
    <w:rsid w:val="0049730B"/>
    <w:rsid w:val="004B0756"/>
    <w:rsid w:val="004D3FB1"/>
    <w:rsid w:val="004F5722"/>
    <w:rsid w:val="00511D96"/>
    <w:rsid w:val="005200B6"/>
    <w:rsid w:val="005212AC"/>
    <w:rsid w:val="00521B5E"/>
    <w:rsid w:val="00526FE1"/>
    <w:rsid w:val="0053449C"/>
    <w:rsid w:val="005375F5"/>
    <w:rsid w:val="005405CD"/>
    <w:rsid w:val="00541B8E"/>
    <w:rsid w:val="0054211F"/>
    <w:rsid w:val="00545358"/>
    <w:rsid w:val="00546705"/>
    <w:rsid w:val="00551186"/>
    <w:rsid w:val="005610B1"/>
    <w:rsid w:val="0056682C"/>
    <w:rsid w:val="0057635A"/>
    <w:rsid w:val="005812D2"/>
    <w:rsid w:val="005874B4"/>
    <w:rsid w:val="00591B3B"/>
    <w:rsid w:val="005C3ACB"/>
    <w:rsid w:val="005D1220"/>
    <w:rsid w:val="005D4F00"/>
    <w:rsid w:val="005E2DD7"/>
    <w:rsid w:val="00603A84"/>
    <w:rsid w:val="00607858"/>
    <w:rsid w:val="006109C4"/>
    <w:rsid w:val="0061405D"/>
    <w:rsid w:val="00617324"/>
    <w:rsid w:val="00625D10"/>
    <w:rsid w:val="00630E0A"/>
    <w:rsid w:val="00641CC8"/>
    <w:rsid w:val="00647214"/>
    <w:rsid w:val="006607DC"/>
    <w:rsid w:val="006670E5"/>
    <w:rsid w:val="006774C0"/>
    <w:rsid w:val="006951FD"/>
    <w:rsid w:val="00696193"/>
    <w:rsid w:val="006B12CC"/>
    <w:rsid w:val="006C7738"/>
    <w:rsid w:val="006F44B8"/>
    <w:rsid w:val="007113CC"/>
    <w:rsid w:val="00714D7A"/>
    <w:rsid w:val="00715A83"/>
    <w:rsid w:val="00720771"/>
    <w:rsid w:val="00721459"/>
    <w:rsid w:val="00727155"/>
    <w:rsid w:val="00732CDA"/>
    <w:rsid w:val="00746B51"/>
    <w:rsid w:val="00747352"/>
    <w:rsid w:val="00755D1E"/>
    <w:rsid w:val="00760DE9"/>
    <w:rsid w:val="007633C9"/>
    <w:rsid w:val="007726A9"/>
    <w:rsid w:val="0077431A"/>
    <w:rsid w:val="00780AC4"/>
    <w:rsid w:val="007B4CD6"/>
    <w:rsid w:val="007B652F"/>
    <w:rsid w:val="007D1252"/>
    <w:rsid w:val="007E2BC3"/>
    <w:rsid w:val="007E6909"/>
    <w:rsid w:val="0080556E"/>
    <w:rsid w:val="008138CB"/>
    <w:rsid w:val="008236C0"/>
    <w:rsid w:val="008432F3"/>
    <w:rsid w:val="0084607F"/>
    <w:rsid w:val="00847E94"/>
    <w:rsid w:val="00847EB7"/>
    <w:rsid w:val="0085215D"/>
    <w:rsid w:val="00863195"/>
    <w:rsid w:val="008632AA"/>
    <w:rsid w:val="00871053"/>
    <w:rsid w:val="00877270"/>
    <w:rsid w:val="0088056D"/>
    <w:rsid w:val="0089112D"/>
    <w:rsid w:val="008A2590"/>
    <w:rsid w:val="008A2E4F"/>
    <w:rsid w:val="008B4FFB"/>
    <w:rsid w:val="008C1DCB"/>
    <w:rsid w:val="008C4160"/>
    <w:rsid w:val="008D1893"/>
    <w:rsid w:val="008F11CA"/>
    <w:rsid w:val="008F36A4"/>
    <w:rsid w:val="008F41A6"/>
    <w:rsid w:val="009070F7"/>
    <w:rsid w:val="00913D1F"/>
    <w:rsid w:val="0093065B"/>
    <w:rsid w:val="00930763"/>
    <w:rsid w:val="00934689"/>
    <w:rsid w:val="00947767"/>
    <w:rsid w:val="00964AA0"/>
    <w:rsid w:val="00971FC9"/>
    <w:rsid w:val="00972931"/>
    <w:rsid w:val="0098134D"/>
    <w:rsid w:val="00985654"/>
    <w:rsid w:val="00987AED"/>
    <w:rsid w:val="00991B54"/>
    <w:rsid w:val="009941AE"/>
    <w:rsid w:val="009B00E9"/>
    <w:rsid w:val="009B2E6F"/>
    <w:rsid w:val="009C0603"/>
    <w:rsid w:val="009C3C95"/>
    <w:rsid w:val="009D56BA"/>
    <w:rsid w:val="009E3AD0"/>
    <w:rsid w:val="00A0649D"/>
    <w:rsid w:val="00A11A29"/>
    <w:rsid w:val="00A207CA"/>
    <w:rsid w:val="00A22C10"/>
    <w:rsid w:val="00A307EA"/>
    <w:rsid w:val="00A4271E"/>
    <w:rsid w:val="00A55A4D"/>
    <w:rsid w:val="00A641FE"/>
    <w:rsid w:val="00A72797"/>
    <w:rsid w:val="00A812DB"/>
    <w:rsid w:val="00A962BF"/>
    <w:rsid w:val="00AA29EE"/>
    <w:rsid w:val="00AC017A"/>
    <w:rsid w:val="00AC0525"/>
    <w:rsid w:val="00AC0A08"/>
    <w:rsid w:val="00AC0CCE"/>
    <w:rsid w:val="00AD41F0"/>
    <w:rsid w:val="00AD70FB"/>
    <w:rsid w:val="00AE7D1D"/>
    <w:rsid w:val="00AF22B5"/>
    <w:rsid w:val="00AF2BDF"/>
    <w:rsid w:val="00B03182"/>
    <w:rsid w:val="00B11704"/>
    <w:rsid w:val="00B125A0"/>
    <w:rsid w:val="00B13097"/>
    <w:rsid w:val="00B243ED"/>
    <w:rsid w:val="00B272FA"/>
    <w:rsid w:val="00B27698"/>
    <w:rsid w:val="00B43769"/>
    <w:rsid w:val="00B56E3D"/>
    <w:rsid w:val="00B7299C"/>
    <w:rsid w:val="00B757EF"/>
    <w:rsid w:val="00B80503"/>
    <w:rsid w:val="00B901FD"/>
    <w:rsid w:val="00B904B9"/>
    <w:rsid w:val="00B914F9"/>
    <w:rsid w:val="00BA1996"/>
    <w:rsid w:val="00BB6105"/>
    <w:rsid w:val="00BC2065"/>
    <w:rsid w:val="00BC2C8A"/>
    <w:rsid w:val="00BC521C"/>
    <w:rsid w:val="00BC79B3"/>
    <w:rsid w:val="00BD0E4D"/>
    <w:rsid w:val="00BD2698"/>
    <w:rsid w:val="00BF7245"/>
    <w:rsid w:val="00C13CF1"/>
    <w:rsid w:val="00C15988"/>
    <w:rsid w:val="00C16A02"/>
    <w:rsid w:val="00C16D72"/>
    <w:rsid w:val="00C174A0"/>
    <w:rsid w:val="00C21ADB"/>
    <w:rsid w:val="00C27F6E"/>
    <w:rsid w:val="00C445A1"/>
    <w:rsid w:val="00C46334"/>
    <w:rsid w:val="00C474FC"/>
    <w:rsid w:val="00C60123"/>
    <w:rsid w:val="00C6119A"/>
    <w:rsid w:val="00C6742E"/>
    <w:rsid w:val="00C8661A"/>
    <w:rsid w:val="00C96548"/>
    <w:rsid w:val="00CC2D86"/>
    <w:rsid w:val="00CC3FCF"/>
    <w:rsid w:val="00CE0E7F"/>
    <w:rsid w:val="00CE35F9"/>
    <w:rsid w:val="00CF4BC2"/>
    <w:rsid w:val="00D052FD"/>
    <w:rsid w:val="00D23FFB"/>
    <w:rsid w:val="00D35B45"/>
    <w:rsid w:val="00D409D0"/>
    <w:rsid w:val="00D74A71"/>
    <w:rsid w:val="00D767B9"/>
    <w:rsid w:val="00D77817"/>
    <w:rsid w:val="00D8035D"/>
    <w:rsid w:val="00D87D55"/>
    <w:rsid w:val="00D92654"/>
    <w:rsid w:val="00D97110"/>
    <w:rsid w:val="00DA1118"/>
    <w:rsid w:val="00DA525E"/>
    <w:rsid w:val="00DB057D"/>
    <w:rsid w:val="00DB0712"/>
    <w:rsid w:val="00DB121E"/>
    <w:rsid w:val="00DB61DC"/>
    <w:rsid w:val="00DB652C"/>
    <w:rsid w:val="00DD62FE"/>
    <w:rsid w:val="00DE254A"/>
    <w:rsid w:val="00DF5131"/>
    <w:rsid w:val="00DF690D"/>
    <w:rsid w:val="00DF78BC"/>
    <w:rsid w:val="00E2161B"/>
    <w:rsid w:val="00E35E84"/>
    <w:rsid w:val="00E4175B"/>
    <w:rsid w:val="00E50466"/>
    <w:rsid w:val="00E512B2"/>
    <w:rsid w:val="00E548DF"/>
    <w:rsid w:val="00E62C36"/>
    <w:rsid w:val="00E637E4"/>
    <w:rsid w:val="00E64ED2"/>
    <w:rsid w:val="00E6769E"/>
    <w:rsid w:val="00E70F87"/>
    <w:rsid w:val="00E8036E"/>
    <w:rsid w:val="00EA1709"/>
    <w:rsid w:val="00EA539C"/>
    <w:rsid w:val="00EA5EAD"/>
    <w:rsid w:val="00EB628F"/>
    <w:rsid w:val="00EB67B7"/>
    <w:rsid w:val="00EC6960"/>
    <w:rsid w:val="00ED5BCF"/>
    <w:rsid w:val="00EE1C9A"/>
    <w:rsid w:val="00EE5E7E"/>
    <w:rsid w:val="00EF7AAA"/>
    <w:rsid w:val="00F046B4"/>
    <w:rsid w:val="00F05AC4"/>
    <w:rsid w:val="00F65F4F"/>
    <w:rsid w:val="00F67ECA"/>
    <w:rsid w:val="00F72AD8"/>
    <w:rsid w:val="00F7480A"/>
    <w:rsid w:val="00F82DA6"/>
    <w:rsid w:val="00F837E3"/>
    <w:rsid w:val="00F9146C"/>
    <w:rsid w:val="00F92BC2"/>
    <w:rsid w:val="00F95E56"/>
    <w:rsid w:val="00FA659D"/>
    <w:rsid w:val="00FB3220"/>
    <w:rsid w:val="00FD1B9D"/>
    <w:rsid w:val="00FD2CC2"/>
    <w:rsid w:val="00FD4E43"/>
    <w:rsid w:val="00FE4F6E"/>
    <w:rsid w:val="00FF3D2F"/>
    <w:rsid w:val="00FF717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CC73A"/>
  <w15:chartTrackingRefBased/>
  <w15:docId w15:val="{065BDC66-E33D-41F8-824A-8B767F213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401A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A04"/>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01A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A04"/>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01A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1A04"/>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01A04"/>
    <w:pPr>
      <w:ind w:left="720"/>
      <w:contextualSpacing/>
    </w:pPr>
  </w:style>
  <w:style w:type="character" w:styleId="IntenseEmphasis">
    <w:name w:val="Intense Emphasis"/>
    <w:basedOn w:val="DefaultParagraphFont"/>
    <w:uiPriority w:val="21"/>
    <w:qFormat/>
    <w:rsid w:val="00401A04"/>
    <w:rPr>
      <w:i/>
      <w:iCs/>
      <w:color w:val="2F5496" w:themeColor="accent1" w:themeShade="BF"/>
    </w:rPr>
  </w:style>
  <w:style w:type="paragraph" w:styleId="IntenseQuote">
    <w:name w:val="Intense Quote"/>
    <w:basedOn w:val="Normal"/>
    <w:next w:val="Normal"/>
    <w:link w:val="IntenseQuoteChar"/>
    <w:uiPriority w:val="30"/>
    <w:qFormat/>
    <w:rsid w:val="00401A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1A04"/>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01A04"/>
    <w:rPr>
      <w:b/>
      <w:bCs/>
      <w:smallCaps/>
      <w:color w:val="2F5496" w:themeColor="accent1" w:themeShade="BF"/>
      <w:spacing w:val="5"/>
    </w:rPr>
  </w:style>
  <w:style w:type="paragraph" w:styleId="CommentText">
    <w:name w:val="annotation text"/>
    <w:basedOn w:val="Normal"/>
    <w:link w:val="CommentTextChar"/>
    <w:uiPriority w:val="99"/>
    <w:semiHidden/>
    <w:unhideWhenUsed/>
    <w:rsid w:val="00450B49"/>
    <w:pPr>
      <w:spacing w:line="240" w:lineRule="auto"/>
    </w:pPr>
    <w:rPr>
      <w:szCs w:val="20"/>
    </w:rPr>
  </w:style>
  <w:style w:type="character" w:customStyle="1" w:styleId="CommentTextChar">
    <w:name w:val="Comment Text Char"/>
    <w:basedOn w:val="DefaultParagraphFont"/>
    <w:link w:val="CommentText"/>
    <w:uiPriority w:val="99"/>
    <w:semiHidden/>
    <w:rsid w:val="00450B4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50B49"/>
    <w:rPr>
      <w:b/>
      <w:bCs/>
    </w:rPr>
  </w:style>
  <w:style w:type="character" w:customStyle="1" w:styleId="CommentSubjectChar">
    <w:name w:val="Comment Subject Char"/>
    <w:basedOn w:val="CommentTextChar"/>
    <w:link w:val="CommentSubject"/>
    <w:uiPriority w:val="99"/>
    <w:semiHidden/>
    <w:rsid w:val="00450B49"/>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LUX/8" TargetMode="External"/><Relationship Id="rId39" Type="http://schemas.openxmlformats.org/officeDocument/2006/relationships/hyperlink" Target="https://undocs.org/es/CEDAW/C/NPL/RQ/7" TargetMode="External"/><Relationship Id="rId21" Type="http://schemas.openxmlformats.org/officeDocument/2006/relationships/hyperlink" Target="https://undocs.org/es/CEDAW/C/BLR/9" TargetMode="External"/><Relationship Id="rId34" Type="http://schemas.openxmlformats.org/officeDocument/2006/relationships/hyperlink" Target="https://undocs.org/es/CEDAW/C/LUX/QPR/8"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90/1" TargetMode="External"/><Relationship Id="rId29" Type="http://schemas.openxmlformats.org/officeDocument/2006/relationships/hyperlink" Target="https://undocs.org/es/CEDAW/C/BLR/QPR/9" TargetMode="External"/><Relationship Id="rId41" Type="http://schemas.openxmlformats.org/officeDocument/2006/relationships/hyperlink" Target="https://undocs.org/es/CEDAW/C/91/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OD/EP/1" TargetMode="External"/><Relationship Id="rId32" Type="http://schemas.openxmlformats.org/officeDocument/2006/relationships/hyperlink" Target="https://undocs.org/es/CEDAW/C/COD/QPR/EP/1" TargetMode="External"/><Relationship Id="rId37" Type="http://schemas.openxmlformats.org/officeDocument/2006/relationships/hyperlink" Target="https://undocs.org/es/CEDAW/C/BLZ/RQ/5-9" TargetMode="External"/><Relationship Id="rId40" Type="http://schemas.openxmlformats.org/officeDocument/2006/relationships/hyperlink" Target="https://undocs.org/es/CEDAW/C/LKA/RQ/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OG/8" TargetMode="External"/><Relationship Id="rId28" Type="http://schemas.openxmlformats.org/officeDocument/2006/relationships/hyperlink" Target="https://undocs.org/es/CEDAW/C/LKA/9" TargetMode="External"/><Relationship Id="rId36" Type="http://schemas.openxmlformats.org/officeDocument/2006/relationships/hyperlink" Target="https://undocs.org/es/CEDAW/C/LKA/Q/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COG/Q/8"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BLZ/5-9" TargetMode="External"/><Relationship Id="rId27" Type="http://schemas.openxmlformats.org/officeDocument/2006/relationships/hyperlink" Target="https://undocs.org/es/CEDAW/C/NPL/7" TargetMode="External"/><Relationship Id="rId30" Type="http://schemas.openxmlformats.org/officeDocument/2006/relationships/hyperlink" Target="https://undocs.org/es/CEDAW/C/BLZ/Q/5-9" TargetMode="External"/><Relationship Id="rId35" Type="http://schemas.openxmlformats.org/officeDocument/2006/relationships/hyperlink" Target="https://undocs.org/es/CEDAW/C/NPL/Q/7"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LIE/6" TargetMode="External"/><Relationship Id="rId33" Type="http://schemas.openxmlformats.org/officeDocument/2006/relationships/hyperlink" Target="https://undocs.org/es/CEDAW/C/LIE/QPR/6" TargetMode="External"/><Relationship Id="rId38" Type="http://schemas.openxmlformats.org/officeDocument/2006/relationships/hyperlink" Target="https://undocs.org/es/CEDAW/C/COG/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7591</Characters>
  <Application>Microsoft Office Word</Application>
  <DocSecurity>0</DocSecurity>
  <Lines>63</Lines>
  <Paragraphs>17</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Comité para la Eliminación de la Discriminación contra la Mujer</vt:lpstr>
      <vt:lpstr>    90º período de sesiones</vt:lpstr>
      <vt:lpstr>    Aprobación del programa y organización de los trabajos</vt:lpstr>
      <vt:lpstr>Programa provisional anotado</vt:lpstr>
      <vt:lpstr>Programa provisional</vt:lpstr>
      <vt:lpstr>Anotaciones</vt:lpstr>
      <vt:lpstr>    1.	Apertura del período de sesiones</vt:lpstr>
      <vt:lpstr>    2.	Aprobación del programa y organización de los trabajos</vt:lpstr>
      <vt:lpstr>    3.	Informe de la Presidencia sobre las actividades realizadas entre los período</vt:lpstr>
      <vt:lpstr>    4.	Examen de los informes presentados por los Estados partes en virtud del artí</vt:lpstr>
      <vt:lpstr>    Documentación</vt:lpstr>
      <vt:lpstr>    5.	Seguimiento del examen de los informes presentados por los Estados partes en</vt:lpstr>
      <vt:lpstr>    6.	Aplicación de los artículos 21 y 22 de la Convención</vt:lpstr>
      <vt:lpstr>    7.	Medios de agilizar los trabajos del Comité</vt:lpstr>
      <vt:lpstr>    8.	Actividades del Comité en relación con el Protocolo Facultativo de la Conven</vt:lpstr>
      <vt:lpstr>    9.	Programa provisional del 91er período de sesiones del Comité</vt:lpstr>
      <vt:lpstr>    10.	Aprobación del informe del Comité sobre su 90º período de sesiones</vt:lpstr>
    </vt:vector>
  </TitlesOfParts>
  <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2024-12-09T16:50:00Z</cp:lastPrinted>
  <dcterms:created xsi:type="dcterms:W3CDTF">2024-12-09T16:50:00Z</dcterms:created>
  <dcterms:modified xsi:type="dcterms:W3CDTF">2024-12-09T16:50:00Z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2421867</vt:lpwstr>
  </property>
  <property fmtid="{D5CDD505-2E9C-101B-9397-08002B2CF9AE}" pid="3" name="ODSRefJobNo">
    <vt:lpwstr>2435942</vt:lpwstr>
  </property>
  <property fmtid="{D5CDD505-2E9C-101B-9397-08002B2CF9AE}" pid="4" name="Symbol1">
    <vt:lpwstr>CEDAW/C/90/1</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091224</vt:lpwstr>
  </property>
  <property fmtid="{D5CDD505-2E9C-101B-9397-08002B2CF9AE}" pid="13" name="Session1">
    <vt:lpwstr>90º período de sesiones_x000d_</vt:lpwstr>
  </property>
  <property fmtid="{D5CDD505-2E9C-101B-9397-08002B2CF9AE}" pid="14" name="Agenda1">
    <vt:lpwstr>Ginebra, 3 a 21 de febrero de 2025_x000d_</vt:lpwstr>
  </property>
  <property fmtid="{D5CDD505-2E9C-101B-9397-08002B2CF9AE}" pid="15" name="Agenda2">
    <vt:lpwstr>Tema 2 del programa provisional_x000d_</vt:lpwstr>
  </property>
  <property fmtid="{D5CDD505-2E9C-101B-9397-08002B2CF9AE}" pid="16" name="Agenda Title1">
    <vt:lpwstr>Aprobación del programa y organización de los trabajos_x000d_</vt:lpwstr>
  </property>
  <property fmtid="{D5CDD505-2E9C-101B-9397-08002B2CF9AE}" pid="17" name="Title1">
    <vt:lpwstr>		Programa provisional anotado_x000d_</vt:lpwstr>
  </property>
  <property fmtid="{D5CDD505-2E9C-101B-9397-08002B2CF9AE}" pid="18" name="Title2">
    <vt:lpwstr>		Programa provisional_x000d_</vt:lpwstr>
  </property>
</Properties>
</file>