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6E94E79" w14:textId="77777777" w:rsidTr="00031AFB">
        <w:trPr>
          <w:trHeight w:hRule="exact" w:val="851"/>
        </w:trPr>
        <w:tc>
          <w:tcPr>
            <w:tcW w:w="1280" w:type="dxa"/>
            <w:tcBorders>
              <w:bottom w:val="single" w:sz="4" w:space="0" w:color="auto"/>
            </w:tcBorders>
          </w:tcPr>
          <w:p w14:paraId="444CBCAC" w14:textId="77777777" w:rsidR="002D5AAC" w:rsidRPr="0056415C" w:rsidRDefault="002D5AAC" w:rsidP="00EF2A8B">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4EEEDDA3"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CB9972C" w14:textId="0FD7DABD" w:rsidR="002D5AAC" w:rsidRDefault="00EF2A8B" w:rsidP="00EF2A8B">
            <w:pPr>
              <w:jc w:val="right"/>
            </w:pPr>
            <w:r w:rsidRPr="00EF2A8B">
              <w:rPr>
                <w:sz w:val="40"/>
              </w:rPr>
              <w:t>CRPD</w:t>
            </w:r>
            <w:r>
              <w:t>/C/LTU/RQ/2-3</w:t>
            </w:r>
          </w:p>
        </w:tc>
      </w:tr>
      <w:tr w:rsidR="002D5AAC" w14:paraId="30676E14" w14:textId="77777777" w:rsidTr="00031AFB">
        <w:trPr>
          <w:trHeight w:hRule="exact" w:val="2835"/>
        </w:trPr>
        <w:tc>
          <w:tcPr>
            <w:tcW w:w="1280" w:type="dxa"/>
            <w:tcBorders>
              <w:top w:val="single" w:sz="4" w:space="0" w:color="auto"/>
              <w:bottom w:val="single" w:sz="12" w:space="0" w:color="auto"/>
            </w:tcBorders>
          </w:tcPr>
          <w:p w14:paraId="2F74497B" w14:textId="77777777" w:rsidR="002D5AAC" w:rsidRDefault="00952284" w:rsidP="00C6457C">
            <w:pPr>
              <w:spacing w:before="120"/>
              <w:jc w:val="center"/>
            </w:pPr>
            <w:r>
              <w:rPr>
                <w:noProof/>
              </w:rPr>
              <w:drawing>
                <wp:inline distT="0" distB="0" distL="0" distR="0" wp14:anchorId="386E7C40" wp14:editId="01A17407">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B33BF24"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71DDE030" w14:textId="77777777" w:rsidR="002D5AAC" w:rsidRDefault="00EF2A8B" w:rsidP="00C6457C">
            <w:pPr>
              <w:spacing w:before="240"/>
            </w:pPr>
            <w:r>
              <w:t>Distr. general</w:t>
            </w:r>
          </w:p>
          <w:p w14:paraId="39BDFB13" w14:textId="024D6A2B" w:rsidR="00EF2A8B" w:rsidRDefault="00031AFB" w:rsidP="00EF2A8B">
            <w:pPr>
              <w:spacing w:line="240" w:lineRule="exact"/>
            </w:pPr>
            <w:r>
              <w:t xml:space="preserve">23 </w:t>
            </w:r>
            <w:r w:rsidR="00EF2A8B">
              <w:t xml:space="preserve">de </w:t>
            </w:r>
            <w:r>
              <w:t>diciembre de 2025</w:t>
            </w:r>
          </w:p>
          <w:p w14:paraId="2B6FD6D7" w14:textId="77777777" w:rsidR="00EF2A8B" w:rsidRDefault="00EF2A8B" w:rsidP="00EF2A8B">
            <w:pPr>
              <w:spacing w:line="240" w:lineRule="exact"/>
            </w:pPr>
            <w:r>
              <w:t>Español</w:t>
            </w:r>
          </w:p>
          <w:p w14:paraId="5328CBCB" w14:textId="77777777" w:rsidR="00EF2A8B" w:rsidRDefault="00EF2A8B" w:rsidP="00EF2A8B">
            <w:pPr>
              <w:spacing w:line="240" w:lineRule="exact"/>
            </w:pPr>
            <w:r>
              <w:t>Original: inglés</w:t>
            </w:r>
          </w:p>
          <w:p w14:paraId="2B38782F" w14:textId="401DB16C" w:rsidR="00031AFB" w:rsidRDefault="00031AFB" w:rsidP="00EF2A8B">
            <w:pPr>
              <w:spacing w:line="240" w:lineRule="exact"/>
            </w:pPr>
            <w:r>
              <w:t>Árabe, español, francés e inglés únicamente</w:t>
            </w:r>
          </w:p>
        </w:tc>
      </w:tr>
    </w:tbl>
    <w:p w14:paraId="5D4071B5" w14:textId="3D475465" w:rsidR="00031AFB" w:rsidRPr="00031AFB" w:rsidRDefault="00031AFB" w:rsidP="00031AFB">
      <w:pPr>
        <w:spacing w:before="120"/>
        <w:rPr>
          <w:b/>
          <w:bCs/>
          <w:sz w:val="24"/>
          <w:szCs w:val="24"/>
          <w:lang w:val="es-ES_tradnl"/>
        </w:rPr>
      </w:pPr>
      <w:r w:rsidRPr="00031AFB">
        <w:rPr>
          <w:b/>
          <w:bCs/>
          <w:sz w:val="24"/>
          <w:szCs w:val="24"/>
          <w:lang w:val="es-ES_tradnl"/>
        </w:rPr>
        <w:t xml:space="preserve">Comité sobre los Derechos de las Personas </w:t>
      </w:r>
      <w:r>
        <w:rPr>
          <w:b/>
          <w:bCs/>
          <w:sz w:val="24"/>
          <w:szCs w:val="24"/>
          <w:lang w:val="es-ES_tradnl"/>
        </w:rPr>
        <w:br/>
      </w:r>
      <w:r w:rsidRPr="00031AFB">
        <w:rPr>
          <w:b/>
          <w:bCs/>
          <w:sz w:val="24"/>
          <w:szCs w:val="24"/>
          <w:lang w:val="es-ES_tradnl"/>
        </w:rPr>
        <w:t>con Discapacidad</w:t>
      </w:r>
    </w:p>
    <w:p w14:paraId="0C570E20" w14:textId="77777777" w:rsidR="00031AFB" w:rsidRPr="00031AFB" w:rsidRDefault="00031AFB" w:rsidP="00031AFB">
      <w:pPr>
        <w:rPr>
          <w:b/>
          <w:bCs/>
          <w:lang w:val="es-ES_tradnl"/>
        </w:rPr>
      </w:pPr>
      <w:r w:rsidRPr="00031AFB">
        <w:rPr>
          <w:b/>
          <w:bCs/>
          <w:lang w:val="es-ES_tradnl"/>
        </w:rPr>
        <w:t>35º período de sesiones</w:t>
      </w:r>
    </w:p>
    <w:p w14:paraId="02C5A9DC" w14:textId="77777777" w:rsidR="00031AFB" w:rsidRPr="00031AFB" w:rsidRDefault="00031AFB" w:rsidP="00031AFB">
      <w:pPr>
        <w:rPr>
          <w:lang w:val="es-ES_tradnl"/>
        </w:rPr>
      </w:pPr>
      <w:r w:rsidRPr="00031AFB">
        <w:rPr>
          <w:lang w:val="es-ES_tradnl"/>
        </w:rPr>
        <w:t>Ginebra, 27 de julio a 21 de agosto de 2026</w:t>
      </w:r>
    </w:p>
    <w:p w14:paraId="7412144B" w14:textId="09758D19" w:rsidR="00031AFB" w:rsidRPr="00031AFB" w:rsidRDefault="00031AFB" w:rsidP="00031AFB">
      <w:pPr>
        <w:rPr>
          <w:b/>
          <w:bCs/>
          <w:lang w:val="es-ES_tradnl"/>
        </w:rPr>
      </w:pPr>
      <w:r w:rsidRPr="00031AFB">
        <w:rPr>
          <w:b/>
          <w:bCs/>
          <w:lang w:val="es-ES_tradnl"/>
        </w:rPr>
        <w:t xml:space="preserve">Examen de los informes presentados por los Estados </w:t>
      </w:r>
      <w:r>
        <w:rPr>
          <w:b/>
          <w:bCs/>
          <w:lang w:val="es-ES_tradnl"/>
        </w:rPr>
        <w:br/>
      </w:r>
      <w:r w:rsidRPr="00031AFB">
        <w:rPr>
          <w:b/>
          <w:bCs/>
          <w:lang w:val="es-ES_tradnl"/>
        </w:rPr>
        <w:t>Partes en virtud del artículo 35 de la Convención</w:t>
      </w:r>
    </w:p>
    <w:p w14:paraId="74A16400" w14:textId="5A93DFF7" w:rsidR="00031AFB" w:rsidRPr="00031AFB" w:rsidRDefault="00031AFB" w:rsidP="00031AFB">
      <w:pPr>
        <w:pStyle w:val="HMG"/>
        <w:rPr>
          <w:lang w:val="es-ES_tradnl"/>
        </w:rPr>
      </w:pPr>
      <w:r>
        <w:rPr>
          <w:lang w:val="es-ES_tradnl"/>
        </w:rPr>
        <w:tab/>
      </w:r>
      <w:r w:rsidRPr="00031AFB">
        <w:rPr>
          <w:lang w:val="es-ES_tradnl"/>
        </w:rPr>
        <w:tab/>
        <w:t>Respuestas de Lituania a la lista de cuestiones relativa a sus informes periódicos segundo y tercero combinados</w:t>
      </w:r>
      <w:r w:rsidRPr="00031AFB">
        <w:rPr>
          <w:b w:val="0"/>
          <w:sz w:val="20"/>
          <w:szCs w:val="10"/>
          <w:lang w:val="es-ES_tradnl"/>
        </w:rPr>
        <w:footnoteReference w:customMarkFollows="1" w:id="1"/>
        <w:t>*</w:t>
      </w:r>
      <w:r w:rsidRPr="00031AFB">
        <w:rPr>
          <w:b w:val="0"/>
          <w:sz w:val="20"/>
          <w:szCs w:val="10"/>
          <w:lang w:val="es-ES_tradnl"/>
        </w:rPr>
        <w:t xml:space="preserve"> </w:t>
      </w:r>
      <w:r w:rsidRPr="00031AFB">
        <w:rPr>
          <w:b w:val="0"/>
          <w:sz w:val="20"/>
          <w:szCs w:val="10"/>
          <w:lang w:val="es-ES_tradnl"/>
        </w:rPr>
        <w:footnoteReference w:customMarkFollows="1" w:id="2"/>
        <w:t>**</w:t>
      </w:r>
    </w:p>
    <w:p w14:paraId="6E86545A" w14:textId="77777777" w:rsidR="00031AFB" w:rsidRPr="00031AFB" w:rsidRDefault="00031AFB" w:rsidP="00031AFB">
      <w:pPr>
        <w:pStyle w:val="SingleTxtG"/>
        <w:jc w:val="right"/>
        <w:rPr>
          <w:lang w:val="es-ES_tradnl"/>
        </w:rPr>
      </w:pPr>
      <w:r w:rsidRPr="00031AFB">
        <w:rPr>
          <w:lang w:val="es-ES_tradnl"/>
        </w:rPr>
        <w:t>[Fecha de recepción: 16 de octubre de 2023]</w:t>
      </w:r>
    </w:p>
    <w:p w14:paraId="325EE061" w14:textId="77777777" w:rsidR="00031AFB" w:rsidRPr="00031AFB" w:rsidRDefault="00031AFB" w:rsidP="00031AFB">
      <w:pPr>
        <w:pStyle w:val="SingleTxtG"/>
        <w:rPr>
          <w:lang w:val="es-ES_tradnl"/>
        </w:rPr>
      </w:pPr>
      <w:r w:rsidRPr="00031AFB">
        <w:rPr>
          <w:lang w:val="es-ES_tradnl"/>
        </w:rPr>
        <w:br w:type="page"/>
      </w:r>
    </w:p>
    <w:p w14:paraId="7CD2C16D" w14:textId="77777777" w:rsidR="00031AFB" w:rsidRPr="00031AFB" w:rsidRDefault="00031AFB" w:rsidP="00717542">
      <w:pPr>
        <w:pStyle w:val="HChG"/>
        <w:rPr>
          <w:lang w:val="es-ES_tradnl"/>
        </w:rPr>
      </w:pPr>
      <w:r w:rsidRPr="00031AFB">
        <w:rPr>
          <w:lang w:val="es-ES_tradnl"/>
        </w:rPr>
        <w:lastRenderedPageBreak/>
        <w:tab/>
      </w:r>
      <w:r w:rsidRPr="00031AFB">
        <w:rPr>
          <w:lang w:val="es-ES_tradnl"/>
        </w:rPr>
        <w:tab/>
        <w:t>Respuestas a la lista de cuestiones (CRPD/C/LTU/Q/2-3)</w:t>
      </w:r>
    </w:p>
    <w:p w14:paraId="3C536AC8" w14:textId="77777777" w:rsidR="00031AFB" w:rsidRPr="00031AFB" w:rsidRDefault="00031AFB" w:rsidP="00717542">
      <w:pPr>
        <w:pStyle w:val="H1G"/>
        <w:rPr>
          <w:lang w:val="es-ES_tradnl"/>
        </w:rPr>
      </w:pPr>
      <w:r w:rsidRPr="00031AFB">
        <w:rPr>
          <w:lang w:val="es-ES_tradnl"/>
        </w:rPr>
        <w:tab/>
        <w:t>A.</w:t>
      </w:r>
      <w:r w:rsidRPr="00031AFB">
        <w:rPr>
          <w:lang w:val="es-ES_tradnl"/>
        </w:rPr>
        <w:tab/>
        <w:t>Propósito y obligaciones generales (arts. 1 a 4)</w:t>
      </w:r>
    </w:p>
    <w:p w14:paraId="673461FB" w14:textId="4E8BA4A1" w:rsidR="00031AFB" w:rsidRPr="00031AFB" w:rsidRDefault="00031AFB" w:rsidP="00717542">
      <w:pPr>
        <w:pStyle w:val="H23G"/>
        <w:rPr>
          <w:lang w:val="es-ES_tradnl"/>
        </w:rPr>
      </w:pPr>
      <w:r w:rsidRPr="00031AFB">
        <w:rPr>
          <w:lang w:val="es-ES_tradnl"/>
        </w:rPr>
        <w:tab/>
      </w:r>
      <w:r w:rsidR="00717542">
        <w:rPr>
          <w:lang w:val="es-ES_tradnl"/>
        </w:rPr>
        <w:tab/>
      </w:r>
      <w:r w:rsidRPr="00031AFB">
        <w:rPr>
          <w:lang w:val="es-ES_tradnl"/>
        </w:rPr>
        <w:t xml:space="preserve">Respuesta al párrafo 1 a) </w:t>
      </w:r>
    </w:p>
    <w:p w14:paraId="5F9FC687" w14:textId="77777777" w:rsidR="00031AFB" w:rsidRPr="00031AFB" w:rsidRDefault="00031AFB" w:rsidP="00031AFB">
      <w:pPr>
        <w:pStyle w:val="SingleTxtG"/>
        <w:rPr>
          <w:bCs/>
          <w:lang w:val="es-ES_tradnl"/>
        </w:rPr>
      </w:pPr>
      <w:r w:rsidRPr="00031AFB">
        <w:rPr>
          <w:lang w:val="es-ES_tradnl"/>
        </w:rPr>
        <w:t>1.</w:t>
      </w:r>
      <w:r w:rsidRPr="00031AFB">
        <w:rPr>
          <w:lang w:val="es-ES_tradnl"/>
        </w:rPr>
        <w:tab/>
        <w:t>En 2022, Lituania aprobó la Ley Fundamental de Protección de los Derechos de las Personas con Discapacidad de la República de Lituania (en adelante, Ley de las Personas con Discapacidad), con el propósito de reformar el sistema de inclusión social de las personas con discapacidad y regular los derechos de estas</w:t>
      </w:r>
      <w:r w:rsidRPr="00031AFB">
        <w:rPr>
          <w:sz w:val="18"/>
          <w:szCs w:val="18"/>
          <w:vertAlign w:val="superscript"/>
          <w:lang w:val="es-ES_tradnl"/>
        </w:rPr>
        <w:footnoteReference w:id="3"/>
      </w:r>
      <w:r w:rsidRPr="00031AFB">
        <w:rPr>
          <w:lang w:val="es-ES_tradnl"/>
        </w:rPr>
        <w:t>. Se han eliminado los términos discriminatorios de esa ley y se ha mejorado el modelo de evaluación de la discapacidad. La atención se centra ahora en las barreras del entorno y la participación, y no solo en los criterios médicos. La Ley de las Personas con Discapacidad ha permitido coordinar la asistencia y optimizar las instituciones relacionadas con la discapacidad, además de garantizar la accesibilidad a la información (anexo 1).</w:t>
      </w:r>
    </w:p>
    <w:p w14:paraId="0F901BE9" w14:textId="3D67D590" w:rsidR="00031AFB" w:rsidRPr="00031AFB" w:rsidRDefault="00717542" w:rsidP="00717542">
      <w:pPr>
        <w:pStyle w:val="H23G"/>
        <w:rPr>
          <w:lang w:val="es-ES_tradnl"/>
        </w:rPr>
      </w:pPr>
      <w:bookmarkStart w:id="0" w:name="_Hlk144480564"/>
      <w:r>
        <w:rPr>
          <w:lang w:val="es-ES_tradnl"/>
        </w:rPr>
        <w:tab/>
      </w:r>
      <w:r w:rsidR="00031AFB" w:rsidRPr="00031AFB">
        <w:rPr>
          <w:lang w:val="es-ES_tradnl"/>
        </w:rPr>
        <w:tab/>
        <w:t xml:space="preserve">Respuesta al párrafo 1 b) </w:t>
      </w:r>
    </w:p>
    <w:bookmarkEnd w:id="0"/>
    <w:p w14:paraId="268B7E95" w14:textId="77777777" w:rsidR="00031AFB" w:rsidRPr="00031AFB" w:rsidRDefault="00031AFB" w:rsidP="00031AFB">
      <w:pPr>
        <w:pStyle w:val="SingleTxtG"/>
        <w:rPr>
          <w:lang w:val="es-ES_tradnl"/>
        </w:rPr>
      </w:pPr>
      <w:r w:rsidRPr="00031AFB">
        <w:rPr>
          <w:lang w:val="es-ES_tradnl"/>
        </w:rPr>
        <w:t>2.</w:t>
      </w:r>
      <w:r w:rsidRPr="00031AFB">
        <w:rPr>
          <w:lang w:val="es-ES_tradnl"/>
        </w:rPr>
        <w:tab/>
        <w:t>Actualmente, la discapacidad se evalúa sobre todo atendiendo a criterios médicos, y la evaluación no refleja la diversidad de discapacidades ni el número de horas de asistencia necesarias. La Ley de las Personas con Discapacidad tiene como objetivo evaluar la discapacidad basándose en las capacidades de cada persona. El nuevo modelo reducirá la influencia de los criterios médicos en la evaluación de la discapacidad de un 90 % a un 40 %. El proceso de evaluación implicará coordinar la asistencia mediante la elaboración de un plan que contemple el apoyo y los servicios necesarios, con mecanismos de seguimiento para velar por su aplicación. Todas las leyes relativas a la evaluación de la discapacidad, los servicios y la normativa se aprobarán en colaboración con organizaciones no gubernamentales (ONG).</w:t>
      </w:r>
    </w:p>
    <w:p w14:paraId="5083D1CD" w14:textId="5378D765"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1 c) </w:t>
      </w:r>
    </w:p>
    <w:p w14:paraId="6C147DBC" w14:textId="77777777" w:rsidR="00031AFB" w:rsidRPr="00031AFB" w:rsidRDefault="00031AFB" w:rsidP="00031AFB">
      <w:pPr>
        <w:pStyle w:val="SingleTxtG"/>
        <w:rPr>
          <w:lang w:val="es-ES_tradnl"/>
        </w:rPr>
      </w:pPr>
      <w:r w:rsidRPr="00031AFB">
        <w:rPr>
          <w:lang w:val="es-ES_tradnl"/>
        </w:rPr>
        <w:t>3.</w:t>
      </w:r>
      <w:r w:rsidRPr="00031AFB">
        <w:rPr>
          <w:lang w:val="es-ES_tradnl"/>
        </w:rPr>
        <w:tab/>
        <w:t>Sobre la base de la Ley de las Personas con Discapacidad y la Ley de Integración Social de las Personas con Discapacidad de la República de Lituania (en adelante, Ley de Integración Social), las definiciones de discapacidad y de persona con discapacidad se interpretan de manera uniforme en todo el territorio nacional, y las personas con discapacidad gozan de igualdad de acceso a los mismos derechos y prestaciones en todo el país.</w:t>
      </w:r>
      <w:bookmarkStart w:id="1" w:name="_Hlk147088604"/>
      <w:bookmarkStart w:id="2" w:name="_Hlk144483470"/>
      <w:bookmarkEnd w:id="1"/>
    </w:p>
    <w:p w14:paraId="69289473" w14:textId="5DEC0E9D" w:rsidR="00031AFB" w:rsidRPr="00031AFB" w:rsidRDefault="00717542" w:rsidP="00717542">
      <w:pPr>
        <w:pStyle w:val="H23G"/>
        <w:rPr>
          <w:lang w:val="es-ES_tradnl"/>
        </w:rPr>
      </w:pPr>
      <w:r>
        <w:rPr>
          <w:lang w:val="es-ES_tradnl"/>
        </w:rPr>
        <w:tab/>
      </w:r>
      <w:r w:rsidR="00031AFB" w:rsidRPr="00031AFB">
        <w:rPr>
          <w:lang w:val="es-ES_tradnl"/>
        </w:rPr>
        <w:tab/>
      </w:r>
      <w:r w:rsidR="00031AFB" w:rsidRPr="00031AFB">
        <w:rPr>
          <w:bCs/>
          <w:lang w:val="es-ES_tradnl"/>
        </w:rPr>
        <w:t>Respuesta al párrafo 1 d)</w:t>
      </w:r>
      <w:r w:rsidR="00031AFB" w:rsidRPr="00031AFB">
        <w:rPr>
          <w:lang w:val="es-ES_tradnl"/>
        </w:rPr>
        <w:t xml:space="preserve"> </w:t>
      </w:r>
    </w:p>
    <w:bookmarkEnd w:id="2"/>
    <w:p w14:paraId="54D3E30E" w14:textId="77777777" w:rsidR="00031AFB" w:rsidRPr="00031AFB" w:rsidRDefault="00031AFB" w:rsidP="00031AFB">
      <w:pPr>
        <w:pStyle w:val="SingleTxtG"/>
        <w:rPr>
          <w:lang w:val="es-ES_tradnl"/>
        </w:rPr>
      </w:pPr>
      <w:r w:rsidRPr="00031AFB">
        <w:rPr>
          <w:lang w:val="es-ES_tradnl"/>
        </w:rPr>
        <w:t>4.</w:t>
      </w:r>
      <w:r w:rsidRPr="00031AFB">
        <w:rPr>
          <w:lang w:val="es-ES_tradnl"/>
        </w:rPr>
        <w:tab/>
        <w:t xml:space="preserve">Se han aprobado modificaciones legislativas para promover el diseño universal en los productos, los servicios, los equipos y el entorno. Se está implementando el Programa de Desarrollo Ambiental (anexo 2). </w:t>
      </w:r>
    </w:p>
    <w:p w14:paraId="5FBA83C6" w14:textId="78DE6FF2" w:rsidR="00031AFB" w:rsidRPr="00031AFB" w:rsidRDefault="00031AFB" w:rsidP="00031AFB">
      <w:pPr>
        <w:pStyle w:val="SingleTxtG"/>
        <w:rPr>
          <w:lang w:val="es-ES_tradnl"/>
        </w:rPr>
      </w:pPr>
      <w:r w:rsidRPr="00031AFB">
        <w:rPr>
          <w:lang w:val="es-ES_tradnl"/>
        </w:rPr>
        <w:t>5.</w:t>
      </w:r>
      <w:r w:rsidRPr="00031AFB">
        <w:rPr>
          <w:lang w:val="es-ES_tradnl"/>
        </w:rPr>
        <w:tab/>
        <w:t>En 2018, se impartió formación sobre los principios del diseño universal</w:t>
      </w:r>
      <w:r w:rsidRPr="00031AFB">
        <w:rPr>
          <w:b/>
          <w:bCs/>
          <w:lang w:val="es-ES_tradnl"/>
        </w:rPr>
        <w:t xml:space="preserve"> </w:t>
      </w:r>
      <w:r w:rsidRPr="00031AFB">
        <w:rPr>
          <w:lang w:val="es-ES_tradnl"/>
        </w:rPr>
        <w:t xml:space="preserve">a representantes de los municipios y de las ONG, y se publicó un manual titulado </w:t>
      </w:r>
      <w:r w:rsidRPr="00031AFB">
        <w:rPr>
          <w:i/>
          <w:iCs/>
          <w:lang w:val="es-ES_tradnl"/>
        </w:rPr>
        <w:t>Entornos y edificios para todos</w:t>
      </w:r>
      <w:r w:rsidRPr="00031AFB">
        <w:rPr>
          <w:lang w:val="es-ES_tradnl"/>
        </w:rPr>
        <w:t xml:space="preserve">. El </w:t>
      </w:r>
      <w:bookmarkStart w:id="3" w:name="_Hlk232692199"/>
      <w:r w:rsidRPr="00031AFB">
        <w:rPr>
          <w:lang w:val="es-ES_tradnl"/>
        </w:rPr>
        <w:t>Departamento de Asuntos de las Personas con Discapacidad</w:t>
      </w:r>
      <w:bookmarkEnd w:id="3"/>
      <w:r w:rsidRPr="00031AFB">
        <w:rPr>
          <w:lang w:val="es-ES_tradnl"/>
        </w:rPr>
        <w:t xml:space="preserve"> elaboró una serie de recomendaciones para la aplicación del diseño universal. En 2021, el mismo Departamento aprobó una lista de comprobación para evaluar la accesibilidad de los edificios, que fue utilizada por 1.528 instituciones estatales y municipales. A fin de dar a conocer el diseño universal, se llevó a cabo una campaña pública denominada </w:t>
      </w:r>
      <w:r w:rsidR="00974ED0">
        <w:rPr>
          <w:lang w:val="es-ES_tradnl"/>
        </w:rPr>
        <w:t>“</w:t>
      </w:r>
      <w:r w:rsidRPr="00031AFB">
        <w:rPr>
          <w:lang w:val="es-ES_tradnl"/>
        </w:rPr>
        <w:t>Sin</w:t>
      </w:r>
      <w:r w:rsidR="00974ED0">
        <w:rPr>
          <w:lang w:val="es-ES_tradnl"/>
        </w:rPr>
        <w:t> </w:t>
      </w:r>
      <w:r w:rsidRPr="00031AFB">
        <w:rPr>
          <w:lang w:val="es-ES_tradnl"/>
        </w:rPr>
        <w:t>diferencias</w:t>
      </w:r>
      <w:r w:rsidR="00974ED0">
        <w:rPr>
          <w:lang w:val="es-ES_tradnl"/>
        </w:rPr>
        <w:t>”</w:t>
      </w:r>
      <w:r w:rsidRPr="00031AFB">
        <w:rPr>
          <w:lang w:val="es-ES_tradnl"/>
        </w:rPr>
        <w:t>.</w:t>
      </w:r>
    </w:p>
    <w:p w14:paraId="115E2E28" w14:textId="415C6E99" w:rsidR="00031AFB" w:rsidRPr="00031AFB" w:rsidRDefault="00031AFB" w:rsidP="00031AFB">
      <w:pPr>
        <w:pStyle w:val="SingleTxtG"/>
        <w:rPr>
          <w:lang w:val="es-ES_tradnl"/>
        </w:rPr>
      </w:pPr>
      <w:r w:rsidRPr="00031AFB">
        <w:rPr>
          <w:lang w:val="es-ES_tradnl"/>
        </w:rPr>
        <w:t>6.</w:t>
      </w:r>
      <w:r w:rsidRPr="00031AFB">
        <w:rPr>
          <w:lang w:val="es-ES_tradnl"/>
        </w:rPr>
        <w:tab/>
        <w:t>Se ha implantado un sistema oficial en línea (</w:t>
      </w:r>
      <w:hyperlink r:id="rId8" w:history="1">
        <w:r w:rsidRPr="00031AFB">
          <w:rPr>
            <w:rStyle w:val="Hipervnculo"/>
            <w:lang w:val="es-ES_tradnl"/>
          </w:rPr>
          <w:t>www.stasis.lt</w:t>
        </w:r>
      </w:hyperlink>
      <w:r w:rsidRPr="00031AFB">
        <w:rPr>
          <w:lang w:val="es-ES_tradnl"/>
        </w:rPr>
        <w:t xml:space="preserve">) que permite evaluar y supervisar la accesibilidad de los edificios. Para ello, se ha impartido formación sobre el uso de un lenguaje sencillo y la creación de ilustraciones para textos de fácil comprensión. En el marco de esta labor, se han organizado conferencias públicas sobre la accesibilidad de la información y los entornos físicos, y proyecciones de vídeos. </w:t>
      </w:r>
      <w:hyperlink r:id="rId9" w:history="1"/>
    </w:p>
    <w:p w14:paraId="651D653C" w14:textId="43F97D78" w:rsidR="00031AFB" w:rsidRPr="00031AFB" w:rsidRDefault="00717542" w:rsidP="00717542">
      <w:pPr>
        <w:pStyle w:val="H23G"/>
        <w:rPr>
          <w:lang w:val="es-ES_tradnl"/>
        </w:rPr>
      </w:pPr>
      <w:r>
        <w:rPr>
          <w:lang w:val="es-ES_tradnl"/>
        </w:rPr>
        <w:lastRenderedPageBreak/>
        <w:tab/>
      </w:r>
      <w:r w:rsidR="00031AFB" w:rsidRPr="00031AFB">
        <w:rPr>
          <w:lang w:val="es-ES_tradnl"/>
        </w:rPr>
        <w:tab/>
      </w:r>
      <w:r w:rsidR="00031AFB" w:rsidRPr="00031AFB">
        <w:rPr>
          <w:bCs/>
          <w:lang w:val="es-ES_tradnl"/>
        </w:rPr>
        <w:t>Respuesta al párrafo 2</w:t>
      </w:r>
      <w:r w:rsidR="00031AFB" w:rsidRPr="00031AFB">
        <w:rPr>
          <w:lang w:val="es-ES_tradnl"/>
        </w:rPr>
        <w:t xml:space="preserve"> </w:t>
      </w:r>
    </w:p>
    <w:p w14:paraId="33C18B2F" w14:textId="77777777" w:rsidR="00031AFB" w:rsidRPr="00031AFB" w:rsidRDefault="00031AFB" w:rsidP="00031AFB">
      <w:pPr>
        <w:pStyle w:val="SingleTxtG"/>
        <w:rPr>
          <w:lang w:val="es-ES_tradnl"/>
        </w:rPr>
      </w:pPr>
      <w:r w:rsidRPr="00031AFB">
        <w:rPr>
          <w:lang w:val="es-ES_tradnl"/>
        </w:rPr>
        <w:t>7.</w:t>
      </w:r>
      <w:r w:rsidRPr="00031AFB">
        <w:rPr>
          <w:lang w:val="es-ES_tradnl"/>
        </w:rPr>
        <w:tab/>
        <w:t>Entre 2016 y 2023, el Departamento de Asuntos de las Personas con Discapacidad financió proyectos destinados a apoyar a asociaciones de personas con discapacidad, centrándose en la promoción de sus intereses, la defensa de sus derechos, la prestación de asesoramiento jurídico, su representación ante instituciones gubernamentales y grupos de trabajo y la disponibilidad de apoyo educativo y metodológico para los miembros de las asociaciones. Cada año se subvenciona a unas 26 organizaciones.</w:t>
      </w:r>
    </w:p>
    <w:p w14:paraId="2305627E" w14:textId="77777777" w:rsidR="00031AFB" w:rsidRPr="00031AFB" w:rsidRDefault="00031AFB" w:rsidP="00031AFB">
      <w:pPr>
        <w:pStyle w:val="SingleTxtG"/>
        <w:rPr>
          <w:lang w:val="es-ES_tradnl"/>
        </w:rPr>
      </w:pPr>
      <w:r w:rsidRPr="00031AFB">
        <w:rPr>
          <w:lang w:val="es-ES_tradnl"/>
        </w:rPr>
        <w:t>8.</w:t>
      </w:r>
      <w:r w:rsidRPr="00031AFB">
        <w:rPr>
          <w:lang w:val="es-ES_tradnl"/>
        </w:rPr>
        <w:tab/>
        <w:t>El Ministerio de Trabajo y Seguridad Social ha organizado licitaciones para mejorar la capacidad institucional de las ONG que trabajan en el ámbito de la discapacidad, con proyectos por valor de 198.000 euros para Viltis, 156.000 euros para Pagava y 133.000 euros para Lietaus Vaikai.</w:t>
      </w:r>
    </w:p>
    <w:p w14:paraId="20A03C24" w14:textId="488ACEAB"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3 </w:t>
      </w:r>
    </w:p>
    <w:p w14:paraId="3E2FE5AE" w14:textId="77777777" w:rsidR="00031AFB" w:rsidRPr="00031AFB" w:rsidRDefault="00031AFB" w:rsidP="00031AFB">
      <w:pPr>
        <w:pStyle w:val="SingleTxtG"/>
        <w:rPr>
          <w:lang w:val="es-ES_tradnl"/>
        </w:rPr>
      </w:pPr>
      <w:r w:rsidRPr="00031AFB">
        <w:rPr>
          <w:lang w:val="es-ES_tradnl"/>
        </w:rPr>
        <w:t>9.</w:t>
      </w:r>
      <w:r w:rsidRPr="00031AFB">
        <w:rPr>
          <w:lang w:val="es-ES_tradnl"/>
        </w:rPr>
        <w:tab/>
        <w:t>Según la Ley de las Personas con Discapacidad, las ONG ponen en práctica medidas y proyectos para hacer valer los derechos e intereses de las personas con discapacidad, utilizando fondos procedentes de los presupuestos estatales y municipales, así como de la Unión Europea (UE) y otras fuentes.</w:t>
      </w:r>
    </w:p>
    <w:p w14:paraId="4E8B0B51" w14:textId="77777777" w:rsidR="00031AFB" w:rsidRPr="00031AFB" w:rsidRDefault="00031AFB" w:rsidP="00031AFB">
      <w:pPr>
        <w:pStyle w:val="SingleTxtG"/>
        <w:rPr>
          <w:lang w:val="es-ES_tradnl"/>
        </w:rPr>
      </w:pPr>
      <w:r w:rsidRPr="00031AFB">
        <w:rPr>
          <w:lang w:val="es-ES_tradnl"/>
        </w:rPr>
        <w:t>10.</w:t>
      </w:r>
      <w:r w:rsidRPr="00031AFB">
        <w:rPr>
          <w:lang w:val="es-ES_tradnl"/>
        </w:rPr>
        <w:tab/>
        <w:t xml:space="preserve">El </w:t>
      </w:r>
      <w:r w:rsidRPr="00031AFB">
        <w:t>Consejo para el Bienestar de las Personas con Discapacidad</w:t>
      </w:r>
      <w:r w:rsidRPr="00031AFB">
        <w:rPr>
          <w:vertAlign w:val="superscript"/>
          <w:lang w:val="es-ES_tradnl"/>
        </w:rPr>
        <w:t xml:space="preserve"> </w:t>
      </w:r>
      <w:r w:rsidRPr="00031AFB">
        <w:rPr>
          <w:sz w:val="18"/>
          <w:szCs w:val="18"/>
          <w:vertAlign w:val="superscript"/>
          <w:lang w:val="es-ES_tradnl"/>
        </w:rPr>
        <w:footnoteReference w:id="4"/>
      </w:r>
      <w:r w:rsidRPr="00031AFB">
        <w:rPr>
          <w:lang w:val="es-ES_tradnl"/>
        </w:rPr>
        <w:t>, integrado en un 45 % por miembros de asociaciones de personas con discapacidad, opera a nivel nacional y celebra sesiones públicas trimestrales en las que se debaten cuestiones y propuestas de interés en relación con la legislación y los proyectos sociales que afectan a las personas con discapacidad. El Foro Lituano de la Discapacidad representa al sector de la discapacidad en el Consejo Nacional de ONG. Según la Ley de las Personas con Discapacidad, los municipios deben crear comisiones encargadas del bienestar de las personas con discapacidad y aprobar sus reglamentos y su financiación</w:t>
      </w:r>
      <w:r w:rsidRPr="00031AFB">
        <w:rPr>
          <w:sz w:val="18"/>
          <w:szCs w:val="18"/>
          <w:vertAlign w:val="superscript"/>
          <w:lang w:val="es-ES_tradnl"/>
        </w:rPr>
        <w:footnoteReference w:id="5"/>
      </w:r>
      <w:r w:rsidRPr="00031AFB">
        <w:rPr>
          <w:lang w:val="es-ES_tradnl"/>
        </w:rPr>
        <w:t>.</w:t>
      </w:r>
    </w:p>
    <w:p w14:paraId="473E0ABA" w14:textId="77777777" w:rsidR="00031AFB" w:rsidRPr="00031AFB" w:rsidRDefault="00031AFB" w:rsidP="00717542">
      <w:pPr>
        <w:pStyle w:val="H1G"/>
        <w:rPr>
          <w:rtl/>
        </w:rPr>
      </w:pPr>
      <w:r w:rsidRPr="00031AFB">
        <w:rPr>
          <w:lang w:val="es-ES_tradnl"/>
        </w:rPr>
        <w:tab/>
        <w:t>B.</w:t>
      </w:r>
      <w:r w:rsidRPr="00031AFB">
        <w:rPr>
          <w:lang w:val="es-ES_tradnl"/>
        </w:rPr>
        <w:tab/>
        <w:t>Derechos específicos (arts. 5 a 30)</w:t>
      </w:r>
    </w:p>
    <w:p w14:paraId="322E556B" w14:textId="0A4BF7EE" w:rsidR="00031AFB" w:rsidRPr="00031AFB" w:rsidRDefault="00031AFB" w:rsidP="00717542">
      <w:pPr>
        <w:pStyle w:val="H23G"/>
        <w:rPr>
          <w:lang w:val="es-ES_tradnl"/>
        </w:rPr>
      </w:pPr>
      <w:r w:rsidRPr="00031AFB">
        <w:rPr>
          <w:lang w:val="es-ES_tradnl"/>
        </w:rPr>
        <w:tab/>
      </w:r>
      <w:r w:rsidR="00717542">
        <w:rPr>
          <w:lang w:val="es-ES_tradnl"/>
        </w:rPr>
        <w:tab/>
      </w:r>
      <w:r w:rsidRPr="00031AFB">
        <w:rPr>
          <w:lang w:val="es-ES_tradnl"/>
        </w:rPr>
        <w:t xml:space="preserve">Respuesta al párrafo 4 a) </w:t>
      </w:r>
    </w:p>
    <w:p w14:paraId="368FA72A" w14:textId="77777777" w:rsidR="00031AFB" w:rsidRPr="00031AFB" w:rsidRDefault="00031AFB" w:rsidP="00031AFB">
      <w:pPr>
        <w:pStyle w:val="SingleTxtG"/>
        <w:rPr>
          <w:lang w:val="es-ES_tradnl"/>
        </w:rPr>
      </w:pPr>
      <w:r w:rsidRPr="00031AFB">
        <w:rPr>
          <w:lang w:val="es-ES_tradnl"/>
        </w:rPr>
        <w:t>11.</w:t>
      </w:r>
      <w:r w:rsidRPr="00031AFB">
        <w:rPr>
          <w:lang w:val="es-ES_tradnl"/>
        </w:rPr>
        <w:tab/>
        <w:t xml:space="preserve">En 2022, Lituania modificó su Ley de Igualdad de Oportunidades con el fin de mejorar la protección de los derechos de las personas con discapacidad, además de otras personas. Las empresas tienen la obligación de adoptar medidas para facilitar el acceso al empleo, al desarrollo profesional y a la adquisición de competencias en beneficio de las personas con discapacidad. Cuando contraten a personas con discapacidad, las empresas también deben tener en cuenta las necesidades individuales y brindar oportunidades de trabajo a tiempo parcial. </w:t>
      </w:r>
    </w:p>
    <w:p w14:paraId="400CC010" w14:textId="77777777" w:rsidR="00031AFB" w:rsidRPr="00031AFB" w:rsidRDefault="00031AFB" w:rsidP="00031AFB">
      <w:pPr>
        <w:pStyle w:val="SingleTxtG"/>
        <w:rPr>
          <w:lang w:val="es-ES_tradnl"/>
        </w:rPr>
      </w:pPr>
      <w:r w:rsidRPr="00031AFB">
        <w:rPr>
          <w:lang w:val="es-ES_tradnl"/>
        </w:rPr>
        <w:t>12.</w:t>
      </w:r>
      <w:r w:rsidRPr="00031AFB">
        <w:rPr>
          <w:lang w:val="es-ES_tradnl"/>
        </w:rPr>
        <w:tab/>
        <w:t xml:space="preserve">Asimismo se ha revisado la legislación relativa al hostigamiento, el acoso sexual y la discriminación. Los empleadores deben adoptar medidas para prevenir la discriminación contra los empleados en relación con la licencia parental y la licencia para el cuidado de los hijos o de familiares enfermos. </w:t>
      </w:r>
    </w:p>
    <w:p w14:paraId="4430FC6E" w14:textId="77777777" w:rsidR="00031AFB" w:rsidRPr="00031AFB" w:rsidRDefault="00031AFB" w:rsidP="00031AFB">
      <w:pPr>
        <w:pStyle w:val="SingleTxtG"/>
        <w:rPr>
          <w:lang w:val="es-ES_tradnl"/>
        </w:rPr>
      </w:pPr>
      <w:r w:rsidRPr="00031AFB">
        <w:rPr>
          <w:lang w:val="es-ES_tradnl"/>
        </w:rPr>
        <w:t>13.</w:t>
      </w:r>
      <w:r w:rsidRPr="00031AFB">
        <w:rPr>
          <w:lang w:val="es-ES_tradnl"/>
        </w:rPr>
        <w:tab/>
        <w:t>Las instituciones y organizaciones estatales y locales tienen la obligación de garantizar la igualdad de oportunidades, sin distinción alguna por motivos de género, raza, nacionalidad, ciudadanía, idioma, condición social, religión, creencias, edad, orientación sexual, discapacidad, origen étnico u otros factores, a la hora de prestar servicios administrativos o de carácter público.</w:t>
      </w:r>
    </w:p>
    <w:p w14:paraId="2650E0E7" w14:textId="1F25CEA0" w:rsidR="00031AFB" w:rsidRPr="00031AFB" w:rsidRDefault="00031AFB" w:rsidP="00031AFB">
      <w:pPr>
        <w:pStyle w:val="SingleTxtG"/>
        <w:rPr>
          <w:lang w:val="es-ES_tradnl"/>
        </w:rPr>
      </w:pPr>
      <w:r w:rsidRPr="00031AFB">
        <w:rPr>
          <w:lang w:val="es-ES_tradnl"/>
        </w:rPr>
        <w:t>14.</w:t>
      </w:r>
      <w:r w:rsidRPr="00031AFB">
        <w:rPr>
          <w:lang w:val="es-ES_tradnl"/>
        </w:rPr>
        <w:tab/>
        <w:t xml:space="preserve">El Parlamento ha aprobado una ley que fija criterios de accesibilidad para los bienes y servicios. Se aplica a los fabricantes, importadores, distribuidores y proveedores de servicios. La ley incorpora al ordenamiento jurídico lituano la Directiva de la UE sobre accesibilidad, que promueve la igualdad de oportunidades para las personas con discapacidad </w:t>
      </w:r>
      <w:r w:rsidRPr="00031AFB">
        <w:rPr>
          <w:lang w:val="es-ES_tradnl"/>
        </w:rPr>
        <w:lastRenderedPageBreak/>
        <w:t>mediante la mejora del acceso a productos y servicios</w:t>
      </w:r>
      <w:r w:rsidRPr="00031AFB">
        <w:rPr>
          <w:sz w:val="18"/>
          <w:szCs w:val="18"/>
          <w:vertAlign w:val="superscript"/>
          <w:lang w:val="es-ES_tradnl"/>
        </w:rPr>
        <w:footnoteReference w:id="6"/>
      </w:r>
      <w:r w:rsidRPr="00031AFB">
        <w:rPr>
          <w:lang w:val="es-ES_tradnl"/>
        </w:rPr>
        <w:t>, con efecto a partir de mediados de</w:t>
      </w:r>
      <w:r w:rsidR="00717542">
        <w:rPr>
          <w:lang w:val="es-ES_tradnl"/>
        </w:rPr>
        <w:t> </w:t>
      </w:r>
      <w:r w:rsidRPr="00031AFB">
        <w:rPr>
          <w:lang w:val="es-ES_tradnl"/>
        </w:rPr>
        <w:t>2025.</w:t>
      </w:r>
    </w:p>
    <w:p w14:paraId="07D0C8B3" w14:textId="77777777" w:rsidR="00031AFB" w:rsidRPr="00031AFB" w:rsidRDefault="00031AFB" w:rsidP="00031AFB">
      <w:pPr>
        <w:pStyle w:val="SingleTxtG"/>
        <w:rPr>
          <w:lang w:val="es-ES_tradnl"/>
        </w:rPr>
      </w:pPr>
      <w:r w:rsidRPr="00031AFB">
        <w:rPr>
          <w:lang w:val="es-ES_tradnl"/>
        </w:rPr>
        <w:t>15.</w:t>
      </w:r>
      <w:r w:rsidRPr="00031AFB">
        <w:rPr>
          <w:lang w:val="es-ES_tradnl"/>
        </w:rPr>
        <w:tab/>
        <w:t>El Ministerio de Trabajo y Seguridad Social lleva a cabo actividades orientadas al desarrollo de competencias, la puesta en marcha de iniciativas educativas y el fortalecimiento del sistema jurídico en la lucha contra la discriminación. Estas medidas están enmarcadas en diversos planes, como los relativos a la promoción de la no discriminación (2021-2023), la igualdad de oportunidades entre hombres y mujeres (2023-2025) y la prevención de la violencia y asistencia a las víctimas (2022-2023).</w:t>
      </w:r>
      <w:bookmarkStart w:id="4" w:name="_Hlk144485147"/>
    </w:p>
    <w:p w14:paraId="6FB03924" w14:textId="0874A3E6"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4 b) </w:t>
      </w:r>
    </w:p>
    <w:bookmarkEnd w:id="4"/>
    <w:p w14:paraId="568D0A2B" w14:textId="77777777" w:rsidR="00031AFB" w:rsidRPr="00031AFB" w:rsidRDefault="00031AFB" w:rsidP="00031AFB">
      <w:pPr>
        <w:pStyle w:val="SingleTxtG"/>
        <w:rPr>
          <w:lang w:val="es-ES_tradnl"/>
        </w:rPr>
      </w:pPr>
      <w:r w:rsidRPr="00031AFB">
        <w:rPr>
          <w:lang w:val="es-ES_tradnl"/>
        </w:rPr>
        <w:t>16.</w:t>
      </w:r>
      <w:r w:rsidRPr="00031AFB">
        <w:rPr>
          <w:lang w:val="es-ES_tradnl"/>
        </w:rPr>
        <w:tab/>
        <w:t>La discriminación está prohibida en diversos ámbitos, como la administración pública a nivel estatal y municipal, la educación, la ciencia y la investigación, el empleo, la protección del consumidor y las actividades de las organizaciones. Cualquier persona puede presentar una denuncia ante el Defensor de la Igualdad de Oportunidades de la República de Lituania por discriminación. En la investigación de los casos de discriminación, la carga de la prueba recae en el presunto infractor. En 2022, el Defensor de la Igualdad de Oportunidades participó en cuatro causas relacionadas con posibles situaciones de discriminación contra personas con discapacidad. El hecho de recurrir al Defensor no obsta para que una persona pueda defender sus derechos ante los tribunales.</w:t>
      </w:r>
    </w:p>
    <w:p w14:paraId="7BCC09A1" w14:textId="77777777" w:rsidR="00031AFB" w:rsidRPr="00031AFB" w:rsidRDefault="00031AFB" w:rsidP="00031AFB">
      <w:pPr>
        <w:pStyle w:val="SingleTxtG"/>
        <w:rPr>
          <w:lang w:val="es-ES_tradnl"/>
        </w:rPr>
      </w:pPr>
      <w:r w:rsidRPr="00031AFB">
        <w:rPr>
          <w:lang w:val="es-ES_tradnl"/>
        </w:rPr>
        <w:t>17.</w:t>
      </w:r>
      <w:r w:rsidRPr="00031AFB">
        <w:rPr>
          <w:lang w:val="es-ES_tradnl"/>
        </w:rPr>
        <w:tab/>
        <w:t>Las personas con discapacidad promueven una defensa y una consulta más activas en lo que respecta a sus derechos. En 2022, se registraron 48 denuncias de presunta discriminación por motivos de discapacidad, y se recibieron 361 solicitudes de personas con discapacidad relacionadas con el respeto o la vulneración de sus derechos. El Defensor de la Igualdad de Oportunidades tiene en cuenta las circunstancias que determinan si se ha producido una discriminación múltiple o interseccional.</w:t>
      </w:r>
    </w:p>
    <w:p w14:paraId="5D9A68E9" w14:textId="77777777" w:rsidR="00031AFB" w:rsidRPr="00031AFB" w:rsidRDefault="00031AFB" w:rsidP="00031AFB">
      <w:pPr>
        <w:pStyle w:val="SingleTxtG"/>
        <w:rPr>
          <w:lang w:val="es-ES_tradnl"/>
        </w:rPr>
      </w:pPr>
      <w:r w:rsidRPr="00031AFB">
        <w:rPr>
          <w:lang w:val="es-ES_tradnl"/>
        </w:rPr>
        <w:t>18.</w:t>
      </w:r>
      <w:r w:rsidRPr="00031AFB">
        <w:rPr>
          <w:lang w:val="es-ES_tradnl"/>
        </w:rPr>
        <w:tab/>
        <w:t>La Constitución de Lituania exige el establecimiento de normas jurídicas que permitan a las personas que hayan sufrido daños como consecuencia de actos ilícitos, en todos los casos, solicitar y recibir una indemnización justa. La Ley de Igualdad de Oportunidades dispone que las personas que han sufrido discriminación tienen derecho a reclamar una indemnización por perjuicios materiales y morales.</w:t>
      </w:r>
    </w:p>
    <w:p w14:paraId="07B7A391" w14:textId="77777777" w:rsidR="00031AFB" w:rsidRPr="00031AFB" w:rsidRDefault="00031AFB" w:rsidP="00031AFB">
      <w:pPr>
        <w:pStyle w:val="SingleTxtG"/>
        <w:rPr>
          <w:lang w:val="es-ES_tradnl"/>
        </w:rPr>
      </w:pPr>
      <w:r w:rsidRPr="00031AFB">
        <w:rPr>
          <w:lang w:val="es-ES_tradnl"/>
        </w:rPr>
        <w:t>19.</w:t>
      </w:r>
      <w:r w:rsidRPr="00031AFB">
        <w:rPr>
          <w:lang w:val="es-ES_tradnl"/>
        </w:rPr>
        <w:tab/>
        <w:t>El Código Civil de la República de Lituania establece la obligación de indemnizar íntegramente por los perjuicios causados a las personas y los bienes y, en los casos previstos por la ley, también por los daños morales</w:t>
      </w:r>
      <w:r w:rsidRPr="00031AFB">
        <w:rPr>
          <w:sz w:val="18"/>
          <w:szCs w:val="18"/>
          <w:vertAlign w:val="superscript"/>
          <w:lang w:val="es-ES_tradnl"/>
        </w:rPr>
        <w:footnoteReference w:id="7"/>
      </w:r>
      <w:r w:rsidRPr="00031AFB">
        <w:rPr>
          <w:lang w:val="es-ES_tradnl"/>
        </w:rPr>
        <w:t>. De conformidad con el artículo 6.251, párrafo 1, del Código Civil, los daños y perjuicios sufridos deben resarcirse por completo, salvo en los casos en que las leyes o un contrato prevean una responsabilidad limitada. El Tribunal Supremo de Lituania reconoce sistemáticamente el principio del resarcimiento íntegro</w:t>
      </w:r>
      <w:r w:rsidRPr="00031AFB">
        <w:rPr>
          <w:sz w:val="18"/>
          <w:szCs w:val="18"/>
          <w:vertAlign w:val="superscript"/>
          <w:lang w:val="es-ES_tradnl"/>
        </w:rPr>
        <w:footnoteReference w:id="8"/>
      </w:r>
      <w:r w:rsidRPr="00031AFB">
        <w:rPr>
          <w:lang w:val="es-ES_tradnl"/>
        </w:rPr>
        <w:t>.</w:t>
      </w:r>
    </w:p>
    <w:p w14:paraId="2B0A9AE3" w14:textId="1676638D" w:rsidR="00031AFB" w:rsidRPr="00031AFB" w:rsidRDefault="00717542" w:rsidP="00717542">
      <w:pPr>
        <w:pStyle w:val="H23G"/>
        <w:rPr>
          <w:lang w:val="es-ES_tradnl"/>
        </w:rPr>
      </w:pPr>
      <w:bookmarkStart w:id="5" w:name="_Hlk144485455"/>
      <w:r>
        <w:rPr>
          <w:lang w:val="es-ES_tradnl"/>
        </w:rPr>
        <w:tab/>
      </w:r>
      <w:r w:rsidR="00031AFB" w:rsidRPr="00031AFB">
        <w:rPr>
          <w:lang w:val="es-ES_tradnl"/>
        </w:rPr>
        <w:tab/>
        <w:t xml:space="preserve">Respuesta al párrafo 5 a) </w:t>
      </w:r>
    </w:p>
    <w:bookmarkEnd w:id="5"/>
    <w:p w14:paraId="50E4CC8F" w14:textId="77777777" w:rsidR="00031AFB" w:rsidRPr="00031AFB" w:rsidRDefault="00031AFB" w:rsidP="00031AFB">
      <w:pPr>
        <w:pStyle w:val="SingleTxtG"/>
        <w:rPr>
          <w:lang w:val="es-ES_tradnl"/>
        </w:rPr>
      </w:pPr>
      <w:r w:rsidRPr="00031AFB">
        <w:rPr>
          <w:lang w:val="es-ES_tradnl"/>
        </w:rPr>
        <w:t>20.</w:t>
      </w:r>
      <w:r w:rsidRPr="00031AFB">
        <w:rPr>
          <w:lang w:val="es-ES_tradnl"/>
        </w:rPr>
        <w:tab/>
        <w:t>El Plan Nacional para el Progreso (2021-2030) establece el principio horizontal de la igualdad de oportunidades para todos, lo que garantiza que no se restrinjan los derechos individuales. Al elaborar programas y poner en práctica planes, es importante tener en cuenta las necesidades de todos los grupos, incluidas las personas con discapacidad, las mujeres y los hombres, los distintos grupos de edad y las minorías nacionales. Deben establecerse medidas e indicadores para garantizar la igualdad de oportunidades para todos.</w:t>
      </w:r>
    </w:p>
    <w:p w14:paraId="74885879" w14:textId="1671AA46"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5 b) </w:t>
      </w:r>
    </w:p>
    <w:p w14:paraId="2DB70196" w14:textId="77777777" w:rsidR="00031AFB" w:rsidRPr="00031AFB" w:rsidRDefault="00031AFB" w:rsidP="00031AFB">
      <w:pPr>
        <w:pStyle w:val="SingleTxtG"/>
        <w:rPr>
          <w:lang w:val="es-ES_tradnl"/>
        </w:rPr>
      </w:pPr>
      <w:r w:rsidRPr="00031AFB">
        <w:rPr>
          <w:lang w:val="es-ES_tradnl"/>
        </w:rPr>
        <w:t>21.</w:t>
      </w:r>
      <w:r w:rsidRPr="00031AFB">
        <w:rPr>
          <w:lang w:val="es-ES_tradnl"/>
        </w:rPr>
        <w:tab/>
        <w:t xml:space="preserve">Lituania ha puesto gran empeño en incorporar la igualdad de género a las leyes y políticas relacionadas con la discapacidad, con el fin de asegurar que las mujeres y las niñas con discapacidad disfruten de un acceso igualitario a la educación, la atención de la salud y el empleo, entre otros ámbitos. Se están llevando a cabo actividades de concienciación de la </w:t>
      </w:r>
      <w:r w:rsidRPr="00031AFB">
        <w:rPr>
          <w:lang w:val="es-ES_tradnl"/>
        </w:rPr>
        <w:lastRenderedPageBreak/>
        <w:t xml:space="preserve">población como programas educativos, campañas de información e iniciativas en las redes sociales en que se abordan las dificultades y los derechos de las mujeres y las niñas con discapacidad (véanse los párrs. 4 a), 5 a) y 5 c)). </w:t>
      </w:r>
    </w:p>
    <w:p w14:paraId="60C4930F" w14:textId="219E003F" w:rsidR="00031AFB" w:rsidRPr="00031AFB" w:rsidRDefault="00031AFB" w:rsidP="00717542">
      <w:pPr>
        <w:pStyle w:val="H23G"/>
        <w:rPr>
          <w:lang w:val="es-ES_tradnl"/>
        </w:rPr>
      </w:pPr>
      <w:bookmarkStart w:id="6" w:name="_Hlk144485666"/>
      <w:r w:rsidRPr="00031AFB">
        <w:rPr>
          <w:lang w:val="es-ES_tradnl"/>
        </w:rPr>
        <w:tab/>
      </w:r>
      <w:r w:rsidR="00717542">
        <w:rPr>
          <w:lang w:val="es-ES_tradnl"/>
        </w:rPr>
        <w:tab/>
      </w:r>
      <w:r w:rsidRPr="00031AFB">
        <w:rPr>
          <w:lang w:val="es-ES_tradnl"/>
        </w:rPr>
        <w:t xml:space="preserve">Respuesta al párrafo 5 c) </w:t>
      </w:r>
    </w:p>
    <w:bookmarkEnd w:id="6"/>
    <w:p w14:paraId="704A8FCC" w14:textId="1BB34664" w:rsidR="00031AFB" w:rsidRPr="00031AFB" w:rsidRDefault="00031AFB" w:rsidP="00031AFB">
      <w:pPr>
        <w:pStyle w:val="SingleTxtG"/>
        <w:rPr>
          <w:lang w:val="es-ES_tradnl"/>
        </w:rPr>
      </w:pPr>
      <w:r w:rsidRPr="00031AFB">
        <w:rPr>
          <w:lang w:val="es-ES_tradnl"/>
        </w:rPr>
        <w:t>22.</w:t>
      </w:r>
      <w:r w:rsidRPr="00031AFB">
        <w:rPr>
          <w:lang w:val="es-ES_tradnl"/>
        </w:rPr>
        <w:tab/>
        <w:t>En 2018, la Asociación Lituana de Personas con Discapacidad analizó la situación de las mujeres con discapacidad y formuló recomendaciones a las instituciones competentes. En</w:t>
      </w:r>
      <w:r w:rsidR="00CD731F">
        <w:rPr>
          <w:lang w:val="es-ES_tradnl"/>
        </w:rPr>
        <w:t> </w:t>
      </w:r>
      <w:r w:rsidRPr="00031AFB">
        <w:rPr>
          <w:lang w:val="es-ES_tradnl"/>
        </w:rPr>
        <w:t xml:space="preserve">2019, un grupo focal integrado por mujeres con discapacidad determinó los obstáculos que dificultaban su participación en la vida pública y formas de superarlos. En 2020 se emitió un programa de radio titulado </w:t>
      </w:r>
      <w:r w:rsidRPr="00031AFB">
        <w:rPr>
          <w:i/>
          <w:iCs/>
          <w:lang w:val="es-ES_tradnl"/>
        </w:rPr>
        <w:t>Lo imposible es posible</w:t>
      </w:r>
      <w:r w:rsidRPr="00031AFB">
        <w:rPr>
          <w:lang w:val="es-ES_tradnl"/>
        </w:rPr>
        <w:t>.</w:t>
      </w:r>
    </w:p>
    <w:p w14:paraId="777B6DC8" w14:textId="48EFB3EF" w:rsidR="00031AFB" w:rsidRPr="00031AFB" w:rsidRDefault="00031AFB" w:rsidP="00031AFB">
      <w:pPr>
        <w:pStyle w:val="SingleTxtG"/>
        <w:rPr>
          <w:lang w:val="es-ES_tradnl"/>
        </w:rPr>
      </w:pPr>
      <w:r w:rsidRPr="00031AFB">
        <w:rPr>
          <w:lang w:val="es-ES_tradnl"/>
        </w:rPr>
        <w:t>23.</w:t>
      </w:r>
      <w:r w:rsidRPr="00031AFB">
        <w:rPr>
          <w:lang w:val="es-ES_tradnl"/>
        </w:rPr>
        <w:tab/>
        <w:t>Desde 2021, se han destinado fondos a proyectos que prestan apoyo a asociaciones de personas con discapacidad, dando prioridad a la prevención de la violencia contra estas. En</w:t>
      </w:r>
      <w:r w:rsidR="00717542">
        <w:rPr>
          <w:lang w:val="es-ES_tradnl"/>
        </w:rPr>
        <w:t> </w:t>
      </w:r>
      <w:r w:rsidRPr="00031AFB">
        <w:rPr>
          <w:lang w:val="es-ES_tradnl"/>
        </w:rPr>
        <w:t>2021, se concedieron ayudas a 16 solicitantes, y en 2022 y 2023, a 12 y 11, respectivamente. En 2021, se atendió a 1.695 beneficiarios, entre ellos 480 personas con discapacidad, mientras que en 2022 se atendió a 742 beneficiarios, entre ellos 338 personas con discapacidad.</w:t>
      </w:r>
      <w:bookmarkStart w:id="7" w:name="_Hlk147692099"/>
      <w:bookmarkEnd w:id="7"/>
    </w:p>
    <w:p w14:paraId="552F886B" w14:textId="5984CC68" w:rsidR="00031AFB" w:rsidRPr="00031AFB" w:rsidRDefault="00717542" w:rsidP="00717542">
      <w:pPr>
        <w:pStyle w:val="H23G"/>
        <w:rPr>
          <w:lang w:val="es-ES_tradnl"/>
        </w:rPr>
      </w:pPr>
      <w:bookmarkStart w:id="8" w:name="_Hlk144486830"/>
      <w:r>
        <w:rPr>
          <w:lang w:val="es-ES_tradnl"/>
        </w:rPr>
        <w:tab/>
      </w:r>
      <w:r w:rsidR="00031AFB" w:rsidRPr="00031AFB">
        <w:rPr>
          <w:lang w:val="es-ES_tradnl"/>
        </w:rPr>
        <w:tab/>
        <w:t xml:space="preserve">Respuesta al párrafo 6 </w:t>
      </w:r>
    </w:p>
    <w:bookmarkEnd w:id="8"/>
    <w:p w14:paraId="1B9146F7" w14:textId="77777777" w:rsidR="00031AFB" w:rsidRPr="00031AFB" w:rsidRDefault="00031AFB" w:rsidP="00031AFB">
      <w:pPr>
        <w:pStyle w:val="SingleTxtG"/>
        <w:rPr>
          <w:lang w:val="es-ES_tradnl"/>
        </w:rPr>
      </w:pPr>
      <w:r w:rsidRPr="00031AFB">
        <w:rPr>
          <w:lang w:val="es-ES_tradnl"/>
        </w:rPr>
        <w:t>24.</w:t>
      </w:r>
      <w:r w:rsidRPr="00031AFB">
        <w:rPr>
          <w:lang w:val="es-ES_tradnl"/>
        </w:rPr>
        <w:tab/>
        <w:t xml:space="preserve">En 2023, el Catálogo de Servicios Sociales se amplió con un nuevo servicio, la asistencia social a las familias, con miras a ayudar a las familias de niños con discapacidad o trastornos del desarrollo. También existen asistentes particulares que ofrecen apoyo adicional en el hogar. </w:t>
      </w:r>
    </w:p>
    <w:p w14:paraId="2F5C4042" w14:textId="67F7133A" w:rsidR="00031AFB" w:rsidRPr="00031AFB" w:rsidRDefault="00031AFB" w:rsidP="00031AFB">
      <w:pPr>
        <w:pStyle w:val="SingleTxtG"/>
        <w:rPr>
          <w:lang w:val="es-ES_tradnl"/>
        </w:rPr>
      </w:pPr>
      <w:r w:rsidRPr="00031AFB">
        <w:rPr>
          <w:lang w:val="es-ES_tradnl"/>
        </w:rPr>
        <w:t>25.</w:t>
      </w:r>
      <w:r w:rsidRPr="00031AFB">
        <w:rPr>
          <w:lang w:val="es-ES_tradnl"/>
        </w:rPr>
        <w:tab/>
        <w:t>En 2020, se creó el servicio social de atención infantil diurna con el fin de atender a los niños que van a la guardería, incluidos los niños con discapacidad. El número de centros infantiles de día y su financiación con cargo al presupuesto estatal aumenta cada año (anexo</w:t>
      </w:r>
      <w:r w:rsidR="00CD731F">
        <w:rPr>
          <w:lang w:val="es-ES_tradnl"/>
        </w:rPr>
        <w:t> </w:t>
      </w:r>
      <w:r w:rsidRPr="00031AFB">
        <w:rPr>
          <w:lang w:val="es-ES_tradnl"/>
        </w:rPr>
        <w:t>3). En 2021, 303 niños con discapacidad se beneficiaron de servicios de atención social diurna acreditados, y en 2022, la cifra de beneficiarios ascendió a 496.</w:t>
      </w:r>
    </w:p>
    <w:p w14:paraId="0119E53E" w14:textId="77777777" w:rsidR="00031AFB" w:rsidRPr="00031AFB" w:rsidRDefault="00031AFB" w:rsidP="00031AFB">
      <w:pPr>
        <w:pStyle w:val="SingleTxtG"/>
        <w:rPr>
          <w:lang w:val="es-ES_tradnl"/>
        </w:rPr>
      </w:pPr>
      <w:r w:rsidRPr="00031AFB">
        <w:rPr>
          <w:lang w:val="es-ES_tradnl"/>
        </w:rPr>
        <w:t>26.</w:t>
      </w:r>
      <w:r w:rsidRPr="00031AFB">
        <w:rPr>
          <w:lang w:val="es-ES_tradnl"/>
        </w:rPr>
        <w:tab/>
        <w:t xml:space="preserve">En 2021, se incorporó al Catálogo de Servicios Sociales un servicio de acompañamiento para jóvenes como servicio de asistencia social separado. Su objetivo es ayudar a los niños que carecen de cuidados parentales, se encuentran en situación de riesgo social o viven en familias en situación de riesgo social, y a las personas que han alcanzado la edad adulta y han recibido asistencia social en un centro de acogida o que han vivido en familias en situación de riesgo social, incluidos los niños con discapacidad. </w:t>
      </w:r>
    </w:p>
    <w:p w14:paraId="597C3704" w14:textId="77777777" w:rsidR="00031AFB" w:rsidRPr="00031AFB" w:rsidRDefault="00031AFB" w:rsidP="00031AFB">
      <w:pPr>
        <w:pStyle w:val="SingleTxtG"/>
        <w:rPr>
          <w:lang w:val="es-ES_tradnl"/>
        </w:rPr>
      </w:pPr>
      <w:r w:rsidRPr="00031AFB">
        <w:rPr>
          <w:lang w:val="es-ES_tradnl"/>
        </w:rPr>
        <w:t>27.</w:t>
      </w:r>
      <w:r w:rsidRPr="00031AFB">
        <w:rPr>
          <w:lang w:val="es-ES_tradnl"/>
        </w:rPr>
        <w:tab/>
        <w:t>Lituania está poniendo en marcha actualmente un sistema de acogimiento en un entorno familiar para niños desfavorecidos, incluidos niños con discapacidad. En la actualidad, hay 55 familias beneficiarias.</w:t>
      </w:r>
    </w:p>
    <w:p w14:paraId="0D5776D7" w14:textId="77777777" w:rsidR="00031AFB" w:rsidRPr="00031AFB" w:rsidRDefault="00031AFB" w:rsidP="00031AFB">
      <w:pPr>
        <w:pStyle w:val="SingleTxtG"/>
        <w:rPr>
          <w:lang w:val="es-ES_tradnl"/>
        </w:rPr>
      </w:pPr>
      <w:r w:rsidRPr="00031AFB">
        <w:rPr>
          <w:lang w:val="es-ES_tradnl"/>
        </w:rPr>
        <w:t>28.</w:t>
      </w:r>
      <w:r w:rsidRPr="00031AFB">
        <w:rPr>
          <w:lang w:val="es-ES_tradnl"/>
        </w:rPr>
        <w:tab/>
        <w:t xml:space="preserve">En 2018, el Ministerio de Trabajo y Seguridad Social aprobó los documentos titulados </w:t>
      </w:r>
      <w:r w:rsidRPr="00031AFB">
        <w:rPr>
          <w:i/>
          <w:iCs/>
          <w:lang w:val="es-ES_tradnl"/>
        </w:rPr>
        <w:t>Descripción de las actividades de los centros de atención y Procedimiento de organización</w:t>
      </w:r>
      <w:r w:rsidRPr="00031AFB">
        <w:rPr>
          <w:lang w:val="es-ES_tradnl"/>
        </w:rPr>
        <w:t xml:space="preserve"> y </w:t>
      </w:r>
      <w:r w:rsidRPr="00031AFB">
        <w:rPr>
          <w:i/>
          <w:iCs/>
          <w:lang w:val="es-ES_tradnl"/>
        </w:rPr>
        <w:t>control de calidad de la atención prestada por el tutor del niño</w:t>
      </w:r>
      <w:r w:rsidRPr="00031AFB">
        <w:rPr>
          <w:lang w:val="es-ES_tradnl"/>
        </w:rPr>
        <w:t>. Los centros de acogida ayudan a los niños a encontrar tutores o padres adoptivos, además de ofrecerles apoyo profesional, asesoramiento psicológico y servicios de acogida temporal. Hay 66 centros con más de 400 empleados repartidos por toda Lituania.</w:t>
      </w:r>
    </w:p>
    <w:p w14:paraId="6F76C1A3" w14:textId="77777777" w:rsidR="00031AFB" w:rsidRPr="00031AFB" w:rsidRDefault="00031AFB" w:rsidP="00031AFB">
      <w:pPr>
        <w:pStyle w:val="SingleTxtG"/>
        <w:rPr>
          <w:lang w:val="es-ES_tradnl"/>
        </w:rPr>
      </w:pPr>
      <w:r w:rsidRPr="00031AFB">
        <w:rPr>
          <w:lang w:val="es-ES_tradnl"/>
        </w:rPr>
        <w:t>29.</w:t>
      </w:r>
      <w:r w:rsidRPr="00031AFB">
        <w:rPr>
          <w:lang w:val="es-ES_tradnl"/>
        </w:rPr>
        <w:tab/>
        <w:t>Los niños y adultos con discapacidad, así como las personas mayores, reciben asistencia integral mediante servicios de atención social diurna y asistencia a domicilio. La oferta de servicios de apoyo integral se está ampliando y estará a cargo de instituciones estatales y municipales, que gestionan programas de educación preescolar para niños con discapacidad de hasta 7 años de edad. Por otra parte, también se brinda asistencia psicológica a los beneficiarios de la asistencia integral, a los cuidadores y a los trabajadores que prestan esa asistencia.</w:t>
      </w:r>
      <w:bookmarkStart w:id="9" w:name="_Hlk144486990"/>
    </w:p>
    <w:p w14:paraId="39EF7883" w14:textId="70FA0290" w:rsidR="00031AFB" w:rsidRPr="00031AFB" w:rsidRDefault="00717542" w:rsidP="00717542">
      <w:pPr>
        <w:pStyle w:val="H23G"/>
        <w:rPr>
          <w:rtl/>
        </w:rPr>
      </w:pPr>
      <w:r>
        <w:rPr>
          <w:lang w:val="es-ES_tradnl"/>
        </w:rPr>
        <w:tab/>
      </w:r>
      <w:r w:rsidR="00031AFB" w:rsidRPr="00031AFB">
        <w:rPr>
          <w:lang w:val="es-ES_tradnl"/>
        </w:rPr>
        <w:tab/>
        <w:t xml:space="preserve">Respuesta al párrafo 7 a) </w:t>
      </w:r>
    </w:p>
    <w:bookmarkEnd w:id="9"/>
    <w:p w14:paraId="32EEFB74" w14:textId="77777777" w:rsidR="00031AFB" w:rsidRPr="00031AFB" w:rsidRDefault="00031AFB" w:rsidP="00031AFB">
      <w:pPr>
        <w:pStyle w:val="SingleTxtG"/>
        <w:rPr>
          <w:lang w:val="es-ES_tradnl"/>
        </w:rPr>
      </w:pPr>
      <w:r w:rsidRPr="00031AFB">
        <w:rPr>
          <w:lang w:val="es-ES_tradnl"/>
        </w:rPr>
        <w:t>30.</w:t>
      </w:r>
      <w:r w:rsidRPr="00031AFB">
        <w:rPr>
          <w:lang w:val="es-ES_tradnl"/>
        </w:rPr>
        <w:tab/>
        <w:t xml:space="preserve">En 2016, se llevaron a cabo cinco campañas públicas de educación y toma de conciencia sobre la integración social de las personas con discapacidad. En 2017, se realizaron 17 campañas, y en 2018, 13. Estas campañas comprendían actividades educativas, conferencias, seminarios y cursos relacionados con la defensa de los derechos de las personas </w:t>
      </w:r>
      <w:r w:rsidRPr="00031AFB">
        <w:rPr>
          <w:lang w:val="es-ES_tradnl"/>
        </w:rPr>
        <w:lastRenderedPageBreak/>
        <w:t>con discapacidad. También se organizaron actividades para respaldar la labor de las asociaciones de personas con discapacidad (anexo 4).</w:t>
      </w:r>
    </w:p>
    <w:p w14:paraId="15315E05" w14:textId="42414333" w:rsidR="00031AFB" w:rsidRPr="00031AFB" w:rsidRDefault="00717542" w:rsidP="00717542">
      <w:pPr>
        <w:pStyle w:val="H23G"/>
        <w:rPr>
          <w:lang w:val="es-ES_tradnl"/>
        </w:rPr>
      </w:pPr>
      <w:bookmarkStart w:id="10" w:name="_Hlk144487905"/>
      <w:r>
        <w:rPr>
          <w:lang w:val="es-ES_tradnl"/>
        </w:rPr>
        <w:tab/>
      </w:r>
      <w:r w:rsidR="00031AFB" w:rsidRPr="00031AFB">
        <w:rPr>
          <w:lang w:val="es-ES_tradnl"/>
        </w:rPr>
        <w:tab/>
        <w:t xml:space="preserve">Respuesta al párrafo 7 b) </w:t>
      </w:r>
    </w:p>
    <w:p w14:paraId="21F0A73B" w14:textId="77777777" w:rsidR="00031AFB" w:rsidRPr="00031AFB" w:rsidRDefault="00031AFB" w:rsidP="00031AFB">
      <w:pPr>
        <w:pStyle w:val="SingleTxtG"/>
        <w:rPr>
          <w:lang w:val="es-ES_tradnl"/>
        </w:rPr>
      </w:pPr>
      <w:bookmarkStart w:id="11" w:name="_Hlk144488040"/>
      <w:bookmarkEnd w:id="10"/>
      <w:r w:rsidRPr="00031AFB">
        <w:rPr>
          <w:lang w:val="es-ES_tradnl"/>
        </w:rPr>
        <w:t>31.</w:t>
      </w:r>
      <w:r w:rsidRPr="00031AFB">
        <w:rPr>
          <w:lang w:val="es-ES_tradnl"/>
        </w:rPr>
        <w:tab/>
        <w:t>Entre 2017 y 2022, se acometieron iniciativas de sensibilización de la población con el fin de acabar con las creencias erróneas (anexo 5). En 2023, continuó la difusión de contenido en canales de televisión y redes sociales, así como la promoción del empleo en el mercado de trabajo abierto.</w:t>
      </w:r>
    </w:p>
    <w:p w14:paraId="284C4BDD" w14:textId="14CD18D0"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7 c) </w:t>
      </w:r>
    </w:p>
    <w:bookmarkEnd w:id="11"/>
    <w:p w14:paraId="1207376D" w14:textId="77777777" w:rsidR="00031AFB" w:rsidRPr="00031AFB" w:rsidRDefault="00031AFB" w:rsidP="00031AFB">
      <w:pPr>
        <w:pStyle w:val="SingleTxtG"/>
        <w:rPr>
          <w:lang w:val="es-ES_tradnl"/>
        </w:rPr>
      </w:pPr>
      <w:r w:rsidRPr="00031AFB">
        <w:rPr>
          <w:lang w:val="es-ES_tradnl"/>
        </w:rPr>
        <w:t>32.</w:t>
      </w:r>
      <w:r w:rsidRPr="00031AFB">
        <w:rPr>
          <w:lang w:val="es-ES_tradnl"/>
        </w:rPr>
        <w:tab/>
        <w:t>El Ministerio de Educación, Ciencia y Deporte ha elaborado un plan de acción para el período de 2021 a 2024 centrado en la inclusión de los niños con necesidades especiales en los centros educativos. El número de alumnos con discapacidad en los centros de enseñanza general está aumentando, mientras que el número de alumnos con discapacidad que abandonan esos centros está disminuyendo (anexo 6).</w:t>
      </w:r>
    </w:p>
    <w:p w14:paraId="39E617C8" w14:textId="6802A9DE"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8 a) </w:t>
      </w:r>
    </w:p>
    <w:p w14:paraId="4B2B1C90" w14:textId="77777777" w:rsidR="00031AFB" w:rsidRPr="00031AFB" w:rsidRDefault="00031AFB" w:rsidP="00031AFB">
      <w:pPr>
        <w:pStyle w:val="SingleTxtG"/>
        <w:rPr>
          <w:lang w:val="es-ES_tradnl"/>
        </w:rPr>
      </w:pPr>
      <w:r w:rsidRPr="00031AFB">
        <w:rPr>
          <w:lang w:val="es-ES_tradnl"/>
        </w:rPr>
        <w:t>33.</w:t>
      </w:r>
      <w:r w:rsidRPr="00031AFB">
        <w:rPr>
          <w:lang w:val="es-ES_tradnl"/>
        </w:rPr>
        <w:tab/>
        <w:t>El Gobierno ha aprobado un programa decenal para el período de 2021 a 2030 denominado Programa de Desarrollo de Entornos Adaptados a las Personas con Discapacidad, con el fin de mejorar la accesibilidad en los entornos físicos y de información, productos y servicios. El programa consta de tres medidas</w:t>
      </w:r>
      <w:r w:rsidRPr="00031AFB">
        <w:rPr>
          <w:sz w:val="18"/>
          <w:szCs w:val="18"/>
          <w:vertAlign w:val="superscript"/>
          <w:lang w:val="es-ES_tradnl"/>
        </w:rPr>
        <w:footnoteReference w:id="9"/>
      </w:r>
      <w:r w:rsidRPr="00031AFB">
        <w:rPr>
          <w:lang w:val="es-ES_tradnl"/>
        </w:rPr>
        <w:t>. Cada medida cuenta con indicadores de seguimiento establecidos por el Ministerio de Trabajo y Seguridad Social.</w:t>
      </w:r>
    </w:p>
    <w:p w14:paraId="4FF39009" w14:textId="77777777" w:rsidR="00031AFB" w:rsidRPr="00031AFB" w:rsidRDefault="00031AFB" w:rsidP="00031AFB">
      <w:pPr>
        <w:pStyle w:val="SingleTxtG"/>
        <w:rPr>
          <w:lang w:val="es-ES_tradnl"/>
        </w:rPr>
      </w:pPr>
      <w:r w:rsidRPr="00031AFB">
        <w:rPr>
          <w:lang w:val="es-ES_tradnl"/>
        </w:rPr>
        <w:t>34.</w:t>
      </w:r>
      <w:r w:rsidRPr="00031AFB">
        <w:rPr>
          <w:lang w:val="es-ES_tradnl"/>
        </w:rPr>
        <w:tab/>
        <w:t>El Foro Lituano de la Discapacidad ha publicado una guía sobre accesibilidad digital titulada Internet para Todos: Guía para Hacer Accesible la Información Digital, con el fin de sensibilizar a la población sobre la discapacidad y la accesibilidad. Además, el Departamento de Asuntos de las Personas con Discapacidad ha puesto en marcha un programa de formación titulado ¿Cómo Elaborar Información Accesible para Todos?, con el propósito de que los funcionarios públicos comprendan la necesidad de que la información sea accesible para todos los miembros de la sociedad y las ventajas que ello conlleva. Se están aplicando los principios del diseño universal para garantizar la accesibilidad (véase el párr. 1 d)).</w:t>
      </w:r>
    </w:p>
    <w:p w14:paraId="4DE98D4C" w14:textId="2794B275" w:rsidR="00031AFB" w:rsidRPr="00031AFB" w:rsidRDefault="00031AFB" w:rsidP="00717542">
      <w:pPr>
        <w:pStyle w:val="H23G"/>
        <w:rPr>
          <w:rtl/>
        </w:rPr>
      </w:pPr>
      <w:bookmarkStart w:id="12" w:name="_Hlk144489217"/>
      <w:r w:rsidRPr="00031AFB">
        <w:rPr>
          <w:lang w:val="es-ES_tradnl"/>
        </w:rPr>
        <w:tab/>
      </w:r>
      <w:r w:rsidR="00717542">
        <w:rPr>
          <w:lang w:val="es-ES_tradnl"/>
        </w:rPr>
        <w:tab/>
      </w:r>
      <w:r w:rsidRPr="00031AFB">
        <w:rPr>
          <w:lang w:val="es-ES_tradnl"/>
        </w:rPr>
        <w:t xml:space="preserve">Respuesta al párrafo 8 b) </w:t>
      </w:r>
    </w:p>
    <w:bookmarkEnd w:id="12"/>
    <w:p w14:paraId="13DE8942" w14:textId="77777777" w:rsidR="00031AFB" w:rsidRPr="00031AFB" w:rsidRDefault="00031AFB" w:rsidP="00031AFB">
      <w:pPr>
        <w:pStyle w:val="SingleTxtG"/>
        <w:rPr>
          <w:lang w:val="es-ES_tradnl"/>
        </w:rPr>
      </w:pPr>
      <w:r w:rsidRPr="00031AFB">
        <w:rPr>
          <w:lang w:val="es-ES_tradnl"/>
        </w:rPr>
        <w:t>35.</w:t>
      </w:r>
      <w:r w:rsidRPr="00031AFB">
        <w:rPr>
          <w:lang w:val="es-ES_tradnl"/>
        </w:rPr>
        <w:tab/>
        <w:t xml:space="preserve">Se ha modificado la legislación con el fin de mejorar la accesibilidad de los edificios (anexo 7). El Ministerio de Medio Ambiente de la República de Lituania ha elaborado una metodología para evaluar la accesibilidad de los edificios para las personas con discapacidad. </w:t>
      </w:r>
    </w:p>
    <w:p w14:paraId="5B446AFD" w14:textId="77777777" w:rsidR="00031AFB" w:rsidRPr="00031AFB" w:rsidRDefault="00031AFB" w:rsidP="00031AFB">
      <w:pPr>
        <w:pStyle w:val="SingleTxtG"/>
        <w:rPr>
          <w:lang w:val="es-ES_tradnl"/>
        </w:rPr>
      </w:pPr>
      <w:r w:rsidRPr="00031AFB">
        <w:rPr>
          <w:lang w:val="es-ES_tradnl"/>
        </w:rPr>
        <w:t>36.</w:t>
      </w:r>
      <w:r w:rsidRPr="00031AFB">
        <w:rPr>
          <w:lang w:val="es-ES_tradnl"/>
        </w:rPr>
        <w:tab/>
        <w:t>El procedimiento de adaptación de la vivienda establece que se debe garantizar a todas las personas con discapacidad, en función de sus necesidades individuales, la independencia en la vivienda y en el entorno de vida (véanse los párrafos 17 a) y 1 d)).</w:t>
      </w:r>
    </w:p>
    <w:p w14:paraId="6AC946B9" w14:textId="77777777" w:rsidR="00031AFB" w:rsidRPr="00031AFB" w:rsidRDefault="00031AFB" w:rsidP="00031AFB">
      <w:pPr>
        <w:pStyle w:val="SingleTxtG"/>
        <w:rPr>
          <w:lang w:val="es-ES_tradnl"/>
        </w:rPr>
      </w:pPr>
      <w:r w:rsidRPr="00031AFB">
        <w:rPr>
          <w:lang w:val="es-ES_tradnl"/>
        </w:rPr>
        <w:t>37.</w:t>
      </w:r>
      <w:r w:rsidRPr="00031AFB">
        <w:rPr>
          <w:lang w:val="es-ES_tradnl"/>
        </w:rPr>
        <w:tab/>
        <w:t>En 2020, el Ministerio de Educación, Ciencia y Deporte, el Ministerio de Trabajo y Seguridad Social y el Foro Lituano de la Discapacidad firmaron un memorando mediante el cual se comprometían a adaptar para las personas con discapacidad, cada año y en cada municipio, al menos un centro de enseñanza general y un centro de salud. Entre 2014 y 2020 se renovaron 124 escuelas, 41 centros de educación infantil y 46 centros de formación profesional. El costo total de los proyectos ascendió a 138,3 millones de euros</w:t>
      </w:r>
      <w:r w:rsidRPr="00031AFB">
        <w:rPr>
          <w:sz w:val="18"/>
          <w:szCs w:val="18"/>
          <w:vertAlign w:val="superscript"/>
          <w:lang w:val="es-ES_tradnl"/>
        </w:rPr>
        <w:footnoteReference w:id="10"/>
      </w:r>
      <w:r w:rsidRPr="00031AFB">
        <w:rPr>
          <w:lang w:val="es-ES_tradnl"/>
        </w:rPr>
        <w:t>.</w:t>
      </w:r>
    </w:p>
    <w:p w14:paraId="46AB06BE" w14:textId="77777777" w:rsidR="00031AFB" w:rsidRPr="00031AFB" w:rsidRDefault="00031AFB" w:rsidP="00031AFB">
      <w:pPr>
        <w:pStyle w:val="SingleTxtG"/>
        <w:rPr>
          <w:lang w:val="es-ES_tradnl"/>
        </w:rPr>
      </w:pPr>
      <w:r w:rsidRPr="00031AFB">
        <w:rPr>
          <w:lang w:val="es-ES_tradnl"/>
        </w:rPr>
        <w:lastRenderedPageBreak/>
        <w:t>38.</w:t>
      </w:r>
      <w:r w:rsidRPr="00031AFB">
        <w:rPr>
          <w:lang w:val="es-ES_tradnl"/>
        </w:rPr>
        <w:tab/>
        <w:t>Se han aprobado planes de desarrollo regional para el período de 2022 a 2030</w:t>
      </w:r>
      <w:r w:rsidRPr="00031AFB">
        <w:rPr>
          <w:sz w:val="18"/>
          <w:szCs w:val="18"/>
          <w:vertAlign w:val="superscript"/>
          <w:lang w:val="es-ES_tradnl"/>
        </w:rPr>
        <w:footnoteReference w:id="11"/>
      </w:r>
      <w:r w:rsidRPr="00031AFB">
        <w:rPr>
          <w:lang w:val="es-ES_tradnl"/>
        </w:rPr>
        <w:t>. Los planes incluyen la creación y adaptación de espacios escolares para alumnos con necesidades diversas, la adquisición de medios de transporte para alumnos con discapacidad y la modernización de los centros educativos en el marco del programa de mejoras titulado Escuelas del Milenio, todo ello en consonancia con el principio de la educación inclusiva.</w:t>
      </w:r>
    </w:p>
    <w:p w14:paraId="2A2E7147" w14:textId="77777777" w:rsidR="00031AFB" w:rsidRPr="00031AFB" w:rsidRDefault="00031AFB" w:rsidP="00031AFB">
      <w:pPr>
        <w:pStyle w:val="SingleTxtG"/>
        <w:rPr>
          <w:lang w:val="es-ES_tradnl"/>
        </w:rPr>
      </w:pPr>
      <w:r w:rsidRPr="00031AFB">
        <w:rPr>
          <w:lang w:val="es-ES_tradnl"/>
        </w:rPr>
        <w:t>39.</w:t>
      </w:r>
      <w:r w:rsidRPr="00031AFB">
        <w:rPr>
          <w:lang w:val="es-ES_tradnl"/>
        </w:rPr>
        <w:tab/>
        <w:t>El Ministerio de Salud ha aprobado el Procedimiento de Evaluación de los Centros Sanitarios Adaptados a las Personas con Movilidad Reducida con el fin de garantizar la accesibilidad de los servicios de salud para todos los pacientes. También ha emprendido iniciativas para mejorar las infraestructuras en beneficio de las personas con discapacidad y proyectos educativos (anexo 8).</w:t>
      </w:r>
    </w:p>
    <w:p w14:paraId="52BC8ADB" w14:textId="1BDC0AC0"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8 c) </w:t>
      </w:r>
    </w:p>
    <w:p w14:paraId="2627DA23" w14:textId="77777777" w:rsidR="00031AFB" w:rsidRPr="00031AFB" w:rsidRDefault="00031AFB" w:rsidP="00031AFB">
      <w:pPr>
        <w:pStyle w:val="SingleTxtG"/>
        <w:rPr>
          <w:lang w:val="es-ES_tradnl"/>
        </w:rPr>
      </w:pPr>
      <w:r w:rsidRPr="00031AFB">
        <w:rPr>
          <w:lang w:val="es-ES_tradnl"/>
        </w:rPr>
        <w:t>40.</w:t>
      </w:r>
      <w:r w:rsidRPr="00031AFB">
        <w:rPr>
          <w:lang w:val="es-ES_tradnl"/>
        </w:rPr>
        <w:tab/>
        <w:t xml:space="preserve">El plan del Ministerio de Transporte y Comunicaciones para la adaptación del sector del transporte a las necesidades de las personas con discapacidad prevé modificaciones en las estaciones, paradas y vehículos de transporte público y en las oficinas de correos. Estos cambios también abarcarán los aeropuertos y las terminales de transbordadores. </w:t>
      </w:r>
      <w:bookmarkStart w:id="13" w:name="_Hlk148299561"/>
      <w:bookmarkEnd w:id="13"/>
    </w:p>
    <w:p w14:paraId="61E83DBD" w14:textId="77777777" w:rsidR="00031AFB" w:rsidRPr="00031AFB" w:rsidRDefault="00031AFB" w:rsidP="00031AFB">
      <w:pPr>
        <w:pStyle w:val="SingleTxtG"/>
        <w:rPr>
          <w:lang w:val="es-ES_tradnl"/>
        </w:rPr>
      </w:pPr>
      <w:r w:rsidRPr="00031AFB">
        <w:rPr>
          <w:lang w:val="es-ES_tradnl"/>
        </w:rPr>
        <w:t>41.</w:t>
      </w:r>
      <w:r w:rsidRPr="00031AFB">
        <w:rPr>
          <w:lang w:val="es-ES_tradnl"/>
        </w:rPr>
        <w:tab/>
        <w:t xml:space="preserve">El proyecto del Ministerio de Transporte titulado Adaptación de los Servicios Ferroviarios según los Principios del Diseño Universal contribuirá a mejorar esos servicios para los pasajeros con discapacidad mediante la adaptación del equipamiento de los trenes, la prestación de servicios de asistencia y la instalación de infraestructuras accesibles, como rampas y sistemas de información en las estaciones. </w:t>
      </w:r>
    </w:p>
    <w:p w14:paraId="25957160" w14:textId="68FF61F6"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8 d) </w:t>
      </w:r>
    </w:p>
    <w:p w14:paraId="712B310F" w14:textId="77777777" w:rsidR="00031AFB" w:rsidRPr="00031AFB" w:rsidRDefault="00031AFB" w:rsidP="00031AFB">
      <w:pPr>
        <w:pStyle w:val="SingleTxtG"/>
        <w:rPr>
          <w:lang w:val="es-ES_tradnl"/>
        </w:rPr>
      </w:pPr>
      <w:bookmarkStart w:id="14" w:name="_Hlk144844062"/>
      <w:r w:rsidRPr="00031AFB">
        <w:rPr>
          <w:lang w:val="es-ES_tradnl"/>
        </w:rPr>
        <w:t>42.</w:t>
      </w:r>
      <w:r w:rsidRPr="00031AFB">
        <w:rPr>
          <w:lang w:val="es-ES_tradnl"/>
        </w:rPr>
        <w:tab/>
        <w:t>En 2020, la Oficina Nacional de Auditoría llevó a cabo una auditoría estatal sobre la integración social de las personas con discapacidad. Se evaluó la prestación de servicios de vida independiente, las condiciones de acceso al mercado de trabajo y el acceso al transporte y a la información (anexo 9). Sin embargo, no se analizó si la asignación y el uso de los fondos destinados a eliminar las barreras de accesibilidad eran adecuados.</w:t>
      </w:r>
    </w:p>
    <w:bookmarkEnd w:id="14"/>
    <w:p w14:paraId="21060DB4" w14:textId="77777777" w:rsidR="00031AFB" w:rsidRPr="00031AFB" w:rsidRDefault="00031AFB" w:rsidP="00031AFB">
      <w:pPr>
        <w:pStyle w:val="SingleTxtG"/>
        <w:rPr>
          <w:lang w:val="es-ES_tradnl"/>
        </w:rPr>
      </w:pPr>
      <w:r w:rsidRPr="00031AFB">
        <w:rPr>
          <w:lang w:val="es-ES_tradnl"/>
        </w:rPr>
        <w:t>43.</w:t>
      </w:r>
      <w:r w:rsidRPr="00031AFB">
        <w:rPr>
          <w:lang w:val="es-ES_tradnl"/>
        </w:rPr>
        <w:tab/>
        <w:t>Se imparten cursos sobre la aplicación de los criterios de diseño universal para personas con discapacidad, dirigidos a especialistas del entorno, la planificación urbanística y el diseño del sector público. El Departamento de Asuntos de las Personas con Discapacidad cuenta con expertos en accesibilidad que ofrecen asesoramiento continuo sobre la normativa legal en materia de accesibilidad y adaptación del entorno para personas en silla de ruedas y personas con discapacidad visual.</w:t>
      </w:r>
    </w:p>
    <w:p w14:paraId="0048729C" w14:textId="72E399EE"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8 e) </w:t>
      </w:r>
    </w:p>
    <w:p w14:paraId="76617155" w14:textId="77777777" w:rsidR="00031AFB" w:rsidRPr="00031AFB" w:rsidRDefault="00031AFB" w:rsidP="00031AFB">
      <w:pPr>
        <w:pStyle w:val="SingleTxtG"/>
        <w:rPr>
          <w:lang w:val="es-ES_tradnl"/>
        </w:rPr>
      </w:pPr>
      <w:r w:rsidRPr="00031AFB">
        <w:rPr>
          <w:lang w:val="es-ES_tradnl"/>
        </w:rPr>
        <w:t>44.</w:t>
      </w:r>
      <w:r w:rsidRPr="00031AFB">
        <w:rPr>
          <w:lang w:val="es-ES_tradnl"/>
        </w:rPr>
        <w:tab/>
        <w:t>Desde 2021, el Comité para el Desarrollo de la Sociedad de la Información realiza un estudio anual sobre el cumplimiento de las normas de accesibilidad de los sitios web y las aplicaciones móviles de las instituciones estatales y municipales, a las que exige que subsanen las deficiencias de accesibilidad en un plazo determinado. También examina las reclamaciones y los procedimientos administrativos. Las decisiones son vinculantes para las personas y las entidades concernidas.</w:t>
      </w:r>
    </w:p>
    <w:p w14:paraId="1345BF99" w14:textId="6805092F" w:rsidR="00031AFB" w:rsidRPr="00031AFB" w:rsidRDefault="00717542" w:rsidP="00717542">
      <w:pPr>
        <w:pStyle w:val="H23G"/>
        <w:rPr>
          <w:lang w:val="es-ES_tradnl"/>
        </w:rPr>
      </w:pPr>
      <w:bookmarkStart w:id="15" w:name="_Hlk144490469"/>
      <w:r>
        <w:rPr>
          <w:lang w:val="es-ES_tradnl"/>
        </w:rPr>
        <w:tab/>
      </w:r>
      <w:r w:rsidR="00031AFB" w:rsidRPr="00031AFB">
        <w:rPr>
          <w:lang w:val="es-ES_tradnl"/>
        </w:rPr>
        <w:tab/>
        <w:t xml:space="preserve">Respuesta al párrafo 8 f) </w:t>
      </w:r>
    </w:p>
    <w:bookmarkEnd w:id="15"/>
    <w:p w14:paraId="75D3F9DD" w14:textId="77777777" w:rsidR="00031AFB" w:rsidRPr="00031AFB" w:rsidRDefault="00031AFB" w:rsidP="00031AFB">
      <w:pPr>
        <w:pStyle w:val="SingleTxtG"/>
        <w:rPr>
          <w:lang w:val="es-ES_tradnl"/>
        </w:rPr>
      </w:pPr>
      <w:r w:rsidRPr="00031AFB">
        <w:rPr>
          <w:lang w:val="es-ES_tradnl"/>
        </w:rPr>
        <w:t>45.</w:t>
      </w:r>
      <w:r w:rsidRPr="00031AFB">
        <w:rPr>
          <w:lang w:val="es-ES_tradnl"/>
        </w:rPr>
        <w:tab/>
        <w:t xml:space="preserve">Entre 2016 y 2021 se impartieron diversas formaciones sobre la accesibilidad del entorno. Cada año, asistieron a ellas alrededor de 60 arquitectos, ingenieros civiles y funcionarios municipales competentes (véase el párr. 8 d)). </w:t>
      </w:r>
    </w:p>
    <w:p w14:paraId="602596B5" w14:textId="4B7AF1D1"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9 a) </w:t>
      </w:r>
    </w:p>
    <w:p w14:paraId="1D138EAC" w14:textId="77777777" w:rsidR="00031AFB" w:rsidRPr="00031AFB" w:rsidRDefault="00031AFB" w:rsidP="00031AFB">
      <w:pPr>
        <w:pStyle w:val="SingleTxtG"/>
        <w:rPr>
          <w:lang w:val="es-ES_tradnl"/>
        </w:rPr>
      </w:pPr>
      <w:r w:rsidRPr="00031AFB">
        <w:rPr>
          <w:lang w:val="es-ES_tradnl"/>
        </w:rPr>
        <w:t>46.</w:t>
      </w:r>
      <w:r w:rsidRPr="00031AFB">
        <w:rPr>
          <w:lang w:val="es-ES_tradnl"/>
        </w:rPr>
        <w:tab/>
        <w:t xml:space="preserve">La Ley de la Condición Jurídica de los Extranjeros de la República de Lituania dispone que si los solicitantes de asilo son considerados personas vulnerables tendrán derecho a unas condiciones de acogida adecuadas a sus necesidades especiales. Las personas </w:t>
      </w:r>
      <w:r w:rsidRPr="00031AFB">
        <w:rPr>
          <w:lang w:val="es-ES_tradnl"/>
        </w:rPr>
        <w:lastRenderedPageBreak/>
        <w:t xml:space="preserve">con discapacidad reciben alojamiento y asistencia personalizada acorde con sus necesidades especiales en el Centro de Inscripción de Extranjeros o en el Centro de Acogida de Refugiados del Servicio Estatal de Control Fronterizo, adscrito al Ministerio del Interior. </w:t>
      </w:r>
    </w:p>
    <w:p w14:paraId="12552C10" w14:textId="59196CBE"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9 b) </w:t>
      </w:r>
    </w:p>
    <w:p w14:paraId="6888118A" w14:textId="77777777" w:rsidR="00031AFB" w:rsidRPr="00031AFB" w:rsidRDefault="00031AFB" w:rsidP="00031AFB">
      <w:pPr>
        <w:pStyle w:val="SingleTxtG"/>
        <w:rPr>
          <w:lang w:val="es-ES_tradnl"/>
        </w:rPr>
      </w:pPr>
      <w:r w:rsidRPr="00031AFB">
        <w:rPr>
          <w:lang w:val="es-ES_tradnl"/>
        </w:rPr>
        <w:t>47.</w:t>
      </w:r>
      <w:r w:rsidRPr="00031AFB">
        <w:rPr>
          <w:lang w:val="es-ES_tradnl"/>
        </w:rPr>
        <w:tab/>
        <w:t>En 2022, el Departamento de Protección contra Incendios y Salvamento aprobó una nueva versión de las Directrices Metodológicas para la Elaboración de Planes de Gestión de Emergencias. En caso de desastre, hay que alertar e informar a las personas con discapacidad de forma que les resulte accesible, evacuarlas —lo cual comprende su acogida temporal en instalaciones de protección colectiva— y prever la movilización de los recursos materiales necesarios para satisfacer sus necesidades. En 2023, entró en vigor la nueva Ley de Gestión de Crisis y Protección Civil de la República de Lituania, que establece que el sistema de gestión de crisis y protección civil debe satisfacer plenamente las necesidades de protección de las personas con discapacidad.</w:t>
      </w:r>
    </w:p>
    <w:p w14:paraId="4715D005" w14:textId="574D0054"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9 c) </w:t>
      </w:r>
    </w:p>
    <w:p w14:paraId="2ADA3772" w14:textId="77777777" w:rsidR="00031AFB" w:rsidRPr="00031AFB" w:rsidRDefault="00031AFB" w:rsidP="00031AFB">
      <w:pPr>
        <w:pStyle w:val="SingleTxtG"/>
        <w:rPr>
          <w:lang w:val="es-ES_tradnl"/>
        </w:rPr>
      </w:pPr>
      <w:r w:rsidRPr="00031AFB">
        <w:rPr>
          <w:lang w:val="es-ES_tradnl"/>
        </w:rPr>
        <w:t>48.</w:t>
      </w:r>
      <w:r w:rsidRPr="00031AFB">
        <w:rPr>
          <w:lang w:val="es-ES_tradnl"/>
        </w:rPr>
        <w:tab/>
        <w:t>Las organizaciones que representan a las personas con discapacidad participan en la elaboración y aplicación de la legislación. En colaboración con el Foro de Organizaciones de Personas con Discapacidad de Lituania, se organizó un curso de formación sobre las necesidades de las personas con discapacidad en situaciones de emergencia en la Escuela de Formación de Bomberos. Se ha previsto crear un sistema permanente de preinscripción para la asistencia a las personas con discapacidad en la plataforma LT72</w:t>
      </w:r>
      <w:r w:rsidRPr="00031AFB">
        <w:rPr>
          <w:sz w:val="18"/>
          <w:szCs w:val="18"/>
          <w:vertAlign w:val="superscript"/>
          <w:lang w:val="es-ES_tradnl"/>
        </w:rPr>
        <w:footnoteReference w:id="12"/>
      </w:r>
      <w:r w:rsidRPr="00031AFB">
        <w:rPr>
          <w:lang w:val="es-ES_tradnl"/>
        </w:rPr>
        <w:t>.</w:t>
      </w:r>
    </w:p>
    <w:p w14:paraId="108DCBE9" w14:textId="77777777" w:rsidR="00031AFB" w:rsidRPr="00031AFB" w:rsidRDefault="00031AFB" w:rsidP="00031AFB">
      <w:pPr>
        <w:pStyle w:val="SingleTxtG"/>
        <w:rPr>
          <w:lang w:val="es-ES_tradnl"/>
        </w:rPr>
      </w:pPr>
      <w:r w:rsidRPr="00031AFB">
        <w:rPr>
          <w:lang w:val="es-ES_tradnl"/>
        </w:rPr>
        <w:t>49.</w:t>
      </w:r>
      <w:r w:rsidRPr="00031AFB">
        <w:rPr>
          <w:lang w:val="es-ES_tradnl"/>
        </w:rPr>
        <w:tab/>
        <w:t>En 2022 se llevó a cabo una encuesta entre las personas con discapacidad. Basándose en los resultados obtenidos, el Ministerio del Interior preparó un informe sobre la aplicación práctica de las medidas de protección y seguridad de las personas con discapacidad en situaciones de peligro, y el Departamento de Asuntos de las Personas con Discapacidad efectuó un análisis del marco jurídico relativo a las situaciones de emergencia.</w:t>
      </w:r>
    </w:p>
    <w:p w14:paraId="2AD465AA" w14:textId="121C7CEE" w:rsidR="00031AFB" w:rsidRPr="00031AFB" w:rsidRDefault="00717542" w:rsidP="00717542">
      <w:pPr>
        <w:pStyle w:val="H23G"/>
        <w:rPr>
          <w:rtl/>
        </w:rPr>
      </w:pPr>
      <w:r>
        <w:rPr>
          <w:lang w:val="es-ES_tradnl"/>
        </w:rPr>
        <w:tab/>
      </w:r>
      <w:r w:rsidR="00031AFB" w:rsidRPr="00031AFB">
        <w:rPr>
          <w:lang w:val="es-ES_tradnl"/>
        </w:rPr>
        <w:tab/>
        <w:t xml:space="preserve">Respuesta al párrafo 9 d) </w:t>
      </w:r>
    </w:p>
    <w:p w14:paraId="314CF131" w14:textId="77777777" w:rsidR="00031AFB" w:rsidRPr="00031AFB" w:rsidRDefault="00031AFB" w:rsidP="00031AFB">
      <w:pPr>
        <w:pStyle w:val="SingleTxtG"/>
        <w:rPr>
          <w:lang w:val="es-ES_tradnl"/>
        </w:rPr>
      </w:pPr>
      <w:r w:rsidRPr="00031AFB">
        <w:rPr>
          <w:lang w:val="es-ES_tradnl"/>
        </w:rPr>
        <w:t>50.</w:t>
      </w:r>
      <w:r w:rsidRPr="00031AFB">
        <w:rPr>
          <w:lang w:val="es-ES_tradnl"/>
        </w:rPr>
        <w:tab/>
        <w:t xml:space="preserve">La vacunación contra la enfermedad por coronavirus (COVID-19) se administró en el propio domicilio de las personas que tenían dificultades para acudir a los centros de atención primaria. Durante la pandemia, los servicios esenciales para las personas con discapacidad se prestaron con una frecuencia suficiente para atender sus necesidades, mediante procedimientos que ellas podían comprender. El Ministerio de Salud ofreció interpretación en lengua de señas durante todas las conferencias de prensa sobre la prevención del coronavirus. Los servicios sociales se prestaron de conformidad con las decisiones del Ministerio de Trabajo y Seguridad Social y respetando las medidas establecidas para la prevención y el control de la COVID-19 en las instituciones de servicios sociales. </w:t>
      </w:r>
    </w:p>
    <w:p w14:paraId="6FCDB4BF" w14:textId="39BA4403"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10 a) </w:t>
      </w:r>
    </w:p>
    <w:p w14:paraId="419BFC52" w14:textId="77777777" w:rsidR="00031AFB" w:rsidRPr="00031AFB" w:rsidRDefault="00031AFB" w:rsidP="00031AFB">
      <w:pPr>
        <w:pStyle w:val="SingleTxtG"/>
        <w:rPr>
          <w:lang w:val="es-ES_tradnl"/>
        </w:rPr>
      </w:pPr>
      <w:r w:rsidRPr="00031AFB">
        <w:rPr>
          <w:lang w:val="es-ES_tradnl"/>
        </w:rPr>
        <w:t>51.</w:t>
      </w:r>
      <w:r w:rsidRPr="00031AFB">
        <w:rPr>
          <w:lang w:val="es-ES_tradnl"/>
        </w:rPr>
        <w:tab/>
        <w:t>El Ministerio de Justicia de la República de Lituania ha organizado una consulta pública sobre las medidas más eficaces para abolir el régimen de incapacitación total y sobre los cambios necesarios en el correspondiente marco jurídico. Los resultados de la síntesis y evaluación de los datos recopilados orientarán la formulación de propuestas de modificación del Código Civil y de otras leyes pertinentes, con el fin de suprimir la figura de la incapacidad total.</w:t>
      </w:r>
    </w:p>
    <w:p w14:paraId="182BB639" w14:textId="7D614EE6"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10 b) </w:t>
      </w:r>
    </w:p>
    <w:p w14:paraId="5FFA79C7" w14:textId="77777777" w:rsidR="00031AFB" w:rsidRPr="00031AFB" w:rsidRDefault="00031AFB" w:rsidP="00031AFB">
      <w:pPr>
        <w:pStyle w:val="SingleTxtG"/>
        <w:rPr>
          <w:lang w:val="es-ES_tradnl"/>
        </w:rPr>
      </w:pPr>
      <w:r w:rsidRPr="00031AFB">
        <w:rPr>
          <w:lang w:val="es-ES_tradnl"/>
        </w:rPr>
        <w:t>52.</w:t>
      </w:r>
      <w:r w:rsidRPr="00031AFB">
        <w:rPr>
          <w:lang w:val="es-ES_tradnl"/>
        </w:rPr>
        <w:tab/>
        <w:t xml:space="preserve">En 2019 se puso en marcha un servicio de apoyo para la adopción de decisiones en seis regiones del país, del que se beneficiaron 510 personas y que permitió restablecer la capacidad jurídica a dos beneficiarios. Está previsto que el servicio se implante en todos los municipios del país a partir de 2024. El objetivo es avanzar hacia un modelo de apoyo para la adopción de decisiones mejor orientado por las autoridades judiciales, ayudando a la </w:t>
      </w:r>
      <w:r w:rsidRPr="00031AFB">
        <w:rPr>
          <w:lang w:val="es-ES_tradnl"/>
        </w:rPr>
        <w:lastRenderedPageBreak/>
        <w:t>persona a representarse a sí misma ante las instituciones cuando exista el riesgo de que su capacidad jurídica se vea restringida.</w:t>
      </w:r>
    </w:p>
    <w:p w14:paraId="271EB5AA" w14:textId="1E74EE2E"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10 c) </w:t>
      </w:r>
    </w:p>
    <w:p w14:paraId="602C0396" w14:textId="77777777" w:rsidR="00031AFB" w:rsidRPr="00031AFB" w:rsidRDefault="00031AFB" w:rsidP="00031AFB">
      <w:pPr>
        <w:pStyle w:val="SingleTxtG"/>
        <w:rPr>
          <w:lang w:val="es-ES_tradnl"/>
        </w:rPr>
      </w:pPr>
      <w:r w:rsidRPr="00031AFB">
        <w:rPr>
          <w:lang w:val="es-ES_tradnl"/>
        </w:rPr>
        <w:t>53.</w:t>
      </w:r>
      <w:r w:rsidRPr="00031AFB">
        <w:rPr>
          <w:lang w:val="es-ES_tradnl"/>
        </w:rPr>
        <w:tab/>
        <w:t>Los tribunales deben evaluar la situación de las personas incapacitadas. Además, el Código Civil prevé la creación de una Comisión para la Revisión de la Situación de las Personas con Discapacidad. La Comisión revisará, por iniciativa propia, la situación de la persona incapacitada si, en el plazo de un año a partir de la fecha de entrada en vigor de la resolución judicial por la que se declara a la persona incapacitada en un ámbito concreto o se confirma la resolución revisada, o a partir de la fecha de la decisión de la Comisión de no recurrir al tribunal, las personas a que se refiere el artículo 2.10, párrafo 4, del Código Civil o la persona declarada incapaz en un ámbito concreto no soliciten la revocación de la resolución judicial por la que se declara a la persona incapaz en ese ámbito concreto.</w:t>
      </w:r>
    </w:p>
    <w:p w14:paraId="1392809D" w14:textId="4786D32F" w:rsidR="00031AFB" w:rsidRPr="00031AFB" w:rsidRDefault="00717542" w:rsidP="00717542">
      <w:pPr>
        <w:pStyle w:val="H23G"/>
        <w:rPr>
          <w:lang w:val="es-ES_tradnl"/>
        </w:rPr>
      </w:pPr>
      <w:bookmarkStart w:id="16" w:name="_Hlk144491489"/>
      <w:r>
        <w:rPr>
          <w:lang w:val="es-ES_tradnl"/>
        </w:rPr>
        <w:tab/>
      </w:r>
      <w:r w:rsidR="00031AFB" w:rsidRPr="00031AFB">
        <w:rPr>
          <w:lang w:val="es-ES_tradnl"/>
        </w:rPr>
        <w:tab/>
      </w:r>
      <w:r w:rsidR="00031AFB" w:rsidRPr="00031AFB">
        <w:rPr>
          <w:bCs/>
          <w:lang w:val="es-ES_tradnl"/>
        </w:rPr>
        <w:t>Respuesta al párrafo 10 d)</w:t>
      </w:r>
      <w:r w:rsidR="00031AFB" w:rsidRPr="00031AFB">
        <w:rPr>
          <w:lang w:val="es-ES_tradnl"/>
        </w:rPr>
        <w:t xml:space="preserve"> </w:t>
      </w:r>
    </w:p>
    <w:bookmarkEnd w:id="16"/>
    <w:p w14:paraId="765CC8D2" w14:textId="77777777" w:rsidR="00031AFB" w:rsidRPr="00031AFB" w:rsidRDefault="00031AFB" w:rsidP="00031AFB">
      <w:pPr>
        <w:pStyle w:val="SingleTxtG"/>
        <w:rPr>
          <w:lang w:val="es-ES_tradnl"/>
        </w:rPr>
      </w:pPr>
      <w:r w:rsidRPr="00031AFB">
        <w:rPr>
          <w:lang w:val="es-ES_tradnl"/>
        </w:rPr>
        <w:t>54.</w:t>
      </w:r>
      <w:r w:rsidRPr="00031AFB">
        <w:rPr>
          <w:lang w:val="es-ES_tradnl"/>
        </w:rPr>
        <w:tab/>
        <w:t>En 2020 se organizó un curso sobre la evaluación de la necesidad de apoyo para la adopción de decisiones y de recursos comunitarios a fin de empoderar a las personas para que tomen sus propias decisiones. El Centro para el Desarrollo de las Competencias Profesionales de los Trabajadores de los Servicios Sociales se inauguró en 2022</w:t>
      </w:r>
      <w:r w:rsidRPr="00031AFB">
        <w:rPr>
          <w:sz w:val="18"/>
          <w:szCs w:val="18"/>
          <w:vertAlign w:val="superscript"/>
          <w:lang w:val="es-ES_tradnl"/>
        </w:rPr>
        <w:footnoteReference w:id="13"/>
      </w:r>
      <w:r w:rsidRPr="00031AFB">
        <w:rPr>
          <w:lang w:val="es-ES_tradnl"/>
        </w:rPr>
        <w:t xml:space="preserve"> y ofrece una amplia gama de programas de formación en línea para cuidadores y asistentes personales sobre diversos temas relacionados con la discapacidad. </w:t>
      </w:r>
    </w:p>
    <w:p w14:paraId="60910C8F" w14:textId="1A60883F" w:rsidR="00031AFB" w:rsidRPr="00031AFB" w:rsidRDefault="00717542" w:rsidP="00717542">
      <w:pPr>
        <w:pStyle w:val="H23G"/>
        <w:rPr>
          <w:lang w:val="es-ES_tradnl"/>
        </w:rPr>
      </w:pPr>
      <w:r>
        <w:rPr>
          <w:lang w:val="es-ES_tradnl"/>
        </w:rPr>
        <w:tab/>
      </w:r>
      <w:r w:rsidR="00031AFB" w:rsidRPr="00031AFB">
        <w:rPr>
          <w:lang w:val="es-ES_tradnl"/>
        </w:rPr>
        <w:tab/>
      </w:r>
      <w:r w:rsidR="00031AFB" w:rsidRPr="00031AFB">
        <w:rPr>
          <w:bCs/>
          <w:lang w:val="es-ES_tradnl"/>
        </w:rPr>
        <w:t>Respuesta al párrafo 11 a)</w:t>
      </w:r>
      <w:r w:rsidR="00031AFB" w:rsidRPr="00031AFB">
        <w:rPr>
          <w:lang w:val="es-ES_tradnl"/>
        </w:rPr>
        <w:t xml:space="preserve"> </w:t>
      </w:r>
    </w:p>
    <w:p w14:paraId="379BB5EC" w14:textId="77777777" w:rsidR="00031AFB" w:rsidRPr="00031AFB" w:rsidRDefault="00031AFB" w:rsidP="00031AFB">
      <w:pPr>
        <w:pStyle w:val="SingleTxtG"/>
        <w:rPr>
          <w:lang w:val="es-ES_tradnl"/>
        </w:rPr>
      </w:pPr>
      <w:r w:rsidRPr="00031AFB">
        <w:rPr>
          <w:lang w:val="es-ES_tradnl"/>
        </w:rPr>
        <w:t>55.</w:t>
      </w:r>
      <w:r w:rsidRPr="00031AFB">
        <w:rPr>
          <w:lang w:val="es-ES_tradnl"/>
        </w:rPr>
        <w:tab/>
        <w:t>En 2023, el Consejo Judicial aprobó un programa de formación para jueces sobre la comunicación con las personas con discapacidad. En 2022 se impartió el curso Características de la Comunicación con Personas con Discapacidad dirigido a abogados.</w:t>
      </w:r>
    </w:p>
    <w:p w14:paraId="6B9EEEC1" w14:textId="04578805" w:rsidR="00031AFB" w:rsidRPr="00031AFB" w:rsidRDefault="00717542" w:rsidP="00717542">
      <w:pPr>
        <w:pStyle w:val="H23G"/>
        <w:rPr>
          <w:lang w:val="es-ES_tradnl"/>
        </w:rPr>
      </w:pPr>
      <w:r>
        <w:rPr>
          <w:lang w:val="es-ES_tradnl"/>
        </w:rPr>
        <w:tab/>
      </w:r>
      <w:r w:rsidR="00031AFB" w:rsidRPr="00031AFB">
        <w:rPr>
          <w:lang w:val="es-ES_tradnl"/>
        </w:rPr>
        <w:tab/>
      </w:r>
      <w:r w:rsidR="00031AFB" w:rsidRPr="00031AFB">
        <w:rPr>
          <w:bCs/>
          <w:lang w:val="es-ES_tradnl"/>
        </w:rPr>
        <w:t>Respuesta al párrafo 11 b)</w:t>
      </w:r>
      <w:r w:rsidR="00031AFB" w:rsidRPr="00031AFB">
        <w:rPr>
          <w:lang w:val="es-ES_tradnl"/>
        </w:rPr>
        <w:t xml:space="preserve"> </w:t>
      </w:r>
    </w:p>
    <w:p w14:paraId="4B3A6204" w14:textId="77777777" w:rsidR="00031AFB" w:rsidRPr="00031AFB" w:rsidRDefault="00031AFB" w:rsidP="00031AFB">
      <w:pPr>
        <w:pStyle w:val="SingleTxtG"/>
        <w:rPr>
          <w:lang w:val="es-ES_tradnl"/>
        </w:rPr>
      </w:pPr>
      <w:r w:rsidRPr="00031AFB">
        <w:rPr>
          <w:lang w:val="es-ES_tradnl"/>
        </w:rPr>
        <w:t>56.</w:t>
      </w:r>
      <w:r w:rsidRPr="00031AFB">
        <w:rPr>
          <w:lang w:val="es-ES_tradnl"/>
        </w:rPr>
        <w:tab/>
        <w:t>En 2022, se modificaron el Código de Procedimiento Civil y la Ley de Procedimientos Administrativos para alentar a las partes a utilizar medios de comunicación electrónicos a lo largo de todo el procedimiento. Esto reviste un interés especial en el caso de las personas con discapacidad. El Ministerio de Justicia ha elaborado una publicación electrónica sobre los derechos de las víctimas adaptada a las personas con discapacidad. Por orden del Fiscal General, se ha aprobado un protocolo sobre los derechos de las víctimas que ofrece una descripción detallada de esos derechos. Las autoridades encargadas de la instrucción de las causas no solo deben transmitir el protocolo a las víctimas, sino también tomar medidas activas para asegurarse de que estas —teniendo en cuenta su vulnerabilidad, edad u otras circunstancias— comprendan el modo de ejercer esos derechos.</w:t>
      </w:r>
    </w:p>
    <w:p w14:paraId="19CF0FB1" w14:textId="2D09E4F6" w:rsidR="00031AFB" w:rsidRPr="00031AFB" w:rsidRDefault="00717542" w:rsidP="00717542">
      <w:pPr>
        <w:pStyle w:val="H23G"/>
        <w:rPr>
          <w:lang w:val="es-ES_tradnl"/>
        </w:rPr>
      </w:pPr>
      <w:r>
        <w:rPr>
          <w:lang w:val="es-ES_tradnl"/>
        </w:rPr>
        <w:tab/>
      </w:r>
      <w:r w:rsidR="00031AFB" w:rsidRPr="00031AFB">
        <w:rPr>
          <w:lang w:val="es-ES_tradnl"/>
        </w:rPr>
        <w:tab/>
      </w:r>
      <w:r w:rsidR="00031AFB" w:rsidRPr="00031AFB">
        <w:rPr>
          <w:bCs/>
          <w:lang w:val="es-ES_tradnl"/>
        </w:rPr>
        <w:t>Respuesta al párrafo 11 c)</w:t>
      </w:r>
      <w:r w:rsidR="00031AFB" w:rsidRPr="00031AFB">
        <w:rPr>
          <w:lang w:val="es-ES_tradnl"/>
        </w:rPr>
        <w:t xml:space="preserve"> </w:t>
      </w:r>
    </w:p>
    <w:p w14:paraId="3799C3C8" w14:textId="77777777" w:rsidR="00031AFB" w:rsidRPr="00031AFB" w:rsidRDefault="00031AFB" w:rsidP="00031AFB">
      <w:pPr>
        <w:pStyle w:val="SingleTxtG"/>
        <w:rPr>
          <w:lang w:val="es-ES_tradnl"/>
        </w:rPr>
      </w:pPr>
      <w:r w:rsidRPr="00031AFB">
        <w:rPr>
          <w:lang w:val="es-ES_tradnl"/>
        </w:rPr>
        <w:t>57.</w:t>
      </w:r>
      <w:r w:rsidRPr="00031AFB">
        <w:rPr>
          <w:lang w:val="es-ES_tradnl"/>
        </w:rPr>
        <w:tab/>
        <w:t xml:space="preserve">La Ley de las Personas con Discapacidad afirma que estas personas tienen derecho a la libertad de expresión, lo que incluye la posibilidad de acceder a la información a través del método de comunicación que prefieran, incluida la lengua de señas lituana, y que las instituciones estatales y municipales deben fomentar este derecho. </w:t>
      </w:r>
    </w:p>
    <w:p w14:paraId="20F89844" w14:textId="77777777" w:rsidR="00031AFB" w:rsidRPr="00031AFB" w:rsidRDefault="00031AFB" w:rsidP="00031AFB">
      <w:pPr>
        <w:pStyle w:val="SingleTxtG"/>
        <w:rPr>
          <w:lang w:val="es-ES_tradnl"/>
        </w:rPr>
      </w:pPr>
      <w:r w:rsidRPr="00031AFB">
        <w:rPr>
          <w:lang w:val="es-ES_tradnl"/>
        </w:rPr>
        <w:t>58.</w:t>
      </w:r>
      <w:r w:rsidRPr="00031AFB">
        <w:rPr>
          <w:lang w:val="es-ES_tradnl"/>
        </w:rPr>
        <w:tab/>
        <w:t xml:space="preserve">El artículo 5 del Código Civil garantiza el derecho de toda persona a recurrir a los tribunales con arreglo a lo previsto en la ley. Además, de conformidad con el artículo 38 del Código Civil, los curadores son los representantes legales de las personas físicas cuya capacidad civil está limitada en determinados ámbitos. Si estas personas son parte en el procedimiento o terceras partes, se les deberá notificar el procedimiento e invitarlas a participar en él. Los derechos e intereses de las personas físicas declaradas incapacitadas en un ámbito concreto serán defendidos ante los tribunales por sus representantes legales, es decir, sus curadores. El artículo 11 del Código Civil establece que las personas que no hablen la lengua oficial tendrán derecho a los servicios de un intérprete (incluidos los de lengua de </w:t>
      </w:r>
      <w:r w:rsidRPr="00031AFB">
        <w:rPr>
          <w:lang w:val="es-ES_tradnl"/>
        </w:rPr>
        <w:lastRenderedPageBreak/>
        <w:t>señas). Se disponía de 103 intérpretes de lengua de señas entre 2016 y 2019, 109 entre 2020 y 2021 y 115 en 2022.</w:t>
      </w:r>
    </w:p>
    <w:p w14:paraId="7BF61C8D" w14:textId="05FDCE62"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12 a) </w:t>
      </w:r>
    </w:p>
    <w:p w14:paraId="2BB241BD" w14:textId="77777777" w:rsidR="00031AFB" w:rsidRPr="00031AFB" w:rsidRDefault="00031AFB" w:rsidP="00031AFB">
      <w:pPr>
        <w:pStyle w:val="SingleTxtG"/>
        <w:rPr>
          <w:lang w:val="es-ES_tradnl"/>
        </w:rPr>
      </w:pPr>
      <w:r w:rsidRPr="00031AFB">
        <w:rPr>
          <w:lang w:val="es-ES_tradnl"/>
        </w:rPr>
        <w:t>59.</w:t>
      </w:r>
      <w:r w:rsidRPr="00031AFB">
        <w:rPr>
          <w:lang w:val="es-ES_tradnl"/>
        </w:rPr>
        <w:tab/>
        <w:t>La Ley de Atención de la Salud Mental regula la hospitalización y el tratamiento no consentidos de los pacientes con trastornos mentales y del comportamiento. Los pacientes pueden ser hospitalizados sin su consentimiento durante un máximo de tres días laborables si suponen un riesgo real de daños graves. La prolongación de todo tratamiento requiere que el centro presente una petición al tribunal en un plazo de 48 horas. La decisión la adoptan tres profesionales. Cabe subrayar en que la hospitalización y el tratamiento no consentidos son una medida de último recurso que no se basa en la discapacidad, sino en el estado de salud y en un comportamiento alterado, y en la existencia de un riesgo para la persona o para terceros. La supervisión de las hospitalizaciones forzosas comenzó en 2019. Estas solo representan cerca del 4 % del total de hospitalizaciones y el número de casos tiende a disminuir (anexo 10).</w:t>
      </w:r>
    </w:p>
    <w:p w14:paraId="7090B484" w14:textId="74E34A58"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12 b) </w:t>
      </w:r>
    </w:p>
    <w:p w14:paraId="7A6A2961" w14:textId="77777777" w:rsidR="00031AFB" w:rsidRPr="00031AFB" w:rsidRDefault="00031AFB" w:rsidP="00031AFB">
      <w:pPr>
        <w:pStyle w:val="SingleTxtG"/>
        <w:rPr>
          <w:lang w:val="es-ES_tradnl"/>
        </w:rPr>
      </w:pPr>
      <w:r w:rsidRPr="00031AFB">
        <w:rPr>
          <w:lang w:val="es-ES_tradnl"/>
        </w:rPr>
        <w:t>60.</w:t>
      </w:r>
      <w:r w:rsidRPr="00031AFB">
        <w:rPr>
          <w:lang w:val="es-ES_tradnl"/>
        </w:rPr>
        <w:tab/>
        <w:t>De conformidad con la Ley de Derechos de los Pacientes y de Indemnización por Daños y Perjuicios de la República de Lituania, todos los servicios de atención de la salud se prestan con el consentimiento libre e informado del interesado. El Gobierno da prioridad al desarrollo de servicios orientados a la recuperación que se ajusten a los principios de los derechos humanos.</w:t>
      </w:r>
    </w:p>
    <w:p w14:paraId="55C27123" w14:textId="6C5C0EB3"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12 c) </w:t>
      </w:r>
    </w:p>
    <w:p w14:paraId="1F7B3225" w14:textId="77777777" w:rsidR="00031AFB" w:rsidRPr="00031AFB" w:rsidRDefault="00031AFB" w:rsidP="00031AFB">
      <w:pPr>
        <w:pStyle w:val="SingleTxtG"/>
        <w:rPr>
          <w:rtl/>
        </w:rPr>
      </w:pPr>
      <w:r w:rsidRPr="00031AFB">
        <w:rPr>
          <w:lang w:val="es-ES_tradnl"/>
        </w:rPr>
        <w:t>61.</w:t>
      </w:r>
      <w:r w:rsidRPr="00031AFB">
        <w:rPr>
          <w:lang w:val="es-ES_tradnl"/>
        </w:rPr>
        <w:tab/>
        <w:t xml:space="preserve">Se ha aprobado el Plan de Acción para la Prevención de la Hospitalización Forzosa (2023-2024) y se ha acometido una reforma de los servicios de salud mental centrada en la comunidad, con el objetivo de crear alternativas comunitarias a la hospitalización y reducir el uso de medidas coercitivas. </w:t>
      </w:r>
    </w:p>
    <w:p w14:paraId="543F7488" w14:textId="5045D359" w:rsidR="00031AFB" w:rsidRPr="00031AFB" w:rsidRDefault="00717542" w:rsidP="00717542">
      <w:pPr>
        <w:pStyle w:val="H23G"/>
        <w:rPr>
          <w:lang w:val="es-ES_tradnl"/>
        </w:rPr>
      </w:pPr>
      <w:bookmarkStart w:id="17" w:name="_Hlk144491748"/>
      <w:r>
        <w:rPr>
          <w:lang w:val="es-ES_tradnl"/>
        </w:rPr>
        <w:tab/>
      </w:r>
      <w:r w:rsidR="00031AFB" w:rsidRPr="00031AFB">
        <w:rPr>
          <w:lang w:val="es-ES_tradnl"/>
        </w:rPr>
        <w:tab/>
        <w:t xml:space="preserve">Respuesta al párrafo 13 </w:t>
      </w:r>
    </w:p>
    <w:p w14:paraId="21665D00" w14:textId="77777777" w:rsidR="00031AFB" w:rsidRPr="00031AFB" w:rsidRDefault="00031AFB" w:rsidP="00031AFB">
      <w:pPr>
        <w:pStyle w:val="SingleTxtG"/>
        <w:rPr>
          <w:lang w:val="es-ES_tradnl"/>
        </w:rPr>
      </w:pPr>
      <w:r w:rsidRPr="00031AFB">
        <w:rPr>
          <w:lang w:val="es-ES_tradnl"/>
        </w:rPr>
        <w:t>62.</w:t>
      </w:r>
      <w:r w:rsidRPr="00031AFB">
        <w:rPr>
          <w:lang w:val="es-ES_tradnl"/>
        </w:rPr>
        <w:tab/>
        <w:t xml:space="preserve">El uso de medidas de inmovilización física está regulado de forma estricta. La Ley de Atención de la Salud Mental establece que puede restringirse la libertad de circulación de los pacientes con trastornos mentales y del comportamiento mediante la contención física manual, la contención física especial o el aislamiento del paciente en una habitación separada. El número de casos de contención física está disminuyendo de forma sistemática (anexo 11). La ley no permite la contención farmacológica como método de inmovilización. </w:t>
      </w:r>
    </w:p>
    <w:p w14:paraId="6F0A8970" w14:textId="77777777" w:rsidR="00031AFB" w:rsidRPr="00031AFB" w:rsidRDefault="00031AFB" w:rsidP="00031AFB">
      <w:pPr>
        <w:pStyle w:val="SingleTxtG"/>
        <w:rPr>
          <w:lang w:val="es-ES_tradnl"/>
        </w:rPr>
      </w:pPr>
      <w:r w:rsidRPr="00031AFB">
        <w:rPr>
          <w:lang w:val="es-ES_tradnl"/>
        </w:rPr>
        <w:t>63.</w:t>
      </w:r>
      <w:r w:rsidRPr="00031AFB">
        <w:rPr>
          <w:lang w:val="es-ES_tradnl"/>
        </w:rPr>
        <w:tab/>
        <w:t>En colaboración con la Organización Mundial de la Salud, Lituania está poniendo en marcha el mecanismo denominado QualityRights, que contribuirá a garantizar el ejercicio de los derechos de los pacientes, especialmente de las personas con discapacidad. Una orden</w:t>
      </w:r>
      <w:r w:rsidRPr="00031AFB">
        <w:rPr>
          <w:sz w:val="18"/>
          <w:szCs w:val="18"/>
          <w:vertAlign w:val="superscript"/>
          <w:lang w:val="es-ES_tradnl"/>
        </w:rPr>
        <w:footnoteReference w:id="14"/>
      </w:r>
      <w:r w:rsidRPr="00031AFB">
        <w:rPr>
          <w:lang w:val="es-ES_tradnl"/>
        </w:rPr>
        <w:t xml:space="preserve"> de los ministros de Salud y de Trabajo y Seguridad Social ha sentado las bases para su aplicación. </w:t>
      </w:r>
    </w:p>
    <w:p w14:paraId="02476F9F" w14:textId="77777777" w:rsidR="00031AFB" w:rsidRPr="00031AFB" w:rsidRDefault="00031AFB" w:rsidP="00031AFB">
      <w:pPr>
        <w:pStyle w:val="SingleTxtG"/>
        <w:rPr>
          <w:lang w:val="es-ES_tradnl"/>
        </w:rPr>
      </w:pPr>
      <w:r w:rsidRPr="00031AFB">
        <w:rPr>
          <w:lang w:val="es-ES_tradnl"/>
        </w:rPr>
        <w:t>64.</w:t>
      </w:r>
      <w:r w:rsidRPr="00031AFB">
        <w:rPr>
          <w:lang w:val="es-ES_tradnl"/>
        </w:rPr>
        <w:tab/>
        <w:t xml:space="preserve">El Ministerio de Salud ha aprobado el Plan de Acción para la Prevención de la Hospitalización Forzosa (2023-2024) con el fin de prevenir las recaídas en pacientes con trastornos de salud mental, proteger los derechos humanos y mejorar la atención a los pacientes mediante medidas de base comunitaria. </w:t>
      </w:r>
    </w:p>
    <w:p w14:paraId="0991E9D4" w14:textId="77777777" w:rsidR="00031AFB" w:rsidRPr="00031AFB" w:rsidRDefault="00031AFB" w:rsidP="00031AFB">
      <w:pPr>
        <w:pStyle w:val="SingleTxtG"/>
        <w:rPr>
          <w:lang w:val="es-ES_tradnl"/>
        </w:rPr>
      </w:pPr>
      <w:r w:rsidRPr="00031AFB">
        <w:rPr>
          <w:lang w:val="es-ES_tradnl"/>
        </w:rPr>
        <w:t>65.</w:t>
      </w:r>
      <w:r w:rsidRPr="00031AFB">
        <w:rPr>
          <w:lang w:val="es-ES_tradnl"/>
        </w:rPr>
        <w:tab/>
        <w:t xml:space="preserve">En los centros del Servicio Penitenciario podrán aplicarse las medidas especiales previstas en la Resolución del Gobierno de la República de Lituania núm. 1.162, de 23 de noviembre de 2016, relativa a las especificidades y el procedimiento de aplicación de tales medidas, únicamente en circunstancias excepcionales, cuando otras medidas resulten ineficaces. Las medidas de contención física solo se aplican en el Departamento de </w:t>
      </w:r>
      <w:r w:rsidRPr="00031AFB">
        <w:rPr>
          <w:lang w:val="es-ES_tradnl"/>
        </w:rPr>
        <w:lastRenderedPageBreak/>
        <w:t>Psiquiatría del Servicio Penitenciario de Lituania de conformidad con la Ley de Atención de la Salud Mental, que establece restricciones a los derechos de las personas con enfermedades mentales, incluida la contención física.</w:t>
      </w:r>
    </w:p>
    <w:bookmarkEnd w:id="17"/>
    <w:p w14:paraId="3DC40CEF" w14:textId="77777777" w:rsidR="00031AFB" w:rsidRPr="00031AFB" w:rsidRDefault="00031AFB" w:rsidP="00031AFB">
      <w:pPr>
        <w:pStyle w:val="SingleTxtG"/>
        <w:rPr>
          <w:lang w:val="es-ES_tradnl"/>
        </w:rPr>
      </w:pPr>
      <w:r w:rsidRPr="00031AFB">
        <w:rPr>
          <w:lang w:val="es-ES_tradnl"/>
        </w:rPr>
        <w:t>66.</w:t>
      </w:r>
      <w:r w:rsidRPr="00031AFB">
        <w:rPr>
          <w:lang w:val="es-ES_tradnl"/>
        </w:rPr>
        <w:tab/>
        <w:t>Los servicios de los centros de asistencia social se rigen por las Normas de Asistencia Social, que exigen el respeto de los derechos de las personas. Se mantendrá un registro de todos los incidentes relacionados con cambios en el estado de salud de una persona o con vulneraciones de sus derechos, y se analizarán las causas de esos incidentes a fin de adoptar medidas para evitar que se repitan en el futuro.</w:t>
      </w:r>
    </w:p>
    <w:p w14:paraId="25311006" w14:textId="761CDBB4" w:rsidR="00031AFB" w:rsidRPr="00031AFB" w:rsidRDefault="00717542" w:rsidP="00717542">
      <w:pPr>
        <w:pStyle w:val="H23G"/>
        <w:rPr>
          <w:rtl/>
        </w:rPr>
      </w:pPr>
      <w:bookmarkStart w:id="18" w:name="_Hlk137668581"/>
      <w:r>
        <w:rPr>
          <w:lang w:val="es-ES_tradnl"/>
        </w:rPr>
        <w:tab/>
      </w:r>
      <w:r w:rsidR="00031AFB" w:rsidRPr="00031AFB">
        <w:rPr>
          <w:lang w:val="es-ES_tradnl"/>
        </w:rPr>
        <w:tab/>
        <w:t xml:space="preserve">Respuesta al párrafo 14 a) </w:t>
      </w:r>
    </w:p>
    <w:p w14:paraId="66406D40" w14:textId="77777777" w:rsidR="00031AFB" w:rsidRPr="00031AFB" w:rsidRDefault="00031AFB" w:rsidP="00031AFB">
      <w:pPr>
        <w:pStyle w:val="SingleTxtG"/>
        <w:rPr>
          <w:lang w:val="es-ES_tradnl"/>
        </w:rPr>
      </w:pPr>
      <w:r w:rsidRPr="00031AFB">
        <w:rPr>
          <w:lang w:val="es-ES_tradnl"/>
        </w:rPr>
        <w:t>67.</w:t>
      </w:r>
      <w:r w:rsidRPr="00031AFB">
        <w:rPr>
          <w:lang w:val="es-ES_tradnl"/>
        </w:rPr>
        <w:tab/>
        <w:t>Los Centros de Apoyo Especializado Integral de Lituania ofrecen asistencia gratuita y confidencial a las personas que son objeto de violencia doméstica. Los 66 centros de crisis proponen una intervención integral a familias con niños en situación de riesgo, mujeres gestantes o puérperas, supervivientes, víctimas de la trata, agresores, personas sin hogar y personas con discapacidad. El ministro de Trabajo y Seguridad Social ha aprobado directrices aplicables al funcionamiento de los centros.</w:t>
      </w:r>
    </w:p>
    <w:p w14:paraId="50AC1D7F" w14:textId="67139781" w:rsidR="00031AFB" w:rsidRPr="00031AFB" w:rsidRDefault="00031AFB" w:rsidP="00717542">
      <w:pPr>
        <w:pStyle w:val="H23G"/>
        <w:rPr>
          <w:lang w:val="es-ES_tradnl"/>
        </w:rPr>
      </w:pPr>
      <w:r w:rsidRPr="00031AFB">
        <w:rPr>
          <w:lang w:val="es-ES_tradnl"/>
        </w:rPr>
        <w:tab/>
      </w:r>
      <w:r w:rsidR="00717542">
        <w:rPr>
          <w:lang w:val="es-ES_tradnl"/>
        </w:rPr>
        <w:tab/>
      </w:r>
      <w:r w:rsidRPr="00031AFB">
        <w:rPr>
          <w:lang w:val="es-ES_tradnl"/>
        </w:rPr>
        <w:t xml:space="preserve">Respuesta al párrafo 14 b) </w:t>
      </w:r>
    </w:p>
    <w:p w14:paraId="75F46487" w14:textId="77777777" w:rsidR="00031AFB" w:rsidRPr="00031AFB" w:rsidRDefault="00031AFB" w:rsidP="00031AFB">
      <w:pPr>
        <w:pStyle w:val="SingleTxtG"/>
        <w:rPr>
          <w:lang w:val="es-ES_tradnl"/>
        </w:rPr>
      </w:pPr>
      <w:r w:rsidRPr="00031AFB">
        <w:rPr>
          <w:lang w:val="es-ES_tradnl"/>
        </w:rPr>
        <w:t>68.</w:t>
      </w:r>
      <w:r w:rsidRPr="00031AFB">
        <w:rPr>
          <w:lang w:val="es-ES_tradnl"/>
        </w:rPr>
        <w:tab/>
        <w:t>El sistema de gestión de casos ofrece ayuda para resolver los problemas de los niños y de las familias, y para velar por la seguridad física y mental de los niños, así como por su interés superior. En 2022, había 388 encargados de la gestión de casos y 934 trabajadores sociales que asistían a las familias en el país. La gestión de casos abarcó a un total de 10.304 familias.</w:t>
      </w:r>
    </w:p>
    <w:p w14:paraId="3BC1959D" w14:textId="77777777" w:rsidR="00031AFB" w:rsidRPr="00031AFB" w:rsidRDefault="00031AFB" w:rsidP="00031AFB">
      <w:pPr>
        <w:pStyle w:val="SingleTxtG"/>
        <w:rPr>
          <w:lang w:val="es-ES_tradnl"/>
        </w:rPr>
      </w:pPr>
      <w:r w:rsidRPr="00031AFB">
        <w:rPr>
          <w:lang w:val="es-ES_tradnl"/>
        </w:rPr>
        <w:t>69.</w:t>
      </w:r>
      <w:r w:rsidRPr="00031AFB">
        <w:rPr>
          <w:lang w:val="es-ES_tradnl"/>
        </w:rPr>
        <w:tab/>
        <w:t xml:space="preserve">En 2022, se financiaron 12 proyectos destinados a apoyar las actividades de las asociaciones de personas con discapacidad que llevaron a cabo actividades para prevenir la violencia contra esas personas y para apoyar a las personas con discapacidad víctimas de violencia doméstica. En 2023, se concedieron ayudas a once solicitantes. </w:t>
      </w:r>
    </w:p>
    <w:p w14:paraId="0C958A92" w14:textId="663E8A8D" w:rsidR="00031AFB" w:rsidRPr="00031AFB" w:rsidRDefault="00717542" w:rsidP="00717542">
      <w:pPr>
        <w:pStyle w:val="H23G"/>
        <w:rPr>
          <w:lang w:val="es-ES_tradnl"/>
        </w:rPr>
      </w:pPr>
      <w:r>
        <w:rPr>
          <w:lang w:val="es-ES_tradnl"/>
        </w:rPr>
        <w:tab/>
      </w:r>
      <w:r w:rsidR="00031AFB" w:rsidRPr="00031AFB">
        <w:rPr>
          <w:lang w:val="es-ES_tradnl"/>
        </w:rPr>
        <w:tab/>
      </w:r>
      <w:r w:rsidR="00031AFB" w:rsidRPr="00031AFB">
        <w:rPr>
          <w:bCs/>
          <w:lang w:val="es-ES_tradnl"/>
        </w:rPr>
        <w:t>Respuesta al párrafo 14 c)</w:t>
      </w:r>
      <w:r w:rsidR="00031AFB" w:rsidRPr="00031AFB">
        <w:rPr>
          <w:lang w:val="es-ES_tradnl"/>
        </w:rPr>
        <w:t xml:space="preserve"> </w:t>
      </w:r>
    </w:p>
    <w:p w14:paraId="5FF1B10B" w14:textId="77777777" w:rsidR="00031AFB" w:rsidRPr="00031AFB" w:rsidRDefault="00031AFB" w:rsidP="00031AFB">
      <w:pPr>
        <w:pStyle w:val="SingleTxtG"/>
        <w:rPr>
          <w:lang w:val="es-ES_tradnl"/>
        </w:rPr>
      </w:pPr>
      <w:r w:rsidRPr="00031AFB">
        <w:rPr>
          <w:lang w:val="es-ES_tradnl"/>
        </w:rPr>
        <w:t>70.</w:t>
      </w:r>
      <w:r w:rsidRPr="00031AFB">
        <w:rPr>
          <w:lang w:val="es-ES_tradnl"/>
        </w:rPr>
        <w:tab/>
        <w:t>Todos los incidentes negativos que se producen en una institución de atención social, como accidentes o violaciones de los derechos del niño, entre otros, se hacen constar en un registro creado a tal efecto. Además, se analizan sus causas y se toman decisiones a fin de evitar que vuelvan a producirse en el futuro.</w:t>
      </w:r>
    </w:p>
    <w:p w14:paraId="5621E111" w14:textId="08562C33" w:rsidR="00031AFB" w:rsidRPr="00031AFB" w:rsidRDefault="00717542" w:rsidP="00717542">
      <w:pPr>
        <w:pStyle w:val="H23G"/>
        <w:rPr>
          <w:rtl/>
        </w:rPr>
      </w:pPr>
      <w:bookmarkStart w:id="19" w:name="_Hlk144492488"/>
      <w:r>
        <w:rPr>
          <w:lang w:val="es-ES_tradnl"/>
        </w:rPr>
        <w:tab/>
      </w:r>
      <w:r w:rsidR="00031AFB" w:rsidRPr="00031AFB">
        <w:rPr>
          <w:lang w:val="es-ES_tradnl"/>
        </w:rPr>
        <w:tab/>
      </w:r>
      <w:r w:rsidR="00031AFB" w:rsidRPr="00031AFB">
        <w:rPr>
          <w:bCs/>
          <w:lang w:val="es-ES_tradnl"/>
        </w:rPr>
        <w:t>Respuesta al párrafo 15</w:t>
      </w:r>
      <w:r w:rsidR="00031AFB" w:rsidRPr="00031AFB">
        <w:rPr>
          <w:lang w:val="es-ES_tradnl"/>
        </w:rPr>
        <w:t xml:space="preserve"> </w:t>
      </w:r>
    </w:p>
    <w:bookmarkEnd w:id="19"/>
    <w:p w14:paraId="6CC41C7E" w14:textId="77777777" w:rsidR="00031AFB" w:rsidRPr="00031AFB" w:rsidRDefault="00031AFB" w:rsidP="00031AFB">
      <w:pPr>
        <w:pStyle w:val="SingleTxtG"/>
        <w:rPr>
          <w:lang w:val="es-ES_tradnl"/>
        </w:rPr>
      </w:pPr>
      <w:r w:rsidRPr="00031AFB">
        <w:rPr>
          <w:lang w:val="es-ES_tradnl"/>
        </w:rPr>
        <w:t>71.</w:t>
      </w:r>
      <w:r w:rsidRPr="00031AFB">
        <w:rPr>
          <w:lang w:val="es-ES_tradnl"/>
        </w:rPr>
        <w:tab/>
        <w:t>En 2023, el Ministerio de Salud aprobó el Plan de Acción para la Prevención de la Hospitalización Forzosa (2023-2024) y acometió una reforma de los servicios de salud mental con el objetivo de crear una alternativa a la hospitalización y reducir el uso de medidas coercitivas en todo el país.</w:t>
      </w:r>
    </w:p>
    <w:p w14:paraId="3A860D61" w14:textId="6498CBD8" w:rsidR="00031AFB" w:rsidRPr="00031AFB" w:rsidRDefault="00717542" w:rsidP="00717542">
      <w:pPr>
        <w:pStyle w:val="H23G"/>
        <w:rPr>
          <w:lang w:val="es-ES_tradnl"/>
        </w:rPr>
      </w:pPr>
      <w:r>
        <w:rPr>
          <w:lang w:val="es-ES_tradnl"/>
        </w:rPr>
        <w:tab/>
      </w:r>
      <w:r w:rsidR="00031AFB" w:rsidRPr="00031AFB">
        <w:rPr>
          <w:lang w:val="es-ES_tradnl"/>
        </w:rPr>
        <w:tab/>
        <w:t xml:space="preserve">Respuesta a los párrafos 16 a) y b) </w:t>
      </w:r>
    </w:p>
    <w:p w14:paraId="43BC029A" w14:textId="77777777" w:rsidR="00031AFB" w:rsidRPr="00031AFB" w:rsidRDefault="00031AFB" w:rsidP="00031AFB">
      <w:pPr>
        <w:pStyle w:val="SingleTxtG"/>
        <w:rPr>
          <w:lang w:val="es-ES_tradnl"/>
        </w:rPr>
      </w:pPr>
      <w:r w:rsidRPr="00031AFB">
        <w:rPr>
          <w:lang w:val="es-ES_tradnl"/>
        </w:rPr>
        <w:t>72.</w:t>
      </w:r>
      <w:r w:rsidRPr="00031AFB">
        <w:rPr>
          <w:lang w:val="es-ES_tradnl"/>
        </w:rPr>
        <w:tab/>
        <w:t xml:space="preserve">Entre 2016 y 2022 se financiaron proyectos de integración social de personas con discapacidad en 60 municipios, que fueron implementados por ONG. Los proyectos incluían trabajo de día para personas con discapacidad, asistencia personalizada, ayuda para recuperar o reforzar las competencias laborales y el apoyo a los familiares de las personas con discapacidad. Entre 2016 y 2020, los presupuestos estatales y municipales financiaron proyectos para la integración social de personas con discapacidad a través de la actividad física y el deporte en 60 municipios. El Estado proporcionan una financiación permanente, en lugar de una financiación basada en proyectos. </w:t>
      </w:r>
    </w:p>
    <w:p w14:paraId="1EBCA8E9" w14:textId="77777777" w:rsidR="00031AFB" w:rsidRPr="00031AFB" w:rsidRDefault="00031AFB" w:rsidP="00031AFB">
      <w:pPr>
        <w:pStyle w:val="SingleTxtG"/>
        <w:rPr>
          <w:lang w:val="es-ES_tradnl"/>
        </w:rPr>
      </w:pPr>
      <w:r w:rsidRPr="00031AFB">
        <w:rPr>
          <w:lang w:val="es-ES_tradnl"/>
        </w:rPr>
        <w:t>73.</w:t>
      </w:r>
      <w:r w:rsidRPr="00031AFB">
        <w:rPr>
          <w:lang w:val="es-ES_tradnl"/>
        </w:rPr>
        <w:tab/>
        <w:t xml:space="preserve">A partir del 1 de julio de 2021, se implantó la asistencia personal a nivel nacional para todas las personas con discapacidad que la precisen, independientemente de su edad y del grado o la naturaleza de la discapacidad. En 2022, 1.650 personas con discapacidad recibieron asistencia personal. </w:t>
      </w:r>
    </w:p>
    <w:p w14:paraId="46A8B9C0" w14:textId="77777777" w:rsidR="00031AFB" w:rsidRPr="00031AFB" w:rsidRDefault="00031AFB" w:rsidP="00031AFB">
      <w:pPr>
        <w:pStyle w:val="SingleTxtG"/>
        <w:rPr>
          <w:lang w:val="es-ES_tradnl"/>
        </w:rPr>
      </w:pPr>
      <w:r w:rsidRPr="00031AFB">
        <w:rPr>
          <w:lang w:val="es-ES_tradnl"/>
        </w:rPr>
        <w:t>74.</w:t>
      </w:r>
      <w:r w:rsidRPr="00031AFB">
        <w:rPr>
          <w:lang w:val="es-ES_tradnl"/>
        </w:rPr>
        <w:tab/>
        <w:t xml:space="preserve">Se ha ampliado la lista de ayudas técnicas y se ha simplificado el procedimiento de asignación y adquisición (véase el párr. 17 d)). Se subvencionan cursos de conducción para </w:t>
      </w:r>
      <w:r w:rsidRPr="00031AFB">
        <w:rPr>
          <w:lang w:val="es-ES_tradnl"/>
        </w:rPr>
        <w:lastRenderedPageBreak/>
        <w:t>personas con discapacidad y también se prestan servicios integrales de rehabilitación social para personas ciegas, además de organizar adaptaciones de las viviendas.</w:t>
      </w:r>
    </w:p>
    <w:p w14:paraId="51EAE30D" w14:textId="54D11B46"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16 c) </w:t>
      </w:r>
    </w:p>
    <w:p w14:paraId="3B153D91" w14:textId="77777777" w:rsidR="00031AFB" w:rsidRPr="00031AFB" w:rsidRDefault="00031AFB" w:rsidP="00031AFB">
      <w:pPr>
        <w:pStyle w:val="SingleTxtG"/>
        <w:rPr>
          <w:lang w:val="es-ES_tradnl"/>
        </w:rPr>
      </w:pPr>
      <w:r w:rsidRPr="00031AFB">
        <w:rPr>
          <w:lang w:val="es-ES_tradnl"/>
        </w:rPr>
        <w:t>75.</w:t>
      </w:r>
      <w:r w:rsidRPr="00031AFB">
        <w:rPr>
          <w:lang w:val="es-ES_tradnl"/>
        </w:rPr>
        <w:tab/>
        <w:t>En 2011, 6.061 personas con discapacidad vivían en centros residenciales. En 2023, hay unas 5.500 personas residiendo en ellos. La mayor parte de la reducción de la atención institucional se ha producido gracias a la creación de viviendas tuteladas en las comunidades. A finales de 2022, había 49 viviendas de ese tipo en el país, en las que vivían 426 adultos con discapacidad y personas mayores. También había ocho hogares infantiles de ámbito comunitario que acogían a 47 niños con discapacidad.</w:t>
      </w:r>
    </w:p>
    <w:p w14:paraId="38E7C755" w14:textId="77777777" w:rsidR="00031AFB" w:rsidRPr="00031AFB" w:rsidRDefault="00031AFB" w:rsidP="00031AFB">
      <w:pPr>
        <w:pStyle w:val="SingleTxtG"/>
        <w:rPr>
          <w:lang w:val="es-ES_tradnl"/>
        </w:rPr>
      </w:pPr>
      <w:r w:rsidRPr="00031AFB">
        <w:rPr>
          <w:lang w:val="es-ES_tradnl"/>
        </w:rPr>
        <w:t>76.</w:t>
      </w:r>
      <w:r w:rsidRPr="00031AFB">
        <w:rPr>
          <w:lang w:val="es-ES_tradnl"/>
        </w:rPr>
        <w:tab/>
        <w:t>El proceso de desinstitucionalización cuenta con una financiación sólida, ya que se han destinado 76 millones de euros de los Fondos Estructurales de la UE a la transición de la atención institucional a la atención familiar y comunitaria. Se han invertido 38 millones de euros en el diseño, los ensayos y el lanzamiento de nuevos servicios sociales, y el resto se ha destinado al desarrollo de infraestructura.</w:t>
      </w:r>
    </w:p>
    <w:p w14:paraId="2ED6D1AF" w14:textId="7F9F8D5A" w:rsidR="00031AFB" w:rsidRPr="00031AFB" w:rsidRDefault="00031AFB" w:rsidP="00717542">
      <w:pPr>
        <w:pStyle w:val="H23G"/>
        <w:rPr>
          <w:lang w:val="es-ES_tradnl"/>
        </w:rPr>
      </w:pPr>
      <w:bookmarkStart w:id="20" w:name="_Hlk144493331"/>
      <w:r w:rsidRPr="00031AFB">
        <w:rPr>
          <w:lang w:val="es-ES_tradnl"/>
        </w:rPr>
        <w:tab/>
      </w:r>
      <w:r w:rsidR="00717542">
        <w:rPr>
          <w:lang w:val="es-ES_tradnl"/>
        </w:rPr>
        <w:tab/>
      </w:r>
      <w:r w:rsidRPr="00031AFB">
        <w:rPr>
          <w:lang w:val="es-ES_tradnl"/>
        </w:rPr>
        <w:t xml:space="preserve">Respuesta al párrafo 16 d) </w:t>
      </w:r>
    </w:p>
    <w:bookmarkEnd w:id="20"/>
    <w:p w14:paraId="0236FD32" w14:textId="77777777" w:rsidR="00031AFB" w:rsidRPr="00031AFB" w:rsidRDefault="00031AFB" w:rsidP="00031AFB">
      <w:pPr>
        <w:pStyle w:val="SingleTxtG"/>
        <w:rPr>
          <w:lang w:val="es-ES_tradnl"/>
        </w:rPr>
      </w:pPr>
      <w:r w:rsidRPr="00031AFB">
        <w:rPr>
          <w:lang w:val="es-ES_tradnl"/>
        </w:rPr>
        <w:t>77.</w:t>
      </w:r>
      <w:r w:rsidRPr="00031AFB">
        <w:rPr>
          <w:lang w:val="es-ES_tradnl"/>
        </w:rPr>
        <w:tab/>
        <w:t>Entre 2016 y 2020, el</w:t>
      </w:r>
      <w:r w:rsidRPr="00031AFB">
        <w:rPr>
          <w:lang w:val="en-GB"/>
        </w:rPr>
        <w:t xml:space="preserve"> </w:t>
      </w:r>
      <w:r w:rsidRPr="00031AFB">
        <w:rPr>
          <w:lang w:val="es-ES_tradnl"/>
        </w:rPr>
        <w:t>Departamento de Asuntos de las Personas con Discapacidad llevó a cabo un proyecto denominado Creación de las Condiciones Necesarias para una Transición Sostenible de la Atención Institucional a los Servicios Basados en la Familia y la Comunidad en Lituania. El servicio de viviendas tuteladas se prestó a 22 personas con discapacidad; el servicio de asistencia personal a 85; el servicio de relevo temporal a 233; y el servicio de gestión de casos de niños con discapacidad diagnosticados en los últimos 12 meses a 25.</w:t>
      </w:r>
    </w:p>
    <w:p w14:paraId="129C19BE" w14:textId="4D250531" w:rsidR="00031AFB" w:rsidRPr="00031AFB" w:rsidRDefault="00031AFB" w:rsidP="00031AFB">
      <w:pPr>
        <w:pStyle w:val="SingleTxtG"/>
        <w:rPr>
          <w:lang w:val="es-ES_tradnl"/>
        </w:rPr>
      </w:pPr>
      <w:r w:rsidRPr="00031AFB">
        <w:rPr>
          <w:lang w:val="es-ES_tradnl"/>
        </w:rPr>
        <w:t>78.</w:t>
      </w:r>
      <w:r w:rsidRPr="00031AFB">
        <w:rPr>
          <w:lang w:val="es-ES_tradnl"/>
        </w:rPr>
        <w:tab/>
        <w:t>Entre 2020 y 2023, ese Departamento, junto con 41 interlocutores sociales —entre ellos 26 ONG—, está llevando a cabo en seis regiones de Lituania un proyecto cofinanciado por los fondos estructurales de la UE y el presupuesto estatal de la República de Lituania titulado De la Asistencia a las Oportunidades: El Desarrollo de Servicios de Base Comunitaria, que está ofreciendo cuatro servicios preventivos y alternativos a la atención institucional de manera experimental, en relación con el desarrollo y el mantenimiento de la autonomía de las personas con discapacidad psicosocial y/o intelectual: talleres sociales, empleo asistido, apoyo para la adopción de decisiones y viviendas tuteladas. Un total de</w:t>
      </w:r>
      <w:r w:rsidR="00717542">
        <w:rPr>
          <w:lang w:val="es-ES_tradnl"/>
        </w:rPr>
        <w:t> </w:t>
      </w:r>
      <w:r w:rsidRPr="00031AFB">
        <w:rPr>
          <w:lang w:val="es-ES_tradnl"/>
        </w:rPr>
        <w:t>1.772 personas con discapacidad se beneficiaron de estos servicios.</w:t>
      </w:r>
    </w:p>
    <w:p w14:paraId="099458CF" w14:textId="20450DCE"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16 e) </w:t>
      </w:r>
    </w:p>
    <w:p w14:paraId="1B1FABF5" w14:textId="77777777" w:rsidR="00031AFB" w:rsidRPr="00031AFB" w:rsidRDefault="00031AFB" w:rsidP="00031AFB">
      <w:pPr>
        <w:pStyle w:val="SingleTxtG"/>
        <w:rPr>
          <w:lang w:val="es-ES_tradnl"/>
        </w:rPr>
      </w:pPr>
      <w:r w:rsidRPr="00031AFB">
        <w:rPr>
          <w:lang w:val="es-ES_tradnl"/>
        </w:rPr>
        <w:t>79.</w:t>
      </w:r>
      <w:r w:rsidRPr="00031AFB">
        <w:rPr>
          <w:lang w:val="es-ES_tradnl"/>
        </w:rPr>
        <w:tab/>
        <w:t>El Ministerio de Trabajo y Seguridad Social ha aprobado dos medidas: una relativa al establecimiento de un sistema sostenible de cuidados a largo plazo en régimen no residencial y la otra sobre la implantación de un sistema general de integración social de las personas con discapacidad. La primera medida incluye indicadores de ejecución, fuentes de financiación y las autoridades implicadas. La segunda medida tiene por objeto modificar el marco jurídico para ofrecer un respiro temporal en el caso de personas con discapacidad severa.</w:t>
      </w:r>
    </w:p>
    <w:p w14:paraId="291496AB" w14:textId="77777777" w:rsidR="00031AFB" w:rsidRPr="00031AFB" w:rsidRDefault="00031AFB" w:rsidP="00031AFB">
      <w:pPr>
        <w:pStyle w:val="SingleTxtG"/>
        <w:rPr>
          <w:lang w:val="es-ES_tradnl"/>
        </w:rPr>
      </w:pPr>
      <w:r w:rsidRPr="00031AFB">
        <w:rPr>
          <w:lang w:val="es-ES_tradnl"/>
        </w:rPr>
        <w:t>80.</w:t>
      </w:r>
      <w:r w:rsidRPr="00031AFB">
        <w:rPr>
          <w:lang w:val="es-ES_tradnl"/>
        </w:rPr>
        <w:tab/>
        <w:t>La Ley de Servicios Sociales de la República de Lituania (modificada) ha permitido reforzar los servicios prestados a las familias, incluidos los de prevención, crear servicios integrales y mejorar las competencias del personal. También ha fortalecido el sistema de servicios sociales y de asistencia durante el bienio de 2023-2024, mejorando la calidad de los servicios, la cualificación del personal y el desarrollo de la innovación social.</w:t>
      </w:r>
      <w:bookmarkStart w:id="21" w:name="_Hlk148215239"/>
      <w:bookmarkEnd w:id="21"/>
    </w:p>
    <w:p w14:paraId="15E4EE99" w14:textId="77777777" w:rsidR="00031AFB" w:rsidRPr="00031AFB" w:rsidRDefault="00031AFB" w:rsidP="00031AFB">
      <w:pPr>
        <w:pStyle w:val="SingleTxtG"/>
        <w:rPr>
          <w:lang w:val="es-ES_tradnl"/>
        </w:rPr>
      </w:pPr>
      <w:r w:rsidRPr="00031AFB">
        <w:rPr>
          <w:lang w:val="es-ES_tradnl"/>
        </w:rPr>
        <w:t>81.</w:t>
      </w:r>
      <w:r w:rsidRPr="00031AFB">
        <w:rPr>
          <w:lang w:val="es-ES_tradnl"/>
        </w:rPr>
        <w:tab/>
        <w:t>La Ley de Servicios Sociales se ha actualizado con nuevos principios que contribuirán a garantizar que las personas reciban los servicios en sus hogares y en el seno de sus familias durante el mayor tiempo posible, en coordinación con medidas de educación, formación, empleo, atención sanitaria personal y asistencia especial. Este enfoque aspira a respetar el derecho de cada persona o familia a elegir libremente los servicios sociales, garantizar la colaboración con la persona o familia y su entorno y fomentar que lleven la iniciativa en la toma de decisiones.</w:t>
      </w:r>
    </w:p>
    <w:p w14:paraId="0AA21A35" w14:textId="77777777" w:rsidR="00031AFB" w:rsidRPr="00031AFB" w:rsidRDefault="00031AFB" w:rsidP="00031AFB">
      <w:pPr>
        <w:pStyle w:val="SingleTxtG"/>
        <w:rPr>
          <w:lang w:val="es-ES_tradnl"/>
        </w:rPr>
      </w:pPr>
      <w:r w:rsidRPr="00031AFB">
        <w:rPr>
          <w:lang w:val="es-ES_tradnl"/>
        </w:rPr>
        <w:lastRenderedPageBreak/>
        <w:t>82.</w:t>
      </w:r>
      <w:r w:rsidRPr="00031AFB">
        <w:rPr>
          <w:lang w:val="es-ES_tradnl"/>
        </w:rPr>
        <w:tab/>
        <w:t>El Catálogo de Servicios Sociales ofrece una amplia gama de servicios, tanto residenciales como no residenciales, que responden a los intereses y necesidades individuales de la persona o la familia. En 2019, el Catálogo puso en marcha un nuevo servicio de asistencia social: las viviendas tuteladas. Las administraciones locales prestan servicios integrados de prevención y de apoyo a las familias (véanse los párrs. 7 y 23).</w:t>
      </w:r>
    </w:p>
    <w:p w14:paraId="07D426B1" w14:textId="31461D30" w:rsidR="00031AFB" w:rsidRPr="00031AFB" w:rsidRDefault="00031AFB" w:rsidP="00031AFB">
      <w:pPr>
        <w:pStyle w:val="SingleTxtG"/>
        <w:rPr>
          <w:lang w:val="es-ES_tradnl"/>
        </w:rPr>
      </w:pPr>
      <w:r w:rsidRPr="00031AFB">
        <w:rPr>
          <w:lang w:val="es-ES_tradnl"/>
        </w:rPr>
        <w:t>83.</w:t>
      </w:r>
      <w:r w:rsidRPr="00031AFB">
        <w:rPr>
          <w:lang w:val="es-ES_tradnl"/>
        </w:rPr>
        <w:tab/>
        <w:t>Según la Oficina Nacional de Estadística, el número de personas con discapacidad y personas mayores que reciben servicios sociales a domicilio, en centros de día, en viviendas tuteladas, en residencias colectivas y en centros asistenciales ha aumentado considerablemente. El número de beneficiarios de servicios sociales a domicilio aumentó de</w:t>
      </w:r>
      <w:r w:rsidR="00717542">
        <w:rPr>
          <w:lang w:val="es-ES_tradnl"/>
        </w:rPr>
        <w:t> </w:t>
      </w:r>
      <w:r w:rsidRPr="00031AFB">
        <w:rPr>
          <w:lang w:val="es-ES_tradnl"/>
        </w:rPr>
        <w:t>18.600 en 2016 a 21.200 en 2022, mientras que el número de beneficiarios de servicios de centros de día pasó de 34.700 a 45.300.</w:t>
      </w:r>
    </w:p>
    <w:p w14:paraId="70DD1A0E" w14:textId="77777777" w:rsidR="00031AFB" w:rsidRPr="00031AFB" w:rsidRDefault="00031AFB" w:rsidP="00031AFB">
      <w:pPr>
        <w:pStyle w:val="SingleTxtG"/>
        <w:rPr>
          <w:lang w:val="es-ES_tradnl"/>
        </w:rPr>
      </w:pPr>
      <w:r w:rsidRPr="00031AFB">
        <w:rPr>
          <w:lang w:val="es-ES_tradnl"/>
        </w:rPr>
        <w:t>84.</w:t>
      </w:r>
      <w:r w:rsidRPr="00031AFB">
        <w:rPr>
          <w:lang w:val="es-ES_tradnl"/>
        </w:rPr>
        <w:tab/>
        <w:t>En 2020, se aprobó una modificación de la Ley de Servicios Sociales por la que se introdujo la acreditación para prestar asistencia social y se estableció que el beneficiario de la asistencia podía elegir al prestatario del servicio, es decir, al proveedor de la asistencia social, y, de ese modo, la institución la financiación se desembolsaría directamente.</w:t>
      </w:r>
    </w:p>
    <w:p w14:paraId="6D3D8F68" w14:textId="77777777" w:rsidR="00031AFB" w:rsidRPr="00031AFB" w:rsidRDefault="00031AFB" w:rsidP="00031AFB">
      <w:pPr>
        <w:pStyle w:val="SingleTxtG"/>
        <w:rPr>
          <w:lang w:val="es-ES_tradnl"/>
        </w:rPr>
      </w:pPr>
      <w:r w:rsidRPr="00031AFB">
        <w:rPr>
          <w:lang w:val="es-ES_tradnl"/>
        </w:rPr>
        <w:t>85.</w:t>
      </w:r>
      <w:r w:rsidRPr="00031AFB">
        <w:rPr>
          <w:lang w:val="es-ES_tradnl"/>
        </w:rPr>
        <w:tab/>
        <w:t>En 2022, una modificación de la Descripción del Procedimiento de Evaluación de las Necesidades de Servicios Sociales de una Persona o Familia y Asignación de los Servicios permitió establecer una persona o familia necesita más de un tipo de servicio social a fin de garantizar que sus necesidades individuales se atiendan íntegramente.</w:t>
      </w:r>
    </w:p>
    <w:p w14:paraId="6DB38097" w14:textId="77777777" w:rsidR="00031AFB" w:rsidRPr="00031AFB" w:rsidRDefault="00031AFB" w:rsidP="00031AFB">
      <w:pPr>
        <w:pStyle w:val="SingleTxtG"/>
        <w:rPr>
          <w:lang w:val="es-ES_tradnl"/>
        </w:rPr>
      </w:pPr>
      <w:r w:rsidRPr="00031AFB">
        <w:rPr>
          <w:lang w:val="es-ES_tradnl"/>
        </w:rPr>
        <w:t>86.</w:t>
      </w:r>
      <w:r w:rsidRPr="00031AFB">
        <w:rPr>
          <w:lang w:val="es-ES_tradnl"/>
        </w:rPr>
        <w:tab/>
        <w:t>Incumbe a las administraciones locales proporcionar servicios sociales a sus habitantes, y la financiación ha pasado de 22,9 millones de euros en 2016 a 84,8 millones de euros en 2022. Esta financiación cubre la atención a largo y corto plazo en centros de asistencia social, hogares tutelados, servicios en centros de día y viviendas particulares para personas con discapacidad severa.</w:t>
      </w:r>
    </w:p>
    <w:p w14:paraId="1A590BC8" w14:textId="00B98201" w:rsidR="00031AFB" w:rsidRPr="00031AFB" w:rsidRDefault="00031AFB" w:rsidP="00031AFB">
      <w:pPr>
        <w:pStyle w:val="SingleTxtG"/>
        <w:rPr>
          <w:lang w:val="es-ES_tradnl"/>
        </w:rPr>
      </w:pPr>
      <w:r w:rsidRPr="00031AFB">
        <w:rPr>
          <w:lang w:val="es-ES_tradnl"/>
        </w:rPr>
        <w:t>87.</w:t>
      </w:r>
      <w:r w:rsidRPr="00031AFB">
        <w:rPr>
          <w:lang w:val="es-ES_tradnl"/>
        </w:rPr>
        <w:tab/>
        <w:t>Durante el período de programación de la UE de 2014 a 2020, se había previsto crear</w:t>
      </w:r>
      <w:r w:rsidR="00717542">
        <w:rPr>
          <w:lang w:val="es-ES_tradnl"/>
        </w:rPr>
        <w:t> </w:t>
      </w:r>
      <w:r w:rsidRPr="00031AFB">
        <w:rPr>
          <w:lang w:val="es-ES_tradnl"/>
        </w:rPr>
        <w:t>71 viviendas tuteladas en seis regiones de Lituania, pero, debido al aumento de los precios y a otras razones, se calcula que para finales de 2023 se habrán creado unas 50. La mayoría de los beneficiarios de los servicios de viviendas tuteladas serían personas con discapacidad que residen en instituciones, mientras que una proporción menor serían personas que forman parte de la comunidad. Las estimaciones preliminares indican que los nuevos hogares tutelados acogerán a unas 400 personas procedentes de centros residenciales y a un centenar procedentes de la comunidad.</w:t>
      </w:r>
    </w:p>
    <w:p w14:paraId="6525B2EC" w14:textId="08A0B306" w:rsidR="00031AFB" w:rsidRPr="00031AFB" w:rsidRDefault="00031AFB" w:rsidP="00031AFB">
      <w:pPr>
        <w:pStyle w:val="SingleTxtG"/>
        <w:rPr>
          <w:lang w:val="es-ES_tradnl"/>
        </w:rPr>
      </w:pPr>
      <w:r w:rsidRPr="00031AFB">
        <w:rPr>
          <w:lang w:val="es-ES_tradnl"/>
        </w:rPr>
        <w:t>88.</w:t>
      </w:r>
      <w:r w:rsidRPr="00031AFB">
        <w:rPr>
          <w:lang w:val="es-ES_tradnl"/>
        </w:rPr>
        <w:tab/>
        <w:t xml:space="preserve">El período de programación de la UE de 2021 a 2027 se centra en prevenir el ingreso en centros de atención institucional, dando prioridad a las personas que viven en la comunidad y requieren servicios de alojamiento. En 2022, el Ministerio de Trabajo y Seguridad Social, en colaboración con los ayuntamientos, ha elaborado </w:t>
      </w:r>
      <w:r w:rsidR="00974ED0">
        <w:rPr>
          <w:lang w:val="es-ES_tradnl"/>
        </w:rPr>
        <w:t>“</w:t>
      </w:r>
      <w:r w:rsidRPr="00031AFB">
        <w:rPr>
          <w:lang w:val="es-ES_tradnl"/>
        </w:rPr>
        <w:t>mapas de transición</w:t>
      </w:r>
      <w:r w:rsidR="00974ED0">
        <w:rPr>
          <w:lang w:val="es-ES_tradnl"/>
        </w:rPr>
        <w:t>”</w:t>
      </w:r>
      <w:r w:rsidRPr="00031AFB">
        <w:rPr>
          <w:lang w:val="es-ES_tradnl"/>
        </w:rPr>
        <w:t xml:space="preserve"> regionales para pasar de la atención institucional a los servicios de base familiar y comunitaria, en los que las administraciones locales determinarán las necesidades de las personas con discapacidad y de sus familiares. </w:t>
      </w:r>
    </w:p>
    <w:p w14:paraId="724DFB92" w14:textId="5C21EB9B" w:rsidR="00031AFB" w:rsidRPr="00031AFB" w:rsidRDefault="00031AFB" w:rsidP="00031AFB">
      <w:pPr>
        <w:pStyle w:val="SingleTxtG"/>
        <w:rPr>
          <w:lang w:val="es-ES_tradnl"/>
        </w:rPr>
      </w:pPr>
      <w:r w:rsidRPr="00031AFB">
        <w:rPr>
          <w:lang w:val="es-ES_tradnl"/>
        </w:rPr>
        <w:t>89.</w:t>
      </w:r>
      <w:r w:rsidRPr="00031AFB">
        <w:rPr>
          <w:lang w:val="es-ES_tradnl"/>
        </w:rPr>
        <w:tab/>
        <w:t>Desde 2019, el Departamento de Asuntos de las Personas con Discapacidad lleva a cabo un proyecto titulado De la Asistencia a las Oportunidades: Desarrollo de Servicios de Base Comunitaria, que ofrece servicios piloto como alojamiento tutelado, formación en habilidades sociales y laborales, apoyo para la adopción de decisiones y empleo asistido a</w:t>
      </w:r>
      <w:r w:rsidR="00717542">
        <w:rPr>
          <w:lang w:val="es-ES_tradnl"/>
        </w:rPr>
        <w:t> </w:t>
      </w:r>
      <w:r w:rsidRPr="00031AFB">
        <w:rPr>
          <w:lang w:val="es-ES_tradnl"/>
        </w:rPr>
        <w:t>1.773 personas con discapacidad en seis regiones.</w:t>
      </w:r>
    </w:p>
    <w:p w14:paraId="34B90933" w14:textId="1C5872C7"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17 a) </w:t>
      </w:r>
    </w:p>
    <w:p w14:paraId="39A2B86D" w14:textId="77777777" w:rsidR="00031AFB" w:rsidRPr="00031AFB" w:rsidRDefault="00031AFB" w:rsidP="00031AFB">
      <w:pPr>
        <w:pStyle w:val="SingleTxtG"/>
        <w:rPr>
          <w:lang w:val="es-ES_tradnl"/>
        </w:rPr>
      </w:pPr>
      <w:r w:rsidRPr="00031AFB">
        <w:rPr>
          <w:lang w:val="es-ES_tradnl"/>
        </w:rPr>
        <w:t>90.</w:t>
      </w:r>
      <w:r w:rsidRPr="00031AFB">
        <w:rPr>
          <w:lang w:val="es-ES_tradnl"/>
        </w:rPr>
        <w:tab/>
        <w:t xml:space="preserve">Entre 2017 y 2021, el Departamento de Asuntos de las Personas con Discapacidad financió la adquisición y recuperación de las habilidades de movilidad y de vida independiente de las personas con problemas asociados a la motricidad. En total, 76 personas completaron la formación para conducir un vehículo de la categoría B y se prepararon para el examen de conducir. A partir de 2022, la formación en conducción y la preparación para el examen del permiso de conducir se organizan mediante licitación pública. </w:t>
      </w:r>
    </w:p>
    <w:p w14:paraId="328A11B4" w14:textId="77777777" w:rsidR="00031AFB" w:rsidRPr="00031AFB" w:rsidRDefault="00031AFB" w:rsidP="00031AFB">
      <w:pPr>
        <w:pStyle w:val="SingleTxtG"/>
        <w:rPr>
          <w:lang w:val="es-ES_tradnl"/>
        </w:rPr>
      </w:pPr>
      <w:r w:rsidRPr="00031AFB">
        <w:rPr>
          <w:lang w:val="es-ES_tradnl"/>
        </w:rPr>
        <w:t>91.</w:t>
      </w:r>
      <w:r w:rsidRPr="00031AFB">
        <w:rPr>
          <w:lang w:val="es-ES_tradnl"/>
        </w:rPr>
        <w:tab/>
        <w:t xml:space="preserve">Las personas con discapacidad motora, intelectual o mental y, desde 2024, con discapacidad visual, pueden solicitar adaptaciones que respondan a sus necesidades </w:t>
      </w:r>
      <w:r w:rsidRPr="00031AFB">
        <w:rPr>
          <w:lang w:val="es-ES_tradnl"/>
        </w:rPr>
        <w:lastRenderedPageBreak/>
        <w:t>individuales. Las autoridades locales de su lugar de residencia se encargan de realizar las adaptaciones. El número de adaptaciones aumenta cada año (444 en 2016 y 598 en 2022).</w:t>
      </w:r>
    </w:p>
    <w:p w14:paraId="75D5F3A4" w14:textId="77777777" w:rsidR="00031AFB" w:rsidRPr="00031AFB" w:rsidRDefault="00031AFB" w:rsidP="00031AFB">
      <w:pPr>
        <w:pStyle w:val="SingleTxtG"/>
        <w:rPr>
          <w:lang w:val="es-ES_tradnl"/>
        </w:rPr>
      </w:pPr>
      <w:r w:rsidRPr="00031AFB">
        <w:rPr>
          <w:lang w:val="es-ES_tradnl"/>
        </w:rPr>
        <w:t>92.</w:t>
      </w:r>
      <w:r w:rsidRPr="00031AFB">
        <w:rPr>
          <w:lang w:val="es-ES_tradnl"/>
        </w:rPr>
        <w:tab/>
        <w:t>Desde 2021, se ofrece asistencia personal a las personas con problemas de movilidad, a quienes se proporcionan los dispositivos de movilidad adecuados a sus necesidades (véase el párr. 17 b)).</w:t>
      </w:r>
    </w:p>
    <w:p w14:paraId="2BF0BED5" w14:textId="0E5ADCF8"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17 b) </w:t>
      </w:r>
    </w:p>
    <w:p w14:paraId="4DD5CCB7" w14:textId="77777777" w:rsidR="00031AFB" w:rsidRPr="00031AFB" w:rsidRDefault="00031AFB" w:rsidP="00031AFB">
      <w:pPr>
        <w:pStyle w:val="SingleTxtG"/>
        <w:rPr>
          <w:lang w:val="es-ES_tradnl"/>
        </w:rPr>
      </w:pPr>
      <w:r w:rsidRPr="00031AFB">
        <w:rPr>
          <w:lang w:val="es-ES_tradnl"/>
        </w:rPr>
        <w:t>93.</w:t>
      </w:r>
      <w:r w:rsidRPr="00031AFB">
        <w:rPr>
          <w:lang w:val="es-ES_tradnl"/>
        </w:rPr>
        <w:tab/>
        <w:t>El Centro de Asistencia Técnica para Personas con Discapacidad, que depende del Ministerio de Trabajo y Seguridad Social, ha introducido un nuevo régimen de equipos de movilidad, que amplía la lista de equipos, permite su adquisición por cuenta propia y su reembolso, aumenta los importes de las indemnizaciones y simplifica los criterios de concesión. Esto incluye a las personas con discapacidad motora crónica o irreversible, que tienen derecho a una ayuda económica para la compra o adaptación de vehículos ligeros.</w:t>
      </w:r>
    </w:p>
    <w:p w14:paraId="1E1B726E" w14:textId="77777777" w:rsidR="00031AFB" w:rsidRPr="00031AFB" w:rsidRDefault="00031AFB" w:rsidP="00031AFB">
      <w:pPr>
        <w:pStyle w:val="SingleTxtG"/>
        <w:rPr>
          <w:lang w:val="es-ES_tradnl"/>
        </w:rPr>
      </w:pPr>
      <w:r w:rsidRPr="00031AFB">
        <w:rPr>
          <w:lang w:val="es-ES_tradnl"/>
        </w:rPr>
        <w:t>94.</w:t>
      </w:r>
      <w:r w:rsidRPr="00031AFB">
        <w:rPr>
          <w:lang w:val="es-ES_tradnl"/>
        </w:rPr>
        <w:tab/>
        <w:t xml:space="preserve">En 2022 se agregaron a la lista nuevas ayudas técnicas auditivas y visuales, y se simplificó el proceso de prescripción. Además, se añadió un nuevo conjunto de aproximadamente 40 ayudas sensoriales y para la comunicación. </w:t>
      </w:r>
    </w:p>
    <w:p w14:paraId="1E01B9A9" w14:textId="30A0090A" w:rsidR="00031AFB" w:rsidRPr="00031AFB" w:rsidRDefault="00717542" w:rsidP="00717542">
      <w:pPr>
        <w:pStyle w:val="H23G"/>
        <w:rPr>
          <w:lang w:val="es-ES_tradnl"/>
        </w:rPr>
      </w:pPr>
      <w:bookmarkStart w:id="22" w:name="_Hlk144493527"/>
      <w:r>
        <w:rPr>
          <w:lang w:val="es-ES_tradnl"/>
        </w:rPr>
        <w:tab/>
      </w:r>
      <w:r w:rsidR="00031AFB" w:rsidRPr="00031AFB">
        <w:rPr>
          <w:lang w:val="es-ES_tradnl"/>
        </w:rPr>
        <w:tab/>
        <w:t xml:space="preserve">Respuesta al párrafo 18 a) y b) </w:t>
      </w:r>
    </w:p>
    <w:p w14:paraId="433C37C0" w14:textId="77777777" w:rsidR="00031AFB" w:rsidRPr="00031AFB" w:rsidRDefault="00031AFB" w:rsidP="00031AFB">
      <w:pPr>
        <w:pStyle w:val="SingleTxtG"/>
        <w:rPr>
          <w:lang w:val="es-ES_tradnl"/>
        </w:rPr>
      </w:pPr>
      <w:r w:rsidRPr="00031AFB">
        <w:rPr>
          <w:lang w:val="es-ES_tradnl"/>
        </w:rPr>
        <w:t>95.</w:t>
      </w:r>
      <w:r w:rsidRPr="00031AFB">
        <w:rPr>
          <w:lang w:val="es-ES_tradnl"/>
        </w:rPr>
        <w:tab/>
        <w:t>Según la Ley de las Personas con Discapacidad, estas personas tienen derecho a la libertad de expresión, lo cual comprende el derecho a expresar sus opiniones, así como a buscar, recibir y difundir información e ideas a través de los medios de comunicación que elijan, incluida la lengua de señas lituana. Las instituciones estatales y municipales garantizan los derechos de las personas con discapacidad facilitándoles el acceso gratuito a la información pública a través de los medios de comunicación que escojan.</w:t>
      </w:r>
    </w:p>
    <w:p w14:paraId="783392CB" w14:textId="77777777" w:rsidR="00031AFB" w:rsidRPr="00031AFB" w:rsidRDefault="00031AFB" w:rsidP="00031AFB">
      <w:pPr>
        <w:pStyle w:val="SingleTxtG"/>
        <w:rPr>
          <w:lang w:val="es-ES_tradnl"/>
        </w:rPr>
      </w:pPr>
      <w:r w:rsidRPr="00031AFB">
        <w:rPr>
          <w:lang w:val="es-ES_tradnl"/>
        </w:rPr>
        <w:t>96.</w:t>
      </w:r>
      <w:r w:rsidRPr="00031AFB">
        <w:rPr>
          <w:lang w:val="es-ES_tradnl"/>
        </w:rPr>
        <w:tab/>
        <w:t>En 2022 se celebró un taller para presentar la elaboración de documentos en formato de lectura fácil. Se ha creado la primera base de datos lituana de ilustraciones para textos de fácil comprensión. En la conferencia pública titulada La Accesibilidad Abre Nuevas Oportunidades se trató el tema de la accesibilidad física y de la información a través de los principios del diseño universal ante más de 600 asistentes. La conferencia dio lugar a la elaboración de un informe redactado según los criterios de fácil comprensión. Se preparó la Guía sobre la Información Accesible: Cómo Presentar Información de Modo que Todos la Puedan Entender. En 2023, el Departamento de Asuntos de las Personas con Discapacidad puso en marcha un centro de asesoramiento sobre accesibilidad y adaptación de la información para personas con discapacidad intelectual, visual y auditiva.</w:t>
      </w:r>
    </w:p>
    <w:p w14:paraId="6D9371FA" w14:textId="77777777" w:rsidR="00031AFB" w:rsidRPr="00031AFB" w:rsidRDefault="00031AFB" w:rsidP="00031AFB">
      <w:pPr>
        <w:pStyle w:val="SingleTxtG"/>
        <w:rPr>
          <w:lang w:val="es-ES_tradnl"/>
        </w:rPr>
      </w:pPr>
      <w:r w:rsidRPr="00031AFB">
        <w:rPr>
          <w:lang w:val="es-ES_tradnl"/>
        </w:rPr>
        <w:t>97.</w:t>
      </w:r>
      <w:r w:rsidRPr="00031AFB">
        <w:rPr>
          <w:lang w:val="es-ES_tradnl"/>
        </w:rPr>
        <w:tab/>
        <w:t>El Servicio de Interpretación en Lengua de Señas Lituana está a disposición de todas las personas que lo necesiten. En 2023, el Departamento de Asuntos de las Personas con Discapacidad contrató a expertos en accesibilidad de la información para que le brindaran asesoramiento sobre la accesibilidad y la adaptación de la información para personas con discapacidad intelectual, visual y auditiva.</w:t>
      </w:r>
    </w:p>
    <w:bookmarkEnd w:id="22"/>
    <w:p w14:paraId="4C8863F4" w14:textId="415E86DC" w:rsidR="00031AFB" w:rsidRPr="00031AFB" w:rsidRDefault="00031AFB" w:rsidP="00031AFB">
      <w:pPr>
        <w:pStyle w:val="SingleTxtG"/>
        <w:rPr>
          <w:lang w:val="es-ES_tradnl"/>
        </w:rPr>
      </w:pPr>
      <w:r w:rsidRPr="00031AFB">
        <w:rPr>
          <w:lang w:val="es-ES_tradnl"/>
        </w:rPr>
        <w:t>98.</w:t>
      </w:r>
      <w:r w:rsidRPr="00031AFB">
        <w:rPr>
          <w:lang w:val="es-ES_tradnl"/>
        </w:rPr>
        <w:tab/>
        <w:t>El Departamento de Asuntos de las Personas con Discapacidad ha financiado proyectos para preparar y divulgar publicaciones periódicas destinadas a personas con discapacidad en formato visual, braille y audio, en un lenguaje fácil de entender. A partir de</w:t>
      </w:r>
      <w:r w:rsidR="00DB2BEC">
        <w:rPr>
          <w:lang w:val="es-ES_tradnl"/>
        </w:rPr>
        <w:t> </w:t>
      </w:r>
      <w:r w:rsidRPr="00031AFB">
        <w:rPr>
          <w:lang w:val="es-ES_tradnl"/>
        </w:rPr>
        <w:t xml:space="preserve">2022, los solicitantes que opten por realizar actividades relacionadas con publicaciones periódicas deberán presentar al menos el 40 % de la información en un lenguaje de fácil comprensión. </w:t>
      </w:r>
    </w:p>
    <w:p w14:paraId="276F6348" w14:textId="77777777" w:rsidR="00031AFB" w:rsidRPr="00031AFB" w:rsidRDefault="00031AFB" w:rsidP="00031AFB">
      <w:pPr>
        <w:pStyle w:val="SingleTxtG"/>
        <w:rPr>
          <w:lang w:val="es-ES_tradnl"/>
        </w:rPr>
      </w:pPr>
      <w:r w:rsidRPr="00031AFB">
        <w:rPr>
          <w:lang w:val="es-ES_tradnl"/>
        </w:rPr>
        <w:t>99.</w:t>
      </w:r>
      <w:r w:rsidRPr="00031AFB">
        <w:rPr>
          <w:lang w:val="es-ES_tradnl"/>
        </w:rPr>
        <w:tab/>
        <w:t xml:space="preserve">Se han puesto en marcha programas de aprendizaje de la lengua de señas en el marco de una medida del Departamento de Asuntos de las Personas con Discapacidad denominada </w:t>
      </w:r>
      <w:r w:rsidRPr="00031AFB">
        <w:rPr>
          <w:i/>
          <w:iCs/>
          <w:lang w:val="es-ES_tradnl"/>
        </w:rPr>
        <w:t>Selección de centros metodológicos para intérpretes de lengua de señas y elaboración de materiales de formación, de adquisición de competencias y metodológicos para la enseñanza y la formación de intérpretes de lengua de señas destinados a diversos colectivos de usuarios adultos</w:t>
      </w:r>
      <w:r w:rsidRPr="00031AFB">
        <w:rPr>
          <w:lang w:val="es-ES_tradnl"/>
        </w:rPr>
        <w:t>. En 2021, el Centro de Interpretación en Lengua de Señas de Lituania creó una unidad metodológica encargada de la elaboración de material didáctico y de la formación de los intérpretes de lengua de señas.</w:t>
      </w:r>
    </w:p>
    <w:p w14:paraId="77407A40" w14:textId="11D10062" w:rsidR="00031AFB" w:rsidRPr="00031AFB" w:rsidRDefault="00717542" w:rsidP="00717542">
      <w:pPr>
        <w:pStyle w:val="H23G"/>
        <w:rPr>
          <w:lang w:val="es-ES_tradnl"/>
        </w:rPr>
      </w:pPr>
      <w:bookmarkStart w:id="23" w:name="_Hlk144493718"/>
      <w:r>
        <w:rPr>
          <w:lang w:val="es-ES_tradnl"/>
        </w:rPr>
        <w:lastRenderedPageBreak/>
        <w:tab/>
      </w:r>
      <w:r w:rsidR="00031AFB" w:rsidRPr="00031AFB">
        <w:rPr>
          <w:lang w:val="es-ES_tradnl"/>
        </w:rPr>
        <w:tab/>
        <w:t xml:space="preserve">Respuesta al párrafo 18 c) </w:t>
      </w:r>
    </w:p>
    <w:bookmarkEnd w:id="23"/>
    <w:p w14:paraId="7F9ED2D2" w14:textId="77777777" w:rsidR="00031AFB" w:rsidRPr="00031AFB" w:rsidRDefault="00031AFB" w:rsidP="00031AFB">
      <w:pPr>
        <w:pStyle w:val="SingleTxtG"/>
        <w:rPr>
          <w:lang w:val="es-ES_tradnl"/>
        </w:rPr>
      </w:pPr>
      <w:r w:rsidRPr="00031AFB">
        <w:rPr>
          <w:lang w:val="es-ES_tradnl"/>
        </w:rPr>
        <w:t>100.</w:t>
      </w:r>
      <w:r w:rsidRPr="00031AFB">
        <w:rPr>
          <w:lang w:val="es-ES_tradnl"/>
        </w:rPr>
        <w:tab/>
        <w:t xml:space="preserve">En 2022, el Departamento de Asuntos de las Personas con Discapacidad elaboró la Guía sobre la Información Accesible: Cómo Presentar Información de Modo que Todos la Puedan Entender. Para más información sobre las sanciones, véase el párrafo 8 e). </w:t>
      </w:r>
    </w:p>
    <w:p w14:paraId="0B0ABFF3" w14:textId="09A47EB7" w:rsidR="00031AFB" w:rsidRPr="00031AFB" w:rsidRDefault="00717542" w:rsidP="00717542">
      <w:pPr>
        <w:pStyle w:val="H23G"/>
        <w:rPr>
          <w:rtl/>
        </w:rPr>
      </w:pPr>
      <w:bookmarkStart w:id="24" w:name="_Hlk144493888"/>
      <w:r>
        <w:rPr>
          <w:lang w:val="es-ES_tradnl"/>
        </w:rPr>
        <w:tab/>
      </w:r>
      <w:r w:rsidR="00031AFB" w:rsidRPr="00031AFB">
        <w:rPr>
          <w:lang w:val="es-ES_tradnl"/>
        </w:rPr>
        <w:tab/>
        <w:t xml:space="preserve">Respuesta al párrafo 19 a) </w:t>
      </w:r>
    </w:p>
    <w:bookmarkEnd w:id="24"/>
    <w:p w14:paraId="367271EB" w14:textId="5F673D16" w:rsidR="00031AFB" w:rsidRPr="00031AFB" w:rsidRDefault="00031AFB" w:rsidP="00031AFB">
      <w:pPr>
        <w:pStyle w:val="SingleTxtG"/>
        <w:rPr>
          <w:lang w:val="es-ES_tradnl"/>
        </w:rPr>
      </w:pPr>
      <w:r w:rsidRPr="00031AFB">
        <w:rPr>
          <w:lang w:val="es-ES_tradnl"/>
        </w:rPr>
        <w:t>101.</w:t>
      </w:r>
      <w:r w:rsidRPr="00031AFB">
        <w:rPr>
          <w:lang w:val="es-ES_tradnl"/>
        </w:rPr>
        <w:tab/>
        <w:t>En 2021, se modificó la normativa sobre el servicio de respiro temporal para convertirlo en un servicio social independiente dentro del Catálogo de Servicios Sociales. En</w:t>
      </w:r>
      <w:r w:rsidR="00DB2BEC">
        <w:rPr>
          <w:lang w:val="es-ES_tradnl"/>
        </w:rPr>
        <w:t> </w:t>
      </w:r>
      <w:r w:rsidRPr="00031AFB">
        <w:rPr>
          <w:lang w:val="es-ES_tradnl"/>
        </w:rPr>
        <w:t xml:space="preserve">2022, se prestó este servicio a 780 personas. En 2022 entraron en vigor las disposiciones de la Ley de Servicios Sociales que regulan los servicios sociales de prevención, a los que también pueden acceder las familias con niños con discapacidad. Cada municipio debe garantizar que haya al menos un hogar familiar comunitario disponible en su territorio y que todas las personas que lo necesiten, incluidas las familias con niños con discapacidad, tengan acceso a servicios familiares integrales. La medida </w:t>
      </w:r>
      <w:r w:rsidR="00974ED0">
        <w:rPr>
          <w:lang w:val="es-ES_tradnl"/>
        </w:rPr>
        <w:t>“</w:t>
      </w:r>
      <w:r w:rsidRPr="00031AFB">
        <w:rPr>
          <w:lang w:val="es-ES_tradnl"/>
        </w:rPr>
        <w:t>Apoyo a proyectos de ONG para desarrollar las habilidades parentales y brindar asesoramiento a padres, con el fin de que la formación en habilidades parentales sea accesible para todos</w:t>
      </w:r>
      <w:r w:rsidR="00974ED0">
        <w:rPr>
          <w:lang w:val="es-ES_tradnl"/>
        </w:rPr>
        <w:t>”</w:t>
      </w:r>
      <w:r w:rsidRPr="00031AFB">
        <w:rPr>
          <w:lang w:val="es-ES_tradnl"/>
        </w:rPr>
        <w:t xml:space="preserve"> respalda proyectos de ONG centrados en prestar asesoramiento telefónico sobre cuestiones relacionadas con la parentalidad positiva.</w:t>
      </w:r>
    </w:p>
    <w:p w14:paraId="5F891764" w14:textId="362475AD" w:rsidR="00031AFB" w:rsidRPr="00031AFB" w:rsidRDefault="00717542" w:rsidP="00717542">
      <w:pPr>
        <w:pStyle w:val="H23G"/>
        <w:rPr>
          <w:lang w:val="es-ES_tradnl"/>
        </w:rPr>
      </w:pPr>
      <w:bookmarkStart w:id="25" w:name="_Hlk144494048"/>
      <w:r>
        <w:rPr>
          <w:lang w:val="es-ES_tradnl"/>
        </w:rPr>
        <w:tab/>
      </w:r>
      <w:r w:rsidR="00031AFB" w:rsidRPr="00031AFB">
        <w:rPr>
          <w:lang w:val="es-ES_tradnl"/>
        </w:rPr>
        <w:tab/>
        <w:t xml:space="preserve">Respuesta al párrafo 19 b) </w:t>
      </w:r>
    </w:p>
    <w:p w14:paraId="29533B0F" w14:textId="77777777" w:rsidR="00031AFB" w:rsidRPr="00031AFB" w:rsidRDefault="00031AFB" w:rsidP="00031AFB">
      <w:pPr>
        <w:pStyle w:val="SingleTxtG"/>
        <w:rPr>
          <w:lang w:val="es-ES_tradnl"/>
        </w:rPr>
      </w:pPr>
      <w:r w:rsidRPr="00031AFB">
        <w:rPr>
          <w:lang w:val="es-ES_tradnl"/>
        </w:rPr>
        <w:t>102.</w:t>
      </w:r>
      <w:r w:rsidRPr="00031AFB">
        <w:rPr>
          <w:lang w:val="es-ES_tradnl"/>
        </w:rPr>
        <w:tab/>
        <w:t>Todas las familias tienen derecho a los servicios básicos, que consisten en un conjunto de 14 servicios esenciales, así como a la asistencia social preventiva. Se refuerza el apoyo individualizado a las familias en situación de dificultad mediante la gestión de casos y el apoyo familiar prestado por trabajadores sociales, gestores de casos, cuidadores personales y otros profesionales.</w:t>
      </w:r>
    </w:p>
    <w:p w14:paraId="790D7F38" w14:textId="77777777" w:rsidR="00031AFB" w:rsidRPr="00031AFB" w:rsidRDefault="00031AFB" w:rsidP="00031AFB">
      <w:pPr>
        <w:pStyle w:val="SingleTxtG"/>
        <w:rPr>
          <w:lang w:val="es-ES_tradnl"/>
        </w:rPr>
      </w:pPr>
      <w:r w:rsidRPr="00031AFB">
        <w:rPr>
          <w:lang w:val="es-ES_tradnl"/>
        </w:rPr>
        <w:t>103.</w:t>
      </w:r>
      <w:r w:rsidRPr="00031AFB">
        <w:rPr>
          <w:lang w:val="es-ES_tradnl"/>
        </w:rPr>
        <w:tab/>
        <w:t>Los padres adoptivos pueden ser adultos de ambos sexos en edad laboral que reúnan los requisitos para adoptar. Una persona que haya sido declarada incapacitada o que tenga capacidad jurídica limitada y que padezca alguna enfermedad no puede ser adoptante. Se ha elaborado un programa de formación y asesoramiento dirigido a las familias de acogida, los representantes legales, los padres adoptivos y el personal de los centros comunitarios de acogida de niños, aprobado mediante una orden del Director del Servicio Estatal de Protección de los Derechos del Niño y Adopciones, dependiente del Ministerio de Trabajo y Seguridad Social.</w:t>
      </w:r>
    </w:p>
    <w:bookmarkEnd w:id="25"/>
    <w:p w14:paraId="15D68035" w14:textId="2404F958"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19 c) </w:t>
      </w:r>
    </w:p>
    <w:p w14:paraId="61012447" w14:textId="77777777" w:rsidR="00031AFB" w:rsidRPr="00031AFB" w:rsidRDefault="00031AFB" w:rsidP="00031AFB">
      <w:pPr>
        <w:pStyle w:val="SingleTxtG"/>
        <w:rPr>
          <w:lang w:val="es-ES_tradnl"/>
        </w:rPr>
      </w:pPr>
      <w:r w:rsidRPr="00031AFB">
        <w:rPr>
          <w:lang w:val="es-ES_tradnl"/>
        </w:rPr>
        <w:t>104.</w:t>
      </w:r>
      <w:r w:rsidRPr="00031AFB">
        <w:rPr>
          <w:lang w:val="es-ES_tradnl"/>
        </w:rPr>
        <w:tab/>
        <w:t xml:space="preserve">Lituania está implementando, desde 2016, el Programa Marco de Educación para la Salud y la Sexualidad y Preparación para la Vida Familiar, aprobado por el Ministerio de Educación, Ciencia y Deporte. El Programa Marco de Competencias para la Vida, que también incluye la educación sexual, comenzará a ejecutarse el 1 de septiembre de 2023. </w:t>
      </w:r>
    </w:p>
    <w:p w14:paraId="03D9AC63" w14:textId="77777777" w:rsidR="00031AFB" w:rsidRPr="00031AFB" w:rsidRDefault="00031AFB" w:rsidP="00031AFB">
      <w:pPr>
        <w:pStyle w:val="SingleTxtG"/>
        <w:rPr>
          <w:lang w:val="es-ES_tradnl"/>
        </w:rPr>
      </w:pPr>
      <w:r w:rsidRPr="00031AFB">
        <w:rPr>
          <w:lang w:val="es-ES_tradnl"/>
        </w:rPr>
        <w:t>105.</w:t>
      </w:r>
      <w:r w:rsidRPr="00031AFB">
        <w:rPr>
          <w:lang w:val="es-ES_tradnl"/>
        </w:rPr>
        <w:tab/>
        <w:t>Se han elaborado recomendaciones sobre la adaptación de los planes de estudios generales actualizados para alumnos con necesidades educativas especiales para el año 2023. Si se detecta que un alumno tiene necesidades educativas especiales, los planes de estudios se adaptan de acuerdo con las recomendaciones de los psicólogos educativos. Se ha puesto en marcha el Programa de Habilidades Sociales para alumnos con necesidades educativas especiales.</w:t>
      </w:r>
    </w:p>
    <w:p w14:paraId="50B6F75A" w14:textId="76F9788D" w:rsidR="00031AFB" w:rsidRPr="00031AFB" w:rsidRDefault="00717542" w:rsidP="00717542">
      <w:pPr>
        <w:pStyle w:val="H23G"/>
        <w:rPr>
          <w:lang w:val="es-ES_tradnl"/>
        </w:rPr>
      </w:pPr>
      <w:bookmarkStart w:id="26" w:name="_Hlk144494184"/>
      <w:r>
        <w:rPr>
          <w:lang w:val="es-ES_tradnl"/>
        </w:rPr>
        <w:tab/>
      </w:r>
      <w:r w:rsidR="00031AFB" w:rsidRPr="00031AFB">
        <w:rPr>
          <w:lang w:val="es-ES_tradnl"/>
        </w:rPr>
        <w:tab/>
        <w:t xml:space="preserve">Respuesta al párrafo 20 a) </w:t>
      </w:r>
    </w:p>
    <w:p w14:paraId="163C2A0A" w14:textId="77777777" w:rsidR="00031AFB" w:rsidRPr="00031AFB" w:rsidRDefault="00031AFB" w:rsidP="00031AFB">
      <w:pPr>
        <w:pStyle w:val="SingleTxtG"/>
        <w:rPr>
          <w:lang w:val="es-ES_tradnl"/>
        </w:rPr>
      </w:pPr>
      <w:r w:rsidRPr="00031AFB">
        <w:rPr>
          <w:lang w:val="es-ES_tradnl"/>
        </w:rPr>
        <w:t>106.</w:t>
      </w:r>
      <w:r w:rsidRPr="00031AFB">
        <w:rPr>
          <w:lang w:val="es-ES_tradnl"/>
        </w:rPr>
        <w:tab/>
        <w:t>La mayoría (el 89,3 % en 2021) de los alumnos con necesidades educativas especiales ya asisten a clases ordinarias. A partir del 1 de septiembre de 2024, la educación de los alumnos con necesidades educativas especiales correrá a cargo de todos los centros que impartan la enseñanza general obligatoria, de otros proveedores de educación y de más de un docente.</w:t>
      </w:r>
    </w:p>
    <w:p w14:paraId="1D257C27" w14:textId="5C0BD936" w:rsidR="00031AFB" w:rsidRPr="00031AFB" w:rsidRDefault="00031AFB" w:rsidP="00031AFB">
      <w:pPr>
        <w:pStyle w:val="SingleTxtG"/>
        <w:rPr>
          <w:lang w:val="es-ES_tradnl"/>
        </w:rPr>
      </w:pPr>
      <w:r w:rsidRPr="00031AFB">
        <w:rPr>
          <w:lang w:val="es-ES_tradnl"/>
        </w:rPr>
        <w:t>107.</w:t>
      </w:r>
      <w:r w:rsidRPr="00031AFB">
        <w:rPr>
          <w:lang w:val="es-ES_tradnl"/>
        </w:rPr>
        <w:tab/>
        <w:t xml:space="preserve">En 2022, había 47 centros de educación especial en el país. Aproximadamente un tercio de los niños con discapacidad en edad escolar estaban matriculados en esos centros: 8.772 alumnos en centros ordinarios y 3.416 en centros de educación especial. Según los </w:t>
      </w:r>
      <w:r w:rsidRPr="00031AFB">
        <w:rPr>
          <w:lang w:val="es-ES_tradnl"/>
        </w:rPr>
        <w:lastRenderedPageBreak/>
        <w:t>datos del Sistema de Información para la Gestión de la Educación, la matriculación de niños con discapacidad en centros de enseñanza ordinarios presenta una tendencia al alza (anexo</w:t>
      </w:r>
      <w:r w:rsidR="00717542">
        <w:rPr>
          <w:lang w:val="es-ES_tradnl"/>
        </w:rPr>
        <w:t> </w:t>
      </w:r>
      <w:r w:rsidRPr="00031AFB">
        <w:rPr>
          <w:lang w:val="es-ES_tradnl"/>
        </w:rPr>
        <w:t>12).</w:t>
      </w:r>
    </w:p>
    <w:p w14:paraId="4218B8B0" w14:textId="77777777" w:rsidR="00031AFB" w:rsidRPr="00031AFB" w:rsidRDefault="00031AFB" w:rsidP="00031AFB">
      <w:pPr>
        <w:pStyle w:val="SingleTxtG"/>
        <w:rPr>
          <w:lang w:val="es-ES_tradnl"/>
        </w:rPr>
      </w:pPr>
      <w:r w:rsidRPr="00031AFB">
        <w:rPr>
          <w:lang w:val="es-ES_tradnl"/>
        </w:rPr>
        <w:t>108.</w:t>
      </w:r>
      <w:r w:rsidRPr="00031AFB">
        <w:rPr>
          <w:lang w:val="es-ES_tradnl"/>
        </w:rPr>
        <w:tab/>
        <w:t>El Estado aumenta cada año la financiación destinada a las ayudas a la educación (anexo 13). Los centros educativos pueden utilizar estos fondos para mantener en plantilla a los especialistas en apoyo educativo que sean necesarios: psicólogos, logopedas, docentes de educación especial, auxiliares de enseñanza, intérpretes de lengua de señas y pedagogos especializados en sordera y discapacidad auditiva.</w:t>
      </w:r>
      <w:bookmarkEnd w:id="26"/>
    </w:p>
    <w:p w14:paraId="49720D95" w14:textId="746AD711"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20 b) </w:t>
      </w:r>
    </w:p>
    <w:p w14:paraId="377FD835" w14:textId="77777777" w:rsidR="00031AFB" w:rsidRPr="00031AFB" w:rsidRDefault="00031AFB" w:rsidP="00031AFB">
      <w:pPr>
        <w:pStyle w:val="SingleTxtG"/>
        <w:rPr>
          <w:lang w:val="es-ES_tradnl"/>
        </w:rPr>
      </w:pPr>
      <w:r w:rsidRPr="00031AFB">
        <w:rPr>
          <w:lang w:val="es-ES_tradnl"/>
        </w:rPr>
        <w:t>109.</w:t>
      </w:r>
      <w:r w:rsidRPr="00031AFB">
        <w:rPr>
          <w:lang w:val="es-ES_tradnl"/>
        </w:rPr>
        <w:tab/>
        <w:t>Se ha puesto en marcha un programa nacional de desarrollo de aptitudes en materia de inclusión. Entre 2022 y 2023, se formó a 5.000 docentes en la aplicación de los planes de estudios actualizados de la educación general en los centros de enseñanza ordinaria, incluidos los destinados a alumnos con necesidades educativas especiales severas y muy severas.</w:t>
      </w:r>
    </w:p>
    <w:p w14:paraId="3E96433E" w14:textId="77777777" w:rsidR="00031AFB" w:rsidRPr="00031AFB" w:rsidRDefault="00031AFB" w:rsidP="00031AFB">
      <w:pPr>
        <w:pStyle w:val="SingleTxtG"/>
        <w:rPr>
          <w:lang w:val="es-ES_tradnl"/>
        </w:rPr>
      </w:pPr>
      <w:r w:rsidRPr="00031AFB">
        <w:rPr>
          <w:lang w:val="es-ES_tradnl"/>
        </w:rPr>
        <w:t>110.</w:t>
      </w:r>
      <w:r w:rsidRPr="00031AFB">
        <w:rPr>
          <w:lang w:val="es-ES_tradnl"/>
        </w:rPr>
        <w:tab/>
        <w:t xml:space="preserve">Las ayudas educativas para los alumnos se calculan en función de su nivel de necesidades educativas especiales (anexo 14). Entre 2023 y 2029, se ha previsto invertir 150.875 millones de euros para reforzar los centros educativos en el ámbito de la educación inclusiva. </w:t>
      </w:r>
    </w:p>
    <w:p w14:paraId="259E8122" w14:textId="1A65EB04"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20 c) </w:t>
      </w:r>
    </w:p>
    <w:p w14:paraId="4CCCC680" w14:textId="77777777" w:rsidR="00031AFB" w:rsidRPr="00031AFB" w:rsidRDefault="00031AFB" w:rsidP="00031AFB">
      <w:pPr>
        <w:pStyle w:val="SingleTxtG"/>
        <w:rPr>
          <w:lang w:val="es-ES_tradnl"/>
        </w:rPr>
      </w:pPr>
      <w:r w:rsidRPr="00031AFB">
        <w:rPr>
          <w:lang w:val="es-ES_tradnl"/>
        </w:rPr>
        <w:t>111.</w:t>
      </w:r>
      <w:r w:rsidRPr="00031AFB">
        <w:rPr>
          <w:lang w:val="es-ES_tradnl"/>
        </w:rPr>
        <w:tab/>
        <w:t>Los alumnos con necesidades educativas especiales se benefician de diversos servicios, como apoyo y horarios personalizados. Además, algunas instituciones de enseñanza superior cuentan con un coordinador de discapacidad. Los estudiantes pueden optar a subsidios sociales: en 2022, 2.200 estudiantes recibieron este tipo de ayudas. El Fondo Estatal para Cursar Estudios está llevando a cabo el proyecto Mejora de la Accesibilidad a los Estudios, financiado con los Fondos Estructurales de la UE, que ofrece prestaciones específicas y mejores condiciones de accesibilidad para los estudiantes con discapacidad.</w:t>
      </w:r>
    </w:p>
    <w:p w14:paraId="66E7EB79" w14:textId="52F5AC87"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20 d) </w:t>
      </w:r>
    </w:p>
    <w:p w14:paraId="6A416C07" w14:textId="77777777" w:rsidR="00031AFB" w:rsidRPr="00031AFB" w:rsidRDefault="00031AFB" w:rsidP="00031AFB">
      <w:pPr>
        <w:pStyle w:val="SingleTxtG"/>
        <w:rPr>
          <w:lang w:val="es-ES_tradnl"/>
        </w:rPr>
      </w:pPr>
      <w:r w:rsidRPr="00031AFB">
        <w:rPr>
          <w:lang w:val="es-ES_tradnl"/>
        </w:rPr>
        <w:t>112.</w:t>
      </w:r>
      <w:r w:rsidRPr="00031AFB">
        <w:rPr>
          <w:lang w:val="es-ES_tradnl"/>
        </w:rPr>
        <w:tab/>
        <w:t>En 2022, se impartió formación a 99 asesores en 42 municipios sobre el modo de adaptar los planes de estudios actualizados para alumnos con necesidades educativas especiales. Han elaborado publicaciones metodológicas sobre los niños con trastorno del espectro autista y la adquisición de habilidades sociales. Se han preparado y divulgado las directrices tituladas Hacia la Inclusión: Lo que Deben Saber los Centros Educativos, así como 13 publicaciones digitales dirigidas a los padres de niños con discapacidades múltiples del desarrollo, a las comunidades escolares y a los docentes.</w:t>
      </w:r>
    </w:p>
    <w:p w14:paraId="6ADA3809" w14:textId="4EA6119E"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20 e) </w:t>
      </w:r>
    </w:p>
    <w:p w14:paraId="50A495E6" w14:textId="77777777" w:rsidR="00031AFB" w:rsidRPr="00031AFB" w:rsidRDefault="00031AFB" w:rsidP="00031AFB">
      <w:pPr>
        <w:pStyle w:val="SingleTxtG"/>
        <w:rPr>
          <w:lang w:val="es-ES_tradnl"/>
        </w:rPr>
      </w:pPr>
      <w:r w:rsidRPr="00031AFB">
        <w:rPr>
          <w:lang w:val="es-ES_tradnl"/>
        </w:rPr>
        <w:t>113.</w:t>
      </w:r>
      <w:r w:rsidRPr="00031AFB">
        <w:rPr>
          <w:lang w:val="es-ES_tradnl"/>
        </w:rPr>
        <w:tab/>
        <w:t xml:space="preserve">Entre 2022 y 2023, se adquirieron 1.579 ayudas técnicas especiales para la educación, que se distribuyeron entre 285 centros de enseñanza ordinaria con alumnos con necesidades educativas especiales severas y muy severas integrados en clases ordinarias. Las orientaciones sobre el modo de trabajar con estos niños se basan en el tipo de discapacidad. </w:t>
      </w:r>
    </w:p>
    <w:p w14:paraId="5517704B" w14:textId="5A1CF562"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21 </w:t>
      </w:r>
    </w:p>
    <w:p w14:paraId="7F3BE1FB" w14:textId="77777777" w:rsidR="00031AFB" w:rsidRPr="00031AFB" w:rsidRDefault="00031AFB" w:rsidP="00031AFB">
      <w:pPr>
        <w:pStyle w:val="SingleTxtG"/>
        <w:rPr>
          <w:lang w:val="es-ES_tradnl"/>
        </w:rPr>
      </w:pPr>
      <w:r w:rsidRPr="00031AFB">
        <w:rPr>
          <w:lang w:val="es-ES_tradnl"/>
        </w:rPr>
        <w:t>114.</w:t>
      </w:r>
      <w:r w:rsidRPr="00031AFB">
        <w:rPr>
          <w:lang w:val="es-ES_tradnl"/>
        </w:rPr>
        <w:tab/>
        <w:t>Todas las personas inscritas en el Seguro de Salud Obligatorio tienen derecho a recibir servicios de atención de la salud, sin distinción alguna por motivos de discapacidad, que se sufragan con cargo al presupuesto del Fondo del Seguro de Salud Obligatorio, siempre que dichos servicios cumplan los requisitos para su prestación, aprobados por el Ministro de Salud. Si una institución de atención de la salud ha suscrito un contrato con el fondo territorial para la prestación de dichos servicios, los afiliados recibirán la gama completa de servicios que necesiten.</w:t>
      </w:r>
    </w:p>
    <w:p w14:paraId="37595A3D" w14:textId="77777777" w:rsidR="00031AFB" w:rsidRPr="00031AFB" w:rsidRDefault="00031AFB" w:rsidP="00031AFB">
      <w:pPr>
        <w:pStyle w:val="SingleTxtG"/>
        <w:rPr>
          <w:lang w:val="es-ES_tradnl"/>
        </w:rPr>
      </w:pPr>
      <w:r w:rsidRPr="00031AFB">
        <w:rPr>
          <w:lang w:val="es-ES_tradnl"/>
        </w:rPr>
        <w:t>115.</w:t>
      </w:r>
      <w:r w:rsidRPr="00031AFB">
        <w:rPr>
          <w:lang w:val="es-ES_tradnl"/>
        </w:rPr>
        <w:tab/>
        <w:t xml:space="preserve">De conformidad con la Ley de la República de Lituania sobre los Derechos de los Pacientes y la Indemnización por Daños a la Salud, todos los servicios de atención de la salud se prestan solo después de que el paciente haya recibido la información pertinente y haya firmado un consentimiento informado para la prestación de dichos servicios. La información </w:t>
      </w:r>
      <w:r w:rsidRPr="00031AFB">
        <w:rPr>
          <w:lang w:val="es-ES_tradnl"/>
        </w:rPr>
        <w:lastRenderedPageBreak/>
        <w:t>debe facilitarse al paciente de una forma adecuada a su edad y estado de salud, y de manera que resulte comprensible.</w:t>
      </w:r>
    </w:p>
    <w:p w14:paraId="79E799F8" w14:textId="77777777" w:rsidR="00031AFB" w:rsidRPr="00031AFB" w:rsidRDefault="00031AFB" w:rsidP="00031AFB">
      <w:pPr>
        <w:pStyle w:val="SingleTxtG"/>
        <w:rPr>
          <w:lang w:val="es-ES_tradnl"/>
        </w:rPr>
      </w:pPr>
      <w:r w:rsidRPr="00031AFB">
        <w:rPr>
          <w:lang w:val="es-ES_tradnl"/>
        </w:rPr>
        <w:t>116.</w:t>
      </w:r>
      <w:r w:rsidRPr="00031AFB">
        <w:rPr>
          <w:lang w:val="es-ES_tradnl"/>
        </w:rPr>
        <w:tab/>
        <w:t>Los servicios de salud reproductiva están integrados en el sistema sanitario y se prestan sin distinción a mujeres y niñas, tengan o no discapacidad. La Ley de Reproducción Asistida establece las condiciones, los métodos y los procedimientos para la prestación de servicios de reproducción asistida y de preservación de la fecundidad, así como los derechos de las personas a las que se prestan dichos servicios. Existe la posibilidad de utilizar gametos donados para la reproducción asistida y de realizar pruebas genéticas para evaluar el riesgo de transmitir una enfermedad muy discapacitante a través de los gametos de uno de los progenitores</w:t>
      </w:r>
      <w:r w:rsidRPr="00031AFB">
        <w:rPr>
          <w:sz w:val="18"/>
          <w:szCs w:val="18"/>
          <w:vertAlign w:val="superscript"/>
          <w:lang w:val="es-ES_tradnl"/>
        </w:rPr>
        <w:footnoteReference w:id="15"/>
      </w:r>
      <w:r w:rsidRPr="00031AFB">
        <w:rPr>
          <w:lang w:val="es-ES_tradnl"/>
        </w:rPr>
        <w:t>.</w:t>
      </w:r>
    </w:p>
    <w:p w14:paraId="450AA7B2" w14:textId="77777777" w:rsidR="00031AFB" w:rsidRPr="00031AFB" w:rsidRDefault="00031AFB" w:rsidP="00031AFB">
      <w:pPr>
        <w:pStyle w:val="SingleTxtG"/>
        <w:rPr>
          <w:lang w:val="es-ES_tradnl"/>
        </w:rPr>
      </w:pPr>
      <w:r w:rsidRPr="00031AFB">
        <w:rPr>
          <w:lang w:val="es-ES_tradnl"/>
        </w:rPr>
        <w:t>117.</w:t>
      </w:r>
      <w:r w:rsidRPr="00031AFB">
        <w:rPr>
          <w:lang w:val="es-ES_tradnl"/>
        </w:rPr>
        <w:tab/>
        <w:t>Está permitido interrumpir un embarazo tanto por vía quirúrgica como farmacológica</w:t>
      </w:r>
      <w:r w:rsidRPr="00031AFB">
        <w:rPr>
          <w:sz w:val="18"/>
          <w:szCs w:val="18"/>
          <w:vertAlign w:val="superscript"/>
          <w:lang w:val="es-ES_tradnl"/>
        </w:rPr>
        <w:footnoteReference w:id="16"/>
      </w:r>
      <w:r w:rsidRPr="00031AFB">
        <w:rPr>
          <w:lang w:val="es-ES_tradnl"/>
        </w:rPr>
        <w:t>. El medicamento Levonorgestrel puede recetarse como anticonceptivo: 1) a las jóvenes de entre 15 y 17 años, de acuerdo con el procedimiento establecido por el ministro de Salud</w:t>
      </w:r>
      <w:r w:rsidRPr="00031AFB">
        <w:rPr>
          <w:sz w:val="18"/>
          <w:szCs w:val="18"/>
          <w:vertAlign w:val="superscript"/>
          <w:lang w:val="es-ES_tradnl"/>
        </w:rPr>
        <w:footnoteReference w:id="17"/>
      </w:r>
      <w:r w:rsidRPr="00031AFB">
        <w:rPr>
          <w:lang w:val="es-ES_tradnl"/>
        </w:rPr>
        <w:t xml:space="preserve">; 2) a las jóvenes de entre 18 y 20 años que acudan a un ginecólogo en busca de anticoncepción. A la hora de recetar un anticonceptivo, se tienen en cuenta factores como la edad, la salud, la situación social y psicológica y los aspectos jurídicos, entre otros. </w:t>
      </w:r>
    </w:p>
    <w:p w14:paraId="44D02105" w14:textId="77777777" w:rsidR="00031AFB" w:rsidRPr="00031AFB" w:rsidRDefault="00031AFB" w:rsidP="00031AFB">
      <w:pPr>
        <w:pStyle w:val="SingleTxtG"/>
        <w:rPr>
          <w:lang w:val="es-ES_tradnl"/>
        </w:rPr>
      </w:pPr>
      <w:r w:rsidRPr="00031AFB">
        <w:rPr>
          <w:lang w:val="es-ES_tradnl"/>
        </w:rPr>
        <w:t>118.</w:t>
      </w:r>
      <w:r w:rsidRPr="00031AFB">
        <w:rPr>
          <w:lang w:val="es-ES_tradnl"/>
        </w:rPr>
        <w:tab/>
        <w:t>Se han establecido los requisitos que debe cumplir el personal de atención primaria de salud, incluidos los especialistas, las instalaciones y el equipamiento médico de la atención sanitaria, para la prestación de servicios a las mujeres que puedan haber sufrido violencia sexual, así como el procedimiento para organizar y prestar dichos servicios</w:t>
      </w:r>
      <w:r w:rsidRPr="00031AFB">
        <w:rPr>
          <w:sz w:val="18"/>
          <w:szCs w:val="18"/>
          <w:vertAlign w:val="superscript"/>
          <w:lang w:val="es-ES_tradnl"/>
        </w:rPr>
        <w:footnoteReference w:id="18"/>
      </w:r>
      <w:r w:rsidRPr="00031AFB">
        <w:rPr>
          <w:lang w:val="es-ES_tradnl"/>
        </w:rPr>
        <w:t>.</w:t>
      </w:r>
    </w:p>
    <w:p w14:paraId="7F8F8FFC" w14:textId="77777777" w:rsidR="00031AFB" w:rsidRPr="00031AFB" w:rsidRDefault="00031AFB" w:rsidP="00031AFB">
      <w:pPr>
        <w:pStyle w:val="SingleTxtG"/>
        <w:rPr>
          <w:lang w:val="es-ES_tradnl"/>
        </w:rPr>
      </w:pPr>
      <w:r w:rsidRPr="00031AFB">
        <w:rPr>
          <w:lang w:val="es-ES_tradnl"/>
        </w:rPr>
        <w:t>119.</w:t>
      </w:r>
      <w:r w:rsidRPr="00031AFB">
        <w:rPr>
          <w:lang w:val="es-ES_tradnl"/>
        </w:rPr>
        <w:tab/>
        <w:t>Desde 2022, las instituciones que prestan servicios a mujeres gestantes y puérperas y a los niños recién nacidos</w:t>
      </w:r>
      <w:r w:rsidRPr="00031AFB">
        <w:rPr>
          <w:sz w:val="18"/>
          <w:szCs w:val="18"/>
          <w:vertAlign w:val="superscript"/>
          <w:lang w:val="es-ES_tradnl"/>
        </w:rPr>
        <w:footnoteReference w:id="19"/>
      </w:r>
      <w:r w:rsidRPr="00031AFB">
        <w:rPr>
          <w:lang w:val="es-ES_tradnl"/>
        </w:rPr>
        <w:t xml:space="preserve"> tienen la obligación de informar a las pacientes que reciben el alta hospitalaria sobre los síntomas de la depresión posparto y también deben informar al respecto al personal de atención primaria de salud que atiende a las pacientes con síntomas de depresión posparto.</w:t>
      </w:r>
    </w:p>
    <w:p w14:paraId="4193A837" w14:textId="77777777" w:rsidR="00031AFB" w:rsidRPr="00031AFB" w:rsidRDefault="00031AFB" w:rsidP="00031AFB">
      <w:pPr>
        <w:pStyle w:val="SingleTxtG"/>
        <w:rPr>
          <w:lang w:val="es-ES_tradnl"/>
        </w:rPr>
      </w:pPr>
      <w:r w:rsidRPr="00031AFB">
        <w:rPr>
          <w:lang w:val="es-ES_tradnl"/>
        </w:rPr>
        <w:t>120.</w:t>
      </w:r>
      <w:r w:rsidRPr="00031AFB">
        <w:rPr>
          <w:lang w:val="es-ES_tradnl"/>
        </w:rPr>
        <w:tab/>
        <w:t>Se ha aprobado la descripción del procedimiento para la organización del servicio de cesáreas para mujeres embarazadas que lo soliciten</w:t>
      </w:r>
      <w:r w:rsidRPr="00031AFB">
        <w:rPr>
          <w:sz w:val="18"/>
          <w:szCs w:val="18"/>
          <w:vertAlign w:val="superscript"/>
          <w:lang w:val="es-ES_tradnl"/>
        </w:rPr>
        <w:footnoteReference w:id="20"/>
      </w:r>
      <w:r w:rsidRPr="00031AFB">
        <w:rPr>
          <w:lang w:val="es-ES_tradnl"/>
        </w:rPr>
        <w:t>, en la que se definen los requisitos que deben cumplir los centros</w:t>
      </w:r>
      <w:r w:rsidRPr="00031AFB">
        <w:rPr>
          <w:b/>
          <w:bCs/>
          <w:lang w:val="es-ES_tradnl"/>
        </w:rPr>
        <w:t xml:space="preserve"> </w:t>
      </w:r>
      <w:r w:rsidRPr="00031AFB">
        <w:rPr>
          <w:lang w:val="es-ES_tradnl"/>
        </w:rPr>
        <w:t>de atención primaria y los profesionales de la salud que prestan este servicio.</w:t>
      </w:r>
    </w:p>
    <w:p w14:paraId="58A90E96" w14:textId="77777777" w:rsidR="00031AFB" w:rsidRPr="00031AFB" w:rsidRDefault="00031AFB" w:rsidP="00031AFB">
      <w:pPr>
        <w:pStyle w:val="SingleTxtG"/>
        <w:rPr>
          <w:lang w:val="es-ES_tradnl"/>
        </w:rPr>
      </w:pPr>
      <w:r w:rsidRPr="00031AFB">
        <w:rPr>
          <w:lang w:val="es-ES_tradnl"/>
        </w:rPr>
        <w:t>121.</w:t>
      </w:r>
      <w:r w:rsidRPr="00031AFB">
        <w:rPr>
          <w:lang w:val="es-ES_tradnl"/>
        </w:rPr>
        <w:tab/>
        <w:t>El acceso a todo tipo de servicios de urgencias, salas de espera, de reconocimiento, de higiene y de cuidados intensivos y quirófanos debe ajustarse a las necesidades de las personas con discapacidad</w:t>
      </w:r>
      <w:r w:rsidRPr="00031AFB">
        <w:rPr>
          <w:sz w:val="18"/>
          <w:szCs w:val="18"/>
          <w:vertAlign w:val="superscript"/>
          <w:lang w:val="es-ES_tradnl"/>
        </w:rPr>
        <w:footnoteReference w:id="21"/>
      </w:r>
      <w:r w:rsidRPr="00031AFB">
        <w:rPr>
          <w:lang w:val="es-ES_tradnl"/>
        </w:rPr>
        <w:t>.</w:t>
      </w:r>
    </w:p>
    <w:p w14:paraId="68A16AB4" w14:textId="21FA0020" w:rsidR="00031AFB" w:rsidRPr="00031AFB" w:rsidRDefault="00717542" w:rsidP="00717542">
      <w:pPr>
        <w:pStyle w:val="H23G"/>
        <w:rPr>
          <w:lang w:val="es-ES_tradnl"/>
        </w:rPr>
      </w:pPr>
      <w:bookmarkStart w:id="28" w:name="_Hlk144494235"/>
      <w:r>
        <w:rPr>
          <w:lang w:val="es-ES_tradnl"/>
        </w:rPr>
        <w:lastRenderedPageBreak/>
        <w:tab/>
      </w:r>
      <w:r w:rsidR="00031AFB" w:rsidRPr="00031AFB">
        <w:rPr>
          <w:lang w:val="es-ES_tradnl"/>
        </w:rPr>
        <w:tab/>
        <w:t xml:space="preserve">Respuesta al párrafo 22 </w:t>
      </w:r>
    </w:p>
    <w:bookmarkEnd w:id="28"/>
    <w:p w14:paraId="13876FE8" w14:textId="77777777" w:rsidR="00031AFB" w:rsidRPr="00031AFB" w:rsidRDefault="00031AFB" w:rsidP="00031AFB">
      <w:pPr>
        <w:pStyle w:val="SingleTxtG"/>
        <w:rPr>
          <w:lang w:val="es-ES_tradnl"/>
        </w:rPr>
      </w:pPr>
      <w:r w:rsidRPr="00031AFB">
        <w:rPr>
          <w:lang w:val="es-ES_tradnl"/>
        </w:rPr>
        <w:t>122.</w:t>
      </w:r>
      <w:r w:rsidRPr="00031AFB">
        <w:rPr>
          <w:lang w:val="es-ES_tradnl"/>
        </w:rPr>
        <w:tab/>
        <w:t>En 2022, 37 especialistas que trabajan en los sectores de los derechos humanos y de la salud mental participaron en una formación de la OMS sobre las estrategias para poner fin al uso del aislamiento y las medidas de contención, con especial atención a la desescalada. Un total de 53 trabajadores de instituciones que prestan servicios de atención de salud mental, evaluados según la metodología QualityRights de la OMS, participaron en actividades de formación sobre el tema de la recuperación. Se ofrece asesoramiento sobre cuestiones relacionadas con el respeto de los derechos humanos y la aplicación de la iniciativa QualityRights, y se ha elaborado un plan de medidas para hacer efectivos los derechos humanos.</w:t>
      </w:r>
    </w:p>
    <w:p w14:paraId="4DDCDC11" w14:textId="736385A3" w:rsidR="00031AFB" w:rsidRPr="00031AFB" w:rsidRDefault="00031AFB" w:rsidP="00031AFB">
      <w:pPr>
        <w:pStyle w:val="SingleTxtG"/>
        <w:rPr>
          <w:lang w:val="es-ES_tradnl"/>
        </w:rPr>
      </w:pPr>
      <w:r w:rsidRPr="00031AFB">
        <w:rPr>
          <w:lang w:val="es-ES_tradnl"/>
        </w:rPr>
        <w:t>123.</w:t>
      </w:r>
      <w:r w:rsidRPr="00031AFB">
        <w:rPr>
          <w:lang w:val="es-ES_tradnl"/>
        </w:rPr>
        <w:tab/>
        <w:t xml:space="preserve">En 2023 se está llevando a cabo en Lituania la campaña de concienciación </w:t>
      </w:r>
      <w:r w:rsidR="00974ED0">
        <w:rPr>
          <w:lang w:val="es-ES_tradnl"/>
        </w:rPr>
        <w:t>“</w:t>
      </w:r>
      <w:r w:rsidRPr="00031AFB">
        <w:rPr>
          <w:lang w:val="es-ES_tradnl"/>
        </w:rPr>
        <w:t>Mira más a fondo</w:t>
      </w:r>
      <w:r w:rsidR="00974ED0">
        <w:rPr>
          <w:lang w:val="es-ES_tradnl"/>
        </w:rPr>
        <w:t>”</w:t>
      </w:r>
      <w:r w:rsidRPr="00031AFB">
        <w:rPr>
          <w:lang w:val="es-ES_tradnl"/>
        </w:rPr>
        <w:t xml:space="preserve">, cuyo objetivo es mejorar el conocimiento de la población y cambiar las actitudes relacionadas con la salud mental. Se está implementando una iniciativa de embajadores de la salud mental, cuyo objetivo es reducir el estigma que rodea a la salud mental en la sociedad. </w:t>
      </w:r>
    </w:p>
    <w:p w14:paraId="2CF34847" w14:textId="13CA286C" w:rsidR="00031AFB" w:rsidRPr="00031AFB" w:rsidRDefault="00717542" w:rsidP="00717542">
      <w:pPr>
        <w:pStyle w:val="H23G"/>
        <w:rPr>
          <w:lang w:val="es-ES_tradnl"/>
        </w:rPr>
      </w:pPr>
      <w:bookmarkStart w:id="29" w:name="_Hlk144494313"/>
      <w:r>
        <w:rPr>
          <w:lang w:val="es-ES_tradnl"/>
        </w:rPr>
        <w:tab/>
      </w:r>
      <w:r w:rsidR="00031AFB" w:rsidRPr="00031AFB">
        <w:rPr>
          <w:lang w:val="es-ES_tradnl"/>
        </w:rPr>
        <w:tab/>
        <w:t xml:space="preserve">Respuesta al párrafo 23 </w:t>
      </w:r>
    </w:p>
    <w:bookmarkEnd w:id="29"/>
    <w:p w14:paraId="0C2885F1" w14:textId="77777777" w:rsidR="00031AFB" w:rsidRPr="00031AFB" w:rsidRDefault="00031AFB" w:rsidP="00031AFB">
      <w:pPr>
        <w:pStyle w:val="SingleTxtG"/>
        <w:rPr>
          <w:lang w:val="es-ES_tradnl"/>
        </w:rPr>
      </w:pPr>
      <w:r w:rsidRPr="00031AFB">
        <w:rPr>
          <w:lang w:val="es-ES_tradnl"/>
        </w:rPr>
        <w:t>124.</w:t>
      </w:r>
      <w:r w:rsidRPr="00031AFB">
        <w:rPr>
          <w:lang w:val="es-ES_tradnl"/>
        </w:rPr>
        <w:tab/>
        <w:t>Los servicios de rehabilitación médica para las personas con discapacidad se prestan de conformidad con la descripción del procedimiento para la prescripción y la prestación de servicios de rehabilitación médica y de tratamiento en sanatorios para la prevención de recaídas. Una persona que haya sido derivada a un servicio de rehabilitación puede solicitar dicho servicio en cualquier centro de asistencia sanitaria que haya firmado un contrato con las cajas de seguro médico territoriales. Las instituciones que prestan servicios de rehabilitación deben asegurar la disponibilidad de un asistente cuando sea necesario.</w:t>
      </w:r>
    </w:p>
    <w:p w14:paraId="09A7203B" w14:textId="4D7D81F0"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24 a) </w:t>
      </w:r>
    </w:p>
    <w:p w14:paraId="6B8C3B51" w14:textId="77777777" w:rsidR="00031AFB" w:rsidRPr="00031AFB" w:rsidRDefault="00031AFB" w:rsidP="00031AFB">
      <w:pPr>
        <w:pStyle w:val="SingleTxtG"/>
        <w:rPr>
          <w:lang w:val="es-ES_tradnl"/>
        </w:rPr>
      </w:pPr>
      <w:r w:rsidRPr="00031AFB">
        <w:rPr>
          <w:lang w:val="es-ES_tradnl"/>
        </w:rPr>
        <w:t>125.</w:t>
      </w:r>
      <w:r w:rsidRPr="00031AFB">
        <w:rPr>
          <w:lang w:val="es-ES_tradnl"/>
        </w:rPr>
        <w:tab/>
        <w:t>La Ley de las Personas con Discapacidad establece cuotas en el sector público a partir del 1 de enero de 2024. El número de empleados con discapacidad debe ser, como mínimo, el 5 % del total de empleados si la plantilla de estas organizaciones es de 25 trabajadores o más.</w:t>
      </w:r>
    </w:p>
    <w:p w14:paraId="7DCC81FE" w14:textId="62EEB1B2" w:rsidR="00031AFB" w:rsidRPr="00031AFB" w:rsidRDefault="00717542" w:rsidP="00C51052">
      <w:pPr>
        <w:pStyle w:val="H23G"/>
        <w:rPr>
          <w:lang w:val="es-ES_tradnl"/>
        </w:rPr>
      </w:pPr>
      <w:r>
        <w:rPr>
          <w:lang w:val="es-ES_tradnl"/>
        </w:rPr>
        <w:tab/>
      </w:r>
      <w:r w:rsidR="00031AFB" w:rsidRPr="00031AFB">
        <w:rPr>
          <w:lang w:val="es-ES_tradnl"/>
        </w:rPr>
        <w:tab/>
        <w:t xml:space="preserve">Respuesta al párrafo 24 b) </w:t>
      </w:r>
    </w:p>
    <w:p w14:paraId="29A3D8F2" w14:textId="5933F3CC" w:rsidR="00031AFB" w:rsidRPr="00031AFB" w:rsidRDefault="00031AFB" w:rsidP="00031AFB">
      <w:pPr>
        <w:pStyle w:val="SingleTxtG"/>
        <w:rPr>
          <w:lang w:val="es-ES_tradnl"/>
        </w:rPr>
      </w:pPr>
      <w:r w:rsidRPr="00031AFB">
        <w:rPr>
          <w:lang w:val="es-ES_tradnl"/>
        </w:rPr>
        <w:t>126.</w:t>
      </w:r>
      <w:r w:rsidRPr="00031AFB">
        <w:rPr>
          <w:lang w:val="es-ES_tradnl"/>
        </w:rPr>
        <w:tab/>
        <w:t xml:space="preserve">En Lituania no existe ningún servicio, programa o modalidad de </w:t>
      </w:r>
      <w:r w:rsidR="00974ED0">
        <w:rPr>
          <w:lang w:val="es-ES_tradnl"/>
        </w:rPr>
        <w:t>“</w:t>
      </w:r>
      <w:r w:rsidRPr="00031AFB">
        <w:rPr>
          <w:lang w:val="es-ES_tradnl"/>
        </w:rPr>
        <w:t>trabajo en talleres protegidos</w:t>
      </w:r>
      <w:r w:rsidR="00974ED0">
        <w:rPr>
          <w:lang w:val="es-ES_tradnl"/>
        </w:rPr>
        <w:t>”</w:t>
      </w:r>
      <w:r w:rsidRPr="00031AFB">
        <w:rPr>
          <w:lang w:val="es-ES_tradnl"/>
        </w:rPr>
        <w:t>. En el marco de un proyecto del Departamento de Asuntos de las Personas con Discapacidad, se ofrece un servicio piloto de talleres sociales cuyo objetivo es aumentar la oferta de empleo para las personas con discapacidad en el mercado de trabajo abierto. El empleo de los usuarios de los talleres sociales, en su mayoría personas con discapacidad psicosocial o intelectual severa, se organiza de acuerdo con planes individuales, teniendo en cuenta las habilidades y posibilidades de cada persona.</w:t>
      </w:r>
    </w:p>
    <w:p w14:paraId="0DC69681" w14:textId="7A23EDE0" w:rsidR="00031AFB" w:rsidRPr="00031AFB" w:rsidRDefault="00717542" w:rsidP="00717542">
      <w:pPr>
        <w:pStyle w:val="H23G"/>
        <w:rPr>
          <w:lang w:val="es-ES_tradnl"/>
        </w:rPr>
      </w:pPr>
      <w:r>
        <w:rPr>
          <w:lang w:val="es-ES_tradnl"/>
        </w:rPr>
        <w:tab/>
      </w:r>
      <w:r w:rsidR="00031AFB" w:rsidRPr="00031AFB">
        <w:rPr>
          <w:lang w:val="es-ES_tradnl"/>
        </w:rPr>
        <w:tab/>
      </w:r>
      <w:r w:rsidR="00031AFB" w:rsidRPr="00031AFB">
        <w:rPr>
          <w:bCs/>
          <w:lang w:val="es-ES_tradnl"/>
        </w:rPr>
        <w:t>Respuesta al párrafo 24 c)</w:t>
      </w:r>
      <w:r w:rsidR="00031AFB" w:rsidRPr="00031AFB">
        <w:rPr>
          <w:lang w:val="es-ES_tradnl"/>
        </w:rPr>
        <w:t xml:space="preserve"> </w:t>
      </w:r>
    </w:p>
    <w:p w14:paraId="16889D7F" w14:textId="053ED023" w:rsidR="00031AFB" w:rsidRPr="00031AFB" w:rsidRDefault="00031AFB" w:rsidP="00031AFB">
      <w:pPr>
        <w:pStyle w:val="SingleTxtG"/>
        <w:rPr>
          <w:lang w:val="es-ES_tradnl"/>
        </w:rPr>
      </w:pPr>
      <w:r w:rsidRPr="00031AFB">
        <w:rPr>
          <w:lang w:val="es-ES_tradnl"/>
        </w:rPr>
        <w:t>127.</w:t>
      </w:r>
      <w:r w:rsidRPr="00031AFB">
        <w:rPr>
          <w:lang w:val="es-ES_tradnl"/>
        </w:rPr>
        <w:tab/>
        <w:t xml:space="preserve">En el período de 2022 a 2023, se llevó a cabo una campaña de educación y concienciación pública denominada </w:t>
      </w:r>
      <w:r w:rsidR="00974ED0">
        <w:rPr>
          <w:lang w:val="es-ES_tradnl"/>
        </w:rPr>
        <w:t>“</w:t>
      </w:r>
      <w:r w:rsidRPr="00031AFB">
        <w:rPr>
          <w:lang w:val="es-ES_tradnl"/>
        </w:rPr>
        <w:t>Sin diferencias</w:t>
      </w:r>
      <w:r w:rsidR="00974ED0">
        <w:rPr>
          <w:lang w:val="es-ES_tradnl"/>
        </w:rPr>
        <w:t>”</w:t>
      </w:r>
      <w:r w:rsidRPr="00031AFB">
        <w:rPr>
          <w:lang w:val="es-ES_tradnl"/>
        </w:rPr>
        <w:t xml:space="preserve"> con el propósito de reducir la discriminación contra las personas con discapacidad en el mercado laboral. Ocho asociaciones de personas con discapacidad organizaron 30 iniciativas centradas en la participación de personas con discapacidad en el mercado de trabajo abierto, la formación y otras actividades.</w:t>
      </w:r>
    </w:p>
    <w:p w14:paraId="120EC152" w14:textId="77777777" w:rsidR="00031AFB" w:rsidRPr="00031AFB" w:rsidRDefault="00031AFB" w:rsidP="00031AFB">
      <w:pPr>
        <w:pStyle w:val="SingleTxtG"/>
        <w:rPr>
          <w:lang w:val="es-ES_tradnl"/>
        </w:rPr>
      </w:pPr>
      <w:r w:rsidRPr="00031AFB">
        <w:rPr>
          <w:lang w:val="es-ES_tradnl"/>
        </w:rPr>
        <w:t>128.</w:t>
      </w:r>
      <w:r w:rsidRPr="00031AFB">
        <w:rPr>
          <w:lang w:val="es-ES_tradnl"/>
        </w:rPr>
        <w:tab/>
        <w:t xml:space="preserve">El Servicio de Empleo aplica un enfoque de gestión individualizada a las personas con discapacidad con una empleabilidad media o limitada. La gestión de casos está cobrando cada vez más importancia a la hora de eliminar las barreras al acceso al empleo, proporcionar apoyo para la inserción laboral y acompañar a la persona una vez que ha conseguido un empleo. </w:t>
      </w:r>
    </w:p>
    <w:p w14:paraId="5B1B1265" w14:textId="77777777" w:rsidR="00031AFB" w:rsidRPr="00031AFB" w:rsidRDefault="00031AFB" w:rsidP="00031AFB">
      <w:pPr>
        <w:pStyle w:val="SingleTxtG"/>
        <w:rPr>
          <w:lang w:val="es-ES_tradnl"/>
        </w:rPr>
      </w:pPr>
      <w:r w:rsidRPr="00031AFB">
        <w:rPr>
          <w:lang w:val="es-ES_tradnl"/>
        </w:rPr>
        <w:t>129.</w:t>
      </w:r>
      <w:r w:rsidRPr="00031AFB">
        <w:rPr>
          <w:lang w:val="es-ES_tradnl"/>
        </w:rPr>
        <w:tab/>
        <w:t>En 2021 se puso en marcha el proyecto de inventario de servicios sociales en el que participaron más de 400 ONG e interlocutores sociales que prestan servicios sociales, jurídicos y psicológicos.</w:t>
      </w:r>
    </w:p>
    <w:p w14:paraId="389DA1F4" w14:textId="77777777" w:rsidR="00031AFB" w:rsidRPr="00031AFB" w:rsidRDefault="00031AFB" w:rsidP="00031AFB">
      <w:pPr>
        <w:pStyle w:val="SingleTxtG"/>
        <w:rPr>
          <w:lang w:val="es-ES_tradnl"/>
        </w:rPr>
      </w:pPr>
      <w:r w:rsidRPr="00031AFB">
        <w:rPr>
          <w:lang w:val="es-ES_tradnl"/>
        </w:rPr>
        <w:lastRenderedPageBreak/>
        <w:t>130.</w:t>
      </w:r>
      <w:r w:rsidRPr="00031AFB">
        <w:rPr>
          <w:lang w:val="es-ES_tradnl"/>
        </w:rPr>
        <w:tab/>
        <w:t>Los servicios del mercado de trabajo y las medidas de política activa del mercado laboral, como el empleo asistido, el empleo subvencionado, las adaptaciones del puesto de trabajo o el reembolso de los gastos de un mentor laboral, favorecen la integración de las personas con discapacidad en el mercado de trabajo. El número de participantes en la iniciativa de empleo subvencionado va en aumento: en 2020, participaron 1.479 personas con discapacidad; en 2021, 1.741; y en 2022, 1.839.</w:t>
      </w:r>
    </w:p>
    <w:p w14:paraId="125AF1BF" w14:textId="16C91038" w:rsidR="00031AFB" w:rsidRPr="00031AFB" w:rsidRDefault="00031AFB" w:rsidP="00031AFB">
      <w:pPr>
        <w:pStyle w:val="SingleTxtG"/>
        <w:rPr>
          <w:lang w:val="es-ES_tradnl"/>
        </w:rPr>
      </w:pPr>
      <w:r w:rsidRPr="00031AFB">
        <w:rPr>
          <w:lang w:val="es-ES_tradnl"/>
        </w:rPr>
        <w:t>131.</w:t>
      </w:r>
      <w:r w:rsidRPr="00031AFB">
        <w:rPr>
          <w:lang w:val="es-ES_tradnl"/>
        </w:rPr>
        <w:tab/>
        <w:t>A partir del 1 de enero de 2023 se ha introducido una nueva medida de empleo con apoyo: la subvención para sufragar los gastos de un asistente personal en el trabajo. El empleador recibe una subvención para sufragar el coste de ese asistente, que asciende al 62</w:t>
      </w:r>
      <w:r w:rsidR="00E13542">
        <w:rPr>
          <w:lang w:val="es-ES_tradnl"/>
        </w:rPr>
        <w:t> </w:t>
      </w:r>
      <w:r w:rsidRPr="00031AFB">
        <w:rPr>
          <w:lang w:val="es-ES_tradnl"/>
        </w:rPr>
        <w:t>% del salario mínimo por hora durante el tiempo que el empleador asigne al asistente para que ayude al trabajador con discapacidad a desempeñar sus funciones laborales.</w:t>
      </w:r>
    </w:p>
    <w:p w14:paraId="45F8F9A3" w14:textId="77777777" w:rsidR="00031AFB" w:rsidRPr="00031AFB" w:rsidRDefault="00031AFB" w:rsidP="00031AFB">
      <w:pPr>
        <w:pStyle w:val="SingleTxtG"/>
        <w:rPr>
          <w:lang w:val="es-ES_tradnl"/>
        </w:rPr>
      </w:pPr>
      <w:r w:rsidRPr="00031AFB">
        <w:rPr>
          <w:lang w:val="es-ES_tradnl"/>
        </w:rPr>
        <w:t>132.</w:t>
      </w:r>
      <w:r w:rsidRPr="00031AFB">
        <w:rPr>
          <w:lang w:val="es-ES_tradnl"/>
        </w:rPr>
        <w:tab/>
        <w:t xml:space="preserve">Las adaptaciones en el empleo se aplican a la contratación de personas desempleadas o al mantenimiento de los puestos de trabajo, y contribuyen a financiar la adaptación del equipamiento de trabajo, el entorno del trabajador y las instalaciones industriales y recreativas. La empresa podrá adquirir ayudas técnicas o equipos especiales utilizados en el proceso de trabajo para adaptar el lugar a las necesidades de las personas con discapacidad. </w:t>
      </w:r>
    </w:p>
    <w:p w14:paraId="7B8DC677" w14:textId="77777777" w:rsidR="00031AFB" w:rsidRPr="00031AFB" w:rsidRDefault="00031AFB" w:rsidP="00031AFB">
      <w:pPr>
        <w:pStyle w:val="SingleTxtG"/>
        <w:rPr>
          <w:lang w:val="es-ES_tradnl"/>
        </w:rPr>
      </w:pPr>
      <w:r w:rsidRPr="00031AFB">
        <w:rPr>
          <w:lang w:val="es-ES_tradnl"/>
        </w:rPr>
        <w:t>133.</w:t>
      </w:r>
      <w:r w:rsidRPr="00031AFB">
        <w:rPr>
          <w:lang w:val="es-ES_tradnl"/>
        </w:rPr>
        <w:tab/>
        <w:t>Las personas con discapacidad que buscan empleo tienen la posibilidad de recibir formación en profesiones con demanda a través de medidas de apoyo a la formación. La ayuda a la movilidad se aplica en el caso de que el puesto de trabajo esté situado en un lugar alejado. Las personas con discapacidad también pueden recibir apoyo para crear una empresa si su idea de negocio está relacionada con los objetivos de la transformación digital y ecológica o si contribuye a la promoción de la economía circular. Desde 2021, se ofrecen servicios de empleo con apoyo a las personas con discapacidad que lo necesiten.</w:t>
      </w:r>
    </w:p>
    <w:p w14:paraId="0903C4C9" w14:textId="0608DBFE"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24 d) </w:t>
      </w:r>
    </w:p>
    <w:p w14:paraId="70A108BE" w14:textId="77777777" w:rsidR="00031AFB" w:rsidRPr="00031AFB" w:rsidRDefault="00031AFB" w:rsidP="00031AFB">
      <w:pPr>
        <w:pStyle w:val="SingleTxtG"/>
        <w:rPr>
          <w:lang w:val="es-ES_tradnl"/>
        </w:rPr>
      </w:pPr>
      <w:r w:rsidRPr="00031AFB">
        <w:rPr>
          <w:lang w:val="es-ES_tradnl"/>
        </w:rPr>
        <w:t>134.</w:t>
      </w:r>
      <w:r w:rsidRPr="00031AFB">
        <w:rPr>
          <w:lang w:val="es-ES_tradnl"/>
        </w:rPr>
        <w:tab/>
        <w:t xml:space="preserve">El 1 de enero de 2021, había 71.400 jóvenes de entre 16 y 29 años de edad inscritos en la Oficina de Empleo, lo que representaba más del 25 % de los desempleados registrados. De ellos, menos de 1.000 tenían discapacidad. Más de la mitad de los desempleados de este grupo de edad carecían de formación profesional, por lo que su participación en las políticas activas en materia de empleo, y en particular en la formación profesional, favorecía en gran medida su empleabilidad y la inserción laboral sostenible. En 2020, 115 personas con discapacidad de hasta 29 años se beneficiaron de esas políticas, mientras que en 2021 y 2022 esta cifra aumentó a 147 y 212, respectivamente, y en el primer trimestre de 2023, 80 jóvenes con discapacidad comenzaron a beneficiarse de medidas de empleo. </w:t>
      </w:r>
      <w:bookmarkStart w:id="30" w:name="_Hlk144494659"/>
    </w:p>
    <w:p w14:paraId="6CD943ED" w14:textId="56DEF636"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24 e) </w:t>
      </w:r>
    </w:p>
    <w:bookmarkEnd w:id="30"/>
    <w:p w14:paraId="660FD24E" w14:textId="77777777" w:rsidR="00031AFB" w:rsidRPr="00031AFB" w:rsidRDefault="00031AFB" w:rsidP="00031AFB">
      <w:pPr>
        <w:pStyle w:val="SingleTxtG"/>
        <w:rPr>
          <w:lang w:val="es-ES_tradnl"/>
        </w:rPr>
      </w:pPr>
      <w:r w:rsidRPr="00031AFB">
        <w:rPr>
          <w:lang w:val="es-ES_tradnl"/>
        </w:rPr>
        <w:t>135.</w:t>
      </w:r>
      <w:r w:rsidRPr="00031AFB">
        <w:rPr>
          <w:lang w:val="es-ES_tradnl"/>
        </w:rPr>
        <w:tab/>
        <w:t>El Programa de Apoyo a la Creación de Empresas se puso en marcha en 2023 con el fin de ayudar a personas con empleo y a desempleados inscritos en el Servicio de Empleo a crear un puesto de trabajo por cuenta propia o para sí mismos y una o varias personas más desempleadas mediante microempresas que contribuyan a los objetivos de transformación digital y ecológica, la promoción de la economía circular o la mitigación de las repercusiones de la COVID-19. Las personas mayores (50 años o más), jóvenes (hasta 29 años) o con un grado de incapacidad laboral de hasta el 55 % obtendrán puntos adicionales en la evaluación de su solicitud. Para conocer otras medidas destinadas a mejorar la empleabilidad de las personas con discapacidad, véase el párrafo 24 c).</w:t>
      </w:r>
    </w:p>
    <w:p w14:paraId="0803FA3E" w14:textId="50C69E8D" w:rsidR="00031AFB" w:rsidRPr="00031AFB" w:rsidRDefault="00031AFB" w:rsidP="00717542">
      <w:pPr>
        <w:pStyle w:val="H23G"/>
        <w:rPr>
          <w:rtl/>
        </w:rPr>
      </w:pPr>
      <w:bookmarkStart w:id="31" w:name="_Hlk144494793"/>
      <w:r w:rsidRPr="00031AFB">
        <w:rPr>
          <w:lang w:val="es-ES_tradnl"/>
        </w:rPr>
        <w:tab/>
      </w:r>
      <w:r w:rsidR="00717542">
        <w:rPr>
          <w:lang w:val="es-ES_tradnl"/>
        </w:rPr>
        <w:tab/>
      </w:r>
      <w:r w:rsidRPr="00031AFB">
        <w:rPr>
          <w:lang w:val="es-ES_tradnl"/>
        </w:rPr>
        <w:t xml:space="preserve">Respuesta al párrafo 25 a) </w:t>
      </w:r>
    </w:p>
    <w:bookmarkEnd w:id="31"/>
    <w:p w14:paraId="1BA3D253" w14:textId="77777777" w:rsidR="00031AFB" w:rsidRPr="00031AFB" w:rsidRDefault="00031AFB" w:rsidP="00031AFB">
      <w:pPr>
        <w:pStyle w:val="SingleTxtG"/>
        <w:rPr>
          <w:lang w:val="es-ES_tradnl"/>
        </w:rPr>
      </w:pPr>
      <w:r w:rsidRPr="00031AFB">
        <w:rPr>
          <w:lang w:val="es-ES_tradnl"/>
        </w:rPr>
        <w:t>136.</w:t>
      </w:r>
      <w:r w:rsidRPr="00031AFB">
        <w:rPr>
          <w:lang w:val="es-ES_tradnl"/>
        </w:rPr>
        <w:tab/>
        <w:t>La reforma del empleo de las personas con discapacidad está en marcha. En este sentido, se están aplicando políticas laborales activas y prestando servicios personalizados (véase el párr. 24 c)).</w:t>
      </w:r>
    </w:p>
    <w:p w14:paraId="76C87DA9" w14:textId="4D5074BB" w:rsidR="00031AFB" w:rsidRPr="00031AFB" w:rsidRDefault="00031AFB" w:rsidP="00031AFB">
      <w:pPr>
        <w:pStyle w:val="SingleTxtG"/>
        <w:rPr>
          <w:lang w:val="es-ES_tradnl"/>
        </w:rPr>
      </w:pPr>
      <w:r w:rsidRPr="00031AFB">
        <w:rPr>
          <w:lang w:val="es-ES_tradnl"/>
        </w:rPr>
        <w:t>137.</w:t>
      </w:r>
      <w:r w:rsidRPr="00031AFB">
        <w:rPr>
          <w:lang w:val="es-ES_tradnl"/>
        </w:rPr>
        <w:tab/>
        <w:t>El Ministerio de Salud y Bienestar Social está tomando medidas para reducir la pobreza mediante un incremento de las prestaciones sociales y un mayor acceso a estas. En</w:t>
      </w:r>
      <w:r w:rsidR="00717542">
        <w:rPr>
          <w:lang w:val="es-ES_tradnl"/>
        </w:rPr>
        <w:t> </w:t>
      </w:r>
      <w:r w:rsidRPr="00031AFB">
        <w:rPr>
          <w:lang w:val="es-ES_tradnl"/>
        </w:rPr>
        <w:t xml:space="preserve">2021 se aprobó una serie de modificaciones a la Ley de Pensiones del Seguro Social, que favorecieron un aumento más rápido de las pensiones de la Seguridad Social. Todas las personas con discapacidad que vivan solas en Lituania pueden percibir una prestación específica para ellas. Las personas con discapacidad pueden percibir una pensión por </w:t>
      </w:r>
      <w:r w:rsidRPr="00031AFB">
        <w:rPr>
          <w:lang w:val="es-ES_tradnl"/>
        </w:rPr>
        <w:lastRenderedPageBreak/>
        <w:t>discapacidad o una pensión de invalidez de la Seguridad Social. Es posible conceder y abonar una subvención específica para cubrir los gastos asociados a los cuidados o la asistencia, previa evaluación de las necesidades concretas del adulto o niño. Las personas con discapacidad pueden recibir ayudas para adaptar su vivienda, tienen derecho al arrendamiento de una vivienda social y pueden beneficiarse de otras prestaciones y compensaciones. Todos los municipios del país prestan servicios sociales a las personas con discapacidad que carecen de autonomía y necesitan ayuda, lo cual incluye a sus familias. Pueden beneficiarse de este apoyo todas las personas con discapacidad que tengan una necesidad reconocida de un asistente personal, independientemente de su edad y de la gravedad o naturaleza de su discapacidad.</w:t>
      </w:r>
    </w:p>
    <w:p w14:paraId="0489AF7D" w14:textId="3F8D4697" w:rsidR="00031AFB" w:rsidRPr="00031AFB" w:rsidRDefault="00717542" w:rsidP="00717542">
      <w:pPr>
        <w:pStyle w:val="H23G"/>
        <w:rPr>
          <w:lang w:val="es-ES_tradnl"/>
        </w:rPr>
      </w:pPr>
      <w:bookmarkStart w:id="32" w:name="_Hlk144494838"/>
      <w:r>
        <w:rPr>
          <w:lang w:val="es-ES_tradnl"/>
        </w:rPr>
        <w:tab/>
      </w:r>
      <w:r w:rsidR="00031AFB" w:rsidRPr="00031AFB">
        <w:rPr>
          <w:lang w:val="es-ES_tradnl"/>
        </w:rPr>
        <w:tab/>
        <w:t xml:space="preserve">Respuesta al párrafo 25 b) </w:t>
      </w:r>
    </w:p>
    <w:p w14:paraId="311E01E3" w14:textId="77777777" w:rsidR="00031AFB" w:rsidRPr="00031AFB" w:rsidRDefault="00031AFB" w:rsidP="00031AFB">
      <w:pPr>
        <w:pStyle w:val="SingleTxtG"/>
        <w:rPr>
          <w:lang w:val="es-ES_tradnl"/>
        </w:rPr>
      </w:pPr>
      <w:r w:rsidRPr="00031AFB">
        <w:rPr>
          <w:lang w:val="es-ES_tradnl"/>
        </w:rPr>
        <w:t>138.</w:t>
      </w:r>
      <w:r w:rsidRPr="00031AFB">
        <w:rPr>
          <w:lang w:val="es-ES_tradnl"/>
        </w:rPr>
        <w:tab/>
        <w:t>La Ley de Servicios Sociales establece que los servicios sociales generales y los servicios de asistencia social se prestan de forma gratuita a aquellas personas o familias que perciben una prestación social o cuyos ingresos son inferiores al doble del importe del ingreso garantizado por el Estado.</w:t>
      </w:r>
    </w:p>
    <w:p w14:paraId="673B3322" w14:textId="77777777" w:rsidR="00031AFB" w:rsidRPr="00031AFB" w:rsidRDefault="00031AFB" w:rsidP="00031AFB">
      <w:pPr>
        <w:pStyle w:val="SingleTxtG"/>
        <w:rPr>
          <w:lang w:val="es-ES_tradnl"/>
        </w:rPr>
      </w:pPr>
      <w:r w:rsidRPr="00031AFB">
        <w:rPr>
          <w:lang w:val="es-ES_tradnl"/>
        </w:rPr>
        <w:t>139.</w:t>
      </w:r>
      <w:r w:rsidRPr="00031AFB">
        <w:rPr>
          <w:lang w:val="es-ES_tradnl"/>
        </w:rPr>
        <w:tab/>
        <w:t>En 2019, el Gobierno</w:t>
      </w:r>
      <w:r w:rsidRPr="00031AFB">
        <w:rPr>
          <w:sz w:val="18"/>
          <w:szCs w:val="18"/>
          <w:vertAlign w:val="superscript"/>
          <w:lang w:val="es-ES_tradnl"/>
        </w:rPr>
        <w:footnoteReference w:id="22"/>
      </w:r>
      <w:r w:rsidRPr="00031AFB">
        <w:rPr>
          <w:lang w:val="es-ES_tradnl"/>
        </w:rPr>
        <w:t xml:space="preserve"> formuló una serie de recomendaciones dirigidas a las administraciones locales sobre la cuantía que las personas deberían desembolsar por los servicios sociales en función de sus ingresos. La finalidad sería tener más en cuenta las necesidades de las personas, incluidas las personas con discapacidad, y evitar aumentos desproporcionados en las tarifas de los servicios sociales.</w:t>
      </w:r>
    </w:p>
    <w:p w14:paraId="65259F1A" w14:textId="77777777" w:rsidR="00031AFB" w:rsidRPr="00031AFB" w:rsidRDefault="00031AFB" w:rsidP="00031AFB">
      <w:pPr>
        <w:pStyle w:val="SingleTxtG"/>
        <w:rPr>
          <w:rtl/>
        </w:rPr>
      </w:pPr>
      <w:r w:rsidRPr="00031AFB">
        <w:rPr>
          <w:lang w:val="es-ES_tradnl"/>
        </w:rPr>
        <w:t>140.</w:t>
      </w:r>
      <w:r w:rsidRPr="00031AFB">
        <w:rPr>
          <w:lang w:val="es-ES_tradnl"/>
        </w:rPr>
        <w:tab/>
        <w:t>Con el fin de promover el empleo y la vida independiente de las personas con discapacidad en la comunidad, en 2020, se modificó la Ley de Servicios Sociales agregando una disposición según la cual, para determinar el monto que debe abonar una persona por los servicios sociales no se tendrán en cuenta sus ingresos del trabajo, siempre que estos no superen el salario mínimo mensual fijado por el Gobierno. Lituania tiene la intención, además, de mejorar la accesibilidad a los servicios sociales, aumentar el bienestar social de las personas con discapacidad y reducir la carga económica tanto para estas personas como para sus familias.</w:t>
      </w:r>
      <w:bookmarkEnd w:id="32"/>
    </w:p>
    <w:p w14:paraId="6F559D08" w14:textId="29D9F476" w:rsidR="00031AFB" w:rsidRPr="00031AFB" w:rsidRDefault="00031AFB" w:rsidP="00717542">
      <w:pPr>
        <w:pStyle w:val="H23G"/>
        <w:rPr>
          <w:lang w:val="es-ES_tradnl"/>
        </w:rPr>
      </w:pPr>
      <w:r w:rsidRPr="00031AFB">
        <w:rPr>
          <w:lang w:val="es-ES_tradnl"/>
        </w:rPr>
        <w:tab/>
      </w:r>
      <w:r w:rsidR="00717542">
        <w:rPr>
          <w:lang w:val="es-ES_tradnl"/>
        </w:rPr>
        <w:tab/>
      </w:r>
      <w:r w:rsidRPr="00031AFB">
        <w:rPr>
          <w:lang w:val="es-ES_tradnl"/>
        </w:rPr>
        <w:t xml:space="preserve">Respuesta al párrafo 26 a), b), c) y d) </w:t>
      </w:r>
    </w:p>
    <w:p w14:paraId="42762E06" w14:textId="77777777" w:rsidR="00031AFB" w:rsidRPr="00031AFB" w:rsidRDefault="00031AFB" w:rsidP="00031AFB">
      <w:pPr>
        <w:pStyle w:val="SingleTxtG"/>
        <w:rPr>
          <w:lang w:val="es-ES_tradnl"/>
        </w:rPr>
      </w:pPr>
      <w:r w:rsidRPr="00031AFB">
        <w:rPr>
          <w:lang w:val="es-ES_tradnl"/>
        </w:rPr>
        <w:t>141.</w:t>
      </w:r>
      <w:r w:rsidRPr="00031AFB">
        <w:rPr>
          <w:lang w:val="es-ES_tradnl"/>
        </w:rPr>
        <w:tab/>
        <w:t>El Código Electoral, en vigor desde el 1 de septiembre de 2022, garantiza el derecho de voto de las personas con discapacidad en elecciones y referéndums, lo cual comprende a las personas con discapacidad mental y psicosocial, así como a las personas que residen en zonas rurales. Prohíbe votar a quienes hayan sido incapacitados para aspectos relacionados con el voto. Los votantes con discapacidad deben votar de forma independiente, con la asistencia de una persona de confianza, y garantizar la confidencialidad de su voto.</w:t>
      </w:r>
    </w:p>
    <w:p w14:paraId="4AD0683B" w14:textId="77777777" w:rsidR="00031AFB" w:rsidRPr="00031AFB" w:rsidRDefault="00031AFB" w:rsidP="00031AFB">
      <w:pPr>
        <w:pStyle w:val="SingleTxtG"/>
        <w:rPr>
          <w:lang w:val="es-ES_tradnl"/>
        </w:rPr>
      </w:pPr>
      <w:r w:rsidRPr="00031AFB">
        <w:rPr>
          <w:lang w:val="es-ES_tradnl"/>
        </w:rPr>
        <w:t>142.</w:t>
      </w:r>
      <w:r w:rsidRPr="00031AFB">
        <w:rPr>
          <w:lang w:val="es-ES_tradnl"/>
        </w:rPr>
        <w:tab/>
        <w:t>La administración municipal debe evaluar los colegios electorales para los votantes con discapacidad y personas mayores en un plazo de 20 días a partir de la convocatoria de las elecciones. Pueden adaptar los colegios electorales o alquilar otros ya adaptados, y la comisión electoral debe volver a evaluar las instalaciones al menos dos meses antes de las elecciones.</w:t>
      </w:r>
    </w:p>
    <w:p w14:paraId="383B8749" w14:textId="77777777" w:rsidR="00031AFB" w:rsidRPr="00031AFB" w:rsidRDefault="00031AFB" w:rsidP="00031AFB">
      <w:pPr>
        <w:pStyle w:val="SingleTxtG"/>
        <w:rPr>
          <w:lang w:val="es-ES_tradnl"/>
        </w:rPr>
      </w:pPr>
      <w:r w:rsidRPr="00031AFB">
        <w:rPr>
          <w:lang w:val="es-ES_tradnl"/>
        </w:rPr>
        <w:t>143.</w:t>
      </w:r>
      <w:r w:rsidRPr="00031AFB">
        <w:rPr>
          <w:lang w:val="es-ES_tradnl"/>
        </w:rPr>
        <w:tab/>
        <w:t>El Código Electoral también establece que los siguientes electores pueden votar desde su domicilio: los electores con discapacidad, las personas que cuidan o asisten a personas con discapacidad en su domicilio, los electores que se encuentren temporalmente incapacitados para trabajar por enfermedad y los electores de 70 años o más, si no pueden acudir al colegio electoral el día de las elecciones debido a una afección médica. Además, se elaborarán listas separadas de los votantes que voten en centros de salud (que no sean centros ambulatorios) y en centros de asistencia social.</w:t>
      </w:r>
    </w:p>
    <w:p w14:paraId="5EC1CBEB" w14:textId="77777777" w:rsidR="00031AFB" w:rsidRPr="00031AFB" w:rsidRDefault="00031AFB" w:rsidP="00031AFB">
      <w:pPr>
        <w:pStyle w:val="SingleTxtG"/>
        <w:rPr>
          <w:lang w:val="es-ES_tradnl"/>
        </w:rPr>
      </w:pPr>
      <w:r w:rsidRPr="00031AFB">
        <w:rPr>
          <w:lang w:val="es-ES_tradnl"/>
        </w:rPr>
        <w:t>144.</w:t>
      </w:r>
      <w:r w:rsidRPr="00031AFB">
        <w:rPr>
          <w:lang w:val="es-ES_tradnl"/>
        </w:rPr>
        <w:tab/>
        <w:t xml:space="preserve">Estas disposiciones del Código Electoral también se aplican a los referéndums regulados por la Ley Constitucional sobre Referéndums de la República de Lituania, que entró en vigor el 1 de septiembre de 2022 y que establece que el derecho de los ciudadanos </w:t>
      </w:r>
      <w:r w:rsidRPr="00031AFB">
        <w:rPr>
          <w:lang w:val="es-ES_tradnl"/>
        </w:rPr>
        <w:lastRenderedPageBreak/>
        <w:t>a participar en un referéndum no puede restringirse, entre otros motivos, en razón de su discapacidad.</w:t>
      </w:r>
    </w:p>
    <w:p w14:paraId="4BB8CC63" w14:textId="77777777" w:rsidR="00031AFB" w:rsidRPr="00031AFB" w:rsidRDefault="00031AFB" w:rsidP="00031AFB">
      <w:pPr>
        <w:pStyle w:val="SingleTxtG"/>
        <w:rPr>
          <w:lang w:val="es-ES_tradnl"/>
        </w:rPr>
      </w:pPr>
      <w:r w:rsidRPr="00031AFB">
        <w:rPr>
          <w:lang w:val="es-ES_tradnl"/>
        </w:rPr>
        <w:t>145.</w:t>
      </w:r>
      <w:r w:rsidRPr="00031AFB">
        <w:rPr>
          <w:lang w:val="es-ES_tradnl"/>
        </w:rPr>
        <w:tab/>
        <w:t>La Alta Comisión Electoral reúne datos sobre los votantes y candidatos con discapacidad. Asimismo, establece procedimientos especiales para la aplicación de esas leyes, entre otras cosas para garantizar la participación de las personas con discapacidad en la vida política y pública.</w:t>
      </w:r>
    </w:p>
    <w:p w14:paraId="0B85DFE3" w14:textId="7DE77517"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27 a) </w:t>
      </w:r>
    </w:p>
    <w:p w14:paraId="29EACCDA" w14:textId="77777777" w:rsidR="00031AFB" w:rsidRPr="00031AFB" w:rsidRDefault="00031AFB" w:rsidP="00031AFB">
      <w:pPr>
        <w:pStyle w:val="SingleTxtG"/>
        <w:rPr>
          <w:lang w:val="es-ES_tradnl"/>
        </w:rPr>
      </w:pPr>
      <w:r w:rsidRPr="00031AFB">
        <w:rPr>
          <w:lang w:val="es-ES_tradnl"/>
        </w:rPr>
        <w:t>146.</w:t>
      </w:r>
      <w:r w:rsidRPr="00031AFB">
        <w:rPr>
          <w:lang w:val="es-ES_tradnl"/>
        </w:rPr>
        <w:tab/>
        <w:t xml:space="preserve">El Ministerio de Cultura de la República de Lituania está llevando a cabo una iniciativa denominada Museos para el Bienestar Humano con el propósito de asegurar la accesibilidad de los servicios de los museos para las personas con discapacidad. Se ha realizado un estudio titulado Museos para el Bienestar Humano y se han formulado recomendaciones orientadas a mejorar la accesibilidad de los museos. </w:t>
      </w:r>
    </w:p>
    <w:p w14:paraId="2FC18251" w14:textId="77777777" w:rsidR="00031AFB" w:rsidRPr="00031AFB" w:rsidRDefault="00031AFB" w:rsidP="00031AFB">
      <w:pPr>
        <w:pStyle w:val="SingleTxtG"/>
        <w:rPr>
          <w:lang w:val="es-ES_tradnl"/>
        </w:rPr>
      </w:pPr>
      <w:r w:rsidRPr="00031AFB">
        <w:rPr>
          <w:lang w:val="es-ES_tradnl"/>
        </w:rPr>
        <w:t>147.</w:t>
      </w:r>
      <w:r w:rsidRPr="00031AFB">
        <w:rPr>
          <w:lang w:val="es-ES_tradnl"/>
        </w:rPr>
        <w:tab/>
        <w:t xml:space="preserve">El Consejo de Cultura de Lituania financia proyectos culturales y artísticos para personas con discapacidad. A partir de 2023, el Centro de Cinematografía de Lituania ofrece financiación adicional para adaptaciones cinematográficas destinadas a personas con discapacidad visual y auditiva. Todos los servicios del </w:t>
      </w:r>
      <w:r w:rsidRPr="00031AFB">
        <w:rPr>
          <w:i/>
          <w:iCs/>
          <w:lang w:val="es-ES_tradnl"/>
        </w:rPr>
        <w:t>Culture Pass</w:t>
      </w:r>
      <w:r w:rsidRPr="00031AFB">
        <w:rPr>
          <w:lang w:val="es-ES_tradnl"/>
        </w:rPr>
        <w:t xml:space="preserve"> deben estar adaptados para al menos una de las discapacidades previstas: visual, auditiva, motora o intelectual.</w:t>
      </w:r>
    </w:p>
    <w:p w14:paraId="2DB11CF7" w14:textId="77777777" w:rsidR="00031AFB" w:rsidRPr="00031AFB" w:rsidRDefault="00031AFB" w:rsidP="00031AFB">
      <w:pPr>
        <w:pStyle w:val="SingleTxtG"/>
        <w:rPr>
          <w:lang w:val="es-ES_tradnl"/>
        </w:rPr>
      </w:pPr>
      <w:r w:rsidRPr="00031AFB">
        <w:rPr>
          <w:lang w:val="es-ES_tradnl"/>
        </w:rPr>
        <w:t>148.</w:t>
      </w:r>
      <w:r w:rsidRPr="00031AFB">
        <w:rPr>
          <w:lang w:val="es-ES_tradnl"/>
        </w:rPr>
        <w:tab/>
        <w:t>En el período de 2020 a 2021, se adoptaron medidas en todas las bibliotecas públicas para mejorar la accesibilidad para las personas con trastorno del espectro autista y otras personas con trastornos del lenguaje, la comunicación y la conducta. En 2021 se organizó una conferencia nacional titulada Biblioteca para Todos, en la que se firmó el Manifiesto de Accesibilidad para las Bibliotecas.</w:t>
      </w:r>
    </w:p>
    <w:p w14:paraId="7EB10AC4" w14:textId="77777777" w:rsidR="00031AFB" w:rsidRPr="00031AFB" w:rsidRDefault="00031AFB" w:rsidP="00031AFB">
      <w:pPr>
        <w:pStyle w:val="SingleTxtG"/>
        <w:rPr>
          <w:lang w:val="es-ES_tradnl"/>
        </w:rPr>
      </w:pPr>
      <w:r w:rsidRPr="00031AFB">
        <w:rPr>
          <w:lang w:val="es-ES_tradnl"/>
        </w:rPr>
        <w:t>149.</w:t>
      </w:r>
      <w:r w:rsidRPr="00031AFB">
        <w:rPr>
          <w:lang w:val="es-ES_tradnl"/>
        </w:rPr>
        <w:tab/>
        <w:t>El Ministerio de Economía e Innovación de la República de Lituania colabora con instituciones que defienden los derechos de las personas con discapacidad</w:t>
      </w:r>
      <w:r w:rsidRPr="00031AFB">
        <w:rPr>
          <w:sz w:val="18"/>
          <w:szCs w:val="18"/>
          <w:vertAlign w:val="superscript"/>
          <w:lang w:val="es-ES_tradnl"/>
        </w:rPr>
        <w:footnoteReference w:id="23"/>
      </w:r>
      <w:r w:rsidRPr="00031AFB">
        <w:rPr>
          <w:lang w:val="es-ES_tradnl"/>
        </w:rPr>
        <w:t xml:space="preserve"> para mejorar las infraestructuras turísticas y crear un sistema nacional de información turística digital accesible para las personas con necesidades especiales. Esta iniciativa forma parte del Programa de Transformación Económica y Fomento de la Competitividad para 2022-2030.</w:t>
      </w:r>
    </w:p>
    <w:p w14:paraId="68F6F5A4" w14:textId="1AEAAA07"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27 b) </w:t>
      </w:r>
    </w:p>
    <w:p w14:paraId="653A78E8" w14:textId="77777777" w:rsidR="00031AFB" w:rsidRPr="00031AFB" w:rsidRDefault="00031AFB" w:rsidP="00031AFB">
      <w:pPr>
        <w:pStyle w:val="SingleTxtG"/>
        <w:rPr>
          <w:lang w:val="es-ES_tradnl"/>
        </w:rPr>
      </w:pPr>
      <w:r w:rsidRPr="00031AFB">
        <w:rPr>
          <w:lang w:val="es-ES_tradnl"/>
        </w:rPr>
        <w:t>150.</w:t>
      </w:r>
      <w:r w:rsidRPr="00031AFB">
        <w:rPr>
          <w:lang w:val="es-ES_tradnl"/>
        </w:rPr>
        <w:tab/>
        <w:t>En 2022 se creó un programa de formación sobre alfabetización digital y recursos de información adaptados, denominado Estándar de Gestión de la Experiencia del Usuario, centrado en las personas con dificultades de lectura. Se han creado dos aplicaciones móviles de bibliotecas virtuales de audiolibros (ELVIS) para facilitar el uso de publicaciones electrónicas adaptadas a personas que no pueden leer texto impreso normal. Se adquirieron 2.100 reproductores especiales y los soportes de almacenamiento necesarios para las grabaciones. Se adquirió un vehículo de transporte totalmente equipado para organizar cursos itinerantes en regiones remotas. En 2023 se puso en marcha un programa de formación itinerante para las personas con dificultades de lectura que residen en pueblos remotos y zonas rurales.</w:t>
      </w:r>
    </w:p>
    <w:p w14:paraId="0F3D3E71" w14:textId="77777777" w:rsidR="00031AFB" w:rsidRPr="00031AFB" w:rsidRDefault="00031AFB" w:rsidP="00031AFB">
      <w:pPr>
        <w:pStyle w:val="SingleTxtG"/>
        <w:rPr>
          <w:lang w:val="es-ES_tradnl"/>
        </w:rPr>
      </w:pPr>
      <w:r w:rsidRPr="00031AFB">
        <w:rPr>
          <w:lang w:val="es-ES_tradnl"/>
        </w:rPr>
        <w:t>151.</w:t>
      </w:r>
      <w:r w:rsidRPr="00031AFB">
        <w:rPr>
          <w:lang w:val="es-ES_tradnl"/>
        </w:rPr>
        <w:tab/>
        <w:t>La Biblioteca Audiosensorial de Lituania (LAB, por su sigla en lituano) es la mayor editorial de publicaciones en formatos especiales (braille, audio y DAISY) del país</w:t>
      </w:r>
      <w:r w:rsidRPr="00031AFB">
        <w:rPr>
          <w:sz w:val="18"/>
          <w:szCs w:val="18"/>
          <w:vertAlign w:val="superscript"/>
          <w:lang w:val="es-ES_tradnl"/>
        </w:rPr>
        <w:footnoteReference w:id="24"/>
      </w:r>
      <w:r w:rsidRPr="00031AFB">
        <w:rPr>
          <w:lang w:val="es-ES_tradnl"/>
        </w:rPr>
        <w:t>. Uno de los productos más importantes creados por la LAB es la biblioteca virtual ELVIS. Su objetivo es crear un sistema editorial inclusivo que ofrezca un mejor acceso a los contenidos culturales a aquellas personas que no pueden leer textos impresos estándar. En 2021, el número de usuarios de la versión modernizada de ELVIS aumentó un 58 %, y el número de publicaciones leídas se duplicó.</w:t>
      </w:r>
    </w:p>
    <w:p w14:paraId="3B912694" w14:textId="77777777" w:rsidR="00031AFB" w:rsidRPr="00031AFB" w:rsidRDefault="00031AFB" w:rsidP="00031AFB">
      <w:pPr>
        <w:pStyle w:val="SingleTxtG"/>
        <w:rPr>
          <w:b/>
          <w:bCs/>
          <w:lang w:val="es-ES_tradnl"/>
        </w:rPr>
      </w:pPr>
      <w:r w:rsidRPr="00031AFB">
        <w:rPr>
          <w:lang w:val="es-ES_tradnl"/>
        </w:rPr>
        <w:t>152.</w:t>
      </w:r>
      <w:r w:rsidRPr="00031AFB">
        <w:rPr>
          <w:lang w:val="es-ES_tradnl"/>
        </w:rPr>
        <w:tab/>
        <w:t xml:space="preserve">El ministro de Cultura ha aprobado un procedimiento para el intercambio de ejemplares accesibles de obras destinadas a personas ciegas, con discapacidad visual o que, por cualquier otro motivo, no puedan leer texto impreso, de conformidad con el Reglamento (UE) 2017/1563 del Parlamento Europeo y del Consejo. Este procedimiento es aplicable a </w:t>
      </w:r>
      <w:r w:rsidRPr="00031AFB">
        <w:rPr>
          <w:lang w:val="es-ES_tradnl"/>
        </w:rPr>
        <w:lastRenderedPageBreak/>
        <w:t>las entidades autorizadas que operan en Lituania y a los beneficiarios que ratificaron el Tratado de Marrakech de la Organización Mundial de la Propiedad Intelectual en 2013.</w:t>
      </w:r>
    </w:p>
    <w:p w14:paraId="4A81D814" w14:textId="310D1488" w:rsidR="00031AFB" w:rsidRPr="00031AFB" w:rsidRDefault="00717542" w:rsidP="00717542">
      <w:pPr>
        <w:pStyle w:val="H23G"/>
        <w:rPr>
          <w:lang w:val="es-ES_tradnl"/>
        </w:rPr>
      </w:pPr>
      <w:r>
        <w:rPr>
          <w:lang w:val="es-ES_tradnl"/>
        </w:rPr>
        <w:tab/>
      </w:r>
      <w:r w:rsidR="00031AFB" w:rsidRPr="00031AFB">
        <w:rPr>
          <w:lang w:val="es-ES_tradnl"/>
        </w:rPr>
        <w:tab/>
        <w:t xml:space="preserve">Respuesta al párrafo 27 c) </w:t>
      </w:r>
    </w:p>
    <w:p w14:paraId="724B48B6" w14:textId="77777777" w:rsidR="00031AFB" w:rsidRPr="00031AFB" w:rsidRDefault="00031AFB" w:rsidP="00031AFB">
      <w:pPr>
        <w:pStyle w:val="SingleTxtG"/>
        <w:rPr>
          <w:lang w:val="es-ES_tradnl"/>
        </w:rPr>
      </w:pPr>
      <w:r w:rsidRPr="00031AFB">
        <w:rPr>
          <w:lang w:val="es-ES_tradnl"/>
        </w:rPr>
        <w:t>153.</w:t>
      </w:r>
      <w:r w:rsidRPr="00031AFB">
        <w:rPr>
          <w:lang w:val="es-ES_tradnl"/>
        </w:rPr>
        <w:tab/>
        <w:t>El Ministerio de Cultura ha aprobado una medida relacionada con los avances conseguidos con el Programa de Desarrollo Cultural y Creativo (2021-2030), a fin de impulsar la competitividad y la visibilidad de los creadores lituanos, fomentar la cooperación internacional e intersectorial y reducir las desigualdades culturales.</w:t>
      </w:r>
    </w:p>
    <w:p w14:paraId="4D3158F7" w14:textId="77777777" w:rsidR="00031AFB" w:rsidRPr="00031AFB" w:rsidRDefault="00031AFB" w:rsidP="00717542">
      <w:pPr>
        <w:pStyle w:val="H1G"/>
        <w:rPr>
          <w:rtl/>
        </w:rPr>
      </w:pPr>
      <w:r w:rsidRPr="00031AFB">
        <w:rPr>
          <w:lang w:val="es-ES_tradnl"/>
        </w:rPr>
        <w:tab/>
        <w:t>C.</w:t>
      </w:r>
      <w:r w:rsidRPr="00031AFB">
        <w:rPr>
          <w:lang w:val="es-ES_tradnl"/>
        </w:rPr>
        <w:tab/>
        <w:t>Obligaciones específicas (arts. 31 a 33)</w:t>
      </w:r>
    </w:p>
    <w:p w14:paraId="792ED677" w14:textId="7042BE36" w:rsidR="00031AFB" w:rsidRPr="00031AFB" w:rsidRDefault="00031AFB" w:rsidP="00717542">
      <w:pPr>
        <w:pStyle w:val="H23G"/>
        <w:rPr>
          <w:lang w:val="es-ES_tradnl"/>
        </w:rPr>
      </w:pPr>
      <w:bookmarkStart w:id="33" w:name="_Hlk144495131"/>
      <w:r w:rsidRPr="00031AFB">
        <w:rPr>
          <w:lang w:val="es-ES_tradnl"/>
        </w:rPr>
        <w:tab/>
      </w:r>
      <w:r w:rsidR="00717542">
        <w:rPr>
          <w:lang w:val="es-ES_tradnl"/>
        </w:rPr>
        <w:tab/>
      </w:r>
      <w:r w:rsidRPr="00031AFB">
        <w:rPr>
          <w:lang w:val="es-ES_tradnl"/>
        </w:rPr>
        <w:t xml:space="preserve">Respuesta al párrafo 28 </w:t>
      </w:r>
    </w:p>
    <w:p w14:paraId="14E69229" w14:textId="77777777" w:rsidR="00031AFB" w:rsidRPr="00031AFB" w:rsidRDefault="00031AFB" w:rsidP="00031AFB">
      <w:pPr>
        <w:pStyle w:val="SingleTxtG"/>
        <w:rPr>
          <w:lang w:val="es-ES_tradnl"/>
        </w:rPr>
      </w:pPr>
      <w:r w:rsidRPr="00031AFB">
        <w:rPr>
          <w:lang w:val="es-ES_tradnl"/>
        </w:rPr>
        <w:t>154.</w:t>
      </w:r>
      <w:r w:rsidRPr="00031AFB">
        <w:rPr>
          <w:lang w:val="es-ES_tradnl"/>
        </w:rPr>
        <w:tab/>
        <w:t>La Oficina Nacional de Estadística ha diseñado e iniciado la recopilación de datos sobre las personas con discapacidad a partir de diversos sistemas de información y registros. Los datos incluyen información sobre la edad, el tipo y la gravedad de la discapacidad, el lugar de residencia, etc. El sistema de información del Departamento de Asuntos de las Personas con Discapacidad permite elaborar y consultar datos específicos sobre el diagnóstico de la discapacidad por género, edad, tipo de discapacidad y duración.</w:t>
      </w:r>
    </w:p>
    <w:p w14:paraId="6C81FD58" w14:textId="77777777" w:rsidR="00031AFB" w:rsidRPr="00031AFB" w:rsidRDefault="00031AFB" w:rsidP="00031AFB">
      <w:pPr>
        <w:pStyle w:val="SingleTxtG"/>
        <w:rPr>
          <w:lang w:val="es-ES_tradnl"/>
        </w:rPr>
      </w:pPr>
      <w:r w:rsidRPr="00031AFB">
        <w:rPr>
          <w:lang w:val="es-ES_tradnl"/>
        </w:rPr>
        <w:t>155.</w:t>
      </w:r>
      <w:r w:rsidRPr="00031AFB">
        <w:rPr>
          <w:lang w:val="es-ES_tradnl"/>
        </w:rPr>
        <w:tab/>
        <w:t>En 2023, la Oficina Nacional de Estadística sigue trabajando en la aplicación de las recomendaciones del Comité sobre los Derechos de las Personas con Discapacidad. Ello incluye realizar comparaciones con las estadísticas sobre discapacidad entre los adultos de los países de la UE y recabar información sobre su estado de salud y sus condiciones de vida. La información estadística se publica en el portal de Estadísticas Oficiales</w:t>
      </w:r>
      <w:r w:rsidRPr="00031AFB">
        <w:rPr>
          <w:sz w:val="18"/>
          <w:szCs w:val="18"/>
          <w:vertAlign w:val="superscript"/>
          <w:lang w:val="es-ES_tradnl"/>
        </w:rPr>
        <w:footnoteReference w:id="25"/>
      </w:r>
      <w:r w:rsidRPr="00031AFB">
        <w:rPr>
          <w:lang w:val="es-ES_tradnl"/>
        </w:rPr>
        <w:t>.</w:t>
      </w:r>
    </w:p>
    <w:p w14:paraId="51E0F9A0" w14:textId="77777777" w:rsidR="00031AFB" w:rsidRPr="00031AFB" w:rsidRDefault="00031AFB" w:rsidP="00031AFB">
      <w:pPr>
        <w:pStyle w:val="SingleTxtG"/>
        <w:rPr>
          <w:lang w:val="es-ES_tradnl"/>
        </w:rPr>
      </w:pPr>
      <w:r w:rsidRPr="00031AFB">
        <w:rPr>
          <w:lang w:val="es-ES_tradnl"/>
        </w:rPr>
        <w:t>156.</w:t>
      </w:r>
      <w:r w:rsidRPr="00031AFB">
        <w:rPr>
          <w:lang w:val="es-ES_tradnl"/>
        </w:rPr>
        <w:tab/>
        <w:t>Desde 2005, la Encuesta sobre Ingresos y Condiciones de Vida evalúa el porcentaje de personas mayores de 16 años que experimentan limitaciones en sus actividades por motivos de salud durante al menos seis meses, así como su estado de salud, sus condiciones de vivienda, sus dificultades económicas, su riesgo de pobreza y su privación material.</w:t>
      </w:r>
    </w:p>
    <w:p w14:paraId="3ED55541" w14:textId="77777777" w:rsidR="00031AFB" w:rsidRPr="00031AFB" w:rsidRDefault="00031AFB" w:rsidP="00031AFB">
      <w:pPr>
        <w:pStyle w:val="SingleTxtG"/>
        <w:rPr>
          <w:lang w:val="es-ES_tradnl"/>
        </w:rPr>
      </w:pPr>
      <w:r w:rsidRPr="00031AFB">
        <w:rPr>
          <w:lang w:val="es-ES_tradnl"/>
        </w:rPr>
        <w:t>157.</w:t>
      </w:r>
      <w:r w:rsidRPr="00031AFB">
        <w:rPr>
          <w:lang w:val="es-ES_tradnl"/>
        </w:rPr>
        <w:tab/>
        <w:t>Las recomendaciones de Eurostat se complementan con una encuesta quinquenal sobre la salud de los residentes mayores de 15 años, en la que se evalúan el estado de salud, el estilo de vida y el uso de los servicios de salud mediante las preguntas relacionadas con la discapacidad elaboradas por el Grupo de Washington.</w:t>
      </w:r>
    </w:p>
    <w:p w14:paraId="19346832" w14:textId="77777777" w:rsidR="00031AFB" w:rsidRPr="00031AFB" w:rsidRDefault="00031AFB" w:rsidP="00031AFB">
      <w:pPr>
        <w:pStyle w:val="SingleTxtG"/>
        <w:rPr>
          <w:lang w:val="es-ES_tradnl"/>
        </w:rPr>
      </w:pPr>
      <w:r w:rsidRPr="00031AFB">
        <w:rPr>
          <w:lang w:val="es-ES_tradnl"/>
        </w:rPr>
        <w:t>158.</w:t>
      </w:r>
      <w:r w:rsidRPr="00031AFB">
        <w:rPr>
          <w:lang w:val="es-ES_tradnl"/>
        </w:rPr>
        <w:tab/>
        <w:t>En 2021 se llevó a cabo un estudio estadístico sobre el empleo de las personas con discapacidad de larga duración de entre 15 y 64 años, cuyas actividades cotidianas se vieron limitadas durante seis meses o más debido a problemas de salud o a limitaciones funcionales, en comparación con la población general del mismo grupo de edad.</w:t>
      </w:r>
    </w:p>
    <w:p w14:paraId="0A8E07E1" w14:textId="77777777" w:rsidR="00031AFB" w:rsidRPr="00031AFB" w:rsidRDefault="00031AFB" w:rsidP="00031AFB">
      <w:pPr>
        <w:pStyle w:val="SingleTxtG"/>
        <w:rPr>
          <w:lang w:val="es-ES_tradnl"/>
        </w:rPr>
      </w:pPr>
      <w:r w:rsidRPr="00031AFB">
        <w:rPr>
          <w:lang w:val="es-ES_tradnl"/>
        </w:rPr>
        <w:t>159.</w:t>
      </w:r>
      <w:r w:rsidRPr="00031AFB">
        <w:rPr>
          <w:lang w:val="es-ES_tradnl"/>
        </w:rPr>
        <w:tab/>
        <w:t>La Oficina Nacional de Estadística realiza encuestas anuales sobre los servicios sociales brindados a las personas con discapacidad en domicilios particulares, centros de día y centros residenciales. Esta información se utiliza para elaborar estadísticas sobre la prestación de servicios sociales desglosadas por género, edad, tipo de centro y municipios, en el marco del Plan de Acción para la Integración Social de las Personas con Discapacidad (2021-2023).</w:t>
      </w:r>
    </w:p>
    <w:p w14:paraId="05D101AF" w14:textId="77777777" w:rsidR="00031AFB" w:rsidRPr="00031AFB" w:rsidRDefault="00031AFB" w:rsidP="00031AFB">
      <w:pPr>
        <w:pStyle w:val="SingleTxtG"/>
        <w:rPr>
          <w:lang w:val="es-ES_tradnl"/>
        </w:rPr>
      </w:pPr>
      <w:r w:rsidRPr="00031AFB">
        <w:rPr>
          <w:lang w:val="es-ES_tradnl"/>
        </w:rPr>
        <w:t>160.</w:t>
      </w:r>
      <w:r w:rsidRPr="00031AFB">
        <w:rPr>
          <w:lang w:val="es-ES_tradnl"/>
        </w:rPr>
        <w:tab/>
        <w:t>La Oficina Nacional de Estadística proporciona, en el marco del sistema europeo de estadísticas integradas sobre protección social, datos estadísticos anuales sobre los ingresos y los gastos de los programas de protección social, incluidas las prestaciones por discapacidad, de conformidad con el Reglamento (CE) núm. 458/2007 ((pool, este número debe ir así)). En el portal oficial de estadísticas</w:t>
      </w:r>
      <w:r w:rsidRPr="00031AFB">
        <w:rPr>
          <w:sz w:val="18"/>
          <w:szCs w:val="18"/>
          <w:vertAlign w:val="superscript"/>
          <w:lang w:val="es-ES_tradnl"/>
        </w:rPr>
        <w:footnoteReference w:id="26"/>
      </w:r>
      <w:r w:rsidRPr="00031AFB">
        <w:rPr>
          <w:lang w:val="es-ES_tradnl"/>
        </w:rPr>
        <w:t xml:space="preserve"> se facilita información sobre el gasto en protección social correspondiente a las prestaciones por discapacidad, tanto en forma de ayudas en efectivo como en especie, por tipo de prestación y de servicio.</w:t>
      </w:r>
    </w:p>
    <w:p w14:paraId="3E3A39DE" w14:textId="77777777" w:rsidR="00031AFB" w:rsidRPr="00031AFB" w:rsidRDefault="00031AFB" w:rsidP="00031AFB">
      <w:pPr>
        <w:pStyle w:val="SingleTxtG"/>
        <w:rPr>
          <w:lang w:val="es-ES_tradnl"/>
        </w:rPr>
      </w:pPr>
      <w:r w:rsidRPr="00031AFB">
        <w:rPr>
          <w:lang w:val="es-ES_tradnl"/>
        </w:rPr>
        <w:t>161.</w:t>
      </w:r>
      <w:r w:rsidRPr="00031AFB">
        <w:rPr>
          <w:lang w:val="es-ES_tradnl"/>
        </w:rPr>
        <w:tab/>
        <w:t xml:space="preserve">La información estadística elaborada a partir de los estudios de la Oficina Nacional de Estadística y de fuentes administrativas se publica en el Portal de Estadísticas Oficiales en </w:t>
      </w:r>
      <w:r w:rsidRPr="00031AFB">
        <w:rPr>
          <w:lang w:val="es-ES_tradnl"/>
        </w:rPr>
        <w:lastRenderedPageBreak/>
        <w:t>forma de cuadros temáticos</w:t>
      </w:r>
      <w:r w:rsidRPr="00031AFB">
        <w:rPr>
          <w:sz w:val="18"/>
          <w:szCs w:val="18"/>
          <w:vertAlign w:val="superscript"/>
          <w:lang w:val="es-ES_tradnl"/>
        </w:rPr>
        <w:footnoteReference w:id="27"/>
      </w:r>
      <w:r w:rsidRPr="00031AFB">
        <w:rPr>
          <w:lang w:val="es-ES_tradnl"/>
        </w:rPr>
        <w:t xml:space="preserve"> y en la base de datos de indicadores</w:t>
      </w:r>
      <w:r w:rsidRPr="00031AFB">
        <w:rPr>
          <w:sz w:val="18"/>
          <w:szCs w:val="18"/>
          <w:vertAlign w:val="superscript"/>
          <w:lang w:val="es-ES_tradnl"/>
        </w:rPr>
        <w:footnoteReference w:id="28"/>
      </w:r>
      <w:r w:rsidRPr="00031AFB">
        <w:rPr>
          <w:lang w:val="es-ES_tradnl"/>
        </w:rPr>
        <w:t>, siguiendo el calendario de ese Portal para 2023.</w:t>
      </w:r>
    </w:p>
    <w:p w14:paraId="5ACAC254" w14:textId="7F68796C" w:rsidR="00031AFB" w:rsidRPr="00031AFB" w:rsidRDefault="00717542" w:rsidP="00717542">
      <w:pPr>
        <w:pStyle w:val="H23G"/>
        <w:rPr>
          <w:lang w:val="es-ES_tradnl"/>
        </w:rPr>
      </w:pPr>
      <w:bookmarkStart w:id="34" w:name="_Hlk144495162"/>
      <w:bookmarkEnd w:id="33"/>
      <w:r>
        <w:rPr>
          <w:lang w:val="es-ES_tradnl"/>
        </w:rPr>
        <w:tab/>
      </w:r>
      <w:r w:rsidR="00031AFB" w:rsidRPr="00031AFB">
        <w:rPr>
          <w:lang w:val="es-ES_tradnl"/>
        </w:rPr>
        <w:tab/>
        <w:t xml:space="preserve">Respuesta al párrafo 29 </w:t>
      </w:r>
    </w:p>
    <w:p w14:paraId="2F8DF1B3" w14:textId="77777777" w:rsidR="00031AFB" w:rsidRPr="00031AFB" w:rsidRDefault="00031AFB" w:rsidP="00031AFB">
      <w:pPr>
        <w:pStyle w:val="SingleTxtG"/>
        <w:rPr>
          <w:lang w:val="es-ES_tradnl"/>
        </w:rPr>
      </w:pPr>
      <w:r w:rsidRPr="00031AFB">
        <w:rPr>
          <w:lang w:val="es-ES_tradnl"/>
        </w:rPr>
        <w:t>162.</w:t>
      </w:r>
      <w:r w:rsidRPr="00031AFB">
        <w:rPr>
          <w:lang w:val="es-ES_tradnl"/>
        </w:rPr>
        <w:tab/>
        <w:t>El Ministerio de Relaciones Exteriores de Lituania participa activamente en la promoción y presentación de resoluciones ante organizaciones internacionales en relación con los derechos de las personas con discapacidad. Lituania fue elegida miembro del Consejo de Derechos Humanos de las Naciones Unidas para el mandato de 2022 a 2024, y ha priorizado los derechos de las personas con discapacidad. Lituania organizó, junto con otros países, actos durante los períodos de sesiones 50º y 53º para abordar el cambio climático, los derechos de las personas con discapacidad y la información accesible.</w:t>
      </w:r>
    </w:p>
    <w:p w14:paraId="737E2A0E" w14:textId="77777777" w:rsidR="00031AFB" w:rsidRPr="00031AFB" w:rsidRDefault="00031AFB" w:rsidP="00031AFB">
      <w:pPr>
        <w:pStyle w:val="SingleTxtG"/>
        <w:rPr>
          <w:lang w:val="es-ES_tradnl"/>
        </w:rPr>
      </w:pPr>
      <w:r w:rsidRPr="00031AFB">
        <w:rPr>
          <w:lang w:val="es-ES_tradnl"/>
        </w:rPr>
        <w:t>163.</w:t>
      </w:r>
      <w:r w:rsidRPr="00031AFB">
        <w:rPr>
          <w:lang w:val="es-ES_tradnl"/>
        </w:rPr>
        <w:tab/>
        <w:t>El Ministerio de Relaciones Exteriores participa en la organización del Foro Nacional de Derechos Humanos, que se celebra anualmente desde 2018 con motivo del Día Internacional de los Derechos Humanos. El foro se centra en garantizar los derechos de las personas con discapacidad. Por ejemplo, en el foro de 2021 se abordaron las experiencias de las madres con discapacidad.</w:t>
      </w:r>
    </w:p>
    <w:p w14:paraId="4A20469C" w14:textId="77777777" w:rsidR="00031AFB" w:rsidRPr="00031AFB" w:rsidRDefault="00031AFB" w:rsidP="00031AFB">
      <w:pPr>
        <w:pStyle w:val="SingleTxtG"/>
        <w:rPr>
          <w:lang w:val="es-ES_tradnl"/>
        </w:rPr>
      </w:pPr>
      <w:r w:rsidRPr="00031AFB">
        <w:rPr>
          <w:lang w:val="es-ES_tradnl"/>
        </w:rPr>
        <w:t>164.</w:t>
      </w:r>
      <w:r w:rsidRPr="00031AFB">
        <w:rPr>
          <w:lang w:val="es-ES_tradnl"/>
        </w:rPr>
        <w:tab/>
        <w:t>Las necesidades de las personas con discapacidad se tienen en cuenta en la cooperación para el desarrollo y la ayuda humanitaria. En 2023 se ha abierto el plazo de presentación de solicitudes para un proyecto cuyo objetivo es crear y poner en marcha servicios integrales de rehabilitación psicosocial y física que respondan a las necesidades de las personas afectadas por la guerra de Rusia contra Ucrania.</w:t>
      </w:r>
    </w:p>
    <w:p w14:paraId="53419B53" w14:textId="77777777" w:rsidR="00031AFB" w:rsidRPr="00031AFB" w:rsidRDefault="00031AFB" w:rsidP="00031AFB">
      <w:pPr>
        <w:pStyle w:val="SingleTxtG"/>
        <w:rPr>
          <w:lang w:val="es-ES_tradnl"/>
        </w:rPr>
      </w:pPr>
      <w:r w:rsidRPr="00031AFB">
        <w:rPr>
          <w:lang w:val="es-ES_tradnl"/>
        </w:rPr>
        <w:t>165.</w:t>
      </w:r>
      <w:r w:rsidRPr="00031AFB">
        <w:rPr>
          <w:lang w:val="es-ES_tradnl"/>
        </w:rPr>
        <w:tab/>
        <w:t xml:space="preserve">Lituania proporciona asistencia sanitaria y social, así como alojamiento, a los refugiados con discapacidad procedentes de Ucrania. Se ofrece protección y ayudas sociales temporales a las personas que llegan a Lituania. El país ha destinado unos 400 millones de euros a la acogida de refugiados ucranianos. </w:t>
      </w:r>
    </w:p>
    <w:bookmarkEnd w:id="34"/>
    <w:p w14:paraId="16F09207" w14:textId="48C7E652" w:rsidR="00031AFB" w:rsidRPr="00031AFB" w:rsidRDefault="00031AFB" w:rsidP="00717542">
      <w:pPr>
        <w:pStyle w:val="H23G"/>
        <w:rPr>
          <w:lang w:val="es-ES_tradnl"/>
        </w:rPr>
      </w:pPr>
      <w:r w:rsidRPr="00031AFB">
        <w:rPr>
          <w:lang w:val="es-ES_tradnl"/>
        </w:rPr>
        <w:tab/>
      </w:r>
      <w:r w:rsidR="00717542">
        <w:rPr>
          <w:lang w:val="es-ES_tradnl"/>
        </w:rPr>
        <w:tab/>
      </w:r>
      <w:r w:rsidRPr="00031AFB">
        <w:rPr>
          <w:lang w:val="es-ES_tradnl"/>
        </w:rPr>
        <w:t xml:space="preserve">Respuesta al párrafo 30 a) </w:t>
      </w:r>
    </w:p>
    <w:p w14:paraId="261EC5F9" w14:textId="77777777" w:rsidR="00031AFB" w:rsidRPr="00031AFB" w:rsidRDefault="00031AFB" w:rsidP="00031AFB">
      <w:pPr>
        <w:pStyle w:val="SingleTxtG"/>
        <w:rPr>
          <w:lang w:val="es-ES_tradnl"/>
        </w:rPr>
      </w:pPr>
      <w:r w:rsidRPr="00031AFB">
        <w:rPr>
          <w:lang w:val="es-ES_tradnl"/>
        </w:rPr>
        <w:t>166.</w:t>
      </w:r>
      <w:r w:rsidRPr="00031AFB">
        <w:rPr>
          <w:lang w:val="es-ES_tradnl"/>
        </w:rPr>
        <w:tab/>
        <w:t>La aplicación de la Convención es responsabilidad de diversos ministerios e instituciones de Lituania. A partir de 2024, las administraciones locales asumirán la coordinación de las cuestiones relacionadas con las personas con discapacidad. El objetivo es garantizar la aplicación de las políticas de integración social y el respeto de los derechos de las personas con discapacidad, tal y como se establece en los instrumentos jurídicos nacionales, internacionales y de la Unión Europea. Esta labor se financiará con cargo a los presupuestos locales y nacionales.</w:t>
      </w:r>
    </w:p>
    <w:p w14:paraId="059DBA7A" w14:textId="77777777" w:rsidR="00031AFB" w:rsidRPr="00031AFB" w:rsidRDefault="00031AFB" w:rsidP="00031AFB">
      <w:pPr>
        <w:pStyle w:val="SingleTxtG"/>
        <w:rPr>
          <w:lang w:val="es-ES_tradnl"/>
        </w:rPr>
      </w:pPr>
      <w:r w:rsidRPr="00031AFB">
        <w:rPr>
          <w:lang w:val="es-ES_tradnl"/>
        </w:rPr>
        <w:t>167.</w:t>
      </w:r>
      <w:r w:rsidRPr="00031AFB">
        <w:rPr>
          <w:lang w:val="es-ES_tradnl"/>
        </w:rPr>
        <w:tab/>
        <w:t>El Departamento de Asuntos de las Personas con Discapacidad colabora con asociaciones de personas con discapacidad y coordina la ejecución de políticas y proyectos relacionados con la integración social de las personas con discapacidad. También supervisa los resultados de las actividades de integración social y participa en la elaboración de informes sobre la aplicación de la Convención.</w:t>
      </w:r>
    </w:p>
    <w:p w14:paraId="0F0785B5" w14:textId="31F25A99" w:rsidR="00031AFB" w:rsidRPr="00031AFB" w:rsidRDefault="00717542" w:rsidP="00717542">
      <w:pPr>
        <w:pStyle w:val="H23G"/>
        <w:rPr>
          <w:lang w:val="es-ES_tradnl"/>
        </w:rPr>
      </w:pPr>
      <w:r>
        <w:rPr>
          <w:lang w:val="es-ES_tradnl"/>
        </w:rPr>
        <w:tab/>
      </w:r>
      <w:r w:rsidR="00031AFB" w:rsidRPr="00031AFB">
        <w:rPr>
          <w:lang w:val="es-ES_tradnl"/>
        </w:rPr>
        <w:tab/>
        <w:t>Respuesta al párrafo 30 b)</w:t>
      </w:r>
    </w:p>
    <w:p w14:paraId="2EA12AC0" w14:textId="77777777" w:rsidR="00031AFB" w:rsidRPr="00031AFB" w:rsidRDefault="00031AFB" w:rsidP="00031AFB">
      <w:pPr>
        <w:pStyle w:val="SingleTxtG"/>
        <w:rPr>
          <w:lang w:val="es-ES_tradnl"/>
        </w:rPr>
      </w:pPr>
      <w:r w:rsidRPr="00031AFB">
        <w:rPr>
          <w:lang w:val="es-ES_tradnl"/>
        </w:rPr>
        <w:t>168.</w:t>
      </w:r>
      <w:r w:rsidRPr="00031AFB">
        <w:rPr>
          <w:lang w:val="es-ES_tradnl"/>
        </w:rPr>
        <w:tab/>
        <w:t>La Comisión para el Seguimiento de los Derechos de las Personas con Discapacidad, dependiente de la Defensoría de Igualdad de Oportunidades, se encarga de la aplicación de las disposiciones de la Convención</w:t>
      </w:r>
      <w:r w:rsidRPr="00031AFB">
        <w:rPr>
          <w:sz w:val="18"/>
          <w:szCs w:val="18"/>
          <w:vertAlign w:val="superscript"/>
          <w:lang w:val="es-ES_tradnl"/>
        </w:rPr>
        <w:footnoteReference w:id="29"/>
      </w:r>
      <w:r w:rsidRPr="00031AFB">
        <w:rPr>
          <w:lang w:val="es-ES_tradnl"/>
        </w:rPr>
        <w:t>. En 2022 se destinaron 8.785 euros a las actividades de la Comisión, y en 2023, 18.400 euros.</w:t>
      </w:r>
    </w:p>
    <w:p w14:paraId="77F1D1DA" w14:textId="77777777" w:rsidR="00031AFB" w:rsidRPr="00031AFB" w:rsidRDefault="00031AFB" w:rsidP="00031AFB">
      <w:pPr>
        <w:pStyle w:val="SingleTxtG"/>
        <w:rPr>
          <w:lang w:val="es-ES_tradnl"/>
        </w:rPr>
      </w:pPr>
      <w:r w:rsidRPr="00031AFB">
        <w:rPr>
          <w:lang w:val="es-ES_tradnl"/>
        </w:rPr>
        <w:t>169.</w:t>
      </w:r>
      <w:r w:rsidRPr="00031AFB">
        <w:rPr>
          <w:lang w:val="es-ES_tradnl"/>
        </w:rPr>
        <w:tab/>
        <w:t xml:space="preserve">En 2023, la Comisión presentó a las instituciones estatales de más alto nivel un informe sobre el seguimiento de las disposiciones de la Convención. La Comisión de Derechos Humanos de la República de Lituania ha iniciado un proceso de control parlamentario sobre la aplicación de las recomendaciones del informe. El informe se dio a </w:t>
      </w:r>
      <w:r w:rsidRPr="00031AFB">
        <w:rPr>
          <w:lang w:val="es-ES_tradnl"/>
        </w:rPr>
        <w:lastRenderedPageBreak/>
        <w:t>conocer públicamente, se tradujo a un lenguaje fácil de comprender y al inglés, y se presentó ante el Comité sobre los Derechos de las Personas con Discapacidad.</w:t>
      </w:r>
    </w:p>
    <w:p w14:paraId="130C8AB0" w14:textId="52C0B262" w:rsidR="00031AFB" w:rsidRPr="00031AFB" w:rsidRDefault="00031AFB" w:rsidP="00717542">
      <w:pPr>
        <w:pStyle w:val="H23G"/>
        <w:rPr>
          <w:lang w:val="es-ES_tradnl"/>
        </w:rPr>
      </w:pPr>
      <w:r w:rsidRPr="00031AFB">
        <w:rPr>
          <w:lang w:val="es-ES_tradnl"/>
        </w:rPr>
        <w:tab/>
      </w:r>
      <w:r w:rsidR="00717542">
        <w:rPr>
          <w:lang w:val="es-ES_tradnl"/>
        </w:rPr>
        <w:tab/>
      </w:r>
      <w:r w:rsidRPr="00031AFB">
        <w:rPr>
          <w:lang w:val="es-ES_tradnl"/>
        </w:rPr>
        <w:t xml:space="preserve">Respuesta al párrafo 30 c) </w:t>
      </w:r>
    </w:p>
    <w:p w14:paraId="63314A64" w14:textId="77777777" w:rsidR="00031AFB" w:rsidRDefault="00031AFB" w:rsidP="00717542">
      <w:pPr>
        <w:pStyle w:val="SingleTxtG"/>
        <w:rPr>
          <w:lang w:val="es-ES_tradnl"/>
        </w:rPr>
      </w:pPr>
      <w:r w:rsidRPr="00031AFB">
        <w:rPr>
          <w:lang w:val="es-ES_tradnl"/>
        </w:rPr>
        <w:t>170.</w:t>
      </w:r>
      <w:r w:rsidRPr="00031AFB">
        <w:rPr>
          <w:lang w:val="es-ES_tradnl"/>
        </w:rPr>
        <w:tab/>
        <w:t xml:space="preserve">El DAD, en colaboración con asociaciones relacionadas con la discapacidad, organiza la aplicación de la política de integración social de las personas con discapacidad y coordina la puesta en marcha de las medidas y proyectos correspondientes a dicha política. También supervisa los resultados y participa en la elaboración de informes de seguimiento sobre la aplicación de la Convención. El Consejo para los Asuntos de las Personas con Discapacidad, institución pública consultiva, examina las cuestiones relacionadas con la integración social de las personas con discapacidad, propone políticas, elabora proyectos de ley y realiza un seguimiento de la aplicación de la Convención y su Protocolo Facultativo. </w:t>
      </w:r>
      <w:bookmarkEnd w:id="18"/>
    </w:p>
    <w:p w14:paraId="6B8DC5B1" w14:textId="38E5FB08" w:rsidR="00717542" w:rsidRPr="00717542" w:rsidRDefault="00717542" w:rsidP="00717542">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717542" w:rsidRPr="00717542" w:rsidSect="00EF2A8B">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AD2C4" w14:textId="77777777" w:rsidR="00D83F6D" w:rsidRPr="0071316C" w:rsidRDefault="00D83F6D" w:rsidP="0071316C">
      <w:pPr>
        <w:pStyle w:val="Piedepgina"/>
      </w:pPr>
    </w:p>
  </w:endnote>
  <w:endnote w:type="continuationSeparator" w:id="0">
    <w:p w14:paraId="6B7E9B8B" w14:textId="77777777" w:rsidR="00D83F6D" w:rsidRPr="0071316C" w:rsidRDefault="00D83F6D"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269B4" w14:textId="74B915D4" w:rsidR="00EF2A8B" w:rsidRPr="00EF2A8B" w:rsidRDefault="00EF2A8B" w:rsidP="00EF2A8B">
    <w:pPr>
      <w:pStyle w:val="Piedepgina"/>
      <w:tabs>
        <w:tab w:val="right" w:pos="9638"/>
      </w:tabs>
    </w:pPr>
    <w:r w:rsidRPr="00EF2A8B">
      <w:rPr>
        <w:b/>
        <w:sz w:val="18"/>
      </w:rPr>
      <w:fldChar w:fldCharType="begin"/>
    </w:r>
    <w:r w:rsidRPr="00EF2A8B">
      <w:rPr>
        <w:b/>
        <w:sz w:val="18"/>
      </w:rPr>
      <w:instrText xml:space="preserve"> PAGE  \* MERGEFORMAT </w:instrText>
    </w:r>
    <w:r w:rsidRPr="00EF2A8B">
      <w:rPr>
        <w:b/>
        <w:sz w:val="18"/>
      </w:rPr>
      <w:fldChar w:fldCharType="separate"/>
    </w:r>
    <w:r w:rsidRPr="00EF2A8B">
      <w:rPr>
        <w:b/>
        <w:noProof/>
        <w:sz w:val="18"/>
      </w:rPr>
      <w:t>2</w:t>
    </w:r>
    <w:r w:rsidRPr="00EF2A8B">
      <w:rPr>
        <w:b/>
        <w:sz w:val="18"/>
      </w:rPr>
      <w:fldChar w:fldCharType="end"/>
    </w:r>
    <w:r>
      <w:rPr>
        <w:b/>
        <w:sz w:val="18"/>
      </w:rPr>
      <w:tab/>
    </w:r>
    <w:r>
      <w:t>GE.25-20710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CAF08" w14:textId="47E76149" w:rsidR="00EF2A8B" w:rsidRPr="00EF2A8B" w:rsidRDefault="00EF2A8B" w:rsidP="00EF2A8B">
    <w:pPr>
      <w:pStyle w:val="Piedepgina"/>
      <w:tabs>
        <w:tab w:val="right" w:pos="9638"/>
      </w:tabs>
      <w:rPr>
        <w:b/>
        <w:sz w:val="18"/>
      </w:rPr>
    </w:pPr>
    <w:r>
      <w:t>GE.25-20710</w:t>
    </w:r>
    <w:r>
      <w:tab/>
    </w:r>
    <w:r w:rsidRPr="00EF2A8B">
      <w:rPr>
        <w:b/>
        <w:sz w:val="18"/>
      </w:rPr>
      <w:fldChar w:fldCharType="begin"/>
    </w:r>
    <w:r w:rsidRPr="00EF2A8B">
      <w:rPr>
        <w:b/>
        <w:sz w:val="18"/>
      </w:rPr>
      <w:instrText xml:space="preserve"> PAGE  \* MERGEFORMAT </w:instrText>
    </w:r>
    <w:r w:rsidRPr="00EF2A8B">
      <w:rPr>
        <w:b/>
        <w:sz w:val="18"/>
      </w:rPr>
      <w:fldChar w:fldCharType="separate"/>
    </w:r>
    <w:r w:rsidRPr="00EF2A8B">
      <w:rPr>
        <w:b/>
        <w:noProof/>
        <w:sz w:val="18"/>
      </w:rPr>
      <w:t>3</w:t>
    </w:r>
    <w:r w:rsidRPr="00EF2A8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4AC9A" w14:textId="5B3809D1" w:rsidR="00763AC2" w:rsidRPr="00EF2A8B" w:rsidRDefault="00EF2A8B" w:rsidP="00EF2A8B">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257538E4" wp14:editId="0EC50153">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25-20710  (S)</w:t>
    </w:r>
    <w:r>
      <w:rPr>
        <w:noProof/>
        <w:sz w:val="20"/>
      </w:rPr>
      <w:drawing>
        <wp:anchor distT="0" distB="0" distL="114300" distR="114300" simplePos="0" relativeHeight="251658752" behindDoc="0" locked="0" layoutInCell="1" allowOverlap="1" wp14:anchorId="2203512E" wp14:editId="251B3955">
          <wp:simplePos x="0" y="0"/>
          <wp:positionH relativeFrom="margin">
            <wp:posOffset>5489575</wp:posOffset>
          </wp:positionH>
          <wp:positionV relativeFrom="margin">
            <wp:posOffset>8891905</wp:posOffset>
          </wp:positionV>
          <wp:extent cx="628650" cy="628650"/>
          <wp:effectExtent l="0" t="0" r="0" b="0"/>
          <wp:wrapNone/>
          <wp:docPr id="5440263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230626    230626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AB229" w14:textId="77777777" w:rsidR="00D83F6D" w:rsidRPr="001075E9" w:rsidRDefault="00D83F6D" w:rsidP="001075E9">
      <w:pPr>
        <w:tabs>
          <w:tab w:val="right" w:pos="2155"/>
        </w:tabs>
        <w:spacing w:after="80" w:line="240" w:lineRule="auto"/>
        <w:ind w:left="680"/>
        <w:rPr>
          <w:u w:val="single"/>
        </w:rPr>
      </w:pPr>
      <w:r>
        <w:rPr>
          <w:u w:val="single"/>
        </w:rPr>
        <w:tab/>
      </w:r>
    </w:p>
  </w:footnote>
  <w:footnote w:type="continuationSeparator" w:id="0">
    <w:p w14:paraId="24932017" w14:textId="77777777" w:rsidR="00D83F6D" w:rsidRDefault="00D83F6D" w:rsidP="0071316C">
      <w:pPr>
        <w:tabs>
          <w:tab w:val="right" w:pos="2155"/>
        </w:tabs>
        <w:spacing w:after="80" w:line="240" w:lineRule="auto"/>
        <w:ind w:left="680"/>
        <w:rPr>
          <w:u w:val="single"/>
        </w:rPr>
      </w:pPr>
      <w:r>
        <w:rPr>
          <w:u w:val="single"/>
        </w:rPr>
        <w:tab/>
      </w:r>
    </w:p>
  </w:footnote>
  <w:footnote w:id="1">
    <w:p w14:paraId="51B3CF85" w14:textId="77777777" w:rsidR="00031AFB" w:rsidRPr="00B5311D" w:rsidRDefault="00031AFB" w:rsidP="00031AFB">
      <w:pPr>
        <w:pStyle w:val="Textonotapie"/>
        <w:rPr>
          <w:rStyle w:val="Refdenotaalpie"/>
          <w:vertAlign w:val="baseline"/>
        </w:rPr>
      </w:pPr>
      <w:r w:rsidRPr="00B5311D">
        <w:tab/>
      </w:r>
      <w:r w:rsidRPr="00717542">
        <w:rPr>
          <w:sz w:val="20"/>
          <w:szCs w:val="22"/>
        </w:rPr>
        <w:t>*</w:t>
      </w:r>
      <w:r w:rsidRPr="00B5311D">
        <w:tab/>
        <w:t>La versión original del presente documento no fue objeto de revisión editorial oficial.</w:t>
      </w:r>
    </w:p>
  </w:footnote>
  <w:footnote w:id="2">
    <w:p w14:paraId="7A2CFF6C" w14:textId="77777777" w:rsidR="00031AFB" w:rsidRPr="00B5311D" w:rsidRDefault="00031AFB" w:rsidP="00031AFB">
      <w:pPr>
        <w:pStyle w:val="Textonotapie"/>
        <w:rPr>
          <w:rStyle w:val="Refdenotaalpie"/>
          <w:vertAlign w:val="baseline"/>
        </w:rPr>
      </w:pPr>
      <w:r w:rsidRPr="00B5311D">
        <w:tab/>
      </w:r>
      <w:r w:rsidRPr="00717542">
        <w:rPr>
          <w:sz w:val="20"/>
          <w:szCs w:val="22"/>
        </w:rPr>
        <w:t>**</w:t>
      </w:r>
      <w:r w:rsidRPr="00B5311D">
        <w:tab/>
        <w:t>Los anexos del presente documento pueden consultarse en la página web del Comité.</w:t>
      </w:r>
    </w:p>
  </w:footnote>
  <w:footnote w:id="3">
    <w:p w14:paraId="2B4FD7D5" w14:textId="77777777" w:rsidR="00031AFB" w:rsidRPr="00B5311D" w:rsidRDefault="00031AFB" w:rsidP="00031AFB">
      <w:pPr>
        <w:pStyle w:val="Textonotapie"/>
      </w:pPr>
      <w:r w:rsidRPr="00B5311D">
        <w:tab/>
      </w:r>
      <w:r w:rsidRPr="00031AFB">
        <w:rPr>
          <w:rStyle w:val="Refdenotaalpie"/>
        </w:rPr>
        <w:footnoteRef/>
      </w:r>
      <w:r w:rsidRPr="00B5311D">
        <w:tab/>
        <w:t>Entrará en vigor el 1 de enero de 2024 (el artículo 3, párrafo 3, de la ley entró en vigor el 5 de enero de 2023).</w:t>
      </w:r>
    </w:p>
  </w:footnote>
  <w:footnote w:id="4">
    <w:p w14:paraId="3117DB20" w14:textId="77777777" w:rsidR="00031AFB" w:rsidRPr="00B5311D" w:rsidRDefault="00031AFB" w:rsidP="00031AFB">
      <w:pPr>
        <w:pStyle w:val="Textonotapie"/>
      </w:pPr>
      <w:r w:rsidRPr="00B5311D">
        <w:tab/>
      </w:r>
      <w:r w:rsidRPr="00031AFB">
        <w:rPr>
          <w:rStyle w:val="Refdenotaalpie"/>
        </w:rPr>
        <w:footnoteRef/>
      </w:r>
      <w:r w:rsidRPr="00B5311D">
        <w:tab/>
        <w:t xml:space="preserve">Se denomina Consejo para el Bienestar de las Personas con Discapacidad desde 2024. </w:t>
      </w:r>
    </w:p>
  </w:footnote>
  <w:footnote w:id="5">
    <w:p w14:paraId="7B3E1ECE" w14:textId="77777777" w:rsidR="00031AFB" w:rsidRPr="00B5311D" w:rsidRDefault="00031AFB" w:rsidP="00031AFB">
      <w:pPr>
        <w:pStyle w:val="Textonotapie"/>
      </w:pPr>
      <w:r w:rsidRPr="00B5311D">
        <w:tab/>
      </w:r>
      <w:r w:rsidRPr="00031AFB">
        <w:rPr>
          <w:rStyle w:val="Refdenotaalpie"/>
        </w:rPr>
        <w:footnoteRef/>
      </w:r>
      <w:r w:rsidRPr="00B5311D">
        <w:tab/>
        <w:t>Anteriormente no era obligatorio.</w:t>
      </w:r>
    </w:p>
  </w:footnote>
  <w:footnote w:id="6">
    <w:p w14:paraId="1930D048" w14:textId="77777777" w:rsidR="00031AFB" w:rsidRPr="00B5311D" w:rsidRDefault="00031AFB" w:rsidP="00031AFB">
      <w:pPr>
        <w:pStyle w:val="Textonotapie"/>
      </w:pPr>
      <w:r w:rsidRPr="00B5311D">
        <w:tab/>
      </w:r>
      <w:r w:rsidRPr="00031AFB">
        <w:rPr>
          <w:rStyle w:val="Refdenotaalpie"/>
        </w:rPr>
        <w:footnoteRef/>
      </w:r>
      <w:r w:rsidRPr="00B5311D">
        <w:tab/>
        <w:t>Directiva (UE) 2019/882 del Parlamento Europeo y del Consejo, de 17 de abril de 2019, sobre los requisitos de accesibilidad de los productos y servicios.</w:t>
      </w:r>
    </w:p>
  </w:footnote>
  <w:footnote w:id="7">
    <w:p w14:paraId="00B30EFC" w14:textId="77777777" w:rsidR="00031AFB" w:rsidRPr="00B5311D" w:rsidRDefault="00031AFB" w:rsidP="00031AFB">
      <w:pPr>
        <w:pStyle w:val="Textonotapie"/>
      </w:pPr>
      <w:r w:rsidRPr="00B5311D">
        <w:tab/>
      </w:r>
      <w:r w:rsidRPr="00031AFB">
        <w:rPr>
          <w:rStyle w:val="Refdenotaalpie"/>
        </w:rPr>
        <w:footnoteRef/>
      </w:r>
      <w:r w:rsidRPr="00B5311D">
        <w:tab/>
        <w:t>Art. 6.245, párr. 1, y art. 2.263, párr. 2, del Código Civil.</w:t>
      </w:r>
    </w:p>
  </w:footnote>
  <w:footnote w:id="8">
    <w:p w14:paraId="70528F31" w14:textId="3A8E0FE4" w:rsidR="00031AFB" w:rsidRPr="00B5311D" w:rsidRDefault="00031AFB" w:rsidP="00031AFB">
      <w:pPr>
        <w:pStyle w:val="Textonotapie"/>
      </w:pPr>
      <w:r w:rsidRPr="00B5311D">
        <w:tab/>
      </w:r>
      <w:r w:rsidRPr="00031AFB">
        <w:rPr>
          <w:rStyle w:val="Refdenotaalpie"/>
        </w:rPr>
        <w:footnoteRef/>
      </w:r>
      <w:r w:rsidRPr="00B5311D">
        <w:tab/>
        <w:t>Sentencia del Tribunal Supremo de Lituania, de 26 de octubre de 2015, correspondiente al asunto núm. 3K-7-328-248/2015.</w:t>
      </w:r>
    </w:p>
  </w:footnote>
  <w:footnote w:id="9">
    <w:p w14:paraId="2A4C4D1B" w14:textId="77777777" w:rsidR="00031AFB" w:rsidRPr="00B5311D" w:rsidRDefault="00031AFB" w:rsidP="00031AFB">
      <w:pPr>
        <w:pStyle w:val="Textonotapie"/>
      </w:pPr>
      <w:r w:rsidRPr="00B5311D">
        <w:tab/>
      </w:r>
      <w:r w:rsidRPr="00031AFB">
        <w:rPr>
          <w:rStyle w:val="Refdenotaalpie"/>
        </w:rPr>
        <w:footnoteRef/>
      </w:r>
      <w:r w:rsidRPr="00B5311D">
        <w:tab/>
        <w:t>Se trata de las siguientes medidas: 1) Medida núm. 09-005-02-06-01: Garantizar la accesibilidad de las infraestructuras físicas para las personas con discapacidad; 2) Medida núm. 09-005-02-06-04: Garantizar la adaptación de la información y de las infraestructuras de información a las necesidades de las personas con discapacidad; 3) Medida núm. 09-005-02-06-07: Fomentar la adaptación de los servicios y productos a las necesidades de las personas con discapacidad.</w:t>
      </w:r>
    </w:p>
  </w:footnote>
  <w:footnote w:id="10">
    <w:p w14:paraId="4C36BF07" w14:textId="77777777" w:rsidR="00031AFB" w:rsidRPr="00B5311D" w:rsidRDefault="00031AFB" w:rsidP="00031AFB">
      <w:pPr>
        <w:pStyle w:val="Textonotapie"/>
      </w:pPr>
      <w:r w:rsidRPr="00B5311D">
        <w:tab/>
      </w:r>
      <w:r w:rsidRPr="00031AFB">
        <w:rPr>
          <w:rStyle w:val="Refdenotaalpie"/>
        </w:rPr>
        <w:footnoteRef/>
      </w:r>
      <w:r w:rsidRPr="00B5311D">
        <w:tab/>
        <w:t>Se han renovado 124 escuelas, con una asignación de 52,3 millones de euros a tal fin; 41 centros de educación infantil, con una asignación de 21,4 millones de euros; y 46 centros de formación profesional, con una asignación de 64,6 millones de euros.</w:t>
      </w:r>
    </w:p>
  </w:footnote>
  <w:footnote w:id="11">
    <w:p w14:paraId="6B4B4E8D" w14:textId="6FE5CC55" w:rsidR="00031AFB" w:rsidRPr="00B5311D" w:rsidRDefault="00031AFB" w:rsidP="00031AFB">
      <w:pPr>
        <w:pStyle w:val="Textonotapie"/>
      </w:pPr>
      <w:r w:rsidRPr="00B5311D">
        <w:tab/>
      </w:r>
      <w:r w:rsidRPr="00031AFB">
        <w:rPr>
          <w:rStyle w:val="Refdenotaalpie"/>
        </w:rPr>
        <w:footnoteRef/>
      </w:r>
      <w:r w:rsidRPr="00B5311D">
        <w:tab/>
        <w:t xml:space="preserve">De conformidad con las directrices de la Medida de Progreso Regional núm. 12-003-03-01-23 (RE), </w:t>
      </w:r>
      <w:r w:rsidR="00640CEA">
        <w:t>“</w:t>
      </w:r>
      <w:r w:rsidRPr="00B5311D">
        <w:t>Mejora del acceso de los niños desfavorecidos a la educación</w:t>
      </w:r>
      <w:r w:rsidR="00640CEA">
        <w:t>”</w:t>
      </w:r>
      <w:r w:rsidRPr="00B5311D">
        <w:t>.</w:t>
      </w:r>
    </w:p>
  </w:footnote>
  <w:footnote w:id="12">
    <w:p w14:paraId="43115D5A" w14:textId="5C35FE98" w:rsidR="00031AFB" w:rsidRPr="00B5311D" w:rsidRDefault="00031AFB" w:rsidP="00031AFB">
      <w:pPr>
        <w:pStyle w:val="Textonotapie"/>
      </w:pPr>
      <w:r w:rsidRPr="00B5311D">
        <w:tab/>
      </w:r>
      <w:r w:rsidRPr="00031AFB">
        <w:rPr>
          <w:rStyle w:val="Refdenotaalpie"/>
        </w:rPr>
        <w:footnoteRef/>
      </w:r>
      <w:r w:rsidRPr="00B5311D">
        <w:tab/>
      </w:r>
      <w:hyperlink r:id="rId1" w:history="1">
        <w:r w:rsidRPr="00717542">
          <w:rPr>
            <w:rStyle w:val="Hipervnculo"/>
          </w:rPr>
          <w:t>https://lt72.lt/?lang=en</w:t>
        </w:r>
      </w:hyperlink>
      <w:r w:rsidRPr="00B5311D">
        <w:t>.</w:t>
      </w:r>
      <w:hyperlink r:id="rId2" w:history="1"/>
    </w:p>
  </w:footnote>
  <w:footnote w:id="13">
    <w:p w14:paraId="0C370F5A" w14:textId="30F320B7" w:rsidR="00031AFB" w:rsidRPr="00B5311D" w:rsidRDefault="00031AFB" w:rsidP="00031AFB">
      <w:pPr>
        <w:pStyle w:val="Textonotapie"/>
      </w:pPr>
      <w:r w:rsidRPr="00B5311D">
        <w:tab/>
      </w:r>
      <w:r w:rsidRPr="00031AFB">
        <w:rPr>
          <w:rStyle w:val="Refdenotaalpie"/>
        </w:rPr>
        <w:footnoteRef/>
      </w:r>
      <w:r w:rsidRPr="00B5311D">
        <w:tab/>
      </w:r>
      <w:hyperlink r:id="rId3" w:history="1">
        <w:r w:rsidRPr="00717542">
          <w:rPr>
            <w:rStyle w:val="Hipervnculo"/>
          </w:rPr>
          <w:t>https://pktc.lt/</w:t>
        </w:r>
      </w:hyperlink>
      <w:r w:rsidRPr="00B5311D">
        <w:t xml:space="preserve">. </w:t>
      </w:r>
      <w:hyperlink r:id="rId4" w:history="1"/>
    </w:p>
  </w:footnote>
  <w:footnote w:id="14">
    <w:p w14:paraId="3754B860" w14:textId="77777777" w:rsidR="00031AFB" w:rsidRPr="00B5311D" w:rsidRDefault="00031AFB" w:rsidP="00031AFB">
      <w:pPr>
        <w:pStyle w:val="Textonotapie"/>
      </w:pPr>
      <w:r w:rsidRPr="00B5311D">
        <w:tab/>
      </w:r>
      <w:r w:rsidRPr="00031AFB">
        <w:rPr>
          <w:rStyle w:val="Refdenotaalpie"/>
        </w:rPr>
        <w:footnoteRef/>
      </w:r>
      <w:r w:rsidRPr="00B5311D">
        <w:tab/>
        <w:t>Orden núm. V-1004/A1-607, de 15 de septiembre de 2023, del Ministro de Salud de la República de Lituania y del Ministro de Trabajo y Seguridad Social de la República de Lituania, por la que se aprueba la descripción del procedimiento para evaluar el cumplimiento de las normas de derechos humanos en los servicios prestados por las instituciones de atención de salud mental y asistencia social, así como la supervisión y la prestación de asistencia metodológica.</w:t>
      </w:r>
    </w:p>
  </w:footnote>
  <w:footnote w:id="15">
    <w:p w14:paraId="48321C0F" w14:textId="70915DD8" w:rsidR="00031AFB" w:rsidRPr="00B5311D" w:rsidRDefault="00031AFB" w:rsidP="00031AFB">
      <w:pPr>
        <w:pStyle w:val="Textonotapie"/>
      </w:pPr>
      <w:r w:rsidRPr="00B5311D">
        <w:tab/>
      </w:r>
      <w:r w:rsidRPr="00031AFB">
        <w:rPr>
          <w:rStyle w:val="Refdenotaalpie"/>
        </w:rPr>
        <w:footnoteRef/>
      </w:r>
      <w:r w:rsidRPr="00B5311D">
        <w:tab/>
        <w:t>Orden núm. V-1452 del Ministro de Salud de la República de Lituania, de 20 de diciembre de 2016, por la que se aprueba la descripción del procedimiento para la prestación de servicios de reproducción asistida y su financiación con cargo al presupuesto del Fondo del Seguro de Salud Obligatorio. TAR,</w:t>
      </w:r>
      <w:r w:rsidR="00717542">
        <w:t> </w:t>
      </w:r>
      <w:r w:rsidRPr="00B5311D">
        <w:t>2016-29271.</w:t>
      </w:r>
    </w:p>
  </w:footnote>
  <w:footnote w:id="16">
    <w:p w14:paraId="456B357A" w14:textId="77777777" w:rsidR="00031AFB" w:rsidRPr="00B5311D" w:rsidRDefault="00031AFB" w:rsidP="00031AFB">
      <w:pPr>
        <w:pStyle w:val="Textonotapie"/>
      </w:pPr>
      <w:r w:rsidRPr="00B5311D">
        <w:tab/>
      </w:r>
      <w:r w:rsidRPr="00031AFB">
        <w:rPr>
          <w:rStyle w:val="Refdenotaalpie"/>
        </w:rPr>
        <w:footnoteRef/>
      </w:r>
      <w:r w:rsidRPr="00B5311D">
        <w:tab/>
        <w:t>Orden núm. 50 del Ministro de Salud de la República de Lituania, de 3 de enero de 1994, sobre la aprobación de la descripción del procedimiento para la organización y la prestación de servicios de aborto.</w:t>
      </w:r>
    </w:p>
  </w:footnote>
  <w:footnote w:id="17">
    <w:p w14:paraId="3CEF74D8" w14:textId="77777777" w:rsidR="00031AFB" w:rsidRPr="00B5311D" w:rsidRDefault="00031AFB" w:rsidP="00031AFB">
      <w:pPr>
        <w:pStyle w:val="Textonotapie"/>
      </w:pPr>
      <w:r w:rsidRPr="00B5311D">
        <w:tab/>
      </w:r>
      <w:r w:rsidRPr="00031AFB">
        <w:rPr>
          <w:rStyle w:val="Refdenotaalpie"/>
        </w:rPr>
        <w:footnoteRef/>
      </w:r>
      <w:r w:rsidRPr="00B5311D">
        <w:tab/>
        <w:t>Orden núm. 49 del Ministro de Salud de la República de Lituania, de 28 de enero de 2000, sobre la aprobación de las listas de medicamentos reembolsables.</w:t>
      </w:r>
    </w:p>
  </w:footnote>
  <w:footnote w:id="18">
    <w:p w14:paraId="49624F0C" w14:textId="77777777" w:rsidR="00031AFB" w:rsidRPr="00B5311D" w:rsidRDefault="00031AFB" w:rsidP="00031AFB">
      <w:pPr>
        <w:pStyle w:val="Textonotapie"/>
      </w:pPr>
      <w:r w:rsidRPr="00B5311D">
        <w:tab/>
      </w:r>
      <w:r w:rsidRPr="00031AFB">
        <w:rPr>
          <w:rStyle w:val="Refdenotaalpie"/>
        </w:rPr>
        <w:footnoteRef/>
      </w:r>
      <w:r w:rsidRPr="00B5311D">
        <w:tab/>
        <w:t>Orden núm. V-1765 del Ministro de Salud de la República de Lituania, de 30 de julio de 2021, sobre la aprobación de la descripción del procedimiento para la prestación de servicios de atención sanitaria para las mujeres que puedan haber sido objeto de violencia sexual.</w:t>
      </w:r>
    </w:p>
  </w:footnote>
  <w:footnote w:id="19">
    <w:p w14:paraId="5B7F4B43" w14:textId="77777777" w:rsidR="00031AFB" w:rsidRPr="00B5311D" w:rsidRDefault="00031AFB" w:rsidP="00031AFB">
      <w:pPr>
        <w:pStyle w:val="Textonotapie"/>
      </w:pPr>
      <w:r w:rsidRPr="00B5311D">
        <w:tab/>
      </w:r>
      <w:r w:rsidRPr="00031AFB">
        <w:rPr>
          <w:rStyle w:val="Refdenotaalpie"/>
        </w:rPr>
        <w:footnoteRef/>
      </w:r>
      <w:r w:rsidRPr="00B5311D">
        <w:tab/>
        <w:t>Estos servicios se prestan de conformidad con la Orden núm. V-900 del Ministro de Salud de la República de Lituania, de 23 de septiembre de 2013, sobre la aprobación de la descripción del procedimiento de atención de la salud para las mujeres gestantes y puérperas y los niños recién nacidos.</w:t>
      </w:r>
    </w:p>
  </w:footnote>
  <w:footnote w:id="20">
    <w:p w14:paraId="3D772341" w14:textId="77777777" w:rsidR="00031AFB" w:rsidRPr="00B5311D" w:rsidRDefault="00031AFB" w:rsidP="00031AFB">
      <w:pPr>
        <w:pStyle w:val="Textonotapie"/>
      </w:pPr>
      <w:r w:rsidRPr="00B5311D">
        <w:tab/>
      </w:r>
      <w:r w:rsidRPr="00031AFB">
        <w:rPr>
          <w:rStyle w:val="Refdenotaalpie"/>
        </w:rPr>
        <w:footnoteRef/>
      </w:r>
      <w:r w:rsidRPr="00B5311D">
        <w:tab/>
        <w:t>Orden núm. V-1607 del Ministro de Salud de la República de Lituania, de 27 de octubre de 2022, sobre la aprobación de la descripción del procedimiento para la organización del servicio de cesáreas para mujeres embarazadas previa solicitud de estas.</w:t>
      </w:r>
      <w:bookmarkStart w:id="27" w:name="_Hlk148282691"/>
      <w:bookmarkEnd w:id="27"/>
    </w:p>
  </w:footnote>
  <w:footnote w:id="21">
    <w:p w14:paraId="1E904D41" w14:textId="77777777" w:rsidR="00031AFB" w:rsidRPr="00B5311D" w:rsidRDefault="00031AFB" w:rsidP="00031AFB">
      <w:pPr>
        <w:pStyle w:val="Textonotapie"/>
      </w:pPr>
      <w:r w:rsidRPr="00B5311D">
        <w:tab/>
      </w:r>
      <w:r w:rsidRPr="00031AFB">
        <w:rPr>
          <w:rStyle w:val="Refdenotaalpie"/>
        </w:rPr>
        <w:footnoteRef/>
      </w:r>
      <w:r w:rsidRPr="00B5311D">
        <w:tab/>
        <w:t>Orden núm.</w:t>
      </w:r>
      <w:r w:rsidRPr="00B5311D">
        <w:rPr>
          <w:b/>
          <w:bCs/>
        </w:rPr>
        <w:t xml:space="preserve"> </w:t>
      </w:r>
      <w:r w:rsidRPr="00B5311D">
        <w:t>V-1073 del Ministro de Salud de la República de Lituania, de 16 de diciembre de 2010, por la que se aprueba la descripción de los requisitos especiales para el servicio y la sala de urgencias de un centro de salud.</w:t>
      </w:r>
    </w:p>
  </w:footnote>
  <w:footnote w:id="22">
    <w:p w14:paraId="20F08BE2" w14:textId="77777777" w:rsidR="00031AFB" w:rsidRPr="00B5311D" w:rsidRDefault="00031AFB" w:rsidP="00031AFB">
      <w:pPr>
        <w:pStyle w:val="Textonotapie"/>
      </w:pPr>
      <w:r w:rsidRPr="00B5311D">
        <w:tab/>
      </w:r>
      <w:r w:rsidRPr="00031AFB">
        <w:rPr>
          <w:rStyle w:val="Refdenotaalpie"/>
        </w:rPr>
        <w:footnoteRef/>
      </w:r>
      <w:r w:rsidRPr="00B5311D">
        <w:tab/>
        <w:t xml:space="preserve">Resolución núm. 583 del Gobierno de la República de Lituania, de 14 de junio de 2006, sobre la descripción del procedimiento de pago de los Servicios Sociales. </w:t>
      </w:r>
    </w:p>
  </w:footnote>
  <w:footnote w:id="23">
    <w:p w14:paraId="47332BB4" w14:textId="77777777" w:rsidR="00031AFB" w:rsidRPr="00B5311D" w:rsidRDefault="00031AFB" w:rsidP="00031AFB">
      <w:pPr>
        <w:pStyle w:val="Textonotapie"/>
      </w:pPr>
      <w:r w:rsidRPr="00B5311D">
        <w:tab/>
      </w:r>
      <w:r w:rsidRPr="00031AFB">
        <w:rPr>
          <w:rStyle w:val="Refdenotaalpie"/>
        </w:rPr>
        <w:footnoteRef/>
      </w:r>
      <w:r w:rsidRPr="00B5311D">
        <w:tab/>
        <w:t>Los representantes de la Unión de Personas con Discapacidad de Lituania participan en el Consejo de Turismo.</w:t>
      </w:r>
    </w:p>
  </w:footnote>
  <w:footnote w:id="24">
    <w:p w14:paraId="112060A0" w14:textId="67E73A32" w:rsidR="00031AFB" w:rsidRPr="00B5311D" w:rsidRDefault="00031AFB" w:rsidP="00031AFB">
      <w:pPr>
        <w:pStyle w:val="Textonotapie"/>
      </w:pPr>
      <w:r w:rsidRPr="00B5311D">
        <w:tab/>
      </w:r>
      <w:r w:rsidRPr="00031AFB">
        <w:rPr>
          <w:rStyle w:val="Refdenotaalpie"/>
        </w:rPr>
        <w:footnoteRef/>
      </w:r>
      <w:r w:rsidRPr="00B5311D">
        <w:tab/>
      </w:r>
      <w:hyperlink r:id="rId5" w:history="1">
        <w:r w:rsidRPr="00717542">
          <w:rPr>
            <w:rStyle w:val="Hipervnculo"/>
          </w:rPr>
          <w:t>https://www.labiblioteka.lt/en/services/62</w:t>
        </w:r>
      </w:hyperlink>
      <w:r w:rsidRPr="00B5311D">
        <w:t>.</w:t>
      </w:r>
      <w:hyperlink r:id="rId6" w:history="1"/>
    </w:p>
  </w:footnote>
  <w:footnote w:id="25">
    <w:p w14:paraId="22279180" w14:textId="2127655E" w:rsidR="00031AFB" w:rsidRPr="00B5311D" w:rsidRDefault="00031AFB" w:rsidP="00031AFB">
      <w:pPr>
        <w:pStyle w:val="Textonotapie"/>
      </w:pPr>
      <w:r w:rsidRPr="00B5311D">
        <w:tab/>
      </w:r>
      <w:r w:rsidRPr="00031AFB">
        <w:rPr>
          <w:rStyle w:val="Refdenotaalpie"/>
        </w:rPr>
        <w:footnoteRef/>
      </w:r>
      <w:r w:rsidRPr="00B5311D">
        <w:tab/>
      </w:r>
      <w:hyperlink r:id="rId7" w:history="1">
        <w:r w:rsidRPr="00717542">
          <w:rPr>
            <w:rStyle w:val="Hipervnculo"/>
          </w:rPr>
          <w:t>https://osp.stat.gov.lt/tarptautiniams-palyginimams-apie-asmenis-su-negalia</w:t>
        </w:r>
      </w:hyperlink>
      <w:r w:rsidRPr="00B5311D">
        <w:t>.</w:t>
      </w:r>
      <w:hyperlink r:id="rId8" w:history="1"/>
    </w:p>
  </w:footnote>
  <w:footnote w:id="26">
    <w:p w14:paraId="630597E4" w14:textId="77777777" w:rsidR="00031AFB" w:rsidRPr="00B5311D" w:rsidRDefault="00031AFB" w:rsidP="00031AFB">
      <w:pPr>
        <w:pStyle w:val="Textonotapie"/>
      </w:pPr>
      <w:r w:rsidRPr="00B5311D">
        <w:tab/>
      </w:r>
      <w:r w:rsidRPr="00031AFB">
        <w:rPr>
          <w:rStyle w:val="Refdenotaalpie"/>
        </w:rPr>
        <w:footnoteRef/>
      </w:r>
      <w:r w:rsidRPr="00B5311D">
        <w:tab/>
        <w:t>Portal de Estadísticas Oficiales.</w:t>
      </w:r>
      <w:hyperlink r:id="rId9" w:anchor="/" w:history="1"/>
    </w:p>
  </w:footnote>
  <w:footnote w:id="27">
    <w:p w14:paraId="68A0EF1A" w14:textId="7DE361D5" w:rsidR="00031AFB" w:rsidRPr="00B5311D" w:rsidRDefault="00031AFB" w:rsidP="00031AFB">
      <w:pPr>
        <w:pStyle w:val="Textonotapie"/>
      </w:pPr>
      <w:r w:rsidRPr="00B5311D">
        <w:tab/>
      </w:r>
      <w:r w:rsidRPr="00031AFB">
        <w:rPr>
          <w:rStyle w:val="Refdenotaalpie"/>
        </w:rPr>
        <w:footnoteRef/>
      </w:r>
      <w:r w:rsidRPr="00B5311D">
        <w:tab/>
      </w:r>
      <w:hyperlink r:id="rId10" w:history="1">
        <w:r w:rsidRPr="00717542">
          <w:rPr>
            <w:rStyle w:val="Hipervnculo"/>
          </w:rPr>
          <w:t>https://osp.stat.gov.lt/statistika-apie-asmenis-su-negalia-rengiama-igyvendinant-nacionalinius-teises-</w:t>
        </w:r>
        <w:r w:rsidRPr="00717542">
          <w:rPr>
            <w:rStyle w:val="Hipervnculo"/>
          </w:rPr>
          <w:tab/>
          <w:t>aktus</w:t>
        </w:r>
      </w:hyperlink>
      <w:r w:rsidRPr="00B5311D">
        <w:t>.</w:t>
      </w:r>
      <w:hyperlink r:id="rId11" w:history="1"/>
    </w:p>
  </w:footnote>
  <w:footnote w:id="28">
    <w:p w14:paraId="01019A28" w14:textId="78EB44BB" w:rsidR="00031AFB" w:rsidRPr="00B5311D" w:rsidRDefault="00031AFB" w:rsidP="00031AFB">
      <w:pPr>
        <w:pStyle w:val="Textonotapie"/>
      </w:pPr>
      <w:r w:rsidRPr="00B5311D">
        <w:tab/>
      </w:r>
      <w:r w:rsidRPr="00031AFB">
        <w:rPr>
          <w:rStyle w:val="Refdenotaalpie"/>
        </w:rPr>
        <w:footnoteRef/>
      </w:r>
      <w:r w:rsidRPr="00B5311D">
        <w:tab/>
      </w:r>
      <w:hyperlink r:id="rId12" w:history="1">
        <w:r w:rsidRPr="00717542">
          <w:rPr>
            <w:rStyle w:val="Hipervnculo"/>
          </w:rPr>
          <w:t>https://osp.stat.gov.lt/statistiniu-rodikliu-analize#/</w:t>
        </w:r>
      </w:hyperlink>
      <w:r w:rsidRPr="00B5311D">
        <w:t>.</w:t>
      </w:r>
    </w:p>
  </w:footnote>
  <w:footnote w:id="29">
    <w:p w14:paraId="35839E9D" w14:textId="68F94C4D" w:rsidR="00031AFB" w:rsidRPr="00B5311D" w:rsidRDefault="00031AFB" w:rsidP="00031AFB">
      <w:pPr>
        <w:pStyle w:val="Textonotapie"/>
      </w:pPr>
      <w:r w:rsidRPr="00B5311D">
        <w:tab/>
      </w:r>
      <w:r w:rsidRPr="00031AFB">
        <w:rPr>
          <w:rStyle w:val="Refdenotaalpie"/>
        </w:rPr>
        <w:footnoteRef/>
      </w:r>
      <w:r w:rsidRPr="00B5311D">
        <w:tab/>
      </w:r>
      <w:hyperlink r:id="rId13" w:history="1">
        <w:r w:rsidRPr="00717542">
          <w:rPr>
            <w:rStyle w:val="Hipervnculo"/>
          </w:rPr>
          <w:t>https://lygybe.lt/en/commission-for-the-monitoring-of-the-rights-of-persons-with-disabilities/</w:t>
        </w:r>
      </w:hyperlink>
      <w:r w:rsidRPr="00B5311D">
        <w:t>.</w:t>
      </w:r>
      <w:hyperlink r:id="rId1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B1398" w14:textId="0AFEECB5" w:rsidR="00EF2A8B" w:rsidRPr="00EF2A8B" w:rsidRDefault="00EF2A8B">
    <w:pPr>
      <w:pStyle w:val="Encabezado"/>
    </w:pPr>
    <w:fldSimple w:instr=" TITLE  \* MERGEFORMAT ">
      <w:r>
        <w:t>CRPD/C/LTU/RQ/2-3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01573" w14:textId="4DA34198" w:rsidR="00EF2A8B" w:rsidRPr="00EF2A8B" w:rsidRDefault="00EF2A8B" w:rsidP="00EF2A8B">
    <w:pPr>
      <w:pStyle w:val="Encabezado"/>
      <w:jc w:val="right"/>
    </w:pPr>
    <w:fldSimple w:instr=" TITLE  \* MERGEFORMAT ">
      <w:r>
        <w:t>CRPD/C/LTU/RQ/2-3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E40666B"/>
    <w:multiLevelType w:val="hybridMultilevel"/>
    <w:tmpl w:val="2C1459E8"/>
    <w:lvl w:ilvl="0" w:tplc="6CB2462C">
      <w:start w:val="1"/>
      <w:numFmt w:val="decimal"/>
      <w:lvlText w:val="%1."/>
      <w:lvlJc w:val="left"/>
      <w:pPr>
        <w:ind w:left="1854" w:hanging="360"/>
      </w:pPr>
      <w:rPr>
        <w:rFonts w:ascii="Times New Roman" w:hAnsi="Times New Roman" w:cs="Times New Roman" w:hint="default"/>
        <w:b w:val="0"/>
        <w:bCs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89342326">
    <w:abstractNumId w:val="24"/>
  </w:num>
  <w:num w:numId="2" w16cid:durableId="1373461197">
    <w:abstractNumId w:val="16"/>
  </w:num>
  <w:num w:numId="3" w16cid:durableId="462578175">
    <w:abstractNumId w:val="26"/>
  </w:num>
  <w:num w:numId="4" w16cid:durableId="625966954">
    <w:abstractNumId w:val="25"/>
  </w:num>
  <w:num w:numId="5" w16cid:durableId="1378578285">
    <w:abstractNumId w:val="21"/>
  </w:num>
  <w:num w:numId="6" w16cid:durableId="840779261">
    <w:abstractNumId w:val="8"/>
  </w:num>
  <w:num w:numId="7" w16cid:durableId="902108789">
    <w:abstractNumId w:val="3"/>
  </w:num>
  <w:num w:numId="8" w16cid:durableId="613170358">
    <w:abstractNumId w:val="2"/>
  </w:num>
  <w:num w:numId="9" w16cid:durableId="777287689">
    <w:abstractNumId w:val="1"/>
  </w:num>
  <w:num w:numId="10" w16cid:durableId="644890486">
    <w:abstractNumId w:val="0"/>
  </w:num>
  <w:num w:numId="11" w16cid:durableId="1307053858">
    <w:abstractNumId w:val="9"/>
  </w:num>
  <w:num w:numId="12" w16cid:durableId="1472865929">
    <w:abstractNumId w:val="7"/>
  </w:num>
  <w:num w:numId="13" w16cid:durableId="2133471838">
    <w:abstractNumId w:val="6"/>
  </w:num>
  <w:num w:numId="14" w16cid:durableId="768737311">
    <w:abstractNumId w:val="5"/>
  </w:num>
  <w:num w:numId="15" w16cid:durableId="224948517">
    <w:abstractNumId w:val="4"/>
  </w:num>
  <w:num w:numId="16" w16cid:durableId="520582605">
    <w:abstractNumId w:val="12"/>
  </w:num>
  <w:num w:numId="17" w16cid:durableId="226427395">
    <w:abstractNumId w:val="24"/>
  </w:num>
  <w:num w:numId="18" w16cid:durableId="1137452713">
    <w:abstractNumId w:val="16"/>
  </w:num>
  <w:num w:numId="19" w16cid:durableId="1535119192">
    <w:abstractNumId w:val="12"/>
  </w:num>
  <w:num w:numId="20" w16cid:durableId="2105417717">
    <w:abstractNumId w:val="26"/>
  </w:num>
  <w:num w:numId="21" w16cid:durableId="512040507">
    <w:abstractNumId w:val="25"/>
  </w:num>
  <w:num w:numId="22" w16cid:durableId="2020964879">
    <w:abstractNumId w:val="17"/>
  </w:num>
  <w:num w:numId="23" w16cid:durableId="1120413854">
    <w:abstractNumId w:val="17"/>
  </w:num>
  <w:num w:numId="24" w16cid:durableId="946229864">
    <w:abstractNumId w:val="21"/>
  </w:num>
  <w:num w:numId="25" w16cid:durableId="1283994663">
    <w:abstractNumId w:val="9"/>
  </w:num>
  <w:num w:numId="26" w16cid:durableId="1986156591">
    <w:abstractNumId w:val="7"/>
  </w:num>
  <w:num w:numId="27" w16cid:durableId="586426603">
    <w:abstractNumId w:val="6"/>
  </w:num>
  <w:num w:numId="28" w16cid:durableId="1586962183">
    <w:abstractNumId w:val="5"/>
  </w:num>
  <w:num w:numId="29" w16cid:durableId="140268543">
    <w:abstractNumId w:val="4"/>
  </w:num>
  <w:num w:numId="30" w16cid:durableId="1321038229">
    <w:abstractNumId w:val="8"/>
  </w:num>
  <w:num w:numId="31" w16cid:durableId="1859006759">
    <w:abstractNumId w:val="3"/>
  </w:num>
  <w:num w:numId="32" w16cid:durableId="567113342">
    <w:abstractNumId w:val="2"/>
  </w:num>
  <w:num w:numId="33" w16cid:durableId="465323223">
    <w:abstractNumId w:val="1"/>
  </w:num>
  <w:num w:numId="34" w16cid:durableId="1746799458">
    <w:abstractNumId w:val="0"/>
  </w:num>
  <w:num w:numId="35" w16cid:durableId="402065366">
    <w:abstractNumId w:val="10"/>
  </w:num>
  <w:num w:numId="36" w16cid:durableId="603223200">
    <w:abstractNumId w:val="20"/>
  </w:num>
  <w:num w:numId="37" w16cid:durableId="1492134880">
    <w:abstractNumId w:val="15"/>
  </w:num>
  <w:num w:numId="38" w16cid:durableId="581186906">
    <w:abstractNumId w:val="13"/>
  </w:num>
  <w:num w:numId="39" w16cid:durableId="1779132136">
    <w:abstractNumId w:val="19"/>
  </w:num>
  <w:num w:numId="40" w16cid:durableId="1540707514">
    <w:abstractNumId w:val="18"/>
  </w:num>
  <w:num w:numId="41" w16cid:durableId="2128354830">
    <w:abstractNumId w:val="22"/>
  </w:num>
  <w:num w:numId="42" w16cid:durableId="711805135">
    <w:abstractNumId w:val="14"/>
  </w:num>
  <w:num w:numId="43" w16cid:durableId="210927600">
    <w:abstractNumId w:val="23"/>
  </w:num>
  <w:num w:numId="44"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F6D"/>
    <w:rsid w:val="00006BB9"/>
    <w:rsid w:val="00017F5F"/>
    <w:rsid w:val="000221D5"/>
    <w:rsid w:val="00031AFB"/>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3550"/>
    <w:rsid w:val="003958D0"/>
    <w:rsid w:val="003977DE"/>
    <w:rsid w:val="003B6D6D"/>
    <w:rsid w:val="003E1F6E"/>
    <w:rsid w:val="003E7159"/>
    <w:rsid w:val="003F54B3"/>
    <w:rsid w:val="00454E07"/>
    <w:rsid w:val="004875CF"/>
    <w:rsid w:val="00494F64"/>
    <w:rsid w:val="004E4B46"/>
    <w:rsid w:val="0050108D"/>
    <w:rsid w:val="0056415C"/>
    <w:rsid w:val="00572E19"/>
    <w:rsid w:val="005C09D4"/>
    <w:rsid w:val="005D4E88"/>
    <w:rsid w:val="005D6145"/>
    <w:rsid w:val="005F0B42"/>
    <w:rsid w:val="00614642"/>
    <w:rsid w:val="00640CEA"/>
    <w:rsid w:val="00655A21"/>
    <w:rsid w:val="006808A9"/>
    <w:rsid w:val="006C2D34"/>
    <w:rsid w:val="006E1835"/>
    <w:rsid w:val="006F35EE"/>
    <w:rsid w:val="007021FF"/>
    <w:rsid w:val="007076CB"/>
    <w:rsid w:val="0071316C"/>
    <w:rsid w:val="00717542"/>
    <w:rsid w:val="00763AC2"/>
    <w:rsid w:val="007709CC"/>
    <w:rsid w:val="007967DF"/>
    <w:rsid w:val="00834B71"/>
    <w:rsid w:val="008626C7"/>
    <w:rsid w:val="0086445C"/>
    <w:rsid w:val="00885453"/>
    <w:rsid w:val="008A08D7"/>
    <w:rsid w:val="008A13F9"/>
    <w:rsid w:val="008A2C19"/>
    <w:rsid w:val="008D5DB6"/>
    <w:rsid w:val="00906890"/>
    <w:rsid w:val="00911E66"/>
    <w:rsid w:val="00951972"/>
    <w:rsid w:val="00952284"/>
    <w:rsid w:val="00963777"/>
    <w:rsid w:val="00974ED0"/>
    <w:rsid w:val="00993207"/>
    <w:rsid w:val="009B452A"/>
    <w:rsid w:val="009B4E5E"/>
    <w:rsid w:val="009D2588"/>
    <w:rsid w:val="00A17DFD"/>
    <w:rsid w:val="00A764E4"/>
    <w:rsid w:val="00A917B3"/>
    <w:rsid w:val="00AA704D"/>
    <w:rsid w:val="00AB4B51"/>
    <w:rsid w:val="00AD7EB5"/>
    <w:rsid w:val="00AE4CC4"/>
    <w:rsid w:val="00AF7274"/>
    <w:rsid w:val="00B10CC7"/>
    <w:rsid w:val="00B1521B"/>
    <w:rsid w:val="00B37C3B"/>
    <w:rsid w:val="00B5520E"/>
    <w:rsid w:val="00B62458"/>
    <w:rsid w:val="00BD33EE"/>
    <w:rsid w:val="00C51052"/>
    <w:rsid w:val="00C60F0C"/>
    <w:rsid w:val="00C6457C"/>
    <w:rsid w:val="00C76505"/>
    <w:rsid w:val="00C805C9"/>
    <w:rsid w:val="00C94626"/>
    <w:rsid w:val="00CA1679"/>
    <w:rsid w:val="00CD731F"/>
    <w:rsid w:val="00D150B4"/>
    <w:rsid w:val="00D31070"/>
    <w:rsid w:val="00D5042C"/>
    <w:rsid w:val="00D80BBB"/>
    <w:rsid w:val="00D83F6D"/>
    <w:rsid w:val="00D90138"/>
    <w:rsid w:val="00DB2215"/>
    <w:rsid w:val="00DB2BEC"/>
    <w:rsid w:val="00E13542"/>
    <w:rsid w:val="00E50C33"/>
    <w:rsid w:val="00E73F76"/>
    <w:rsid w:val="00E973E2"/>
    <w:rsid w:val="00ED0DC1"/>
    <w:rsid w:val="00EF1360"/>
    <w:rsid w:val="00EF2A8B"/>
    <w:rsid w:val="00EF3220"/>
    <w:rsid w:val="00F11FF5"/>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5C4AAB"/>
  <w15:docId w15:val="{3533F8BC-F373-4FB1-860E-E17ED6775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rsid w:val="00494F64"/>
    <w:rPr>
      <w:b/>
      <w:bCs/>
      <w:i/>
      <w:iCs/>
      <w:color w:val="4F81BD"/>
    </w:rPr>
  </w:style>
  <w:style w:type="paragraph" w:styleId="Citadestacada">
    <w:name w:val="Intense Quote"/>
    <w:basedOn w:val="Normal"/>
    <w:next w:val="Normal"/>
    <w:link w:val="CitadestacadaCar"/>
    <w:uiPriority w:val="30"/>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semiHidden/>
    <w:rsid w:val="00031AFB"/>
    <w:rPr>
      <w:rFonts w:cs="Arial"/>
      <w:bCs/>
      <w:iCs/>
      <w:szCs w:val="28"/>
      <w:lang w:val="es-ES" w:eastAsia="es-ES"/>
    </w:rPr>
  </w:style>
  <w:style w:type="character" w:customStyle="1" w:styleId="Ttulo3Car">
    <w:name w:val="Título 3 Car"/>
    <w:basedOn w:val="Fuentedeprrafopredeter"/>
    <w:link w:val="Ttulo3"/>
    <w:semiHidden/>
    <w:rsid w:val="00031AFB"/>
    <w:rPr>
      <w:rFonts w:ascii="Arial" w:hAnsi="Arial" w:cs="Arial"/>
      <w:b/>
      <w:bCs/>
      <w:sz w:val="26"/>
      <w:szCs w:val="26"/>
      <w:lang w:val="es-ES" w:eastAsia="es-ES"/>
    </w:rPr>
  </w:style>
  <w:style w:type="character" w:customStyle="1" w:styleId="Ttulo4Car">
    <w:name w:val="Título 4 Car"/>
    <w:basedOn w:val="Fuentedeprrafopredeter"/>
    <w:link w:val="Ttulo4"/>
    <w:semiHidden/>
    <w:rsid w:val="00031AFB"/>
    <w:rPr>
      <w:b/>
      <w:bCs/>
      <w:sz w:val="28"/>
      <w:szCs w:val="28"/>
      <w:lang w:val="es-ES" w:eastAsia="es-ES"/>
    </w:rPr>
  </w:style>
  <w:style w:type="character" w:customStyle="1" w:styleId="Ttulo5Car">
    <w:name w:val="Título 5 Car"/>
    <w:basedOn w:val="Fuentedeprrafopredeter"/>
    <w:link w:val="Ttulo5"/>
    <w:semiHidden/>
    <w:rsid w:val="00031AFB"/>
    <w:rPr>
      <w:b/>
      <w:bCs/>
      <w:i/>
      <w:iCs/>
      <w:sz w:val="26"/>
      <w:szCs w:val="26"/>
      <w:lang w:val="es-ES" w:eastAsia="es-ES"/>
    </w:rPr>
  </w:style>
  <w:style w:type="character" w:customStyle="1" w:styleId="Ttulo6Car">
    <w:name w:val="Título 6 Car"/>
    <w:basedOn w:val="Fuentedeprrafopredeter"/>
    <w:link w:val="Ttulo6"/>
    <w:semiHidden/>
    <w:rsid w:val="00031AFB"/>
    <w:rPr>
      <w:b/>
      <w:bCs/>
      <w:sz w:val="22"/>
      <w:szCs w:val="22"/>
      <w:lang w:val="es-ES" w:eastAsia="es-ES"/>
    </w:rPr>
  </w:style>
  <w:style w:type="character" w:customStyle="1" w:styleId="Ttulo7Car">
    <w:name w:val="Título 7 Car"/>
    <w:basedOn w:val="Fuentedeprrafopredeter"/>
    <w:link w:val="Ttulo7"/>
    <w:semiHidden/>
    <w:rsid w:val="00031AFB"/>
    <w:rPr>
      <w:sz w:val="24"/>
      <w:szCs w:val="24"/>
      <w:lang w:val="es-ES" w:eastAsia="es-ES"/>
    </w:rPr>
  </w:style>
  <w:style w:type="character" w:customStyle="1" w:styleId="Ttulo8Car">
    <w:name w:val="Título 8 Car"/>
    <w:basedOn w:val="Fuentedeprrafopredeter"/>
    <w:link w:val="Ttulo8"/>
    <w:semiHidden/>
    <w:rsid w:val="00031AFB"/>
    <w:rPr>
      <w:i/>
      <w:iCs/>
      <w:sz w:val="24"/>
      <w:szCs w:val="24"/>
      <w:lang w:val="es-ES" w:eastAsia="es-ES"/>
    </w:rPr>
  </w:style>
  <w:style w:type="character" w:customStyle="1" w:styleId="Ttulo9Car">
    <w:name w:val="Título 9 Car"/>
    <w:basedOn w:val="Fuentedeprrafopredeter"/>
    <w:link w:val="Ttulo9"/>
    <w:semiHidden/>
    <w:rsid w:val="00031AFB"/>
    <w:rPr>
      <w:rFonts w:ascii="Arial" w:hAnsi="Arial" w:cs="Arial"/>
      <w:sz w:val="22"/>
      <w:szCs w:val="22"/>
      <w:lang w:val="es-ES" w:eastAsia="es-ES"/>
    </w:rPr>
  </w:style>
  <w:style w:type="paragraph" w:styleId="Cita">
    <w:name w:val="Quote"/>
    <w:basedOn w:val="Normal"/>
    <w:next w:val="Normal"/>
    <w:link w:val="CitaCar"/>
    <w:uiPriority w:val="29"/>
    <w:rsid w:val="00031AFB"/>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31AFB"/>
    <w:rPr>
      <w:i/>
      <w:iCs/>
      <w:color w:val="404040" w:themeColor="text1" w:themeTint="BF"/>
      <w:lang w:val="es-ES" w:eastAsia="es-ES"/>
    </w:rPr>
  </w:style>
  <w:style w:type="character" w:styleId="Referenciaintensa">
    <w:name w:val="Intense Reference"/>
    <w:basedOn w:val="Fuentedeprrafopredeter"/>
    <w:uiPriority w:val="32"/>
    <w:rsid w:val="00031AFB"/>
    <w:rPr>
      <w:b/>
      <w:bCs/>
      <w:smallCaps/>
      <w:color w:val="365F91" w:themeColor="accent1" w:themeShade="BF"/>
      <w:spacing w:val="5"/>
    </w:rPr>
  </w:style>
  <w:style w:type="character" w:styleId="Ttulodellibro">
    <w:name w:val="Book Title"/>
    <w:basedOn w:val="Fuentedeprrafopredeter"/>
    <w:uiPriority w:val="33"/>
    <w:rsid w:val="00031AFB"/>
    <w:rPr>
      <w:b/>
      <w:bCs/>
      <w:smallCaps/>
      <w:spacing w:val="5"/>
    </w:rPr>
  </w:style>
  <w:style w:type="character" w:styleId="Refdecomentario">
    <w:name w:val="annotation reference"/>
    <w:basedOn w:val="Fuentedeprrafopredeter"/>
    <w:uiPriority w:val="99"/>
    <w:semiHidden/>
    <w:unhideWhenUsed/>
    <w:rsid w:val="00031AFB"/>
    <w:rPr>
      <w:sz w:val="16"/>
      <w:szCs w:val="16"/>
    </w:rPr>
  </w:style>
  <w:style w:type="paragraph" w:styleId="Textocomentario">
    <w:name w:val="annotation text"/>
    <w:basedOn w:val="Normal"/>
    <w:link w:val="TextocomentarioCar"/>
    <w:uiPriority w:val="99"/>
    <w:semiHidden/>
    <w:unhideWhenUsed/>
    <w:rsid w:val="00031AFB"/>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031AFB"/>
    <w:rPr>
      <w:rFonts w:eastAsia="SimSun"/>
      <w:lang w:val="en-GB" w:eastAsia="en-US"/>
    </w:rPr>
  </w:style>
  <w:style w:type="paragraph" w:styleId="Asuntodelcomentario">
    <w:name w:val="annotation subject"/>
    <w:basedOn w:val="Textocomentario"/>
    <w:next w:val="Textocomentario"/>
    <w:link w:val="AsuntodelcomentarioCar"/>
    <w:uiPriority w:val="99"/>
    <w:semiHidden/>
    <w:unhideWhenUsed/>
    <w:rsid w:val="00031AFB"/>
    <w:rPr>
      <w:b/>
      <w:bCs/>
    </w:rPr>
  </w:style>
  <w:style w:type="character" w:customStyle="1" w:styleId="AsuntodelcomentarioCar">
    <w:name w:val="Asunto del comentario Car"/>
    <w:basedOn w:val="TextocomentarioCar"/>
    <w:link w:val="Asuntodelcomentario"/>
    <w:uiPriority w:val="99"/>
    <w:semiHidden/>
    <w:rsid w:val="00031AFB"/>
    <w:rPr>
      <w:rFonts w:eastAsia="SimSun"/>
      <w:b/>
      <w:bCs/>
      <w:lang w:val="en-GB" w:eastAsia="en-US"/>
    </w:rPr>
  </w:style>
  <w:style w:type="character" w:styleId="Mencinsinresolver">
    <w:name w:val="Unresolved Mention"/>
    <w:basedOn w:val="Fuentedeprrafopredeter"/>
    <w:uiPriority w:val="99"/>
    <w:semiHidden/>
    <w:unhideWhenUsed/>
    <w:rsid w:val="00031A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conf-share1\LS\SPA\COMMON\FINAL\www.stasis.l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tasis.lt"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osp.stat.gov.lt/tarptautiniams-palyginimams-apie-asmenis-su-negalia" TargetMode="External"/><Relationship Id="rId13" Type="http://schemas.openxmlformats.org/officeDocument/2006/relationships/hyperlink" Target="https://lygybe.lt/en/commission-for-the-monitoring-of-the-rights-of-persons-with-disabilities/" TargetMode="External"/><Relationship Id="rId3" Type="http://schemas.openxmlformats.org/officeDocument/2006/relationships/hyperlink" Target="https://pktc.lt/" TargetMode="External"/><Relationship Id="rId7" Type="http://schemas.openxmlformats.org/officeDocument/2006/relationships/hyperlink" Target="https://osp.stat.gov.lt/tarptautiniams-palyginimams-apie-asmenis-su-negalia" TargetMode="External"/><Relationship Id="rId12" Type="http://schemas.openxmlformats.org/officeDocument/2006/relationships/hyperlink" Target="https://osp.stat.gov.lt/statistiniu-rodikliu-analize%23/" TargetMode="External"/><Relationship Id="rId2" Type="http://schemas.openxmlformats.org/officeDocument/2006/relationships/hyperlink" Target="https://lt72.lt/?lang=en" TargetMode="External"/><Relationship Id="rId1" Type="http://schemas.openxmlformats.org/officeDocument/2006/relationships/hyperlink" Target="https://lt72.lt/?lang=en" TargetMode="External"/><Relationship Id="rId6" Type="http://schemas.openxmlformats.org/officeDocument/2006/relationships/hyperlink" Target="https://www.labiblioteka.lt/en/services/62" TargetMode="External"/><Relationship Id="rId11" Type="http://schemas.openxmlformats.org/officeDocument/2006/relationships/hyperlink" Target="https://osp.stat.gov.lt/statistika-apie-asmenis-su-negalia-rengiama-igyvendinant-nacionalinius-teises-%09aktus" TargetMode="External"/><Relationship Id="rId5" Type="http://schemas.openxmlformats.org/officeDocument/2006/relationships/hyperlink" Target="https://www.labiblioteka.lt/en/services/62" TargetMode="External"/><Relationship Id="rId10" Type="http://schemas.openxmlformats.org/officeDocument/2006/relationships/hyperlink" Target="https://osp.stat.gov.lt/statistika-apie-asmenis-su-negalia-rengiama-igyvendinant-nacionalinius-teises-%09aktus" TargetMode="External"/><Relationship Id="rId4" Type="http://schemas.openxmlformats.org/officeDocument/2006/relationships/hyperlink" Target="https://pktc.lt/" TargetMode="External"/><Relationship Id="rId9" Type="http://schemas.openxmlformats.org/officeDocument/2006/relationships/hyperlink" Target="https://osp.stat.gov.lt/statistiniu-rodikliu-analize?hash=3b4f9771-d547-480a-a80d-37b71589ff37" TargetMode="External"/><Relationship Id="rId14" Type="http://schemas.openxmlformats.org/officeDocument/2006/relationships/hyperlink" Target="https://lygybe.lt/en/commission-for-the-monitoring-of-the-rights-of-persons-with-disabiliti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24</Pages>
  <Words>13311</Words>
  <Characters>70953</Characters>
  <Application>Microsoft Office Word</Application>
  <DocSecurity>0</DocSecurity>
  <Lines>1108</Lines>
  <Paragraphs>313</Paragraphs>
  <ScaleCrop>false</ScaleCrop>
  <HeadingPairs>
    <vt:vector size="2" baseType="variant">
      <vt:variant>
        <vt:lpstr>Título</vt:lpstr>
      </vt:variant>
      <vt:variant>
        <vt:i4>1</vt:i4>
      </vt:variant>
    </vt:vector>
  </HeadingPairs>
  <TitlesOfParts>
    <vt:vector size="1" baseType="lpstr">
      <vt:lpstr>CRPD/C/LTU/RQ/2-3</vt:lpstr>
    </vt:vector>
  </TitlesOfParts>
  <Company/>
  <LinksUpToDate>false</LinksUpToDate>
  <CharactersWithSpaces>83951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CRPD/C/LTU/RQ/2-3</dc:title>
  <dc:subject/>
  <dc:creator>Javier RODRIGUEZ PEREZ</dc:creator>
  <cp:keywords/>
  <cp:lastModifiedBy>Javier Rodriguez Perez</cp:lastModifiedBy>
  <cp:revision>2</cp:revision>
  <dcterms:created xsi:type="dcterms:W3CDTF">2026-06-23T13:36:00Z</dcterms:created>
  <dcterms:modified xsi:type="dcterms:W3CDTF">2026-06-23T13:36:00Z</dcterms:modified>
</cp:coreProperties>
</file>