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40FE1" w:rsidP="00E40FE1">
            <w:pPr>
              <w:bidi w:val="0"/>
              <w:spacing w:after="20"/>
              <w:jc w:val="left"/>
              <w:rPr>
                <w:szCs w:val="20"/>
              </w:rPr>
            </w:pPr>
            <w:r w:rsidRPr="00E40FE1">
              <w:rPr>
                <w:sz w:val="40"/>
                <w:szCs w:val="20"/>
              </w:rPr>
              <w:t>A</w:t>
            </w:r>
            <w:r>
              <w:rPr>
                <w:szCs w:val="20"/>
              </w:rPr>
              <w:t>/HRC/RES/26/12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E40FE1" w:rsidRDefault="00E40FE1" w:rsidP="00E40FE1">
            <w:pPr>
              <w:bidi w:val="0"/>
              <w:spacing w:before="240"/>
              <w:jc w:val="left"/>
            </w:pPr>
            <w:r>
              <w:t>Distr.: General</w:t>
            </w:r>
          </w:p>
          <w:p w:rsidR="00E40FE1" w:rsidRDefault="00415CE2" w:rsidP="00415CE2">
            <w:pPr>
              <w:bidi w:val="0"/>
              <w:jc w:val="left"/>
            </w:pPr>
            <w:r>
              <w:t>11</w:t>
            </w:r>
            <w:r w:rsidR="00E40FE1">
              <w:t xml:space="preserve"> Ju</w:t>
            </w:r>
            <w:r>
              <w:t>ly</w:t>
            </w:r>
            <w:r w:rsidR="00E40FE1">
              <w:t xml:space="preserve"> 2014</w:t>
            </w:r>
          </w:p>
          <w:p w:rsidR="00E40FE1" w:rsidRDefault="00E40FE1" w:rsidP="00E40FE1">
            <w:pPr>
              <w:bidi w:val="0"/>
              <w:jc w:val="left"/>
            </w:pPr>
            <w:r>
              <w:t>Arabic</w:t>
            </w:r>
          </w:p>
          <w:p w:rsidR="00257225" w:rsidRPr="008B4BC6" w:rsidRDefault="00E40FE1" w:rsidP="00E40FE1">
            <w:pPr>
              <w:bidi w:val="0"/>
              <w:jc w:val="left"/>
            </w:pPr>
            <w:r>
              <w:t>Original: English</w:t>
            </w:r>
          </w:p>
        </w:tc>
      </w:tr>
    </w:tbl>
    <w:p w:rsidR="008871BA" w:rsidRPr="00A9332F" w:rsidRDefault="008871BA" w:rsidP="008871BA">
      <w:pPr>
        <w:spacing w:before="120" w:line="380" w:lineRule="exact"/>
        <w:rPr>
          <w:rFonts w:hint="cs"/>
          <w:b/>
          <w:bCs/>
          <w:sz w:val="26"/>
          <w:szCs w:val="36"/>
          <w:rtl/>
        </w:rPr>
      </w:pPr>
      <w:r w:rsidRPr="00A9332F">
        <w:rPr>
          <w:rFonts w:hint="cs"/>
          <w:b/>
          <w:bCs/>
          <w:sz w:val="26"/>
          <w:szCs w:val="36"/>
          <w:rtl/>
        </w:rPr>
        <w:t>مجلس حقوق الإنسان</w:t>
      </w:r>
    </w:p>
    <w:p w:rsidR="008871BA" w:rsidRPr="00490FBB" w:rsidRDefault="008871BA" w:rsidP="008871BA">
      <w:pPr>
        <w:spacing w:line="380" w:lineRule="exact"/>
        <w:rPr>
          <w:rFonts w:hint="cs"/>
          <w:b/>
          <w:bCs/>
          <w:rtl/>
        </w:rPr>
      </w:pPr>
      <w:r w:rsidRPr="00490FBB">
        <w:rPr>
          <w:rFonts w:hint="cs"/>
          <w:b/>
          <w:bCs/>
          <w:rtl/>
        </w:rPr>
        <w:t xml:space="preserve">الدورة </w:t>
      </w:r>
      <w:r>
        <w:rPr>
          <w:rFonts w:hint="cs"/>
          <w:b/>
          <w:bCs/>
          <w:rtl/>
        </w:rPr>
        <w:t>السادسة</w:t>
      </w:r>
      <w:r w:rsidRPr="00490FBB">
        <w:rPr>
          <w:rFonts w:hint="cs"/>
          <w:b/>
          <w:bCs/>
          <w:rtl/>
        </w:rPr>
        <w:t xml:space="preserve"> والعشرون</w:t>
      </w:r>
    </w:p>
    <w:p w:rsidR="008871BA" w:rsidRPr="00B542BC" w:rsidRDefault="008871BA" w:rsidP="008871BA">
      <w:pPr>
        <w:spacing w:line="380" w:lineRule="exact"/>
        <w:rPr>
          <w:rFonts w:hint="cs"/>
          <w:rtl/>
        </w:rPr>
      </w:pPr>
      <w:r w:rsidRPr="00B542BC">
        <w:rPr>
          <w:rFonts w:hint="cs"/>
          <w:rtl/>
        </w:rPr>
        <w:t xml:space="preserve">البند </w:t>
      </w:r>
      <w:r>
        <w:rPr>
          <w:rFonts w:hint="cs"/>
          <w:rtl/>
        </w:rPr>
        <w:t>3</w:t>
      </w:r>
      <w:r w:rsidRPr="00B542BC">
        <w:rPr>
          <w:rFonts w:hint="cs"/>
          <w:rtl/>
        </w:rPr>
        <w:t xml:space="preserve"> من جدول الأعمال</w:t>
      </w:r>
    </w:p>
    <w:p w:rsidR="008871BA" w:rsidRPr="00490FBB" w:rsidRDefault="008871BA" w:rsidP="008871BA">
      <w:pPr>
        <w:spacing w:after="240" w:line="380" w:lineRule="exact"/>
        <w:ind w:right="4400"/>
        <w:rPr>
          <w:rFonts w:hint="cs"/>
          <w:b/>
          <w:bCs/>
          <w:rtl/>
        </w:rPr>
      </w:pPr>
      <w:r w:rsidRPr="00E74AC6">
        <w:rPr>
          <w:rFonts w:hint="cs"/>
          <w:b/>
          <w:bCs/>
          <w:sz w:val="30"/>
          <w:rtl/>
          <w:lang w:val="fr-CH"/>
        </w:rPr>
        <w:t>تعزيز وحماية جميع حقوق الإنسان، المدنية والسياسية والاقتصادية والاجتماعية والثقافية، بما</w:t>
      </w:r>
      <w:r w:rsidRPr="00E74AC6">
        <w:rPr>
          <w:b/>
          <w:bCs/>
          <w:sz w:val="30"/>
          <w:rtl/>
          <w:lang w:val="fr-CH"/>
        </w:rPr>
        <w:t> </w:t>
      </w:r>
      <w:r w:rsidRPr="00E74AC6">
        <w:rPr>
          <w:rFonts w:hint="cs"/>
          <w:b/>
          <w:bCs/>
          <w:sz w:val="30"/>
          <w:rtl/>
          <w:lang w:val="fr-CH"/>
        </w:rPr>
        <w:t>في ذلك الحق في التنمية</w:t>
      </w:r>
    </w:p>
    <w:p w:rsidR="00415CE2" w:rsidRDefault="00415CE2" w:rsidP="00415CE2">
      <w:pPr>
        <w:pStyle w:val="HChGA"/>
        <w:rPr>
          <w:rFonts w:hint="cs"/>
          <w:rtl/>
        </w:rPr>
      </w:pPr>
      <w:r>
        <w:rPr>
          <w:rFonts w:hint="cs"/>
          <w:rtl/>
        </w:rPr>
        <w:tab/>
      </w:r>
      <w:r>
        <w:rPr>
          <w:rFonts w:hint="cs"/>
          <w:rtl/>
        </w:rPr>
        <w:tab/>
        <w:t xml:space="preserve">قرار اعتمده مجلس حقوق الإنسان </w:t>
      </w:r>
    </w:p>
    <w:p w:rsidR="008871BA" w:rsidRDefault="008871BA" w:rsidP="00415CE2">
      <w:pPr>
        <w:pStyle w:val="HChGA"/>
        <w:rPr>
          <w:rFonts w:hint="cs"/>
          <w:rtl/>
        </w:rPr>
      </w:pPr>
      <w:r>
        <w:rPr>
          <w:rtl/>
        </w:rPr>
        <w:tab/>
      </w:r>
      <w:r>
        <w:rPr>
          <w:rFonts w:hint="cs"/>
          <w:rtl/>
        </w:rPr>
        <w:tab/>
        <w:t>26/</w:t>
      </w:r>
      <w:r w:rsidR="00415CE2">
        <w:rPr>
          <w:rFonts w:hint="cs"/>
          <w:rtl/>
        </w:rPr>
        <w:t>12</w:t>
      </w:r>
      <w:r>
        <w:rPr>
          <w:rtl/>
        </w:rPr>
        <w:br/>
      </w:r>
      <w:r w:rsidRPr="007C60D5">
        <w:rPr>
          <w:rtl/>
        </w:rPr>
        <w:t xml:space="preserve">ولاية المقرر الخاص المعني </w:t>
      </w:r>
      <w:r>
        <w:rPr>
          <w:rtl/>
        </w:rPr>
        <w:t>بحالات الإعدام خارج القضاء أو بإجراءات موجزة أو تعسفاً</w:t>
      </w:r>
    </w:p>
    <w:p w:rsidR="008871BA" w:rsidRPr="00593EC4" w:rsidRDefault="008871BA" w:rsidP="008871BA">
      <w:pPr>
        <w:pStyle w:val="SingleTxtGA"/>
        <w:rPr>
          <w:i/>
          <w:iCs/>
          <w:rtl/>
        </w:rPr>
      </w:pPr>
      <w:r w:rsidRPr="00593EC4">
        <w:rPr>
          <w:rFonts w:hint="cs"/>
          <w:i/>
          <w:iCs/>
          <w:rtl/>
        </w:rPr>
        <w:tab/>
      </w:r>
      <w:r w:rsidRPr="00593EC4">
        <w:rPr>
          <w:i/>
          <w:iCs/>
          <w:rtl/>
        </w:rPr>
        <w:t>إن مجلس حقوق الإنسان،</w:t>
      </w:r>
    </w:p>
    <w:p w:rsidR="008871BA" w:rsidRPr="004833A9" w:rsidRDefault="008871BA" w:rsidP="008871BA">
      <w:pPr>
        <w:pStyle w:val="SingleTxtGA"/>
        <w:rPr>
          <w:rFonts w:hint="cs"/>
          <w:rtl/>
        </w:rPr>
      </w:pPr>
      <w:r>
        <w:rPr>
          <w:rFonts w:hint="cs"/>
          <w:i/>
          <w:iCs/>
          <w:rtl/>
        </w:rPr>
        <w:tab/>
      </w:r>
      <w:r w:rsidRPr="004833A9">
        <w:rPr>
          <w:i/>
          <w:iCs/>
          <w:rtl/>
        </w:rPr>
        <w:t>إذ يشير</w:t>
      </w:r>
      <w:r w:rsidRPr="004833A9">
        <w:rPr>
          <w:rtl/>
        </w:rPr>
        <w:t xml:space="preserve"> إلى الإعلان العالمي لحقوق الإنسان الذي يضمن للفرد الحق في الحياة والحرية </w:t>
      </w:r>
      <w:r>
        <w:rPr>
          <w:rFonts w:hint="cs"/>
          <w:rtl/>
        </w:rPr>
        <w:t xml:space="preserve">والأمن على شخصه، </w:t>
      </w:r>
      <w:r w:rsidRPr="004833A9">
        <w:rPr>
          <w:rtl/>
        </w:rPr>
        <w:t>وإلى الأحكام ذات الصلة الواردة في العهد الدولي الخاص بالحقوق المدنية والسياسية،</w:t>
      </w:r>
    </w:p>
    <w:p w:rsidR="008871BA" w:rsidRPr="004833A9" w:rsidRDefault="008871BA" w:rsidP="008871BA">
      <w:pPr>
        <w:pStyle w:val="SingleTxtGA"/>
        <w:spacing w:after="100" w:line="372" w:lineRule="exact"/>
      </w:pPr>
      <w:r w:rsidRPr="004833A9">
        <w:rPr>
          <w:rFonts w:hint="cs"/>
          <w:i/>
          <w:iCs/>
          <w:rtl/>
        </w:rPr>
        <w:tab/>
      </w:r>
      <w:r w:rsidRPr="004833A9">
        <w:rPr>
          <w:i/>
          <w:iCs/>
          <w:rtl/>
        </w:rPr>
        <w:t>وإذ يضع في اعتباره</w:t>
      </w:r>
      <w:r w:rsidRPr="004833A9">
        <w:rPr>
          <w:rtl/>
        </w:rPr>
        <w:t xml:space="preserve"> الإطار القانوني لولاية المقرر الخاص المعني بحالات الإعدام خارج القضاء أو بإجراءات موجزة أو تعسفاً، بما في ذلك الأحكام الواردة في قرار لجنة حقوق الإنسان 1992/72 المؤرخ 5 آذار/مارس 1992 وقرار الجمعية العامة 47/136 المؤرخ</w:t>
      </w:r>
      <w:r>
        <w:rPr>
          <w:rFonts w:hint="cs"/>
          <w:rtl/>
        </w:rPr>
        <w:t> </w:t>
      </w:r>
      <w:r w:rsidRPr="004833A9">
        <w:rPr>
          <w:rtl/>
        </w:rPr>
        <w:t>18 كانون الأول/ديسمبر 1992،</w:t>
      </w:r>
    </w:p>
    <w:p w:rsidR="008871BA" w:rsidRPr="004833A9" w:rsidRDefault="008871BA" w:rsidP="00415CE2">
      <w:pPr>
        <w:pStyle w:val="SingleTxtGA"/>
        <w:spacing w:after="100" w:line="372" w:lineRule="exact"/>
        <w:rPr>
          <w:spacing w:val="-2"/>
        </w:rPr>
      </w:pPr>
      <w:r w:rsidRPr="004833A9">
        <w:rPr>
          <w:rFonts w:hint="cs"/>
          <w:iCs/>
          <w:spacing w:val="-2"/>
          <w:rtl/>
        </w:rPr>
        <w:tab/>
      </w:r>
      <w:r w:rsidRPr="004833A9">
        <w:rPr>
          <w:iCs/>
          <w:spacing w:val="-2"/>
          <w:rtl/>
        </w:rPr>
        <w:t>وإذ يرحب</w:t>
      </w:r>
      <w:r w:rsidRPr="004833A9">
        <w:rPr>
          <w:spacing w:val="-2"/>
          <w:rtl/>
        </w:rPr>
        <w:t xml:space="preserve"> بالتصديق العالمي على اتفاقيات جنيف المؤرخة 12 آب</w:t>
      </w:r>
      <w:r w:rsidRPr="004833A9">
        <w:rPr>
          <w:rFonts w:hint="cs"/>
          <w:spacing w:val="-2"/>
          <w:rtl/>
        </w:rPr>
        <w:t>/</w:t>
      </w:r>
      <w:r w:rsidRPr="004833A9">
        <w:rPr>
          <w:spacing w:val="-2"/>
          <w:rtl/>
        </w:rPr>
        <w:t>أغسطس 1949 التي تمثل، إلى جانب قانون حقوق الإنسان، إطارا</w:t>
      </w:r>
      <w:r w:rsidRPr="004833A9">
        <w:rPr>
          <w:rFonts w:hint="cs"/>
          <w:spacing w:val="-2"/>
          <w:rtl/>
        </w:rPr>
        <w:t>ً</w:t>
      </w:r>
      <w:r w:rsidRPr="004833A9">
        <w:rPr>
          <w:spacing w:val="-2"/>
          <w:rtl/>
        </w:rPr>
        <w:t xml:space="preserve"> هاما</w:t>
      </w:r>
      <w:r w:rsidRPr="004833A9">
        <w:rPr>
          <w:rFonts w:hint="cs"/>
          <w:spacing w:val="-2"/>
          <w:rtl/>
        </w:rPr>
        <w:t>ً</w:t>
      </w:r>
      <w:r w:rsidRPr="004833A9">
        <w:rPr>
          <w:spacing w:val="-2"/>
          <w:rtl/>
        </w:rPr>
        <w:t xml:space="preserve"> للمساءلة فيما يتعلق </w:t>
      </w:r>
      <w:r w:rsidR="00415CE2">
        <w:rPr>
          <w:rFonts w:hint="cs"/>
          <w:spacing w:val="-2"/>
          <w:rtl/>
        </w:rPr>
        <w:t xml:space="preserve">بحالات </w:t>
      </w:r>
      <w:r w:rsidRPr="004833A9">
        <w:rPr>
          <w:spacing w:val="-2"/>
          <w:rtl/>
        </w:rPr>
        <w:t>الإعدام خارج القضاء أو بإجراءات موجزة أو تعسفاً،</w:t>
      </w:r>
    </w:p>
    <w:p w:rsidR="008871BA" w:rsidRPr="004833A9" w:rsidRDefault="008871BA" w:rsidP="008871BA">
      <w:pPr>
        <w:pStyle w:val="SingleTxtGA"/>
        <w:spacing w:after="100" w:line="372" w:lineRule="exact"/>
      </w:pPr>
      <w:r w:rsidRPr="004833A9">
        <w:rPr>
          <w:rFonts w:hint="cs"/>
          <w:iCs/>
          <w:rtl/>
        </w:rPr>
        <w:tab/>
      </w:r>
      <w:r w:rsidRPr="004833A9">
        <w:rPr>
          <w:iCs/>
          <w:rtl/>
        </w:rPr>
        <w:t xml:space="preserve">وإذ يضع في اعتباره </w:t>
      </w:r>
      <w:r w:rsidRPr="004833A9">
        <w:rPr>
          <w:rtl/>
        </w:rPr>
        <w:t>الفقرة 6 من قرار الجمعية العامة 60/251 المؤرخ 15 آذار/</w:t>
      </w:r>
      <w:r>
        <w:rPr>
          <w:rFonts w:hint="cs"/>
          <w:rtl/>
        </w:rPr>
        <w:t xml:space="preserve"> </w:t>
      </w:r>
      <w:r w:rsidRPr="004833A9">
        <w:rPr>
          <w:rtl/>
        </w:rPr>
        <w:t>مارس 2006،</w:t>
      </w:r>
    </w:p>
    <w:p w:rsidR="008871BA" w:rsidRPr="004833A9" w:rsidRDefault="008871BA" w:rsidP="00415CE2">
      <w:pPr>
        <w:pStyle w:val="SingleTxtGA"/>
        <w:spacing w:after="100" w:line="372" w:lineRule="exact"/>
      </w:pPr>
      <w:r w:rsidRPr="004833A9">
        <w:rPr>
          <w:rFonts w:hint="cs"/>
          <w:iCs/>
          <w:rtl/>
        </w:rPr>
        <w:tab/>
      </w:r>
      <w:r w:rsidRPr="004833A9">
        <w:rPr>
          <w:iCs/>
          <w:rtl/>
        </w:rPr>
        <w:t>وإذ يشير</w:t>
      </w:r>
      <w:r w:rsidRPr="004833A9">
        <w:rPr>
          <w:rtl/>
        </w:rPr>
        <w:t xml:space="preserve"> إلى قرار</w:t>
      </w:r>
      <w:r w:rsidRPr="004833A9">
        <w:rPr>
          <w:rFonts w:hint="cs"/>
          <w:rtl/>
        </w:rPr>
        <w:t>ي</w:t>
      </w:r>
      <w:r w:rsidR="00415CE2">
        <w:rPr>
          <w:rFonts w:hint="cs"/>
          <w:rtl/>
        </w:rPr>
        <w:t>ه</w:t>
      </w:r>
      <w:r w:rsidRPr="004833A9">
        <w:rPr>
          <w:rFonts w:hint="cs"/>
          <w:rtl/>
        </w:rPr>
        <w:t xml:space="preserve"> </w:t>
      </w:r>
      <w:r w:rsidRPr="004833A9">
        <w:rPr>
          <w:rtl/>
        </w:rPr>
        <w:t xml:space="preserve">5/1 بشأن بناء مؤسسات </w:t>
      </w:r>
      <w:r w:rsidR="00415CE2">
        <w:rPr>
          <w:rFonts w:hint="cs"/>
          <w:rtl/>
        </w:rPr>
        <w:t xml:space="preserve">مجلس حقوق الإنسان </w:t>
      </w:r>
      <w:r w:rsidRPr="004833A9">
        <w:rPr>
          <w:rFonts w:hint="cs"/>
          <w:rtl/>
        </w:rPr>
        <w:t>و</w:t>
      </w:r>
      <w:r w:rsidRPr="004833A9">
        <w:rPr>
          <w:rtl/>
        </w:rPr>
        <w:t xml:space="preserve">5/2 بشأن مدونة قواعد </w:t>
      </w:r>
      <w:r w:rsidRPr="004833A9">
        <w:rPr>
          <w:rFonts w:hint="cs"/>
          <w:rtl/>
        </w:rPr>
        <w:t>السلوك للمكلفين بولايات في إطار الإجراءات الخاصة للمجلس</w:t>
      </w:r>
      <w:r w:rsidRPr="004833A9">
        <w:rPr>
          <w:rtl/>
        </w:rPr>
        <w:t xml:space="preserve">، المؤرخين 18 حزيران/يونيه 2007، وإذ يؤكد أن على </w:t>
      </w:r>
      <w:r w:rsidRPr="004833A9">
        <w:rPr>
          <w:rFonts w:hint="cs"/>
          <w:rtl/>
        </w:rPr>
        <w:t>المكلف ب</w:t>
      </w:r>
      <w:r w:rsidRPr="004833A9">
        <w:rPr>
          <w:rtl/>
        </w:rPr>
        <w:t>الولاية أن يؤدي واجباته وفقاً لهذين القرارين ومرفقاتهما،</w:t>
      </w:r>
    </w:p>
    <w:p w:rsidR="008871BA" w:rsidRPr="004833A9" w:rsidRDefault="008871BA" w:rsidP="008871BA">
      <w:pPr>
        <w:pStyle w:val="SingleTxtGA"/>
        <w:spacing w:after="100" w:line="372" w:lineRule="exact"/>
      </w:pPr>
      <w:r w:rsidRPr="004833A9">
        <w:rPr>
          <w:rFonts w:hint="cs"/>
          <w:i/>
          <w:iCs/>
          <w:rtl/>
        </w:rPr>
        <w:tab/>
      </w:r>
      <w:r w:rsidRPr="004833A9">
        <w:rPr>
          <w:i/>
          <w:iCs/>
          <w:rtl/>
        </w:rPr>
        <w:t>وإذ يضع في اعتباره</w:t>
      </w:r>
      <w:r w:rsidRPr="004833A9">
        <w:rPr>
          <w:rtl/>
        </w:rPr>
        <w:t xml:space="preserve"> جميع قرارات الجمعية العامة</w:t>
      </w:r>
      <w:r>
        <w:rPr>
          <w:rFonts w:hint="cs"/>
          <w:rtl/>
        </w:rPr>
        <w:t>،</w:t>
      </w:r>
      <w:r w:rsidRPr="004833A9">
        <w:rPr>
          <w:rtl/>
        </w:rPr>
        <w:t xml:space="preserve"> </w:t>
      </w:r>
      <w:r w:rsidRPr="004833A9">
        <w:rPr>
          <w:rFonts w:hint="cs"/>
          <w:rtl/>
        </w:rPr>
        <w:t xml:space="preserve">ومجلس حقوق الإنسان، </w:t>
      </w:r>
      <w:r w:rsidRPr="004833A9">
        <w:rPr>
          <w:rtl/>
        </w:rPr>
        <w:t>ولجنة حقوق الإنسان ذات الصلة بحالات الإعدام خارج القضاء أو بإجراءات موجزة أو تعسفا</w:t>
      </w:r>
      <w:r w:rsidRPr="004833A9">
        <w:rPr>
          <w:rFonts w:hint="cs"/>
          <w:rtl/>
        </w:rPr>
        <w:t>ً</w:t>
      </w:r>
      <w:r w:rsidRPr="004833A9">
        <w:rPr>
          <w:rtl/>
        </w:rPr>
        <w:t>، ولا</w:t>
      </w:r>
      <w:r w:rsidRPr="004833A9">
        <w:rPr>
          <w:rFonts w:hint="cs"/>
          <w:rtl/>
        </w:rPr>
        <w:t> </w:t>
      </w:r>
      <w:r w:rsidRPr="004833A9">
        <w:rPr>
          <w:rtl/>
        </w:rPr>
        <w:t xml:space="preserve">سيما قرار </w:t>
      </w:r>
      <w:r w:rsidRPr="004833A9">
        <w:rPr>
          <w:rFonts w:hint="cs"/>
          <w:rtl/>
        </w:rPr>
        <w:t>ال</w:t>
      </w:r>
      <w:r w:rsidRPr="004833A9">
        <w:rPr>
          <w:rtl/>
        </w:rPr>
        <w:t>لجنة 2004/37 المؤرخ 19 نيسان/أبريل 2004 وقرار</w:t>
      </w:r>
      <w:r>
        <w:rPr>
          <w:rFonts w:hint="cs"/>
          <w:rtl/>
        </w:rPr>
        <w:t>ا</w:t>
      </w:r>
      <w:r w:rsidRPr="004833A9">
        <w:rPr>
          <w:rFonts w:hint="cs"/>
          <w:rtl/>
        </w:rPr>
        <w:t xml:space="preserve"> المجلس 8/3 المؤرخ 18 حزيران/يونيه 2008 </w:t>
      </w:r>
      <w:r>
        <w:rPr>
          <w:rFonts w:hint="cs"/>
          <w:rtl/>
        </w:rPr>
        <w:t xml:space="preserve">و17/5 المؤرخ 16 حزيران/يونيه 2011 </w:t>
      </w:r>
      <w:r w:rsidRPr="004833A9">
        <w:rPr>
          <w:rFonts w:hint="cs"/>
          <w:rtl/>
        </w:rPr>
        <w:t>وقرارا</w:t>
      </w:r>
      <w:r>
        <w:rPr>
          <w:rFonts w:hint="cs"/>
          <w:rtl/>
        </w:rPr>
        <w:t>ت</w:t>
      </w:r>
      <w:r w:rsidRPr="004833A9">
        <w:rPr>
          <w:rtl/>
        </w:rPr>
        <w:t xml:space="preserve"> الجمعية العامة 61/173 المؤرخ 19 كانون الأول/ديسمبر 2006</w:t>
      </w:r>
      <w:r w:rsidRPr="004833A9">
        <w:rPr>
          <w:rFonts w:hint="cs"/>
          <w:rtl/>
        </w:rPr>
        <w:t xml:space="preserve"> و65/208 المؤرخ 21 كانون الأول/ديسمبر 2010</w:t>
      </w:r>
      <w:r>
        <w:rPr>
          <w:rFonts w:hint="cs"/>
          <w:rtl/>
        </w:rPr>
        <w:t xml:space="preserve"> و67/168 </w:t>
      </w:r>
      <w:r w:rsidRPr="004833A9">
        <w:rPr>
          <w:rFonts w:hint="cs"/>
          <w:rtl/>
        </w:rPr>
        <w:t>ا</w:t>
      </w:r>
      <w:r>
        <w:rPr>
          <w:rFonts w:hint="cs"/>
          <w:rtl/>
        </w:rPr>
        <w:t>لمؤرخ 20 كانون الأول/ديسمبر 2012</w:t>
      </w:r>
      <w:r w:rsidRPr="004833A9">
        <w:rPr>
          <w:rtl/>
        </w:rPr>
        <w:t>،</w:t>
      </w:r>
    </w:p>
    <w:p w:rsidR="008871BA" w:rsidRPr="004833A9" w:rsidRDefault="008871BA" w:rsidP="00415CE2">
      <w:pPr>
        <w:pStyle w:val="SingleTxtGA"/>
        <w:spacing w:after="100" w:line="372" w:lineRule="exact"/>
      </w:pPr>
      <w:r w:rsidRPr="004833A9">
        <w:rPr>
          <w:rFonts w:hint="cs"/>
          <w:i/>
          <w:iCs/>
          <w:rtl/>
        </w:rPr>
        <w:tab/>
      </w:r>
      <w:r w:rsidRPr="004833A9">
        <w:rPr>
          <w:i/>
          <w:iCs/>
          <w:rtl/>
        </w:rPr>
        <w:t>وإذ ي</w:t>
      </w:r>
      <w:r w:rsidR="00415CE2">
        <w:rPr>
          <w:rFonts w:hint="cs"/>
          <w:i/>
          <w:iCs/>
          <w:rtl/>
        </w:rPr>
        <w:t xml:space="preserve">ُسلّم </w:t>
      </w:r>
      <w:r w:rsidRPr="004833A9">
        <w:rPr>
          <w:rtl/>
        </w:rPr>
        <w:t xml:space="preserve">بأن </w:t>
      </w:r>
      <w:r>
        <w:rPr>
          <w:rFonts w:hint="cs"/>
          <w:rtl/>
        </w:rPr>
        <w:t>عمليات</w:t>
      </w:r>
      <w:r w:rsidRPr="004833A9">
        <w:rPr>
          <w:rtl/>
        </w:rPr>
        <w:t xml:space="preserve"> الإعدام خارج القضاء أو بإجراءات موجزة أو تعسفاً هي جرائم مشمولة بنظام روما الأساسي للمحكمة الجنائية الدولية،</w:t>
      </w:r>
    </w:p>
    <w:p w:rsidR="008871BA" w:rsidRPr="004833A9" w:rsidRDefault="008871BA" w:rsidP="00415CE2">
      <w:pPr>
        <w:pStyle w:val="SingleTxtGA"/>
        <w:spacing w:after="100" w:line="372" w:lineRule="exact"/>
      </w:pPr>
      <w:r w:rsidRPr="004833A9">
        <w:rPr>
          <w:rFonts w:hint="cs"/>
          <w:i/>
          <w:iCs/>
          <w:rtl/>
        </w:rPr>
        <w:tab/>
      </w:r>
      <w:r w:rsidRPr="004833A9">
        <w:rPr>
          <w:i/>
          <w:iCs/>
          <w:rtl/>
        </w:rPr>
        <w:t xml:space="preserve">واقتناعاً </w:t>
      </w:r>
      <w:r w:rsidRPr="004833A9">
        <w:rPr>
          <w:rtl/>
        </w:rPr>
        <w:t>منه بضرورة اتخاذ إجراءات فعالة لمكافحة واستئصال الممارسة المقيتة المتمثلة في الإعدام خارج القضا</w:t>
      </w:r>
      <w:r w:rsidR="00415CE2">
        <w:rPr>
          <w:rtl/>
        </w:rPr>
        <w:t xml:space="preserve">ء أو بإجراءات موجزة أو تعسفاً، </w:t>
      </w:r>
      <w:r w:rsidR="00415CE2">
        <w:rPr>
          <w:rFonts w:hint="cs"/>
          <w:rtl/>
        </w:rPr>
        <w:t xml:space="preserve">وهي ممارسة </w:t>
      </w:r>
      <w:r w:rsidRPr="004833A9">
        <w:rPr>
          <w:rtl/>
        </w:rPr>
        <w:t>تشكل انتهاكاً صارخاً للحق الطبيعي في الحياة،</w:t>
      </w:r>
    </w:p>
    <w:p w:rsidR="008871BA" w:rsidRPr="004833A9" w:rsidRDefault="008871BA" w:rsidP="008871BA">
      <w:pPr>
        <w:pStyle w:val="SingleTxtGA"/>
        <w:spacing w:after="100" w:line="372" w:lineRule="exact"/>
      </w:pPr>
      <w:r w:rsidRPr="004833A9">
        <w:rPr>
          <w:rFonts w:hint="cs"/>
          <w:i/>
          <w:iCs/>
          <w:rtl/>
        </w:rPr>
        <w:tab/>
      </w:r>
      <w:r w:rsidRPr="004833A9">
        <w:rPr>
          <w:i/>
          <w:iCs/>
          <w:rtl/>
        </w:rPr>
        <w:t xml:space="preserve">وإذ </w:t>
      </w:r>
      <w:r>
        <w:rPr>
          <w:rFonts w:hint="cs"/>
          <w:i/>
          <w:iCs/>
          <w:rtl/>
        </w:rPr>
        <w:t>يشعر</w:t>
      </w:r>
      <w:r w:rsidRPr="004833A9">
        <w:rPr>
          <w:i/>
          <w:iCs/>
          <w:rtl/>
        </w:rPr>
        <w:t xml:space="preserve"> </w:t>
      </w:r>
      <w:r>
        <w:rPr>
          <w:rFonts w:hint="cs"/>
          <w:i/>
          <w:iCs/>
          <w:rtl/>
        </w:rPr>
        <w:t>بال</w:t>
      </w:r>
      <w:r w:rsidRPr="004833A9">
        <w:rPr>
          <w:i/>
          <w:iCs/>
          <w:rtl/>
        </w:rPr>
        <w:t>استياء</w:t>
      </w:r>
      <w:r w:rsidRPr="004833A9">
        <w:rPr>
          <w:rtl/>
        </w:rPr>
        <w:t xml:space="preserve"> </w:t>
      </w:r>
      <w:r>
        <w:rPr>
          <w:rFonts w:hint="cs"/>
          <w:rtl/>
        </w:rPr>
        <w:t>ل</w:t>
      </w:r>
      <w:r w:rsidRPr="004833A9">
        <w:rPr>
          <w:rtl/>
        </w:rPr>
        <w:t>أن الإفلات من العقاب، وهو إنكار للعدالة، ما زال سائدا</w:t>
      </w:r>
      <w:r w:rsidRPr="004833A9">
        <w:rPr>
          <w:rFonts w:hint="cs"/>
          <w:rtl/>
        </w:rPr>
        <w:t>ً</w:t>
      </w:r>
      <w:r w:rsidRPr="004833A9">
        <w:rPr>
          <w:rtl/>
        </w:rPr>
        <w:t xml:space="preserve"> في عدد من البلدان وأنه ما برح يشكل، في كثير من الأحيان، السبب الرئيسي لاستمرار حدوث حالات الإعدام خارج القضاء أو بإجراءات موجزة أو تعسفاً،</w:t>
      </w:r>
    </w:p>
    <w:p w:rsidR="008871BA" w:rsidRPr="004833A9" w:rsidRDefault="008871BA" w:rsidP="00415CE2">
      <w:pPr>
        <w:pStyle w:val="SingleTxtGA"/>
        <w:spacing w:after="100" w:line="372" w:lineRule="exact"/>
      </w:pPr>
      <w:r w:rsidRPr="004833A9">
        <w:rPr>
          <w:rFonts w:hint="cs"/>
          <w:rtl/>
        </w:rPr>
        <w:tab/>
      </w:r>
      <w:r w:rsidRPr="004833A9">
        <w:rPr>
          <w:rtl/>
        </w:rPr>
        <w:t>1-</w:t>
      </w:r>
      <w:r w:rsidRPr="004833A9">
        <w:rPr>
          <w:rFonts w:hint="cs"/>
          <w:i/>
          <w:iCs/>
          <w:rtl/>
        </w:rPr>
        <w:tab/>
      </w:r>
      <w:r w:rsidRPr="004833A9">
        <w:rPr>
          <w:i/>
          <w:iCs/>
          <w:rtl/>
        </w:rPr>
        <w:t>يدين بشدة</w:t>
      </w:r>
      <w:r w:rsidRPr="004833A9">
        <w:rPr>
          <w:rtl/>
        </w:rPr>
        <w:t xml:space="preserve"> </w:t>
      </w:r>
      <w:r w:rsidRPr="004833A9">
        <w:rPr>
          <w:i/>
          <w:iCs/>
          <w:rtl/>
        </w:rPr>
        <w:t>مرة أخرى</w:t>
      </w:r>
      <w:r w:rsidRPr="004833A9">
        <w:rPr>
          <w:rtl/>
        </w:rPr>
        <w:t xml:space="preserve"> </w:t>
      </w:r>
      <w:r w:rsidR="00415CE2">
        <w:rPr>
          <w:rFonts w:hint="cs"/>
          <w:rtl/>
        </w:rPr>
        <w:t xml:space="preserve">شتى أشكال </w:t>
      </w:r>
      <w:r w:rsidRPr="004833A9">
        <w:rPr>
          <w:rtl/>
        </w:rPr>
        <w:t>حالات الإعدام خارج القضاء أو بإجراءات موجزة أو تعسفاً، التي لا تزال تحدث في جميع أنحاء العالم؛</w:t>
      </w:r>
    </w:p>
    <w:p w:rsidR="008871BA" w:rsidRPr="004833A9" w:rsidRDefault="008871BA" w:rsidP="00415CE2">
      <w:pPr>
        <w:pStyle w:val="SingleTxtGA"/>
        <w:spacing w:after="100"/>
      </w:pPr>
      <w:r w:rsidRPr="004833A9">
        <w:rPr>
          <w:rFonts w:hint="cs"/>
          <w:rtl/>
        </w:rPr>
        <w:tab/>
      </w:r>
      <w:r w:rsidRPr="004833A9">
        <w:rPr>
          <w:rtl/>
        </w:rPr>
        <w:t>2-</w:t>
      </w:r>
      <w:r w:rsidRPr="004833A9">
        <w:rPr>
          <w:rFonts w:hint="cs"/>
          <w:rtl/>
        </w:rPr>
        <w:tab/>
      </w:r>
      <w:r w:rsidRPr="004833A9">
        <w:rPr>
          <w:i/>
          <w:iCs/>
          <w:rtl/>
        </w:rPr>
        <w:t>يعترف</w:t>
      </w:r>
      <w:r w:rsidRPr="004833A9">
        <w:rPr>
          <w:rtl/>
        </w:rPr>
        <w:t xml:space="preserve"> بأهمية الإجراءات الخاصة </w:t>
      </w:r>
      <w:r w:rsidRPr="004833A9">
        <w:rPr>
          <w:rFonts w:hint="cs"/>
          <w:rtl/>
        </w:rPr>
        <w:t>لمجلس حقوق الإنسان</w:t>
      </w:r>
      <w:r w:rsidRPr="004833A9">
        <w:rPr>
          <w:rtl/>
        </w:rPr>
        <w:t>، و</w:t>
      </w:r>
      <w:r w:rsidRPr="004833A9">
        <w:rPr>
          <w:rFonts w:hint="cs"/>
          <w:rtl/>
        </w:rPr>
        <w:t>لا</w:t>
      </w:r>
      <w:r w:rsidRPr="004833A9">
        <w:rPr>
          <w:rFonts w:hint="eastAsia"/>
          <w:rtl/>
        </w:rPr>
        <w:t> </w:t>
      </w:r>
      <w:r w:rsidRPr="004833A9">
        <w:rPr>
          <w:rFonts w:hint="cs"/>
          <w:rtl/>
        </w:rPr>
        <w:t>سيما</w:t>
      </w:r>
      <w:r w:rsidRPr="004833A9">
        <w:rPr>
          <w:rtl/>
        </w:rPr>
        <w:t xml:space="preserve"> الإجراء </w:t>
      </w:r>
      <w:r w:rsidR="00415CE2">
        <w:rPr>
          <w:rFonts w:hint="cs"/>
          <w:rtl/>
        </w:rPr>
        <w:t xml:space="preserve">المتمثل في ولاية </w:t>
      </w:r>
      <w:r w:rsidRPr="004833A9">
        <w:rPr>
          <w:rtl/>
        </w:rPr>
        <w:t>المقرر الخاص المعني بحالات الإعدام خارج القضاء أو بإجراءات موجزة أو</w:t>
      </w:r>
      <w:r w:rsidRPr="004833A9">
        <w:rPr>
          <w:rFonts w:hint="cs"/>
          <w:rtl/>
        </w:rPr>
        <w:t> </w:t>
      </w:r>
      <w:r w:rsidRPr="004833A9">
        <w:rPr>
          <w:rtl/>
        </w:rPr>
        <w:t>تعسفاً، من حيث دورها الرئيسي كآليات للإنذار المبكر لمنع جريمة الإبادة الجماعية والجرائم المرتكبة ضد الإنسانية وجرائم الحرب، و</w:t>
      </w:r>
      <w:r w:rsidRPr="004833A9">
        <w:rPr>
          <w:rFonts w:hint="cs"/>
          <w:rtl/>
        </w:rPr>
        <w:t>ي</w:t>
      </w:r>
      <w:r w:rsidRPr="004833A9">
        <w:rPr>
          <w:rtl/>
        </w:rPr>
        <w:t xml:space="preserve">شجع </w:t>
      </w:r>
      <w:r w:rsidRPr="004833A9">
        <w:rPr>
          <w:rFonts w:hint="cs"/>
          <w:rtl/>
        </w:rPr>
        <w:t>المكلفين ب</w:t>
      </w:r>
      <w:r w:rsidR="00415CE2">
        <w:rPr>
          <w:rFonts w:hint="cs"/>
          <w:rtl/>
        </w:rPr>
        <w:t xml:space="preserve">ولايات في إطار </w:t>
      </w:r>
      <w:r w:rsidRPr="004833A9">
        <w:rPr>
          <w:rtl/>
        </w:rPr>
        <w:t xml:space="preserve">الإجراءات الخاصة </w:t>
      </w:r>
      <w:r w:rsidR="00415CE2">
        <w:rPr>
          <w:rFonts w:hint="cs"/>
          <w:rtl/>
        </w:rPr>
        <w:t xml:space="preserve">ذات الصلة </w:t>
      </w:r>
      <w:r w:rsidRPr="004833A9">
        <w:rPr>
          <w:rtl/>
        </w:rPr>
        <w:t>على التعاون، في إطار ولاياتهم، لبلوغ هذا الهدف؛</w:t>
      </w:r>
    </w:p>
    <w:p w:rsidR="008871BA" w:rsidRPr="004833A9" w:rsidRDefault="008871BA" w:rsidP="008871BA">
      <w:pPr>
        <w:pStyle w:val="SingleTxtGA"/>
        <w:spacing w:after="100" w:line="368" w:lineRule="exact"/>
      </w:pPr>
      <w:r w:rsidRPr="004833A9">
        <w:rPr>
          <w:rFonts w:hint="cs"/>
          <w:rtl/>
        </w:rPr>
        <w:tab/>
        <w:t>3-</w:t>
      </w:r>
      <w:r w:rsidRPr="004833A9">
        <w:rPr>
          <w:rFonts w:hint="cs"/>
          <w:i/>
          <w:iCs/>
          <w:rtl/>
        </w:rPr>
        <w:tab/>
      </w:r>
      <w:r w:rsidRPr="004833A9">
        <w:rPr>
          <w:i/>
          <w:iCs/>
          <w:rtl/>
        </w:rPr>
        <w:t>يطالب</w:t>
      </w:r>
      <w:r w:rsidRPr="004833A9">
        <w:rPr>
          <w:rtl/>
        </w:rPr>
        <w:t xml:space="preserve"> جميع الدول بضمان وضع حد لممارسة الإعدام خارج القضاء أو</w:t>
      </w:r>
      <w:r>
        <w:rPr>
          <w:rFonts w:hint="cs"/>
          <w:rtl/>
        </w:rPr>
        <w:t> </w:t>
      </w:r>
      <w:r w:rsidRPr="004833A9">
        <w:rPr>
          <w:rtl/>
        </w:rPr>
        <w:t>بإجراءات موجزة أو تعسفا</w:t>
      </w:r>
      <w:r w:rsidRPr="004833A9">
        <w:rPr>
          <w:rFonts w:hint="cs"/>
          <w:rtl/>
        </w:rPr>
        <w:t>ً</w:t>
      </w:r>
      <w:r w:rsidRPr="004833A9">
        <w:rPr>
          <w:rtl/>
        </w:rPr>
        <w:t>، وباتخاذ إجراءات فعالة لمكافحة هذه الظاهرة بجميع أشكالها والقضاء عليها؛</w:t>
      </w:r>
    </w:p>
    <w:p w:rsidR="008871BA" w:rsidRPr="004833A9" w:rsidRDefault="008871BA" w:rsidP="00415CE2">
      <w:pPr>
        <w:pStyle w:val="SingleTxtGA"/>
        <w:spacing w:after="100" w:line="368" w:lineRule="exact"/>
      </w:pPr>
      <w:r w:rsidRPr="004833A9">
        <w:rPr>
          <w:rFonts w:hint="cs"/>
          <w:rtl/>
        </w:rPr>
        <w:tab/>
      </w:r>
      <w:r w:rsidRPr="004833A9">
        <w:rPr>
          <w:rtl/>
        </w:rPr>
        <w:t>4-</w:t>
      </w:r>
      <w:r w:rsidRPr="004833A9">
        <w:rPr>
          <w:rFonts w:hint="cs"/>
          <w:i/>
          <w:iCs/>
          <w:rtl/>
        </w:rPr>
        <w:tab/>
      </w:r>
      <w:r w:rsidRPr="004833A9">
        <w:rPr>
          <w:i/>
          <w:iCs/>
          <w:rtl/>
        </w:rPr>
        <w:t>يكرر تأكيد</w:t>
      </w:r>
      <w:r w:rsidRPr="004833A9">
        <w:rPr>
          <w:rtl/>
        </w:rPr>
        <w:t xml:space="preserve"> </w:t>
      </w:r>
      <w:r w:rsidR="00415CE2">
        <w:rPr>
          <w:rFonts w:hint="cs"/>
          <w:rtl/>
        </w:rPr>
        <w:t xml:space="preserve">الالتزام الذي يقع على عاتق </w:t>
      </w:r>
      <w:r w:rsidRPr="004833A9">
        <w:rPr>
          <w:rtl/>
        </w:rPr>
        <w:t xml:space="preserve">جميع </w:t>
      </w:r>
      <w:r w:rsidR="00415CE2">
        <w:rPr>
          <w:rFonts w:hint="cs"/>
          <w:rtl/>
        </w:rPr>
        <w:t xml:space="preserve">الدول بإجراء تحقيقات شاملة ونزيهة في جميع </w:t>
      </w:r>
      <w:r w:rsidRPr="004833A9">
        <w:rPr>
          <w:rtl/>
        </w:rPr>
        <w:t>ما</w:t>
      </w:r>
      <w:r w:rsidRPr="004833A9">
        <w:rPr>
          <w:rFonts w:hint="cs"/>
          <w:rtl/>
        </w:rPr>
        <w:t> </w:t>
      </w:r>
      <w:r w:rsidRPr="004833A9">
        <w:rPr>
          <w:rtl/>
        </w:rPr>
        <w:t>يُشتبه فيه من حالات الإعدام خارج القضاء أو بإجراءات موجزة أو تعسفا</w:t>
      </w:r>
      <w:r w:rsidRPr="004833A9">
        <w:rPr>
          <w:rFonts w:hint="cs"/>
          <w:rtl/>
        </w:rPr>
        <w:t>ً</w:t>
      </w:r>
      <w:r w:rsidRPr="004833A9">
        <w:rPr>
          <w:rtl/>
        </w:rPr>
        <w:t>، وكشف المسؤولين عنها وتقديمهم للمحاكمة، مع ضمان حق كل فرد في محاكمة عادلة وعلنية أمام محكمة مختصة ومستقلة ونزيهة منشأة بموجب القانون، ومنح تعويضات كافية للضحايا أو</w:t>
      </w:r>
      <w:r w:rsidRPr="004833A9">
        <w:rPr>
          <w:rFonts w:hint="cs"/>
          <w:rtl/>
        </w:rPr>
        <w:t> </w:t>
      </w:r>
      <w:r w:rsidRPr="004833A9">
        <w:rPr>
          <w:rtl/>
        </w:rPr>
        <w:t xml:space="preserve">أسرهم في غضون أجل معقول، واتخاذ جميع التدابير الضرورية، بما فيها التدابير القانونية والقضائية، من أجل وضع حد للإفلات من العقاب ومنع </w:t>
      </w:r>
      <w:r w:rsidRPr="004833A9">
        <w:rPr>
          <w:rFonts w:hint="cs"/>
          <w:rtl/>
        </w:rPr>
        <w:t>تكرر</w:t>
      </w:r>
      <w:r w:rsidRPr="004833A9">
        <w:rPr>
          <w:rtl/>
        </w:rPr>
        <w:t xml:space="preserve"> حالات إعدام من هذا القبيل، على نحو ما يرد في المبادئ المتعلقة بالمنع والتقصي الفعالين لعمليات الإعدام خارج نطاق القانون والإعدام التعسفي والإعدام بإجراءات موجزة؛</w:t>
      </w:r>
    </w:p>
    <w:p w:rsidR="008871BA" w:rsidRPr="004833A9" w:rsidRDefault="008871BA" w:rsidP="00415CE2">
      <w:pPr>
        <w:pStyle w:val="SingleTxtGA"/>
        <w:spacing w:after="100" w:line="368" w:lineRule="exact"/>
      </w:pPr>
      <w:r w:rsidRPr="004833A9">
        <w:rPr>
          <w:rFonts w:hint="cs"/>
          <w:i/>
          <w:rtl/>
        </w:rPr>
        <w:tab/>
      </w:r>
      <w:r w:rsidRPr="004833A9">
        <w:rPr>
          <w:i/>
          <w:rtl/>
        </w:rPr>
        <w:t>5-</w:t>
      </w:r>
      <w:r w:rsidRPr="004833A9">
        <w:rPr>
          <w:rFonts w:hint="cs"/>
          <w:iCs/>
          <w:rtl/>
        </w:rPr>
        <w:tab/>
        <w:t>يرحب</w:t>
      </w:r>
      <w:r w:rsidRPr="004833A9">
        <w:rPr>
          <w:iCs/>
          <w:rtl/>
        </w:rPr>
        <w:t xml:space="preserve"> </w:t>
      </w:r>
      <w:r w:rsidRPr="004833A9">
        <w:rPr>
          <w:rFonts w:hint="cs"/>
          <w:rtl/>
        </w:rPr>
        <w:t>بأعمال</w:t>
      </w:r>
      <w:r w:rsidRPr="004833A9">
        <w:rPr>
          <w:rtl/>
        </w:rPr>
        <w:t xml:space="preserve"> المقرر الخاص المعني بحالات الإعدام خارج القضاء أو</w:t>
      </w:r>
      <w:r w:rsidRPr="004833A9">
        <w:rPr>
          <w:rFonts w:hint="cs"/>
          <w:rtl/>
        </w:rPr>
        <w:t> </w:t>
      </w:r>
      <w:r w:rsidRPr="004833A9">
        <w:rPr>
          <w:rtl/>
        </w:rPr>
        <w:t xml:space="preserve">بإجراءات موجزة أو تعسفاً، </w:t>
      </w:r>
      <w:r>
        <w:rPr>
          <w:rFonts w:hint="cs"/>
          <w:rtl/>
        </w:rPr>
        <w:t xml:space="preserve">ويحيط علماً مع التقدير بالتقارير المواضيعية </w:t>
      </w:r>
      <w:r w:rsidR="00415CE2">
        <w:rPr>
          <w:rFonts w:hint="cs"/>
          <w:rtl/>
        </w:rPr>
        <w:t xml:space="preserve">التي قدمها </w:t>
      </w:r>
      <w:r>
        <w:rPr>
          <w:rFonts w:hint="cs"/>
          <w:rtl/>
        </w:rPr>
        <w:t xml:space="preserve">إلى مجلس حقوق الإنسان أثناء </w:t>
      </w:r>
      <w:r w:rsidR="00415CE2">
        <w:rPr>
          <w:rFonts w:hint="cs"/>
          <w:rtl/>
        </w:rPr>
        <w:t>اضطلاعه بولايته بشأن حما</w:t>
      </w:r>
      <w:r>
        <w:rPr>
          <w:rFonts w:hint="cs"/>
          <w:rtl/>
        </w:rPr>
        <w:t>ية حق الصحفيين في الحياة</w:t>
      </w:r>
      <w:r>
        <w:rPr>
          <w:vertAlign w:val="superscript"/>
          <w:rtl/>
        </w:rPr>
        <w:t>(</w:t>
      </w:r>
      <w:r>
        <w:rPr>
          <w:rStyle w:val="FootnoteReference"/>
          <w:rtl/>
        </w:rPr>
        <w:footnoteReference w:id="1"/>
      </w:r>
      <w:r w:rsidRPr="00593EC4">
        <w:rPr>
          <w:vertAlign w:val="superscript"/>
          <w:rtl/>
        </w:rPr>
        <w:t>)</w:t>
      </w:r>
      <w:r w:rsidR="00415CE2">
        <w:rPr>
          <w:rFonts w:hint="cs"/>
          <w:rtl/>
        </w:rPr>
        <w:t>، و</w:t>
      </w:r>
      <w:r w:rsidRPr="00E303D5">
        <w:rPr>
          <w:rFonts w:hint="cs"/>
          <w:rtl/>
        </w:rPr>
        <w:t>الروبوتات المستقلة القاتلة</w:t>
      </w:r>
      <w:r>
        <w:rPr>
          <w:vertAlign w:val="superscript"/>
          <w:rtl/>
        </w:rPr>
        <w:t>(</w:t>
      </w:r>
      <w:r>
        <w:rPr>
          <w:rStyle w:val="FootnoteReference"/>
          <w:rtl/>
        </w:rPr>
        <w:footnoteReference w:id="2"/>
      </w:r>
      <w:r w:rsidRPr="00593EC4">
        <w:rPr>
          <w:vertAlign w:val="superscript"/>
          <w:rtl/>
        </w:rPr>
        <w:t>)</w:t>
      </w:r>
      <w:r w:rsidR="00415CE2">
        <w:rPr>
          <w:rFonts w:hint="cs"/>
          <w:rtl/>
        </w:rPr>
        <w:t>، و</w:t>
      </w:r>
      <w:r w:rsidRPr="00AA317D">
        <w:rPr>
          <w:rFonts w:hint="cs"/>
          <w:spacing w:val="-2"/>
          <w:rtl/>
        </w:rPr>
        <w:t>حماية الحق في الحياة في إطار إنفاذ القانون</w:t>
      </w:r>
      <w:r>
        <w:rPr>
          <w:vertAlign w:val="superscript"/>
          <w:rtl/>
        </w:rPr>
        <w:t>(</w:t>
      </w:r>
      <w:r>
        <w:rPr>
          <w:rStyle w:val="FootnoteReference"/>
          <w:rtl/>
        </w:rPr>
        <w:footnoteReference w:id="3"/>
      </w:r>
      <w:r w:rsidRPr="00593EC4">
        <w:rPr>
          <w:vertAlign w:val="superscript"/>
          <w:rtl/>
        </w:rPr>
        <w:t>)</w:t>
      </w:r>
      <w:r>
        <w:rPr>
          <w:rFonts w:hint="cs"/>
          <w:rtl/>
        </w:rPr>
        <w:t xml:space="preserve">، </w:t>
      </w:r>
      <w:r>
        <w:rPr>
          <w:rtl/>
        </w:rPr>
        <w:t>ويدعو الدول إلى أن تولي</w:t>
      </w:r>
      <w:r>
        <w:rPr>
          <w:rFonts w:hint="cs"/>
          <w:rtl/>
        </w:rPr>
        <w:t xml:space="preserve"> ما</w:t>
      </w:r>
      <w:r>
        <w:rPr>
          <w:rFonts w:hint="eastAsia"/>
          <w:rtl/>
        </w:rPr>
        <w:t> </w:t>
      </w:r>
      <w:r>
        <w:rPr>
          <w:rFonts w:hint="cs"/>
          <w:rtl/>
        </w:rPr>
        <w:t>تضمنته هذه التقارير من استنتاجات وتوصيات</w:t>
      </w:r>
      <w:r w:rsidRPr="004833A9">
        <w:rPr>
          <w:rtl/>
        </w:rPr>
        <w:t xml:space="preserve"> الاعتبار الواجب؛</w:t>
      </w:r>
    </w:p>
    <w:p w:rsidR="008871BA" w:rsidRPr="004833A9" w:rsidRDefault="008871BA" w:rsidP="008871BA">
      <w:pPr>
        <w:pStyle w:val="SingleTxtGA"/>
        <w:spacing w:after="100" w:line="368" w:lineRule="exact"/>
      </w:pPr>
      <w:r w:rsidRPr="004833A9">
        <w:rPr>
          <w:rFonts w:hint="cs"/>
          <w:rtl/>
        </w:rPr>
        <w:tab/>
        <w:t>6-</w:t>
      </w:r>
      <w:r w:rsidRPr="004833A9">
        <w:rPr>
          <w:rFonts w:hint="cs"/>
          <w:i/>
          <w:iCs/>
          <w:rtl/>
        </w:rPr>
        <w:tab/>
      </w:r>
      <w:r w:rsidRPr="004833A9">
        <w:rPr>
          <w:i/>
          <w:iCs/>
          <w:rtl/>
        </w:rPr>
        <w:t>يشيد</w:t>
      </w:r>
      <w:r w:rsidRPr="004833A9">
        <w:rPr>
          <w:rtl/>
        </w:rPr>
        <w:t xml:space="preserve"> بالدور الهام الذي </w:t>
      </w:r>
      <w:r>
        <w:rPr>
          <w:rFonts w:hint="cs"/>
          <w:rtl/>
        </w:rPr>
        <w:t>يؤديه</w:t>
      </w:r>
      <w:r w:rsidRPr="004833A9">
        <w:rPr>
          <w:rtl/>
        </w:rPr>
        <w:t xml:space="preserve"> المقرر الخاص في سبيل إنهاء حالات الإعدام خارج القضاء أو بإجراءات موجزة أو تعسفاً، ويشجعه على أن يواصل، في إطار ولايته، جمع المعلومات من جميع الجهات المعنية، والاستجابة بفعالية لما يَرِد إليه من معلومات، ومتابعة</w:t>
      </w:r>
      <w:r w:rsidRPr="004833A9">
        <w:rPr>
          <w:rFonts w:hint="cs"/>
          <w:rtl/>
        </w:rPr>
        <w:t> </w:t>
      </w:r>
      <w:r w:rsidRPr="004833A9">
        <w:rPr>
          <w:rtl/>
        </w:rPr>
        <w:t>البلاغات والزيارات القطرية، والتماس آراء الحكومات وتعليقاتها وإدراجها في تقاريره حسب الاقتضاء؛</w:t>
      </w:r>
    </w:p>
    <w:p w:rsidR="008871BA" w:rsidRPr="004833A9" w:rsidRDefault="008871BA" w:rsidP="008871BA">
      <w:pPr>
        <w:pStyle w:val="SingleTxtGA"/>
        <w:spacing w:after="100" w:line="368" w:lineRule="exact"/>
      </w:pPr>
      <w:r w:rsidRPr="004833A9">
        <w:rPr>
          <w:rFonts w:hint="cs"/>
          <w:i/>
          <w:rtl/>
        </w:rPr>
        <w:tab/>
      </w:r>
      <w:r w:rsidRPr="004833A9">
        <w:rPr>
          <w:i/>
          <w:rtl/>
        </w:rPr>
        <w:t>7</w:t>
      </w:r>
      <w:r w:rsidRPr="004833A9">
        <w:rPr>
          <w:iCs/>
          <w:rtl/>
        </w:rPr>
        <w:t>-</w:t>
      </w:r>
      <w:r w:rsidRPr="004833A9">
        <w:rPr>
          <w:rFonts w:hint="cs"/>
          <w:iCs/>
          <w:rtl/>
        </w:rPr>
        <w:tab/>
      </w:r>
      <w:r w:rsidRPr="004833A9">
        <w:rPr>
          <w:iCs/>
          <w:rtl/>
        </w:rPr>
        <w:t>يطلب</w:t>
      </w:r>
      <w:r w:rsidRPr="004833A9">
        <w:rPr>
          <w:rtl/>
        </w:rPr>
        <w:t xml:space="preserve"> إلى المقرر الخاص أن يقوم في سياق اضطلاعه بولايته بما يلي:</w:t>
      </w:r>
      <w:r w:rsidRPr="004833A9">
        <w:t xml:space="preserve"> </w:t>
      </w:r>
    </w:p>
    <w:p w:rsidR="008871BA" w:rsidRPr="004833A9" w:rsidRDefault="008871BA" w:rsidP="008871BA">
      <w:pPr>
        <w:pStyle w:val="SingleTxtGA"/>
        <w:spacing w:after="100" w:line="368" w:lineRule="exact"/>
        <w:rPr>
          <w:rFonts w:hint="cs"/>
          <w:rtl/>
        </w:rPr>
      </w:pPr>
      <w:r w:rsidRPr="004833A9">
        <w:rPr>
          <w:rFonts w:hint="cs"/>
          <w:rtl/>
        </w:rPr>
        <w:tab/>
      </w:r>
      <w:r w:rsidRPr="004833A9">
        <w:rPr>
          <w:rtl/>
        </w:rPr>
        <w:t>(أ</w:t>
      </w:r>
      <w:r w:rsidRPr="004833A9">
        <w:rPr>
          <w:rFonts w:hint="cs"/>
          <w:rtl/>
        </w:rPr>
        <w:t>)</w:t>
      </w:r>
      <w:r w:rsidRPr="004833A9">
        <w:rPr>
          <w:rFonts w:hint="cs"/>
          <w:rtl/>
        </w:rPr>
        <w:tab/>
      </w:r>
      <w:r w:rsidRPr="004833A9">
        <w:rPr>
          <w:rtl/>
        </w:rPr>
        <w:t>مواصلة دراسة حالات الإعدام خارج القضاء أو بإجراءات موجزة أو</w:t>
      </w:r>
      <w:r>
        <w:rPr>
          <w:rFonts w:hint="cs"/>
          <w:rtl/>
        </w:rPr>
        <w:t> </w:t>
      </w:r>
      <w:r w:rsidRPr="004833A9">
        <w:rPr>
          <w:rtl/>
        </w:rPr>
        <w:t>تعسفاً،</w:t>
      </w:r>
      <w:r w:rsidRPr="004833A9">
        <w:rPr>
          <w:rFonts w:hint="cs"/>
          <w:rtl/>
        </w:rPr>
        <w:t xml:space="preserve"> في جميع الظروف وأياً كانت الأسباب،</w:t>
      </w:r>
      <w:r w:rsidRPr="004833A9">
        <w:rPr>
          <w:rtl/>
        </w:rPr>
        <w:t xml:space="preserve"> وتقديم ما يتوصل إليه من نتائج على أساس سنوي، مشفوعة باستنتاجاته وتوصياته، إلى </w:t>
      </w:r>
      <w:r w:rsidRPr="004833A9">
        <w:rPr>
          <w:rFonts w:hint="cs"/>
          <w:rtl/>
        </w:rPr>
        <w:t>مجلس حقوق الإنسان</w:t>
      </w:r>
      <w:r w:rsidRPr="004833A9">
        <w:rPr>
          <w:rtl/>
        </w:rPr>
        <w:t xml:space="preserve"> والجمعية العامة،</w:t>
      </w:r>
      <w:r w:rsidRPr="004833A9">
        <w:rPr>
          <w:rFonts w:hint="cs"/>
          <w:rtl/>
        </w:rPr>
        <w:t xml:space="preserve"> وتوجيه اهتمام المجلس إلى </w:t>
      </w:r>
      <w:r w:rsidRPr="004833A9">
        <w:rPr>
          <w:rtl/>
        </w:rPr>
        <w:t>أية حالات خطيرة من حالات الإعدام خارج القضاء أو بإجراءات</w:t>
      </w:r>
      <w:r w:rsidRPr="004833A9">
        <w:rPr>
          <w:rFonts w:hint="cs"/>
          <w:rtl/>
        </w:rPr>
        <w:t xml:space="preserve"> </w:t>
      </w:r>
      <w:r w:rsidRPr="004833A9">
        <w:rPr>
          <w:rtl/>
        </w:rPr>
        <w:t>موجزة أو تعسفاً التي تستدعي اهتماما</w:t>
      </w:r>
      <w:r w:rsidRPr="004833A9">
        <w:rPr>
          <w:rFonts w:hint="cs"/>
          <w:rtl/>
        </w:rPr>
        <w:t>ً</w:t>
      </w:r>
      <w:r w:rsidRPr="004833A9">
        <w:rPr>
          <w:rtl/>
        </w:rPr>
        <w:t xml:space="preserve"> فورياً أو </w:t>
      </w:r>
      <w:r w:rsidRPr="004833A9">
        <w:rPr>
          <w:rFonts w:hint="cs"/>
          <w:rtl/>
        </w:rPr>
        <w:t>التي</w:t>
      </w:r>
      <w:r w:rsidRPr="004833A9">
        <w:rPr>
          <w:rtl/>
        </w:rPr>
        <w:t xml:space="preserve"> قد يتيح اتخاذ إجراء مبكر </w:t>
      </w:r>
      <w:r w:rsidRPr="004833A9">
        <w:rPr>
          <w:rFonts w:hint="cs"/>
          <w:rtl/>
        </w:rPr>
        <w:t>بشأنها منع حدوث</w:t>
      </w:r>
      <w:r w:rsidRPr="004833A9">
        <w:rPr>
          <w:rtl/>
        </w:rPr>
        <w:t xml:space="preserve"> مزيد من التدهور؛</w:t>
      </w:r>
    </w:p>
    <w:p w:rsidR="008871BA" w:rsidRPr="00593EC4" w:rsidRDefault="008871BA" w:rsidP="008871BA">
      <w:pPr>
        <w:pStyle w:val="SingleTxtGA"/>
        <w:rPr>
          <w:rFonts w:hint="cs"/>
          <w:spacing w:val="-2"/>
        </w:rPr>
      </w:pPr>
      <w:r w:rsidRPr="00593EC4">
        <w:rPr>
          <w:rFonts w:hint="cs"/>
          <w:spacing w:val="-2"/>
          <w:rtl/>
        </w:rPr>
        <w:tab/>
        <w:t>(ب)</w:t>
      </w:r>
      <w:r w:rsidRPr="00593EC4">
        <w:rPr>
          <w:rFonts w:hint="cs"/>
          <w:spacing w:val="-2"/>
          <w:rtl/>
        </w:rPr>
        <w:tab/>
        <w:t>مواصلة توجيه اهتمام مفوضة الأمم المتحدة السامية لحقوق الإنسان إلى الحالات الخطيرة من حالات الإعدام خارج القضاء أو بإجراءات موجزة أو تعسفاً التي تستدعي اهتماماً فورياً أو التي قد يتيح اتخاذ إجراء مبكر بشأنها منعَ حدوث مزيد من التدهور؛</w:t>
      </w:r>
    </w:p>
    <w:p w:rsidR="008871BA" w:rsidRPr="004833A9" w:rsidRDefault="008871BA" w:rsidP="008871BA">
      <w:pPr>
        <w:pStyle w:val="SingleTxtGA"/>
      </w:pPr>
      <w:r w:rsidRPr="004833A9">
        <w:rPr>
          <w:rFonts w:hint="cs"/>
          <w:rtl/>
        </w:rPr>
        <w:tab/>
        <w:t>(ج</w:t>
      </w:r>
      <w:r w:rsidRPr="004833A9">
        <w:rPr>
          <w:rtl/>
        </w:rPr>
        <w:t>)</w:t>
      </w:r>
      <w:r w:rsidRPr="004833A9">
        <w:rPr>
          <w:rFonts w:hint="cs"/>
          <w:rtl/>
        </w:rPr>
        <w:tab/>
      </w:r>
      <w:r w:rsidRPr="004833A9">
        <w:rPr>
          <w:rtl/>
        </w:rPr>
        <w:t>الاستجابة بفعالية للمعلومات التي ترد إليه، خاصة عندما يكون الإعدام خارج القضاء أو بإجراءات موجزة أو تعسفاً وشيك الوقوع، أو محدقاً بدرجة خطيرة، أو قد وقع فعلاً؛</w:t>
      </w:r>
    </w:p>
    <w:p w:rsidR="008871BA" w:rsidRPr="004833A9" w:rsidRDefault="008871BA" w:rsidP="008871BA">
      <w:pPr>
        <w:pStyle w:val="SingleTxtGA"/>
      </w:pPr>
      <w:r w:rsidRPr="004833A9">
        <w:rPr>
          <w:rFonts w:hint="cs"/>
          <w:rtl/>
        </w:rPr>
        <w:tab/>
        <w:t>(د</w:t>
      </w:r>
      <w:r w:rsidRPr="004833A9">
        <w:rPr>
          <w:rtl/>
        </w:rPr>
        <w:t>)</w:t>
      </w:r>
      <w:r w:rsidRPr="004833A9">
        <w:rPr>
          <w:rFonts w:hint="cs"/>
          <w:rtl/>
        </w:rPr>
        <w:tab/>
      </w:r>
      <w:r w:rsidRPr="004833A9">
        <w:rPr>
          <w:rtl/>
        </w:rPr>
        <w:t xml:space="preserve">مواصلة تعزيز حواره مع الحكومات ومتابعة التوصيات التي يقدمها في تقاريره </w:t>
      </w:r>
      <w:r w:rsidRPr="004833A9">
        <w:rPr>
          <w:rFonts w:hint="cs"/>
          <w:rtl/>
        </w:rPr>
        <w:t>عقب</w:t>
      </w:r>
      <w:r w:rsidRPr="004833A9">
        <w:rPr>
          <w:rtl/>
        </w:rPr>
        <w:t xml:space="preserve"> زيارة بلدان </w:t>
      </w:r>
      <w:r w:rsidRPr="004833A9">
        <w:rPr>
          <w:rFonts w:hint="cs"/>
          <w:rtl/>
        </w:rPr>
        <w:t>معينة</w:t>
      </w:r>
      <w:r w:rsidRPr="004833A9">
        <w:rPr>
          <w:rtl/>
        </w:rPr>
        <w:t>؛</w:t>
      </w:r>
    </w:p>
    <w:p w:rsidR="008871BA" w:rsidRPr="004833A9" w:rsidRDefault="008871BA" w:rsidP="008871BA">
      <w:pPr>
        <w:pStyle w:val="SingleTxtGA"/>
      </w:pPr>
      <w:r w:rsidRPr="004833A9">
        <w:rPr>
          <w:rFonts w:hint="cs"/>
          <w:rtl/>
        </w:rPr>
        <w:tab/>
      </w:r>
      <w:r w:rsidRPr="004833A9">
        <w:t>)</w:t>
      </w:r>
      <w:r w:rsidRPr="004833A9">
        <w:rPr>
          <w:rFonts w:hint="cs"/>
          <w:rtl/>
        </w:rPr>
        <w:t>ﻫ</w:t>
      </w:r>
      <w:r w:rsidRPr="004833A9">
        <w:rPr>
          <w:rtl/>
        </w:rPr>
        <w:t>)</w:t>
      </w:r>
      <w:r w:rsidRPr="004833A9">
        <w:rPr>
          <w:rFonts w:hint="cs"/>
          <w:rtl/>
        </w:rPr>
        <w:tab/>
      </w:r>
      <w:r w:rsidRPr="004833A9">
        <w:rPr>
          <w:rtl/>
        </w:rPr>
        <w:t>مواصلة رصد تنفيذ المعايير الدولية القائمة بشأن الضمانات والقيود المتعلقة بفرض عقوبة الإعدام، على أن يضع في اعتباره التعليقات التي أبدتها اللجنة المعنية بحقوق الإنسان في تفسيرها للمادة 6 من العهد الدولي الخاص بالحقوق المدنية والسياسية، فضلاً عن البروتوكول الاختياري الثاني الملحق به؛</w:t>
      </w:r>
    </w:p>
    <w:p w:rsidR="008871BA" w:rsidRPr="004833A9" w:rsidRDefault="008871BA" w:rsidP="008871BA">
      <w:pPr>
        <w:pStyle w:val="SingleTxtGA"/>
        <w:rPr>
          <w:rFonts w:hint="cs"/>
          <w:rtl/>
        </w:rPr>
      </w:pPr>
      <w:r w:rsidRPr="004833A9">
        <w:rPr>
          <w:rFonts w:hint="cs"/>
          <w:rtl/>
        </w:rPr>
        <w:tab/>
        <w:t>(و</w:t>
      </w:r>
      <w:r w:rsidRPr="004833A9">
        <w:rPr>
          <w:rtl/>
        </w:rPr>
        <w:t>)</w:t>
      </w:r>
      <w:r w:rsidRPr="004833A9">
        <w:rPr>
          <w:rFonts w:hint="cs"/>
          <w:rtl/>
        </w:rPr>
        <w:tab/>
      </w:r>
      <w:r w:rsidRPr="004833A9">
        <w:rPr>
          <w:rtl/>
        </w:rPr>
        <w:t>تطبيق منظور يراعي نوع الجنس في عمله</w:t>
      </w:r>
      <w:r w:rsidRPr="004833A9">
        <w:rPr>
          <w:rFonts w:hint="cs"/>
          <w:rtl/>
        </w:rPr>
        <w:t>؛</w:t>
      </w:r>
    </w:p>
    <w:p w:rsidR="008871BA" w:rsidRPr="004833A9" w:rsidRDefault="008871BA" w:rsidP="008871BA">
      <w:pPr>
        <w:pStyle w:val="SingleTxtGA"/>
        <w:rPr>
          <w:rtl/>
        </w:rPr>
      </w:pPr>
      <w:r w:rsidRPr="004833A9">
        <w:rPr>
          <w:rFonts w:hint="cs"/>
          <w:rtl/>
        </w:rPr>
        <w:tab/>
        <w:t>8-</w:t>
      </w:r>
      <w:r w:rsidRPr="004833A9">
        <w:rPr>
          <w:rFonts w:hint="cs"/>
          <w:rtl/>
        </w:rPr>
        <w:tab/>
      </w:r>
      <w:r w:rsidRPr="004833A9">
        <w:rPr>
          <w:i/>
          <w:iCs/>
          <w:rtl/>
        </w:rPr>
        <w:t>يحث</w:t>
      </w:r>
      <w:r w:rsidRPr="004833A9">
        <w:rPr>
          <w:rtl/>
        </w:rPr>
        <w:t xml:space="preserve"> الدول على ما يلي:</w:t>
      </w:r>
    </w:p>
    <w:p w:rsidR="008871BA" w:rsidRPr="004833A9" w:rsidRDefault="008871BA" w:rsidP="008871BA">
      <w:pPr>
        <w:pStyle w:val="SingleTxtGA"/>
        <w:rPr>
          <w:rtl/>
        </w:rPr>
      </w:pPr>
      <w:r w:rsidRPr="004833A9">
        <w:rPr>
          <w:rFonts w:hint="cs"/>
          <w:rtl/>
        </w:rPr>
        <w:tab/>
      </w:r>
      <w:r w:rsidRPr="004833A9">
        <w:rPr>
          <w:rtl/>
        </w:rPr>
        <w:t>(أ)</w:t>
      </w:r>
      <w:r w:rsidRPr="004833A9">
        <w:rPr>
          <w:rtl/>
        </w:rPr>
        <w:tab/>
        <w:t xml:space="preserve">التعاون مع المقرر الخاص ومساعدته في أداء مهامه، وتقديم جميع المعلومات الضرورية التي يطلبها، والاستجابة على نحو مناسب وسريع لنداءاته العاجلة، ويحث الحكومات التي لم ترّد بعد على البلاغات التي أحالها إليها المقرر الخاص على </w:t>
      </w:r>
      <w:r w:rsidRPr="004833A9">
        <w:rPr>
          <w:rFonts w:hint="cs"/>
          <w:rtl/>
        </w:rPr>
        <w:t>أن تفعل ذلك</w:t>
      </w:r>
      <w:r w:rsidRPr="004833A9">
        <w:rPr>
          <w:rtl/>
        </w:rPr>
        <w:t xml:space="preserve"> دون مزيد من التأخير؛</w:t>
      </w:r>
    </w:p>
    <w:p w:rsidR="008871BA" w:rsidRPr="004833A9" w:rsidRDefault="008871BA" w:rsidP="008871BA">
      <w:pPr>
        <w:pStyle w:val="SingleTxtGA"/>
        <w:rPr>
          <w:rtl/>
        </w:rPr>
      </w:pPr>
      <w:r w:rsidRPr="004833A9">
        <w:rPr>
          <w:rFonts w:hint="cs"/>
          <w:rtl/>
        </w:rPr>
        <w:tab/>
      </w:r>
      <w:r w:rsidRPr="004833A9">
        <w:rPr>
          <w:rtl/>
        </w:rPr>
        <w:t>(ب)</w:t>
      </w:r>
      <w:r w:rsidRPr="004833A9">
        <w:rPr>
          <w:rtl/>
        </w:rPr>
        <w:tab/>
        <w:t xml:space="preserve">النظر بجديّة في </w:t>
      </w:r>
      <w:r w:rsidRPr="004833A9">
        <w:rPr>
          <w:rFonts w:hint="cs"/>
          <w:rtl/>
        </w:rPr>
        <w:t>تلبية</w:t>
      </w:r>
      <w:r w:rsidRPr="004833A9">
        <w:rPr>
          <w:rtl/>
        </w:rPr>
        <w:t xml:space="preserve"> طلبات المقرر الخاص لزيارة بلدانها؛</w:t>
      </w:r>
    </w:p>
    <w:p w:rsidR="008871BA" w:rsidRPr="004833A9" w:rsidRDefault="008871BA" w:rsidP="008871BA">
      <w:pPr>
        <w:pStyle w:val="SingleTxtGA"/>
        <w:rPr>
          <w:rFonts w:hint="cs"/>
        </w:rPr>
      </w:pPr>
      <w:r w:rsidRPr="004833A9">
        <w:rPr>
          <w:rFonts w:hint="cs"/>
          <w:rtl/>
        </w:rPr>
        <w:tab/>
      </w:r>
      <w:r w:rsidRPr="004833A9">
        <w:rPr>
          <w:rtl/>
        </w:rPr>
        <w:t>(ج)</w:t>
      </w:r>
      <w:r w:rsidRPr="004833A9">
        <w:rPr>
          <w:rtl/>
        </w:rPr>
        <w:tab/>
        <w:t>ضمان المتابعة المناسبة لتوصيات المقرر الخاص واستنتاجاته</w:t>
      </w:r>
      <w:r w:rsidRPr="004833A9">
        <w:rPr>
          <w:rFonts w:hint="cs"/>
          <w:rtl/>
        </w:rPr>
        <w:t>، بما في ذلك عن طريق موافاته بمعلومات عن الإجراءات المتخذة بناءً على هذه التوصيات؛</w:t>
      </w:r>
    </w:p>
    <w:p w:rsidR="008871BA" w:rsidRPr="00593EC4" w:rsidRDefault="008871BA" w:rsidP="008871BA">
      <w:pPr>
        <w:pStyle w:val="SingleTxtGA"/>
        <w:rPr>
          <w:spacing w:val="-6"/>
        </w:rPr>
      </w:pPr>
      <w:r w:rsidRPr="00593EC4">
        <w:rPr>
          <w:rFonts w:hint="cs"/>
          <w:i/>
          <w:spacing w:val="-6"/>
          <w:rtl/>
        </w:rPr>
        <w:tab/>
        <w:t>9</w:t>
      </w:r>
      <w:r w:rsidRPr="00593EC4">
        <w:rPr>
          <w:iCs/>
          <w:spacing w:val="-6"/>
          <w:rtl/>
        </w:rPr>
        <w:t>-</w:t>
      </w:r>
      <w:r w:rsidRPr="00593EC4">
        <w:rPr>
          <w:rFonts w:hint="cs"/>
          <w:iCs/>
          <w:spacing w:val="-6"/>
          <w:rtl/>
        </w:rPr>
        <w:tab/>
      </w:r>
      <w:r w:rsidRPr="00593EC4">
        <w:rPr>
          <w:iCs/>
          <w:spacing w:val="-6"/>
          <w:rtl/>
        </w:rPr>
        <w:t>يرحب</w:t>
      </w:r>
      <w:r w:rsidRPr="00593EC4">
        <w:rPr>
          <w:spacing w:val="-6"/>
          <w:rtl/>
        </w:rPr>
        <w:t xml:space="preserve"> بالتعاون القائم بين المقرر الخاص وآليات الأمم المتحدة وإجراءاتها الأخرى في ميدان حقوق الإنسان، ويشجع المقرر الخاص على مواصلة بذل جهوده في</w:t>
      </w:r>
      <w:r w:rsidRPr="00593EC4">
        <w:rPr>
          <w:rFonts w:hint="cs"/>
          <w:spacing w:val="-6"/>
          <w:rtl/>
        </w:rPr>
        <w:t xml:space="preserve"> </w:t>
      </w:r>
      <w:r w:rsidRPr="00593EC4">
        <w:rPr>
          <w:spacing w:val="-6"/>
          <w:rtl/>
        </w:rPr>
        <w:t>هذا</w:t>
      </w:r>
      <w:r w:rsidRPr="00593EC4">
        <w:rPr>
          <w:rFonts w:hint="cs"/>
          <w:spacing w:val="-6"/>
          <w:rtl/>
        </w:rPr>
        <w:t> </w:t>
      </w:r>
      <w:r w:rsidRPr="00593EC4">
        <w:rPr>
          <w:spacing w:val="-6"/>
          <w:rtl/>
        </w:rPr>
        <w:t>الصدد؛</w:t>
      </w:r>
    </w:p>
    <w:p w:rsidR="008871BA" w:rsidRPr="004833A9" w:rsidRDefault="008871BA" w:rsidP="008871BA">
      <w:pPr>
        <w:pStyle w:val="SingleTxtGA"/>
      </w:pPr>
      <w:r w:rsidRPr="004833A9">
        <w:rPr>
          <w:rFonts w:hint="cs"/>
          <w:i/>
          <w:rtl/>
        </w:rPr>
        <w:tab/>
        <w:t>10-</w:t>
      </w:r>
      <w:r w:rsidRPr="004833A9">
        <w:rPr>
          <w:rFonts w:hint="cs"/>
          <w:iCs/>
          <w:rtl/>
        </w:rPr>
        <w:tab/>
      </w:r>
      <w:r w:rsidRPr="004833A9">
        <w:rPr>
          <w:iCs/>
          <w:rtl/>
        </w:rPr>
        <w:t xml:space="preserve">يطلب </w:t>
      </w:r>
      <w:r w:rsidRPr="004833A9">
        <w:rPr>
          <w:rtl/>
        </w:rPr>
        <w:t>إلى الأمين العام أن يزود المقرر الخاص بما يكفي من الموارد البشرية والمالية والماد</w:t>
      </w:r>
      <w:r>
        <w:rPr>
          <w:rtl/>
        </w:rPr>
        <w:t>ية من أجل تمكينه من الاضطلاع ب</w:t>
      </w:r>
      <w:r w:rsidRPr="004833A9">
        <w:rPr>
          <w:rtl/>
        </w:rPr>
        <w:t>ولاي</w:t>
      </w:r>
      <w:r>
        <w:rPr>
          <w:rFonts w:hint="cs"/>
          <w:rtl/>
        </w:rPr>
        <w:t>ته</w:t>
      </w:r>
      <w:r w:rsidRPr="004833A9">
        <w:rPr>
          <w:rtl/>
        </w:rPr>
        <w:t xml:space="preserve"> على نحو فعال، بما في ذلك من خلال القيام بزيارات قطرية؛</w:t>
      </w:r>
    </w:p>
    <w:p w:rsidR="008871BA" w:rsidRPr="004833A9" w:rsidRDefault="008871BA" w:rsidP="00415CE2">
      <w:pPr>
        <w:pStyle w:val="SingleTxtGA"/>
      </w:pPr>
      <w:r w:rsidRPr="004833A9">
        <w:rPr>
          <w:rFonts w:hint="cs"/>
          <w:i/>
          <w:rtl/>
        </w:rPr>
        <w:tab/>
        <w:t>11-</w:t>
      </w:r>
      <w:r w:rsidRPr="004833A9">
        <w:rPr>
          <w:rFonts w:hint="cs"/>
          <w:iCs/>
          <w:rtl/>
        </w:rPr>
        <w:tab/>
      </w:r>
      <w:r w:rsidRPr="004833A9">
        <w:rPr>
          <w:iCs/>
          <w:rtl/>
        </w:rPr>
        <w:t>يقرر</w:t>
      </w:r>
      <w:r w:rsidRPr="004833A9">
        <w:rPr>
          <w:rtl/>
        </w:rPr>
        <w:t xml:space="preserve"> </w:t>
      </w:r>
      <w:r w:rsidR="00415CE2">
        <w:rPr>
          <w:rFonts w:hint="cs"/>
          <w:rtl/>
        </w:rPr>
        <w:t xml:space="preserve">أن يمدّد لفترة ثلاث سنوات </w:t>
      </w:r>
      <w:r w:rsidRPr="004833A9">
        <w:rPr>
          <w:rtl/>
        </w:rPr>
        <w:t>ولاية المقرر الخاص المعني بحالات الإعدام خارج القضاء أو</w:t>
      </w:r>
      <w:r>
        <w:rPr>
          <w:rFonts w:hint="eastAsia"/>
          <w:rtl/>
        </w:rPr>
        <w:t> </w:t>
      </w:r>
      <w:r w:rsidRPr="004833A9">
        <w:rPr>
          <w:rtl/>
        </w:rPr>
        <w:t xml:space="preserve">بإجراءات </w:t>
      </w:r>
      <w:r w:rsidR="00415CE2">
        <w:rPr>
          <w:rtl/>
        </w:rPr>
        <w:t>موجزة أو تعسفاً</w:t>
      </w:r>
      <w:r w:rsidRPr="004833A9">
        <w:rPr>
          <w:rtl/>
        </w:rPr>
        <w:t>؛</w:t>
      </w:r>
    </w:p>
    <w:p w:rsidR="008871BA" w:rsidRDefault="008871BA" w:rsidP="008871BA">
      <w:pPr>
        <w:pStyle w:val="SingleTxtGA"/>
        <w:rPr>
          <w:rFonts w:hint="cs"/>
          <w:rtl/>
        </w:rPr>
      </w:pPr>
      <w:r>
        <w:rPr>
          <w:rFonts w:hint="cs"/>
          <w:rtl/>
        </w:rPr>
        <w:tab/>
      </w:r>
      <w:r w:rsidRPr="004833A9">
        <w:rPr>
          <w:rFonts w:hint="cs"/>
          <w:rtl/>
        </w:rPr>
        <w:t>12</w:t>
      </w:r>
      <w:r w:rsidRPr="004833A9">
        <w:rPr>
          <w:rtl/>
        </w:rPr>
        <w:t>-</w:t>
      </w:r>
      <w:r>
        <w:rPr>
          <w:rFonts w:hint="cs"/>
          <w:i/>
          <w:iCs/>
          <w:rtl/>
        </w:rPr>
        <w:tab/>
      </w:r>
      <w:r w:rsidRPr="004833A9">
        <w:rPr>
          <w:i/>
          <w:iCs/>
          <w:rtl/>
        </w:rPr>
        <w:t>يقرر</w:t>
      </w:r>
      <w:r w:rsidRPr="004833A9">
        <w:rPr>
          <w:rtl/>
        </w:rPr>
        <w:t xml:space="preserve"> </w:t>
      </w:r>
      <w:r w:rsidRPr="004833A9">
        <w:rPr>
          <w:i/>
          <w:iCs/>
          <w:rtl/>
        </w:rPr>
        <w:t>أيضا</w:t>
      </w:r>
      <w:r w:rsidRPr="004833A9">
        <w:rPr>
          <w:rFonts w:hint="cs"/>
          <w:i/>
          <w:iCs/>
          <w:rtl/>
        </w:rPr>
        <w:t>ً</w:t>
      </w:r>
      <w:r w:rsidRPr="004833A9">
        <w:rPr>
          <w:rtl/>
        </w:rPr>
        <w:t xml:space="preserve"> مواصلة النظر في </w:t>
      </w:r>
      <w:r>
        <w:rPr>
          <w:rFonts w:hint="cs"/>
          <w:rtl/>
        </w:rPr>
        <w:t xml:space="preserve">هذه المسألة </w:t>
      </w:r>
      <w:r w:rsidRPr="004833A9">
        <w:rPr>
          <w:rtl/>
        </w:rPr>
        <w:t>وفقا</w:t>
      </w:r>
      <w:r w:rsidRPr="004833A9">
        <w:rPr>
          <w:rFonts w:hint="cs"/>
          <w:rtl/>
        </w:rPr>
        <w:t>ً</w:t>
      </w:r>
      <w:r w:rsidRPr="004833A9">
        <w:rPr>
          <w:rtl/>
        </w:rPr>
        <w:t xml:space="preserve"> لبرنامج عمله.</w:t>
      </w:r>
    </w:p>
    <w:p w:rsidR="00415CE2" w:rsidRPr="00415CE2" w:rsidRDefault="00415CE2" w:rsidP="00415CE2">
      <w:pPr>
        <w:pStyle w:val="SingleTxtGA"/>
        <w:spacing w:after="0"/>
        <w:jc w:val="right"/>
        <w:rPr>
          <w:rFonts w:hint="cs"/>
          <w:i/>
          <w:iCs/>
          <w:rtl/>
        </w:rPr>
      </w:pPr>
      <w:r w:rsidRPr="00415CE2">
        <w:rPr>
          <w:rFonts w:hint="cs"/>
          <w:i/>
          <w:iCs/>
          <w:rtl/>
        </w:rPr>
        <w:t>الجلسة 38</w:t>
      </w:r>
    </w:p>
    <w:p w:rsidR="00415CE2" w:rsidRPr="00415CE2" w:rsidRDefault="00415CE2" w:rsidP="00415CE2">
      <w:pPr>
        <w:pStyle w:val="SingleTxtGA"/>
        <w:jc w:val="right"/>
        <w:rPr>
          <w:rFonts w:hint="cs"/>
          <w:i/>
          <w:iCs/>
          <w:rtl/>
        </w:rPr>
      </w:pPr>
      <w:r w:rsidRPr="00415CE2">
        <w:rPr>
          <w:rFonts w:hint="cs"/>
          <w:i/>
          <w:iCs/>
          <w:rtl/>
        </w:rPr>
        <w:t xml:space="preserve">26 </w:t>
      </w:r>
      <w:r w:rsidRPr="00415CE2">
        <w:rPr>
          <w:rFonts w:hint="cs"/>
          <w:i/>
          <w:iCs/>
          <w:sz w:val="30"/>
          <w:rtl/>
        </w:rPr>
        <w:t xml:space="preserve">حزيران/يونيه </w:t>
      </w:r>
      <w:r w:rsidRPr="00415CE2">
        <w:rPr>
          <w:rFonts w:hint="cs"/>
          <w:i/>
          <w:iCs/>
          <w:rtl/>
        </w:rPr>
        <w:t>2014</w:t>
      </w:r>
    </w:p>
    <w:p w:rsidR="00415CE2" w:rsidRDefault="00415CE2" w:rsidP="008871BA">
      <w:pPr>
        <w:pStyle w:val="SingleTxtGA"/>
        <w:rPr>
          <w:rFonts w:hint="cs"/>
          <w:rtl/>
        </w:rPr>
      </w:pPr>
      <w:r>
        <w:rPr>
          <w:rFonts w:hint="cs"/>
          <w:rtl/>
        </w:rPr>
        <w:t>[اعتُمد دون تصويت.]</w:t>
      </w:r>
    </w:p>
    <w:p w:rsidR="00415CE2" w:rsidRPr="00415CE2" w:rsidRDefault="00415CE2" w:rsidP="00415CE2">
      <w:pPr>
        <w:spacing w:before="120"/>
        <w:jc w:val="center"/>
        <w:rPr>
          <w:rFonts w:hint="cs"/>
          <w:u w:val="single"/>
          <w:rtl/>
        </w:rPr>
      </w:pPr>
      <w:r>
        <w:rPr>
          <w:u w:val="single"/>
          <w:rtl/>
        </w:rPr>
        <w:tab/>
      </w:r>
      <w:r>
        <w:rPr>
          <w:u w:val="single"/>
          <w:rtl/>
        </w:rPr>
        <w:tab/>
      </w:r>
      <w:r>
        <w:rPr>
          <w:u w:val="single"/>
          <w:rtl/>
        </w:rPr>
        <w:tab/>
      </w:r>
    </w:p>
    <w:p w:rsidR="008871BA" w:rsidRDefault="008871BA" w:rsidP="008871BA">
      <w:pPr>
        <w:spacing w:line="260" w:lineRule="exact"/>
        <w:jc w:val="center"/>
        <w:rPr>
          <w:rFonts w:hint="cs"/>
          <w:u w:val="single"/>
          <w:rtl/>
        </w:rPr>
      </w:pPr>
    </w:p>
    <w:p w:rsidR="008871BA" w:rsidRPr="009A0C39" w:rsidRDefault="008871BA">
      <w:pPr>
        <w:rPr>
          <w:rFonts w:hint="cs"/>
          <w:rtl/>
        </w:rPr>
      </w:pPr>
    </w:p>
    <w:sectPr w:rsidR="008871BA" w:rsidRPr="009A0C39" w:rsidSect="00E40FE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4E6" w:rsidRPr="00FE6865" w:rsidRDefault="00C114E6" w:rsidP="00FE6865">
      <w:pPr>
        <w:pStyle w:val="Footer"/>
      </w:pPr>
    </w:p>
  </w:endnote>
  <w:endnote w:type="continuationSeparator" w:id="0">
    <w:p w:rsidR="00C114E6" w:rsidRDefault="00C114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E6" w:rsidRPr="00E40FE1" w:rsidRDefault="00C114E6" w:rsidP="00E40FE1">
    <w:pPr>
      <w:pStyle w:val="Footer"/>
      <w:tabs>
        <w:tab w:val="right" w:pos="9598"/>
      </w:tabs>
    </w:pPr>
    <w:r>
      <w:t>GE.14-08091</w:t>
    </w:r>
    <w:r>
      <w:tab/>
    </w:r>
    <w:r w:rsidRPr="00E40FE1">
      <w:rPr>
        <w:b/>
        <w:sz w:val="18"/>
      </w:rPr>
      <w:fldChar w:fldCharType="begin"/>
    </w:r>
    <w:r w:rsidRPr="00E40FE1">
      <w:rPr>
        <w:b/>
        <w:sz w:val="18"/>
      </w:rPr>
      <w:instrText xml:space="preserve"> PAGE  \* MERGEFORMAT </w:instrText>
    </w:r>
    <w:r w:rsidRPr="00E40FE1">
      <w:rPr>
        <w:b/>
        <w:sz w:val="18"/>
      </w:rPr>
      <w:fldChar w:fldCharType="separate"/>
    </w:r>
    <w:r>
      <w:rPr>
        <w:b/>
        <w:noProof/>
        <w:sz w:val="18"/>
      </w:rPr>
      <w:t>4</w:t>
    </w:r>
    <w:r w:rsidRPr="00E40FE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E6" w:rsidRPr="00E40FE1" w:rsidRDefault="00C114E6" w:rsidP="00E40FE1">
    <w:pPr>
      <w:pStyle w:val="Footer"/>
      <w:tabs>
        <w:tab w:val="right" w:pos="9598"/>
      </w:tabs>
      <w:rPr>
        <w:b/>
        <w:sz w:val="18"/>
      </w:rPr>
    </w:pPr>
    <w:r w:rsidRPr="00E40FE1">
      <w:rPr>
        <w:b/>
        <w:sz w:val="18"/>
      </w:rPr>
      <w:fldChar w:fldCharType="begin"/>
    </w:r>
    <w:r w:rsidRPr="00E40FE1">
      <w:rPr>
        <w:b/>
        <w:sz w:val="18"/>
      </w:rPr>
      <w:instrText xml:space="preserve"> PAGE  \* MERGEFORMAT </w:instrText>
    </w:r>
    <w:r w:rsidRPr="00E40FE1">
      <w:rPr>
        <w:b/>
        <w:sz w:val="18"/>
      </w:rPr>
      <w:fldChar w:fldCharType="separate"/>
    </w:r>
    <w:r>
      <w:rPr>
        <w:b/>
        <w:noProof/>
        <w:sz w:val="18"/>
      </w:rPr>
      <w:t>3</w:t>
    </w:r>
    <w:r w:rsidRPr="00E40FE1">
      <w:rPr>
        <w:b/>
        <w:sz w:val="18"/>
      </w:rPr>
      <w:fldChar w:fldCharType="end"/>
    </w:r>
    <w:r>
      <w:rPr>
        <w:b/>
        <w:sz w:val="18"/>
      </w:rPr>
      <w:tab/>
    </w:r>
    <w:r>
      <w:t>GE.14-08091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E6" w:rsidRDefault="00C114E6" w:rsidP="00EC62EF">
    <w:pPr>
      <w:pStyle w:val="Footer"/>
      <w:jc w:val="right"/>
    </w:pPr>
    <w:r>
      <w:rPr>
        <w:sz w:val="20"/>
      </w:rPr>
      <w:t>(A)   GE.14-08091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290814    010914</w:t>
    </w:r>
    <w:r>
      <w:br/>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sidRPr="00F8435A">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1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4E6" w:rsidRDefault="00C114E6" w:rsidP="009A0C39">
      <w:pPr>
        <w:spacing w:after="80" w:line="200" w:lineRule="atLeast"/>
        <w:ind w:left="680"/>
      </w:pPr>
      <w:r w:rsidRPr="00C10C26">
        <w:rPr>
          <w:sz w:val="16"/>
          <w:rtl/>
        </w:rPr>
        <w:t>__________</w:t>
      </w:r>
    </w:p>
  </w:footnote>
  <w:footnote w:type="continuationSeparator" w:id="0">
    <w:p w:rsidR="00C114E6" w:rsidRDefault="00C114E6" w:rsidP="00444AA6">
      <w:pPr>
        <w:pStyle w:val="Footer"/>
        <w:bidi/>
        <w:spacing w:after="80" w:line="200" w:lineRule="exact"/>
        <w:ind w:left="680"/>
      </w:pPr>
      <w:r>
        <w:rPr>
          <w:rFonts w:hint="cs"/>
          <w:rtl/>
        </w:rPr>
        <w:t>__________</w:t>
      </w:r>
    </w:p>
  </w:footnote>
  <w:footnote w:id="1">
    <w:p w:rsidR="00C114E6" w:rsidRPr="00593EC4" w:rsidRDefault="00C114E6" w:rsidP="008871BA">
      <w:pPr>
        <w:pStyle w:val="FootnoteText"/>
        <w:numPr>
          <w:ilvl w:val="0"/>
          <w:numId w:val="37"/>
        </w:numPr>
        <w:tabs>
          <w:tab w:val="clear" w:pos="1292"/>
          <w:tab w:val="num" w:pos="720"/>
          <w:tab w:val="left" w:pos="1253"/>
        </w:tabs>
        <w:spacing w:after="60" w:line="240" w:lineRule="exact"/>
        <w:ind w:left="1248" w:right="1247"/>
        <w:rPr>
          <w:rFonts w:hint="cs"/>
          <w:sz w:val="18"/>
          <w:szCs w:val="26"/>
        </w:rPr>
      </w:pPr>
      <w:r w:rsidRPr="00593EC4">
        <w:rPr>
          <w:sz w:val="18"/>
          <w:szCs w:val="26"/>
        </w:rPr>
        <w:t>A/HRC/20/22</w:t>
      </w:r>
      <w:r w:rsidRPr="00593EC4">
        <w:rPr>
          <w:rFonts w:hint="cs"/>
          <w:sz w:val="18"/>
          <w:szCs w:val="26"/>
          <w:rtl/>
        </w:rPr>
        <w:t>، و</w:t>
      </w:r>
      <w:r w:rsidRPr="00593EC4">
        <w:rPr>
          <w:sz w:val="18"/>
          <w:szCs w:val="26"/>
        </w:rPr>
        <w:t xml:space="preserve"> Corr.1</w:t>
      </w:r>
      <w:r w:rsidRPr="00593EC4">
        <w:rPr>
          <w:rFonts w:hint="cs"/>
          <w:sz w:val="18"/>
          <w:szCs w:val="26"/>
          <w:rtl/>
        </w:rPr>
        <w:t>.</w:t>
      </w:r>
    </w:p>
  </w:footnote>
  <w:footnote w:id="2">
    <w:p w:rsidR="00C114E6" w:rsidRPr="00593EC4" w:rsidRDefault="00C114E6" w:rsidP="008871BA">
      <w:pPr>
        <w:pStyle w:val="FootnoteText"/>
        <w:numPr>
          <w:ilvl w:val="0"/>
          <w:numId w:val="37"/>
        </w:numPr>
        <w:tabs>
          <w:tab w:val="clear" w:pos="1292"/>
          <w:tab w:val="num" w:pos="720"/>
          <w:tab w:val="left" w:pos="1253"/>
        </w:tabs>
        <w:spacing w:after="60" w:line="240" w:lineRule="exact"/>
        <w:ind w:left="1248" w:right="1247"/>
        <w:rPr>
          <w:sz w:val="18"/>
          <w:szCs w:val="26"/>
        </w:rPr>
      </w:pPr>
      <w:r w:rsidRPr="00593EC4">
        <w:rPr>
          <w:sz w:val="18"/>
          <w:szCs w:val="26"/>
        </w:rPr>
        <w:t>A/HRC/23/47</w:t>
      </w:r>
      <w:r w:rsidRPr="00593EC4">
        <w:rPr>
          <w:rFonts w:hint="cs"/>
          <w:sz w:val="18"/>
          <w:szCs w:val="26"/>
          <w:rtl/>
        </w:rPr>
        <w:t>.</w:t>
      </w:r>
    </w:p>
  </w:footnote>
  <w:footnote w:id="3">
    <w:p w:rsidR="00C114E6" w:rsidRPr="00593EC4" w:rsidRDefault="00C114E6" w:rsidP="008871BA">
      <w:pPr>
        <w:pStyle w:val="FootnoteText"/>
        <w:numPr>
          <w:ilvl w:val="0"/>
          <w:numId w:val="37"/>
        </w:numPr>
        <w:tabs>
          <w:tab w:val="clear" w:pos="1292"/>
          <w:tab w:val="num" w:pos="720"/>
          <w:tab w:val="left" w:pos="1253"/>
        </w:tabs>
        <w:spacing w:after="60" w:line="240" w:lineRule="exact"/>
        <w:ind w:left="1248" w:right="1247"/>
        <w:rPr>
          <w:sz w:val="18"/>
          <w:szCs w:val="26"/>
        </w:rPr>
      </w:pPr>
      <w:r w:rsidRPr="00593EC4">
        <w:rPr>
          <w:sz w:val="18"/>
          <w:szCs w:val="26"/>
        </w:rPr>
        <w:t>A/HRC/26/36</w:t>
      </w:r>
      <w:r w:rsidRPr="00593EC4">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E6" w:rsidRPr="00E40FE1" w:rsidRDefault="00C114E6" w:rsidP="00E40FE1">
    <w:pPr>
      <w:pStyle w:val="Header"/>
      <w:jc w:val="right"/>
    </w:pPr>
    <w:r w:rsidRPr="00E40FE1">
      <w:t>A/HRC/RES/26/12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E6" w:rsidRPr="00E40FE1" w:rsidRDefault="00C114E6" w:rsidP="00E40FE1">
    <w:pPr>
      <w:pStyle w:val="Header"/>
      <w:jc w:val="left"/>
    </w:pPr>
    <w:r w:rsidRPr="00E40FE1">
      <w:t>A/HRC/RES/26/12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0CBC"/>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B4356"/>
    <w:rsid w:val="003D5D43"/>
    <w:rsid w:val="003F08A8"/>
    <w:rsid w:val="00415CE2"/>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1684"/>
    <w:rsid w:val="00786B69"/>
    <w:rsid w:val="007B599E"/>
    <w:rsid w:val="007E197F"/>
    <w:rsid w:val="007F68C4"/>
    <w:rsid w:val="008153DE"/>
    <w:rsid w:val="00852A10"/>
    <w:rsid w:val="00862634"/>
    <w:rsid w:val="00866C59"/>
    <w:rsid w:val="00877306"/>
    <w:rsid w:val="008871BA"/>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83783"/>
    <w:rsid w:val="00AD0014"/>
    <w:rsid w:val="00AD4CF2"/>
    <w:rsid w:val="00AF0BBA"/>
    <w:rsid w:val="00B30468"/>
    <w:rsid w:val="00B54239"/>
    <w:rsid w:val="00B60E70"/>
    <w:rsid w:val="00B639B9"/>
    <w:rsid w:val="00BB0CBC"/>
    <w:rsid w:val="00BB2C41"/>
    <w:rsid w:val="00BC55C8"/>
    <w:rsid w:val="00BC5C10"/>
    <w:rsid w:val="00BE2964"/>
    <w:rsid w:val="00C114E6"/>
    <w:rsid w:val="00C24FBD"/>
    <w:rsid w:val="00C473BA"/>
    <w:rsid w:val="00C611ED"/>
    <w:rsid w:val="00C6490A"/>
    <w:rsid w:val="00C64FE1"/>
    <w:rsid w:val="00C66164"/>
    <w:rsid w:val="00C8345E"/>
    <w:rsid w:val="00CA4C17"/>
    <w:rsid w:val="00CA5F7C"/>
    <w:rsid w:val="00CE7C87"/>
    <w:rsid w:val="00D06637"/>
    <w:rsid w:val="00D51067"/>
    <w:rsid w:val="00D75657"/>
    <w:rsid w:val="00D95FF7"/>
    <w:rsid w:val="00D960AD"/>
    <w:rsid w:val="00DA0E0E"/>
    <w:rsid w:val="00DB0C39"/>
    <w:rsid w:val="00DB7679"/>
    <w:rsid w:val="00DD7617"/>
    <w:rsid w:val="00DE3904"/>
    <w:rsid w:val="00DF1702"/>
    <w:rsid w:val="00DF4DD8"/>
    <w:rsid w:val="00DF668E"/>
    <w:rsid w:val="00E05DE3"/>
    <w:rsid w:val="00E14D2B"/>
    <w:rsid w:val="00E20DBA"/>
    <w:rsid w:val="00E40FE1"/>
    <w:rsid w:val="00E660D6"/>
    <w:rsid w:val="00E771AB"/>
    <w:rsid w:val="00EA796F"/>
    <w:rsid w:val="00EB077B"/>
    <w:rsid w:val="00EC50B9"/>
    <w:rsid w:val="00EC62EF"/>
    <w:rsid w:val="00ED26A0"/>
    <w:rsid w:val="00F04473"/>
    <w:rsid w:val="00F1727A"/>
    <w:rsid w:val="00F34764"/>
    <w:rsid w:val="00F54E3C"/>
    <w:rsid w:val="00F8435A"/>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
    <w:link w:val="FootnoteText"/>
    <w:semiHidden/>
    <w:rsid w:val="008871BA"/>
    <w:rPr>
      <w:rFonts w:cs="Traditional Arabic"/>
      <w:lang w:val="en-US" w:eastAsia="en-US" w:bidi="ar-SA"/>
    </w:rPr>
  </w:style>
  <w:style w:type="character" w:customStyle="1" w:styleId="SingleTxtGAChar">
    <w:name w:val="_ Single Txt_GA Char"/>
    <w:basedOn w:val="DefaultParagraphFont"/>
    <w:link w:val="SingleTxtGA"/>
    <w:rsid w:val="008871BA"/>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1015</Words>
  <Characters>5786</Characters>
  <Application>Microsoft Office Outlook</Application>
  <DocSecurity>4</DocSecurity>
  <Lines>48</Lines>
  <Paragraphs>13</Paragraphs>
  <ScaleCrop>false</ScaleCrop>
  <HeadingPairs>
    <vt:vector size="2" baseType="variant">
      <vt:variant>
        <vt:lpstr>العنوان</vt:lpstr>
      </vt:variant>
      <vt:variant>
        <vt:i4>1</vt:i4>
      </vt:variant>
    </vt:vector>
  </HeadingPairs>
  <TitlesOfParts>
    <vt:vector size="1" baseType="lpstr">
      <vt:lpstr>A/HRC/RES/26/12</vt:lpstr>
    </vt:vector>
  </TitlesOfParts>
  <Company>CSD</Company>
  <LinksUpToDate>false</LinksUpToDate>
  <CharactersWithSpaces>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A/HRC/RES/26/12</dc:title>
  <dc:subject/>
  <dc:creator>BUHNAM</dc:creator>
  <cp:keywords/>
  <dc:description/>
  <cp:lastModifiedBy>TPS</cp:lastModifiedBy>
  <cp:revision>2</cp:revision>
  <cp:lastPrinted>2012-09-28T16:01:00Z</cp:lastPrinted>
  <dcterms:created xsi:type="dcterms:W3CDTF">2014-09-01T12:53:00Z</dcterms:created>
  <dcterms:modified xsi:type="dcterms:W3CDTF">2014-09-01T12:53:00Z</dcterms:modified>
</cp:coreProperties>
</file>