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12C9FDA" w14:textId="77777777" w:rsidTr="00213632">
        <w:trPr>
          <w:trHeight w:hRule="exact" w:val="851"/>
        </w:trPr>
        <w:tc>
          <w:tcPr>
            <w:tcW w:w="1276" w:type="dxa"/>
            <w:tcBorders>
              <w:bottom w:val="single" w:sz="4" w:space="0" w:color="auto"/>
            </w:tcBorders>
          </w:tcPr>
          <w:p w14:paraId="341FCCE2" w14:textId="77777777" w:rsidR="002D5AAC" w:rsidRDefault="002D5AAC" w:rsidP="00884104">
            <w:pPr>
              <w:kinsoku w:val="0"/>
              <w:overflowPunct w:val="0"/>
              <w:autoSpaceDE w:val="0"/>
              <w:autoSpaceDN w:val="0"/>
              <w:adjustRightInd w:val="0"/>
              <w:snapToGrid w:val="0"/>
            </w:pPr>
          </w:p>
        </w:tc>
        <w:tc>
          <w:tcPr>
            <w:tcW w:w="2268" w:type="dxa"/>
            <w:tcBorders>
              <w:bottom w:val="single" w:sz="4" w:space="0" w:color="auto"/>
            </w:tcBorders>
            <w:vAlign w:val="bottom"/>
          </w:tcPr>
          <w:p w14:paraId="4303BB70"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13AA084" w14:textId="5F4CA042" w:rsidR="002D5AAC" w:rsidRDefault="00884104" w:rsidP="00884104">
            <w:pPr>
              <w:jc w:val="right"/>
            </w:pPr>
            <w:r w:rsidRPr="00884104">
              <w:rPr>
                <w:sz w:val="40"/>
              </w:rPr>
              <w:t>CERD</w:t>
            </w:r>
            <w:r>
              <w:t>/C/SRB/Q/6-9</w:t>
            </w:r>
          </w:p>
        </w:tc>
      </w:tr>
      <w:tr w:rsidR="002D5AAC" w14:paraId="2C2F618C" w14:textId="77777777" w:rsidTr="00213632">
        <w:trPr>
          <w:trHeight w:hRule="exact" w:val="2835"/>
        </w:trPr>
        <w:tc>
          <w:tcPr>
            <w:tcW w:w="1276" w:type="dxa"/>
            <w:tcBorders>
              <w:top w:val="single" w:sz="4" w:space="0" w:color="auto"/>
              <w:bottom w:val="single" w:sz="12" w:space="0" w:color="auto"/>
            </w:tcBorders>
          </w:tcPr>
          <w:p w14:paraId="67FD3500" w14:textId="77777777" w:rsidR="002D5AAC" w:rsidRDefault="00CC15A3" w:rsidP="00213632">
            <w:pPr>
              <w:spacing w:before="120"/>
              <w:jc w:val="center"/>
            </w:pPr>
            <w:r>
              <w:rPr>
                <w:noProof/>
              </w:rPr>
              <w:drawing>
                <wp:inline distT="0" distB="0" distL="0" distR="0" wp14:anchorId="0389766F" wp14:editId="4B91207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E73F40"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67C2ADD3" w14:textId="77777777" w:rsidR="002D5AAC" w:rsidRDefault="00884104" w:rsidP="00213632">
            <w:pPr>
              <w:spacing w:before="240"/>
            </w:pPr>
            <w:r>
              <w:t>Distr. general</w:t>
            </w:r>
          </w:p>
          <w:p w14:paraId="5E277653" w14:textId="77777777" w:rsidR="00884104" w:rsidRDefault="00884104" w:rsidP="00884104">
            <w:pPr>
              <w:spacing w:line="240" w:lineRule="exact"/>
            </w:pPr>
            <w:r>
              <w:t>26 de febrero de 2026</w:t>
            </w:r>
          </w:p>
          <w:p w14:paraId="0CBD19D8" w14:textId="77777777" w:rsidR="00884104" w:rsidRDefault="00884104" w:rsidP="00884104">
            <w:pPr>
              <w:spacing w:line="240" w:lineRule="exact"/>
            </w:pPr>
            <w:r>
              <w:t>Español</w:t>
            </w:r>
          </w:p>
          <w:p w14:paraId="34835645" w14:textId="77777777" w:rsidR="00884104" w:rsidRDefault="00884104" w:rsidP="00884104">
            <w:pPr>
              <w:spacing w:line="240" w:lineRule="exact"/>
            </w:pPr>
            <w:r>
              <w:t>Original: inglés</w:t>
            </w:r>
          </w:p>
          <w:p w14:paraId="7D727CEC" w14:textId="3A05DA77" w:rsidR="00884104" w:rsidRDefault="00884104" w:rsidP="00884104">
            <w:pPr>
              <w:spacing w:line="240" w:lineRule="exact"/>
            </w:pPr>
            <w:r>
              <w:t>Español, francés e inglés únicamente</w:t>
            </w:r>
          </w:p>
        </w:tc>
      </w:tr>
    </w:tbl>
    <w:p w14:paraId="03CD635F" w14:textId="77777777" w:rsidR="00884104" w:rsidRPr="00884104" w:rsidRDefault="00884104" w:rsidP="00884104">
      <w:pPr>
        <w:spacing w:before="120" w:line="240" w:lineRule="auto"/>
        <w:rPr>
          <w:b/>
          <w:bCs/>
          <w:sz w:val="24"/>
          <w:szCs w:val="24"/>
          <w:lang w:val="en-GB"/>
        </w:rPr>
      </w:pPr>
      <w:r w:rsidRPr="00884104">
        <w:rPr>
          <w:b/>
          <w:bCs/>
          <w:sz w:val="24"/>
          <w:szCs w:val="24"/>
        </w:rPr>
        <w:t>Comité para la Eliminación de la Discriminación Racial</w:t>
      </w:r>
    </w:p>
    <w:p w14:paraId="7969E171" w14:textId="1A0E7624" w:rsidR="00884104" w:rsidRPr="00884104" w:rsidRDefault="00884104" w:rsidP="00884104">
      <w:pPr>
        <w:spacing w:line="240" w:lineRule="auto"/>
        <w:rPr>
          <w:lang w:val="en-GB"/>
        </w:rPr>
      </w:pPr>
      <w:r w:rsidRPr="00884104">
        <w:rPr>
          <w:b/>
          <w:bCs/>
        </w:rPr>
        <w:t>117º período de sesiones</w:t>
      </w:r>
    </w:p>
    <w:p w14:paraId="6DFA9326" w14:textId="77777777" w:rsidR="00884104" w:rsidRPr="00884104" w:rsidRDefault="00884104" w:rsidP="00884104">
      <w:pPr>
        <w:spacing w:line="240" w:lineRule="auto"/>
        <w:rPr>
          <w:lang w:val="en-GB"/>
        </w:rPr>
      </w:pPr>
      <w:r w:rsidRPr="00884104">
        <w:t>Ginebra, 13 de abril a 1 de mayo de 2026</w:t>
      </w:r>
    </w:p>
    <w:p w14:paraId="40EC169C" w14:textId="77777777" w:rsidR="00884104" w:rsidRPr="00884104" w:rsidRDefault="00884104" w:rsidP="00884104">
      <w:pPr>
        <w:spacing w:line="240" w:lineRule="auto"/>
        <w:rPr>
          <w:b/>
          <w:bCs/>
          <w:lang w:val="en-GB"/>
        </w:rPr>
      </w:pPr>
      <w:r w:rsidRPr="00884104">
        <w:t>Tema 6 del programa provisional</w:t>
      </w:r>
    </w:p>
    <w:p w14:paraId="3C2C379D" w14:textId="77777777" w:rsidR="00884104" w:rsidRPr="00884104" w:rsidRDefault="00884104" w:rsidP="00884104">
      <w:pPr>
        <w:spacing w:line="240" w:lineRule="auto"/>
        <w:rPr>
          <w:b/>
          <w:bCs/>
          <w:lang w:val="en-GB"/>
        </w:rPr>
      </w:pPr>
      <w:r w:rsidRPr="00884104">
        <w:rPr>
          <w:b/>
          <w:bCs/>
        </w:rPr>
        <w:t>Examen de los informes, las observaciones y la información presentados</w:t>
      </w:r>
    </w:p>
    <w:p w14:paraId="075E4CD1" w14:textId="77777777" w:rsidR="00884104" w:rsidRPr="00884104" w:rsidRDefault="00884104" w:rsidP="00884104">
      <w:pPr>
        <w:spacing w:line="240" w:lineRule="auto"/>
        <w:rPr>
          <w:b/>
          <w:bCs/>
          <w:lang w:val="en-GB"/>
        </w:rPr>
      </w:pPr>
      <w:r w:rsidRPr="00884104">
        <w:rPr>
          <w:b/>
          <w:bCs/>
        </w:rPr>
        <w:t>por los Estados Partes en virtud del artículo 9 de la Convención</w:t>
      </w:r>
    </w:p>
    <w:p w14:paraId="47B5AC0B" w14:textId="0C671AA4" w:rsidR="00884104" w:rsidRPr="00884104" w:rsidRDefault="00884104" w:rsidP="00884104">
      <w:pPr>
        <w:pStyle w:val="HChG"/>
        <w:rPr>
          <w:lang w:val="en-GB"/>
        </w:rPr>
      </w:pPr>
      <w:r>
        <w:tab/>
      </w:r>
      <w:r w:rsidRPr="00884104">
        <w:tab/>
        <w:t>Lista de temas relativa a los informes periódicos sexto a</w:t>
      </w:r>
      <w:r>
        <w:t> </w:t>
      </w:r>
      <w:r w:rsidRPr="00884104">
        <w:t>noveno combinados de Serbia</w:t>
      </w:r>
    </w:p>
    <w:p w14:paraId="1F95EBBA" w14:textId="7A7C6889" w:rsidR="00884104" w:rsidRPr="00884104" w:rsidRDefault="00884104" w:rsidP="00884104">
      <w:pPr>
        <w:pStyle w:val="H1G"/>
        <w:rPr>
          <w:lang w:val="en-GB"/>
        </w:rPr>
      </w:pPr>
      <w:r>
        <w:tab/>
      </w:r>
      <w:r w:rsidRPr="00884104">
        <w:tab/>
        <w:t>Nota de la Relatoría para el país</w:t>
      </w:r>
    </w:p>
    <w:p w14:paraId="55810E38" w14:textId="39D7BD55" w:rsidR="00884104" w:rsidRPr="00884104" w:rsidRDefault="00884104" w:rsidP="00884104">
      <w:pPr>
        <w:pStyle w:val="SingleTxtG"/>
        <w:rPr>
          <w:lang w:val="en-GB"/>
        </w:rPr>
      </w:pPr>
      <w:r w:rsidRPr="00884104">
        <w:t>1.</w:t>
      </w:r>
      <w:r w:rsidRPr="00884104">
        <w:tab/>
        <w:t>El Comité para la Eliminación de la Discriminación Racial decidió en su 76º período de sesiones</w:t>
      </w:r>
      <w:r w:rsidRPr="00884104">
        <w:rPr>
          <w:rStyle w:val="Refdenotaalpie"/>
        </w:rPr>
        <w:footnoteReference w:id="1"/>
      </w:r>
      <w:r w:rsidRPr="00884104">
        <w:t xml:space="preserve"> que la Relatoría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w:t>
      </w:r>
    </w:p>
    <w:p w14:paraId="530B5767" w14:textId="0A4ED9C6" w:rsidR="00884104" w:rsidRPr="00884104" w:rsidRDefault="00884104" w:rsidP="00884104">
      <w:pPr>
        <w:pStyle w:val="H23G"/>
        <w:rPr>
          <w:lang w:val="en-GB"/>
        </w:rPr>
      </w:pPr>
      <w:r>
        <w:tab/>
      </w:r>
      <w:r w:rsidRPr="00884104">
        <w:tab/>
        <w:t>Estadísticas</w:t>
      </w:r>
    </w:p>
    <w:p w14:paraId="7524FB2F" w14:textId="0E0526C6" w:rsidR="00884104" w:rsidRPr="00884104" w:rsidRDefault="00884104" w:rsidP="00884104">
      <w:pPr>
        <w:pStyle w:val="SingleTxtG"/>
        <w:rPr>
          <w:lang w:val="en-GB"/>
        </w:rPr>
      </w:pPr>
      <w:r w:rsidRPr="00884104">
        <w:t>2.</w:t>
      </w:r>
      <w:r w:rsidRPr="00884104">
        <w:tab/>
        <w:t>Estadísticas actualizadas sobre la composición demográfica de la población basados en la autoidentificación, desglosadas por origen étnico y condición de migrante, refugiado, solicitante de asilo, desplazado interno y apátrida. Indicadores económicos y sociales sobre los distintos grupos que viven en el territorio del Estado Parte, desglosados por origen nacional o étnico, género y edad, especialmente en relación con los grupos minoritarios</w:t>
      </w:r>
      <w:r w:rsidRPr="00884104">
        <w:rPr>
          <w:rStyle w:val="Refdenotaalpie"/>
        </w:rPr>
        <w:footnoteReference w:id="2"/>
      </w:r>
      <w:r w:rsidRPr="00884104">
        <w:t>.</w:t>
      </w:r>
    </w:p>
    <w:p w14:paraId="26C52214" w14:textId="26EF9214" w:rsidR="00884104" w:rsidRPr="00884104" w:rsidRDefault="00884104" w:rsidP="00884104">
      <w:pPr>
        <w:pStyle w:val="H23G"/>
        <w:rPr>
          <w:lang w:val="en-GB"/>
        </w:rPr>
      </w:pPr>
      <w:r>
        <w:tab/>
      </w:r>
      <w:r w:rsidRPr="00884104">
        <w:tab/>
        <w:t>La Convención en el derecho interno y el marco institucional y normativo para</w:t>
      </w:r>
      <w:r>
        <w:t> </w:t>
      </w:r>
      <w:r w:rsidRPr="00884104">
        <w:t>su</w:t>
      </w:r>
      <w:r>
        <w:t> </w:t>
      </w:r>
      <w:r w:rsidRPr="00884104">
        <w:t>aplicación (arts. 1, 2, 4 y 6)</w:t>
      </w:r>
    </w:p>
    <w:p w14:paraId="73B9113C" w14:textId="4FC3C489" w:rsidR="00884104" w:rsidRPr="00884104" w:rsidRDefault="00884104" w:rsidP="00884104">
      <w:pPr>
        <w:pStyle w:val="SingleTxtG"/>
        <w:rPr>
          <w:lang w:val="en-GB"/>
        </w:rPr>
      </w:pPr>
      <w:r w:rsidRPr="00884104">
        <w:t>3.</w:t>
      </w:r>
      <w:r w:rsidRPr="00884104">
        <w:tab/>
        <w:t>Información sobre el marco legislativo de lucha contra la discriminación racial y su aplicación, teniendo en cuenta en particular las modificaciones introducidas en mayo de 2021 en la Ley de Prohibición de la Discriminación y en mayo de 2019 en el Código Penal. Información sobre las medidas adoptadas para armonizar el marco jurídico nacional sobre la prohibición de la discriminación racial con los artículos 1, 2 y 4 de la Convención</w:t>
      </w:r>
      <w:r w:rsidRPr="00884104">
        <w:rPr>
          <w:rStyle w:val="Refdenotaalpie"/>
        </w:rPr>
        <w:footnoteReference w:id="3"/>
      </w:r>
      <w:r w:rsidRPr="00884104">
        <w:t>.</w:t>
      </w:r>
    </w:p>
    <w:p w14:paraId="1DD71EF0" w14:textId="77777777" w:rsidR="00884104" w:rsidRPr="00884104" w:rsidRDefault="00884104" w:rsidP="00884104">
      <w:pPr>
        <w:pStyle w:val="SingleTxtG"/>
        <w:rPr>
          <w:lang w:val="en-GB"/>
        </w:rPr>
      </w:pPr>
      <w:r w:rsidRPr="00884104">
        <w:t>4.</w:t>
      </w:r>
      <w:r w:rsidRPr="00884104">
        <w:tab/>
        <w:t>Información sobre el marco normativo de lucha contra el racismo, la discriminación racial y la intolerancia, en particular sobre el alcance y la aplicación de la Estrategia Nacional de Prevención y Protección contra la Discriminación (2022-2030)</w:t>
      </w:r>
      <w:r w:rsidRPr="00884104">
        <w:rPr>
          <w:rStyle w:val="Refdenotaalpie"/>
        </w:rPr>
        <w:footnoteReference w:id="4"/>
      </w:r>
      <w:r w:rsidRPr="00884104">
        <w:t>.</w:t>
      </w:r>
    </w:p>
    <w:p w14:paraId="60CAA5A4" w14:textId="77777777" w:rsidR="00884104" w:rsidRPr="00884104" w:rsidRDefault="00884104" w:rsidP="00884104">
      <w:pPr>
        <w:pStyle w:val="SingleTxtG"/>
        <w:rPr>
          <w:lang w:val="en-GB"/>
        </w:rPr>
      </w:pPr>
      <w:r w:rsidRPr="00884104">
        <w:t>5.</w:t>
      </w:r>
      <w:r w:rsidRPr="00884104">
        <w:tab/>
        <w:t>Información actualizada sobre otras medidas adoptadas para combatir el discurso de odio racista, en particular en el discurso político, los medios de comunicación e Internet</w:t>
      </w:r>
      <w:r w:rsidRPr="00884104">
        <w:rPr>
          <w:rStyle w:val="Refdenotaalpie"/>
        </w:rPr>
        <w:footnoteReference w:id="5"/>
      </w:r>
      <w:r w:rsidRPr="00884104">
        <w:t>.</w:t>
      </w:r>
    </w:p>
    <w:p w14:paraId="59417738" w14:textId="77777777" w:rsidR="00884104" w:rsidRPr="00884104" w:rsidRDefault="00884104" w:rsidP="00884104">
      <w:pPr>
        <w:pStyle w:val="SingleTxtG"/>
        <w:rPr>
          <w:lang w:val="en-GB"/>
        </w:rPr>
      </w:pPr>
      <w:r w:rsidRPr="00884104">
        <w:lastRenderedPageBreak/>
        <w:t>6.</w:t>
      </w:r>
      <w:r w:rsidRPr="00884104">
        <w:tab/>
        <w:t>Medidas adoptadas o previstas para impedir que los policías y otros agentes del orden incurran en discriminación racial, en particular en actos de violencia por motivos raciales y prácticas constitutivas de perfilamiento racial</w:t>
      </w:r>
      <w:r w:rsidRPr="00884104">
        <w:rPr>
          <w:rStyle w:val="Refdenotaalpie"/>
        </w:rPr>
        <w:footnoteReference w:id="6"/>
      </w:r>
      <w:r w:rsidRPr="00884104">
        <w:t>.</w:t>
      </w:r>
    </w:p>
    <w:p w14:paraId="3F8775BD" w14:textId="77777777" w:rsidR="00884104" w:rsidRPr="00884104" w:rsidRDefault="00884104" w:rsidP="00884104">
      <w:pPr>
        <w:pStyle w:val="SingleTxtG"/>
        <w:rPr>
          <w:lang w:val="en-GB"/>
        </w:rPr>
      </w:pPr>
      <w:r w:rsidRPr="00884104">
        <w:t>7.</w:t>
      </w:r>
      <w:r w:rsidRPr="00884104">
        <w:tab/>
        <w:t>Información actualizada y detallada sobre las denuncias registradas ante los tribunales o cualquier otra institución nacional, más concretamente ante el Comisionado para la Protección de la Igualdad y el Defensor del Ciudadano, por actos de discriminación racial, discurso y delitos de odio racista, incluidos los ocurridos en Internet y en los medios de comunicación, e información sobre el resultado de esas denuncias, así como sobre las investigaciones abiertas, los enjuiciamientos incoados y las condenas y medidas disciplinarias dictadas contra los autores, y las reparaciones concedidas a las víctimas</w:t>
      </w:r>
      <w:r w:rsidRPr="00884104">
        <w:rPr>
          <w:rStyle w:val="Refdenotaalpie"/>
        </w:rPr>
        <w:footnoteReference w:id="7"/>
      </w:r>
      <w:r w:rsidRPr="00884104">
        <w:t>.</w:t>
      </w:r>
    </w:p>
    <w:p w14:paraId="4ABC97B2" w14:textId="0BCA5209" w:rsidR="00884104" w:rsidRPr="00884104" w:rsidRDefault="00884104" w:rsidP="00884104">
      <w:pPr>
        <w:pStyle w:val="SingleTxtG"/>
        <w:rPr>
          <w:lang w:val="en-GB"/>
        </w:rPr>
      </w:pPr>
      <w:r w:rsidRPr="00884104">
        <w:t>8.</w:t>
      </w:r>
      <w:r w:rsidRPr="00884104">
        <w:tab/>
        <w:t>Información actualizada y detallada sobre las medidas adoptadas para garantizar y reforzar la independencia del poder judicial, en particular sobre la reforma constitucional de</w:t>
      </w:r>
      <w:r>
        <w:t> </w:t>
      </w:r>
      <w:r w:rsidRPr="00884104">
        <w:t>2022</w:t>
      </w:r>
      <w:r w:rsidRPr="00884104">
        <w:rPr>
          <w:rStyle w:val="Refdenotaalpie"/>
        </w:rPr>
        <w:footnoteReference w:id="8"/>
      </w:r>
      <w:r w:rsidRPr="00884104">
        <w:t>.</w:t>
      </w:r>
    </w:p>
    <w:p w14:paraId="40145ECE" w14:textId="6BB9D6D1" w:rsidR="00884104" w:rsidRPr="00884104" w:rsidRDefault="00884104" w:rsidP="00884104">
      <w:pPr>
        <w:pStyle w:val="SingleTxtG"/>
        <w:rPr>
          <w:lang w:val="en-GB"/>
        </w:rPr>
      </w:pPr>
      <w:r w:rsidRPr="00884104">
        <w:t>9.</w:t>
      </w:r>
      <w:r w:rsidRPr="00884104">
        <w:tab/>
        <w:t>Información actualizada sobre las medidas adoptadas para reforzar los servicios de asistencia jurídica y garantizar su disponibilidad, así como para prestar asistencia letrada con el fin de facilitar la sustanciación de procesos judiciales por casos de discriminación racial, concretamente información sobre la aplicación de la Ley de Asistencia Jurídica Gratuita</w:t>
      </w:r>
      <w:r w:rsidRPr="00884104">
        <w:rPr>
          <w:rStyle w:val="Refdenotaalpie"/>
        </w:rPr>
        <w:footnoteReference w:id="9"/>
      </w:r>
      <w:r w:rsidRPr="00884104">
        <w:t>.</w:t>
      </w:r>
    </w:p>
    <w:p w14:paraId="6885E830" w14:textId="53730EEE" w:rsidR="00884104" w:rsidRPr="00884104" w:rsidRDefault="00884104" w:rsidP="00884104">
      <w:pPr>
        <w:pStyle w:val="H23G"/>
        <w:rPr>
          <w:lang w:val="en-GB"/>
        </w:rPr>
      </w:pPr>
      <w:r>
        <w:tab/>
      </w:r>
      <w:r w:rsidRPr="00884104">
        <w:tab/>
        <w:t>Situación de los grupos étnicos minoritarios (arts. 2, 5 y 6)</w:t>
      </w:r>
    </w:p>
    <w:p w14:paraId="74297418" w14:textId="77777777" w:rsidR="00884104" w:rsidRPr="00884104" w:rsidRDefault="00884104" w:rsidP="00884104">
      <w:pPr>
        <w:pStyle w:val="SingleTxtG"/>
        <w:rPr>
          <w:lang w:val="en-GB"/>
        </w:rPr>
      </w:pPr>
      <w:r w:rsidRPr="00884104">
        <w:t>10.</w:t>
      </w:r>
      <w:r w:rsidRPr="00884104">
        <w:tab/>
        <w:t>Información actualizada sobre las medidas adoptadas para garantizar que los miembros de los grupos étnicos minoritarios disfruten sin discriminación de todos los derechos recogidos en la Convención, en particular los derechos económicos, sociales y culturales, y que puedan contar con una participación y representación efectivas en la vida pública y política, especialmente en las instituciones estatales, las fuerzas del orden y el poder judicial</w:t>
      </w:r>
      <w:r w:rsidRPr="00884104">
        <w:rPr>
          <w:rStyle w:val="Refdenotaalpie"/>
        </w:rPr>
        <w:footnoteReference w:id="10"/>
      </w:r>
      <w:r w:rsidRPr="00884104">
        <w:t>. Información actualizada sobre el mandato y actividades de los consejos nacionales de minorías nacionales y los recursos que se les asignan para llevar a cabo su mandato</w:t>
      </w:r>
      <w:r w:rsidRPr="00884104">
        <w:rPr>
          <w:rStyle w:val="Refdenotaalpie"/>
        </w:rPr>
        <w:footnoteReference w:id="11"/>
      </w:r>
      <w:r w:rsidRPr="00884104">
        <w:t>.</w:t>
      </w:r>
    </w:p>
    <w:p w14:paraId="7557A3D1" w14:textId="77777777" w:rsidR="00884104" w:rsidRPr="00884104" w:rsidRDefault="00884104" w:rsidP="00884104">
      <w:pPr>
        <w:pStyle w:val="SingleTxtG"/>
        <w:rPr>
          <w:lang w:val="en-GB"/>
        </w:rPr>
      </w:pPr>
      <w:r w:rsidRPr="00884104">
        <w:t>11.</w:t>
      </w:r>
      <w:r w:rsidRPr="00884104">
        <w:tab/>
        <w:t>Información sobre los resultados obtenidos y sobre toda posible evaluación relativa a la aplicación de la Estrategia de Inclusión Social de los Romaníes en la República de Serbia (2016-2025), así como sobre las medidas adoptadas para elaborar una nueva estrategia nacional integral, en la que se garantice la consulta y participación de la población romaní en los procesos de elaboración y aplicación</w:t>
      </w:r>
      <w:r w:rsidRPr="00884104">
        <w:rPr>
          <w:rStyle w:val="Refdenotaalpie"/>
        </w:rPr>
        <w:footnoteReference w:id="12"/>
      </w:r>
      <w:r w:rsidRPr="00884104">
        <w:t>.</w:t>
      </w:r>
    </w:p>
    <w:p w14:paraId="3E3486BB" w14:textId="001095CF" w:rsidR="00884104" w:rsidRPr="00884104" w:rsidRDefault="00884104" w:rsidP="00884104">
      <w:pPr>
        <w:pStyle w:val="SingleTxtG"/>
        <w:rPr>
          <w:lang w:val="en-GB"/>
        </w:rPr>
      </w:pPr>
      <w:r w:rsidRPr="00884104">
        <w:t>12.</w:t>
      </w:r>
      <w:r w:rsidRPr="00884104">
        <w:tab/>
        <w:t>Información sobre las medidas adoptadas o previstas para combatir los estereotipos y la discriminación estructural contra los romaníes y velar por su pleno disfrute, en condiciones de igualdad, de los derechos económicos, sociales y culturales, en particular el acceso a la educación y una vivienda adecuada</w:t>
      </w:r>
      <w:r w:rsidRPr="00884104">
        <w:rPr>
          <w:rStyle w:val="Refdenotaalpie"/>
        </w:rPr>
        <w:footnoteReference w:id="13"/>
      </w:r>
      <w:r w:rsidRPr="00884104">
        <w:t xml:space="preserve">. Medidas adoptadas para garantizar que los niños romaníes tengan igualdad de acceso a una educación de calidad y para prevenir la segregación </w:t>
      </w:r>
      <w:r w:rsidRPr="00884104">
        <w:rPr>
          <w:i/>
          <w:iCs/>
        </w:rPr>
        <w:t>de facto</w:t>
      </w:r>
      <w:r w:rsidRPr="00884104">
        <w:t xml:space="preserve"> de los alumnos romaníes</w:t>
      </w:r>
      <w:r w:rsidRPr="00884104">
        <w:rPr>
          <w:rStyle w:val="Refdenotaalpie"/>
        </w:rPr>
        <w:footnoteReference w:id="14"/>
      </w:r>
      <w:r w:rsidRPr="00884104">
        <w:t>.</w:t>
      </w:r>
    </w:p>
    <w:p w14:paraId="00218CE1" w14:textId="6CBABAE4" w:rsidR="00884104" w:rsidRPr="00884104" w:rsidRDefault="00884104" w:rsidP="00884104">
      <w:pPr>
        <w:pStyle w:val="SingleTxtG"/>
        <w:rPr>
          <w:lang w:val="en-GB"/>
        </w:rPr>
      </w:pPr>
      <w:r w:rsidRPr="00884104">
        <w:t>13.</w:t>
      </w:r>
      <w:r w:rsidRPr="00884104">
        <w:tab/>
        <w:t>Información sobre el proceso de justicia transicional, la rendición de cuentas por violaciones de derechos humanos cometidas en el pasado y la negación de crímenes de guerra</w:t>
      </w:r>
      <w:r w:rsidRPr="00884104">
        <w:rPr>
          <w:rStyle w:val="Refdenotaalpie"/>
        </w:rPr>
        <w:footnoteReference w:id="15"/>
      </w:r>
      <w:r w:rsidRPr="00884104">
        <w:t>.</w:t>
      </w:r>
    </w:p>
    <w:p w14:paraId="22263828" w14:textId="77777777" w:rsidR="00884104" w:rsidRPr="00884104" w:rsidRDefault="00884104" w:rsidP="00884104">
      <w:pPr>
        <w:pStyle w:val="SingleTxtG"/>
        <w:rPr>
          <w:lang w:val="en-GB"/>
        </w:rPr>
      </w:pPr>
      <w:r w:rsidRPr="00884104">
        <w:t>14.</w:t>
      </w:r>
      <w:r w:rsidRPr="00884104">
        <w:tab/>
        <w:t>Información sobre las medidas adoptadas para facilitar el retorno sostenible y la reintegración de los refugiados de guerra</w:t>
      </w:r>
      <w:r w:rsidRPr="00884104">
        <w:rPr>
          <w:rStyle w:val="Refdenotaalpie"/>
        </w:rPr>
        <w:footnoteReference w:id="16"/>
      </w:r>
      <w:r w:rsidRPr="00884104">
        <w:t>.</w:t>
      </w:r>
    </w:p>
    <w:p w14:paraId="2F4514A6" w14:textId="39200B36" w:rsidR="00884104" w:rsidRPr="00884104" w:rsidRDefault="00884104" w:rsidP="00884104">
      <w:pPr>
        <w:pStyle w:val="H23G"/>
        <w:rPr>
          <w:lang w:val="en-GB"/>
        </w:rPr>
      </w:pPr>
      <w:r>
        <w:lastRenderedPageBreak/>
        <w:tab/>
      </w:r>
      <w:r w:rsidRPr="00884104">
        <w:tab/>
        <w:t>Situación de los migrantes, los solicitantes de asilo, los refugiados y los apátridas (arts.</w:t>
      </w:r>
      <w:r>
        <w:t> </w:t>
      </w:r>
      <w:r w:rsidRPr="00884104">
        <w:t>2 y 5)</w:t>
      </w:r>
    </w:p>
    <w:p w14:paraId="0835FC6D" w14:textId="77777777" w:rsidR="00884104" w:rsidRPr="00884104" w:rsidRDefault="00884104" w:rsidP="00884104">
      <w:pPr>
        <w:pStyle w:val="SingleTxtG"/>
        <w:rPr>
          <w:lang w:val="en-GB"/>
        </w:rPr>
      </w:pPr>
      <w:r w:rsidRPr="00884104">
        <w:t>15.</w:t>
      </w:r>
      <w:r w:rsidRPr="00884104">
        <w:tab/>
        <w:t>Información actualizada sobre los marcos legislativos y normativos relativos a los solicitantes de asilo y los refugiados y sobre las medidas adoptadas para garantizar el acceso, sin discriminación, a la educación, el empleo y los servicios de atención de la salud a todas las personas que se encuentran bajo la jurisdicción del Estado Parte</w:t>
      </w:r>
      <w:r w:rsidRPr="00884104">
        <w:rPr>
          <w:rStyle w:val="Refdenotaalpie"/>
        </w:rPr>
        <w:footnoteReference w:id="17"/>
      </w:r>
      <w:r w:rsidRPr="00884104">
        <w:t>.</w:t>
      </w:r>
    </w:p>
    <w:p w14:paraId="1A218617" w14:textId="77777777" w:rsidR="00884104" w:rsidRPr="00884104" w:rsidRDefault="00884104" w:rsidP="00884104">
      <w:pPr>
        <w:pStyle w:val="SingleTxtG"/>
        <w:rPr>
          <w:lang w:val="en-GB"/>
        </w:rPr>
      </w:pPr>
      <w:r w:rsidRPr="00884104">
        <w:t>16.</w:t>
      </w:r>
      <w:r w:rsidRPr="00884104">
        <w:tab/>
        <w:t>Información sobre las medidas adoptadas para facilitar el acceso al territorio a las personas que necesitan protección internacional, respetar el principio de no devolución e investigar las denuncias de devolución y expulsión de migrantes, refugiados y solicitantes de asilo</w:t>
      </w:r>
      <w:r w:rsidRPr="00884104">
        <w:rPr>
          <w:rStyle w:val="Refdenotaalpie"/>
        </w:rPr>
        <w:footnoteReference w:id="18"/>
      </w:r>
      <w:r w:rsidRPr="00884104">
        <w:t>.</w:t>
      </w:r>
    </w:p>
    <w:p w14:paraId="1321E571" w14:textId="1D5ADF01" w:rsidR="00884104" w:rsidRPr="00884104" w:rsidRDefault="00884104" w:rsidP="00884104">
      <w:pPr>
        <w:pStyle w:val="SingleTxtG"/>
        <w:rPr>
          <w:lang w:val="en-GB"/>
        </w:rPr>
      </w:pPr>
      <w:r w:rsidRPr="00884104">
        <w:t>17.</w:t>
      </w:r>
      <w:r w:rsidRPr="00884104">
        <w:tab/>
        <w:t>Información actualizada sobre las medidas adoptadas para prevenir y combatir la trata de personas y sobre los efectos de esas medidas, así como sobre los casos de trata denunciados y enjuiciados y los fallos condenatorios dictados</w:t>
      </w:r>
      <w:r w:rsidRPr="00884104">
        <w:rPr>
          <w:rStyle w:val="Refdenotaalpie"/>
        </w:rPr>
        <w:footnoteReference w:id="19"/>
      </w:r>
      <w:r w:rsidRPr="00884104">
        <w:t>.</w:t>
      </w:r>
    </w:p>
    <w:p w14:paraId="166BE5A9" w14:textId="77777777" w:rsidR="00884104" w:rsidRPr="00884104" w:rsidRDefault="00884104" w:rsidP="00884104">
      <w:pPr>
        <w:pStyle w:val="SingleTxtG"/>
        <w:rPr>
          <w:lang w:val="en-GB"/>
        </w:rPr>
      </w:pPr>
      <w:r w:rsidRPr="00884104">
        <w:t>18.</w:t>
      </w:r>
      <w:r w:rsidRPr="00884104">
        <w:tab/>
        <w:t>Medidas adoptadas para prevenir la apatridia y proteger contra ella, y estadísticas actualizadas sobre los apátridas y las personas en riesgo de apatridia</w:t>
      </w:r>
      <w:r w:rsidRPr="00884104">
        <w:rPr>
          <w:rStyle w:val="Refdenotaalpie"/>
        </w:rPr>
        <w:footnoteReference w:id="20"/>
      </w:r>
      <w:r w:rsidRPr="00884104">
        <w:t>.</w:t>
      </w:r>
    </w:p>
    <w:p w14:paraId="4456546B" w14:textId="5B68D182" w:rsidR="00884104" w:rsidRPr="00884104" w:rsidRDefault="00884104" w:rsidP="00884104">
      <w:pPr>
        <w:pStyle w:val="H23G"/>
        <w:rPr>
          <w:lang w:val="en-GB"/>
        </w:rPr>
      </w:pPr>
      <w:r>
        <w:tab/>
      </w:r>
      <w:r w:rsidRPr="00884104">
        <w:tab/>
        <w:t xml:space="preserve">Educación en derechos humanos para combatir los prejuicios </w:t>
      </w:r>
      <w:r>
        <w:br/>
      </w:r>
      <w:r w:rsidRPr="00884104">
        <w:t>y la intolerancia (art. 7)</w:t>
      </w:r>
    </w:p>
    <w:p w14:paraId="55CFB83D" w14:textId="3EF16669" w:rsidR="00884104" w:rsidRDefault="00884104" w:rsidP="00884104">
      <w:pPr>
        <w:pStyle w:val="SingleTxtG"/>
      </w:pPr>
      <w:r w:rsidRPr="007B6B08">
        <w:t>19.</w:t>
      </w:r>
      <w:r w:rsidRPr="007B6B08">
        <w:tab/>
        <w:t>Información sobre las medidas adoptadas para promover la educación en derechos humanos, incluida la educación contra la discriminación racial, en todos los planes de estudios, programas universitarios y programas de capacitación docente, así como sobre las medidas adoptadas para concienciar a la población general, los funcionarios, las fuerzas del orden y las autoridades judiciales acerca de la importancia de la diversidad cultural y de la tolerancia</w:t>
      </w:r>
      <w:r w:rsidRPr="007B6B08">
        <w:rPr>
          <w:rStyle w:val="Refdenotaalpie"/>
        </w:rPr>
        <w:footnoteReference w:id="21"/>
      </w:r>
      <w:r w:rsidRPr="007B6B08">
        <w:t>.</w:t>
      </w:r>
    </w:p>
    <w:p w14:paraId="05AEE717" w14:textId="5F3A5313" w:rsidR="00381C24" w:rsidRPr="00884104" w:rsidRDefault="00884104" w:rsidP="00884104">
      <w:pPr>
        <w:pStyle w:val="SingleTxtG"/>
        <w:suppressAutoHyphens/>
        <w:spacing w:before="240" w:after="0"/>
        <w:jc w:val="center"/>
        <w:rPr>
          <w:u w:val="single"/>
        </w:rPr>
      </w:pPr>
      <w:r>
        <w:rPr>
          <w:u w:val="single"/>
        </w:rPr>
        <w:tab/>
      </w:r>
      <w:r>
        <w:rPr>
          <w:u w:val="single"/>
        </w:rPr>
        <w:tab/>
      </w:r>
      <w:r>
        <w:rPr>
          <w:u w:val="single"/>
        </w:rPr>
        <w:tab/>
      </w:r>
    </w:p>
    <w:sectPr w:rsidR="00381C24" w:rsidRPr="00884104" w:rsidSect="0088410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AEFF6A" w14:textId="77777777" w:rsidR="00E316E6" w:rsidRPr="00D43FF0" w:rsidRDefault="00E316E6" w:rsidP="00D43FF0">
      <w:pPr>
        <w:pStyle w:val="Piedepgina"/>
      </w:pPr>
    </w:p>
  </w:endnote>
  <w:endnote w:type="continuationSeparator" w:id="0">
    <w:p w14:paraId="3FB6B883" w14:textId="77777777" w:rsidR="00E316E6" w:rsidRPr="00D43FF0" w:rsidRDefault="00E316E6"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87A6A" w14:textId="2BA16B13" w:rsidR="00884104" w:rsidRPr="00884104" w:rsidRDefault="00884104" w:rsidP="00884104">
    <w:pPr>
      <w:pStyle w:val="Piedepgina"/>
      <w:tabs>
        <w:tab w:val="right" w:pos="9638"/>
      </w:tabs>
    </w:pPr>
    <w:r w:rsidRPr="00884104">
      <w:rPr>
        <w:b/>
        <w:sz w:val="18"/>
      </w:rPr>
      <w:fldChar w:fldCharType="begin"/>
    </w:r>
    <w:r w:rsidRPr="00884104">
      <w:rPr>
        <w:b/>
        <w:sz w:val="18"/>
      </w:rPr>
      <w:instrText xml:space="preserve"> PAGE  \* MERGEFORMAT </w:instrText>
    </w:r>
    <w:r w:rsidRPr="00884104">
      <w:rPr>
        <w:b/>
        <w:sz w:val="18"/>
      </w:rPr>
      <w:fldChar w:fldCharType="separate"/>
    </w:r>
    <w:r w:rsidRPr="00884104">
      <w:rPr>
        <w:b/>
        <w:noProof/>
        <w:sz w:val="18"/>
      </w:rPr>
      <w:t>2</w:t>
    </w:r>
    <w:r w:rsidRPr="00884104">
      <w:rPr>
        <w:b/>
        <w:sz w:val="18"/>
      </w:rPr>
      <w:fldChar w:fldCharType="end"/>
    </w:r>
    <w:r>
      <w:rPr>
        <w:b/>
        <w:sz w:val="18"/>
      </w:rPr>
      <w:tab/>
    </w:r>
    <w:r>
      <w:t>GE.26-01931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7E9A4" w14:textId="51B837C6" w:rsidR="00884104" w:rsidRPr="00884104" w:rsidRDefault="00884104" w:rsidP="00884104">
    <w:pPr>
      <w:pStyle w:val="Piedepgina"/>
      <w:tabs>
        <w:tab w:val="right" w:pos="9638"/>
      </w:tabs>
      <w:rPr>
        <w:b/>
        <w:sz w:val="18"/>
      </w:rPr>
    </w:pPr>
    <w:r>
      <w:t>GE.26-01931</w:t>
    </w:r>
    <w:r>
      <w:tab/>
    </w:r>
    <w:r w:rsidRPr="00884104">
      <w:rPr>
        <w:b/>
        <w:sz w:val="18"/>
      </w:rPr>
      <w:fldChar w:fldCharType="begin"/>
    </w:r>
    <w:r w:rsidRPr="00884104">
      <w:rPr>
        <w:b/>
        <w:sz w:val="18"/>
      </w:rPr>
      <w:instrText xml:space="preserve"> PAGE  \* MERGEFORMAT </w:instrText>
    </w:r>
    <w:r w:rsidRPr="00884104">
      <w:rPr>
        <w:b/>
        <w:sz w:val="18"/>
      </w:rPr>
      <w:fldChar w:fldCharType="separate"/>
    </w:r>
    <w:r w:rsidRPr="00884104">
      <w:rPr>
        <w:b/>
        <w:noProof/>
        <w:sz w:val="18"/>
      </w:rPr>
      <w:t>3</w:t>
    </w:r>
    <w:r w:rsidRPr="0088410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84D34" w14:textId="79866D7F" w:rsidR="00C63C2A" w:rsidRPr="00884104" w:rsidRDefault="00884104" w:rsidP="00884104">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1C2DB544" wp14:editId="1AD32EC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26-01931  (S)</w:t>
    </w:r>
    <w:r>
      <w:rPr>
        <w:noProof/>
        <w:sz w:val="20"/>
      </w:rPr>
      <w:drawing>
        <wp:anchor distT="0" distB="0" distL="114300" distR="114300" simplePos="0" relativeHeight="251658752" behindDoc="0" locked="0" layoutInCell="1" allowOverlap="1" wp14:anchorId="0D554D95" wp14:editId="7AB6BA24">
          <wp:simplePos x="0" y="0"/>
          <wp:positionH relativeFrom="margin">
            <wp:posOffset>5489575</wp:posOffset>
          </wp:positionH>
          <wp:positionV relativeFrom="margin">
            <wp:posOffset>8891905</wp:posOffset>
          </wp:positionV>
          <wp:extent cx="628650" cy="628650"/>
          <wp:effectExtent l="0" t="0" r="0" b="0"/>
          <wp:wrapNone/>
          <wp:docPr id="9898412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110326    120326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10DA0A" w14:textId="77777777" w:rsidR="00E316E6" w:rsidRPr="001075E9" w:rsidRDefault="00E316E6" w:rsidP="001075E9">
      <w:pPr>
        <w:tabs>
          <w:tab w:val="right" w:pos="2155"/>
        </w:tabs>
        <w:spacing w:after="80" w:line="240" w:lineRule="auto"/>
        <w:ind w:left="680"/>
        <w:rPr>
          <w:u w:val="single"/>
        </w:rPr>
      </w:pPr>
      <w:r>
        <w:rPr>
          <w:u w:val="single"/>
        </w:rPr>
        <w:tab/>
      </w:r>
    </w:p>
  </w:footnote>
  <w:footnote w:type="continuationSeparator" w:id="0">
    <w:p w14:paraId="27BE06DD" w14:textId="77777777" w:rsidR="00E316E6" w:rsidRDefault="00E316E6" w:rsidP="00D43FF0">
      <w:pPr>
        <w:tabs>
          <w:tab w:val="right" w:pos="2155"/>
        </w:tabs>
        <w:spacing w:after="80" w:line="240" w:lineRule="auto"/>
        <w:ind w:left="680"/>
        <w:rPr>
          <w:u w:val="single"/>
        </w:rPr>
      </w:pPr>
      <w:r>
        <w:rPr>
          <w:u w:val="single"/>
        </w:rPr>
        <w:tab/>
      </w:r>
    </w:p>
  </w:footnote>
  <w:footnote w:id="1">
    <w:p w14:paraId="3F7494D7" w14:textId="7BDDCD56" w:rsidR="00884104" w:rsidRDefault="00884104" w:rsidP="00884104">
      <w:pPr>
        <w:pStyle w:val="Textonotapie"/>
      </w:pPr>
      <w:r>
        <w:tab/>
      </w:r>
      <w:r w:rsidRPr="00884104">
        <w:rPr>
          <w:rStyle w:val="Refdenotaalpie"/>
        </w:rPr>
        <w:footnoteRef/>
      </w:r>
      <w:r>
        <w:tab/>
      </w:r>
      <w:hyperlink r:id="rId1" w:history="1">
        <w:r w:rsidRPr="00884104">
          <w:rPr>
            <w:rStyle w:val="Hipervnculo"/>
          </w:rPr>
          <w:t>A/65/18</w:t>
        </w:r>
      </w:hyperlink>
      <w:r w:rsidRPr="00884104">
        <w:t>, párr. 85.</w:t>
      </w:r>
    </w:p>
  </w:footnote>
  <w:footnote w:id="2">
    <w:p w14:paraId="70E2E835" w14:textId="22B40B62" w:rsidR="00884104" w:rsidRPr="007B6B08" w:rsidRDefault="00884104" w:rsidP="00884104">
      <w:pPr>
        <w:pStyle w:val="Textonotapie"/>
      </w:pPr>
      <w:r w:rsidRPr="007B6B08">
        <w:tab/>
      </w:r>
      <w:r w:rsidRPr="00884104">
        <w:rPr>
          <w:rStyle w:val="Refdenotaalpie"/>
        </w:rPr>
        <w:footnoteRef/>
      </w:r>
      <w:r w:rsidRPr="007B6B08">
        <w:tab/>
      </w:r>
      <w:hyperlink r:id="rId2" w:history="1">
        <w:r w:rsidRPr="00884104">
          <w:rPr>
            <w:rStyle w:val="Hipervnculo"/>
          </w:rPr>
          <w:t>CERD/C/SRB/6-9</w:t>
        </w:r>
      </w:hyperlink>
      <w:r w:rsidRPr="007B6B08">
        <w:t>, párrs. 12 a 19, 37 y 38.</w:t>
      </w:r>
      <w:hyperlink r:id="rId3" w:history="1"/>
    </w:p>
  </w:footnote>
  <w:footnote w:id="3">
    <w:p w14:paraId="4BF32C58" w14:textId="2AE41CED" w:rsidR="00884104" w:rsidRPr="007B6B08" w:rsidRDefault="00884104" w:rsidP="00884104">
      <w:pPr>
        <w:pStyle w:val="Textonotapie"/>
      </w:pPr>
      <w:r w:rsidRPr="007B6B08">
        <w:tab/>
      </w:r>
      <w:r w:rsidRPr="00884104">
        <w:rPr>
          <w:rStyle w:val="Refdenotaalpie"/>
        </w:rPr>
        <w:footnoteRef/>
      </w:r>
      <w:r w:rsidRPr="007B6B08">
        <w:tab/>
      </w:r>
      <w:hyperlink r:id="rId4" w:history="1">
        <w:r w:rsidRPr="00884104">
          <w:rPr>
            <w:rStyle w:val="Hipervnculo"/>
          </w:rPr>
          <w:t>CERD/C/SRB/CO/2-5</w:t>
        </w:r>
      </w:hyperlink>
      <w:r w:rsidRPr="007B6B08">
        <w:t xml:space="preserve">, párrs. 14 y 16; y </w:t>
      </w:r>
      <w:hyperlink r:id="rId5" w:history="1">
        <w:r w:rsidRPr="00884104">
          <w:rPr>
            <w:rStyle w:val="Hipervnculo"/>
          </w:rPr>
          <w:t>CERD/C/SRB/6-9</w:t>
        </w:r>
      </w:hyperlink>
      <w:r w:rsidRPr="007B6B08">
        <w:t>, párrs. 81 a 102.</w:t>
      </w:r>
      <w:hyperlink r:id="rId6" w:history="1"/>
      <w:hyperlink r:id="rId7" w:history="1"/>
    </w:p>
  </w:footnote>
  <w:footnote w:id="4">
    <w:p w14:paraId="4AF905CF" w14:textId="724E39CE" w:rsidR="00884104" w:rsidRPr="007B6B08" w:rsidRDefault="00884104" w:rsidP="00884104">
      <w:pPr>
        <w:pStyle w:val="Textonotapie"/>
      </w:pPr>
      <w:r w:rsidRPr="007B6B08">
        <w:tab/>
      </w:r>
      <w:r w:rsidRPr="00884104">
        <w:rPr>
          <w:rStyle w:val="Refdenotaalpie"/>
        </w:rPr>
        <w:footnoteRef/>
      </w:r>
      <w:r w:rsidRPr="007B6B08">
        <w:tab/>
      </w:r>
      <w:hyperlink r:id="rId8" w:history="1">
        <w:r w:rsidRPr="00884104">
          <w:rPr>
            <w:rStyle w:val="Hipervnculo"/>
          </w:rPr>
          <w:t>CERD/C/SRB/6-9</w:t>
        </w:r>
      </w:hyperlink>
      <w:r w:rsidRPr="007B6B08">
        <w:t>, párr. 54.</w:t>
      </w:r>
      <w:hyperlink r:id="rId9" w:history="1"/>
    </w:p>
  </w:footnote>
  <w:footnote w:id="5">
    <w:p w14:paraId="4E60A7DF" w14:textId="66B3753B" w:rsidR="00884104" w:rsidRPr="007B6B08" w:rsidRDefault="00884104" w:rsidP="00884104">
      <w:pPr>
        <w:pStyle w:val="Textonotapie"/>
      </w:pPr>
      <w:r w:rsidRPr="007B6B08">
        <w:tab/>
      </w:r>
      <w:r w:rsidRPr="00884104">
        <w:rPr>
          <w:rStyle w:val="Refdenotaalpie"/>
        </w:rPr>
        <w:footnoteRef/>
      </w:r>
      <w:r w:rsidRPr="007B6B08">
        <w:tab/>
      </w:r>
      <w:hyperlink r:id="rId10" w:history="1">
        <w:r w:rsidRPr="00884104">
          <w:rPr>
            <w:rStyle w:val="Hipervnculo"/>
          </w:rPr>
          <w:t>CERD/C/SRB/CO/2-5</w:t>
        </w:r>
      </w:hyperlink>
      <w:r w:rsidRPr="007B6B08">
        <w:t xml:space="preserve">, párr. 14; y </w:t>
      </w:r>
      <w:hyperlink r:id="rId11" w:history="1">
        <w:r w:rsidRPr="00884104">
          <w:rPr>
            <w:rStyle w:val="Hipervnculo"/>
          </w:rPr>
          <w:t>CERD/C/SRB/6-9</w:t>
        </w:r>
      </w:hyperlink>
      <w:r w:rsidRPr="007B6B08">
        <w:t>, párrs. 81 a 96, 227 y 228.</w:t>
      </w:r>
      <w:hyperlink r:id="rId12" w:history="1"/>
      <w:hyperlink r:id="rId13" w:history="1"/>
    </w:p>
  </w:footnote>
  <w:footnote w:id="6">
    <w:p w14:paraId="6D14EF66" w14:textId="581B9159" w:rsidR="00884104" w:rsidRPr="007B6B08" w:rsidRDefault="00884104" w:rsidP="00884104">
      <w:pPr>
        <w:pStyle w:val="Textonotapie"/>
      </w:pPr>
      <w:r w:rsidRPr="007B6B08">
        <w:tab/>
      </w:r>
      <w:r w:rsidRPr="00884104">
        <w:rPr>
          <w:rStyle w:val="Refdenotaalpie"/>
        </w:rPr>
        <w:footnoteRef/>
      </w:r>
      <w:r w:rsidRPr="007B6B08">
        <w:tab/>
      </w:r>
      <w:hyperlink r:id="rId14" w:history="1">
        <w:r w:rsidRPr="00884104">
          <w:rPr>
            <w:rStyle w:val="Hipervnculo"/>
          </w:rPr>
          <w:t>CERD/C/SRB/6-9</w:t>
        </w:r>
      </w:hyperlink>
      <w:r w:rsidRPr="007B6B08">
        <w:t>, párrs. 133, 134, 157 y 158.</w:t>
      </w:r>
      <w:hyperlink r:id="rId15" w:history="1"/>
    </w:p>
  </w:footnote>
  <w:footnote w:id="7">
    <w:p w14:paraId="573110A4" w14:textId="2FC2F07D" w:rsidR="00884104" w:rsidRPr="007B6B08" w:rsidRDefault="00884104" w:rsidP="00884104">
      <w:pPr>
        <w:pStyle w:val="Textonotapie"/>
      </w:pPr>
      <w:r w:rsidRPr="007B6B08">
        <w:tab/>
      </w:r>
      <w:r w:rsidRPr="00884104">
        <w:rPr>
          <w:rStyle w:val="Refdenotaalpie"/>
        </w:rPr>
        <w:footnoteRef/>
      </w:r>
      <w:r w:rsidRPr="007B6B08">
        <w:tab/>
      </w:r>
      <w:hyperlink r:id="rId16" w:history="1">
        <w:r w:rsidRPr="00884104">
          <w:rPr>
            <w:rStyle w:val="Hipervnculo"/>
          </w:rPr>
          <w:t>CERD/C/SRB/CO/2-5</w:t>
        </w:r>
      </w:hyperlink>
      <w:r w:rsidRPr="007B6B08">
        <w:t xml:space="preserve">, párrs. 14, 16 y 17; y </w:t>
      </w:r>
      <w:hyperlink r:id="rId17" w:history="1">
        <w:r w:rsidRPr="00884104">
          <w:rPr>
            <w:rStyle w:val="Hipervnculo"/>
          </w:rPr>
          <w:t>CERD/C/SRB/6-9</w:t>
        </w:r>
      </w:hyperlink>
      <w:r w:rsidRPr="007B6B08">
        <w:t>, párrs. 59 a 62, 92, 97 a 100, 113</w:t>
      </w:r>
      <w:r>
        <w:t> </w:t>
      </w:r>
      <w:r w:rsidRPr="007B6B08">
        <w:t>a</w:t>
      </w:r>
      <w:r>
        <w:t> </w:t>
      </w:r>
      <w:r w:rsidRPr="007B6B08">
        <w:t>117 y 166.</w:t>
      </w:r>
      <w:hyperlink r:id="rId18" w:history="1"/>
      <w:hyperlink r:id="rId19" w:history="1"/>
    </w:p>
  </w:footnote>
  <w:footnote w:id="8">
    <w:p w14:paraId="105855B2" w14:textId="5A151CAD" w:rsidR="00884104" w:rsidRPr="007B6B08" w:rsidRDefault="00884104" w:rsidP="00884104">
      <w:pPr>
        <w:pStyle w:val="Textonotapie"/>
      </w:pPr>
      <w:r w:rsidRPr="007B6B08">
        <w:tab/>
      </w:r>
      <w:r w:rsidRPr="00884104">
        <w:rPr>
          <w:rStyle w:val="Refdenotaalpie"/>
        </w:rPr>
        <w:footnoteRef/>
      </w:r>
      <w:r w:rsidRPr="007B6B08">
        <w:tab/>
      </w:r>
      <w:hyperlink r:id="rId20" w:history="1">
        <w:r w:rsidRPr="00884104">
          <w:rPr>
            <w:rStyle w:val="Hipervnculo"/>
          </w:rPr>
          <w:t>CERD/C/SRB/CO/2-5</w:t>
        </w:r>
      </w:hyperlink>
      <w:r w:rsidRPr="007B6B08">
        <w:t xml:space="preserve">, párr. 12; y </w:t>
      </w:r>
      <w:hyperlink r:id="rId21" w:history="1">
        <w:r w:rsidRPr="00884104">
          <w:rPr>
            <w:rStyle w:val="Hipervnculo"/>
          </w:rPr>
          <w:t>CERD/C/SRB/6-9</w:t>
        </w:r>
      </w:hyperlink>
      <w:r w:rsidRPr="007B6B08">
        <w:t>, párrs. 63 a 71.</w:t>
      </w:r>
      <w:hyperlink r:id="rId22" w:history="1"/>
      <w:hyperlink r:id="rId23" w:history="1"/>
    </w:p>
  </w:footnote>
  <w:footnote w:id="9">
    <w:p w14:paraId="27DC59A5" w14:textId="4D4DAD36" w:rsidR="00884104" w:rsidRPr="007B6B08" w:rsidRDefault="00884104" w:rsidP="00884104">
      <w:pPr>
        <w:pStyle w:val="Textonotapie"/>
      </w:pPr>
      <w:r w:rsidRPr="007B6B08">
        <w:tab/>
      </w:r>
      <w:r w:rsidRPr="00884104">
        <w:rPr>
          <w:rStyle w:val="Refdenotaalpie"/>
        </w:rPr>
        <w:footnoteRef/>
      </w:r>
      <w:r w:rsidRPr="007B6B08">
        <w:tab/>
      </w:r>
      <w:hyperlink r:id="rId24" w:history="1">
        <w:r w:rsidRPr="00884104">
          <w:rPr>
            <w:rStyle w:val="Hipervnculo"/>
          </w:rPr>
          <w:t>CERD/C/SRB/CO/2-5</w:t>
        </w:r>
      </w:hyperlink>
      <w:r w:rsidRPr="007B6B08">
        <w:t xml:space="preserve">, párr. 25; y </w:t>
      </w:r>
      <w:hyperlink r:id="rId25" w:history="1">
        <w:r w:rsidRPr="00884104">
          <w:rPr>
            <w:rStyle w:val="Hipervnculo"/>
          </w:rPr>
          <w:t>CERD/C/SRB/6-9</w:t>
        </w:r>
      </w:hyperlink>
      <w:r w:rsidRPr="007B6B08">
        <w:t>, párrs. 127 a 132.</w:t>
      </w:r>
      <w:hyperlink r:id="rId26" w:history="1"/>
      <w:bookmarkStart w:id="0" w:name="_Hlk220666765"/>
      <w:bookmarkEnd w:id="0"/>
    </w:p>
  </w:footnote>
  <w:footnote w:id="10">
    <w:p w14:paraId="4B67C976" w14:textId="79FB5D3E" w:rsidR="00884104" w:rsidRPr="007B6B08" w:rsidRDefault="00884104" w:rsidP="00884104">
      <w:pPr>
        <w:pStyle w:val="Textonotapie"/>
      </w:pPr>
      <w:r w:rsidRPr="007B6B08">
        <w:tab/>
      </w:r>
      <w:r w:rsidRPr="00884104">
        <w:rPr>
          <w:rStyle w:val="Refdenotaalpie"/>
        </w:rPr>
        <w:footnoteRef/>
      </w:r>
      <w:r w:rsidRPr="007B6B08">
        <w:tab/>
      </w:r>
      <w:hyperlink r:id="rId27" w:history="1">
        <w:r w:rsidRPr="00884104">
          <w:rPr>
            <w:rStyle w:val="Hipervnculo"/>
          </w:rPr>
          <w:t>CERD/C/SRB/6-9</w:t>
        </w:r>
      </w:hyperlink>
      <w:r w:rsidRPr="007B6B08">
        <w:t>, párrs. 118 a 125, 135 a 172 y 203 a 228.</w:t>
      </w:r>
      <w:hyperlink r:id="rId28" w:history="1"/>
    </w:p>
  </w:footnote>
  <w:footnote w:id="11">
    <w:p w14:paraId="67A88862" w14:textId="4C71AE35" w:rsidR="00884104" w:rsidRPr="007B6B08" w:rsidRDefault="00884104" w:rsidP="00884104">
      <w:pPr>
        <w:pStyle w:val="Textonotapie"/>
      </w:pPr>
      <w:r w:rsidRPr="007B6B08">
        <w:tab/>
      </w:r>
      <w:r w:rsidRPr="00884104">
        <w:rPr>
          <w:rStyle w:val="Refdenotaalpie"/>
        </w:rPr>
        <w:footnoteRef/>
      </w:r>
      <w:r w:rsidRPr="007B6B08">
        <w:tab/>
      </w:r>
      <w:r w:rsidRPr="007B6B08">
        <w:rPr>
          <w:i/>
          <w:iCs/>
        </w:rPr>
        <w:t>Ibid.</w:t>
      </w:r>
      <w:r w:rsidRPr="007B6B08">
        <w:t>, párrs. 141 a 145.</w:t>
      </w:r>
    </w:p>
  </w:footnote>
  <w:footnote w:id="12">
    <w:p w14:paraId="4785139C" w14:textId="4034F614" w:rsidR="00884104" w:rsidRPr="007B6B08" w:rsidRDefault="00884104" w:rsidP="00884104">
      <w:pPr>
        <w:pStyle w:val="Textonotapie"/>
      </w:pPr>
      <w:r w:rsidRPr="007B6B08">
        <w:tab/>
      </w:r>
      <w:r w:rsidRPr="00884104">
        <w:rPr>
          <w:rStyle w:val="Refdenotaalpie"/>
        </w:rPr>
        <w:footnoteRef/>
      </w:r>
      <w:r w:rsidRPr="007B6B08">
        <w:tab/>
      </w:r>
      <w:r w:rsidRPr="007B6B08">
        <w:rPr>
          <w:i/>
          <w:iCs/>
        </w:rPr>
        <w:t>Ibid.</w:t>
      </w:r>
      <w:r w:rsidRPr="007B6B08">
        <w:t>, párrs. 30 a 36.</w:t>
      </w:r>
    </w:p>
  </w:footnote>
  <w:footnote w:id="13">
    <w:p w14:paraId="574E12C0" w14:textId="27A6642F" w:rsidR="00884104" w:rsidRPr="007B6B08" w:rsidRDefault="00884104" w:rsidP="00884104">
      <w:pPr>
        <w:pStyle w:val="Textonotapie"/>
      </w:pPr>
      <w:r w:rsidRPr="007B6B08">
        <w:tab/>
      </w:r>
      <w:r w:rsidRPr="00884104">
        <w:rPr>
          <w:rStyle w:val="Refdenotaalpie"/>
        </w:rPr>
        <w:footnoteRef/>
      </w:r>
      <w:r w:rsidRPr="007B6B08">
        <w:tab/>
      </w:r>
      <w:hyperlink r:id="rId29" w:history="1">
        <w:r w:rsidRPr="00884104">
          <w:rPr>
            <w:rStyle w:val="Hipervnculo"/>
          </w:rPr>
          <w:t>CERD/C/SRB/CO/2-5</w:t>
        </w:r>
      </w:hyperlink>
      <w:r w:rsidRPr="007B6B08">
        <w:t xml:space="preserve">, párrs. 21 y 25; y </w:t>
      </w:r>
      <w:hyperlink r:id="rId30" w:history="1">
        <w:r w:rsidRPr="00884104">
          <w:rPr>
            <w:rStyle w:val="Hipervnculo"/>
          </w:rPr>
          <w:t>CERD/C/SRB/6-9</w:t>
        </w:r>
      </w:hyperlink>
      <w:r w:rsidRPr="007B6B08">
        <w:t>, párrs. 72 a 80 y 203 a 225.</w:t>
      </w:r>
      <w:hyperlink r:id="rId31" w:history="1"/>
      <w:hyperlink r:id="rId32" w:history="1"/>
    </w:p>
  </w:footnote>
  <w:footnote w:id="14">
    <w:p w14:paraId="693229BD" w14:textId="65762684" w:rsidR="00884104" w:rsidRPr="007B6B08" w:rsidRDefault="00884104" w:rsidP="00884104">
      <w:pPr>
        <w:pStyle w:val="Textonotapie"/>
      </w:pPr>
      <w:r w:rsidRPr="007B6B08">
        <w:tab/>
      </w:r>
      <w:r w:rsidRPr="00884104">
        <w:rPr>
          <w:rStyle w:val="Refdenotaalpie"/>
        </w:rPr>
        <w:footnoteRef/>
      </w:r>
      <w:r w:rsidRPr="007B6B08">
        <w:tab/>
      </w:r>
      <w:hyperlink r:id="rId33" w:history="1">
        <w:r w:rsidRPr="00884104">
          <w:rPr>
            <w:rStyle w:val="Hipervnculo"/>
          </w:rPr>
          <w:t>CERD/C/SRB/CO/2-5</w:t>
        </w:r>
      </w:hyperlink>
      <w:r w:rsidRPr="007B6B08">
        <w:t xml:space="preserve">, párr. 21; y </w:t>
      </w:r>
      <w:hyperlink r:id="rId34" w:history="1">
        <w:r w:rsidRPr="00884104">
          <w:rPr>
            <w:rStyle w:val="Hipervnculo"/>
          </w:rPr>
          <w:t>CERD/C/SRB/6-9</w:t>
        </w:r>
      </w:hyperlink>
      <w:r w:rsidRPr="007B6B08">
        <w:t>, párrs. 203 a 210.</w:t>
      </w:r>
      <w:hyperlink r:id="rId35" w:history="1"/>
      <w:hyperlink r:id="rId36" w:history="1"/>
    </w:p>
  </w:footnote>
  <w:footnote w:id="15">
    <w:p w14:paraId="44781745" w14:textId="797E8042" w:rsidR="00884104" w:rsidRPr="007B6B08" w:rsidRDefault="00884104" w:rsidP="00884104">
      <w:pPr>
        <w:pStyle w:val="Textonotapie"/>
      </w:pPr>
      <w:r w:rsidRPr="007B6B08">
        <w:tab/>
      </w:r>
      <w:r w:rsidRPr="00884104">
        <w:rPr>
          <w:rStyle w:val="Refdenotaalpie"/>
        </w:rPr>
        <w:footnoteRef/>
      </w:r>
      <w:r w:rsidRPr="007B6B08">
        <w:tab/>
      </w:r>
      <w:hyperlink r:id="rId37" w:history="1">
        <w:r w:rsidRPr="00884104">
          <w:rPr>
            <w:rStyle w:val="Hipervnculo"/>
          </w:rPr>
          <w:t>CERD/C/SRB/CO/2-5</w:t>
        </w:r>
      </w:hyperlink>
      <w:r w:rsidRPr="007B6B08">
        <w:t xml:space="preserve">, párr. 14; y </w:t>
      </w:r>
      <w:hyperlink r:id="rId38" w:history="1">
        <w:r w:rsidRPr="00884104">
          <w:rPr>
            <w:rStyle w:val="Hipervnculo"/>
          </w:rPr>
          <w:t>CERD/C/SRB/6-9</w:t>
        </w:r>
      </w:hyperlink>
      <w:r w:rsidRPr="007B6B08">
        <w:t>, párrs. 89 y 122 a 126.</w:t>
      </w:r>
      <w:hyperlink r:id="rId39" w:history="1"/>
      <w:hyperlink r:id="rId40" w:history="1"/>
    </w:p>
  </w:footnote>
  <w:footnote w:id="16">
    <w:p w14:paraId="4E218337" w14:textId="4723E820" w:rsidR="00884104" w:rsidRPr="007B6B08" w:rsidRDefault="00884104" w:rsidP="00884104">
      <w:pPr>
        <w:pStyle w:val="Textonotapie"/>
      </w:pPr>
      <w:r w:rsidRPr="007B6B08">
        <w:tab/>
      </w:r>
      <w:r w:rsidRPr="00884104">
        <w:rPr>
          <w:rStyle w:val="Refdenotaalpie"/>
        </w:rPr>
        <w:footnoteRef/>
      </w:r>
      <w:r w:rsidRPr="007B6B08">
        <w:tab/>
      </w:r>
      <w:hyperlink r:id="rId41" w:history="1">
        <w:r w:rsidRPr="00884104">
          <w:rPr>
            <w:rStyle w:val="Hipervnculo"/>
          </w:rPr>
          <w:t>CERD/C/SRB/6-9</w:t>
        </w:r>
      </w:hyperlink>
      <w:r w:rsidRPr="007B6B08">
        <w:t>, párrs. 27 a 45, 89 y 173 a 178.</w:t>
      </w:r>
      <w:hyperlink r:id="rId42" w:history="1"/>
    </w:p>
  </w:footnote>
  <w:footnote w:id="17">
    <w:p w14:paraId="76B3A3F4" w14:textId="05914D6E" w:rsidR="00884104" w:rsidRPr="007B6B08" w:rsidRDefault="00884104" w:rsidP="00884104">
      <w:pPr>
        <w:pStyle w:val="Textonotapie"/>
      </w:pPr>
      <w:r w:rsidRPr="007B6B08">
        <w:tab/>
      </w:r>
      <w:r w:rsidRPr="00884104">
        <w:rPr>
          <w:rStyle w:val="Refdenotaalpie"/>
        </w:rPr>
        <w:footnoteRef/>
      </w:r>
      <w:r w:rsidRPr="007B6B08">
        <w:tab/>
      </w:r>
      <w:hyperlink r:id="rId43" w:history="1">
        <w:r w:rsidRPr="00884104">
          <w:rPr>
            <w:rStyle w:val="Hipervnculo"/>
          </w:rPr>
          <w:t>CERD/C/SRB/CO/2-5</w:t>
        </w:r>
      </w:hyperlink>
      <w:r w:rsidRPr="007B6B08">
        <w:t xml:space="preserve">, párr. 27; y </w:t>
      </w:r>
      <w:hyperlink r:id="rId44" w:history="1">
        <w:r w:rsidRPr="00884104">
          <w:rPr>
            <w:rStyle w:val="Hipervnculo"/>
          </w:rPr>
          <w:t>CERD/C/SRB/6-9</w:t>
        </w:r>
      </w:hyperlink>
      <w:r w:rsidRPr="007B6B08">
        <w:t>, párrs. 7 a 51 y 234 a 252.</w:t>
      </w:r>
      <w:hyperlink r:id="rId45" w:history="1"/>
      <w:hyperlink r:id="rId46" w:history="1"/>
    </w:p>
  </w:footnote>
  <w:footnote w:id="18">
    <w:p w14:paraId="64A5B2B6" w14:textId="2639DB89" w:rsidR="00884104" w:rsidRPr="007B6B08" w:rsidRDefault="00884104" w:rsidP="00884104">
      <w:pPr>
        <w:pStyle w:val="Textonotapie"/>
      </w:pPr>
      <w:r w:rsidRPr="007B6B08">
        <w:tab/>
      </w:r>
      <w:r w:rsidRPr="00884104">
        <w:rPr>
          <w:rStyle w:val="Refdenotaalpie"/>
        </w:rPr>
        <w:footnoteRef/>
      </w:r>
      <w:r w:rsidRPr="007B6B08">
        <w:tab/>
      </w:r>
      <w:hyperlink r:id="rId47" w:history="1">
        <w:r w:rsidRPr="00884104">
          <w:rPr>
            <w:rStyle w:val="Hipervnculo"/>
          </w:rPr>
          <w:t>CERD/C/SRB/6-9</w:t>
        </w:r>
      </w:hyperlink>
      <w:r w:rsidRPr="007B6B08">
        <w:t>, párrs. 246 a 252.</w:t>
      </w:r>
      <w:hyperlink r:id="rId48" w:history="1"/>
    </w:p>
  </w:footnote>
  <w:footnote w:id="19">
    <w:p w14:paraId="43C5DFAF" w14:textId="791AC840" w:rsidR="00884104" w:rsidRPr="007B6B08" w:rsidRDefault="00884104" w:rsidP="00884104">
      <w:pPr>
        <w:pStyle w:val="Textonotapie"/>
      </w:pPr>
      <w:r w:rsidRPr="007B6B08">
        <w:tab/>
      </w:r>
      <w:r w:rsidRPr="00884104">
        <w:rPr>
          <w:rStyle w:val="Refdenotaalpie"/>
        </w:rPr>
        <w:footnoteRef/>
      </w:r>
      <w:r w:rsidRPr="007B6B08">
        <w:tab/>
      </w:r>
      <w:hyperlink r:id="rId49" w:history="1">
        <w:r w:rsidRPr="00884104">
          <w:rPr>
            <w:rStyle w:val="Hipervnculo"/>
          </w:rPr>
          <w:t>CERD/C/SRB/CO/2-5</w:t>
        </w:r>
      </w:hyperlink>
      <w:r w:rsidRPr="007B6B08">
        <w:t xml:space="preserve">, párr. 19; y </w:t>
      </w:r>
      <w:hyperlink r:id="rId50" w:history="1">
        <w:r w:rsidRPr="00884104">
          <w:rPr>
            <w:rStyle w:val="Hipervnculo"/>
          </w:rPr>
          <w:t>CERD/C/SRB/6-9</w:t>
        </w:r>
      </w:hyperlink>
      <w:r w:rsidRPr="007B6B08">
        <w:t>, párrs. 190 a 195.</w:t>
      </w:r>
      <w:hyperlink r:id="rId51" w:history="1"/>
      <w:hyperlink r:id="rId52" w:history="1"/>
    </w:p>
  </w:footnote>
  <w:footnote w:id="20">
    <w:p w14:paraId="1923282D" w14:textId="46FC985A" w:rsidR="00884104" w:rsidRPr="007B6B08" w:rsidRDefault="00884104" w:rsidP="00884104">
      <w:pPr>
        <w:pStyle w:val="Textonotapie"/>
      </w:pPr>
      <w:r w:rsidRPr="007B6B08">
        <w:tab/>
      </w:r>
      <w:r w:rsidRPr="00884104">
        <w:rPr>
          <w:rStyle w:val="Refdenotaalpie"/>
        </w:rPr>
        <w:footnoteRef/>
      </w:r>
      <w:r w:rsidRPr="007B6B08">
        <w:tab/>
      </w:r>
      <w:hyperlink r:id="rId53" w:history="1">
        <w:r w:rsidRPr="00884104">
          <w:rPr>
            <w:rStyle w:val="Hipervnculo"/>
          </w:rPr>
          <w:t>CERD/C/SRB/6-9</w:t>
        </w:r>
      </w:hyperlink>
      <w:r w:rsidRPr="007B6B08">
        <w:t>, párrs. 146 a 156.</w:t>
      </w:r>
      <w:hyperlink r:id="rId54" w:history="1"/>
    </w:p>
  </w:footnote>
  <w:footnote w:id="21">
    <w:p w14:paraId="74C8F387" w14:textId="3A0AEE81" w:rsidR="00884104" w:rsidRPr="007B6B08" w:rsidRDefault="00884104" w:rsidP="00884104">
      <w:pPr>
        <w:pStyle w:val="Textonotapie"/>
      </w:pPr>
      <w:r w:rsidRPr="007B6B08">
        <w:tab/>
      </w:r>
      <w:r w:rsidRPr="00884104">
        <w:rPr>
          <w:rStyle w:val="Refdenotaalpie"/>
        </w:rPr>
        <w:footnoteRef/>
      </w:r>
      <w:r w:rsidRPr="007B6B08">
        <w:tab/>
      </w:r>
      <w:r w:rsidRPr="007B6B08">
        <w:rPr>
          <w:i/>
          <w:iCs/>
        </w:rPr>
        <w:t>Ibid.</w:t>
      </w:r>
      <w:r w:rsidRPr="007B6B08">
        <w:t>, párrs. 196 a 233.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E3790" w14:textId="117D46D2" w:rsidR="00884104" w:rsidRPr="00884104" w:rsidRDefault="00884104">
    <w:pPr>
      <w:pStyle w:val="Encabezado"/>
    </w:pPr>
    <w:fldSimple w:instr=" TITLE  \* MERGEFORMAT ">
      <w:r w:rsidR="00AA59B1">
        <w:t>CERD/C/SRB/Q/6-9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63C2F" w14:textId="79A4D141" w:rsidR="00884104" w:rsidRPr="00884104" w:rsidRDefault="00884104" w:rsidP="00884104">
    <w:pPr>
      <w:pStyle w:val="Encabezado"/>
      <w:jc w:val="right"/>
    </w:pPr>
    <w:fldSimple w:instr=" TITLE  \* MERGEFORMAT ">
      <w:r w:rsidR="00AA59B1">
        <w:t>CERD/C/SRB/Q/6-9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3522810">
    <w:abstractNumId w:val="14"/>
  </w:num>
  <w:num w:numId="2" w16cid:durableId="57438856">
    <w:abstractNumId w:val="11"/>
  </w:num>
  <w:num w:numId="3" w16cid:durableId="1657680454">
    <w:abstractNumId w:val="16"/>
  </w:num>
  <w:num w:numId="4" w16cid:durableId="1901014981">
    <w:abstractNumId w:val="15"/>
  </w:num>
  <w:num w:numId="5" w16cid:durableId="2065448732">
    <w:abstractNumId w:val="13"/>
  </w:num>
  <w:num w:numId="6" w16cid:durableId="536898274">
    <w:abstractNumId w:val="8"/>
  </w:num>
  <w:num w:numId="7" w16cid:durableId="2105807250">
    <w:abstractNumId w:val="3"/>
  </w:num>
  <w:num w:numId="8" w16cid:durableId="112479466">
    <w:abstractNumId w:val="2"/>
  </w:num>
  <w:num w:numId="9" w16cid:durableId="1121847287">
    <w:abstractNumId w:val="1"/>
  </w:num>
  <w:num w:numId="10" w16cid:durableId="805850777">
    <w:abstractNumId w:val="0"/>
  </w:num>
  <w:num w:numId="11" w16cid:durableId="643851331">
    <w:abstractNumId w:val="9"/>
  </w:num>
  <w:num w:numId="12" w16cid:durableId="565652291">
    <w:abstractNumId w:val="7"/>
  </w:num>
  <w:num w:numId="13" w16cid:durableId="907112660">
    <w:abstractNumId w:val="6"/>
  </w:num>
  <w:num w:numId="14" w16cid:durableId="1630236485">
    <w:abstractNumId w:val="5"/>
  </w:num>
  <w:num w:numId="15" w16cid:durableId="2098399827">
    <w:abstractNumId w:val="4"/>
  </w:num>
  <w:num w:numId="16" w16cid:durableId="1107582859">
    <w:abstractNumId w:val="10"/>
  </w:num>
  <w:num w:numId="17" w16cid:durableId="1277954075">
    <w:abstractNumId w:val="14"/>
  </w:num>
  <w:num w:numId="18" w16cid:durableId="881357078">
    <w:abstractNumId w:val="11"/>
  </w:num>
  <w:num w:numId="19" w16cid:durableId="912087419">
    <w:abstractNumId w:val="10"/>
  </w:num>
  <w:num w:numId="20" w16cid:durableId="1751002519">
    <w:abstractNumId w:val="16"/>
  </w:num>
  <w:num w:numId="21" w16cid:durableId="1842312598">
    <w:abstractNumId w:val="15"/>
  </w:num>
  <w:num w:numId="22" w16cid:durableId="903568376">
    <w:abstractNumId w:val="12"/>
  </w:num>
  <w:num w:numId="23" w16cid:durableId="685984275">
    <w:abstractNumId w:val="12"/>
  </w:num>
  <w:num w:numId="24" w16cid:durableId="303237303">
    <w:abstractNumId w:val="13"/>
  </w:num>
  <w:num w:numId="25" w16cid:durableId="1163005952">
    <w:abstractNumId w:val="9"/>
  </w:num>
  <w:num w:numId="26" w16cid:durableId="1389262092">
    <w:abstractNumId w:val="7"/>
  </w:num>
  <w:num w:numId="27" w16cid:durableId="1936278790">
    <w:abstractNumId w:val="6"/>
  </w:num>
  <w:num w:numId="28" w16cid:durableId="1717967171">
    <w:abstractNumId w:val="5"/>
  </w:num>
  <w:num w:numId="29" w16cid:durableId="2118407181">
    <w:abstractNumId w:val="4"/>
  </w:num>
  <w:num w:numId="30" w16cid:durableId="1351026369">
    <w:abstractNumId w:val="8"/>
  </w:num>
  <w:num w:numId="31" w16cid:durableId="74717381">
    <w:abstractNumId w:val="3"/>
  </w:num>
  <w:num w:numId="32" w16cid:durableId="296882165">
    <w:abstractNumId w:val="2"/>
  </w:num>
  <w:num w:numId="33" w16cid:durableId="1928884119">
    <w:abstractNumId w:val="1"/>
  </w:num>
  <w:num w:numId="34" w16cid:durableId="135738382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6E6"/>
    <w:rsid w:val="00006BB9"/>
    <w:rsid w:val="000107A1"/>
    <w:rsid w:val="0002339D"/>
    <w:rsid w:val="00026FCA"/>
    <w:rsid w:val="00036733"/>
    <w:rsid w:val="000B06E1"/>
    <w:rsid w:val="000B57E7"/>
    <w:rsid w:val="000F09DF"/>
    <w:rsid w:val="000F5804"/>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33401"/>
    <w:rsid w:val="00454E07"/>
    <w:rsid w:val="00471CB3"/>
    <w:rsid w:val="004B5CEF"/>
    <w:rsid w:val="0050108D"/>
    <w:rsid w:val="0051740C"/>
    <w:rsid w:val="00572E19"/>
    <w:rsid w:val="005F0B42"/>
    <w:rsid w:val="00634841"/>
    <w:rsid w:val="00655A21"/>
    <w:rsid w:val="00664352"/>
    <w:rsid w:val="0067198A"/>
    <w:rsid w:val="006725B3"/>
    <w:rsid w:val="006808A9"/>
    <w:rsid w:val="006B12B8"/>
    <w:rsid w:val="006D631C"/>
    <w:rsid w:val="006F35EE"/>
    <w:rsid w:val="007021FF"/>
    <w:rsid w:val="007076CB"/>
    <w:rsid w:val="007967DF"/>
    <w:rsid w:val="007F6465"/>
    <w:rsid w:val="00834B71"/>
    <w:rsid w:val="0086445C"/>
    <w:rsid w:val="00865A80"/>
    <w:rsid w:val="00865FAC"/>
    <w:rsid w:val="008728CD"/>
    <w:rsid w:val="00884104"/>
    <w:rsid w:val="008A08D7"/>
    <w:rsid w:val="008A13F9"/>
    <w:rsid w:val="008C0F65"/>
    <w:rsid w:val="008C29C4"/>
    <w:rsid w:val="00906890"/>
    <w:rsid w:val="00951972"/>
    <w:rsid w:val="00954E65"/>
    <w:rsid w:val="009F3E98"/>
    <w:rsid w:val="00A10B9E"/>
    <w:rsid w:val="00A17DFD"/>
    <w:rsid w:val="00A414EF"/>
    <w:rsid w:val="00A4674B"/>
    <w:rsid w:val="00A917B3"/>
    <w:rsid w:val="00AA59B1"/>
    <w:rsid w:val="00AB4B51"/>
    <w:rsid w:val="00B066FC"/>
    <w:rsid w:val="00B10CC7"/>
    <w:rsid w:val="00B62458"/>
    <w:rsid w:val="00B778C8"/>
    <w:rsid w:val="00B95411"/>
    <w:rsid w:val="00BA3587"/>
    <w:rsid w:val="00BB36EA"/>
    <w:rsid w:val="00BD33EE"/>
    <w:rsid w:val="00C60F0C"/>
    <w:rsid w:val="00C63C2A"/>
    <w:rsid w:val="00C805C9"/>
    <w:rsid w:val="00C907F0"/>
    <w:rsid w:val="00CA1679"/>
    <w:rsid w:val="00CC15A3"/>
    <w:rsid w:val="00D05347"/>
    <w:rsid w:val="00D43FF0"/>
    <w:rsid w:val="00D90138"/>
    <w:rsid w:val="00DA26B8"/>
    <w:rsid w:val="00DD4E25"/>
    <w:rsid w:val="00E05C6B"/>
    <w:rsid w:val="00E2656E"/>
    <w:rsid w:val="00E316E6"/>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D97768"/>
  <w15:docId w15:val="{30CF36D9-1614-42A8-9F37-3608EE518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8841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en/CERD/C/SRB/6-9" TargetMode="External"/><Relationship Id="rId18" Type="http://schemas.openxmlformats.org/officeDocument/2006/relationships/hyperlink" Target="https://docs.un.org/en/CERD/C/SRB/CO/2-5" TargetMode="External"/><Relationship Id="rId26" Type="http://schemas.openxmlformats.org/officeDocument/2006/relationships/hyperlink" Target="https://docs.un.org/en/CERD/C/SRB/CO/2-5" TargetMode="External"/><Relationship Id="rId39" Type="http://schemas.openxmlformats.org/officeDocument/2006/relationships/hyperlink" Target="https://docs.un.org/en/CERD/C/SRB/CO/2-5" TargetMode="External"/><Relationship Id="rId3" Type="http://schemas.openxmlformats.org/officeDocument/2006/relationships/hyperlink" Target="https://docs.un.org/en/CERD/C/SRB/6-9" TargetMode="External"/><Relationship Id="rId21" Type="http://schemas.openxmlformats.org/officeDocument/2006/relationships/hyperlink" Target="https://undocs.org/es/CERD/C/SRB/6-9" TargetMode="External"/><Relationship Id="rId34" Type="http://schemas.openxmlformats.org/officeDocument/2006/relationships/hyperlink" Target="https://undocs.org/es/CERD/C/SRB/6-9" TargetMode="External"/><Relationship Id="rId42" Type="http://schemas.openxmlformats.org/officeDocument/2006/relationships/hyperlink" Target="https://docs.un.org/en/CERD/C/SRB/6-9" TargetMode="External"/><Relationship Id="rId47" Type="http://schemas.openxmlformats.org/officeDocument/2006/relationships/hyperlink" Target="https://undocs.org/es/CERD/C/SRB/6-9" TargetMode="External"/><Relationship Id="rId50" Type="http://schemas.openxmlformats.org/officeDocument/2006/relationships/hyperlink" Target="https://undocs.org/es/CERD/C/SRB/6-9" TargetMode="External"/><Relationship Id="rId7" Type="http://schemas.openxmlformats.org/officeDocument/2006/relationships/hyperlink" Target="https://docs.un.org/en/CERD/C/SRB/6-9" TargetMode="External"/><Relationship Id="rId12" Type="http://schemas.openxmlformats.org/officeDocument/2006/relationships/hyperlink" Target="https://docs.un.org/en/CERD/C/SRB/CO/2-5" TargetMode="External"/><Relationship Id="rId17" Type="http://schemas.openxmlformats.org/officeDocument/2006/relationships/hyperlink" Target="https://undocs.org/es/CERD/C/SRB/6-9" TargetMode="External"/><Relationship Id="rId25" Type="http://schemas.openxmlformats.org/officeDocument/2006/relationships/hyperlink" Target="https://undocs.org/es/CERD/C/SRB/6-9" TargetMode="External"/><Relationship Id="rId33" Type="http://schemas.openxmlformats.org/officeDocument/2006/relationships/hyperlink" Target="https://undocs.org/es/CERD/C/SRB/CO/2-5" TargetMode="External"/><Relationship Id="rId38" Type="http://schemas.openxmlformats.org/officeDocument/2006/relationships/hyperlink" Target="https://undocs.org/es/CERD/C/SRB/6-9" TargetMode="External"/><Relationship Id="rId46" Type="http://schemas.openxmlformats.org/officeDocument/2006/relationships/hyperlink" Target="https://docs.un.org/en/CERD/C/SRB/6-9" TargetMode="External"/><Relationship Id="rId2" Type="http://schemas.openxmlformats.org/officeDocument/2006/relationships/hyperlink" Target="https://undocs.org/es/CERD/C/SRB/6-9" TargetMode="External"/><Relationship Id="rId16" Type="http://schemas.openxmlformats.org/officeDocument/2006/relationships/hyperlink" Target="https://undocs.org/es/CERD/C/SRB/CO/2-5" TargetMode="External"/><Relationship Id="rId20" Type="http://schemas.openxmlformats.org/officeDocument/2006/relationships/hyperlink" Target="https://undocs.org/es/CERD/C/SRB/CO/2-5" TargetMode="External"/><Relationship Id="rId29" Type="http://schemas.openxmlformats.org/officeDocument/2006/relationships/hyperlink" Target="https://undocs.org/es/CERD/C/SRB/CO/2-5" TargetMode="External"/><Relationship Id="rId41" Type="http://schemas.openxmlformats.org/officeDocument/2006/relationships/hyperlink" Target="https://undocs.org/es/CERD/C/SRB/6-9" TargetMode="External"/><Relationship Id="rId54" Type="http://schemas.openxmlformats.org/officeDocument/2006/relationships/hyperlink" Target="https://docs.un.org/en/CERD/C/SRB/6-9" TargetMode="External"/><Relationship Id="rId1" Type="http://schemas.openxmlformats.org/officeDocument/2006/relationships/hyperlink" Target="https://undocs.org/es/A/65/18" TargetMode="External"/><Relationship Id="rId6" Type="http://schemas.openxmlformats.org/officeDocument/2006/relationships/hyperlink" Target="https://docs.un.org/en/CERD/C/SRB/CO/2-5" TargetMode="External"/><Relationship Id="rId11" Type="http://schemas.openxmlformats.org/officeDocument/2006/relationships/hyperlink" Target="https://undocs.org/es/CERD/C/SRB/6-9" TargetMode="External"/><Relationship Id="rId24" Type="http://schemas.openxmlformats.org/officeDocument/2006/relationships/hyperlink" Target="https://undocs.org/es/CERD/C/SRB/CO/2-5" TargetMode="External"/><Relationship Id="rId32" Type="http://schemas.openxmlformats.org/officeDocument/2006/relationships/hyperlink" Target="https://docs.un.org/en/CERD/C/SRB/6-9" TargetMode="External"/><Relationship Id="rId37" Type="http://schemas.openxmlformats.org/officeDocument/2006/relationships/hyperlink" Target="https://undocs.org/es/CERD/C/SRB/CO/2-5" TargetMode="External"/><Relationship Id="rId40" Type="http://schemas.openxmlformats.org/officeDocument/2006/relationships/hyperlink" Target="https://docs.un.org/en/CERD/C/SRB/6-9" TargetMode="External"/><Relationship Id="rId45" Type="http://schemas.openxmlformats.org/officeDocument/2006/relationships/hyperlink" Target="https://docs.un.org/en/CERD/C/SRB/CO/2-5" TargetMode="External"/><Relationship Id="rId53" Type="http://schemas.openxmlformats.org/officeDocument/2006/relationships/hyperlink" Target="https://undocs.org/es/CERD/C/SRB/6-9" TargetMode="External"/><Relationship Id="rId5" Type="http://schemas.openxmlformats.org/officeDocument/2006/relationships/hyperlink" Target="https://undocs.org/es/CERD/C/SRB/6-9" TargetMode="External"/><Relationship Id="rId15" Type="http://schemas.openxmlformats.org/officeDocument/2006/relationships/hyperlink" Target="https://docs.un.org/en/CERD/C/SRB/6-9" TargetMode="External"/><Relationship Id="rId23" Type="http://schemas.openxmlformats.org/officeDocument/2006/relationships/hyperlink" Target="https://docs.un.org/en/CERD/C/SRB/6-9" TargetMode="External"/><Relationship Id="rId28" Type="http://schemas.openxmlformats.org/officeDocument/2006/relationships/hyperlink" Target="https://docs.un.org/en/CERD/C/SRB/6-9" TargetMode="External"/><Relationship Id="rId36" Type="http://schemas.openxmlformats.org/officeDocument/2006/relationships/hyperlink" Target="https://docs.un.org/en/CERD/C/SRB/6-9" TargetMode="External"/><Relationship Id="rId49" Type="http://schemas.openxmlformats.org/officeDocument/2006/relationships/hyperlink" Target="https://undocs.org/es/CERD/C/SRB/CO/2-5" TargetMode="External"/><Relationship Id="rId10" Type="http://schemas.openxmlformats.org/officeDocument/2006/relationships/hyperlink" Target="https://undocs.org/es/CERD/C/SRB/CO/2-5" TargetMode="External"/><Relationship Id="rId19" Type="http://schemas.openxmlformats.org/officeDocument/2006/relationships/hyperlink" Target="https://docs.un.org/en/CERD/C/SRB/6-9" TargetMode="External"/><Relationship Id="rId31" Type="http://schemas.openxmlformats.org/officeDocument/2006/relationships/hyperlink" Target="https://docs.un.org/en/CERD/C/SRB/CO/2-5" TargetMode="External"/><Relationship Id="rId44" Type="http://schemas.openxmlformats.org/officeDocument/2006/relationships/hyperlink" Target="https://undocs.org/es/CERD/C/SRB/6-9" TargetMode="External"/><Relationship Id="rId52" Type="http://schemas.openxmlformats.org/officeDocument/2006/relationships/hyperlink" Target="https://docs.un.org/en/CERD/C/SRB/6-9" TargetMode="External"/><Relationship Id="rId4" Type="http://schemas.openxmlformats.org/officeDocument/2006/relationships/hyperlink" Target="https://undocs.org/es/CERD/C/SRB/CO/2-5" TargetMode="External"/><Relationship Id="rId9" Type="http://schemas.openxmlformats.org/officeDocument/2006/relationships/hyperlink" Target="https://docs.un.org/en/CERD/C/SRB/6-9" TargetMode="External"/><Relationship Id="rId14" Type="http://schemas.openxmlformats.org/officeDocument/2006/relationships/hyperlink" Target="https://undocs.org/es/CERD/C/SRB/6-9" TargetMode="External"/><Relationship Id="rId22" Type="http://schemas.openxmlformats.org/officeDocument/2006/relationships/hyperlink" Target="https://docs.un.org/en/CERD/C/SRB/CO/2-5" TargetMode="External"/><Relationship Id="rId27" Type="http://schemas.openxmlformats.org/officeDocument/2006/relationships/hyperlink" Target="https://undocs.org/es/CERD/C/SRB/6-9" TargetMode="External"/><Relationship Id="rId30" Type="http://schemas.openxmlformats.org/officeDocument/2006/relationships/hyperlink" Target="https://undocs.org/es/CERD/C/SRB/6-9" TargetMode="External"/><Relationship Id="rId35" Type="http://schemas.openxmlformats.org/officeDocument/2006/relationships/hyperlink" Target="https://docs.un.org/en/CERD/C/SRB/CO/2-5" TargetMode="External"/><Relationship Id="rId43" Type="http://schemas.openxmlformats.org/officeDocument/2006/relationships/hyperlink" Target="https://undocs.org/es/CERD/C/SRB/CO/2-5" TargetMode="External"/><Relationship Id="rId48" Type="http://schemas.openxmlformats.org/officeDocument/2006/relationships/hyperlink" Target="https://docs.un.org/en/CERD/C/SRB/6-9" TargetMode="External"/><Relationship Id="rId8" Type="http://schemas.openxmlformats.org/officeDocument/2006/relationships/hyperlink" Target="https://undocs.org/es/CERD/C/SRB/6-9" TargetMode="External"/><Relationship Id="rId51" Type="http://schemas.openxmlformats.org/officeDocument/2006/relationships/hyperlink" Target="https://docs.un.org/en/CERD/C/SRB/CO/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1</TotalTime>
  <Pages>3</Pages>
  <Words>1136</Words>
  <Characters>6477</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7598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CERD/C/SRB/Q/6-9</dc:title>
  <dc:subject/>
  <dc:creator>Luz Maria URQUIZU MARROQUIN</dc:creator>
  <cp:keywords/>
  <cp:lastModifiedBy>Luz Urquizu Marroquin</cp:lastModifiedBy>
  <cp:revision>3</cp:revision>
  <cp:lastPrinted>2026-03-12T06:40:00Z</cp:lastPrinted>
  <dcterms:created xsi:type="dcterms:W3CDTF">2026-03-12T06:40:00Z</dcterms:created>
  <dcterms:modified xsi:type="dcterms:W3CDTF">2026-03-12T06:41:00Z</dcterms:modified>
</cp:coreProperties>
</file>