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36B9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33B68" w:rsidP="00E33B68">
            <w:pPr>
              <w:jc w:val="right"/>
            </w:pPr>
            <w:r w:rsidRPr="00E33B68">
              <w:rPr>
                <w:sz w:val="40"/>
              </w:rPr>
              <w:t>CCPR</w:t>
            </w:r>
            <w:r>
              <w:t>/C/AUS/Q/6</w:t>
            </w:r>
          </w:p>
        </w:tc>
      </w:tr>
      <w:tr w:rsidR="002D5AAC" w:rsidTr="00636B9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E33B68" w:rsidRDefault="00E33B68" w:rsidP="00B511D3">
            <w:pPr>
              <w:spacing w:before="240"/>
            </w:pPr>
            <w:r>
              <w:t>Distr. general</w:t>
            </w:r>
          </w:p>
          <w:p w:rsidR="00E33B68" w:rsidRDefault="00E33B68" w:rsidP="00E33B68">
            <w:pPr>
              <w:spacing w:line="240" w:lineRule="exact"/>
            </w:pPr>
            <w:r>
              <w:t>9 de noviembre de 2012</w:t>
            </w:r>
          </w:p>
          <w:p w:rsidR="00E33B68" w:rsidRDefault="00E33B68" w:rsidP="00E33B68">
            <w:pPr>
              <w:spacing w:line="240" w:lineRule="exact"/>
            </w:pPr>
            <w:r>
              <w:t>Español</w:t>
            </w:r>
          </w:p>
          <w:p w:rsidR="002D5AAC" w:rsidRDefault="00E33B68" w:rsidP="00E33B68">
            <w:pPr>
              <w:spacing w:line="240" w:lineRule="exact"/>
            </w:pPr>
            <w:r>
              <w:t>Original: inglés</w:t>
            </w:r>
          </w:p>
        </w:tc>
      </w:tr>
    </w:tbl>
    <w:p w:rsidR="00636B99" w:rsidRDefault="00636B99" w:rsidP="00636B99">
      <w:pPr>
        <w:spacing w:before="120" w:line="240" w:lineRule="auto"/>
        <w:rPr>
          <w:b/>
          <w:sz w:val="24"/>
          <w:szCs w:val="24"/>
        </w:rPr>
      </w:pPr>
      <w:r w:rsidRPr="00681D50">
        <w:rPr>
          <w:b/>
          <w:sz w:val="24"/>
          <w:szCs w:val="24"/>
        </w:rPr>
        <w:t>Comité de Derechos Humanos</w:t>
      </w:r>
    </w:p>
    <w:p w:rsidR="00636B99" w:rsidRPr="00681D50" w:rsidRDefault="00636B99" w:rsidP="00636B99">
      <w:pPr>
        <w:pStyle w:val="HChG"/>
      </w:pPr>
      <w:r>
        <w:tab/>
      </w:r>
      <w:r>
        <w:tab/>
      </w:r>
      <w:r w:rsidRPr="00681D50">
        <w:t>Lista de cuestiones previa a</w:t>
      </w:r>
      <w:r>
        <w:t xml:space="preserve"> la presentación del sexto </w:t>
      </w:r>
      <w:r w:rsidRPr="00681D50">
        <w:t>informe</w:t>
      </w:r>
      <w:r>
        <w:t> </w:t>
      </w:r>
      <w:r w:rsidRPr="00681D50">
        <w:t>periódico de Australia (CCPR/C/AUS/6)</w:t>
      </w:r>
      <w:r>
        <w:t>, aprobada por el Comité en su 106º período de sesiones (15 de octubre a 2 de noviembre de 2012)</w:t>
      </w:r>
      <w:r w:rsidRPr="00681D50">
        <w:rPr>
          <w:b w:val="0"/>
          <w:sz w:val="20"/>
        </w:rPr>
        <w:footnoteReference w:customMarkFollows="1" w:id="1"/>
        <w:t>*</w:t>
      </w:r>
    </w:p>
    <w:p w:rsidR="00636B99" w:rsidRPr="00681D50" w:rsidRDefault="00636B99" w:rsidP="00636B99">
      <w:pPr>
        <w:pStyle w:val="H1G"/>
      </w:pPr>
      <w:r>
        <w:tab/>
      </w:r>
      <w:r>
        <w:tab/>
      </w:r>
      <w:r w:rsidRPr="00681D50">
        <w:t>Información general sobre la s</w:t>
      </w:r>
      <w:r>
        <w:t>ituación nacional en materia de </w:t>
      </w:r>
      <w:r w:rsidRPr="00681D50">
        <w:t>derechos</w:t>
      </w:r>
      <w:r>
        <w:t> </w:t>
      </w:r>
      <w:r w:rsidRPr="00681D50">
        <w:t>humanos, co</w:t>
      </w:r>
      <w:r>
        <w:t xml:space="preserve">n inclusión de nuevas medidas y </w:t>
      </w:r>
      <w:r w:rsidRPr="00681D50">
        <w:t>circunstancias</w:t>
      </w:r>
      <w:r>
        <w:t> </w:t>
      </w:r>
      <w:r w:rsidRPr="00681D50">
        <w:t xml:space="preserve">relacionadas con la aplicación del Pacto </w:t>
      </w:r>
    </w:p>
    <w:p w:rsidR="00636B99" w:rsidRPr="00681D50" w:rsidRDefault="00636B99" w:rsidP="00636B99">
      <w:pPr>
        <w:pStyle w:val="SingleTxtG"/>
      </w:pPr>
      <w:r w:rsidRPr="00681D50">
        <w:t>1.</w:t>
      </w:r>
      <w:r w:rsidRPr="00681D50">
        <w:tab/>
        <w:t xml:space="preserve">Sírvanse proporcionar información detallada sobre cualquier novedad significativa que se haya producido en el marco jurídico e institucional de promoción y protección de los derechos humanos a </w:t>
      </w:r>
      <w:r>
        <w:t>nivel</w:t>
      </w:r>
      <w:r w:rsidRPr="00681D50">
        <w:t xml:space="preserve"> nacional desde la presentación del anterior informe periódico, incluida cualquier decisión judicial pertinente. </w:t>
      </w:r>
      <w:r>
        <w:t>I</w:t>
      </w:r>
      <w:r w:rsidRPr="00681D50">
        <w:t>nform</w:t>
      </w:r>
      <w:r>
        <w:t>en</w:t>
      </w:r>
      <w:r w:rsidRPr="00681D50">
        <w:t xml:space="preserve"> también de las medidas adoptadas para difundir el Pacto entre l</w:t>
      </w:r>
      <w:r>
        <w:t>os jueces, abogados y fiscales.</w:t>
      </w:r>
    </w:p>
    <w:p w:rsidR="00636B99" w:rsidRPr="00681D50" w:rsidRDefault="00636B99" w:rsidP="00636B99">
      <w:pPr>
        <w:pStyle w:val="SingleTxtG"/>
      </w:pPr>
      <w:r w:rsidRPr="00681D50">
        <w:t>2.</w:t>
      </w:r>
      <w:r w:rsidRPr="00681D50">
        <w:tab/>
      </w:r>
      <w:r>
        <w:t>P</w:t>
      </w:r>
      <w:r w:rsidRPr="00681D50">
        <w:t>roporcion</w:t>
      </w:r>
      <w:r>
        <w:t>en</w:t>
      </w:r>
      <w:r w:rsidRPr="00681D50">
        <w:t xml:space="preserve"> información sobre las medidas políticas y administrativas significativas adoptadas desde la presentación del informe anterior para promover y proteger los derechos humanos </w:t>
      </w:r>
      <w:r>
        <w:t xml:space="preserve">amparados por </w:t>
      </w:r>
      <w:r w:rsidRPr="00681D50">
        <w:t xml:space="preserve">el Pacto, y los recursos asignados, sus medios, </w:t>
      </w:r>
      <w:r>
        <w:t>sus objetivos y sus resultados.</w:t>
      </w:r>
      <w:r w:rsidR="00446495">
        <w:t xml:space="preserve"> </w:t>
      </w:r>
    </w:p>
    <w:p w:rsidR="00636B99" w:rsidRPr="00681D50" w:rsidRDefault="00636B99" w:rsidP="00636B99">
      <w:pPr>
        <w:pStyle w:val="SingleTxtG"/>
      </w:pPr>
      <w:r>
        <w:t>3.</w:t>
      </w:r>
      <w:r>
        <w:tab/>
        <w:t>Faciliten</w:t>
      </w:r>
      <w:r w:rsidRPr="00681D50">
        <w:t xml:space="preserve"> cualquier otra información sobre las nuevas medidas adoptadas para difundir y aplicar las recomendaciones anteriores del Comité (CCPR/C/AUS/CO/5), con los datos estadísticos </w:t>
      </w:r>
      <w:r>
        <w:t>pertinentes</w:t>
      </w:r>
      <w:r w:rsidRPr="00681D50">
        <w:t>.</w:t>
      </w:r>
    </w:p>
    <w:p w:rsidR="00636B99" w:rsidRPr="00681D50" w:rsidRDefault="00636B99" w:rsidP="00636B99">
      <w:pPr>
        <w:pStyle w:val="HChG"/>
      </w:pPr>
      <w:r>
        <w:tab/>
      </w:r>
      <w:r>
        <w:tab/>
      </w:r>
      <w:r w:rsidRPr="00681D50">
        <w:t>Información específica sobre</w:t>
      </w:r>
      <w:r>
        <w:t xml:space="preserve"> la aplicación de los artículos 1 </w:t>
      </w:r>
      <w:r w:rsidRPr="00AA0C37">
        <w:rPr>
          <w:spacing w:val="-10"/>
        </w:rPr>
        <w:t>a</w:t>
      </w:r>
      <w:r>
        <w:rPr>
          <w:spacing w:val="-10"/>
        </w:rPr>
        <w:t> </w:t>
      </w:r>
      <w:r w:rsidRPr="00AA0C37">
        <w:rPr>
          <w:spacing w:val="-10"/>
        </w:rPr>
        <w:t xml:space="preserve">27 </w:t>
      </w:r>
      <w:r w:rsidRPr="00AA0C37">
        <w:rPr>
          <w:spacing w:val="-4"/>
        </w:rPr>
        <w:t>del Pacto, incluida</w:t>
      </w:r>
      <w:r w:rsidRPr="00AA0C37">
        <w:rPr>
          <w:spacing w:val="-10"/>
        </w:rPr>
        <w:t xml:space="preserve"> la</w:t>
      </w:r>
      <w:r w:rsidRPr="00AA0C37">
        <w:rPr>
          <w:spacing w:val="-4"/>
        </w:rPr>
        <w:t xml:space="preserve"> relacionada</w:t>
      </w:r>
      <w:r>
        <w:rPr>
          <w:spacing w:val="-10"/>
        </w:rPr>
        <w:t xml:space="preserve"> con </w:t>
      </w:r>
      <w:r w:rsidRPr="00AA0C37">
        <w:rPr>
          <w:spacing w:val="-10"/>
        </w:rPr>
        <w:t>las</w:t>
      </w:r>
      <w:r>
        <w:rPr>
          <w:spacing w:val="-10"/>
        </w:rPr>
        <w:t> </w:t>
      </w:r>
      <w:r w:rsidRPr="00AA0C37">
        <w:t>recomendaciones</w:t>
      </w:r>
      <w:r w:rsidRPr="00681D50">
        <w:t xml:space="preserve"> anteriores del Comité</w:t>
      </w:r>
    </w:p>
    <w:p w:rsidR="00636B99" w:rsidRPr="00681D50" w:rsidRDefault="00636B99" w:rsidP="00636B99">
      <w:pPr>
        <w:pStyle w:val="H1G"/>
        <w:spacing w:before="320"/>
      </w:pPr>
      <w:r>
        <w:tab/>
      </w:r>
      <w:r>
        <w:tab/>
      </w:r>
      <w:r w:rsidRPr="00681D50">
        <w:t>Marco constitucional y jurí</w:t>
      </w:r>
      <w:r>
        <w:t xml:space="preserve">dico de la aplicación del Pacto, derecho a un recurso efectivo </w:t>
      </w:r>
      <w:r w:rsidRPr="00681D50">
        <w:t>(artículo 2)</w:t>
      </w:r>
    </w:p>
    <w:p w:rsidR="00636B99" w:rsidRDefault="00636B99" w:rsidP="00636B99">
      <w:pPr>
        <w:pStyle w:val="SingleTxtG"/>
        <w:spacing w:line="220" w:lineRule="atLeast"/>
      </w:pPr>
      <w:r>
        <w:t>4.</w:t>
      </w:r>
      <w:r>
        <w:tab/>
      </w:r>
      <w:r w:rsidRPr="003B309D">
        <w:t>En vista de la decisión del Estado parte de no incorporar el P</w:t>
      </w:r>
      <w:r>
        <w:t xml:space="preserve">acto a la legislación interna, se ruega informen de </w:t>
      </w:r>
      <w:r w:rsidRPr="003B309D">
        <w:t>cómo se vela por que se apliquen de manera efectiva las disposiciones del Pacto en el plano nacional y por que las víctimas dispongan de un recurso efectivo cuando se vulneren sus</w:t>
      </w:r>
      <w:r>
        <w:t xml:space="preserve"> derechos amparados en el Pacto.</w:t>
      </w:r>
      <w:r w:rsidRPr="003B309D">
        <w:t xml:space="preserve"> Sírvanse indicar también las medidas adoptadas para establecer un mecanismo destinado a asegurar de manera sistemática la compatibilidad del derecho interno, a todos los niveles de gobierno, con el Pacto.</w:t>
      </w:r>
    </w:p>
    <w:p w:rsidR="00636B99" w:rsidRPr="00681D50" w:rsidRDefault="00636B99" w:rsidP="00636B99">
      <w:pPr>
        <w:pStyle w:val="SingleTxtG"/>
        <w:spacing w:line="220" w:lineRule="atLeast"/>
      </w:pPr>
      <w:r>
        <w:t>5.</w:t>
      </w:r>
      <w:r>
        <w:tab/>
        <w:t>I</w:t>
      </w:r>
      <w:r w:rsidRPr="00681D50">
        <w:t>ndi</w:t>
      </w:r>
      <w:r>
        <w:t xml:space="preserve">quen </w:t>
      </w:r>
      <w:r w:rsidRPr="00681D50">
        <w:t>si el Estado parte prevé retirar sus reservas al Pacto. De no ser así, expli</w:t>
      </w:r>
      <w:r>
        <w:t xml:space="preserve">quen </w:t>
      </w:r>
      <w:r w:rsidRPr="00681D50">
        <w:t xml:space="preserve">los motivos y </w:t>
      </w:r>
      <w:r>
        <w:t xml:space="preserve">de qué modo </w:t>
      </w:r>
      <w:r w:rsidRPr="00681D50">
        <w:t xml:space="preserve">la reserva al artículo 20 </w:t>
      </w:r>
      <w:r>
        <w:t xml:space="preserve">es compatible </w:t>
      </w:r>
      <w:r w:rsidRPr="00681D50">
        <w:t xml:space="preserve">con el objeto y </w:t>
      </w:r>
      <w:r>
        <w:t xml:space="preserve">propósito </w:t>
      </w:r>
      <w:r w:rsidRPr="00681D50">
        <w:t>del Pacto.</w:t>
      </w:r>
    </w:p>
    <w:p w:rsidR="00636B99" w:rsidRPr="006D2E88" w:rsidRDefault="00636B99" w:rsidP="00636B99">
      <w:pPr>
        <w:pStyle w:val="SingleTxtG"/>
        <w:spacing w:line="220" w:lineRule="atLeast"/>
      </w:pPr>
      <w:r w:rsidRPr="006D2E88">
        <w:t>6.</w:t>
      </w:r>
      <w:r w:rsidRPr="006D2E88">
        <w:tab/>
        <w:t>Teniendo en cuenta las anteriores observaciones finales del Comité (CCPR/C/AUS/CO/5, párr. 10), indíquense las medidas y los mecanismos existentes para</w:t>
      </w:r>
      <w:r>
        <w:t> </w:t>
      </w:r>
      <w:r w:rsidRPr="006D2E88">
        <w:t>aplicar y garantizar el cumplimiento de los dictámenes del Comité en relación con el Protocolo Facultativo del Pacto.</w:t>
      </w:r>
    </w:p>
    <w:p w:rsidR="00636B99" w:rsidRPr="00681D50" w:rsidRDefault="00636B99" w:rsidP="00636B99">
      <w:pPr>
        <w:pStyle w:val="H1G"/>
      </w:pPr>
      <w:r>
        <w:tab/>
      </w:r>
      <w:r>
        <w:tab/>
      </w:r>
      <w:r w:rsidRPr="00681D50">
        <w:t>Medidas de lucha contra el terrorismo y respeto de los derechos</w:t>
      </w:r>
      <w:r>
        <w:t xml:space="preserve"> garantizados en el Pacto (artículos</w:t>
      </w:r>
      <w:r w:rsidRPr="00681D50">
        <w:t xml:space="preserve"> 2, 7, 9, 14 y 26)</w:t>
      </w:r>
    </w:p>
    <w:p w:rsidR="00636B99" w:rsidRPr="00681D50" w:rsidRDefault="00636B99" w:rsidP="00636B99">
      <w:pPr>
        <w:pStyle w:val="SingleTxtG"/>
        <w:spacing w:line="220" w:lineRule="atLeast"/>
      </w:pPr>
      <w:r>
        <w:t>7.</w:t>
      </w:r>
      <w:r>
        <w:tab/>
        <w:t>Teniendo</w:t>
      </w:r>
      <w:r w:rsidRPr="00681D50">
        <w:t xml:space="preserve"> cuenta las anteriores observaciones finales del Comité (CCPR/C/AUS/</w:t>
      </w:r>
      <w:r>
        <w:br/>
      </w:r>
      <w:r w:rsidRPr="00681D50">
        <w:t>CO/5, párr. 11) y las respuestas del Estado parte (CCPR/C/AUS/CO/5/Add.1</w:t>
      </w:r>
      <w:r>
        <w:t>, Add.2 y Add.3</w:t>
      </w:r>
      <w:r w:rsidRPr="00681D50">
        <w:t xml:space="preserve">), sírvanse facilitar información sobre las medidas legislativas específicas adoptadas para garantizar que las leyes y prácticas australianas de lucha contra el terrorismo estén en perfecta consonancia con las disposiciones del Pacto, en particular con los artículos 9 y 14. </w:t>
      </w:r>
      <w:r>
        <w:t>P</w:t>
      </w:r>
      <w:r w:rsidRPr="00681D50">
        <w:t>roporcion</w:t>
      </w:r>
      <w:r>
        <w:t>en</w:t>
      </w:r>
      <w:r w:rsidRPr="00681D50">
        <w:t xml:space="preserve"> información actualizada con respecto a las dudas expresadas en el Informe Anual de 2011 del Observador Independiente de la Legislación de Seguridad Nacional sobre la necesidad de un período de detención de siete días, cualquier recomendación pertinente de su informe de 2012 y el resultado del examen llevado a cabo por el Consejo de Gobiernos Australianos.</w:t>
      </w:r>
    </w:p>
    <w:p w:rsidR="00636B99" w:rsidRPr="00681D50" w:rsidRDefault="00636B99" w:rsidP="00636B99">
      <w:pPr>
        <w:pStyle w:val="SingleTxtG"/>
        <w:spacing w:line="220" w:lineRule="atLeast"/>
      </w:pPr>
      <w:r>
        <w:t>8.</w:t>
      </w:r>
      <w:r>
        <w:tab/>
        <w:t>I</w:t>
      </w:r>
      <w:r w:rsidRPr="00681D50">
        <w:t>ndi</w:t>
      </w:r>
      <w:r>
        <w:t xml:space="preserve">quen </w:t>
      </w:r>
      <w:r w:rsidRPr="00681D50">
        <w:t xml:space="preserve">las garantías existentes para impedir el uso de pruebas obtenidas mediante tortura u otros tratos crueles, inhumanos o degradantes, así como los mecanismos disponibles para investigar las denuncias de tortura en el contexto de las medidas de lucha contra el terrorismo, llevar a los </w:t>
      </w:r>
      <w:r>
        <w:t xml:space="preserve">responsables </w:t>
      </w:r>
      <w:r w:rsidRPr="00681D50">
        <w:t xml:space="preserve">ante la justicia y conceder </w:t>
      </w:r>
      <w:r>
        <w:t xml:space="preserve">reparación </w:t>
      </w:r>
      <w:r w:rsidRPr="00681D50">
        <w:t>a las víctimas.</w:t>
      </w:r>
    </w:p>
    <w:p w:rsidR="00636B99" w:rsidRPr="00681D50" w:rsidRDefault="00636B99" w:rsidP="00636B99">
      <w:pPr>
        <w:pStyle w:val="H1G"/>
        <w:spacing w:before="320"/>
      </w:pPr>
      <w:r>
        <w:tab/>
      </w:r>
      <w:r>
        <w:tab/>
      </w:r>
      <w:r w:rsidRPr="00681D50">
        <w:t>Igualdad y no discriminación (</w:t>
      </w:r>
      <w:r>
        <w:t>artículos</w:t>
      </w:r>
      <w:r w:rsidRPr="00681D50">
        <w:t xml:space="preserve"> 2 y 26)</w:t>
      </w:r>
    </w:p>
    <w:p w:rsidR="00636B99" w:rsidRPr="00681D50" w:rsidRDefault="00636B99" w:rsidP="00636B99">
      <w:pPr>
        <w:pStyle w:val="SingleTxtG"/>
        <w:spacing w:line="220" w:lineRule="atLeast"/>
      </w:pPr>
      <w:r>
        <w:t>9.</w:t>
      </w:r>
      <w:r>
        <w:tab/>
      </w:r>
      <w:r w:rsidRPr="00681D50">
        <w:t xml:space="preserve">Sírvanse proporcionar información sobre las medidas adoptadas para </w:t>
      </w:r>
      <w:r>
        <w:t>aprobar</w:t>
      </w:r>
      <w:r w:rsidRPr="00681D50">
        <w:t xml:space="preserve"> leyes federales que abarquen todos los motivos de discriminación por parte de todos los agentes pertinentes conforme a lo previsto en el Pacto, así como para proteger de forma integral el derecho a la igualdad y la no discriminación. </w:t>
      </w:r>
      <w:r>
        <w:t>E</w:t>
      </w:r>
      <w:r w:rsidRPr="00681D50">
        <w:t>xpli</w:t>
      </w:r>
      <w:r>
        <w:t xml:space="preserve">quen </w:t>
      </w:r>
      <w:r w:rsidRPr="00681D50">
        <w:t xml:space="preserve">las lagunas que existen en la ley vigente de lucha contra la discriminación y la manera en que el proyecto de ley federal las </w:t>
      </w:r>
      <w:r>
        <w:t>subsanaría</w:t>
      </w:r>
      <w:r w:rsidRPr="00681D50">
        <w:t xml:space="preserve">. </w:t>
      </w:r>
      <w:r>
        <w:t>Describan</w:t>
      </w:r>
      <w:r w:rsidRPr="00681D50">
        <w:t xml:space="preserve"> </w:t>
      </w:r>
      <w:r>
        <w:t>la labor realizada</w:t>
      </w:r>
      <w:r w:rsidRPr="00681D50">
        <w:t xml:space="preserve"> recientemente para </w:t>
      </w:r>
      <w:r>
        <w:t>reforzar los</w:t>
      </w:r>
      <w:r w:rsidRPr="00681D50">
        <w:t xml:space="preserve"> mecanismos disponibles a fin de </w:t>
      </w:r>
      <w:r>
        <w:t>proporcionar</w:t>
      </w:r>
      <w:r w:rsidRPr="00681D50">
        <w:t xml:space="preserve"> recursos efectivos contra la discriminación y promover la igualdad sustantiva.</w:t>
      </w:r>
    </w:p>
    <w:p w:rsidR="00636B99" w:rsidRPr="00681D50" w:rsidRDefault="00636B99" w:rsidP="00636B99">
      <w:pPr>
        <w:pStyle w:val="H1G"/>
      </w:pPr>
      <w:r>
        <w:tab/>
      </w:r>
      <w:r>
        <w:tab/>
        <w:t>Violencia contra la mujer (artículos</w:t>
      </w:r>
      <w:r w:rsidRPr="00681D50">
        <w:t xml:space="preserve"> 2, 3, 7 y 26)</w:t>
      </w:r>
    </w:p>
    <w:p w:rsidR="00636B99" w:rsidRPr="00681D50" w:rsidRDefault="00636B99" w:rsidP="00636B99">
      <w:pPr>
        <w:pStyle w:val="SingleTxtG"/>
      </w:pPr>
      <w:r w:rsidRPr="00097F37">
        <w:rPr>
          <w:spacing w:val="-2"/>
        </w:rPr>
        <w:t>10.</w:t>
      </w:r>
      <w:r w:rsidRPr="00097F37">
        <w:rPr>
          <w:spacing w:val="-2"/>
        </w:rPr>
        <w:tab/>
        <w:t>Teniendo en cuenta las recomendaciones anteriores del Comité (CCPR/C/AUS/CO/5, párr. 17), y las respuestas del Estado parte (CCPR/C/AUS/CO/5/Add.1, Add.2 y Add.3),</w:t>
      </w:r>
      <w:r w:rsidRPr="00681D50">
        <w:t xml:space="preserve"> </w:t>
      </w:r>
      <w:r>
        <w:t>faciliten</w:t>
      </w:r>
      <w:r w:rsidRPr="00681D50">
        <w:t xml:space="preserve"> información actualizada sobre las medidas legislativas, administrativas y de otra índole adoptadas para eliminar todas las formas de violencia contra la mujer, especialmente contra las mujeres indígenas y las mujeres con discapacidad. Asimismo, proporcion</w:t>
      </w:r>
      <w:r>
        <w:t>en</w:t>
      </w:r>
      <w:r w:rsidRPr="00681D50">
        <w:t xml:space="preserve"> información actualizada sobre la disponibilidad y la idoneidad de los servicios jurídicos y sociales para las mujeres víctimas de la violencia doméstica y de agresiones sexuales, en particular en las zonas rurales y remotas.</w:t>
      </w:r>
    </w:p>
    <w:p w:rsidR="00636B99" w:rsidRPr="00681D50" w:rsidRDefault="00636B99" w:rsidP="00636B99">
      <w:pPr>
        <w:pStyle w:val="SingleTxtG"/>
      </w:pPr>
      <w:r w:rsidRPr="009320BE">
        <w:t>11.</w:t>
      </w:r>
      <w:r w:rsidRPr="009320BE">
        <w:tab/>
        <w:t>Rogamos comuniquen si se siguen practicando esterilizaciones de mujeres y niñas, incluidas las que padecen discapacidad, sin su consentimiento informado y libre, e informen de las medidas adoptadas para aprobar disposiciones legislativas que prohíban dichas esterilizaciones</w:t>
      </w:r>
      <w:r w:rsidRPr="00681D50">
        <w:t>.</w:t>
      </w:r>
    </w:p>
    <w:p w:rsidR="00636B99" w:rsidRPr="00681D50" w:rsidRDefault="00636B99" w:rsidP="00636B99">
      <w:pPr>
        <w:pStyle w:val="H1G"/>
        <w:spacing w:before="320"/>
      </w:pPr>
      <w:r>
        <w:tab/>
      </w:r>
      <w:r>
        <w:tab/>
      </w:r>
      <w:r w:rsidRPr="00681D50">
        <w:t>Derecho a la vida, prohibición de la tortura y otros tratos o penas crueles, inhumanos o degradantes</w:t>
      </w:r>
      <w:r>
        <w:t>,</w:t>
      </w:r>
      <w:r w:rsidRPr="00681D50">
        <w:t xml:space="preserve"> y dere</w:t>
      </w:r>
      <w:r>
        <w:t>chos de los no ciudadanos (artículos</w:t>
      </w:r>
      <w:r w:rsidRPr="00681D50">
        <w:t xml:space="preserve"> 3, 6, 7, 9 y 13)</w:t>
      </w:r>
    </w:p>
    <w:p w:rsidR="00636B99" w:rsidRPr="00681D50" w:rsidRDefault="00636B99" w:rsidP="00636B99">
      <w:pPr>
        <w:pStyle w:val="SingleTxtG"/>
        <w:spacing w:line="220" w:lineRule="atLeast"/>
      </w:pPr>
      <w:r>
        <w:t>12.</w:t>
      </w:r>
      <w:r>
        <w:tab/>
        <w:t xml:space="preserve">A la luz </w:t>
      </w:r>
      <w:r w:rsidRPr="00681D50">
        <w:t xml:space="preserve">de las observaciones finales del </w:t>
      </w:r>
      <w:r>
        <w:t xml:space="preserve">Comité (CCPR/C/AUS/CO/5, párrs. </w:t>
      </w:r>
      <w:r w:rsidRPr="00681D50">
        <w:t>19 y</w:t>
      </w:r>
      <w:r>
        <w:t> </w:t>
      </w:r>
      <w:r w:rsidRPr="00681D50">
        <w:t xml:space="preserve">20), sírvanse proporcionar información sobre las medidas adoptadas para </w:t>
      </w:r>
      <w:r>
        <w:t>impedir que</w:t>
      </w:r>
      <w:r w:rsidRPr="00681D50">
        <w:t xml:space="preserve"> se extradite o devuelva a </w:t>
      </w:r>
      <w:r>
        <w:t>alguien</w:t>
      </w:r>
      <w:r w:rsidRPr="00681D50">
        <w:t xml:space="preserve"> a un país cuando haya razones fundadas para creer que esa persona estaría en peligro de ser privada arbitrariamente de la vida o de ser torturada o sometida a otros tratos o penas crueles, inhumanos o degradantes. S</w:t>
      </w:r>
      <w:r>
        <w:t xml:space="preserve">eñalen </w:t>
      </w:r>
      <w:r w:rsidRPr="00681D50">
        <w:t>las medidas adoptadas por el Estado parte para v</w:t>
      </w:r>
      <w:r>
        <w:t>igi</w:t>
      </w:r>
      <w:r w:rsidRPr="00681D50">
        <w:t>lar la</w:t>
      </w:r>
      <w:r>
        <w:t>s</w:t>
      </w:r>
      <w:r w:rsidRPr="00681D50">
        <w:t xml:space="preserve"> </w:t>
      </w:r>
      <w:r>
        <w:t xml:space="preserve">condiciones de </w:t>
      </w:r>
      <w:r w:rsidRPr="00681D50">
        <w:t xml:space="preserve">seguridad de las personas una vez son extraditadas o devueltas a su país sobre la base de garantías diplomáticas. </w:t>
      </w:r>
      <w:r>
        <w:t>E</w:t>
      </w:r>
      <w:r w:rsidRPr="00681D50">
        <w:t>xpli</w:t>
      </w:r>
      <w:r>
        <w:t xml:space="preserve">quen </w:t>
      </w:r>
      <w:r w:rsidRPr="00681D50">
        <w:t xml:space="preserve">también </w:t>
      </w:r>
      <w:r>
        <w:t xml:space="preserve">en qué medida </w:t>
      </w:r>
      <w:r w:rsidRPr="00681D50">
        <w:t xml:space="preserve">la transferencia de los solicitantes de asilo a terceros países para tramitar sus reclamaciones </w:t>
      </w:r>
      <w:r>
        <w:t xml:space="preserve">es compatible </w:t>
      </w:r>
      <w:r w:rsidRPr="00681D50">
        <w:t>con las obligaciones asumidas por el Estado parte en virtud del Pacto, en especial las relativas a la no devolución.</w:t>
      </w:r>
    </w:p>
    <w:p w:rsidR="00636B99" w:rsidRPr="00681D50" w:rsidRDefault="00636B99" w:rsidP="00636B99">
      <w:pPr>
        <w:pStyle w:val="SingleTxtG"/>
      </w:pPr>
      <w:r>
        <w:t>13.</w:t>
      </w:r>
      <w:r>
        <w:tab/>
      </w:r>
      <w:r w:rsidRPr="00681D50">
        <w:t>Teniendo presentes las observaciones finales del</w:t>
      </w:r>
      <w:r>
        <w:t xml:space="preserve"> Comité (CCPR/C/AUS/CO/5, párr. 21), se ruega informen</w:t>
      </w:r>
      <w:r w:rsidRPr="00681D50">
        <w:t xml:space="preserve"> al Comité acerca de las medidas adoptadas por el Estado parte para regular el uso de la fuerza, tanto letal como no letal, por </w:t>
      </w:r>
      <w:r>
        <w:t xml:space="preserve">parte de </w:t>
      </w:r>
      <w:r w:rsidRPr="00681D50">
        <w:t xml:space="preserve">los agentes </w:t>
      </w:r>
      <w:r>
        <w:t>del orden</w:t>
      </w:r>
      <w:r w:rsidRPr="00681D50">
        <w:t xml:space="preserve">, en particular contra grupos como los indígenas, las minorías raciales, las personas con discapacidad y los jóvenes. </w:t>
      </w:r>
      <w:r>
        <w:t>I</w:t>
      </w:r>
      <w:r w:rsidRPr="00681D50">
        <w:t>ndi</w:t>
      </w:r>
      <w:r>
        <w:t xml:space="preserve">quen cuáles son </w:t>
      </w:r>
      <w:r w:rsidRPr="00681D50">
        <w:t xml:space="preserve">los mecanismos disponibles </w:t>
      </w:r>
      <w:r>
        <w:t xml:space="preserve">que permiten la </w:t>
      </w:r>
      <w:r w:rsidRPr="00681D50">
        <w:t>investigaci</w:t>
      </w:r>
      <w:r>
        <w:t xml:space="preserve">ón </w:t>
      </w:r>
      <w:r w:rsidRPr="00681D50">
        <w:t>ind</w:t>
      </w:r>
      <w:r>
        <w:t>ependiente</w:t>
      </w:r>
      <w:r w:rsidRPr="00681D50">
        <w:t xml:space="preserve"> de las denuncias </w:t>
      </w:r>
      <w:r>
        <w:t>d</w:t>
      </w:r>
      <w:r w:rsidRPr="00681D50">
        <w:t xml:space="preserve">el uso excesivo de la fuerza por parte de los </w:t>
      </w:r>
      <w:r>
        <w:t>agentes del orden</w:t>
      </w:r>
      <w:r w:rsidRPr="00681D50">
        <w:t xml:space="preserve"> y </w:t>
      </w:r>
      <w:r>
        <w:t xml:space="preserve">el </w:t>
      </w:r>
      <w:r w:rsidRPr="00681D50">
        <w:t>acceso a recursos efectivos contra la conducta indebida de la policía.</w:t>
      </w:r>
    </w:p>
    <w:p w:rsidR="00636B99" w:rsidRPr="00681D50" w:rsidRDefault="00636B99" w:rsidP="00636B99">
      <w:pPr>
        <w:pStyle w:val="SingleTxtG"/>
      </w:pPr>
      <w:r>
        <w:t>14.</w:t>
      </w:r>
      <w:r>
        <w:tab/>
        <w:t>Aclaren</w:t>
      </w:r>
      <w:r w:rsidRPr="00681D50">
        <w:t xml:space="preserve"> si el Estado parte tiene previsto reformar o abolir el sistema de detención obligatoria sin una determinación individualizada de la necesidad de esa medida en los casos de entrada ilegal. </w:t>
      </w:r>
      <w:r>
        <w:t>I</w:t>
      </w:r>
      <w:r w:rsidRPr="00681D50">
        <w:t>nform</w:t>
      </w:r>
      <w:r>
        <w:t>e</w:t>
      </w:r>
      <w:r w:rsidRPr="00681D50">
        <w:t xml:space="preserve">n </w:t>
      </w:r>
      <w:r>
        <w:t xml:space="preserve">también </w:t>
      </w:r>
      <w:r w:rsidRPr="00681D50">
        <w:t>sobre: a) los plazos aplicables a la detención de migrantes; b) la posibilidad de que el Estado parte modifique la Ley de migración</w:t>
      </w:r>
      <w:r>
        <w:t xml:space="preserve"> de 1958</w:t>
      </w:r>
      <w:r w:rsidRPr="00681D50">
        <w:t xml:space="preserve"> para </w:t>
      </w:r>
      <w:r>
        <w:t xml:space="preserve">impedir </w:t>
      </w:r>
      <w:r w:rsidRPr="00681D50">
        <w:t>que las personas apátridas y las personas que no pueden ser deportadas o tra</w:t>
      </w:r>
      <w:r>
        <w:t xml:space="preserve">sladadas a su país de origen </w:t>
      </w:r>
      <w:r w:rsidRPr="00681D50">
        <w:t>permanezcan indefinidamente</w:t>
      </w:r>
      <w:r>
        <w:t xml:space="preserve"> privadas de libertad;</w:t>
      </w:r>
      <w:r w:rsidRPr="00681D50">
        <w:t xml:space="preserve"> y c) las garantías jurídicas, administrativas y de procedimiento para velar por que ningún niño</w:t>
      </w:r>
      <w:r>
        <w:t>,</w:t>
      </w:r>
      <w:r w:rsidRPr="00681D50">
        <w:t xml:space="preserve"> por su situación </w:t>
      </w:r>
      <w:r>
        <w:t>de in</w:t>
      </w:r>
      <w:r w:rsidRPr="00681D50">
        <w:t>migra</w:t>
      </w:r>
      <w:r>
        <w:t>ción</w:t>
      </w:r>
      <w:r w:rsidRPr="00681D50">
        <w:t xml:space="preserve">, </w:t>
      </w:r>
      <w:r>
        <w:t xml:space="preserve">sea </w:t>
      </w:r>
      <w:r w:rsidRPr="00681D50">
        <w:t xml:space="preserve">detenido o </w:t>
      </w:r>
      <w:r>
        <w:t xml:space="preserve">retenido </w:t>
      </w:r>
      <w:r w:rsidRPr="00681D50">
        <w:t xml:space="preserve">en un centro </w:t>
      </w:r>
      <w:r>
        <w:t xml:space="preserve">análogo </w:t>
      </w:r>
      <w:r w:rsidRPr="00681D50">
        <w:t xml:space="preserve">a </w:t>
      </w:r>
      <w:r>
        <w:t>locales de detenc</w:t>
      </w:r>
      <w:r w:rsidRPr="00681D50">
        <w:t>ión</w:t>
      </w:r>
      <w:r>
        <w:t>,</w:t>
      </w:r>
      <w:r w:rsidRPr="00681D50">
        <w:t xml:space="preserve"> incluidos los centros de detención extra</w:t>
      </w:r>
      <w:r>
        <w:t>continent</w:t>
      </w:r>
      <w:r w:rsidRPr="00681D50">
        <w:t>ales, y por que se brinde protección y asistencia especiales a los niños no acompañados.</w:t>
      </w:r>
    </w:p>
    <w:p w:rsidR="00636B99" w:rsidRPr="00681D50" w:rsidRDefault="00636B99" w:rsidP="00636B99">
      <w:pPr>
        <w:pStyle w:val="SingleTxtG"/>
        <w:spacing w:line="220" w:lineRule="atLeast"/>
      </w:pPr>
      <w:r>
        <w:t>15.</w:t>
      </w:r>
      <w:r>
        <w:tab/>
        <w:t>Describan</w:t>
      </w:r>
      <w:r w:rsidRPr="00681D50">
        <w:t xml:space="preserve"> las medidas adoptadas a fin de: a) derogar las disposiciones de la Ley de migración de 1958 relativa a los </w:t>
      </w:r>
      <w:r>
        <w:t xml:space="preserve">centros </w:t>
      </w:r>
      <w:r w:rsidRPr="00681D50">
        <w:t>de detención extra</w:t>
      </w:r>
      <w:r>
        <w:t>continent</w:t>
      </w:r>
      <w:r w:rsidRPr="00681D50">
        <w:t>ales</w:t>
      </w:r>
      <w:r>
        <w:t xml:space="preserve"> </w:t>
      </w:r>
      <w:r w:rsidRPr="00681D50">
        <w:t>y clausurar el centro de detención de Christmas Island</w:t>
      </w:r>
      <w:r>
        <w:t>;</w:t>
      </w:r>
      <w:r w:rsidRPr="00681D50">
        <w:t xml:space="preserve"> y b) velar por que todos los </w:t>
      </w:r>
      <w:r>
        <w:t>in</w:t>
      </w:r>
      <w:r w:rsidRPr="00681D50">
        <w:t>migrantes irregulares, incluidos los que se encuentran deten</w:t>
      </w:r>
      <w:r>
        <w:t>idos en las zonas de ultramar</w:t>
      </w:r>
      <w:r w:rsidRPr="00681D50">
        <w:t>, tengan acceso, en condiciones de igualdad, a un</w:t>
      </w:r>
      <w:r>
        <w:t xml:space="preserve"> proceso justo</w:t>
      </w:r>
      <w:r w:rsidRPr="00681D50">
        <w:t xml:space="preserve"> </w:t>
      </w:r>
      <w:r>
        <w:t xml:space="preserve">de examen </w:t>
      </w:r>
      <w:r w:rsidRPr="00681D50">
        <w:t>de sus solicitudes de protección</w:t>
      </w:r>
      <w:r>
        <w:t xml:space="preserve"> que pueda ser objeto de revisión judicial</w:t>
      </w:r>
      <w:r w:rsidRPr="00681D50">
        <w:t>.</w:t>
      </w:r>
    </w:p>
    <w:p w:rsidR="00636B99" w:rsidRPr="00681D50" w:rsidRDefault="00636B99" w:rsidP="00636B99">
      <w:pPr>
        <w:pStyle w:val="H1G"/>
      </w:pPr>
      <w:r>
        <w:tab/>
      </w:r>
      <w:r>
        <w:tab/>
      </w:r>
      <w:r w:rsidRPr="00681D50">
        <w:t>Eliminación de la esclavitud y la servidumbre (</w:t>
      </w:r>
      <w:r>
        <w:t>artículo</w:t>
      </w:r>
      <w:r w:rsidRPr="00681D50">
        <w:t xml:space="preserve"> 8)</w:t>
      </w:r>
    </w:p>
    <w:p w:rsidR="00636B99" w:rsidRPr="00681D50" w:rsidRDefault="00636B99" w:rsidP="00636B99">
      <w:pPr>
        <w:pStyle w:val="SingleTxtG"/>
        <w:spacing w:line="220" w:lineRule="atLeast"/>
      </w:pPr>
      <w:r>
        <w:t>16.</w:t>
      </w:r>
      <w:r>
        <w:tab/>
      </w:r>
      <w:r w:rsidRPr="00681D50">
        <w:t xml:space="preserve">Sírvanse proporcionar información actualizada sobre las medidas adoptadas a fin de: a) redoblar </w:t>
      </w:r>
      <w:r>
        <w:t>la labor</w:t>
      </w:r>
      <w:r w:rsidRPr="00681D50">
        <w:t xml:space="preserve"> </w:t>
      </w:r>
      <w:r>
        <w:t xml:space="preserve">de capacitación de </w:t>
      </w:r>
      <w:r w:rsidRPr="00681D50">
        <w:t xml:space="preserve">los agentes </w:t>
      </w:r>
      <w:r>
        <w:t>par</w:t>
      </w:r>
      <w:r w:rsidRPr="00681D50">
        <w:t xml:space="preserve">a que </w:t>
      </w:r>
      <w:r>
        <w:t xml:space="preserve">puedan </w:t>
      </w:r>
      <w:r w:rsidRPr="00681D50">
        <w:t>determin</w:t>
      </w:r>
      <w:r>
        <w:t>ar y abordar</w:t>
      </w:r>
      <w:r w:rsidRPr="00681D50">
        <w:t xml:space="preserve"> proactivamente los casos de trata de personas; b) ayudar y proteger a las víctimas de la trata</w:t>
      </w:r>
      <w:r>
        <w:t>, con independencia de que</w:t>
      </w:r>
      <w:r w:rsidRPr="00681D50">
        <w:t xml:space="preserve"> particip</w:t>
      </w:r>
      <w:r>
        <w:t>e</w:t>
      </w:r>
      <w:r w:rsidRPr="00681D50">
        <w:t xml:space="preserve">n o </w:t>
      </w:r>
      <w:r>
        <w:t>no en los procesos penales</w:t>
      </w:r>
      <w:r w:rsidRPr="00681D50">
        <w:t xml:space="preserve"> contra los autores de los delitos (visados permane</w:t>
      </w:r>
      <w:r>
        <w:t>ntes de protección de testigos, en los casos de</w:t>
      </w:r>
      <w:r w:rsidRPr="00681D50">
        <w:t xml:space="preserve"> trata)</w:t>
      </w:r>
      <w:r>
        <w:t>; y c) </w:t>
      </w:r>
      <w:r w:rsidRPr="00681D50">
        <w:t xml:space="preserve">proporcionar reparación a las víctimas. </w:t>
      </w:r>
      <w:r>
        <w:t>D</w:t>
      </w:r>
      <w:r w:rsidRPr="00681D50">
        <w:t>escrib</w:t>
      </w:r>
      <w:r>
        <w:t>an</w:t>
      </w:r>
      <w:r w:rsidRPr="00681D50">
        <w:t xml:space="preserve"> las medidas adoptadas por el Estado parte para </w:t>
      </w:r>
      <w:r>
        <w:t>impedi</w:t>
      </w:r>
      <w:r w:rsidRPr="00681D50">
        <w:t xml:space="preserve">r que las víctimas de la trata de personas, incluidos los niños, sean </w:t>
      </w:r>
      <w:r>
        <w:t>deteni</w:t>
      </w:r>
      <w:r w:rsidRPr="00681D50">
        <w:t xml:space="preserve">das, </w:t>
      </w:r>
      <w:r>
        <w:t>sancion</w:t>
      </w:r>
      <w:r w:rsidRPr="00681D50">
        <w:t xml:space="preserve">adas </w:t>
      </w:r>
      <w:r>
        <w:t xml:space="preserve">con </w:t>
      </w:r>
      <w:r w:rsidRPr="00681D50">
        <w:t xml:space="preserve">penas de prisión largas y </w:t>
      </w:r>
      <w:r>
        <w:t>expuls</w:t>
      </w:r>
      <w:r w:rsidRPr="00681D50">
        <w:t xml:space="preserve">adas por violar las leyes </w:t>
      </w:r>
      <w:r>
        <w:t>d</w:t>
      </w:r>
      <w:r w:rsidRPr="00681D50">
        <w:t xml:space="preserve">e </w:t>
      </w:r>
      <w:r>
        <w:t>in</w:t>
      </w:r>
      <w:r w:rsidRPr="00681D50">
        <w:t>migraci</w:t>
      </w:r>
      <w:r>
        <w:t>ón</w:t>
      </w:r>
      <w:r w:rsidRPr="00681D50">
        <w:t>.</w:t>
      </w:r>
    </w:p>
    <w:p w:rsidR="00636B99" w:rsidRPr="00681D50" w:rsidRDefault="00636B99" w:rsidP="00636B99">
      <w:pPr>
        <w:pStyle w:val="H1G"/>
      </w:pPr>
      <w:r>
        <w:tab/>
      </w:r>
      <w:r>
        <w:tab/>
      </w:r>
      <w:r w:rsidRPr="00681D50">
        <w:t xml:space="preserve">Trato </w:t>
      </w:r>
      <w:r>
        <w:t>otorgado a</w:t>
      </w:r>
      <w:r w:rsidRPr="00681D50">
        <w:t xml:space="preserve"> las personas privadas de liber</w:t>
      </w:r>
      <w:r>
        <w:t>tad, independencia del </w:t>
      </w:r>
      <w:r w:rsidRPr="00681D50">
        <w:t>poder</w:t>
      </w:r>
      <w:r>
        <w:t> </w:t>
      </w:r>
      <w:r w:rsidRPr="00681D50">
        <w:t>ju</w:t>
      </w:r>
      <w:r>
        <w:t>dicial y juicio imparcial (artículos</w:t>
      </w:r>
      <w:r w:rsidRPr="00681D50">
        <w:t xml:space="preserve"> 2, 9, 10 y 14)</w:t>
      </w:r>
    </w:p>
    <w:p w:rsidR="00636B99" w:rsidRPr="00681D50" w:rsidRDefault="00636B99" w:rsidP="00636B99">
      <w:pPr>
        <w:pStyle w:val="SingleTxtG"/>
        <w:spacing w:line="220" w:lineRule="atLeast"/>
      </w:pPr>
      <w:r>
        <w:t>17.</w:t>
      </w:r>
      <w:r>
        <w:tab/>
        <w:t>I</w:t>
      </w:r>
      <w:r w:rsidRPr="00681D50">
        <w:t>nform</w:t>
      </w:r>
      <w:r>
        <w:t>en</w:t>
      </w:r>
      <w:r w:rsidRPr="00681D50">
        <w:t xml:space="preserve"> al Comité sobre las medidas adoptadas </w:t>
      </w:r>
      <w:r>
        <w:t>para</w:t>
      </w:r>
      <w:r w:rsidRPr="00681D50">
        <w:t xml:space="preserve">: a) </w:t>
      </w:r>
      <w:r>
        <w:t>hacer frente a</w:t>
      </w:r>
      <w:r w:rsidRPr="00681D50">
        <w:t xml:space="preserve"> la tasa desproporcionadamente alta de encarcelamiento de hombres, mujeres y jóvenes indígenas; b) mejorar las condiciones en las cárceles</w:t>
      </w:r>
      <w:r>
        <w:t>;</w:t>
      </w:r>
      <w:r w:rsidRPr="00681D50">
        <w:t xml:space="preserve"> y c) ofrecer acceso a </w:t>
      </w:r>
      <w:r>
        <w:t xml:space="preserve">servicios adecuados de atención de la </w:t>
      </w:r>
      <w:r w:rsidRPr="00681D50">
        <w:t xml:space="preserve">salud mental </w:t>
      </w:r>
      <w:r>
        <w:t xml:space="preserve">a </w:t>
      </w:r>
      <w:r w:rsidRPr="00681D50">
        <w:t xml:space="preserve">los presos con enfermedades mentales. </w:t>
      </w:r>
      <w:r>
        <w:t>I</w:t>
      </w:r>
      <w:r w:rsidRPr="00681D50">
        <w:t>nform</w:t>
      </w:r>
      <w:r>
        <w:t>e</w:t>
      </w:r>
      <w:r w:rsidRPr="00681D50">
        <w:t>n también sobre los mecanismos externos independientes disponibles para supervisar e inspeccionar las prisiones y los centros de detención, tanto federales como no federales, y sobre los mecanismos existentes para gar</w:t>
      </w:r>
      <w:r>
        <w:t>antizar que todo</w:t>
      </w:r>
      <w:r w:rsidRPr="00681D50">
        <w:t>s l</w:t>
      </w:r>
      <w:r>
        <w:t>o</w:t>
      </w:r>
      <w:r w:rsidRPr="00681D50">
        <w:t xml:space="preserve">s </w:t>
      </w:r>
      <w:r>
        <w:t>casos de muerte</w:t>
      </w:r>
      <w:r w:rsidRPr="00681D50">
        <w:t xml:space="preserve"> </w:t>
      </w:r>
      <w:r>
        <w:t>en las cárceles sean examinados e investigado</w:t>
      </w:r>
      <w:r w:rsidRPr="00681D50">
        <w:t xml:space="preserve">s por órganos independientes. </w:t>
      </w:r>
      <w:r>
        <w:t>F</w:t>
      </w:r>
      <w:r w:rsidRPr="00681D50">
        <w:t>acilit</w:t>
      </w:r>
      <w:r>
        <w:t>en</w:t>
      </w:r>
      <w:r w:rsidRPr="00681D50">
        <w:t xml:space="preserve"> información sobre las </w:t>
      </w:r>
      <w:r>
        <w:t>medidas adoptadas</w:t>
      </w:r>
      <w:r w:rsidRPr="00681D50">
        <w:t xml:space="preserve"> para aplicar </w:t>
      </w:r>
      <w:r>
        <w:t>penas</w:t>
      </w:r>
      <w:r w:rsidRPr="00681D50">
        <w:t xml:space="preserve"> no privativas de libertad y programas alternativos, así como para </w:t>
      </w:r>
      <w:r>
        <w:t>revis</w:t>
      </w:r>
      <w:r w:rsidRPr="00681D50">
        <w:t>ar la legislación penal pertinente (en particular la imposición de condenas obligatorias).</w:t>
      </w:r>
    </w:p>
    <w:p w:rsidR="00636B99" w:rsidRDefault="00636B99" w:rsidP="00636B99">
      <w:pPr>
        <w:pStyle w:val="SingleTxtG"/>
      </w:pPr>
      <w:r>
        <w:t>18.</w:t>
      </w:r>
      <w:r>
        <w:tab/>
        <w:t>¿Qué medidas se han adoptado para revis</w:t>
      </w:r>
      <w:r w:rsidRPr="00681D50">
        <w:t xml:space="preserve">ar el sistema de </w:t>
      </w:r>
      <w:r>
        <w:t>prisión</w:t>
      </w:r>
      <w:r w:rsidRPr="00681D50">
        <w:t xml:space="preserve"> </w:t>
      </w:r>
      <w:r>
        <w:t xml:space="preserve">provisional </w:t>
      </w:r>
      <w:r w:rsidRPr="00681D50">
        <w:t xml:space="preserve">de condenados más allá de la duración de sus penas por </w:t>
      </w:r>
      <w:r>
        <w:t xml:space="preserve">razón </w:t>
      </w:r>
      <w:r w:rsidRPr="00681D50">
        <w:t>de</w:t>
      </w:r>
      <w:r>
        <w:t>l</w:t>
      </w:r>
      <w:r w:rsidRPr="00681D50">
        <w:t xml:space="preserve"> peligro previsto, a fin de suprimirlo o reformarlo de manera que sea compatible con el Pacto</w:t>
      </w:r>
      <w:r>
        <w:t>?</w:t>
      </w:r>
    </w:p>
    <w:p w:rsidR="00636B99" w:rsidRPr="00105EE7" w:rsidRDefault="00636B99" w:rsidP="00636B99">
      <w:pPr>
        <w:pStyle w:val="SingleTxtG"/>
        <w:spacing w:line="220" w:lineRule="atLeast"/>
      </w:pPr>
      <w:r w:rsidRPr="00105EE7">
        <w:t>19.</w:t>
      </w:r>
      <w:r w:rsidRPr="00105EE7">
        <w:tab/>
        <w:t>En vista de las observaciones finales del Comité (CCPR/C/AUS/CO/5, párr. 25), rogamos informen de las medidas adoptadas para: a) asegurar la igualdad en el acceso a la justicia, prestando los servicios adecuados para ayudar a las personas marginadas y desfavorecidas, especialmente las que se encuentran recluidas en lugares alejados; b)</w:t>
      </w:r>
      <w:r>
        <w:t> </w:t>
      </w:r>
      <w:r w:rsidRPr="00105EE7">
        <w:t>reforzar la financiación de la asistencia letrada destinada a lo</w:t>
      </w:r>
      <w:r>
        <w:t>s aborígenes y los isleños del E</w:t>
      </w:r>
      <w:r w:rsidRPr="00105EE7">
        <w:t>strecho de Torres; y c) mejorar el acceso de todas las personas indígenas a servicios de asistencia jurídica, apropiados desde el punto de vista cultural, incluidos servicios de interpretación y traducción.</w:t>
      </w:r>
    </w:p>
    <w:p w:rsidR="00636B99" w:rsidRPr="00105EE7" w:rsidRDefault="00636B99" w:rsidP="00636B99">
      <w:pPr>
        <w:pStyle w:val="H1G"/>
      </w:pPr>
      <w:r>
        <w:tab/>
      </w:r>
      <w:r>
        <w:tab/>
      </w:r>
      <w:r w:rsidRPr="00105EE7">
        <w:t>Protección de los derechos del niño (art</w:t>
      </w:r>
      <w:r>
        <w:t>ículos</w:t>
      </w:r>
      <w:r w:rsidRPr="00105EE7">
        <w:t xml:space="preserve"> 7 y 24)</w:t>
      </w:r>
    </w:p>
    <w:p w:rsidR="00636B99" w:rsidRPr="00105EE7" w:rsidRDefault="00636B99" w:rsidP="00636B99">
      <w:pPr>
        <w:pStyle w:val="SingleTxtG"/>
        <w:spacing w:line="220" w:lineRule="atLeast"/>
      </w:pPr>
      <w:r w:rsidRPr="00105EE7">
        <w:t>20.</w:t>
      </w:r>
      <w:r w:rsidRPr="00105EE7">
        <w:tab/>
        <w:t>Sírvanse proporcionar información actualizada sobre el sistema y las políticas de justicia juvenil del Estado parte en relación con las medidas adoptadas para: a) aumentar la edad de responsabilidad penal fijada a los 10 años; b) velar por que los niños en conflicto con la ley sean acogidos en centros apropiados para ellos y estén separados de los adultos privados de libertad; c) suprimir las penas sin remisión para los niños; d) facilitar la reinserción de los menores infractores; y e) establecer un mecanismo independiente encargado de supervisar que en los centros de reclusión de menores se respeten los derechos consagrados en el Pacto. Expliquen también las medidas que se han adoptado para mejorar la situación de los niños sin hogar.</w:t>
      </w:r>
    </w:p>
    <w:p w:rsidR="00636B99" w:rsidRPr="00105EE7" w:rsidRDefault="00636B99" w:rsidP="00636B99">
      <w:pPr>
        <w:pStyle w:val="H1G"/>
      </w:pPr>
      <w:r>
        <w:tab/>
      </w:r>
      <w:r>
        <w:tab/>
      </w:r>
      <w:r w:rsidRPr="00105EE7">
        <w:t>Discriminación e incitación a la discriminación, la host</w:t>
      </w:r>
      <w:r>
        <w:t>ilidad o la violencia (artículos</w:t>
      </w:r>
      <w:r w:rsidRPr="00105EE7">
        <w:t xml:space="preserve"> 20 y 26)</w:t>
      </w:r>
    </w:p>
    <w:p w:rsidR="00636B99" w:rsidRPr="00105EE7" w:rsidRDefault="00636B99" w:rsidP="00636B99">
      <w:pPr>
        <w:pStyle w:val="SingleTxtG"/>
      </w:pPr>
      <w:r w:rsidRPr="00105EE7">
        <w:t>21.</w:t>
      </w:r>
      <w:r w:rsidRPr="00105EE7">
        <w:tab/>
        <w:t>Teniendo presentes las observaciones finales del</w:t>
      </w:r>
      <w:r>
        <w:t xml:space="preserve"> Comité (CCPR/C/AUS/CO/5, párr. </w:t>
      </w:r>
      <w:r w:rsidRPr="00105EE7">
        <w:t>26) y su Observación general Nº 34 (2011) sobre la libertad de opinión y de expresión, sírvanse proporcionar información actualizada sobre las medidas adoptadas para combatir la discriminación contra las personas por su origen étnico, racial, cultural, religioso o lingüístico, que al parecer representa un problema cada vez mayor para los australianos árabes y musulmanes, los inmigrantes recién llegados, sobre todo de África, y para los estudiantes internacionales, en particular de la India. Señalen los recursos disponibles contra los que incitan a la discriminación o la violencia por motivos raciales, étnicos o religiosos, así como las medidas adicionales previstas contra tal incitación. Faciliten datos estadísticos pertinentes sobre los actos de discriminación denunciados, desglosados en la medida de lo posible en función del género, la religión y el país de origen de las víctimas o las personas afectadas.</w:t>
      </w:r>
    </w:p>
    <w:p w:rsidR="00636B99" w:rsidRPr="00105EE7" w:rsidRDefault="00636B99" w:rsidP="00636B99">
      <w:pPr>
        <w:pStyle w:val="H1G"/>
      </w:pPr>
      <w:r>
        <w:tab/>
      </w:r>
      <w:r>
        <w:tab/>
      </w:r>
      <w:r w:rsidRPr="00105EE7">
        <w:t xml:space="preserve">Igualdad y no discriminación, derecho a </w:t>
      </w:r>
      <w:r>
        <w:t>participar en la vida pública y </w:t>
      </w:r>
      <w:r w:rsidRPr="00105EE7">
        <w:t>protección de los derechos de las personas pertenecien</w:t>
      </w:r>
      <w:r>
        <w:t>tes a </w:t>
      </w:r>
      <w:r w:rsidRPr="00105EE7">
        <w:t>minorías étnicas (art</w:t>
      </w:r>
      <w:r>
        <w:t>ículos</w:t>
      </w:r>
      <w:r w:rsidRPr="00105EE7">
        <w:t xml:space="preserve"> 2, 25, 26 y 27)</w:t>
      </w:r>
    </w:p>
    <w:p w:rsidR="00636B99" w:rsidRDefault="00636B99" w:rsidP="00636B99">
      <w:pPr>
        <w:pStyle w:val="SingleTxtG"/>
      </w:pPr>
      <w:r w:rsidRPr="00105EE7">
        <w:t>22.</w:t>
      </w:r>
      <w:r w:rsidRPr="00105EE7">
        <w:tab/>
        <w:t>Sírvanse indicar: a) cualquier disposición legislativa que inhabilite para ejercer el derecho de voto a las personas con discapacidad y su compatibilidad con el Pacto; y b)</w:t>
      </w:r>
      <w:r>
        <w:t> </w:t>
      </w:r>
      <w:r w:rsidRPr="00105EE7">
        <w:t>cómo funciona en la práctica la legislación del Estado parte relativa a la obligatoriedad del voto y su compatibilidad con el Pacto.</w:t>
      </w:r>
    </w:p>
    <w:p w:rsidR="00636B99" w:rsidRPr="00681D50" w:rsidRDefault="00636B99" w:rsidP="00636B99">
      <w:pPr>
        <w:pStyle w:val="SingleTxtG"/>
      </w:pPr>
      <w:r>
        <w:t>23.</w:t>
      </w:r>
      <w:r>
        <w:tab/>
        <w:t>Rogamos i</w:t>
      </w:r>
      <w:r w:rsidRPr="00BB5713">
        <w:t>nformen sobre las medidas adoptadas para garantizar la consulta efectiva de los pueblos indígenas en los procesos de decisión en esferas que repercuten en sus derechos, por ejemplo las medidas adoptadas para fomentar la capacidad técnica de los pueblos indígenas, que les permita participar efectivamente en los procesos de decisión. En particular, faciliten información sobre las medidas adoptadas para promover la participación de los indígenas en la toma de decisiones sobre los lugares y objetos tradicionales, incluida la gestión de sus tierras en los procesos de adjudicación de terrenos para la minería y la eliminación de residuos nucleares.</w:t>
      </w:r>
    </w:p>
    <w:p w:rsidR="00636B99" w:rsidRPr="00681D50" w:rsidRDefault="00636B99" w:rsidP="00636B99">
      <w:pPr>
        <w:pStyle w:val="SingleTxtG"/>
      </w:pPr>
      <w:r>
        <w:t>24.</w:t>
      </w:r>
      <w:r>
        <w:tab/>
      </w:r>
      <w:r w:rsidRPr="00681D50">
        <w:t xml:space="preserve">Sírvanse responder a las preocupaciones expresadas, entre otros, por la Comisión de Derechos Humanos de Australia </w:t>
      </w:r>
      <w:r>
        <w:t>debido a</w:t>
      </w:r>
      <w:r w:rsidRPr="00681D50">
        <w:t xml:space="preserve"> que la Ley de </w:t>
      </w:r>
      <w:r>
        <w:t xml:space="preserve">consolidación del </w:t>
      </w:r>
      <w:r w:rsidRPr="00681D50">
        <w:t xml:space="preserve">futuro en el Territorio del Norte de 2012 </w:t>
      </w:r>
      <w:r>
        <w:t xml:space="preserve">ha sido </w:t>
      </w:r>
      <w:r w:rsidRPr="00681D50">
        <w:t xml:space="preserve">aprobada sin la oportuna consulta con las comunidades afectadas y </w:t>
      </w:r>
      <w:r>
        <w:t>mantiene</w:t>
      </w:r>
      <w:r w:rsidRPr="00681D50">
        <w:t xml:space="preserve"> o </w:t>
      </w:r>
      <w:r>
        <w:t xml:space="preserve">refuerza </w:t>
      </w:r>
      <w:r w:rsidRPr="00681D50">
        <w:t>las características restrictivas de la antigua Respuesta de Emergencia para el Territorio del</w:t>
      </w:r>
      <w:r>
        <w:t xml:space="preserve"> Norte </w:t>
      </w:r>
      <w:r w:rsidRPr="00681D50">
        <w:t xml:space="preserve">que son directa o indirectamente discriminatorias y que no pueden justificarse como medidas especiales </w:t>
      </w:r>
      <w:r>
        <w:t>de carácter temporal</w:t>
      </w:r>
      <w:r w:rsidRPr="00681D50">
        <w:t xml:space="preserve">. </w:t>
      </w:r>
      <w:r>
        <w:t xml:space="preserve">Faciliten </w:t>
      </w:r>
      <w:r w:rsidRPr="00681D50">
        <w:t>información actualizada y desglosada sobre la aplicación de esas restricciones especiales en el Territorio del Norte.</w:t>
      </w:r>
    </w:p>
    <w:p w:rsidR="00636B99" w:rsidRDefault="00636B99" w:rsidP="00636B99">
      <w:pPr>
        <w:pStyle w:val="SingleTxtG"/>
      </w:pPr>
      <w:r>
        <w:t>25.</w:t>
      </w:r>
      <w:r>
        <w:tab/>
        <w:t xml:space="preserve">A la luz </w:t>
      </w:r>
      <w:r w:rsidRPr="00681D50">
        <w:t xml:space="preserve">de las observaciones finales del </w:t>
      </w:r>
      <w:r>
        <w:t>Comité (CCPR/C/AUS/CO/5, párrs. 15 y 16), infó</w:t>
      </w:r>
      <w:r w:rsidRPr="00681D50">
        <w:t>rm</w:t>
      </w:r>
      <w:r>
        <w:t>ese</w:t>
      </w:r>
      <w:r w:rsidRPr="00681D50">
        <w:t xml:space="preserve"> sobre las medidas adoptadas para </w:t>
      </w:r>
      <w:r>
        <w:t>revis</w:t>
      </w:r>
      <w:r w:rsidRPr="00681D50">
        <w:t xml:space="preserve">ar y reformar, en consulta con los pueblos aborígenes e isleños del Estrecho de Torres, la Ley de títulos de propiedad de los aborígenes, de 1993 (Commonwealth), en particular </w:t>
      </w:r>
      <w:r>
        <w:t xml:space="preserve">las </w:t>
      </w:r>
      <w:r w:rsidRPr="00681D50">
        <w:t xml:space="preserve">disposiciones que </w:t>
      </w:r>
      <w:r>
        <w:t>impon</w:t>
      </w:r>
      <w:r w:rsidRPr="00681D50">
        <w:t xml:space="preserve">en </w:t>
      </w:r>
      <w:r>
        <w:t>requisitos de prueba</w:t>
      </w:r>
      <w:r w:rsidRPr="00681D50">
        <w:t xml:space="preserve"> </w:t>
      </w:r>
      <w:r>
        <w:t xml:space="preserve">sumamente rigurosos </w:t>
      </w:r>
      <w:r w:rsidRPr="00681D50">
        <w:t xml:space="preserve">para demostrar la conexión permanente </w:t>
      </w:r>
      <w:r>
        <w:t xml:space="preserve">de los pueblos </w:t>
      </w:r>
      <w:r w:rsidRPr="00681D50">
        <w:t xml:space="preserve">con la tierra. </w:t>
      </w:r>
      <w:r>
        <w:t>P</w:t>
      </w:r>
      <w:r w:rsidRPr="00681D50">
        <w:t>roporcion</w:t>
      </w:r>
      <w:r>
        <w:t>en</w:t>
      </w:r>
      <w:r w:rsidRPr="00681D50">
        <w:t xml:space="preserve"> información actualizada sobre las medidas adoptadas para garantizar que se indemnice de</w:t>
      </w:r>
      <w:r>
        <w:t xml:space="preserve">bidamente </w:t>
      </w:r>
      <w:r w:rsidRPr="00681D50">
        <w:t>a las víctimas de las "generaciones robadas" o de las políticas de "salarios robados".</w:t>
      </w:r>
    </w:p>
    <w:p w:rsidR="00636B99" w:rsidRPr="004A48C5" w:rsidRDefault="00636B99" w:rsidP="00636B99">
      <w:pPr>
        <w:pStyle w:val="SingleTxtG"/>
        <w:spacing w:before="240"/>
        <w:jc w:val="center"/>
        <w:rPr>
          <w:u w:val="single"/>
        </w:rPr>
      </w:pPr>
      <w:r>
        <w:rPr>
          <w:u w:val="single"/>
        </w:rPr>
        <w:tab/>
      </w:r>
      <w:r>
        <w:rPr>
          <w:u w:val="single"/>
        </w:rPr>
        <w:tab/>
      </w:r>
      <w:r>
        <w:rPr>
          <w:u w:val="single"/>
        </w:rPr>
        <w:tab/>
      </w:r>
    </w:p>
    <w:sectPr w:rsidR="00636B99" w:rsidRPr="004A48C5" w:rsidSect="00E33B6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15DC" w:rsidRDefault="007F15DC">
      <w:r>
        <w:separator/>
      </w:r>
    </w:p>
  </w:endnote>
  <w:endnote w:type="continuationSeparator" w:id="0">
    <w:p w:rsidR="007F15DC" w:rsidRDefault="007F1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B68" w:rsidRPr="00E33B68" w:rsidRDefault="00E33B68" w:rsidP="00E33B68">
    <w:pPr>
      <w:pStyle w:val="Footer"/>
      <w:tabs>
        <w:tab w:val="right" w:pos="9638"/>
      </w:tabs>
    </w:pPr>
    <w:r w:rsidRPr="00E33B68">
      <w:rPr>
        <w:b/>
        <w:sz w:val="18"/>
      </w:rPr>
      <w:fldChar w:fldCharType="begin"/>
    </w:r>
    <w:r w:rsidRPr="00E33B68">
      <w:rPr>
        <w:b/>
        <w:sz w:val="18"/>
      </w:rPr>
      <w:instrText xml:space="preserve"> PAGE  \* MERGEFORMAT </w:instrText>
    </w:r>
    <w:r w:rsidRPr="00E33B68">
      <w:rPr>
        <w:b/>
        <w:sz w:val="18"/>
      </w:rPr>
      <w:fldChar w:fldCharType="separate"/>
    </w:r>
    <w:r w:rsidR="00446495">
      <w:rPr>
        <w:b/>
        <w:noProof/>
        <w:sz w:val="18"/>
      </w:rPr>
      <w:t>4</w:t>
    </w:r>
    <w:r w:rsidRPr="00E33B68">
      <w:rPr>
        <w:b/>
        <w:sz w:val="18"/>
      </w:rPr>
      <w:fldChar w:fldCharType="end"/>
    </w:r>
    <w:r>
      <w:rPr>
        <w:b/>
        <w:sz w:val="18"/>
      </w:rPr>
      <w:tab/>
    </w:r>
    <w:r>
      <w:t>GE.12-48755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B68" w:rsidRPr="00E33B68" w:rsidRDefault="00E33B68" w:rsidP="00E33B68">
    <w:pPr>
      <w:pStyle w:val="Footer"/>
      <w:tabs>
        <w:tab w:val="right" w:pos="9638"/>
      </w:tabs>
      <w:rPr>
        <w:b/>
        <w:sz w:val="18"/>
      </w:rPr>
    </w:pPr>
    <w:r>
      <w:t>GE.12-48755</w:t>
    </w:r>
    <w:r>
      <w:tab/>
    </w:r>
    <w:r w:rsidRPr="00E33B68">
      <w:rPr>
        <w:b/>
        <w:sz w:val="18"/>
      </w:rPr>
      <w:fldChar w:fldCharType="begin"/>
    </w:r>
    <w:r w:rsidRPr="00E33B68">
      <w:rPr>
        <w:b/>
        <w:sz w:val="18"/>
      </w:rPr>
      <w:instrText xml:space="preserve"> PAGE  \* MERGEFORMAT </w:instrText>
    </w:r>
    <w:r w:rsidRPr="00E33B68">
      <w:rPr>
        <w:b/>
        <w:sz w:val="18"/>
      </w:rPr>
      <w:fldChar w:fldCharType="separate"/>
    </w:r>
    <w:r w:rsidR="00446495">
      <w:rPr>
        <w:b/>
        <w:noProof/>
        <w:sz w:val="18"/>
      </w:rPr>
      <w:t>5</w:t>
    </w:r>
    <w:r w:rsidRPr="00E33B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DC5" w:rsidRPr="00E33B68" w:rsidRDefault="00E33B68">
    <w:pPr>
      <w:pStyle w:val="Footer"/>
      <w:rPr>
        <w:sz w:val="20"/>
      </w:rPr>
    </w:pPr>
    <w:r>
      <w:rPr>
        <w:sz w:val="20"/>
      </w:rPr>
      <w:t>GE.</w:t>
    </w:r>
    <w:r w:rsidR="00850DC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12-48755  (S)</w:t>
    </w:r>
    <w:r w:rsidR="00636B99">
      <w:rPr>
        <w:sz w:val="20"/>
      </w:rPr>
      <w:t xml:space="preserve">    171212    171212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15DC" w:rsidRPr="001075E9" w:rsidRDefault="007F15DC" w:rsidP="001075E9">
      <w:pPr>
        <w:tabs>
          <w:tab w:val="right" w:pos="2155"/>
        </w:tabs>
        <w:spacing w:after="80" w:line="240" w:lineRule="auto"/>
        <w:ind w:left="680"/>
        <w:rPr>
          <w:u w:val="single"/>
        </w:rPr>
      </w:pPr>
      <w:r>
        <w:rPr>
          <w:u w:val="single"/>
        </w:rPr>
        <w:tab/>
      </w:r>
    </w:p>
  </w:footnote>
  <w:footnote w:type="continuationSeparator" w:id="0">
    <w:p w:rsidR="007F15DC" w:rsidRDefault="007F15DC" w:rsidP="00AE0E02">
      <w:pPr>
        <w:tabs>
          <w:tab w:val="right" w:pos="2155"/>
        </w:tabs>
        <w:spacing w:after="80" w:line="240" w:lineRule="auto"/>
        <w:ind w:left="680"/>
        <w:rPr>
          <w:u w:val="single"/>
        </w:rPr>
      </w:pPr>
      <w:r>
        <w:rPr>
          <w:u w:val="single"/>
        </w:rPr>
        <w:tab/>
      </w:r>
    </w:p>
  </w:footnote>
  <w:footnote w:id="1">
    <w:p w:rsidR="00636B99" w:rsidRPr="0051081F" w:rsidRDefault="00636B99" w:rsidP="00636B99">
      <w:pPr>
        <w:pStyle w:val="FootnoteText"/>
      </w:pPr>
      <w:r>
        <w:rPr>
          <w:szCs w:val="24"/>
        </w:rPr>
        <w:tab/>
      </w:r>
      <w:r w:rsidRPr="00BD438C">
        <w:rPr>
          <w:rStyle w:val="FootnoteReference"/>
          <w:sz w:val="20"/>
          <w:vertAlign w:val="baseline"/>
        </w:rPr>
        <w:t>*</w:t>
      </w:r>
      <w:r w:rsidRPr="0051081F">
        <w:tab/>
      </w:r>
      <w:r w:rsidRPr="0051081F">
        <w:rPr>
          <w:rFonts w:eastAsia="SimSun"/>
        </w:rPr>
        <w:t xml:space="preserve">La presente lista de cuestiones fue aprobada con arreglo al nuevo procedimiento facultativo establecido por el Comité en su 99º período de sesiones. Este procedimiento consiste en la aprobación por el Comité de una lista de cuestiones que se transmite a los Estados partes antes de </w:t>
      </w:r>
      <w:r>
        <w:rPr>
          <w:rFonts w:eastAsia="SimSun"/>
        </w:rPr>
        <w:t>que</w:t>
      </w:r>
      <w:r w:rsidRPr="0051081F">
        <w:rPr>
          <w:rFonts w:eastAsia="SimSun"/>
        </w:rPr>
        <w:t xml:space="preserve"> present</w:t>
      </w:r>
      <w:r>
        <w:rPr>
          <w:rFonts w:eastAsia="SimSun"/>
        </w:rPr>
        <w:t>e</w:t>
      </w:r>
      <w:r w:rsidRPr="0051081F">
        <w:rPr>
          <w:rFonts w:eastAsia="SimSun"/>
        </w:rPr>
        <w:t>n sus informe</w:t>
      </w:r>
      <w:r>
        <w:rPr>
          <w:rFonts w:eastAsia="SimSun"/>
        </w:rPr>
        <w:t xml:space="preserve">s periódicos. Las respuestas de </w:t>
      </w:r>
      <w:r w:rsidRPr="0051081F">
        <w:rPr>
          <w:rFonts w:eastAsia="SimSun"/>
        </w:rPr>
        <w:t>los Estados</w:t>
      </w:r>
      <w:r>
        <w:rPr>
          <w:rFonts w:eastAsia="SimSun"/>
        </w:rPr>
        <w:t xml:space="preserve"> partes</w:t>
      </w:r>
      <w:r w:rsidRPr="0051081F">
        <w:rPr>
          <w:rFonts w:eastAsia="SimSun"/>
        </w:rPr>
        <w:t xml:space="preserve"> a las list</w:t>
      </w:r>
      <w:r>
        <w:rPr>
          <w:rFonts w:eastAsia="SimSun"/>
        </w:rPr>
        <w:t>as de cuestiones constituirán lo</w:t>
      </w:r>
      <w:r w:rsidRPr="0051081F">
        <w:rPr>
          <w:rFonts w:eastAsia="SimSun"/>
        </w:rPr>
        <w:t>s informes periódico</w:t>
      </w:r>
      <w:r>
        <w:rPr>
          <w:rFonts w:eastAsia="SimSun"/>
        </w:rPr>
        <w:t xml:space="preserve">s previstos en el artículo 40 del </w:t>
      </w:r>
      <w:r w:rsidRPr="0051081F">
        <w:rPr>
          <w:rFonts w:eastAsia="SimSun"/>
        </w:rPr>
        <w:t>Pacto</w:t>
      </w:r>
      <w:r w:rsidRPr="0051081F">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B68" w:rsidRPr="00E33B68" w:rsidRDefault="00E33B68">
    <w:pPr>
      <w:pStyle w:val="Header"/>
    </w:pPr>
    <w:r>
      <w:t>CCPR/C/AUS/Q/6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B68" w:rsidRPr="00E33B68" w:rsidRDefault="00E33B68" w:rsidP="00E33B68">
    <w:pPr>
      <w:pStyle w:val="Header"/>
      <w:jc w:val="right"/>
    </w:pPr>
    <w:r>
      <w:t>CCPR/C/AUS/Q/6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0DC5"/>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3530F"/>
    <w:rsid w:val="003402C2"/>
    <w:rsid w:val="00381C24"/>
    <w:rsid w:val="003958D0"/>
    <w:rsid w:val="003E1F6E"/>
    <w:rsid w:val="00446495"/>
    <w:rsid w:val="00454E07"/>
    <w:rsid w:val="004875CF"/>
    <w:rsid w:val="004E4B46"/>
    <w:rsid w:val="0050108D"/>
    <w:rsid w:val="00572E19"/>
    <w:rsid w:val="005F0B42"/>
    <w:rsid w:val="00614642"/>
    <w:rsid w:val="00636B99"/>
    <w:rsid w:val="00655A21"/>
    <w:rsid w:val="006808A9"/>
    <w:rsid w:val="006F35EE"/>
    <w:rsid w:val="007021FF"/>
    <w:rsid w:val="007076CB"/>
    <w:rsid w:val="00721764"/>
    <w:rsid w:val="007967DF"/>
    <w:rsid w:val="007F15DC"/>
    <w:rsid w:val="00834B71"/>
    <w:rsid w:val="00850DC5"/>
    <w:rsid w:val="0086445C"/>
    <w:rsid w:val="008A08D7"/>
    <w:rsid w:val="008A13F9"/>
    <w:rsid w:val="008D5DB6"/>
    <w:rsid w:val="00906890"/>
    <w:rsid w:val="00916396"/>
    <w:rsid w:val="00951972"/>
    <w:rsid w:val="00963777"/>
    <w:rsid w:val="009946B1"/>
    <w:rsid w:val="009B452A"/>
    <w:rsid w:val="009B4E5E"/>
    <w:rsid w:val="00A16FE0"/>
    <w:rsid w:val="00A17DFD"/>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D5042C"/>
    <w:rsid w:val="00D809C0"/>
    <w:rsid w:val="00D80BBB"/>
    <w:rsid w:val="00D90138"/>
    <w:rsid w:val="00DE44AD"/>
    <w:rsid w:val="00E33B68"/>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2416</Words>
  <Characters>13315</Characters>
  <Application>Microsoft Office Word</Application>
  <DocSecurity>4</DocSecurity>
  <Lines>215</Lines>
  <Paragraphs>46</Paragraphs>
  <ScaleCrop>false</ScaleCrop>
  <HeadingPairs>
    <vt:vector size="2" baseType="variant">
      <vt:variant>
        <vt:lpstr>Título</vt:lpstr>
      </vt:variant>
      <vt:variant>
        <vt:i4>1</vt:i4>
      </vt:variant>
    </vt:vector>
  </HeadingPairs>
  <TitlesOfParts>
    <vt:vector size="1" baseType="lpstr">
      <vt:lpstr>CCPR/C/AUS/Q/6</vt:lpstr>
    </vt:vector>
  </TitlesOfParts>
  <Company/>
  <LinksUpToDate>false</LinksUpToDate>
  <CharactersWithSpaces>15716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CCPR/C/AUS/Q/6</dc:title>
  <dc:subject>Final</dc:subject>
  <dc:creator>Carlos Bragunde</dc:creator>
  <cp:keywords/>
  <dc:description/>
  <cp:lastModifiedBy>Carlos Bragunde</cp:lastModifiedBy>
  <cp:revision>2</cp:revision>
  <cp:lastPrinted>2008-01-16T10:37:00Z</cp:lastPrinted>
  <dcterms:created xsi:type="dcterms:W3CDTF">2012-12-17T14:19:00Z</dcterms:created>
  <dcterms:modified xsi:type="dcterms:W3CDTF">2012-12-17T14:19:00Z</dcterms:modified>
</cp:coreProperties>
</file>