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1B54F" w14:textId="77777777" w:rsidR="00DC3C27" w:rsidRPr="00DE7C15" w:rsidRDefault="00DC3C27" w:rsidP="00DC3C27">
      <w:pPr>
        <w:spacing w:line="240" w:lineRule="auto"/>
        <w:rPr>
          <w:sz w:val="2"/>
        </w:rPr>
        <w:sectPr w:rsidR="00DC3C27" w:rsidRPr="00DE7C15" w:rsidSect="008443A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E7C15">
        <w:rPr>
          <w:rStyle w:val="CommentReference"/>
          <w:szCs w:val="20"/>
        </w:rPr>
        <w:commentReference w:id="0"/>
      </w:r>
    </w:p>
    <w:p w14:paraId="55DDB031" w14:textId="77777777" w:rsidR="009106EF" w:rsidRPr="00DE7C15" w:rsidRDefault="00CE28E1" w:rsidP="00B95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b w:val="0"/>
        </w:rPr>
      </w:pPr>
      <w:r w:rsidRPr="00B9592E">
        <w:t>Comité para la Eliminación de la Discriminación contra la Mujer</w:t>
      </w:r>
    </w:p>
    <w:p w14:paraId="4F029F60" w14:textId="02D8E534" w:rsidR="00CE28E1" w:rsidRPr="00DE7C15" w:rsidRDefault="00CE28E1" w:rsidP="00CE28E1">
      <w:pPr>
        <w:spacing w:line="120" w:lineRule="exact"/>
        <w:rPr>
          <w:sz w:val="10"/>
        </w:rPr>
      </w:pPr>
    </w:p>
    <w:p w14:paraId="4B82F3DF" w14:textId="77777777" w:rsidR="00CE28E1" w:rsidRPr="00DE7C15" w:rsidRDefault="00CE28E1" w:rsidP="00CE28E1">
      <w:pPr>
        <w:spacing w:line="120" w:lineRule="exact"/>
        <w:rPr>
          <w:sz w:val="10"/>
        </w:rPr>
      </w:pPr>
    </w:p>
    <w:p w14:paraId="1BDC0C6C" w14:textId="77777777" w:rsidR="00CE28E1" w:rsidRPr="00DE7C15" w:rsidRDefault="00CE28E1" w:rsidP="00CE28E1">
      <w:pPr>
        <w:spacing w:line="120" w:lineRule="exact"/>
        <w:rPr>
          <w:sz w:val="10"/>
        </w:rPr>
      </w:pPr>
    </w:p>
    <w:p w14:paraId="28920D3C" w14:textId="77777777" w:rsidR="00CE28E1" w:rsidRPr="00DE7C15" w:rsidRDefault="00CE28E1" w:rsidP="00B959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kern w:val="14"/>
          <w:sz w:val="17"/>
          <w:szCs w:val="17"/>
          <w14:ligatures w14:val="none"/>
        </w:rPr>
      </w:pPr>
      <w:r w:rsidRPr="00351610">
        <w:rPr>
          <w:noProof/>
          <w:w w:val="100"/>
        </w:rPr>
        <mc:AlternateContent>
          <mc:Choice Requires="wps">
            <w:drawing>
              <wp:anchor distT="0" distB="0" distL="114300" distR="114300" simplePos="0" relativeHeight="251661312" behindDoc="0" locked="0" layoutInCell="1" allowOverlap="1" wp14:anchorId="070625A1" wp14:editId="1889B81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6AD937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E7C15">
        <w:rPr>
          <w:spacing w:val="5"/>
          <w:w w:val="104"/>
          <w:kern w:val="14"/>
          <w:sz w:val="17"/>
          <w:szCs w:val="17"/>
          <w14:ligatures w14:val="none"/>
        </w:rPr>
        <w:tab/>
        <w:t>*</w:t>
      </w:r>
      <w:r w:rsidRPr="00DE7C15">
        <w:rPr>
          <w:spacing w:val="5"/>
          <w:w w:val="104"/>
          <w:kern w:val="14"/>
          <w:sz w:val="17"/>
          <w:szCs w:val="17"/>
          <w14:ligatures w14:val="none"/>
        </w:rPr>
        <w:tab/>
      </w:r>
      <w:r w:rsidRPr="00DE7C15">
        <w:rPr>
          <w:kern w:val="14"/>
          <w:sz w:val="17"/>
          <w:szCs w:val="17"/>
          <w14:ligatures w14:val="none"/>
        </w:rPr>
        <w:t>La versión original del presente documento no fue objeto de revisión editorial oficial.</w:t>
      </w:r>
    </w:p>
    <w:p w14:paraId="1F35F6F4" w14:textId="061286F9" w:rsidR="00CE28E1" w:rsidRPr="00DE7C15" w:rsidRDefault="00CE28E1" w:rsidP="00B959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17"/>
          <w14:ligatures w14:val="none"/>
        </w:rPr>
      </w:pPr>
      <w:r w:rsidRPr="00DE7C15">
        <w:rPr>
          <w:spacing w:val="5"/>
          <w:w w:val="104"/>
          <w:kern w:val="14"/>
          <w:sz w:val="17"/>
          <w:szCs w:val="17"/>
          <w14:ligatures w14:val="none"/>
        </w:rPr>
        <w:tab/>
        <w:t>**</w:t>
      </w:r>
      <w:r w:rsidRPr="00DE7C15">
        <w:rPr>
          <w:spacing w:val="5"/>
          <w:w w:val="104"/>
          <w:kern w:val="14"/>
          <w:sz w:val="17"/>
          <w:szCs w:val="17"/>
          <w14:ligatures w14:val="none"/>
        </w:rPr>
        <w:tab/>
        <w:t>Los anexos del presente documento pueden consultarse en la página web del Comité.</w:t>
      </w:r>
    </w:p>
    <w:p w14:paraId="5584477A" w14:textId="77777777" w:rsidR="009106EF" w:rsidRPr="00DE7C15" w:rsidRDefault="00CE28E1" w:rsidP="00B9592E">
      <w:pPr>
        <w:pStyle w:val="TitleHCH"/>
        <w:ind w:right="1560"/>
        <w:rPr>
          <w:b w:val="0"/>
        </w:rPr>
      </w:pPr>
      <w:r w:rsidRPr="00B9592E">
        <w:tab/>
      </w:r>
      <w:r w:rsidRPr="00B9592E">
        <w:tab/>
        <w:t>Séptimo informe periódico que Chequia debía presentar en 2020 en virtud del artículo 18 de la Convención</w:t>
      </w:r>
      <w:r w:rsidRPr="00DE7C15">
        <w:rPr>
          <w:b w:val="0"/>
          <w:bCs/>
          <w:sz w:val="20"/>
          <w:szCs w:val="16"/>
        </w:rPr>
        <w:t>*</w:t>
      </w:r>
      <w:r w:rsidRPr="00DE7C15">
        <w:rPr>
          <w:b w:val="0"/>
          <w:bCs/>
          <w:sz w:val="20"/>
          <w:szCs w:val="16"/>
          <w:vertAlign w:val="superscript"/>
        </w:rPr>
        <w:t>,</w:t>
      </w:r>
      <w:r w:rsidRPr="00DE7C15">
        <w:rPr>
          <w:b w:val="0"/>
          <w:bCs/>
          <w:sz w:val="20"/>
          <w:szCs w:val="16"/>
        </w:rPr>
        <w:t>**</w:t>
      </w:r>
    </w:p>
    <w:p w14:paraId="0B17ECA6" w14:textId="34BD1967" w:rsidR="00CE28E1" w:rsidRPr="00DE7C15" w:rsidRDefault="00CE28E1" w:rsidP="00CE28E1">
      <w:pPr>
        <w:spacing w:line="120" w:lineRule="exact"/>
        <w:rPr>
          <w:sz w:val="10"/>
        </w:rPr>
      </w:pPr>
    </w:p>
    <w:p w14:paraId="7F9EB234" w14:textId="77777777" w:rsidR="00CE28E1" w:rsidRPr="00DE7C15" w:rsidRDefault="00CE28E1" w:rsidP="00CE28E1">
      <w:pPr>
        <w:spacing w:line="120" w:lineRule="exact"/>
        <w:rPr>
          <w:sz w:val="10"/>
        </w:rPr>
      </w:pPr>
    </w:p>
    <w:p w14:paraId="2C880CFC" w14:textId="5E4313EB" w:rsidR="00DC3C27" w:rsidRPr="00DE7C15" w:rsidRDefault="00CE28E1" w:rsidP="00CE28E1">
      <w:pPr>
        <w:pStyle w:val="SingleTxt"/>
        <w:jc w:val="right"/>
      </w:pPr>
      <w:r w:rsidRPr="00DE7C15">
        <w:t xml:space="preserve">[Fecha de recepción: </w:t>
      </w:r>
      <w:r w:rsidRPr="00B9592E">
        <w:t>3</w:t>
      </w:r>
      <w:r w:rsidRPr="00DE7C15">
        <w:t xml:space="preserve"> de noviembre de </w:t>
      </w:r>
      <w:r w:rsidRPr="00B9592E">
        <w:t>2023</w:t>
      </w:r>
      <w:r w:rsidRPr="00DE7C15">
        <w:t>]</w:t>
      </w:r>
    </w:p>
    <w:p w14:paraId="56AFB803" w14:textId="77777777" w:rsidR="00CE28E1" w:rsidRPr="00DE7C15" w:rsidRDefault="00CE28E1" w:rsidP="00CE28E1">
      <w:pPr>
        <w:pStyle w:val="SingleTxt"/>
      </w:pPr>
    </w:p>
    <w:p w14:paraId="7D0AF9E3" w14:textId="292166F0" w:rsidR="00CE28E1" w:rsidRPr="00DE7C15" w:rsidRDefault="00CE28E1">
      <w:pPr>
        <w:suppressAutoHyphens w:val="0"/>
        <w:spacing w:after="160" w:line="259" w:lineRule="auto"/>
        <w:rPr>
          <w:kern w:val="14"/>
        </w:rPr>
      </w:pPr>
      <w:r w:rsidRPr="00DE7C15">
        <w:br w:type="page"/>
      </w:r>
    </w:p>
    <w:p w14:paraId="5DF989EE" w14:textId="77777777" w:rsidR="009106EF" w:rsidRPr="00DE7C15" w:rsidRDefault="00CE28E1" w:rsidP="00CE28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1" w:name="_Toc397671603"/>
      <w:r w:rsidRPr="00B9592E">
        <w:rPr>
          <w:sz w:val="20"/>
        </w:rPr>
        <w:lastRenderedPageBreak/>
        <w:tab/>
      </w:r>
      <w:r w:rsidRPr="00B9592E">
        <w:tab/>
        <w:t>Artículo 1</w:t>
      </w:r>
      <w:bookmarkEnd w:id="1"/>
    </w:p>
    <w:p w14:paraId="277EB31C" w14:textId="4EB702F7" w:rsidR="00CE28E1" w:rsidRPr="00DE7C15" w:rsidRDefault="00CE28E1" w:rsidP="00CE28E1">
      <w:pPr>
        <w:pStyle w:val="SingleTxt"/>
        <w:spacing w:after="0" w:line="120" w:lineRule="exact"/>
        <w:rPr>
          <w:sz w:val="10"/>
        </w:rPr>
      </w:pPr>
    </w:p>
    <w:p w14:paraId="0C5B68CF" w14:textId="77777777" w:rsidR="00CE28E1" w:rsidRPr="00DE7C15" w:rsidRDefault="00CE28E1" w:rsidP="00CE28E1">
      <w:pPr>
        <w:pStyle w:val="SingleTxt"/>
        <w:spacing w:after="0" w:line="120" w:lineRule="exact"/>
        <w:rPr>
          <w:sz w:val="10"/>
        </w:rPr>
      </w:pPr>
    </w:p>
    <w:p w14:paraId="6D921067" w14:textId="77777777" w:rsidR="009106EF" w:rsidRPr="00DE7C15" w:rsidRDefault="00CE28E1" w:rsidP="00CE2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2" w:name="_Toc397671604"/>
      <w:r w:rsidRPr="00B9592E">
        <w:tab/>
      </w:r>
      <w:r w:rsidRPr="00B9592E">
        <w:tab/>
        <w:t>Definición jurídica de la discriminación de género</w:t>
      </w:r>
      <w:bookmarkEnd w:id="2"/>
    </w:p>
    <w:p w14:paraId="141F2160" w14:textId="492D653F" w:rsidR="00CE28E1" w:rsidRPr="00DE7C15" w:rsidRDefault="00CE28E1" w:rsidP="00CE28E1">
      <w:pPr>
        <w:pStyle w:val="SingleTxt"/>
        <w:spacing w:after="0" w:line="120" w:lineRule="exact"/>
        <w:rPr>
          <w:sz w:val="10"/>
        </w:rPr>
      </w:pPr>
    </w:p>
    <w:p w14:paraId="61A6E27C" w14:textId="77777777" w:rsidR="00CE28E1" w:rsidRPr="00DE7C15" w:rsidRDefault="00CE28E1" w:rsidP="00CE28E1">
      <w:pPr>
        <w:pStyle w:val="SingleTxt"/>
        <w:spacing w:after="0" w:line="120" w:lineRule="exact"/>
        <w:rPr>
          <w:sz w:val="10"/>
        </w:rPr>
      </w:pPr>
    </w:p>
    <w:p w14:paraId="52AB8807" w14:textId="4B157918" w:rsidR="00CE28E1" w:rsidRPr="00DE7C15" w:rsidRDefault="00CE28E1" w:rsidP="00D17B5B">
      <w:pPr>
        <w:pStyle w:val="SingleTxt"/>
        <w:numPr>
          <w:ilvl w:val="0"/>
          <w:numId w:val="34"/>
        </w:numPr>
        <w:ind w:left="1267"/>
      </w:pPr>
      <w:r w:rsidRPr="00DE7C15">
        <w:t xml:space="preserve">Todas las personas tienen garantizados sus derechos y libertades fundamentales, independientemente de su sexo, raza, color, idioma, credo y religión, opinión política o de otra índole, origen nacional o social, pertenencia a una minoría nacional o étnica, posición económica, nacimiento u otra condición, en virtud de la Ley Constitucional núm. </w:t>
      </w:r>
      <w:r w:rsidRPr="00B9592E">
        <w:t>2</w:t>
      </w:r>
      <w:r w:rsidRPr="00DE7C15">
        <w:t>/</w:t>
      </w:r>
      <w:r w:rsidRPr="00B9592E">
        <w:t>1993</w:t>
      </w:r>
      <w:r w:rsidRPr="00DE7C15">
        <w:t xml:space="preserve"> (recop.), la Carta de Derechos y Libertades Fundamentales, en su forma modificada (en lo sucesivo, </w:t>
      </w:r>
      <w:r w:rsidR="009106EF" w:rsidRPr="00DE7C15">
        <w:t>“</w:t>
      </w:r>
      <w:r w:rsidRPr="00DE7C15">
        <w:t>Carta</w:t>
      </w:r>
      <w:r w:rsidR="009106EF" w:rsidRPr="00DE7C15">
        <w:t>”</w:t>
      </w:r>
      <w:r w:rsidRPr="00DE7C15">
        <w:t>), que forma parte del ordenamiento constitucional de Chequia.</w:t>
      </w:r>
    </w:p>
    <w:p w14:paraId="198E54C1" w14:textId="029C7C7C" w:rsidR="00CE28E1" w:rsidRPr="00DE7C15" w:rsidRDefault="00CE28E1" w:rsidP="00D17B5B">
      <w:pPr>
        <w:pStyle w:val="SingleTxt"/>
        <w:numPr>
          <w:ilvl w:val="0"/>
          <w:numId w:val="36"/>
        </w:numPr>
        <w:tabs>
          <w:tab w:val="num" w:pos="2804"/>
        </w:tabs>
        <w:ind w:left="1267"/>
      </w:pPr>
      <w:r w:rsidRPr="00B9592E">
        <w:rPr>
          <w:spacing w:val="0"/>
        </w:rPr>
        <w:t xml:space="preserve">El derecho a la igualdad de trato y la prohibición de la discriminación se explicitan en la Ley núm. 198/2009 (recop.) de Igualdad de Trato y Medios Jurídicos de Protección contra la Discriminación y de Modificación de Determinadas Leyes (Ley contra la Discriminación), en su forma modificada (en lo sucesivo, </w:t>
      </w:r>
      <w:r w:rsidR="009106EF" w:rsidRPr="00B9592E">
        <w:rPr>
          <w:spacing w:val="0"/>
        </w:rPr>
        <w:t>“</w:t>
      </w:r>
      <w:r w:rsidRPr="00B9592E">
        <w:rPr>
          <w:spacing w:val="0"/>
        </w:rPr>
        <w:t>Ley contra la Discriminación</w:t>
      </w:r>
      <w:r w:rsidR="009106EF" w:rsidRPr="00B9592E">
        <w:rPr>
          <w:spacing w:val="0"/>
        </w:rPr>
        <w:t>”</w:t>
      </w:r>
      <w:r w:rsidRPr="00B9592E">
        <w:rPr>
          <w:spacing w:val="0"/>
        </w:rPr>
        <w:t>). En la Ley contra la Discriminación se establecen, entre otras cosas, los ámbitos en los que está prohibido discriminar, se exponen conceptos fundamentales, se definen los motivos inadmisibles de discriminación y se establecen los medios jurídicos de protección contra la discriminación. En virtud de la Ley, están prohibidas tanto la discriminación directa como la indirecta. Con arreglo a su artículo 2 2), se consideran discriminación el acoso, el acoso sexual, la persecución, la orden de discriminar y la incitación a discriminar</w:t>
      </w:r>
      <w:r w:rsidRPr="00DE7C15">
        <w:t>.</w:t>
      </w:r>
    </w:p>
    <w:p w14:paraId="00D20EFB" w14:textId="48605293" w:rsidR="00554041" w:rsidRPr="00DE7C15" w:rsidRDefault="00CE28E1" w:rsidP="00D17B5B">
      <w:pPr>
        <w:pStyle w:val="SingleTxt"/>
        <w:numPr>
          <w:ilvl w:val="0"/>
          <w:numId w:val="36"/>
        </w:numPr>
        <w:tabs>
          <w:tab w:val="num" w:pos="2804"/>
        </w:tabs>
        <w:ind w:left="1267"/>
      </w:pPr>
      <w:r w:rsidRPr="00DE7C15">
        <w:t xml:space="preserve">El ordenamiento jurídico de Chequia permite a las posibles víctimas de discriminación estar representadas en las actuaciones judiciales en que soliciten protección por una entidad jurídica que tenga entre las actividades enunciadas en sus estatutos la protección contra esa discriminación. Más concretamente, esa posibilidad está consagrada en el artículo </w:t>
      </w:r>
      <w:r w:rsidRPr="00B9592E">
        <w:t>26</w:t>
      </w:r>
      <w:r w:rsidRPr="00DE7C15">
        <w:t xml:space="preserve"> </w:t>
      </w:r>
      <w:r w:rsidRPr="00B9592E">
        <w:t>3</w:t>
      </w:r>
      <w:r w:rsidRPr="00DE7C15">
        <w:t xml:space="preserve">) de la Ley núm. </w:t>
      </w:r>
      <w:r w:rsidRPr="00B9592E">
        <w:t>99</w:t>
      </w:r>
      <w:r w:rsidRPr="00DE7C15">
        <w:t>/</w:t>
      </w:r>
      <w:r w:rsidRPr="00B9592E">
        <w:t>1963</w:t>
      </w:r>
      <w:r w:rsidRPr="00DE7C15">
        <w:t xml:space="preserve"> (recop.), el Código de Procedimiento Civil, en su forma modificada. En su artículo </w:t>
      </w:r>
      <w:r w:rsidRPr="00B9592E">
        <w:t>133</w:t>
      </w:r>
      <w:r w:rsidRPr="00DE7C15">
        <w:t xml:space="preserve">a </w:t>
      </w:r>
      <w:r w:rsidRPr="00B9592E">
        <w:t>1</w:t>
      </w:r>
      <w:r w:rsidRPr="00DE7C15">
        <w:t>) a) y c), el Código de Procedimiento Civil facilita la condición probatoria del demandante como posible víctima de una discriminación de género mediante la denominada carga compartida de la prueba. Si la parte demandante alega ante el tribunal hechos de los que puede deducirse que ha habido discriminación, la parte demandada está obligada a demostrar que no se ha vulnerado el principio de igualdad de trato.</w:t>
      </w:r>
    </w:p>
    <w:p w14:paraId="78ED9A86" w14:textId="324CADB8" w:rsidR="00CE28E1" w:rsidRPr="00DE7C15" w:rsidRDefault="00CE28E1" w:rsidP="00D17B5B">
      <w:pPr>
        <w:pStyle w:val="SingleTxt"/>
        <w:numPr>
          <w:ilvl w:val="0"/>
          <w:numId w:val="36"/>
        </w:numPr>
        <w:tabs>
          <w:tab w:val="num" w:pos="2804"/>
        </w:tabs>
        <w:ind w:left="1267"/>
      </w:pPr>
      <w:r w:rsidRPr="00DE7C15">
        <w:t xml:space="preserve">En lo que respecta a la incorporación de la Convención en la jurisprudencia de los tribunales checos, cabe mencionar la sentencia del Tribunal Supremo de </w:t>
      </w:r>
      <w:r w:rsidRPr="00B9592E">
        <w:t>22</w:t>
      </w:r>
      <w:r w:rsidRPr="00DE7C15">
        <w:t xml:space="preserve"> de septiembre de </w:t>
      </w:r>
      <w:r w:rsidRPr="00B9592E">
        <w:t>2016</w:t>
      </w:r>
      <w:r w:rsidRPr="00DE7C15">
        <w:t xml:space="preserve"> en la causa núm. </w:t>
      </w:r>
      <w:r w:rsidRPr="00B9592E">
        <w:t>33</w:t>
      </w:r>
      <w:r w:rsidRPr="00DE7C15">
        <w:t xml:space="preserve"> Cdo </w:t>
      </w:r>
      <w:r w:rsidRPr="00B9592E">
        <w:t>2039</w:t>
      </w:r>
      <w:r w:rsidRPr="00DE7C15">
        <w:t>/</w:t>
      </w:r>
      <w:r w:rsidRPr="00B9592E">
        <w:t>2015</w:t>
      </w:r>
      <w:r w:rsidRPr="00DE7C15">
        <w:t xml:space="preserve">, en la que la sección competente de la Sala de lo Civil y Mercantil aludió a las observaciones finales de fecha </w:t>
      </w:r>
      <w:r w:rsidRPr="00B9592E">
        <w:t>10</w:t>
      </w:r>
      <w:r w:rsidRPr="00DE7C15">
        <w:t xml:space="preserve"> de octubre de </w:t>
      </w:r>
      <w:r w:rsidRPr="00B9592E">
        <w:t>2010</w:t>
      </w:r>
      <w:r w:rsidRPr="00DE7C15">
        <w:t xml:space="preserve"> del Comité de las Naciones Unidas para la Eliminación de la Discriminación contra la Mujer en su interpretación de las disposiciones de la Ley núm. </w:t>
      </w:r>
      <w:r w:rsidRPr="00B9592E">
        <w:t>326</w:t>
      </w:r>
      <w:r w:rsidRPr="00DE7C15">
        <w:t>/</w:t>
      </w:r>
      <w:r w:rsidRPr="00B9592E">
        <w:t>1999</w:t>
      </w:r>
      <w:r w:rsidRPr="00DE7C15">
        <w:t xml:space="preserve"> (recop.) de Residencia de Extranjeros en el Territorio de la República Checa y de Modificación de Determinadas Leyes, en su forma modificada. Las ideas principales de la Convención también se reflejan en la práctica decisoria del Tribunal Supremo mediante la aplicación del derecho nacional o europeo.</w:t>
      </w:r>
    </w:p>
    <w:p w14:paraId="7CB1DE1B" w14:textId="6ED30AED" w:rsidR="00554041" w:rsidRPr="00DE7C15" w:rsidRDefault="00CE28E1" w:rsidP="00D17B5B">
      <w:pPr>
        <w:pStyle w:val="SingleTxt"/>
        <w:numPr>
          <w:ilvl w:val="0"/>
          <w:numId w:val="36"/>
        </w:numPr>
        <w:tabs>
          <w:tab w:val="num" w:pos="2804"/>
        </w:tabs>
        <w:ind w:left="1267"/>
      </w:pPr>
      <w:r w:rsidRPr="00B9592E">
        <w:rPr>
          <w:spacing w:val="0"/>
        </w:rPr>
        <w:t>En cuanto a la jurisprudencia nacional sobre la discriminación, en 2020 la Oficina del Defensor Público de los Derechos llevó a cabo un estudio de las decisiones dictadas por los tribunales checos en los procesos por discriminación entre 2015 y 2019. El número de demandas había aumentado respecto del período</w:t>
      </w:r>
      <w:r w:rsidR="00942DE2" w:rsidRPr="00B9592E">
        <w:rPr>
          <w:spacing w:val="0"/>
        </w:rPr>
        <w:t xml:space="preserve"> </w:t>
      </w:r>
      <w:r w:rsidRPr="00B9592E">
        <w:rPr>
          <w:spacing w:val="0"/>
        </w:rPr>
        <w:t>comprendido entre 2010 y 2014</w:t>
      </w:r>
      <w:r w:rsidRPr="00B9592E">
        <w:rPr>
          <w:spacing w:val="0"/>
          <w:vertAlign w:val="superscript"/>
        </w:rPr>
        <w:footnoteReference w:id="1"/>
      </w:r>
      <w:r w:rsidRPr="00B9592E">
        <w:rPr>
          <w:spacing w:val="0"/>
        </w:rPr>
        <w:t>,</w:t>
      </w:r>
      <w:r w:rsidR="00554041" w:rsidRPr="00B9592E">
        <w:rPr>
          <w:spacing w:val="0"/>
        </w:rPr>
        <w:t xml:space="preserve"> </w:t>
      </w:r>
      <w:r w:rsidRPr="00B9592E">
        <w:rPr>
          <w:spacing w:val="0"/>
        </w:rPr>
        <w:t xml:space="preserve">pasando de 56 entre 2010 y 2014 a 90 entre 2015-2019. En el período 2015-2019, el tercer </w:t>
      </w:r>
      <w:r w:rsidRPr="00B9592E">
        <w:rPr>
          <w:spacing w:val="0"/>
        </w:rPr>
        <w:lastRenderedPageBreak/>
        <w:t>motivo de discriminación más frecuente</w:t>
      </w:r>
      <w:r w:rsidRPr="00DE7C15">
        <w:t xml:space="preserve"> fue el sexual, con </w:t>
      </w:r>
      <w:r w:rsidRPr="00B9592E">
        <w:t>18</w:t>
      </w:r>
      <w:r w:rsidRPr="00DE7C15">
        <w:t xml:space="preserve"> demandas, de las que </w:t>
      </w:r>
      <w:r w:rsidRPr="00B9592E">
        <w:t>15</w:t>
      </w:r>
      <w:r w:rsidRPr="00DE7C15">
        <w:t xml:space="preserve"> guardaban relación con el trabajo y el empleo.</w:t>
      </w:r>
    </w:p>
    <w:p w14:paraId="1FB33D26" w14:textId="223BE53F" w:rsidR="00CE28E1" w:rsidRPr="00DE7C15" w:rsidRDefault="00CE28E1" w:rsidP="00D17B5B">
      <w:pPr>
        <w:pStyle w:val="SingleTxt"/>
        <w:numPr>
          <w:ilvl w:val="0"/>
          <w:numId w:val="36"/>
        </w:numPr>
        <w:tabs>
          <w:tab w:val="num" w:pos="2804"/>
        </w:tabs>
        <w:ind w:left="1267"/>
      </w:pPr>
      <w:r w:rsidRPr="00DE7C15">
        <w:t xml:space="preserve">Desde el </w:t>
      </w:r>
      <w:r w:rsidRPr="00B9592E">
        <w:t>1</w:t>
      </w:r>
      <w:r w:rsidRPr="00DE7C15">
        <w:t xml:space="preserve"> de diciembre de </w:t>
      </w:r>
      <w:r w:rsidRPr="00B9592E">
        <w:t>2009</w:t>
      </w:r>
      <w:r w:rsidRPr="00DE7C15">
        <w:t xml:space="preserve">, el Defensor Público de los Derechos (en lo sucesivo, </w:t>
      </w:r>
      <w:r w:rsidR="009106EF" w:rsidRPr="00DE7C15">
        <w:t>“</w:t>
      </w:r>
      <w:r w:rsidRPr="00DE7C15">
        <w:t>Ómbudsman</w:t>
      </w:r>
      <w:r w:rsidR="009106EF" w:rsidRPr="00DE7C15">
        <w:t>”</w:t>
      </w:r>
      <w:r w:rsidRPr="00DE7C15">
        <w:t xml:space="preserve">) actúa como organismo de fomento de la igualdad, de conformidad con las directivas de la UE. El Ómbudsman es otra de las instituciones públicas señaladas en el artículo </w:t>
      </w:r>
      <w:r w:rsidRPr="00B9592E">
        <w:t>2</w:t>
      </w:r>
      <w:r w:rsidRPr="00DE7C15">
        <w:t xml:space="preserve"> c) de la Convención que garantiza la protección efectiva de la mujer contra todo acto de discriminación. Las personas que consideran que son víctimas de discriminación de género (también en los supuestos de embarazo, paternidad e identidad de género) pueden dirigir su demanda al Ómbudsman. En los casos justificados, el Ómbudsman presta asistencia metodológica con miras a la presentación de una petición para que se inicien actuaciones por discriminación. Además, en materia de discriminación, el Ómbudsman está facultado para examinar las actividades tanto de las autoridades administrativas como de los particulares para garantizar la aplicación efectiva del derecho a la igualdad de trato.</w:t>
      </w:r>
    </w:p>
    <w:p w14:paraId="545CFA59" w14:textId="6ED656EF" w:rsidR="00554041" w:rsidRPr="00DE7C15" w:rsidRDefault="00CE28E1" w:rsidP="00D17B5B">
      <w:pPr>
        <w:pStyle w:val="SingleTxt"/>
        <w:numPr>
          <w:ilvl w:val="0"/>
          <w:numId w:val="36"/>
        </w:numPr>
        <w:tabs>
          <w:tab w:val="num" w:pos="2804"/>
        </w:tabs>
        <w:ind w:left="1267"/>
      </w:pPr>
      <w:r w:rsidRPr="00DE7C15">
        <w:t xml:space="preserve">En cuanto a la labor dirigida a sensibilizar acerca de la Convención y las actividades del Comité, el Departamento de Igualdad de Género (en lo sucesivo, el </w:t>
      </w:r>
      <w:r w:rsidR="009106EF" w:rsidRPr="00DE7C15">
        <w:t>“</w:t>
      </w:r>
      <w:r w:rsidRPr="00DE7C15">
        <w:t>Departamento</w:t>
      </w:r>
      <w:r w:rsidR="009106EF" w:rsidRPr="00DE7C15">
        <w:t>”</w:t>
      </w:r>
      <w:r w:rsidRPr="00DE7C15">
        <w:t xml:space="preserve">) sigue publicando traducidas al checo las recomendaciones generales del Comité en el sitio web de la secretaría del Consejo Gubernamental para la Igualdad de Género (en lo sucesivo, el </w:t>
      </w:r>
      <w:r w:rsidR="009106EF" w:rsidRPr="00DE7C15">
        <w:t>“</w:t>
      </w:r>
      <w:r w:rsidRPr="00DE7C15">
        <w:t>Consejo</w:t>
      </w:r>
      <w:r w:rsidR="009106EF" w:rsidRPr="00DE7C15">
        <w:t>”</w:t>
      </w:r>
      <w:r w:rsidRPr="00DE7C15">
        <w:t>).</w:t>
      </w:r>
    </w:p>
    <w:p w14:paraId="357E90A3" w14:textId="4EA2BDED" w:rsidR="009106EF" w:rsidRPr="00DE7C15" w:rsidRDefault="009106EF" w:rsidP="00CE28E1">
      <w:pPr>
        <w:pStyle w:val="SingleTxt"/>
        <w:spacing w:after="0" w:line="120" w:lineRule="exact"/>
        <w:rPr>
          <w:sz w:val="10"/>
        </w:rPr>
      </w:pPr>
      <w:bookmarkStart w:id="3" w:name="_Toc397671605"/>
    </w:p>
    <w:p w14:paraId="537F9A5A" w14:textId="77777777" w:rsidR="009106EF" w:rsidRPr="00DE7C15" w:rsidRDefault="009106EF" w:rsidP="00CE28E1">
      <w:pPr>
        <w:pStyle w:val="SingleTxt"/>
        <w:spacing w:after="0" w:line="120" w:lineRule="exact"/>
        <w:rPr>
          <w:sz w:val="10"/>
        </w:rPr>
      </w:pPr>
    </w:p>
    <w:p w14:paraId="5A361397" w14:textId="77777777" w:rsidR="009106EF" w:rsidRPr="00DE7C15" w:rsidRDefault="00CE28E1" w:rsidP="00CE2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Mecanismos institucionales para la igualdad de género</w:t>
      </w:r>
      <w:bookmarkEnd w:id="3"/>
    </w:p>
    <w:p w14:paraId="7B3A91A0" w14:textId="362C3D3D" w:rsidR="00CE28E1" w:rsidRPr="00DE7C15" w:rsidRDefault="00CE28E1" w:rsidP="00CE28E1">
      <w:pPr>
        <w:pStyle w:val="SingleTxt"/>
        <w:spacing w:after="0" w:line="120" w:lineRule="exact"/>
        <w:rPr>
          <w:sz w:val="10"/>
        </w:rPr>
      </w:pPr>
    </w:p>
    <w:p w14:paraId="1F2C1008" w14:textId="77777777" w:rsidR="00CE28E1" w:rsidRPr="00DE7C15" w:rsidRDefault="00CE28E1" w:rsidP="00CE28E1">
      <w:pPr>
        <w:pStyle w:val="SingleTxt"/>
        <w:spacing w:after="0" w:line="120" w:lineRule="exact"/>
        <w:rPr>
          <w:sz w:val="10"/>
        </w:rPr>
      </w:pPr>
    </w:p>
    <w:p w14:paraId="2F4D941D" w14:textId="1C9FA9DE" w:rsidR="00CE28E1" w:rsidRPr="00DE7C15" w:rsidRDefault="00CE28E1" w:rsidP="00D17B5B">
      <w:pPr>
        <w:pStyle w:val="SingleTxt"/>
        <w:numPr>
          <w:ilvl w:val="0"/>
          <w:numId w:val="36"/>
        </w:numPr>
        <w:ind w:left="1267"/>
      </w:pPr>
      <w:r w:rsidRPr="00DE7C15">
        <w:t xml:space="preserve">La Estrategia Gubernamental para la Igualdad entre Mujeres y Hombres en la República Checa para </w:t>
      </w:r>
      <w:r w:rsidRPr="00B9592E">
        <w:t>2014</w:t>
      </w:r>
      <w:r w:rsidRPr="00DE7C15">
        <w:t>-</w:t>
      </w:r>
      <w:r w:rsidRPr="00B9592E">
        <w:t>2020</w:t>
      </w:r>
      <w:r w:rsidRPr="00DE7C15">
        <w:t xml:space="preserve"> (en lo sucesivo, </w:t>
      </w:r>
      <w:r w:rsidR="009106EF" w:rsidRPr="00DE7C15">
        <w:t>“</w:t>
      </w:r>
      <w:r w:rsidRPr="00DE7C15">
        <w:t xml:space="preserve">Estrategia </w:t>
      </w:r>
      <w:r w:rsidRPr="00B9592E">
        <w:t>2014</w:t>
      </w:r>
      <w:r w:rsidRPr="00DE7C15">
        <w:t>-</w:t>
      </w:r>
      <w:r w:rsidRPr="00B9592E">
        <w:t>2020</w:t>
      </w:r>
      <w:r w:rsidR="009106EF" w:rsidRPr="00DE7C15">
        <w:t>”</w:t>
      </w:r>
      <w:r w:rsidRPr="00DE7C15">
        <w:t xml:space="preserve">) se aprobó mediante la resolución del Gobierno de la República Checa (en lo sucesivo, </w:t>
      </w:r>
      <w:r w:rsidR="009106EF" w:rsidRPr="00DE7C15">
        <w:t>“</w:t>
      </w:r>
      <w:r w:rsidRPr="00DE7C15">
        <w:t>Gobierno</w:t>
      </w:r>
      <w:r w:rsidR="009106EF" w:rsidRPr="00DE7C15">
        <w:t>”</w:t>
      </w:r>
      <w:r w:rsidRPr="00DE7C15">
        <w:t xml:space="preserve">) núm. </w:t>
      </w:r>
      <w:r w:rsidRPr="00B9592E">
        <w:t>931</w:t>
      </w:r>
      <w:r w:rsidRPr="00DE7C15">
        <w:t xml:space="preserve"> de fecha </w:t>
      </w:r>
      <w:r w:rsidRPr="00B9592E">
        <w:t>12</w:t>
      </w:r>
      <w:r w:rsidRPr="00DE7C15">
        <w:t xml:space="preserve"> de noviembre de </w:t>
      </w:r>
      <w:r w:rsidRPr="00B9592E">
        <w:t>2014</w:t>
      </w:r>
      <w:r w:rsidRPr="00DE7C15">
        <w:t xml:space="preserve">. La Estrategia de continuación para </w:t>
      </w:r>
      <w:r w:rsidRPr="00B9592E">
        <w:t>2021</w:t>
      </w:r>
      <w:r w:rsidRPr="00DE7C15">
        <w:t>-</w:t>
      </w:r>
      <w:r w:rsidRPr="00B9592E">
        <w:t>2030</w:t>
      </w:r>
      <w:r w:rsidRPr="00DE7C15">
        <w:t xml:space="preserve"> (en lo sucesivo, </w:t>
      </w:r>
      <w:r w:rsidR="009106EF" w:rsidRPr="00DE7C15">
        <w:t>“</w:t>
      </w:r>
      <w:r w:rsidRPr="00DE7C15">
        <w:t xml:space="preserve">Estrategia </w:t>
      </w:r>
      <w:r w:rsidRPr="00B9592E">
        <w:t>2021</w:t>
      </w:r>
      <w:r w:rsidRPr="00DE7C15">
        <w:t>+</w:t>
      </w:r>
      <w:r w:rsidR="009106EF" w:rsidRPr="00DE7C15">
        <w:t>”</w:t>
      </w:r>
      <w:r w:rsidRPr="00DE7C15">
        <w:t xml:space="preserve">) se aprobó mediante la resolución del Gobierno núm. </w:t>
      </w:r>
      <w:r w:rsidRPr="00B9592E">
        <w:t>269</w:t>
      </w:r>
      <w:r w:rsidRPr="00DE7C15">
        <w:t xml:space="preserve"> de </w:t>
      </w:r>
      <w:r w:rsidRPr="00B9592E">
        <w:t>8</w:t>
      </w:r>
      <w:r w:rsidRPr="00DE7C15">
        <w:t xml:space="preserve"> de marzo de </w:t>
      </w:r>
      <w:r w:rsidRPr="00B9592E">
        <w:t>2021</w:t>
      </w:r>
      <w:r w:rsidRPr="00DE7C15">
        <w:t>. Las estrategias son documentos gubernamentales para la aplicación de la política de igualdad de género en Chequia que tienen por objeto proporcionar un marco para la adopción de medidas de la administración pública que contribuyan al logro de la igualdad de género.</w:t>
      </w:r>
    </w:p>
    <w:p w14:paraId="6A8432A4" w14:textId="038D65B7" w:rsidR="00554041" w:rsidRPr="00DE7C15" w:rsidRDefault="00CE28E1" w:rsidP="00D17B5B">
      <w:pPr>
        <w:pStyle w:val="SingleTxt"/>
        <w:numPr>
          <w:ilvl w:val="0"/>
          <w:numId w:val="36"/>
        </w:numPr>
        <w:ind w:left="1267"/>
      </w:pPr>
      <w:r w:rsidRPr="00DE7C15">
        <w:t xml:space="preserve">La Estrategia </w:t>
      </w:r>
      <w:r w:rsidRPr="00B9592E">
        <w:t>2014</w:t>
      </w:r>
      <w:r w:rsidRPr="00DE7C15">
        <w:t>-</w:t>
      </w:r>
      <w:r w:rsidRPr="00B9592E">
        <w:t>2020</w:t>
      </w:r>
      <w:r w:rsidRPr="00DE7C15">
        <w:t xml:space="preserve"> se aplicó por medio de Planes de Acción anuales para la Igualdad de Género (que el Gobierno viene aprobando desde </w:t>
      </w:r>
      <w:r w:rsidRPr="00B9592E">
        <w:t>1998</w:t>
      </w:r>
      <w:r w:rsidRPr="00DE7C15">
        <w:t>) y se incluyó como anexo en el informe anual sobre la igualdad de género.</w:t>
      </w:r>
    </w:p>
    <w:p w14:paraId="13A07B9C" w14:textId="77B37E94" w:rsidR="00554041" w:rsidRPr="00DE7C15" w:rsidRDefault="00CE28E1" w:rsidP="00D17B5B">
      <w:pPr>
        <w:pStyle w:val="SingleTxt"/>
        <w:numPr>
          <w:ilvl w:val="0"/>
          <w:numId w:val="36"/>
        </w:numPr>
        <w:ind w:left="1267"/>
      </w:pPr>
      <w:r w:rsidRPr="00DE7C15">
        <w:t xml:space="preserve">El informe sobre la igualdad de género es un resumen periódico que facilita información sobre la evolución de la igualdad de género. Se incluyó en él el informe sobre la aplicación de la Estrategia </w:t>
      </w:r>
      <w:r w:rsidRPr="00B9592E">
        <w:t>2014</w:t>
      </w:r>
      <w:r w:rsidRPr="00DE7C15">
        <w:t>-</w:t>
      </w:r>
      <w:r w:rsidRPr="00B9592E">
        <w:t>2020</w:t>
      </w:r>
      <w:r w:rsidRPr="00DE7C15">
        <w:t xml:space="preserve">, en el que se evaluaba la aplicación de esa estrategia y de los Planes de Acción para la Igualdad de Género. Desde </w:t>
      </w:r>
      <w:r w:rsidRPr="00B9592E">
        <w:t>2014</w:t>
      </w:r>
      <w:r w:rsidRPr="00DE7C15">
        <w:t>, el informe sobre la igualdad de género contiene las recomendaciones del Consejo como órgano consultivo del Gobierno.</w:t>
      </w:r>
    </w:p>
    <w:p w14:paraId="03B9C4B6" w14:textId="48E333E5" w:rsidR="00CE28E1" w:rsidRPr="00DE7C15" w:rsidRDefault="00CE28E1" w:rsidP="00D17B5B">
      <w:pPr>
        <w:pStyle w:val="SingleTxt"/>
        <w:numPr>
          <w:ilvl w:val="0"/>
          <w:numId w:val="36"/>
        </w:numPr>
        <w:ind w:left="1267"/>
      </w:pPr>
      <w:r w:rsidRPr="00DE7C15">
        <w:t xml:space="preserve">Los documentos de aplicación de la Estrategia </w:t>
      </w:r>
      <w:r w:rsidRPr="00B9592E">
        <w:t>2014</w:t>
      </w:r>
      <w:r w:rsidRPr="00DE7C15">
        <w:t>-</w:t>
      </w:r>
      <w:r w:rsidRPr="00B9592E">
        <w:t>2020</w:t>
      </w:r>
      <w:r w:rsidRPr="00DE7C15">
        <w:t xml:space="preserve"> comprendían también los Planes de Acción para la Prevención de la Violencia Doméstica y de Género, el Plan de Acción para la Representación Equilibrada de Mujeres y Hombres en Puestos Decisorios para </w:t>
      </w:r>
      <w:r w:rsidRPr="00B9592E">
        <w:t>2016</w:t>
      </w:r>
      <w:r w:rsidRPr="00DE7C15">
        <w:t>-</w:t>
      </w:r>
      <w:r w:rsidRPr="00B9592E">
        <w:t>2018</w:t>
      </w:r>
      <w:r w:rsidRPr="00DE7C15">
        <w:t xml:space="preserve"> (en lo sucesivo, </w:t>
      </w:r>
      <w:r w:rsidR="009106EF" w:rsidRPr="00DE7C15">
        <w:t>“</w:t>
      </w:r>
      <w:r w:rsidRPr="00DE7C15">
        <w:t>Plan de Acción para la Representación Equilibrada</w:t>
      </w:r>
      <w:r w:rsidR="009106EF" w:rsidRPr="00DE7C15">
        <w:t>”</w:t>
      </w:r>
      <w:r w:rsidRPr="00DE7C15">
        <w:t xml:space="preserve">), y el Plan de Acción de la República Checa para la Aplicación de la Resolución </w:t>
      </w:r>
      <w:hyperlink r:id="rId20" w:history="1">
        <w:r w:rsidRPr="00B9592E">
          <w:rPr>
            <w:rStyle w:val="Hyperlink"/>
          </w:rPr>
          <w:t>1325 (2000)</w:t>
        </w:r>
      </w:hyperlink>
      <w:r w:rsidRPr="00DE7C15">
        <w:t xml:space="preserve"> del Consejo de Seguridad de las Naciones Unidas, relativa a las Mujeres y la Paz y la Seguridad y Resoluciones Conexas para </w:t>
      </w:r>
      <w:r w:rsidRPr="00B9592E">
        <w:t>2017</w:t>
      </w:r>
      <w:r w:rsidRPr="00DE7C15">
        <w:t>-</w:t>
      </w:r>
      <w:r w:rsidRPr="00B9592E">
        <w:t>2020</w:t>
      </w:r>
      <w:r w:rsidRPr="00DE7C15">
        <w:t xml:space="preserve"> (en lo sucesivo, </w:t>
      </w:r>
      <w:r w:rsidR="009106EF" w:rsidRPr="00DE7C15">
        <w:t>“</w:t>
      </w:r>
      <w:r w:rsidRPr="00DE7C15">
        <w:t xml:space="preserve">Plan de Acción relativo a la Agenda sobre las Mujeres y la Paz y la Seguridad para </w:t>
      </w:r>
      <w:r w:rsidRPr="00B9592E">
        <w:t>2017</w:t>
      </w:r>
      <w:r w:rsidRPr="00DE7C15">
        <w:t>-</w:t>
      </w:r>
      <w:r w:rsidRPr="00B9592E">
        <w:t>2020</w:t>
      </w:r>
      <w:r w:rsidR="009106EF" w:rsidRPr="00DE7C15">
        <w:t>”</w:t>
      </w:r>
      <w:r w:rsidRPr="00DE7C15">
        <w:t>).</w:t>
      </w:r>
    </w:p>
    <w:p w14:paraId="08BC3A69" w14:textId="071B07A4" w:rsidR="00CE28E1" w:rsidRPr="00DE7C15" w:rsidRDefault="00CE28E1" w:rsidP="00D17B5B">
      <w:pPr>
        <w:pStyle w:val="SingleTxt"/>
        <w:numPr>
          <w:ilvl w:val="0"/>
          <w:numId w:val="36"/>
        </w:numPr>
        <w:ind w:left="1267"/>
      </w:pPr>
      <w:r w:rsidRPr="00DE7C15">
        <w:t xml:space="preserve">La Estrategia </w:t>
      </w:r>
      <w:r w:rsidRPr="00B9592E">
        <w:t>2021</w:t>
      </w:r>
      <w:r w:rsidRPr="00DE7C15">
        <w:t xml:space="preserve">+ es el segundo documento marco gubernamental para aplicar la política de igualdad de género en Chequia. El aspecto fundamental es el vínculo </w:t>
      </w:r>
      <w:r w:rsidRPr="00DE7C15">
        <w:lastRenderedPageBreak/>
        <w:t xml:space="preserve">que establece con las políticas implementadas o coordinadas a nivel de la UE. La Estrategia </w:t>
      </w:r>
      <w:r w:rsidRPr="00B9592E">
        <w:t>2021</w:t>
      </w:r>
      <w:r w:rsidRPr="00DE7C15">
        <w:t xml:space="preserve">+ también está estrechamente vinculada a las obligaciones internacionales en materia de derechos humanos y se basa en algunas de las recomendaciones de las organizaciones internacionales. La Estrategia </w:t>
      </w:r>
      <w:r w:rsidRPr="00B9592E">
        <w:t>2021</w:t>
      </w:r>
      <w:r w:rsidRPr="00DE7C15">
        <w:t xml:space="preserve">+ parte de un enfoque interseccional. Además, algunas de sus medidas están específicamente dirigidas a grupos de mujeres especialmente desfavorecidos (como las mujeres mayores de </w:t>
      </w:r>
      <w:r w:rsidRPr="00B9592E">
        <w:t>65</w:t>
      </w:r>
      <w:r w:rsidRPr="00DE7C15">
        <w:t xml:space="preserve"> años, las romaníes o las madres solteras).</w:t>
      </w:r>
    </w:p>
    <w:p w14:paraId="7A31E344" w14:textId="09FC3EFD" w:rsidR="00554041" w:rsidRPr="00DE7C15" w:rsidRDefault="00CE28E1" w:rsidP="00D17B5B">
      <w:pPr>
        <w:pStyle w:val="SingleTxt"/>
        <w:numPr>
          <w:ilvl w:val="0"/>
          <w:numId w:val="36"/>
        </w:numPr>
        <w:ind w:left="1267"/>
      </w:pPr>
      <w:r w:rsidRPr="00DE7C15">
        <w:t xml:space="preserve">Las medidas de la Estrategia </w:t>
      </w:r>
      <w:r w:rsidRPr="00B9592E">
        <w:t>2021</w:t>
      </w:r>
      <w:r w:rsidRPr="00DE7C15">
        <w:t xml:space="preserve">+ se financian principalmente con cargo al Fondo Social Europeo Plus (FSE+), en particular su programa operativo de empleo+, y a las subvenciones del Espacio Económico Europeo (EEE) y de Noruega. No obstante, la Estrategia </w:t>
      </w:r>
      <w:r w:rsidRPr="00B9592E">
        <w:t>2021</w:t>
      </w:r>
      <w:r w:rsidRPr="00DE7C15">
        <w:t>+ incluye también medidas que repercuten directamente en el presupuesto del Estado, sobre todo relacionadas con el aumento de la asignación de algunos programas de subvenciones existentes.</w:t>
      </w:r>
      <w:r w:rsidR="00024EAE">
        <w:t xml:space="preserve"> </w:t>
      </w:r>
    </w:p>
    <w:p w14:paraId="44AE4C85" w14:textId="50B75AD2" w:rsidR="00CE28E1" w:rsidRPr="00DE7C15" w:rsidRDefault="00CE28E1" w:rsidP="00D17B5B">
      <w:pPr>
        <w:pStyle w:val="SingleTxt"/>
        <w:numPr>
          <w:ilvl w:val="0"/>
          <w:numId w:val="36"/>
        </w:numPr>
        <w:ind w:left="1267"/>
      </w:pPr>
      <w:r w:rsidRPr="00DE7C15">
        <w:t xml:space="preserve">La Estrategia </w:t>
      </w:r>
      <w:r w:rsidRPr="00B9592E">
        <w:t>2021</w:t>
      </w:r>
      <w:r w:rsidRPr="00DE7C15">
        <w:t xml:space="preserve">+ está dividida en ocho capítulos temáticos. El capítulo de trabajo y cuidados </w:t>
      </w:r>
      <w:proofErr w:type="gramStart"/>
      <w:r w:rsidRPr="00DE7C15">
        <w:t>se centra principalmente en</w:t>
      </w:r>
      <w:proofErr w:type="gramEnd"/>
      <w:r w:rsidRPr="00DE7C15">
        <w:t xml:space="preserve"> eliminar las desigualdades de género en el mercado laboral y en el cuidado de los hijos y otras personas dependientes. El capítulo dedicado a la adopción de decisiones gira en torno a la baja representación de las mujeres en la vida política y en otros puestos decisorios de interés público. El capítulo de seguridad aborda la violencia doméstica y sexual y la seguridad en el espacio público, incluido el ciberespacio. El capítulo de salud se centra en las desigualdades de género en la atención de la salud, incluidas la atención durante el parto y la atención posnatal. Las desigualdades de género en la educación, la ciencia y la investigación se abordan en el capítulo dedicado a los conocimientos. El capítulo de sociedad se centra en la eliminación de los estereotipos de género, la reducción de las desigualdades de género en los medios de comunicación y la cultura y la prestación de apoyo al sector civil. El capítulo de relaciones exteriores gira en torno a la igualdad de género en la política exterior. El último capítulo, dedicado a las instituciones, tiene por objeto asegurar un nivel suficiente de capacidad en la administración pública para promover con eficacia la igualdad de género y aplicar la Estrategia </w:t>
      </w:r>
      <w:r w:rsidRPr="00B9592E">
        <w:t>2021</w:t>
      </w:r>
      <w:r w:rsidRPr="00DE7C15">
        <w:t>+.</w:t>
      </w:r>
    </w:p>
    <w:p w14:paraId="6DBA723D" w14:textId="17A92D4E" w:rsidR="00CE28E1" w:rsidRPr="00DE7C15" w:rsidRDefault="00CE28E1" w:rsidP="00D17B5B">
      <w:pPr>
        <w:pStyle w:val="SingleTxt"/>
        <w:numPr>
          <w:ilvl w:val="0"/>
          <w:numId w:val="36"/>
        </w:numPr>
        <w:ind w:left="1267"/>
      </w:pPr>
      <w:r w:rsidRPr="00DE7C15">
        <w:t xml:space="preserve">La Estrategia </w:t>
      </w:r>
      <w:r w:rsidRPr="00B9592E">
        <w:t>2021</w:t>
      </w:r>
      <w:r w:rsidRPr="00DE7C15">
        <w:t>+ se ha concebido como una estrategia abierta: los objetivos específicos pueden ir seguidos de otros conjuntos de medidas y planes de acción relacionados tanto con subsectores como con la dimensión regional. Algunos ejemplos son el plan de acción para prevenir la violencia doméstica y de género o el plan de acción relativo a la agenda sobre las mujeres y la paz y la seguridad.</w:t>
      </w:r>
    </w:p>
    <w:p w14:paraId="24BD8BE4" w14:textId="0884CE8B" w:rsidR="00CE28E1" w:rsidRPr="00DE7C15" w:rsidRDefault="00CE28E1" w:rsidP="00D17B5B">
      <w:pPr>
        <w:pStyle w:val="SingleTxt"/>
        <w:numPr>
          <w:ilvl w:val="0"/>
          <w:numId w:val="36"/>
        </w:numPr>
        <w:ind w:left="1267"/>
      </w:pPr>
      <w:r w:rsidRPr="00DE7C15">
        <w:t xml:space="preserve">Desde </w:t>
      </w:r>
      <w:r w:rsidRPr="00B9592E">
        <w:t>2000</w:t>
      </w:r>
      <w:r w:rsidRPr="00DE7C15">
        <w:t xml:space="preserve">, la Oficina de Estadística Checa y la Oficina del Gobierno de la República Checa (en lo sucesivo, </w:t>
      </w:r>
      <w:r w:rsidR="009106EF" w:rsidRPr="00DE7C15">
        <w:t>“</w:t>
      </w:r>
      <w:r w:rsidRPr="00DE7C15">
        <w:t>Oficina del Gobierno</w:t>
      </w:r>
      <w:r w:rsidR="009106EF" w:rsidRPr="00DE7C15">
        <w:t>”</w:t>
      </w:r>
      <w:r w:rsidRPr="00DE7C15">
        <w:t xml:space="preserve">) editan la publicación anual </w:t>
      </w:r>
      <w:r w:rsidRPr="00B9592E">
        <w:rPr>
          <w:i/>
          <w:iCs/>
        </w:rPr>
        <w:t>Focus on Women and Men</w:t>
      </w:r>
      <w:r w:rsidRPr="00DE7C15">
        <w:t xml:space="preserve">, que es un compendio de datos estadísticos sobre las diferencias entre mujeres y hombres en diversos ámbitos de la vida. En la Estrategia </w:t>
      </w:r>
      <w:r w:rsidRPr="00B9592E">
        <w:t>2021</w:t>
      </w:r>
      <w:r w:rsidRPr="00DE7C15">
        <w:t xml:space="preserve">+ se pide a la Oficina del Gobierno que presente a la junta editorial de </w:t>
      </w:r>
      <w:r w:rsidRPr="00B9592E">
        <w:rPr>
          <w:i/>
          <w:iCs/>
        </w:rPr>
        <w:t>Focus on Women and Men</w:t>
      </w:r>
      <w:r w:rsidRPr="00DE7C15">
        <w:t xml:space="preserve"> al menos una vez al año propuestas para optimizar la recopilación de datos y que formule recomendaciones para otros actores pertinentes, lo que contribuirá a racionalizar en mayor medida el sistema de recopilación de datos.</w:t>
      </w:r>
    </w:p>
    <w:p w14:paraId="16AC7BE1" w14:textId="472BCC4F" w:rsidR="00CE28E1" w:rsidRPr="00DE7C15" w:rsidRDefault="00CE28E1" w:rsidP="00D17B5B">
      <w:pPr>
        <w:pStyle w:val="SingleTxt"/>
        <w:numPr>
          <w:ilvl w:val="0"/>
          <w:numId w:val="36"/>
        </w:numPr>
        <w:ind w:left="1267"/>
      </w:pPr>
      <w:r w:rsidRPr="00DE7C15">
        <w:t xml:space="preserve">La agenda para la igualdad de género, por ser una agenda transversal, depende de la Oficina del Gobierno desde el </w:t>
      </w:r>
      <w:r w:rsidRPr="00B9592E">
        <w:t>1</w:t>
      </w:r>
      <w:r w:rsidRPr="00DE7C15">
        <w:t xml:space="preserve"> de enero de </w:t>
      </w:r>
      <w:r w:rsidRPr="00B9592E">
        <w:t>2015</w:t>
      </w:r>
      <w:r w:rsidRPr="00DE7C15">
        <w:t xml:space="preserve">, y su coordinación está a cargo del Departamento desde el </w:t>
      </w:r>
      <w:r w:rsidRPr="00B9592E">
        <w:t>1</w:t>
      </w:r>
      <w:r w:rsidRPr="00DE7C15">
        <w:t xml:space="preserve"> de enero de </w:t>
      </w:r>
      <w:r w:rsidRPr="00B9592E">
        <w:t>2017</w:t>
      </w:r>
      <w:r w:rsidRPr="00DE7C15">
        <w:t xml:space="preserve">. Antes de </w:t>
      </w:r>
      <w:r w:rsidRPr="00B9592E">
        <w:t>2017</w:t>
      </w:r>
      <w:r w:rsidRPr="00DE7C15">
        <w:t xml:space="preserve">, era responsabilidad de la Unidad de Igualdad de Género del Departamento de Derechos Humanos y Protección de las Minorías. La existencia de un Departamento independiente ha reforzado la aplicación de la agenda a nivel simbólico, esto es, en lo que respecta al reconocimiento de su importancia y su carácter transversal, y también en la práctica, ya que ha hecho posible que las subtareas del Departamento se aprueben y lleven a cabo con mayor rapidez. Además de implementar y coordinar la agenda, el </w:t>
      </w:r>
      <w:r w:rsidRPr="00DE7C15">
        <w:lastRenderedPageBreak/>
        <w:t>Departamento ejerce como secretaría del Consejo, sus comités y sus grupos de trabajo.</w:t>
      </w:r>
    </w:p>
    <w:p w14:paraId="7219163D" w14:textId="0237C6D7" w:rsidR="00CE28E1" w:rsidRPr="00DE7C15" w:rsidRDefault="00CE28E1" w:rsidP="00D17B5B">
      <w:pPr>
        <w:pStyle w:val="SingleTxt"/>
        <w:numPr>
          <w:ilvl w:val="0"/>
          <w:numId w:val="36"/>
        </w:numPr>
        <w:ind w:left="1267"/>
      </w:pPr>
      <w:r w:rsidRPr="00DE7C15">
        <w:t xml:space="preserve">El cargo de </w:t>
      </w:r>
      <w:proofErr w:type="gramStart"/>
      <w:r w:rsidRPr="00DE7C15">
        <w:t>Ministro</w:t>
      </w:r>
      <w:proofErr w:type="gramEnd"/>
      <w:r w:rsidRPr="00DE7C15">
        <w:t xml:space="preserve"> de Derechos Humanos, Igualdad de Oportunidades y Legislación, que tenía entre sus competencias la igualdad de género, se suprimió en diciembre de </w:t>
      </w:r>
      <w:r w:rsidRPr="00B9592E">
        <w:t>2017</w:t>
      </w:r>
      <w:r w:rsidRPr="00DE7C15">
        <w:t xml:space="preserve">. Posteriormente, la agenda para igualdad de género pasó a ser responsabilidad del </w:t>
      </w:r>
      <w:proofErr w:type="gramStart"/>
      <w:r w:rsidRPr="00DE7C15">
        <w:t>Ministro</w:t>
      </w:r>
      <w:proofErr w:type="gramEnd"/>
      <w:r w:rsidRPr="00DE7C15">
        <w:t xml:space="preserve"> de Justicia, con efecto a partir del </w:t>
      </w:r>
      <w:r w:rsidRPr="00B9592E">
        <w:t>13</w:t>
      </w:r>
      <w:r w:rsidRPr="00DE7C15">
        <w:t xml:space="preserve"> de diciembre de </w:t>
      </w:r>
      <w:r w:rsidRPr="00B9592E">
        <w:t>2017</w:t>
      </w:r>
      <w:r w:rsidRPr="00DE7C15">
        <w:t xml:space="preserve">. Desde el </w:t>
      </w:r>
      <w:r w:rsidRPr="00B9592E">
        <w:t>11</w:t>
      </w:r>
      <w:r w:rsidRPr="00DE7C15">
        <w:t xml:space="preserve"> de julio de </w:t>
      </w:r>
      <w:r w:rsidRPr="00B9592E">
        <w:t>2018</w:t>
      </w:r>
      <w:r w:rsidRPr="00DE7C15">
        <w:t xml:space="preserve">, la igualdad de género es responsabilidad del </w:t>
      </w:r>
      <w:proofErr w:type="gramStart"/>
      <w:r w:rsidRPr="00DE7C15">
        <w:t>Primer Ministro</w:t>
      </w:r>
      <w:proofErr w:type="gramEnd"/>
      <w:r w:rsidRPr="00DE7C15">
        <w:t xml:space="preserve">. Ese traspaso de la responsabilidad al </w:t>
      </w:r>
      <w:proofErr w:type="gramStart"/>
      <w:r w:rsidRPr="00DE7C15">
        <w:t>Primer Ministro</w:t>
      </w:r>
      <w:proofErr w:type="gramEnd"/>
      <w:r w:rsidRPr="00DE7C15">
        <w:t xml:space="preserve"> llevó a restablecer, en junio de </w:t>
      </w:r>
      <w:r w:rsidRPr="00B9592E">
        <w:t>2018</w:t>
      </w:r>
      <w:r w:rsidRPr="00DE7C15">
        <w:t>, el cargo de Comisionado del Gobierno para los Derechos Humanos.</w:t>
      </w:r>
    </w:p>
    <w:p w14:paraId="082D6DA2" w14:textId="15A58C54" w:rsidR="00554041" w:rsidRPr="00DE7C15" w:rsidRDefault="00CE28E1" w:rsidP="00D17B5B">
      <w:pPr>
        <w:pStyle w:val="SingleTxt"/>
        <w:numPr>
          <w:ilvl w:val="0"/>
          <w:numId w:val="36"/>
        </w:numPr>
        <w:ind w:left="1267"/>
      </w:pPr>
      <w:r w:rsidRPr="00DE7C15">
        <w:t xml:space="preserve">El Consejo Gubernamental para la Igualdad de Género, que se creó en </w:t>
      </w:r>
      <w:r w:rsidRPr="00B9592E">
        <w:t>2008</w:t>
      </w:r>
      <w:r w:rsidRPr="00DE7C15">
        <w:t xml:space="preserve">, es un órgano consultivo permanente del Gobierno en materia de igualdad de género. Está integrado por el Comisionado del Gobierno para los Derechos Humanos, representantes de los ministerios, la Oficina del Defensor Público de los Derechos, los interlocutores sociales, la sociedad civil y otros expertos. Con arreglo a los estatutos del Consejo, la administración pública está representada a nivel de </w:t>
      </w:r>
      <w:proofErr w:type="gramStart"/>
      <w:r w:rsidRPr="00DE7C15">
        <w:t>Viceministros</w:t>
      </w:r>
      <w:proofErr w:type="gramEnd"/>
      <w:r w:rsidRPr="00DE7C15">
        <w:t xml:space="preserve"> o Secretarios de Estado. El </w:t>
      </w:r>
      <w:proofErr w:type="gramStart"/>
      <w:r w:rsidRPr="00DE7C15">
        <w:t>Presidente</w:t>
      </w:r>
      <w:proofErr w:type="gramEnd"/>
      <w:r w:rsidRPr="00DE7C15">
        <w:t xml:space="preserve"> del Consejo es el miembro del Gobierno responsable de la igualdad de género y la igualdad de oportunidades; actualmente ocupa el cargo el Primer Ministro.</w:t>
      </w:r>
    </w:p>
    <w:p w14:paraId="4159D0ED" w14:textId="5112403A" w:rsidR="00CE28E1" w:rsidRPr="00DE7C15" w:rsidRDefault="00CE28E1" w:rsidP="00D17B5B">
      <w:pPr>
        <w:pStyle w:val="SingleTxt"/>
        <w:numPr>
          <w:ilvl w:val="0"/>
          <w:numId w:val="36"/>
        </w:numPr>
        <w:ind w:left="1267"/>
      </w:pPr>
      <w:r w:rsidRPr="00DE7C15">
        <w:t>El Consejo cuenta actualmente con los siguientes órganos de trabajo sobre ámbitos concretos relacionados con la igualdad de género:</w:t>
      </w:r>
    </w:p>
    <w:p w14:paraId="2DB0FBCD" w14:textId="786FB435" w:rsidR="00CE28E1" w:rsidRPr="00DE7C15" w:rsidRDefault="00CE28E1" w:rsidP="00CE28E1">
      <w:pPr>
        <w:pStyle w:val="SingleTxt"/>
        <w:tabs>
          <w:tab w:val="right" w:pos="1685"/>
        </w:tabs>
        <w:ind w:left="1742" w:hanging="475"/>
      </w:pPr>
      <w:r w:rsidRPr="00DE7C15">
        <w:tab/>
        <w:t>•</w:t>
      </w:r>
      <w:r w:rsidRPr="00DE7C15">
        <w:tab/>
        <w:t xml:space="preserve">Comité para la Prevención de la Violencia Doméstica y la Violencia contra la Mujer (creado en </w:t>
      </w:r>
      <w:r w:rsidRPr="00B9592E">
        <w:t>2008</w:t>
      </w:r>
      <w:r w:rsidRPr="00DE7C15">
        <w:t>);</w:t>
      </w:r>
    </w:p>
    <w:p w14:paraId="79B8A9EE" w14:textId="70614305" w:rsidR="00CE28E1" w:rsidRPr="00DE7C15" w:rsidRDefault="00CE28E1" w:rsidP="00CE28E1">
      <w:pPr>
        <w:pStyle w:val="SingleTxt"/>
        <w:tabs>
          <w:tab w:val="right" w:pos="1685"/>
        </w:tabs>
        <w:ind w:left="1742" w:hanging="475"/>
      </w:pPr>
      <w:r w:rsidRPr="00DE7C15">
        <w:tab/>
        <w:t>•</w:t>
      </w:r>
      <w:r w:rsidRPr="00DE7C15">
        <w:tab/>
        <w:t xml:space="preserve">Comité para la Representación Equilibrada de Mujeres y Hombres en la Política y en los Puestos Decisorios (creado en </w:t>
      </w:r>
      <w:r w:rsidRPr="00B9592E">
        <w:t>2009</w:t>
      </w:r>
      <w:r w:rsidRPr="00DE7C15">
        <w:t>);</w:t>
      </w:r>
    </w:p>
    <w:p w14:paraId="3C5C1416" w14:textId="5E551B10" w:rsidR="00CE28E1" w:rsidRPr="00DE7C15" w:rsidRDefault="00CE28E1" w:rsidP="00CE28E1">
      <w:pPr>
        <w:pStyle w:val="SingleTxt"/>
        <w:tabs>
          <w:tab w:val="right" w:pos="1685"/>
        </w:tabs>
        <w:ind w:left="1742" w:hanging="475"/>
      </w:pPr>
      <w:r w:rsidRPr="00DE7C15">
        <w:tab/>
        <w:t>•</w:t>
      </w:r>
      <w:r w:rsidRPr="00DE7C15">
        <w:tab/>
        <w:t xml:space="preserve">Comité sobre el Marco Institucional para la Igualdad de Género (creado en </w:t>
      </w:r>
      <w:r w:rsidRPr="00B9592E">
        <w:t>2009</w:t>
      </w:r>
      <w:r w:rsidRPr="00DE7C15">
        <w:t>);</w:t>
      </w:r>
    </w:p>
    <w:p w14:paraId="337B56F3" w14:textId="01FC2595" w:rsidR="00CE28E1" w:rsidRPr="00DE7C15" w:rsidRDefault="00CE28E1" w:rsidP="00CE28E1">
      <w:pPr>
        <w:pStyle w:val="SingleTxt"/>
        <w:tabs>
          <w:tab w:val="right" w:pos="1685"/>
        </w:tabs>
        <w:ind w:left="1742" w:hanging="475"/>
      </w:pPr>
      <w:r w:rsidRPr="00DE7C15">
        <w:tab/>
        <w:t>•</w:t>
      </w:r>
      <w:r w:rsidRPr="00DE7C15">
        <w:tab/>
        <w:t xml:space="preserve">Comité sobre Política Social, Familia y Cuidados (creado en </w:t>
      </w:r>
      <w:r w:rsidRPr="00B9592E">
        <w:t>2009</w:t>
      </w:r>
      <w:r w:rsidRPr="00DE7C15">
        <w:t>);</w:t>
      </w:r>
    </w:p>
    <w:p w14:paraId="1DC382A5" w14:textId="413A86C4" w:rsidR="00CE28E1" w:rsidRPr="00DE7C15" w:rsidRDefault="00CE28E1" w:rsidP="00CE28E1">
      <w:pPr>
        <w:pStyle w:val="SingleTxt"/>
        <w:tabs>
          <w:tab w:val="right" w:pos="1685"/>
        </w:tabs>
        <w:ind w:left="1742" w:hanging="475"/>
      </w:pPr>
      <w:r w:rsidRPr="00DE7C15">
        <w:tab/>
        <w:t>•</w:t>
      </w:r>
      <w:r w:rsidRPr="00DE7C15">
        <w:tab/>
        <w:t xml:space="preserve">Grupo de Trabajo sobre los Hombres y la Igualdad de Género (creado en </w:t>
      </w:r>
      <w:r w:rsidRPr="00B9592E">
        <w:t>2012</w:t>
      </w:r>
      <w:r w:rsidRPr="00DE7C15">
        <w:t>);</w:t>
      </w:r>
    </w:p>
    <w:p w14:paraId="7077A9AA" w14:textId="7D50EB89" w:rsidR="00CE28E1" w:rsidRPr="00DE7C15" w:rsidRDefault="00CE28E1" w:rsidP="00CE28E1">
      <w:pPr>
        <w:pStyle w:val="SingleTxt"/>
        <w:tabs>
          <w:tab w:val="right" w:pos="1685"/>
        </w:tabs>
        <w:ind w:left="1742" w:hanging="475"/>
      </w:pPr>
      <w:r w:rsidRPr="00DE7C15">
        <w:tab/>
        <w:t>•</w:t>
      </w:r>
      <w:r w:rsidRPr="00DE7C15">
        <w:tab/>
        <w:t xml:space="preserve">Grupo de Trabajo sobre Obstetricia y Partería (creado en </w:t>
      </w:r>
      <w:r w:rsidRPr="00B9592E">
        <w:t>2013</w:t>
      </w:r>
      <w:r w:rsidRPr="00DE7C15">
        <w:t>);</w:t>
      </w:r>
    </w:p>
    <w:p w14:paraId="39B4C1AA" w14:textId="2468F1EA" w:rsidR="00CE28E1" w:rsidRPr="00DE7C15" w:rsidRDefault="00CE28E1" w:rsidP="00CE28E1">
      <w:pPr>
        <w:pStyle w:val="SingleTxt"/>
        <w:tabs>
          <w:tab w:val="right" w:pos="1685"/>
        </w:tabs>
        <w:ind w:left="1742" w:hanging="475"/>
      </w:pPr>
      <w:r w:rsidRPr="00DE7C15">
        <w:tab/>
        <w:t>•</w:t>
      </w:r>
      <w:r w:rsidRPr="00DE7C15">
        <w:tab/>
        <w:t>Grupo de Trabajo sobre el Apoyo a Programas de Subvenciones para Actividades de Utilidad Pública en el Ámbito de la Igualdad de Género;</w:t>
      </w:r>
    </w:p>
    <w:p w14:paraId="6676679A" w14:textId="234C851B" w:rsidR="00CE28E1" w:rsidRPr="00DE7C15" w:rsidRDefault="00CE28E1" w:rsidP="00CE28E1">
      <w:pPr>
        <w:pStyle w:val="SingleTxt"/>
        <w:tabs>
          <w:tab w:val="right" w:pos="1685"/>
        </w:tabs>
        <w:ind w:left="1742" w:hanging="475"/>
      </w:pPr>
      <w:r w:rsidRPr="00DE7C15">
        <w:tab/>
        <w:t>•</w:t>
      </w:r>
      <w:r w:rsidRPr="00DE7C15">
        <w:tab/>
        <w:t xml:space="preserve">Grupo de Trabajo sobre Cuestiones de la Mujer Romaní (creado en </w:t>
      </w:r>
      <w:r w:rsidRPr="00B9592E">
        <w:t>2021</w:t>
      </w:r>
      <w:r w:rsidRPr="00DE7C15">
        <w:t>).</w:t>
      </w:r>
    </w:p>
    <w:p w14:paraId="67717EC5" w14:textId="6A21CACB" w:rsidR="00CE28E1" w:rsidRPr="00DE7C15" w:rsidRDefault="00CE28E1" w:rsidP="00D17B5B">
      <w:pPr>
        <w:pStyle w:val="SingleTxt"/>
        <w:numPr>
          <w:ilvl w:val="0"/>
          <w:numId w:val="36"/>
        </w:numPr>
        <w:ind w:left="1267"/>
      </w:pPr>
      <w:r w:rsidRPr="00DE7C15">
        <w:t xml:space="preserve">En </w:t>
      </w:r>
      <w:r w:rsidRPr="00B9592E">
        <w:t>2020</w:t>
      </w:r>
      <w:r w:rsidRPr="00DE7C15">
        <w:t xml:space="preserve"> se creó el Grupo de Trabajo sobre las Repercusiones de la Pandemia de COVID-</w:t>
      </w:r>
      <w:r w:rsidRPr="00B9592E">
        <w:t>19</w:t>
      </w:r>
      <w:r w:rsidRPr="00DE7C15">
        <w:t xml:space="preserve"> en las Cuestiones de Género, que se disolvió en </w:t>
      </w:r>
      <w:r w:rsidRPr="00B9592E">
        <w:t>2022</w:t>
      </w:r>
      <w:r w:rsidRPr="00DE7C15">
        <w:t>.</w:t>
      </w:r>
    </w:p>
    <w:p w14:paraId="08194720" w14:textId="6A758ADB" w:rsidR="00CE28E1" w:rsidRPr="00DE7C15" w:rsidRDefault="00CE28E1" w:rsidP="00D17B5B">
      <w:pPr>
        <w:pStyle w:val="SingleTxt"/>
        <w:numPr>
          <w:ilvl w:val="0"/>
          <w:numId w:val="36"/>
        </w:numPr>
        <w:ind w:left="1267"/>
      </w:pPr>
      <w:r w:rsidRPr="00DE7C15">
        <w:t xml:space="preserve">En noviembre de </w:t>
      </w:r>
      <w:r w:rsidRPr="00B9592E">
        <w:t>2012</w:t>
      </w:r>
      <w:r w:rsidRPr="00DE7C15">
        <w:t xml:space="preserve">, la Unidad de Igualdad de Género comenzó a ejecutar un proyecto para optimizar la igualdad de oportunidades de mujeres y hombres en las instituciones de la República Checa cofinanciado por el programa operativo de recursos humanos y empleo. El proyecto finalizó el </w:t>
      </w:r>
      <w:r w:rsidRPr="00B9592E">
        <w:t>30</w:t>
      </w:r>
      <w:r w:rsidRPr="00DE7C15">
        <w:t xml:space="preserve"> de noviembre de </w:t>
      </w:r>
      <w:r w:rsidRPr="00B9592E">
        <w:t>2015</w:t>
      </w:r>
      <w:r w:rsidRPr="00DE7C15">
        <w:t>. Su ejecución hizo necesario aumentar el número de puestos en la Unidad de Igualdad de Género.</w:t>
      </w:r>
    </w:p>
    <w:p w14:paraId="3D1B2B70" w14:textId="08C72B66" w:rsidR="00554041" w:rsidRPr="00DE7C15" w:rsidRDefault="00CE28E1" w:rsidP="00D17B5B">
      <w:pPr>
        <w:pStyle w:val="SingleTxt"/>
        <w:numPr>
          <w:ilvl w:val="0"/>
          <w:numId w:val="36"/>
        </w:numPr>
        <w:ind w:left="1267"/>
      </w:pPr>
      <w:r w:rsidRPr="00DE7C15">
        <w:t xml:space="preserve">A la finalización del proyecto de optimización, se puso en marcha otro sobre la aplicación de la Estrategia Gubernamental para la Igualdad entre Mujeres y Hombres en la República Checa para </w:t>
      </w:r>
      <w:r w:rsidRPr="00B9592E">
        <w:t>2014</w:t>
      </w:r>
      <w:r w:rsidRPr="00DE7C15">
        <w:t>-</w:t>
      </w:r>
      <w:r w:rsidRPr="00B9592E">
        <w:t>2020</w:t>
      </w:r>
      <w:r w:rsidRPr="00DE7C15">
        <w:t xml:space="preserve"> y de otras actividades conexas, cofinanciado por el programa operativo de empleo, que estuvo en ejecución del </w:t>
      </w:r>
      <w:r w:rsidRPr="00B9592E">
        <w:t>1</w:t>
      </w:r>
      <w:r w:rsidRPr="00DE7C15">
        <w:t xml:space="preserve"> de febrero de </w:t>
      </w:r>
      <w:r w:rsidRPr="00B9592E">
        <w:t>2016</w:t>
      </w:r>
      <w:r w:rsidRPr="00DE7C15">
        <w:t xml:space="preserve"> al </w:t>
      </w:r>
      <w:r w:rsidRPr="00B9592E">
        <w:t>31</w:t>
      </w:r>
      <w:r w:rsidRPr="00DE7C15">
        <w:t xml:space="preserve"> de diciembre de </w:t>
      </w:r>
      <w:r w:rsidRPr="00B9592E">
        <w:t>2022</w:t>
      </w:r>
      <w:r w:rsidRPr="00DE7C15">
        <w:t>.</w:t>
      </w:r>
    </w:p>
    <w:p w14:paraId="7849D21E" w14:textId="3B609DFB" w:rsidR="00554041" w:rsidRPr="00DE7C15" w:rsidRDefault="00CE28E1" w:rsidP="00D17B5B">
      <w:pPr>
        <w:pStyle w:val="SingleTxt"/>
        <w:numPr>
          <w:ilvl w:val="0"/>
          <w:numId w:val="36"/>
        </w:numPr>
        <w:ind w:left="1267"/>
      </w:pPr>
      <w:r w:rsidRPr="00DE7C15">
        <w:lastRenderedPageBreak/>
        <w:t xml:space="preserve">Al margen de ese proyecto, durante el período examinado se financiaron con cargo al presupuesto del Estado dos puestos fijos en el Departamento. En </w:t>
      </w:r>
      <w:r w:rsidRPr="00B9592E">
        <w:t>2017</w:t>
      </w:r>
      <w:r w:rsidRPr="00DE7C15">
        <w:t xml:space="preserve">, el Departamento tenía </w:t>
      </w:r>
      <w:r w:rsidRPr="00B9592E">
        <w:t>12</w:t>
      </w:r>
      <w:r w:rsidRPr="00DE7C15">
        <w:t xml:space="preserve"> puestos fijos, dos de ellos a tiempo parcial. En el período </w:t>
      </w:r>
      <w:r w:rsidRPr="00B9592E">
        <w:t>2018</w:t>
      </w:r>
      <w:r w:rsidRPr="00DE7C15">
        <w:t>-</w:t>
      </w:r>
      <w:r w:rsidRPr="00B9592E">
        <w:t>2021</w:t>
      </w:r>
      <w:r w:rsidRPr="00DE7C15">
        <w:t xml:space="preserve">, el número de puestos fijos bajó a </w:t>
      </w:r>
      <w:r w:rsidRPr="00B9592E">
        <w:t>11</w:t>
      </w:r>
      <w:r w:rsidRPr="00DE7C15">
        <w:t xml:space="preserve">, de los que uno era a tiempo parcial. En </w:t>
      </w:r>
      <w:r w:rsidRPr="00B9592E">
        <w:t>2022</w:t>
      </w:r>
      <w:r w:rsidRPr="00DE7C15">
        <w:t xml:space="preserve">, el Departamento contaba con </w:t>
      </w:r>
      <w:r w:rsidRPr="00B9592E">
        <w:t>11</w:t>
      </w:r>
      <w:r w:rsidRPr="00DE7C15">
        <w:t xml:space="preserve"> puestos fijos a tiempo completo.</w:t>
      </w:r>
    </w:p>
    <w:p w14:paraId="24C131E1" w14:textId="44A4E1F3" w:rsidR="00CE28E1" w:rsidRPr="00DE7C15" w:rsidRDefault="00CE28E1" w:rsidP="00D17B5B">
      <w:pPr>
        <w:pStyle w:val="SingleTxt"/>
        <w:numPr>
          <w:ilvl w:val="0"/>
          <w:numId w:val="36"/>
        </w:numPr>
        <w:ind w:left="1267"/>
      </w:pPr>
      <w:r w:rsidRPr="00DE7C15">
        <w:t xml:space="preserve">Durante el período examinado, el Departamento también llevó a cabo un proyecto sobre la violencia doméstica y de género, la aplicación de la igualdad de oportunidades entre mujeres y hombres, y el apoyo a la conciliación de la vida familiar y la vida profesional, y otro de mejora de la capacidad y apoyo metodológico para la prevención de la violencia doméstica y de género, que aún no ha finalizado. Ambos proyectos se cofinancian con cargo a las subvenciones de Noruega (véase información más detallada en la sección dedicada al artículo </w:t>
      </w:r>
      <w:r w:rsidRPr="00B9592E">
        <w:t>2</w:t>
      </w:r>
      <w:r w:rsidRPr="00DE7C15">
        <w:t>).</w:t>
      </w:r>
    </w:p>
    <w:p w14:paraId="22A344A7" w14:textId="6D381814" w:rsidR="00CE28E1" w:rsidRPr="00DE7C15" w:rsidRDefault="00CE28E1" w:rsidP="00D17B5B">
      <w:pPr>
        <w:pStyle w:val="SingleTxt"/>
        <w:numPr>
          <w:ilvl w:val="0"/>
          <w:numId w:val="36"/>
        </w:numPr>
        <w:ind w:left="1267"/>
      </w:pPr>
      <w:r w:rsidRPr="00DE7C15">
        <w:t xml:space="preserve">Con la resolución del Gobierno núm. </w:t>
      </w:r>
      <w:r w:rsidRPr="00B9592E">
        <w:t>347</w:t>
      </w:r>
      <w:r w:rsidRPr="00DE7C15">
        <w:t xml:space="preserve"> de </w:t>
      </w:r>
      <w:r w:rsidRPr="00B9592E">
        <w:t>30</w:t>
      </w:r>
      <w:r w:rsidRPr="00DE7C15">
        <w:t xml:space="preserve"> de mayo de </w:t>
      </w:r>
      <w:r w:rsidRPr="00B9592E">
        <w:t>2018</w:t>
      </w:r>
      <w:r w:rsidRPr="00DE7C15">
        <w:t xml:space="preserve"> se aprobó la norma sobre el cargo de coordinador ministerial para la igualdad de género, en la que se establece, entre otras cosas, el lugar que ocupa el coordinador ministerial para la igualdad de género (en lo sucesivo, </w:t>
      </w:r>
      <w:r w:rsidR="009106EF" w:rsidRPr="00DE7C15">
        <w:t>“</w:t>
      </w:r>
      <w:r w:rsidRPr="00DE7C15">
        <w:t>punto focal de cuestiones de género</w:t>
      </w:r>
      <w:r w:rsidR="009106EF" w:rsidRPr="00DE7C15">
        <w:t>”</w:t>
      </w:r>
      <w:r w:rsidRPr="00DE7C15">
        <w:t>) en el ministerio, las características del puesto, el horario laboral, la cualificación y las competencias del puesto. No obstante, la norma constituye una recomendación, no una exigencia.</w:t>
      </w:r>
    </w:p>
    <w:p w14:paraId="6C8D922F" w14:textId="3C8E65A3" w:rsidR="00CE28E1" w:rsidRPr="00DE7C15" w:rsidRDefault="00CE28E1" w:rsidP="00D17B5B">
      <w:pPr>
        <w:pStyle w:val="SingleTxt"/>
        <w:numPr>
          <w:ilvl w:val="0"/>
          <w:numId w:val="36"/>
        </w:numPr>
        <w:ind w:left="1267"/>
      </w:pPr>
      <w:r w:rsidRPr="00DE7C15">
        <w:t xml:space="preserve">Con el fin de unificar los enfoques que se aplican actualmente en las auditorías de género y definir los criterios mínimos de las auditorías, la Oficina del Gobierno publicó en </w:t>
      </w:r>
      <w:r w:rsidRPr="00B9592E">
        <w:t>2015</w:t>
      </w:r>
      <w:r w:rsidRPr="00DE7C15">
        <w:t xml:space="preserve"> la norma para las auditorías de género, que se puso a prueba en el período </w:t>
      </w:r>
      <w:r w:rsidRPr="00B9592E">
        <w:t>2016</w:t>
      </w:r>
      <w:r w:rsidRPr="00DE7C15">
        <w:t>-</w:t>
      </w:r>
      <w:r w:rsidRPr="00B9592E">
        <w:t>2022</w:t>
      </w:r>
      <w:r w:rsidRPr="00DE7C15">
        <w:t>. Posteriormente, se preparó un análisis de las auditorías de género realizadas. Sobre la base de las conclusiones del análisis, se está elaborando una norma revisada.</w:t>
      </w:r>
    </w:p>
    <w:p w14:paraId="0E2DF4E9" w14:textId="00E7AA53" w:rsidR="00CE28E1" w:rsidRPr="00DE7C15" w:rsidRDefault="00CE28E1" w:rsidP="00D17B5B">
      <w:pPr>
        <w:pStyle w:val="SingleTxt"/>
        <w:numPr>
          <w:ilvl w:val="0"/>
          <w:numId w:val="36"/>
        </w:numPr>
        <w:ind w:left="1267"/>
      </w:pPr>
      <w:r w:rsidRPr="00DE7C15">
        <w:t xml:space="preserve">En </w:t>
      </w:r>
      <w:r w:rsidRPr="00B9592E">
        <w:t>2015</w:t>
      </w:r>
      <w:r w:rsidRPr="00DE7C15">
        <w:t xml:space="preserve">, la Oficina del Gobierno publicó una metodología para evaluar las consecuencias en función del género de los textos presentados al Gobierno. Su propósito es mejorar la evaluación de las consecuencias en función del género de los textos legislativos y no legislativos que se someten a la consideración del Gobierno. Desde </w:t>
      </w:r>
      <w:r w:rsidRPr="00B9592E">
        <w:t>2018</w:t>
      </w:r>
      <w:r w:rsidRPr="00DE7C15">
        <w:t xml:space="preserve">, el Departamento viene organizando seminarios dirigidos a los funcionarios públicos sobre esa evaluación y sobre el uso de la metodología. Además, al </w:t>
      </w:r>
      <w:r w:rsidRPr="00B9592E">
        <w:t>22</w:t>
      </w:r>
      <w:r w:rsidRPr="00DE7C15">
        <w:t xml:space="preserve"> de mayo de </w:t>
      </w:r>
      <w:r w:rsidRPr="00B9592E">
        <w:t>2023</w:t>
      </w:r>
      <w:r w:rsidRPr="00DE7C15">
        <w:t xml:space="preserve"> se habían hecho tres análisis sobre la utilización de la metodología que pusieron de manifiesto el escaso uso de la evaluación de las consecuencias en función del género y que contenían una lista de recomendaciones.</w:t>
      </w:r>
    </w:p>
    <w:p w14:paraId="291A9E0F" w14:textId="34432A4D" w:rsidR="00554041" w:rsidRPr="00DE7C15" w:rsidRDefault="00CE28E1" w:rsidP="00D17B5B">
      <w:pPr>
        <w:pStyle w:val="SingleTxt"/>
        <w:numPr>
          <w:ilvl w:val="0"/>
          <w:numId w:val="36"/>
        </w:numPr>
        <w:ind w:left="1267"/>
      </w:pPr>
      <w:r w:rsidRPr="00DE7C15">
        <w:t xml:space="preserve">En el período </w:t>
      </w:r>
      <w:r w:rsidRPr="00B9592E">
        <w:t>2021</w:t>
      </w:r>
      <w:r w:rsidRPr="00DE7C15">
        <w:t>-</w:t>
      </w:r>
      <w:r w:rsidRPr="00B9592E">
        <w:t>2023</w:t>
      </w:r>
      <w:r w:rsidRPr="00DE7C15">
        <w:t xml:space="preserve">, la Oficina del Gobierno y la Organización de Cooperación y Desarrollo Económicos (OCDE) pusieron en marcha el proyecto </w:t>
      </w:r>
      <w:r w:rsidR="009106EF" w:rsidRPr="00DE7C15">
        <w:t>“</w:t>
      </w:r>
      <w:r w:rsidRPr="00DE7C15">
        <w:t>Fortalecimiento de la capacidad gubernamental para asegurar una reconstrucción inclusiva y con perspectiva de género: apoyo a una mejor aplicación de los objetivos de igualdad de género en la República Checa</w:t>
      </w:r>
      <w:r w:rsidR="009106EF" w:rsidRPr="00DE7C15">
        <w:t>”</w:t>
      </w:r>
      <w:r w:rsidRPr="00DE7C15">
        <w:t>, financiado por la Comisión Europea en el marco de su instrumento de apoyo técnico. El objetivo del proyecto es examinar y fortalecer el marco institucional para la igualdad de género en Chequia. Con ese fin, examina las maneras en que se promueve la igualdad de género a nivel gubernamental y ofrece recomendaciones de la OCDE. Entre los productos principales del proyecto cabe mencionar un informe en el que se examina el marco institucional y dos planes de acción para los ministerios seleccionados, a saber, el Ministerio de Educación, Juventud y Deporte y el Ministerio de Trabajo y Asuntos Sociales.</w:t>
      </w:r>
    </w:p>
    <w:p w14:paraId="7988C610" w14:textId="1F2446A4" w:rsidR="00554041" w:rsidRPr="00DE7C15" w:rsidRDefault="00CE28E1" w:rsidP="00D17B5B">
      <w:pPr>
        <w:pStyle w:val="SingleTxt"/>
        <w:numPr>
          <w:ilvl w:val="0"/>
          <w:numId w:val="36"/>
        </w:numPr>
        <w:ind w:left="1267"/>
      </w:pPr>
      <w:r w:rsidRPr="00DE7C15">
        <w:t xml:space="preserve">La Estrategia </w:t>
      </w:r>
      <w:r w:rsidRPr="00B9592E">
        <w:t>2021</w:t>
      </w:r>
      <w:r w:rsidRPr="00DE7C15">
        <w:t xml:space="preserve">+ se aplica a través del programa de subvenciones de la Oficina del Gobierno de Apoyo a las Actividades de Utilidad Pública en el Ámbito de la Igualdad de Género. El programa de subvenciones se estableció en </w:t>
      </w:r>
      <w:r w:rsidRPr="00B9592E">
        <w:t>2015</w:t>
      </w:r>
      <w:r w:rsidRPr="00DE7C15">
        <w:t xml:space="preserve"> y su administración es competencia del Departamento. Su propósito es apoyar las actividades de las organizaciones no gubernamentales sin ánimo de lucro (ONG) que </w:t>
      </w:r>
      <w:r w:rsidRPr="00DE7C15">
        <w:lastRenderedPageBreak/>
        <w:t xml:space="preserve">contribuyen a la aplicación de la Estrategia </w:t>
      </w:r>
      <w:r w:rsidRPr="00B9592E">
        <w:t>2021</w:t>
      </w:r>
      <w:r w:rsidRPr="00DE7C15">
        <w:t xml:space="preserve">+. A partir de </w:t>
      </w:r>
      <w:r w:rsidRPr="00B9592E">
        <w:t>2022</w:t>
      </w:r>
      <w:r w:rsidRPr="00DE7C15">
        <w:t xml:space="preserve">, las actividades de igualdad de género de los municipios también recibirán ayudas del programa de subvenciones. La dotación anual del programa ascendió a </w:t>
      </w:r>
      <w:r w:rsidRPr="00B9592E">
        <w:t>7</w:t>
      </w:r>
      <w:r w:rsidRPr="00DE7C15">
        <w:t xml:space="preserve"> millones de coronas checas entre </w:t>
      </w:r>
      <w:r w:rsidRPr="00B9592E">
        <w:t>2015</w:t>
      </w:r>
      <w:r w:rsidRPr="00DE7C15">
        <w:t xml:space="preserve"> y </w:t>
      </w:r>
      <w:r w:rsidRPr="00B9592E">
        <w:t>2018</w:t>
      </w:r>
      <w:r w:rsidRPr="00DE7C15">
        <w:t xml:space="preserve">. A partir de </w:t>
      </w:r>
      <w:r w:rsidRPr="00B9592E">
        <w:t>2019</w:t>
      </w:r>
      <w:r w:rsidRPr="00DE7C15">
        <w:t xml:space="preserve">, el monto ha sido de </w:t>
      </w:r>
      <w:r w:rsidRPr="00B9592E">
        <w:t>4</w:t>
      </w:r>
      <w:r w:rsidRPr="00DE7C15">
        <w:t xml:space="preserve"> millones de coronas checas. Las actividades que promueven la igualdad de género también reciben un apoyo parcial de los programas de subvenciones del Ministerio de Trabajo y</w:t>
      </w:r>
      <w:r w:rsidR="00554041" w:rsidRPr="00DE7C15">
        <w:t xml:space="preserve"> </w:t>
      </w:r>
      <w:r w:rsidRPr="00DE7C15">
        <w:t>Asuntos Sociales (programa de subvenciones familiares), el Ministerio del Interior (programa de subvenciones para la prevención de fenómenos socialmente patológicos), el Ministerio de Justicia (desarrollo de servicios para las víctimas de delitos) y el Ministerio de Cultura (programa de subvenciones para la producción cinematográfica y los medios de comunicación centrado en la popularización de la producción de contenidos y en la profesionalización de los medios de comunicación para apoyar proyectos de periodistas de ambos sexos, entre otros de mentoría y liderazgo, con el objetivo de lograr una representación equilibrada de mujeres y hombres en los puestos decisorios de los medios de comunicación).</w:t>
      </w:r>
    </w:p>
    <w:p w14:paraId="75D2FA1B" w14:textId="0CA1E221" w:rsidR="00CE28E1" w:rsidRPr="00DE7C15" w:rsidRDefault="00CE28E1" w:rsidP="00D17B5B">
      <w:pPr>
        <w:pStyle w:val="SingleTxt"/>
        <w:numPr>
          <w:ilvl w:val="0"/>
          <w:numId w:val="36"/>
        </w:numPr>
        <w:ind w:left="1267"/>
      </w:pPr>
      <w:r w:rsidRPr="00DE7C15">
        <w:t xml:space="preserve">Entre abril de </w:t>
      </w:r>
      <w:r w:rsidRPr="00B9592E">
        <w:t>2017</w:t>
      </w:r>
      <w:r w:rsidRPr="00DE7C15">
        <w:t xml:space="preserve"> y marzo de </w:t>
      </w:r>
      <w:r w:rsidRPr="00B9592E">
        <w:t>2020</w:t>
      </w:r>
      <w:r w:rsidRPr="00DE7C15">
        <w:t xml:space="preserve">, el Ministerio de Educación, Juventud y Deporte ejecutó un proyecto de optimización de la salvaguardia institucional de la igualdad de género en el Ministerio. El proyecto fue financiado por el Fondo Social Europeo en el marco del programa operativo de empleo y con cargo al presupuesto del Estado. El monto asignado fue de </w:t>
      </w:r>
      <w:r w:rsidRPr="00B9592E">
        <w:t>6</w:t>
      </w:r>
      <w:r w:rsidRPr="00DE7C15">
        <w:t>.</w:t>
      </w:r>
      <w:r w:rsidRPr="00B9592E">
        <w:t>869</w:t>
      </w:r>
      <w:r w:rsidRPr="00DE7C15">
        <w:t>.</w:t>
      </w:r>
      <w:r w:rsidRPr="00B9592E">
        <w:t>344</w:t>
      </w:r>
      <w:r w:rsidRPr="00DE7C15">
        <w:t>,</w:t>
      </w:r>
      <w:r w:rsidRPr="00B9592E">
        <w:t>88</w:t>
      </w:r>
      <w:r w:rsidRPr="00DE7C15">
        <w:t xml:space="preserve"> coronas checas. El objetivo principal del proyecto era afianzar la igualdad de género en las estructuras del Ministerio, incorporar la perspectiva de género en la labor del Ministerio y asegurar el funcionamiento del sistema una vez finalizado el proyecto.</w:t>
      </w:r>
      <w:bookmarkStart w:id="4" w:name="_Toc397671606"/>
    </w:p>
    <w:p w14:paraId="16D4BAA0" w14:textId="77777777" w:rsidR="00CE28E1" w:rsidRPr="00DE7C15" w:rsidRDefault="00CE28E1" w:rsidP="00CE28E1">
      <w:pPr>
        <w:pStyle w:val="SingleTxt"/>
        <w:spacing w:after="0" w:line="120" w:lineRule="exact"/>
        <w:rPr>
          <w:sz w:val="10"/>
        </w:rPr>
      </w:pPr>
    </w:p>
    <w:p w14:paraId="6EEFEBA2" w14:textId="77777777" w:rsidR="00CE28E1" w:rsidRPr="00DE7C15" w:rsidRDefault="00CE28E1" w:rsidP="00CE28E1">
      <w:pPr>
        <w:pStyle w:val="SingleTxt"/>
        <w:spacing w:after="0" w:line="120" w:lineRule="exact"/>
        <w:rPr>
          <w:sz w:val="10"/>
        </w:rPr>
      </w:pPr>
    </w:p>
    <w:p w14:paraId="2CE70A32" w14:textId="77777777" w:rsidR="009106EF" w:rsidRPr="00DE7C15" w:rsidRDefault="00CE28E1" w:rsidP="00CE28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2</w:t>
      </w:r>
      <w:bookmarkEnd w:id="4"/>
    </w:p>
    <w:p w14:paraId="367EDA16" w14:textId="77777777" w:rsidR="009106EF" w:rsidRPr="00DE7C15" w:rsidRDefault="009106EF" w:rsidP="00CE28E1">
      <w:pPr>
        <w:pStyle w:val="SingleTxt"/>
        <w:spacing w:after="0" w:line="120" w:lineRule="exact"/>
        <w:rPr>
          <w:sz w:val="10"/>
        </w:rPr>
      </w:pPr>
      <w:bookmarkStart w:id="5" w:name="_Toc397671607"/>
    </w:p>
    <w:p w14:paraId="3B814121" w14:textId="77777777" w:rsidR="009106EF" w:rsidRPr="00DE7C15" w:rsidRDefault="009106EF" w:rsidP="00CE28E1">
      <w:pPr>
        <w:pStyle w:val="SingleTxt"/>
        <w:spacing w:after="0" w:line="120" w:lineRule="exact"/>
        <w:rPr>
          <w:sz w:val="10"/>
        </w:rPr>
      </w:pPr>
    </w:p>
    <w:p w14:paraId="1DEF7658" w14:textId="77777777" w:rsidR="009106EF" w:rsidRPr="00DE7C15" w:rsidRDefault="00CE28E1" w:rsidP="00CE2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Medidas para eliminar la discriminación contra la mujer</w:t>
      </w:r>
      <w:bookmarkEnd w:id="5"/>
    </w:p>
    <w:p w14:paraId="0B08EF34" w14:textId="7B80F978" w:rsidR="00CE28E1" w:rsidRPr="00DE7C15" w:rsidRDefault="00CE28E1" w:rsidP="00CE28E1">
      <w:pPr>
        <w:pStyle w:val="SingleTxt"/>
        <w:spacing w:after="0" w:line="120" w:lineRule="exact"/>
        <w:rPr>
          <w:sz w:val="10"/>
        </w:rPr>
      </w:pPr>
    </w:p>
    <w:p w14:paraId="10248FE9" w14:textId="77777777" w:rsidR="00CE28E1" w:rsidRPr="00DE7C15" w:rsidRDefault="00CE28E1" w:rsidP="00CE28E1">
      <w:pPr>
        <w:pStyle w:val="SingleTxt"/>
        <w:spacing w:after="0" w:line="120" w:lineRule="exact"/>
        <w:rPr>
          <w:sz w:val="10"/>
        </w:rPr>
      </w:pPr>
    </w:p>
    <w:p w14:paraId="36E1CC5C" w14:textId="68150395" w:rsidR="00CE28E1" w:rsidRPr="00DE7C15" w:rsidRDefault="00CE28E1" w:rsidP="00D17B5B">
      <w:pPr>
        <w:pStyle w:val="SingleTxt"/>
        <w:numPr>
          <w:ilvl w:val="0"/>
          <w:numId w:val="36"/>
        </w:numPr>
        <w:ind w:left="1267"/>
      </w:pPr>
      <w:r w:rsidRPr="00DE7C15">
        <w:t xml:space="preserve">Desde </w:t>
      </w:r>
      <w:r w:rsidRPr="00B9592E">
        <w:t>2009</w:t>
      </w:r>
      <w:r w:rsidRPr="00DE7C15">
        <w:t>, la Ley contra la Discriminación es el instrumento jurídico fundamental de protección contra la discriminación. Regula, entre otras cosas, los medios jurídicos de protección contra la discriminación que incluyen, entre otros, además de la protección judicial, la posibilidad de dirigirse a una autoridad superior o de control competente (como la Inspección de Comercio Checa o la Oficina Estatal de Inspección de Trabajo) y de llegar a una solución amistosa mediante la mediación. El Ómbudsman también desempeña un papel importante.</w:t>
      </w:r>
    </w:p>
    <w:p w14:paraId="0F69C69B" w14:textId="5D8B2E30" w:rsidR="00CE28E1" w:rsidRPr="00DE7C15" w:rsidRDefault="00CE28E1" w:rsidP="00D17B5B">
      <w:pPr>
        <w:pStyle w:val="SingleTxt"/>
        <w:numPr>
          <w:ilvl w:val="0"/>
          <w:numId w:val="36"/>
        </w:numPr>
        <w:ind w:left="1267"/>
      </w:pPr>
      <w:r w:rsidRPr="00DE7C15">
        <w:t xml:space="preserve">El Ómbudsman lleva recomendando desde </w:t>
      </w:r>
      <w:r w:rsidRPr="00B9592E">
        <w:t>2012</w:t>
      </w:r>
      <w:r w:rsidRPr="00DE7C15">
        <w:t xml:space="preserve"> a la Cámara de los Diputados del Parlamento de la República Checa (en lo sucesivo, </w:t>
      </w:r>
      <w:r w:rsidR="009106EF" w:rsidRPr="00DE7C15">
        <w:t>“</w:t>
      </w:r>
      <w:r w:rsidRPr="00DE7C15">
        <w:t>Cámara de los Diputados</w:t>
      </w:r>
      <w:r w:rsidR="009106EF" w:rsidRPr="00DE7C15">
        <w:t>”</w:t>
      </w:r>
      <w:r w:rsidRPr="00DE7C15">
        <w:t xml:space="preserve">) que apruebe una ley de asistencia letrada gratuita para mejorar la situación de las víctimas de la discriminación con insuficiencia de recursos. A fin de eliminar todas las formas de discriminación contra la mujer, el Ministerio de Justicia redujo en </w:t>
      </w:r>
      <w:r w:rsidRPr="00B9592E">
        <w:t>2017</w:t>
      </w:r>
      <w:r w:rsidRPr="00DE7C15">
        <w:t xml:space="preserve"> las tasas judiciales aplicables cuando la denuncia presentada es de discriminación. La Ley núm. </w:t>
      </w:r>
      <w:r w:rsidRPr="00B9592E">
        <w:t>549</w:t>
      </w:r>
      <w:r w:rsidRPr="00DE7C15">
        <w:t>/</w:t>
      </w:r>
      <w:r w:rsidRPr="00B9592E">
        <w:t>1991</w:t>
      </w:r>
      <w:r w:rsidRPr="00DE7C15">
        <w:t xml:space="preserve"> (recop.) de Tasas Judiciales, en su forma modificada, se modificó en varias ocasiones durante el período examinado; entre otras cosas, se modificaron los criterios de exención. Por ejemplo, la Ley núm. </w:t>
      </w:r>
      <w:r w:rsidRPr="00B9592E">
        <w:t>297</w:t>
      </w:r>
      <w:r w:rsidRPr="00DE7C15">
        <w:t>/</w:t>
      </w:r>
      <w:r w:rsidRPr="00B9592E">
        <w:t>2021</w:t>
      </w:r>
      <w:r w:rsidRPr="00DE7C15">
        <w:t xml:space="preserve"> (recop.) de Indemnización Única a las Personas Esterilizadas en Contravención de la Ley y de Modificación de Determinadas Leyes Conexas, hizo extensiva la exención de las tasas judiciales a los casos relacionados con la indemnización para las personas esterilizadas en contravención de la ley, con efecto a partir del </w:t>
      </w:r>
      <w:r w:rsidRPr="00B9592E">
        <w:t>1</w:t>
      </w:r>
      <w:r w:rsidRPr="00DE7C15">
        <w:t xml:space="preserve"> de enero de </w:t>
      </w:r>
      <w:r w:rsidRPr="00B9592E">
        <w:t>2022</w:t>
      </w:r>
      <w:r w:rsidRPr="00DE7C15">
        <w:t xml:space="preserve">. Además, la modificación de la Ley núm. </w:t>
      </w:r>
      <w:r w:rsidRPr="00B9592E">
        <w:t>85</w:t>
      </w:r>
      <w:r w:rsidRPr="00DE7C15">
        <w:t>/</w:t>
      </w:r>
      <w:r w:rsidRPr="00B9592E">
        <w:t>1996</w:t>
      </w:r>
      <w:r w:rsidRPr="00DE7C15">
        <w:t xml:space="preserve"> (recop.), de Ejercicio de la Abogacía, en su forma modificada (Ley núm. </w:t>
      </w:r>
      <w:r w:rsidRPr="00B9592E">
        <w:t>258</w:t>
      </w:r>
      <w:r w:rsidRPr="00DE7C15">
        <w:t>/</w:t>
      </w:r>
      <w:r w:rsidRPr="00B9592E">
        <w:t>2017</w:t>
      </w:r>
      <w:r w:rsidRPr="00DE7C15">
        <w:t xml:space="preserve"> (recop.)), en vigor desde el </w:t>
      </w:r>
      <w:r w:rsidRPr="00B9592E">
        <w:t>1</w:t>
      </w:r>
      <w:r w:rsidRPr="00DE7C15">
        <w:t xml:space="preserve"> de julio de </w:t>
      </w:r>
      <w:r w:rsidRPr="00B9592E">
        <w:t>2018</w:t>
      </w:r>
      <w:r w:rsidRPr="00DE7C15">
        <w:t xml:space="preserve">, complementó significativamente el sistema de asistencia letrada regulado en los códigos procesales. La Ley de Ejercicio de la Abogacía establece el derecho de toda persona que no reúna las condiciones para la designación de abogado </w:t>
      </w:r>
      <w:r w:rsidRPr="00DE7C15">
        <w:lastRenderedPageBreak/>
        <w:t xml:space="preserve">por el tribunal, o que no pueda obtener servicios jurídicos de otro modo, a que el Colegio de Abogados checo designe a un abogado para que le preste </w:t>
      </w:r>
      <w:proofErr w:type="gramStart"/>
      <w:r w:rsidRPr="00DE7C15">
        <w:t>asesoramiento jurídico o servicios jurídicos</w:t>
      </w:r>
      <w:proofErr w:type="gramEnd"/>
      <w:r w:rsidRPr="00DE7C15">
        <w:t>, previa petición.</w:t>
      </w:r>
    </w:p>
    <w:p w14:paraId="596C2E6C" w14:textId="5806DDD6" w:rsidR="00554041" w:rsidRPr="00DE7C15" w:rsidRDefault="00CE28E1" w:rsidP="00D17B5B">
      <w:pPr>
        <w:pStyle w:val="SingleTxt"/>
        <w:numPr>
          <w:ilvl w:val="0"/>
          <w:numId w:val="36"/>
        </w:numPr>
        <w:ind w:left="1267"/>
      </w:pPr>
      <w:r w:rsidRPr="00DE7C15">
        <w:t xml:space="preserve">El Ómbudsman colabora con la alianza de ONG </w:t>
      </w:r>
      <w:r w:rsidRPr="00B9592E">
        <w:rPr>
          <w:i/>
          <w:iCs/>
        </w:rPr>
        <w:t>ad honorem</w:t>
      </w:r>
      <w:r w:rsidRPr="00DE7C15">
        <w:t xml:space="preserve"> para la prestación de asistencia letrada gratuita.</w:t>
      </w:r>
    </w:p>
    <w:p w14:paraId="2CDD4AC9" w14:textId="40276B77" w:rsidR="00554041" w:rsidRPr="00DE7C15" w:rsidRDefault="00CE28E1" w:rsidP="00D17B5B">
      <w:pPr>
        <w:pStyle w:val="SingleTxt"/>
        <w:numPr>
          <w:ilvl w:val="0"/>
          <w:numId w:val="36"/>
        </w:numPr>
        <w:ind w:left="1267"/>
      </w:pPr>
      <w:r w:rsidRPr="00DE7C15">
        <w:t xml:space="preserve">Entre </w:t>
      </w:r>
      <w:r w:rsidRPr="00B9592E">
        <w:t>2014</w:t>
      </w:r>
      <w:r w:rsidRPr="00DE7C15">
        <w:t xml:space="preserve"> y </w:t>
      </w:r>
      <w:r w:rsidRPr="00B9592E">
        <w:t>2021</w:t>
      </w:r>
      <w:r w:rsidRPr="00DE7C15">
        <w:t xml:space="preserve">, el Ómbudsman recibió unas </w:t>
      </w:r>
      <w:r w:rsidRPr="00B9592E">
        <w:t>3</w:t>
      </w:r>
      <w:r w:rsidRPr="00DE7C15">
        <w:t>.</w:t>
      </w:r>
      <w:r w:rsidRPr="00B9592E">
        <w:t>046</w:t>
      </w:r>
      <w:r w:rsidRPr="00DE7C15">
        <w:t xml:space="preserve"> denuncias de vulneración del derecho a la igualdad de trato, de las que </w:t>
      </w:r>
      <w:r w:rsidRPr="00B9592E">
        <w:t>191</w:t>
      </w:r>
      <w:r w:rsidRPr="00DE7C15">
        <w:t xml:space="preserve"> eran por discriminación de género (</w:t>
      </w:r>
      <w:r w:rsidRPr="00B9592E">
        <w:t>38</w:t>
      </w:r>
      <w:r w:rsidRPr="00DE7C15">
        <w:t xml:space="preserve"> en </w:t>
      </w:r>
      <w:r w:rsidRPr="00B9592E">
        <w:t>2014</w:t>
      </w:r>
      <w:r w:rsidRPr="00DE7C15">
        <w:t xml:space="preserve">, </w:t>
      </w:r>
      <w:r w:rsidRPr="00B9592E">
        <w:t>53</w:t>
      </w:r>
      <w:r w:rsidRPr="00DE7C15">
        <w:t xml:space="preserve"> en </w:t>
      </w:r>
      <w:r w:rsidRPr="00B9592E">
        <w:t>2015</w:t>
      </w:r>
      <w:r w:rsidRPr="00DE7C15">
        <w:t xml:space="preserve">, </w:t>
      </w:r>
      <w:r w:rsidRPr="00B9592E">
        <w:t>55</w:t>
      </w:r>
      <w:r w:rsidRPr="00DE7C15">
        <w:t xml:space="preserve"> en </w:t>
      </w:r>
      <w:r w:rsidRPr="00B9592E">
        <w:t>2016</w:t>
      </w:r>
      <w:r w:rsidRPr="00DE7C15">
        <w:t xml:space="preserve">, </w:t>
      </w:r>
      <w:r w:rsidRPr="00B9592E">
        <w:t>48</w:t>
      </w:r>
      <w:r w:rsidRPr="00DE7C15">
        <w:t xml:space="preserve"> en </w:t>
      </w:r>
      <w:r w:rsidRPr="00B9592E">
        <w:t>2017</w:t>
      </w:r>
      <w:r w:rsidRPr="00DE7C15">
        <w:t xml:space="preserve">, </w:t>
      </w:r>
      <w:r w:rsidRPr="00B9592E">
        <w:t>39</w:t>
      </w:r>
      <w:r w:rsidRPr="00DE7C15">
        <w:t xml:space="preserve"> en </w:t>
      </w:r>
      <w:r w:rsidRPr="00B9592E">
        <w:t>2018</w:t>
      </w:r>
      <w:r w:rsidRPr="00DE7C15">
        <w:t xml:space="preserve">, </w:t>
      </w:r>
      <w:r w:rsidRPr="00B9592E">
        <w:t>38</w:t>
      </w:r>
      <w:r w:rsidRPr="00DE7C15">
        <w:t xml:space="preserve"> en </w:t>
      </w:r>
      <w:r w:rsidRPr="00B9592E">
        <w:t>2019</w:t>
      </w:r>
      <w:r w:rsidRPr="00DE7C15">
        <w:t xml:space="preserve">, </w:t>
      </w:r>
      <w:r w:rsidRPr="00B9592E">
        <w:t>37</w:t>
      </w:r>
      <w:r w:rsidRPr="00DE7C15">
        <w:t xml:space="preserve"> en </w:t>
      </w:r>
      <w:r w:rsidRPr="00B9592E">
        <w:t>2020</w:t>
      </w:r>
      <w:r w:rsidRPr="00DE7C15">
        <w:t xml:space="preserve"> y </w:t>
      </w:r>
      <w:r w:rsidRPr="00B9592E">
        <w:t>26</w:t>
      </w:r>
      <w:r w:rsidRPr="00DE7C15">
        <w:t xml:space="preserve"> en </w:t>
      </w:r>
      <w:r w:rsidRPr="00B9592E">
        <w:t>2021</w:t>
      </w:r>
      <w:r w:rsidRPr="00DE7C15">
        <w:t>). El Ómbudsman tuvo ante sí, entre otros, casos de discriminación en el acceso a la vivienda o los servicios, la atención de la salud, la educación y el empleo. En cuanto a los asuntos de índole laboral, las denuncias comprendieron casos de acoso sexual en el lugar de trabajo, despidos por paternidad, reestructuración de puestos en la función pública o despidos durante el período de prueba a raíz de la notificación de embarazo al empleador. También hubo denuncias por discriminación en la vivienda. Las conclusiones de estas y otras denuncias por discriminación se pueden consultar en el sitio web del Ómbudsman.</w:t>
      </w:r>
    </w:p>
    <w:p w14:paraId="4C1A03C8" w14:textId="3616673C" w:rsidR="00CE28E1" w:rsidRPr="00DE7C15" w:rsidRDefault="00CE28E1" w:rsidP="00D17B5B">
      <w:pPr>
        <w:pStyle w:val="SingleTxt"/>
        <w:numPr>
          <w:ilvl w:val="0"/>
          <w:numId w:val="36"/>
        </w:numPr>
        <w:ind w:left="1267"/>
      </w:pPr>
      <w:r w:rsidRPr="00DE7C15">
        <w:t xml:space="preserve">Los órganos de inspección de trabajo están autorizados para controlar que los empleadores individuales respeten la prohibición de la discriminación y de la desigualdad de trato. Esos órganos recibieron </w:t>
      </w:r>
      <w:r w:rsidRPr="00B9592E">
        <w:t>318</w:t>
      </w:r>
      <w:r w:rsidRPr="00DE7C15">
        <w:t xml:space="preserve"> denuncias en </w:t>
      </w:r>
      <w:r w:rsidRPr="00B9592E">
        <w:t>2016</w:t>
      </w:r>
      <w:r w:rsidRPr="00DE7C15">
        <w:t xml:space="preserve">, </w:t>
      </w:r>
      <w:r w:rsidRPr="00B9592E">
        <w:t>298</w:t>
      </w:r>
      <w:r w:rsidRPr="00DE7C15">
        <w:t xml:space="preserve"> en </w:t>
      </w:r>
      <w:r w:rsidRPr="00B9592E">
        <w:t>2017</w:t>
      </w:r>
      <w:r w:rsidRPr="00DE7C15">
        <w:t xml:space="preserve">, </w:t>
      </w:r>
      <w:r w:rsidRPr="00B9592E">
        <w:t>286</w:t>
      </w:r>
      <w:r w:rsidRPr="00DE7C15">
        <w:t xml:space="preserve"> en </w:t>
      </w:r>
      <w:r w:rsidRPr="00B9592E">
        <w:t>2018</w:t>
      </w:r>
      <w:r w:rsidRPr="00DE7C15">
        <w:t xml:space="preserve">, </w:t>
      </w:r>
      <w:r w:rsidRPr="00B9592E">
        <w:t>99</w:t>
      </w:r>
      <w:r w:rsidRPr="00DE7C15">
        <w:t xml:space="preserve"> en </w:t>
      </w:r>
      <w:r w:rsidRPr="00B9592E">
        <w:t>2019</w:t>
      </w:r>
      <w:r w:rsidRPr="00DE7C15">
        <w:t xml:space="preserve">, </w:t>
      </w:r>
      <w:r w:rsidRPr="00B9592E">
        <w:t>65</w:t>
      </w:r>
      <w:r w:rsidRPr="00DE7C15">
        <w:t xml:space="preserve"> en </w:t>
      </w:r>
      <w:r w:rsidRPr="00B9592E">
        <w:t>2020</w:t>
      </w:r>
      <w:r w:rsidRPr="00DE7C15">
        <w:t xml:space="preserve">, </w:t>
      </w:r>
      <w:r w:rsidRPr="00B9592E">
        <w:t>257</w:t>
      </w:r>
      <w:r w:rsidRPr="00DE7C15">
        <w:t xml:space="preserve"> en </w:t>
      </w:r>
      <w:r w:rsidRPr="00B9592E">
        <w:t>2021</w:t>
      </w:r>
      <w:r w:rsidRPr="00DE7C15">
        <w:t xml:space="preserve"> y </w:t>
      </w:r>
      <w:r w:rsidRPr="00B9592E">
        <w:t>276</w:t>
      </w:r>
      <w:r w:rsidRPr="00DE7C15">
        <w:t xml:space="preserve"> en </w:t>
      </w:r>
      <w:r w:rsidRPr="00B9592E">
        <w:t>2022</w:t>
      </w:r>
      <w:r w:rsidRPr="00DE7C15">
        <w:t xml:space="preserve">. Por lo que respecta a la igualdad de trato y la no discriminación, las denuncias que con mayor frecuencia recibe la inspección tienen que ver con el </w:t>
      </w:r>
      <w:r w:rsidR="009106EF" w:rsidRPr="00DE7C15">
        <w:t>“</w:t>
      </w:r>
      <w:r w:rsidRPr="00DE7C15">
        <w:t>acoso</w:t>
      </w:r>
      <w:r w:rsidR="009106EF" w:rsidRPr="00DE7C15">
        <w:t>”</w:t>
      </w:r>
      <w:r w:rsidRPr="00DE7C15">
        <w:t xml:space="preserve"> en el lugar de trabajo (acoso laboral en general o por parte de un superior) o con otras formas de conducta del empleador por las cuales no se ofrecen a los empleados unas condiciones de trabajo satisfactorias. La desigualdad de trato en ámbitos específicos, como la jornada laboral o el salario, se denuncia con menos frecuencia. Las denuncias relativas al incumplimiento de la prohibición de discriminar por uno de los motivos legalmente previstos son poco frecuentes.</w:t>
      </w:r>
    </w:p>
    <w:p w14:paraId="1D0FDB90" w14:textId="424C7536" w:rsidR="00CE28E1" w:rsidRPr="00DE7C15" w:rsidRDefault="00CE28E1" w:rsidP="00D17B5B">
      <w:pPr>
        <w:pStyle w:val="SingleTxt"/>
        <w:numPr>
          <w:ilvl w:val="0"/>
          <w:numId w:val="36"/>
        </w:numPr>
        <w:ind w:left="1267"/>
      </w:pPr>
      <w:r w:rsidRPr="00DE7C15">
        <w:t xml:space="preserve">La Oficina Estatal de Inspección de Trabajo participó en la ejecución de un proyecto sobre la igualdad de género en el mercado laboral con especial atención a la (des)igual remuneración de mujeres y hombres (en lo sucesivo, </w:t>
      </w:r>
      <w:r w:rsidR="009106EF" w:rsidRPr="00DE7C15">
        <w:t>“</w:t>
      </w:r>
      <w:r w:rsidRPr="00DE7C15">
        <w:t xml:space="preserve">un </w:t>
      </w:r>
      <w:r w:rsidRPr="00B9592E">
        <w:t>22</w:t>
      </w:r>
      <w:r w:rsidR="009106EF" w:rsidRPr="00DE7C15">
        <w:t> %</w:t>
      </w:r>
      <w:r w:rsidRPr="00DE7C15">
        <w:t xml:space="preserve"> a la igualdad</w:t>
      </w:r>
      <w:r w:rsidR="009106EF" w:rsidRPr="00DE7C15">
        <w:t>”</w:t>
      </w:r>
      <w:r w:rsidRPr="00DE7C15">
        <w:t xml:space="preserve">). Durante el período examinado, esa participación dio lugar a que se prestara especial atención a las auditorías sobre la igualdad de remuneración. En </w:t>
      </w:r>
      <w:r w:rsidRPr="00B9592E">
        <w:t>2021</w:t>
      </w:r>
      <w:r w:rsidRPr="00DE7C15">
        <w:t xml:space="preserve"> se detectaron </w:t>
      </w:r>
      <w:r w:rsidRPr="00B9592E">
        <w:t>5</w:t>
      </w:r>
      <w:r w:rsidRPr="00DE7C15">
        <w:t xml:space="preserve"> casos de incumplimiento de la igualdad de trato, </w:t>
      </w:r>
      <w:r w:rsidRPr="00B9592E">
        <w:t>3</w:t>
      </w:r>
      <w:r w:rsidRPr="00DE7C15">
        <w:t xml:space="preserve"> de discriminación y </w:t>
      </w:r>
      <w:r w:rsidRPr="00B9592E">
        <w:t>1</w:t>
      </w:r>
      <w:r w:rsidRPr="00DE7C15">
        <w:t xml:space="preserve"> de desigualdad de remuneración. En </w:t>
      </w:r>
      <w:r w:rsidRPr="00B9592E">
        <w:t>2022</w:t>
      </w:r>
      <w:r w:rsidRPr="00DE7C15">
        <w:t xml:space="preserve">, se detectaron </w:t>
      </w:r>
      <w:r w:rsidRPr="00B9592E">
        <w:t>15</w:t>
      </w:r>
      <w:r w:rsidRPr="00DE7C15">
        <w:t xml:space="preserve"> casos relacionados con la desigualdad de trato, la discriminación o la desigualdad de remuneración. En </w:t>
      </w:r>
      <w:r w:rsidRPr="00B9592E">
        <w:t>11</w:t>
      </w:r>
      <w:r w:rsidRPr="00DE7C15">
        <w:t xml:space="preserve"> casos, se descubrió que se había incumplido la obligación de garantizar la igualdad de trato de los trabajadores. En </w:t>
      </w:r>
      <w:r w:rsidRPr="00B9592E">
        <w:t>2</w:t>
      </w:r>
      <w:r w:rsidRPr="00DE7C15">
        <w:t xml:space="preserve"> casos, el empleador incumplió la prohibición de discriminar. En otros </w:t>
      </w:r>
      <w:r w:rsidRPr="00B9592E">
        <w:t>2</w:t>
      </w:r>
      <w:r w:rsidRPr="00DE7C15">
        <w:t>, no se garantizó la igualdad de remuneración. Debido a la falta de capacidad para detectar la desigualdad de remuneración y determinar lo que es trabajo igual y trabajo de igual valor, la Oficina Estatal de Inspección de Trabajo, en colaboración con el Ministerio de Trabajo y Asuntos Sociales, puso a prueba la herramienta analítica Logib en las actividades de supervisión. Se está elaborando una metodología para las auditorías sobre la igualdad de remuneración, centrada en lograr la igualdad de remuneración entre mujeres y hombres.</w:t>
      </w:r>
    </w:p>
    <w:p w14:paraId="0466D6DE" w14:textId="716668CB" w:rsidR="00CE28E1" w:rsidRPr="00DE7C15" w:rsidRDefault="00CE28E1" w:rsidP="00D17B5B">
      <w:pPr>
        <w:pStyle w:val="SingleTxt"/>
        <w:numPr>
          <w:ilvl w:val="0"/>
          <w:numId w:val="36"/>
        </w:numPr>
        <w:ind w:left="1267"/>
      </w:pPr>
      <w:r w:rsidRPr="00DE7C15">
        <w:t>Los órganos de inspección de trabajo no solo vigilan la igualdad de trato y la no discriminación en el lugar de trabajo, sino que además prestan asesoramiento para crear conciencia sobre esas cuestiones. La Oficina Estatal de Inspección de Trabajo también sigue impartiendo capacitación a los inspectores especializados a los que se ha confiado ese ámbito de la inspección.</w:t>
      </w:r>
    </w:p>
    <w:p w14:paraId="069BCA4A" w14:textId="77777777" w:rsidR="009106EF" w:rsidRPr="00DE7C15" w:rsidRDefault="009106EF" w:rsidP="00CE28E1">
      <w:pPr>
        <w:pStyle w:val="SingleTxt"/>
        <w:spacing w:after="0" w:line="120" w:lineRule="exact"/>
        <w:rPr>
          <w:sz w:val="10"/>
        </w:rPr>
      </w:pPr>
    </w:p>
    <w:p w14:paraId="21AC34D4" w14:textId="77777777" w:rsidR="009106EF" w:rsidRPr="00DE7C15" w:rsidRDefault="009106EF" w:rsidP="00CE28E1">
      <w:pPr>
        <w:pStyle w:val="SingleTxt"/>
        <w:spacing w:after="0" w:line="120" w:lineRule="exact"/>
        <w:rPr>
          <w:sz w:val="10"/>
        </w:rPr>
      </w:pPr>
    </w:p>
    <w:p w14:paraId="747C0AC0" w14:textId="77777777" w:rsidR="009106EF" w:rsidRPr="00DE7C15" w:rsidRDefault="00CE28E1" w:rsidP="00CE2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lastRenderedPageBreak/>
        <w:tab/>
      </w:r>
      <w:r w:rsidRPr="00B9592E">
        <w:tab/>
        <w:t>Agenda sobre las mujeres y la paz y la seguridad</w:t>
      </w:r>
    </w:p>
    <w:p w14:paraId="62017B4D" w14:textId="6673687A" w:rsidR="00CE28E1" w:rsidRPr="00DE7C15" w:rsidRDefault="00CE28E1" w:rsidP="00CE28E1">
      <w:pPr>
        <w:pStyle w:val="SingleTxt"/>
        <w:spacing w:after="0" w:line="120" w:lineRule="exact"/>
        <w:rPr>
          <w:sz w:val="10"/>
        </w:rPr>
      </w:pPr>
    </w:p>
    <w:p w14:paraId="65923A9D" w14:textId="77777777" w:rsidR="00CE28E1" w:rsidRPr="00DE7C15" w:rsidRDefault="00CE28E1" w:rsidP="00CE28E1">
      <w:pPr>
        <w:pStyle w:val="SingleTxt"/>
        <w:spacing w:after="0" w:line="120" w:lineRule="exact"/>
        <w:rPr>
          <w:sz w:val="10"/>
        </w:rPr>
      </w:pPr>
    </w:p>
    <w:p w14:paraId="2A821584" w14:textId="0A8A297F" w:rsidR="00554041" w:rsidRPr="00DE7C15" w:rsidRDefault="00CE28E1" w:rsidP="00D17B5B">
      <w:pPr>
        <w:pStyle w:val="SingleTxt"/>
        <w:numPr>
          <w:ilvl w:val="0"/>
          <w:numId w:val="36"/>
        </w:numPr>
        <w:ind w:left="1267"/>
      </w:pPr>
      <w:r w:rsidRPr="00DE7C15">
        <w:t xml:space="preserve">El Plan de Acción relativo a la Agenda sobre las Mujeres y la Paz y la Seguridad para </w:t>
      </w:r>
      <w:r w:rsidRPr="00B9592E">
        <w:t>2017</w:t>
      </w:r>
      <w:r w:rsidRPr="00DE7C15">
        <w:t>-</w:t>
      </w:r>
      <w:r w:rsidRPr="00B9592E">
        <w:t>2020</w:t>
      </w:r>
      <w:r w:rsidRPr="00DE7C15">
        <w:t xml:space="preserve"> se aprobó mediante la resolución del Gobierno núm. </w:t>
      </w:r>
      <w:r w:rsidRPr="00B9592E">
        <w:t>12</w:t>
      </w:r>
      <w:r w:rsidRPr="00DE7C15">
        <w:t xml:space="preserve"> de </w:t>
      </w:r>
      <w:r w:rsidRPr="00B9592E">
        <w:t>9</w:t>
      </w:r>
      <w:r w:rsidRPr="00DE7C15">
        <w:t xml:space="preserve"> de enero de </w:t>
      </w:r>
      <w:r w:rsidRPr="00B9592E">
        <w:t>2017</w:t>
      </w:r>
      <w:r w:rsidRPr="00DE7C15">
        <w:t xml:space="preserve">. El plan de acción estaba estrechamente vinculado a la Estrategia </w:t>
      </w:r>
      <w:r w:rsidRPr="00B9592E">
        <w:t>2014</w:t>
      </w:r>
      <w:r w:rsidRPr="00DE7C15">
        <w:t>-</w:t>
      </w:r>
      <w:r w:rsidRPr="00B9592E">
        <w:t>2020</w:t>
      </w:r>
      <w:r w:rsidRPr="00DE7C15">
        <w:t>, de la que era uno de los documentos de aplicación.</w:t>
      </w:r>
    </w:p>
    <w:p w14:paraId="62361B6D" w14:textId="7D6A950F" w:rsidR="00554041" w:rsidRPr="00DE7C15" w:rsidRDefault="00CE28E1" w:rsidP="00D17B5B">
      <w:pPr>
        <w:pStyle w:val="SingleTxt"/>
        <w:numPr>
          <w:ilvl w:val="0"/>
          <w:numId w:val="36"/>
        </w:numPr>
        <w:ind w:left="1267"/>
      </w:pPr>
      <w:r w:rsidRPr="00DE7C15">
        <w:t>La aplicación del plan de acción ha hecho posible obtener logros específicos, como el nombramiento de la primera mujer general del Ejército de la República Checa y la política de marketing sin estereotipos de género de la Universidad de Defensa, que promueve sistemáticamente oportunidades de estudio para las mujeres. También se animó a las mujeres soldados y policías a participar en misiones militares y civiles en el extranjero.</w:t>
      </w:r>
    </w:p>
    <w:p w14:paraId="4D9B86B9" w14:textId="04288B05" w:rsidR="00CE28E1" w:rsidRPr="00DE7C15" w:rsidRDefault="00CE28E1" w:rsidP="00D17B5B">
      <w:pPr>
        <w:pStyle w:val="SingleTxt"/>
        <w:numPr>
          <w:ilvl w:val="0"/>
          <w:numId w:val="36"/>
        </w:numPr>
        <w:ind w:left="1267"/>
      </w:pPr>
      <w:r w:rsidRPr="00DE7C15">
        <w:t>El Plan de Acción de la República Checa para la Aplicación de la Resolución</w:t>
      </w:r>
      <w:r w:rsidR="00554041" w:rsidRPr="00DE7C15">
        <w:t> </w:t>
      </w:r>
      <w:hyperlink r:id="rId21" w:history="1">
        <w:r w:rsidRPr="00B9592E">
          <w:rPr>
            <w:rStyle w:val="Hyperlink"/>
          </w:rPr>
          <w:t>1325 (2000)</w:t>
        </w:r>
      </w:hyperlink>
      <w:r w:rsidRPr="00DE7C15">
        <w:t xml:space="preserve"> del Consejo de Seguridad de las Naciones Unidas relativa a las Mujeres y la Paz y la Seguridad y Resoluciones Conexas para </w:t>
      </w:r>
      <w:r w:rsidRPr="00B9592E">
        <w:t>2021</w:t>
      </w:r>
      <w:r w:rsidRPr="00DE7C15">
        <w:t>-</w:t>
      </w:r>
      <w:r w:rsidRPr="00B9592E">
        <w:t>2025</w:t>
      </w:r>
      <w:r w:rsidRPr="00DE7C15">
        <w:t xml:space="preserve"> (en lo sucesivo, </w:t>
      </w:r>
      <w:r w:rsidR="009106EF" w:rsidRPr="00DE7C15">
        <w:t>“</w:t>
      </w:r>
      <w:r w:rsidRPr="00DE7C15">
        <w:t xml:space="preserve">Plan de Acción relativo a la Agenda sobre las Mujeres y la Paz y la Seguridad para </w:t>
      </w:r>
      <w:r w:rsidRPr="00B9592E">
        <w:t>2021</w:t>
      </w:r>
      <w:r w:rsidRPr="00DE7C15">
        <w:t>-</w:t>
      </w:r>
      <w:r w:rsidRPr="00B9592E">
        <w:t>2025</w:t>
      </w:r>
      <w:r w:rsidR="009106EF" w:rsidRPr="00DE7C15">
        <w:t>”</w:t>
      </w:r>
      <w:r w:rsidRPr="00DE7C15">
        <w:t xml:space="preserve">) se aprobó mediante la resolución del Gobierno núm. </w:t>
      </w:r>
      <w:r w:rsidRPr="00B9592E">
        <w:t>1218</w:t>
      </w:r>
      <w:r w:rsidRPr="00DE7C15">
        <w:t xml:space="preserve"> de </w:t>
      </w:r>
      <w:r w:rsidRPr="00B9592E">
        <w:t>23</w:t>
      </w:r>
      <w:r w:rsidRPr="00DE7C15">
        <w:t xml:space="preserve"> de noviembre de </w:t>
      </w:r>
      <w:r w:rsidRPr="00B9592E">
        <w:t>2020</w:t>
      </w:r>
      <w:r w:rsidRPr="00DE7C15">
        <w:t xml:space="preserve">. Chequia se ha fijado los objetivos siguientes en el Plan de Acción relativo a la Agenda sobre las Mujeres y la Paz y la Seguridad para </w:t>
      </w:r>
      <w:r w:rsidRPr="00B9592E">
        <w:t>2021</w:t>
      </w:r>
      <w:r w:rsidRPr="00DE7C15">
        <w:t>-</w:t>
      </w:r>
      <w:r w:rsidRPr="00B9592E">
        <w:t>2025</w:t>
      </w:r>
      <w:r w:rsidRPr="00DE7C15">
        <w:t>:</w:t>
      </w:r>
    </w:p>
    <w:p w14:paraId="628C3CB3" w14:textId="5084467D" w:rsidR="00CE28E1" w:rsidRPr="00DE7C15" w:rsidRDefault="00D17B5B" w:rsidP="00D17B5B">
      <w:pPr>
        <w:pStyle w:val="SingleTxt"/>
        <w:tabs>
          <w:tab w:val="right" w:pos="1685"/>
        </w:tabs>
        <w:ind w:left="1742" w:hanging="475"/>
      </w:pPr>
      <w:r w:rsidRPr="00DE7C15">
        <w:tab/>
      </w:r>
      <w:r w:rsidR="00CE28E1" w:rsidRPr="00DE7C15">
        <w:t>•</w:t>
      </w:r>
      <w:r w:rsidR="00CE28E1" w:rsidRPr="00DE7C15">
        <w:tab/>
        <w:t>Fortalecer la participación y el liderazgo de las mujeres en todos los ámbitos relacionados con la paz y la seguridad;</w:t>
      </w:r>
    </w:p>
    <w:p w14:paraId="39018288" w14:textId="7D910532" w:rsidR="00CE28E1" w:rsidRPr="00DE7C15" w:rsidRDefault="00D17B5B" w:rsidP="00D17B5B">
      <w:pPr>
        <w:pStyle w:val="SingleTxt"/>
        <w:tabs>
          <w:tab w:val="right" w:pos="1685"/>
        </w:tabs>
        <w:ind w:left="1742" w:hanging="475"/>
      </w:pPr>
      <w:r w:rsidRPr="00DE7C15">
        <w:tab/>
      </w:r>
      <w:r w:rsidR="00CE28E1" w:rsidRPr="00DE7C15">
        <w:t>•</w:t>
      </w:r>
      <w:r w:rsidR="00CE28E1" w:rsidRPr="00DE7C15">
        <w:tab/>
        <w:t>Aumentar de manera sistemática la incorporación de la perspectiva de género en todos los ámbitos relacionados con la paz y la seguridad;</w:t>
      </w:r>
    </w:p>
    <w:p w14:paraId="09F97DA4" w14:textId="3F813C8F" w:rsidR="00CE28E1" w:rsidRPr="00DE7C15" w:rsidRDefault="00D17B5B" w:rsidP="00D17B5B">
      <w:pPr>
        <w:pStyle w:val="SingleTxt"/>
        <w:tabs>
          <w:tab w:val="right" w:pos="1685"/>
        </w:tabs>
        <w:ind w:left="1742" w:hanging="475"/>
      </w:pPr>
      <w:r w:rsidRPr="00DE7C15">
        <w:tab/>
      </w:r>
      <w:r w:rsidR="00CE28E1" w:rsidRPr="00DE7C15">
        <w:t>•</w:t>
      </w:r>
      <w:r w:rsidR="00CE28E1" w:rsidRPr="00DE7C15">
        <w:tab/>
        <w:t>Participar activamente en el fortalecimiento de la prevención de los conflictos mediante la promoción de los derechos de la mujer y la igualdad de género;</w:t>
      </w:r>
    </w:p>
    <w:p w14:paraId="4355B513" w14:textId="5BFD1B48" w:rsidR="00CE28E1" w:rsidRPr="00DE7C15" w:rsidRDefault="00D17B5B" w:rsidP="00D17B5B">
      <w:pPr>
        <w:pStyle w:val="SingleTxt"/>
        <w:tabs>
          <w:tab w:val="right" w:pos="1685"/>
        </w:tabs>
        <w:ind w:left="1742" w:hanging="475"/>
      </w:pPr>
      <w:r w:rsidRPr="00DE7C15">
        <w:tab/>
      </w:r>
      <w:r w:rsidR="00CE28E1" w:rsidRPr="00DE7C15">
        <w:t>•</w:t>
      </w:r>
      <w:r w:rsidR="00CE28E1" w:rsidRPr="00DE7C15">
        <w:tab/>
        <w:t>Prestar y apoyar una cooperación para el desarrollo y la transformación y una ayuda humanitaria adecuadas que den respuesta a las necesidades de las mujeres y las niñas.</w:t>
      </w:r>
    </w:p>
    <w:p w14:paraId="4A107218" w14:textId="229656B4" w:rsidR="00CE28E1" w:rsidRPr="00DE7C15" w:rsidRDefault="00CE28E1" w:rsidP="006C1BAD">
      <w:pPr>
        <w:pStyle w:val="SingleTxt"/>
        <w:numPr>
          <w:ilvl w:val="0"/>
          <w:numId w:val="36"/>
        </w:numPr>
        <w:ind w:left="1267"/>
      </w:pPr>
      <w:r w:rsidRPr="00DE7C15">
        <w:t xml:space="preserve">El Plan de Acción relativo a la Agenda sobre las Mujeres y la Paz y la Seguridad para </w:t>
      </w:r>
      <w:r w:rsidRPr="00B9592E">
        <w:t>2021</w:t>
      </w:r>
      <w:r w:rsidRPr="00DE7C15">
        <w:t>-</w:t>
      </w:r>
      <w:r w:rsidRPr="00B9592E">
        <w:t>2025</w:t>
      </w:r>
      <w:r w:rsidRPr="00DE7C15">
        <w:t xml:space="preserve"> contiene medidas específicas conducentes al logro de esos objetivos. Además de ese Plan, el Gobierno aprobó la creación de un grupo de trabajo interministerial sobre la agenda sobre las mujeres y la paz y la seguridad que venía funcionando de manera informal.</w:t>
      </w:r>
    </w:p>
    <w:p w14:paraId="73F5D48A" w14:textId="483DF183" w:rsidR="00CE28E1" w:rsidRPr="00DE7C15" w:rsidRDefault="00CE28E1" w:rsidP="006C1BAD">
      <w:pPr>
        <w:pStyle w:val="SingleTxt"/>
        <w:numPr>
          <w:ilvl w:val="0"/>
          <w:numId w:val="36"/>
        </w:numPr>
        <w:ind w:left="1267"/>
      </w:pPr>
      <w:r w:rsidRPr="00DE7C15">
        <w:t xml:space="preserve">El Ministerio de Defensa tiene su propio plan de acción relativo a la agenda sobre las mujeres y la paz y la seguridad, adoptado con ocasión del </w:t>
      </w:r>
      <w:r w:rsidRPr="00B9592E">
        <w:t>15</w:t>
      </w:r>
      <w:r w:rsidRPr="00DE7C15">
        <w:t xml:space="preserve">º aniversario de la aprobación de la resolución </w:t>
      </w:r>
      <w:hyperlink r:id="rId22" w:history="1">
        <w:r w:rsidRPr="00B9592E">
          <w:rPr>
            <w:rStyle w:val="Hyperlink"/>
          </w:rPr>
          <w:t>1325 (2000)</w:t>
        </w:r>
      </w:hyperlink>
      <w:r w:rsidRPr="00DE7C15">
        <w:t xml:space="preserve"> en </w:t>
      </w:r>
      <w:r w:rsidRPr="00B9592E">
        <w:t>2015</w:t>
      </w:r>
      <w:r w:rsidRPr="00DE7C15">
        <w:t>.</w:t>
      </w:r>
    </w:p>
    <w:p w14:paraId="55B5604F" w14:textId="77777777" w:rsidR="009106EF" w:rsidRPr="00DE7C15" w:rsidRDefault="009106EF" w:rsidP="00CE28E1">
      <w:pPr>
        <w:pStyle w:val="SingleTxt"/>
        <w:spacing w:after="0" w:line="120" w:lineRule="exact"/>
        <w:rPr>
          <w:sz w:val="10"/>
        </w:rPr>
      </w:pPr>
    </w:p>
    <w:p w14:paraId="2A3C9A95" w14:textId="77777777" w:rsidR="009106EF" w:rsidRPr="00DE7C15" w:rsidRDefault="009106EF" w:rsidP="00CE28E1">
      <w:pPr>
        <w:pStyle w:val="SingleTxt"/>
        <w:spacing w:after="0" w:line="120" w:lineRule="exact"/>
        <w:rPr>
          <w:sz w:val="10"/>
        </w:rPr>
      </w:pPr>
    </w:p>
    <w:p w14:paraId="77E95892" w14:textId="77777777" w:rsidR="009106EF" w:rsidRPr="00DE7C15" w:rsidRDefault="00CE28E1" w:rsidP="00CE2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Medidas de política exterior</w:t>
      </w:r>
    </w:p>
    <w:p w14:paraId="4AE0D61B" w14:textId="7202FE79" w:rsidR="00CE28E1" w:rsidRPr="00DE7C15" w:rsidRDefault="00CE28E1" w:rsidP="00CE28E1">
      <w:pPr>
        <w:pStyle w:val="SingleTxt"/>
        <w:spacing w:after="0" w:line="120" w:lineRule="exact"/>
        <w:rPr>
          <w:sz w:val="10"/>
        </w:rPr>
      </w:pPr>
    </w:p>
    <w:p w14:paraId="64AA6A87" w14:textId="77777777" w:rsidR="00CE28E1" w:rsidRPr="00DE7C15" w:rsidRDefault="00CE28E1" w:rsidP="00CE28E1">
      <w:pPr>
        <w:pStyle w:val="SingleTxt"/>
        <w:spacing w:after="0" w:line="120" w:lineRule="exact"/>
        <w:rPr>
          <w:sz w:val="10"/>
        </w:rPr>
      </w:pPr>
    </w:p>
    <w:p w14:paraId="27F709ED" w14:textId="23E1EFB6" w:rsidR="00CE28E1" w:rsidRPr="00DE7C15" w:rsidRDefault="00CE28E1" w:rsidP="006C1BAD">
      <w:pPr>
        <w:pStyle w:val="SingleTxt"/>
        <w:numPr>
          <w:ilvl w:val="0"/>
          <w:numId w:val="36"/>
        </w:numPr>
        <w:ind w:left="1267"/>
      </w:pPr>
      <w:r w:rsidRPr="00DE7C15">
        <w:t>La protección de los derechos humanos, incluidos los derechos de las mujeres y las niñas, sigue siendo el objetivo central de la política exterior checa. En consonancia con el Concepto de Política Exterior y el Concepto para la Promoción de los Derechos Humanos y la Cooperación Transicional, Chequia procura fortalecer la posición de la mujer en la sociedad, promueve la igualdad de oportunidades entre mujeres y hombres y denuncia activamente la violencia contra las mujeres y las niñas, incluida la violencia sexual en los conflictos armados, tanto en las reuniones de las Naciones Unidas como en el Consejo de Europa y en otras organizaciones internacionales.</w:t>
      </w:r>
    </w:p>
    <w:p w14:paraId="4B449C91" w14:textId="5FEA364C" w:rsidR="00CE28E1" w:rsidRPr="00DE7C15" w:rsidRDefault="00CE28E1" w:rsidP="006C1BAD">
      <w:pPr>
        <w:pStyle w:val="SingleTxt"/>
        <w:numPr>
          <w:ilvl w:val="0"/>
          <w:numId w:val="36"/>
        </w:numPr>
        <w:ind w:left="1267"/>
      </w:pPr>
      <w:r w:rsidRPr="00DE7C15">
        <w:lastRenderedPageBreak/>
        <w:t xml:space="preserve">Como miembro del Consejo de Derechos Humanos de las Naciones Unidas, Chequia promueve activamente los derechos de las mujeres y las niñas, en particular en cuestiones relacionadas con la participación de la mujer en la vida política y pública. Desde </w:t>
      </w:r>
      <w:r w:rsidRPr="00B9592E">
        <w:t>2013</w:t>
      </w:r>
      <w:r w:rsidRPr="00DE7C15">
        <w:t xml:space="preserve"> copatrocina una resolución dirigida a la participación en condiciones de igualdad en la vida política y pública, incluido el fortalecimiento de la participación de las mujeres y las niñas (la resolución fue propuesta por última vez en septiembre de </w:t>
      </w:r>
      <w:r w:rsidRPr="00B9592E">
        <w:t>2021</w:t>
      </w:r>
      <w:r w:rsidRPr="00DE7C15">
        <w:t>). En el marco del examen periódico universal del Consejo de Derechos Humanos, Chequia ha formulado, entre otras cosas, recomendaciones centradas en los abusos sexuales y la trata de mujeres, la discriminación de género, la erradicación de la clitoridectomía y la lucha contra la violencia sexual y de género, incluida la violencia doméstica.</w:t>
      </w:r>
    </w:p>
    <w:p w14:paraId="22374DDB" w14:textId="34D4B298" w:rsidR="00CE28E1" w:rsidRPr="00DE7C15" w:rsidRDefault="00CE28E1" w:rsidP="006C1BAD">
      <w:pPr>
        <w:pStyle w:val="SingleTxt"/>
        <w:numPr>
          <w:ilvl w:val="0"/>
          <w:numId w:val="36"/>
        </w:numPr>
        <w:ind w:left="1267"/>
      </w:pPr>
      <w:r w:rsidRPr="00DE7C15">
        <w:t xml:space="preserve">El Departamento de Derechos Humanos y Política de Transformación del Ministerio de Relaciones Exteriores supervisa el Programa de Subvenciones para una Cooperación Transformadora, en cuyo marco se ejecutan proyectos para educar y aumentar la sensibilidad hacia los derechos humanos y apoyar los procesos de democratización y a la sociedad civil en todo el mundo. La igualdad de género se incorpora en las etapas de definición y evaluación/selección de proyectos como prioridad horizontal en todos los proyectos que se ejecutan. De conformidad con la Estrategia de Cooperación para el Desarrollo de la República Checa para </w:t>
      </w:r>
      <w:r w:rsidRPr="00B9592E">
        <w:t>2018</w:t>
      </w:r>
      <w:r w:rsidRPr="00DE7C15">
        <w:t>-</w:t>
      </w:r>
      <w:r w:rsidRPr="00B9592E">
        <w:t>2030</w:t>
      </w:r>
      <w:r w:rsidRPr="00DE7C15">
        <w:t xml:space="preserve">, se incorporan criterios transversales, incluida la igualdad de género, en los programas de cooperación con todos los países prioritarios de la cooperación bilateral para el desarrollo y en los formularios de identificación de todos los programas y proyectos de desarrollo. El cumplimiento de esos criterios se evalúa continuamente en el marco del seguimiento y la evaluación de los programas y proyectos de cooperación para el desarrollo y ayuda humanitaria. En enero de </w:t>
      </w:r>
      <w:r w:rsidRPr="00B9592E">
        <w:t>2018</w:t>
      </w:r>
      <w:r w:rsidRPr="00DE7C15">
        <w:t>, el Ministerio de Relaciones Exteriores certificó la Metodología para la Evaluación de los Principios Transversales de la Cooperación Checa para el Desarrollo, que incluía el principio transversal de la igualdad de género. La organización INESAN elaboró la metodología en el marco del proyecto TAČR con el fin de que sirviera de base en la determinación, la formulación y el seguimiento de los proyectos.</w:t>
      </w:r>
    </w:p>
    <w:p w14:paraId="7EF06B47" w14:textId="410EE53E" w:rsidR="00554041" w:rsidRPr="00DE7C15" w:rsidRDefault="00CE28E1" w:rsidP="006C1BAD">
      <w:pPr>
        <w:pStyle w:val="SingleTxt"/>
        <w:numPr>
          <w:ilvl w:val="0"/>
          <w:numId w:val="36"/>
        </w:numPr>
        <w:ind w:left="1267"/>
      </w:pPr>
      <w:r w:rsidRPr="00DE7C15">
        <w:t xml:space="preserve">La igualdad de género es una prioridad transversal (horizontal) de la ayuda humanitaria de conformidad con las prioridades transversales establecidas en la Estrategia de Cooperación para el Desarrollo de la República Checa para </w:t>
      </w:r>
      <w:r w:rsidRPr="00B9592E">
        <w:t>2018</w:t>
      </w:r>
      <w:r w:rsidRPr="00DE7C15">
        <w:t>-</w:t>
      </w:r>
      <w:r w:rsidRPr="00B9592E">
        <w:t>2030</w:t>
      </w:r>
      <w:r w:rsidRPr="00DE7C15">
        <w:t>. Los informes provisionales y finales, así como las actividades de seguimiento y evaluación de los proyectos, sirven de base para determinar en qué medida se cumple la prioridad. Algunos proyectos humanitarios atienden específicamente a las necesidades de grupos especialmente vulnerables, entre ellos las mujeres. Cabe mencionar entre las actividades respaldadas las destinadas a prevenir la violencia de motivación sexual y el tratamiento de las consecuencias sociales y de salud de sus manifestaciones; proporcionar protección y medios de subsistencia a las mujeres desplazadas y a las madres solteras; asegurar el acceso de las adolescentes a la educación, así como protección frente a la violencia; y prestar atención sanitaria y nutricional a las mujeres embarazadas y las niñas menores de edad. Esos proyectos se financian mediante la concesión de subvenciones a ONG checas y donaciones en efectivo a programas pertinentes de las organizaciones humanitarias internacionales competentes, en particular el UNICEF.</w:t>
      </w:r>
    </w:p>
    <w:p w14:paraId="6149490D" w14:textId="16016635" w:rsidR="00CE28E1" w:rsidRPr="00DE7C15" w:rsidRDefault="00CE28E1" w:rsidP="006C1BAD">
      <w:pPr>
        <w:pStyle w:val="SingleTxt"/>
        <w:numPr>
          <w:ilvl w:val="0"/>
          <w:numId w:val="36"/>
        </w:numPr>
        <w:ind w:left="1267"/>
      </w:pPr>
      <w:r w:rsidRPr="00DE7C15">
        <w:t xml:space="preserve">A raíz de la agresión militar de Rusia contra Ucrania, el Ministerio de Relaciones Exteriores anunció una convocatoria de solicitudes de subvención para proyectos de ayuda humanitaria bajo el título </w:t>
      </w:r>
      <w:r w:rsidR="009106EF" w:rsidRPr="00DE7C15">
        <w:t>“</w:t>
      </w:r>
      <w:r w:rsidRPr="00DE7C15">
        <w:t>Subvenciones para fines especiales destinadas a organizaciones no gubernamentales sin fines de lucro en el marco de la ayuda humanitaria</w:t>
      </w:r>
      <w:r w:rsidR="009106EF" w:rsidRPr="00DE7C15">
        <w:t>”</w:t>
      </w:r>
      <w:r w:rsidRPr="00DE7C15">
        <w:t xml:space="preserve">, convocatoria de subvenciones </w:t>
      </w:r>
      <w:r w:rsidR="009106EF" w:rsidRPr="00DE7C15">
        <w:t>“</w:t>
      </w:r>
      <w:r w:rsidRPr="00DE7C15">
        <w:t>Ayuda urgente a Ucrania</w:t>
      </w:r>
      <w:r w:rsidR="009106EF" w:rsidRPr="00DE7C15">
        <w:t>”</w:t>
      </w:r>
      <w:r w:rsidRPr="00DE7C15">
        <w:t xml:space="preserve">. Cinco proyectos que se recomendó financiar recibieron un monto total de </w:t>
      </w:r>
      <w:r w:rsidRPr="00B9592E">
        <w:t>46</w:t>
      </w:r>
      <w:r w:rsidRPr="00DE7C15">
        <w:t>.</w:t>
      </w:r>
      <w:r w:rsidRPr="00B9592E">
        <w:t>450</w:t>
      </w:r>
      <w:r w:rsidRPr="00DE7C15">
        <w:t>.</w:t>
      </w:r>
      <w:r w:rsidRPr="00B9592E">
        <w:t>000</w:t>
      </w:r>
      <w:r w:rsidRPr="00DE7C15">
        <w:t xml:space="preserve"> de coronas checas en subvenciones. Los proyectos se centraron, entre otras cosas, en la </w:t>
      </w:r>
      <w:r w:rsidRPr="00DE7C15">
        <w:lastRenderedPageBreak/>
        <w:t xml:space="preserve">asistencia psicológica y psicosocial a las víctimas de la guerra, con especial atención a las necesidades de las mujeres y los niños. En diciembre de </w:t>
      </w:r>
      <w:r w:rsidRPr="00B9592E">
        <w:t>2022</w:t>
      </w:r>
      <w:r w:rsidRPr="00DE7C15">
        <w:t>, Chequia concedió una subvención al Fondo de Población de las Naciones Unidas. El Fondo se centró en la prestación de servicios de salud materna, la creación de centros para desplazados internos y víctimas de la violencia sexual, con especial atención a la prestación de asistencia psicológica y letrada, la capacitación de profesionales de la salud, y la puesta a disposición de equipos móviles de atención de la salud sexual y reproductiva y de profesionales de asistencia psicosocial.</w:t>
      </w:r>
    </w:p>
    <w:p w14:paraId="4DF7D98A" w14:textId="77777777" w:rsidR="009106EF" w:rsidRPr="00DE7C15" w:rsidRDefault="009106EF" w:rsidP="00CE28E1">
      <w:pPr>
        <w:pStyle w:val="SingleTxt"/>
        <w:spacing w:after="0" w:line="120" w:lineRule="exact"/>
        <w:rPr>
          <w:sz w:val="10"/>
        </w:rPr>
      </w:pPr>
      <w:bookmarkStart w:id="6" w:name="_Toc397671610"/>
    </w:p>
    <w:p w14:paraId="386170C1" w14:textId="77777777" w:rsidR="009106EF" w:rsidRPr="00DE7C15" w:rsidRDefault="009106EF" w:rsidP="00CE28E1">
      <w:pPr>
        <w:pStyle w:val="SingleTxt"/>
        <w:spacing w:after="0" w:line="120" w:lineRule="exact"/>
        <w:rPr>
          <w:sz w:val="10"/>
        </w:rPr>
      </w:pPr>
    </w:p>
    <w:p w14:paraId="4DBA4328" w14:textId="77777777" w:rsidR="009106EF" w:rsidRPr="00DE7C15" w:rsidRDefault="00CE28E1" w:rsidP="00CE28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3</w:t>
      </w:r>
      <w:bookmarkEnd w:id="6"/>
    </w:p>
    <w:p w14:paraId="7DAF40FA" w14:textId="77777777" w:rsidR="009106EF" w:rsidRPr="00DE7C15" w:rsidRDefault="009106EF" w:rsidP="00CE28E1">
      <w:pPr>
        <w:pStyle w:val="SingleTxt"/>
        <w:spacing w:after="0" w:line="120" w:lineRule="exact"/>
        <w:rPr>
          <w:sz w:val="10"/>
        </w:rPr>
      </w:pPr>
      <w:bookmarkStart w:id="7" w:name="_Toc397671611"/>
    </w:p>
    <w:p w14:paraId="475CA2CB" w14:textId="77777777" w:rsidR="009106EF" w:rsidRPr="00DE7C15" w:rsidRDefault="009106EF" w:rsidP="00CE28E1">
      <w:pPr>
        <w:pStyle w:val="SingleTxt"/>
        <w:spacing w:after="0" w:line="120" w:lineRule="exact"/>
        <w:rPr>
          <w:sz w:val="10"/>
        </w:rPr>
      </w:pPr>
    </w:p>
    <w:p w14:paraId="1BFA4B31"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Garantizar los derechos humanos y las libertades fundamentales</w:t>
      </w:r>
      <w:bookmarkEnd w:id="7"/>
    </w:p>
    <w:p w14:paraId="53509C89" w14:textId="0AD80311" w:rsidR="00CE28E1" w:rsidRPr="00DE7C15" w:rsidRDefault="00CE28E1" w:rsidP="00CE28E1">
      <w:pPr>
        <w:pStyle w:val="SingleTxt"/>
        <w:spacing w:after="0" w:line="120" w:lineRule="exact"/>
        <w:rPr>
          <w:sz w:val="10"/>
        </w:rPr>
      </w:pPr>
    </w:p>
    <w:p w14:paraId="3E938F27" w14:textId="77777777" w:rsidR="00CE28E1" w:rsidRPr="00DE7C15" w:rsidRDefault="00CE28E1" w:rsidP="00CE28E1">
      <w:pPr>
        <w:pStyle w:val="SingleTxt"/>
        <w:spacing w:after="0" w:line="120" w:lineRule="exact"/>
        <w:rPr>
          <w:sz w:val="10"/>
        </w:rPr>
      </w:pPr>
    </w:p>
    <w:p w14:paraId="70BEC4D6" w14:textId="0287063B" w:rsidR="00554041" w:rsidRPr="00DE7C15" w:rsidRDefault="00CE28E1" w:rsidP="006C1BAD">
      <w:pPr>
        <w:pStyle w:val="SingleTxt"/>
        <w:numPr>
          <w:ilvl w:val="0"/>
          <w:numId w:val="36"/>
        </w:numPr>
        <w:ind w:left="1267"/>
      </w:pPr>
      <w:r w:rsidRPr="00DE7C15">
        <w:t xml:space="preserve">El Consejo Gubernamental de Derechos Humanos es un órgano consultivo del Gobierno en materia de derechos humanos. Con arreglo a sus estatutos, ocupa la Presidencia del órgano el miembro del Gobierno responsable de los derechos humanos y la igualdad de oportunidades, que actualmente es el </w:t>
      </w:r>
      <w:proofErr w:type="gramStart"/>
      <w:r w:rsidRPr="00DE7C15">
        <w:t>Primer Ministro</w:t>
      </w:r>
      <w:proofErr w:type="gramEnd"/>
      <w:r w:rsidRPr="00DE7C15">
        <w:t>. La Oficina del Gobierno asegura el funcionamiento del Consejo Gubernamental de Derechos Humanos y del Consejo Gubernamental para la Igualdad de Género.</w:t>
      </w:r>
    </w:p>
    <w:p w14:paraId="30A530A1" w14:textId="0436E705" w:rsidR="00CE28E1" w:rsidRPr="00DE7C15" w:rsidRDefault="00CE28E1" w:rsidP="006C1BAD">
      <w:pPr>
        <w:pStyle w:val="SingleTxt"/>
        <w:numPr>
          <w:ilvl w:val="0"/>
          <w:numId w:val="36"/>
        </w:numPr>
        <w:ind w:left="1267"/>
      </w:pPr>
      <w:r w:rsidRPr="00DE7C15">
        <w:t>Chequia es parte en ocho de los nueve instrumentos fundamentales de derechos humanos de las Naciones Unidas; aún no ha firmado y, por tanto, no ha ratificado, la Convención de las Naciones Unidas sobre la Protección de los Derechos de Todos los Trabajadores Migratorios y de Sus Familiares.</w:t>
      </w:r>
    </w:p>
    <w:p w14:paraId="4C47708C" w14:textId="192EE861" w:rsidR="00CE28E1" w:rsidRPr="00DE7C15" w:rsidRDefault="00CE28E1" w:rsidP="006C1BAD">
      <w:pPr>
        <w:pStyle w:val="SingleTxt"/>
        <w:numPr>
          <w:ilvl w:val="0"/>
          <w:numId w:val="36"/>
        </w:numPr>
        <w:ind w:left="1267"/>
      </w:pPr>
      <w:r w:rsidRPr="00DE7C15">
        <w:t>En el período examinado se ratificaron los siguientes tratados internacionales de derechos humanos de las Naciones Unidas:</w:t>
      </w:r>
    </w:p>
    <w:p w14:paraId="6BB57F73" w14:textId="0683F180"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La Convención Internacional para la Protección de Todas las Personas contra las Desapariciones Forzadas (firma el </w:t>
      </w:r>
      <w:r w:rsidR="00CE28E1" w:rsidRPr="00B9592E">
        <w:t>19</w:t>
      </w:r>
      <w:r w:rsidR="00CE28E1" w:rsidRPr="00DE7C15">
        <w:t xml:space="preserve"> de diciembre de </w:t>
      </w:r>
      <w:r w:rsidR="00CE28E1" w:rsidRPr="00B9592E">
        <w:t>2016</w:t>
      </w:r>
      <w:r w:rsidR="00CE28E1" w:rsidRPr="00DE7C15">
        <w:t xml:space="preserve">; ratificación el </w:t>
      </w:r>
      <w:r w:rsidR="00CE28E1" w:rsidRPr="00B9592E">
        <w:t>8</w:t>
      </w:r>
      <w:r w:rsidR="00CE28E1" w:rsidRPr="00DE7C15">
        <w:t xml:space="preserve"> de febrero de </w:t>
      </w:r>
      <w:r w:rsidR="00CE28E1" w:rsidRPr="00B9592E">
        <w:t>2017</w:t>
      </w:r>
      <w:r w:rsidR="00CE28E1" w:rsidRPr="00DE7C15">
        <w:t>);</w:t>
      </w:r>
    </w:p>
    <w:p w14:paraId="2CE761C1" w14:textId="0ED470A1"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El Protocolo Facultativo de la Convención sobre los Derechos del Niño relativo a un procedimiento de comunicaciones (firma el </w:t>
      </w:r>
      <w:r w:rsidR="00CE28E1" w:rsidRPr="00B9592E">
        <w:t>30</w:t>
      </w:r>
      <w:r w:rsidR="00CE28E1" w:rsidRPr="00DE7C15">
        <w:t xml:space="preserve"> de abril de </w:t>
      </w:r>
      <w:r w:rsidR="00CE28E1" w:rsidRPr="00B9592E">
        <w:t>2015</w:t>
      </w:r>
      <w:r w:rsidR="00CE28E1" w:rsidRPr="00DE7C15">
        <w:t xml:space="preserve">; ratificación el </w:t>
      </w:r>
      <w:r w:rsidR="00CE28E1" w:rsidRPr="00B9592E">
        <w:t>2</w:t>
      </w:r>
      <w:r w:rsidR="00CE28E1" w:rsidRPr="00DE7C15">
        <w:t xml:space="preserve"> de diciembre de </w:t>
      </w:r>
      <w:r w:rsidR="00CE28E1" w:rsidRPr="00B9592E">
        <w:t>2015</w:t>
      </w:r>
      <w:r w:rsidR="00CE28E1" w:rsidRPr="00DE7C15">
        <w:t>);</w:t>
      </w:r>
    </w:p>
    <w:p w14:paraId="41AC5C98" w14:textId="77777777" w:rsidR="00554041" w:rsidRPr="00DE7C15" w:rsidRDefault="009106EF" w:rsidP="009106EF">
      <w:pPr>
        <w:pStyle w:val="SingleTxt"/>
        <w:tabs>
          <w:tab w:val="right" w:pos="1685"/>
        </w:tabs>
        <w:ind w:left="1742" w:hanging="475"/>
      </w:pPr>
      <w:r w:rsidRPr="00DE7C15">
        <w:tab/>
      </w:r>
      <w:r w:rsidR="00CE28E1" w:rsidRPr="00DE7C15">
        <w:t>•</w:t>
      </w:r>
      <w:r w:rsidR="00CE28E1" w:rsidRPr="00DE7C15">
        <w:tab/>
      </w:r>
      <w:r w:rsidR="00CE28E1" w:rsidRPr="00B9592E">
        <w:rPr>
          <w:spacing w:val="0"/>
        </w:rPr>
        <w:t>Protocolo Facultativo de la Convención sobre los Derechos de las Personas con Discapacidad (firma el 30 de marzo de 2007; ratificación el 24 de agosto de 2021</w:t>
      </w:r>
      <w:r w:rsidR="00CE28E1" w:rsidRPr="00DE7C15">
        <w:t>).</w:t>
      </w:r>
    </w:p>
    <w:p w14:paraId="1D0FBCE8" w14:textId="40BBB827" w:rsidR="00CE28E1" w:rsidRPr="00DE7C15" w:rsidRDefault="00CE28E1" w:rsidP="006C1BAD">
      <w:pPr>
        <w:pStyle w:val="SingleTxt"/>
        <w:numPr>
          <w:ilvl w:val="0"/>
          <w:numId w:val="36"/>
        </w:numPr>
        <w:ind w:left="1267"/>
      </w:pPr>
      <w:r w:rsidRPr="00DE7C15">
        <w:t>En el período examinado se ratificaron los siguientes tratados internacionales de derechos humanos del Consejo de Europa:</w:t>
      </w:r>
    </w:p>
    <w:p w14:paraId="7FCEC600" w14:textId="08F455D8"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Protocolo núm. </w:t>
      </w:r>
      <w:r w:rsidR="00CE28E1" w:rsidRPr="00B9592E">
        <w:t>15</w:t>
      </w:r>
      <w:r w:rsidR="00CE28E1" w:rsidRPr="00DE7C15">
        <w:t xml:space="preserve"> de enmienda del Convenio para la Protección de los Derechos Humanos y de las Libertades Fundamentales (firma el </w:t>
      </w:r>
      <w:r w:rsidR="00CE28E1" w:rsidRPr="00B9592E">
        <w:t>5</w:t>
      </w:r>
      <w:r w:rsidR="00CE28E1" w:rsidRPr="00DE7C15">
        <w:t xml:space="preserve"> de noviembre de </w:t>
      </w:r>
      <w:r w:rsidR="00CE28E1" w:rsidRPr="00B9592E">
        <w:t>2013</w:t>
      </w:r>
      <w:r w:rsidR="00CE28E1" w:rsidRPr="00DE7C15">
        <w:t xml:space="preserve">; ratificación el </w:t>
      </w:r>
      <w:r w:rsidR="00CE28E1" w:rsidRPr="00B9592E">
        <w:t>18</w:t>
      </w:r>
      <w:r w:rsidR="00CE28E1" w:rsidRPr="00DE7C15">
        <w:t xml:space="preserve"> de marzo de </w:t>
      </w:r>
      <w:r w:rsidR="00CE28E1" w:rsidRPr="00B9592E">
        <w:t>2015</w:t>
      </w:r>
      <w:r w:rsidR="00CE28E1" w:rsidRPr="00DE7C15">
        <w:t>);</w:t>
      </w:r>
    </w:p>
    <w:p w14:paraId="3A8EF745" w14:textId="208DEAA1"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Convenio del Consejo de Europa para la Protección de los Niños contra la Explotación y el Abuso Sexual (Convenio de Lanzarote) (firma el </w:t>
      </w:r>
      <w:r w:rsidR="00CE28E1" w:rsidRPr="00B9592E">
        <w:t>17</w:t>
      </w:r>
      <w:r w:rsidR="00CE28E1" w:rsidRPr="00DE7C15">
        <w:t xml:space="preserve"> de julio de </w:t>
      </w:r>
      <w:r w:rsidR="00CE28E1" w:rsidRPr="00B9592E">
        <w:t>2014</w:t>
      </w:r>
      <w:r w:rsidR="00CE28E1" w:rsidRPr="00DE7C15">
        <w:t xml:space="preserve">; ratificación el </w:t>
      </w:r>
      <w:r w:rsidR="00CE28E1" w:rsidRPr="00B9592E">
        <w:t>2</w:t>
      </w:r>
      <w:r w:rsidR="00CE28E1" w:rsidRPr="00DE7C15">
        <w:t xml:space="preserve"> de mayo de </w:t>
      </w:r>
      <w:r w:rsidR="00CE28E1" w:rsidRPr="00B9592E">
        <w:t>2016</w:t>
      </w:r>
      <w:r w:rsidR="00CE28E1" w:rsidRPr="00DE7C15">
        <w:t>);</w:t>
      </w:r>
    </w:p>
    <w:p w14:paraId="19B0E2EB" w14:textId="7F6EEDF0"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Convenio del Consejo de Europa sobre la Lucha contra la Trata de Seres Humanos (firma el </w:t>
      </w:r>
      <w:r w:rsidR="00CE28E1" w:rsidRPr="00B9592E">
        <w:t>2</w:t>
      </w:r>
      <w:r w:rsidR="00CE28E1" w:rsidRPr="00DE7C15">
        <w:t xml:space="preserve"> de mayo de </w:t>
      </w:r>
      <w:r w:rsidR="00CE28E1" w:rsidRPr="00B9592E">
        <w:t>2016</w:t>
      </w:r>
      <w:r w:rsidR="00CE28E1" w:rsidRPr="00DE7C15">
        <w:t xml:space="preserve">; ratificación el </w:t>
      </w:r>
      <w:r w:rsidR="00CE28E1" w:rsidRPr="00B9592E">
        <w:t>29</w:t>
      </w:r>
      <w:r w:rsidR="00CE28E1" w:rsidRPr="00DE7C15">
        <w:t xml:space="preserve"> de marzo de </w:t>
      </w:r>
      <w:r w:rsidR="00CE28E1" w:rsidRPr="00B9592E">
        <w:t>2017</w:t>
      </w:r>
      <w:r w:rsidR="00CE28E1" w:rsidRPr="00DE7C15">
        <w:t>);</w:t>
      </w:r>
    </w:p>
    <w:p w14:paraId="31FE0479" w14:textId="5DAB0D04" w:rsidR="00CE28E1" w:rsidRPr="00DE7C15" w:rsidRDefault="009106EF" w:rsidP="009106EF">
      <w:pPr>
        <w:pStyle w:val="SingleTxt"/>
        <w:tabs>
          <w:tab w:val="right" w:pos="1685"/>
        </w:tabs>
        <w:ind w:left="1742" w:hanging="475"/>
      </w:pPr>
      <w:r w:rsidRPr="00DE7C15">
        <w:tab/>
      </w:r>
      <w:r w:rsidR="00CE28E1" w:rsidRPr="00DE7C15">
        <w:t>•</w:t>
      </w:r>
      <w:r w:rsidR="00CE28E1" w:rsidRPr="00DE7C15">
        <w:tab/>
        <w:t xml:space="preserve">Convenio del Consejo de Europa contra el Tráfico de Órganos Humanos (firma el </w:t>
      </w:r>
      <w:r w:rsidR="00CE28E1" w:rsidRPr="00B9592E">
        <w:t>15</w:t>
      </w:r>
      <w:r w:rsidR="00CE28E1" w:rsidRPr="00DE7C15">
        <w:t xml:space="preserve"> de marzo de </w:t>
      </w:r>
      <w:r w:rsidR="00CE28E1" w:rsidRPr="00B9592E">
        <w:t>2015</w:t>
      </w:r>
      <w:r w:rsidR="00CE28E1" w:rsidRPr="00DE7C15">
        <w:t xml:space="preserve">; ratificación el </w:t>
      </w:r>
      <w:r w:rsidR="00CE28E1" w:rsidRPr="00B9592E">
        <w:t>21</w:t>
      </w:r>
      <w:r w:rsidR="00CE28E1" w:rsidRPr="00DE7C15">
        <w:t xml:space="preserve"> de septiembre de </w:t>
      </w:r>
      <w:r w:rsidR="00CE28E1" w:rsidRPr="00B9592E">
        <w:t>2017</w:t>
      </w:r>
      <w:r w:rsidR="00CE28E1" w:rsidRPr="00DE7C15">
        <w:t>);</w:t>
      </w:r>
    </w:p>
    <w:p w14:paraId="78FE6B26" w14:textId="061F43F9" w:rsidR="00CE28E1" w:rsidRPr="00DE7C15" w:rsidRDefault="009106EF" w:rsidP="009106EF">
      <w:pPr>
        <w:pStyle w:val="SingleTxt"/>
        <w:tabs>
          <w:tab w:val="right" w:pos="1685"/>
        </w:tabs>
        <w:ind w:left="1742" w:hanging="475"/>
      </w:pPr>
      <w:r w:rsidRPr="00DE7C15">
        <w:tab/>
      </w:r>
      <w:r w:rsidR="00CE28E1" w:rsidRPr="00DE7C15">
        <w:t>•</w:t>
      </w:r>
      <w:r w:rsidR="00CE28E1" w:rsidRPr="00DE7C15">
        <w:tab/>
      </w:r>
      <w:r w:rsidR="00CE28E1" w:rsidRPr="00B9592E">
        <w:rPr>
          <w:spacing w:val="0"/>
        </w:rPr>
        <w:t>Protocolo Adicional al Convenio para la Protección de los Derechos Humanos y la Dignidad del Ser Humano con respecto a las Aplicaciones de la Biología y la Medicina (firma el 24 de octubre de 2017; ratificación el 16 de mayo de 2019);</w:t>
      </w:r>
    </w:p>
    <w:p w14:paraId="53617ECC" w14:textId="787F620C" w:rsidR="00CE28E1" w:rsidRPr="00DE7C15" w:rsidRDefault="009106EF" w:rsidP="009106EF">
      <w:pPr>
        <w:pStyle w:val="SingleTxt"/>
        <w:tabs>
          <w:tab w:val="right" w:pos="1685"/>
        </w:tabs>
        <w:ind w:left="1742" w:hanging="475"/>
      </w:pPr>
      <w:r w:rsidRPr="00DE7C15">
        <w:lastRenderedPageBreak/>
        <w:tab/>
      </w:r>
      <w:r w:rsidR="00CE28E1" w:rsidRPr="00DE7C15">
        <w:t>•</w:t>
      </w:r>
      <w:r w:rsidR="00CE28E1" w:rsidRPr="00DE7C15">
        <w:tab/>
        <w:t xml:space="preserve">Protocolo Adicional al Convenio Relativo a los Derechos Humanos y la Biomedicina sobre la Investigación Biomédica (firma el </w:t>
      </w:r>
      <w:r w:rsidR="00CE28E1" w:rsidRPr="00B9592E">
        <w:t>11</w:t>
      </w:r>
      <w:r w:rsidR="00CE28E1" w:rsidRPr="00DE7C15">
        <w:t xml:space="preserve"> de mayo de </w:t>
      </w:r>
      <w:r w:rsidR="00CE28E1" w:rsidRPr="00B9592E">
        <w:t>2018</w:t>
      </w:r>
      <w:r w:rsidR="00CE28E1" w:rsidRPr="00DE7C15">
        <w:t xml:space="preserve">; ratificación el </w:t>
      </w:r>
      <w:r w:rsidR="00CE28E1" w:rsidRPr="00B9592E">
        <w:t>12</w:t>
      </w:r>
      <w:r w:rsidR="00CE28E1" w:rsidRPr="00DE7C15">
        <w:t xml:space="preserve"> de mayo de </w:t>
      </w:r>
      <w:r w:rsidR="00CE28E1" w:rsidRPr="00B9592E">
        <w:t>2020</w:t>
      </w:r>
      <w:r w:rsidR="00CE28E1" w:rsidRPr="00DE7C15">
        <w:t>);</w:t>
      </w:r>
    </w:p>
    <w:p w14:paraId="324F8AD7" w14:textId="6204A4D2" w:rsidR="00554041" w:rsidRPr="00DE7C15" w:rsidRDefault="00CE28E1" w:rsidP="006C1BAD">
      <w:pPr>
        <w:pStyle w:val="SingleTxt"/>
        <w:numPr>
          <w:ilvl w:val="0"/>
          <w:numId w:val="36"/>
        </w:numPr>
        <w:ind w:left="1267"/>
      </w:pPr>
      <w:r w:rsidRPr="00DE7C15">
        <w:t xml:space="preserve">A raíz de la observación final núm. </w:t>
      </w:r>
      <w:r w:rsidRPr="00B9592E">
        <w:t>19</w:t>
      </w:r>
      <w:r w:rsidRPr="00DE7C15">
        <w:t xml:space="preserve">, Chequia informa de que, mediante la resolución del Gobierno núm. </w:t>
      </w:r>
      <w:r w:rsidRPr="00B9592E">
        <w:t>114</w:t>
      </w:r>
      <w:r w:rsidRPr="00DE7C15">
        <w:t xml:space="preserve"> de </w:t>
      </w:r>
      <w:r w:rsidRPr="00B9592E">
        <w:t>8</w:t>
      </w:r>
      <w:r w:rsidRPr="00DE7C15">
        <w:t xml:space="preserve"> de febrero de </w:t>
      </w:r>
      <w:r w:rsidRPr="00B9592E">
        <w:t>2016</w:t>
      </w:r>
      <w:r w:rsidRPr="00DE7C15">
        <w:t xml:space="preserve">, se encomendó al </w:t>
      </w:r>
      <w:proofErr w:type="gramStart"/>
      <w:r w:rsidRPr="00DE7C15">
        <w:t>Ministro</w:t>
      </w:r>
      <w:proofErr w:type="gramEnd"/>
      <w:r w:rsidRPr="00DE7C15">
        <w:t xml:space="preserve"> de Justicia que presentara al Gobierno una propuesta de medidas legislativas para asegurar la aplicación del Convenio del Consejo de Europa sobre Prevención y Lucha contra la Violencia contra las Mujeres y la Violencia Doméstica (Convenio de Estambul). El Ministerio de Justicia incluyó el proyecto de modificaciones legislativas en la Ley núm. </w:t>
      </w:r>
      <w:r w:rsidRPr="00B9592E">
        <w:t>287</w:t>
      </w:r>
      <w:r w:rsidRPr="00DE7C15">
        <w:t>/</w:t>
      </w:r>
      <w:r w:rsidRPr="00B9592E">
        <w:t>2018</w:t>
      </w:r>
      <w:r w:rsidRPr="00DE7C15">
        <w:t xml:space="preserve"> (recop.) de modificación de la Ley núm. </w:t>
      </w:r>
      <w:r w:rsidRPr="00B9592E">
        <w:t>40</w:t>
      </w:r>
      <w:r w:rsidRPr="00DE7C15">
        <w:t>/</w:t>
      </w:r>
      <w:r w:rsidRPr="00B9592E">
        <w:t>2009</w:t>
      </w:r>
      <w:r w:rsidRPr="00DE7C15">
        <w:t xml:space="preserve"> (recop.), Código Penal, en su forma modificada (en lo sucesivo, </w:t>
      </w:r>
      <w:r w:rsidR="009106EF" w:rsidRPr="00DE7C15">
        <w:t>“</w:t>
      </w:r>
      <w:r w:rsidRPr="00DE7C15">
        <w:t>Código Penal</w:t>
      </w:r>
      <w:r w:rsidR="009106EF" w:rsidRPr="00DE7C15">
        <w:t>”</w:t>
      </w:r>
      <w:r w:rsidRPr="00DE7C15">
        <w:t xml:space="preserve">), y en algunas otras leyes, que entraron en vigor el </w:t>
      </w:r>
      <w:r w:rsidRPr="00B9592E">
        <w:t>1</w:t>
      </w:r>
      <w:r w:rsidRPr="00DE7C15">
        <w:t xml:space="preserve"> de febrero de </w:t>
      </w:r>
      <w:r w:rsidRPr="00B9592E">
        <w:t>2019</w:t>
      </w:r>
      <w:r w:rsidRPr="00DE7C15">
        <w:t>.</w:t>
      </w:r>
    </w:p>
    <w:p w14:paraId="63255E03" w14:textId="241ED79C" w:rsidR="00CE28E1" w:rsidRPr="00DE7C15" w:rsidRDefault="00CE28E1" w:rsidP="006C1BAD">
      <w:pPr>
        <w:pStyle w:val="SingleTxt"/>
        <w:numPr>
          <w:ilvl w:val="0"/>
          <w:numId w:val="36"/>
        </w:numPr>
        <w:ind w:left="1267"/>
      </w:pPr>
      <w:r w:rsidRPr="00DE7C15">
        <w:t>La posibilidad de presentar la propuesta de ratificación del Convenio de Estambul dio lugar a un debate sobre su contenido. Por mandato del Consejo, el Departamento preparó un folleto en el que se respondía a algunas de las preocupaciones relacionadas con la ratificación del Convenio de Estambul y se incluía un análisis sobre la aplicación del Convenio en determinados países del Consejo de Europa. El análisis pone de manifiesto que las preocupaciones expresadas con más frecuencia en Chequia no tienen razón de ser a la luz de la práctica de los países estudiados y de las recomendaciones del Grupo de Expertos en la Lucha contra la Violencia contra la Mujer y la Violencia Doméstica (GREVIO) y del Comité de las Partes. Por el contrario, después de ratificar el Convenio de Estambul, los Estados han adoptado medidas para prevenir la violencia contra la mujer, han intensificado las actividades de sensibilización y a menudo han aumentado la financiación destinada a esas medidas.</w:t>
      </w:r>
    </w:p>
    <w:p w14:paraId="5B5FF198" w14:textId="6E622125" w:rsidR="00554041" w:rsidRPr="00DE7C15" w:rsidRDefault="00CE28E1" w:rsidP="006C1BAD">
      <w:pPr>
        <w:pStyle w:val="SingleTxt"/>
        <w:numPr>
          <w:ilvl w:val="0"/>
          <w:numId w:val="36"/>
        </w:numPr>
        <w:ind w:left="1267"/>
      </w:pPr>
      <w:r w:rsidRPr="00DE7C15">
        <w:t>Con el fin de celebrar un debate serio sobre la ratificación del Convenio de Estambul, se organizaron seminarios y conferencias dirigidos a los parlamentarios y al público en general en las regiones.</w:t>
      </w:r>
    </w:p>
    <w:p w14:paraId="7AE710A9" w14:textId="6AD10CE7" w:rsidR="00CE28E1" w:rsidRPr="00DE7C15" w:rsidRDefault="00CE28E1" w:rsidP="006C1BAD">
      <w:pPr>
        <w:pStyle w:val="SingleTxt"/>
        <w:numPr>
          <w:ilvl w:val="0"/>
          <w:numId w:val="36"/>
        </w:numPr>
        <w:ind w:left="1267"/>
      </w:pPr>
      <w:r w:rsidRPr="00DE7C15">
        <w:t xml:space="preserve">El Ministerio de Justicia sometió la propuesta de ratificación del Convenio de Estambul al procedimiento de comentarios interministeriales el </w:t>
      </w:r>
      <w:r w:rsidRPr="00B9592E">
        <w:t>2</w:t>
      </w:r>
      <w:r w:rsidRPr="00DE7C15">
        <w:t xml:space="preserve"> de febrero de </w:t>
      </w:r>
      <w:r w:rsidRPr="00B9592E">
        <w:t>2020</w:t>
      </w:r>
      <w:r w:rsidRPr="00DE7C15">
        <w:t xml:space="preserve">. Una vez considerados todos los comentarios sustantivos y tras la firma conjunta con el Ministerio de Relaciones Exteriores, el Ministerio de Justicia presentó una propuesta de ratificación al Gabinete el </w:t>
      </w:r>
      <w:r w:rsidRPr="00B9592E">
        <w:t>27</w:t>
      </w:r>
      <w:r w:rsidRPr="00DE7C15">
        <w:t xml:space="preserve"> de julio de </w:t>
      </w:r>
      <w:r w:rsidRPr="00B9592E">
        <w:t>2020</w:t>
      </w:r>
      <w:r w:rsidRPr="00DE7C15">
        <w:t xml:space="preserve">. Sin embargo, el entonces </w:t>
      </w:r>
      <w:proofErr w:type="gramStart"/>
      <w:r w:rsidRPr="00DE7C15">
        <w:t>Ministro</w:t>
      </w:r>
      <w:proofErr w:type="gramEnd"/>
      <w:r w:rsidRPr="00DE7C15">
        <w:t xml:space="preserve"> de Justicia retiró la propuesta de la reunión del Gabinete, y la consideración sobre la ratificación del Convenio de Estambul se aplazó. Al término de la legislatura, el Gobierno no había debatido la propuesta. Después de las elecciones de octubre de </w:t>
      </w:r>
      <w:r w:rsidRPr="00B9592E">
        <w:t>2021</w:t>
      </w:r>
      <w:r w:rsidRPr="00DE7C15">
        <w:t xml:space="preserve"> y la formación del nuevo Gobierno, el Ministerio de Justicia pospuso el plazo para considerar la ratificación hasta el </w:t>
      </w:r>
      <w:r w:rsidRPr="00B9592E">
        <w:t>31</w:t>
      </w:r>
      <w:r w:rsidRPr="00DE7C15">
        <w:t xml:space="preserve"> de enero de </w:t>
      </w:r>
      <w:r w:rsidRPr="00B9592E">
        <w:t>2023</w:t>
      </w:r>
      <w:r w:rsidRPr="00DE7C15">
        <w:t xml:space="preserve">, a fin de dar tiempo suficiente al debate político. El </w:t>
      </w:r>
      <w:r w:rsidRPr="00B9592E">
        <w:t>21</w:t>
      </w:r>
      <w:r w:rsidRPr="00DE7C15">
        <w:t xml:space="preserve"> de febrero de </w:t>
      </w:r>
      <w:r w:rsidRPr="00B9592E">
        <w:t>2023</w:t>
      </w:r>
      <w:r w:rsidRPr="00DE7C15">
        <w:t>, el Ministerio de Justicia volvió a someter la propuesta de ratificación del Convenio de Estambul al procedimiento de comentarios interministeriales.</w:t>
      </w:r>
    </w:p>
    <w:p w14:paraId="6C234A20" w14:textId="77777777" w:rsidR="009106EF" w:rsidRPr="00DE7C15" w:rsidRDefault="009106EF" w:rsidP="009106EF">
      <w:pPr>
        <w:pStyle w:val="SingleTxt"/>
        <w:spacing w:after="0" w:line="120" w:lineRule="exact"/>
        <w:rPr>
          <w:sz w:val="10"/>
        </w:rPr>
      </w:pPr>
    </w:p>
    <w:p w14:paraId="20DF97BA" w14:textId="77777777" w:rsidR="009106EF" w:rsidRPr="00DE7C15" w:rsidRDefault="009106EF" w:rsidP="009106EF">
      <w:pPr>
        <w:pStyle w:val="SingleTxt"/>
        <w:spacing w:after="0" w:line="120" w:lineRule="exact"/>
        <w:rPr>
          <w:sz w:val="10"/>
        </w:rPr>
      </w:pPr>
    </w:p>
    <w:p w14:paraId="0AD18696"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4</w:t>
      </w:r>
    </w:p>
    <w:p w14:paraId="2324D4ED" w14:textId="77777777" w:rsidR="009106EF" w:rsidRPr="00DE7C15" w:rsidRDefault="009106EF" w:rsidP="009106EF">
      <w:pPr>
        <w:pStyle w:val="SingleTxt"/>
        <w:spacing w:after="0" w:line="120" w:lineRule="exact"/>
        <w:rPr>
          <w:sz w:val="10"/>
        </w:rPr>
      </w:pPr>
    </w:p>
    <w:p w14:paraId="570956EC" w14:textId="77777777" w:rsidR="009106EF" w:rsidRPr="00DE7C15" w:rsidRDefault="009106EF" w:rsidP="009106EF">
      <w:pPr>
        <w:pStyle w:val="SingleTxt"/>
        <w:spacing w:after="0" w:line="120" w:lineRule="exact"/>
        <w:rPr>
          <w:sz w:val="10"/>
        </w:rPr>
      </w:pPr>
    </w:p>
    <w:p w14:paraId="0921D463"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Medidas especiales de carácter temporal</w:t>
      </w:r>
    </w:p>
    <w:p w14:paraId="2786411E" w14:textId="1C5878DF" w:rsidR="009106EF" w:rsidRPr="00DE7C15" w:rsidRDefault="009106EF" w:rsidP="009106EF">
      <w:pPr>
        <w:pStyle w:val="SingleTxt"/>
        <w:spacing w:after="0" w:line="120" w:lineRule="exact"/>
        <w:rPr>
          <w:sz w:val="10"/>
        </w:rPr>
      </w:pPr>
    </w:p>
    <w:p w14:paraId="26EC7C5B" w14:textId="77777777" w:rsidR="009106EF" w:rsidRPr="00DE7C15" w:rsidRDefault="009106EF" w:rsidP="009106EF">
      <w:pPr>
        <w:pStyle w:val="SingleTxt"/>
        <w:spacing w:after="0" w:line="120" w:lineRule="exact"/>
        <w:rPr>
          <w:sz w:val="10"/>
        </w:rPr>
      </w:pPr>
    </w:p>
    <w:p w14:paraId="2255F090" w14:textId="55919B72" w:rsidR="00554041" w:rsidRPr="00DE7C15" w:rsidRDefault="00CE28E1" w:rsidP="006C1BAD">
      <w:pPr>
        <w:pStyle w:val="SingleTxt"/>
        <w:numPr>
          <w:ilvl w:val="0"/>
          <w:numId w:val="36"/>
        </w:numPr>
        <w:ind w:left="1267"/>
      </w:pPr>
      <w:r w:rsidRPr="00DE7C15">
        <w:t xml:space="preserve">La legislación permite adoptar medidas especiales de carácter temporal. El artículo </w:t>
      </w:r>
      <w:r w:rsidRPr="00B9592E">
        <w:t>7</w:t>
      </w:r>
      <w:r w:rsidRPr="00DE7C15">
        <w:t xml:space="preserve"> </w:t>
      </w:r>
      <w:r w:rsidRPr="00B9592E">
        <w:t>2</w:t>
      </w:r>
      <w:r w:rsidRPr="00DE7C15">
        <w:t xml:space="preserve">) de la Ley contra la Discriminación establece que no se consideran discriminatorias las medidas destinadas a prevenir o compensar las desventajas de una persona por pertenecer a uno de los grupos definidos por uno de los motivos contemplados en el artículo </w:t>
      </w:r>
      <w:r w:rsidRPr="00B9592E">
        <w:t>2</w:t>
      </w:r>
      <w:r w:rsidRPr="00DE7C15">
        <w:t xml:space="preserve"> </w:t>
      </w:r>
      <w:r w:rsidRPr="00B9592E">
        <w:t>3</w:t>
      </w:r>
      <w:r w:rsidRPr="00DE7C15">
        <w:t xml:space="preserve">), entre los que figura el sexo, y a garantizar la igualdad de trato y de oportunidades. Por consiguiente, aunque no es obligatorio adoptar </w:t>
      </w:r>
      <w:r w:rsidRPr="00DE7C15">
        <w:lastRenderedPageBreak/>
        <w:t>medidas de ese tipo, las entidades tienen la seguridad de que no incurrirán en discriminación si lo hacen.</w:t>
      </w:r>
    </w:p>
    <w:p w14:paraId="268AEFB4" w14:textId="092B1C2F" w:rsidR="00CE28E1" w:rsidRPr="00DE7C15" w:rsidRDefault="00CE28E1" w:rsidP="006C1BAD">
      <w:pPr>
        <w:pStyle w:val="SingleTxt"/>
        <w:numPr>
          <w:ilvl w:val="0"/>
          <w:numId w:val="36"/>
        </w:numPr>
        <w:ind w:left="1267"/>
      </w:pPr>
      <w:r w:rsidRPr="00DE7C15">
        <w:t xml:space="preserve">La recomendación del Consejo de que se eliminen los obstáculos y se creen las condiciones necesarias para garantizar una representación equilibrada de mujeres y hombres en los puestos decisorios (en lo sucesivo, </w:t>
      </w:r>
      <w:r w:rsidR="009106EF" w:rsidRPr="00DE7C15">
        <w:t>“</w:t>
      </w:r>
      <w:r w:rsidRPr="00DE7C15">
        <w:t>Estrategia +</w:t>
      </w:r>
      <w:r w:rsidRPr="00B9592E">
        <w:t>1</w:t>
      </w:r>
      <w:r w:rsidR="009106EF" w:rsidRPr="00DE7C15">
        <w:t>”</w:t>
      </w:r>
      <w:r w:rsidRPr="00DE7C15">
        <w:t xml:space="preserve">) fue aprobada por el Gobierno en </w:t>
      </w:r>
      <w:r w:rsidRPr="00B9592E">
        <w:t>2016</w:t>
      </w:r>
      <w:r w:rsidRPr="00DE7C15">
        <w:t xml:space="preserve">. La recomendación proporciona una sinopsis de las herramientas para promover una representación equilibrada en los puestos decisorios y lograr al menos un porcentaje del </w:t>
      </w:r>
      <w:r w:rsidRPr="00B9592E">
        <w:t>40</w:t>
      </w:r>
      <w:r w:rsidR="009106EF" w:rsidRPr="00DE7C15">
        <w:t> %</w:t>
      </w:r>
      <w:r w:rsidRPr="00DE7C15">
        <w:t xml:space="preserve"> en la representación de mujeres y hombres. Los ministerios y otras autoridades centrales informarán al Gobierno una vez al año de las medidas adoptadas. En noviembre de </w:t>
      </w:r>
      <w:r w:rsidRPr="00B9592E">
        <w:t>2022</w:t>
      </w:r>
      <w:r w:rsidRPr="00DE7C15">
        <w:t xml:space="preserve"> se ultimó la metodología para la Iniciativa sobre la Implementación de la Estrategia +</w:t>
      </w:r>
      <w:r w:rsidRPr="00B9592E">
        <w:t>1</w:t>
      </w:r>
      <w:r w:rsidRPr="00DE7C15">
        <w:t>, incluidos sus ejemplos de buenas prácticas. Ese mismo mes se impartió capacitación dirigida a los puntos focales de cuestiones de género.</w:t>
      </w:r>
    </w:p>
    <w:p w14:paraId="0997FB18" w14:textId="75A0C0F3" w:rsidR="00554041" w:rsidRPr="00DE7C15" w:rsidRDefault="00CE28E1" w:rsidP="006C1BAD">
      <w:pPr>
        <w:pStyle w:val="SingleTxt"/>
        <w:numPr>
          <w:ilvl w:val="0"/>
          <w:numId w:val="36"/>
        </w:numPr>
        <w:ind w:left="1267"/>
      </w:pPr>
      <w:r w:rsidRPr="00DE7C15">
        <w:t xml:space="preserve">De conformidad con el artículo </w:t>
      </w:r>
      <w:r w:rsidRPr="00B9592E">
        <w:t>8</w:t>
      </w:r>
      <w:r w:rsidRPr="00DE7C15">
        <w:t xml:space="preserve"> </w:t>
      </w:r>
      <w:r w:rsidRPr="00B9592E">
        <w:t>3</w:t>
      </w:r>
      <w:r w:rsidRPr="00DE7C15">
        <w:t xml:space="preserve">) c) de la Ley núm. </w:t>
      </w:r>
      <w:r w:rsidRPr="00B9592E">
        <w:t>21</w:t>
      </w:r>
      <w:r w:rsidRPr="00DE7C15">
        <w:t>/</w:t>
      </w:r>
      <w:r w:rsidRPr="00B9592E">
        <w:t>1992</w:t>
      </w:r>
      <w:r w:rsidRPr="00DE7C15">
        <w:t xml:space="preserve"> (recop.) de Banca, las entidades bancarias están obligadas a velar por que se aplique una política que promueva la diversidad en la selección de los miembros del órgano estatutario, los miembros del consejo de administración y los miembros de la junta directiva. Dos de los siete miembros del consejo del Banco Nacional Checo son mujeres, incluida la Vicegobernadora.</w:t>
      </w:r>
    </w:p>
    <w:p w14:paraId="5ED688B8" w14:textId="76D5869B" w:rsidR="00554041" w:rsidRPr="00DE7C15" w:rsidRDefault="00CE28E1" w:rsidP="006C1BAD">
      <w:pPr>
        <w:pStyle w:val="SingleTxt"/>
        <w:numPr>
          <w:ilvl w:val="0"/>
          <w:numId w:val="36"/>
        </w:numPr>
        <w:ind w:left="1267"/>
      </w:pPr>
      <w:r w:rsidRPr="00DE7C15">
        <w:t xml:space="preserve">La Ley núm. </w:t>
      </w:r>
      <w:r w:rsidRPr="00B9592E">
        <w:t>256</w:t>
      </w:r>
      <w:r w:rsidRPr="00DE7C15">
        <w:t>/</w:t>
      </w:r>
      <w:r w:rsidRPr="00B9592E">
        <w:t>2004</w:t>
      </w:r>
      <w:r w:rsidRPr="00DE7C15">
        <w:t xml:space="preserve"> (recop.) de Entidades del Mercado de Capitales, en su forma modificada, establece la obligación de que los emisores pertinentes describan en sus informes anuales la aplicación de la política de diversidad, por </w:t>
      </w:r>
      <w:proofErr w:type="gramStart"/>
      <w:r w:rsidRPr="00DE7C15">
        <w:t>ejemplo</w:t>
      </w:r>
      <w:proofErr w:type="gramEnd"/>
      <w:r w:rsidRPr="00DE7C15">
        <w:t xml:space="preserve"> respecto de los criterios de edad, sexo o educación y experiencia, e incluyan en ellos información sobre los objetivos de la política de diversidad, su aplicación y los resultados de aplicarla en el ejercicio económico correspondiente. Si el emisor no aplica la política de diversidad, ha de justificar los motivos. El Departamento evaluó el cumplimiento de esa obligación y, de las </w:t>
      </w:r>
      <w:r w:rsidRPr="00B9592E">
        <w:t>26</w:t>
      </w:r>
      <w:r w:rsidRPr="00DE7C15">
        <w:t xml:space="preserve"> empresas sujetas a ella, solo </w:t>
      </w:r>
      <w:r w:rsidRPr="00B9592E">
        <w:t>7</w:t>
      </w:r>
      <w:r w:rsidRPr="00DE7C15">
        <w:t xml:space="preserve"> indicaron en sus informes anuales de </w:t>
      </w:r>
      <w:r w:rsidRPr="00B9592E">
        <w:t>2020</w:t>
      </w:r>
      <w:r w:rsidRPr="00DE7C15">
        <w:t xml:space="preserve"> que tenían una política de diversidad en vigor (</w:t>
      </w:r>
      <w:r w:rsidRPr="00B9592E">
        <w:t>12</w:t>
      </w:r>
      <w:r w:rsidRPr="00DE7C15">
        <w:t xml:space="preserve"> empresas indicaron no disponer de esa política y respecto de </w:t>
      </w:r>
      <w:r w:rsidRPr="00B9592E">
        <w:t>7</w:t>
      </w:r>
      <w:r w:rsidRPr="00DE7C15">
        <w:t xml:space="preserve"> no se halló o divulgó la información). Habida cuenta del escaso cumplimiento de la obligación, el Departamento, en colaboración con el Ministerio de Finanzas y el Banco Nacional Checo, elaboró un manual sobre la manera de exponer la política de diversidad en los informes anuales que contiene ejemplos de buenas prácticas.</w:t>
      </w:r>
    </w:p>
    <w:p w14:paraId="72C12172" w14:textId="2A1925B6" w:rsidR="00CE28E1" w:rsidRPr="00DE7C15" w:rsidRDefault="00CE28E1" w:rsidP="006C1BAD">
      <w:pPr>
        <w:pStyle w:val="SingleTxt"/>
        <w:numPr>
          <w:ilvl w:val="0"/>
          <w:numId w:val="37"/>
        </w:numPr>
        <w:ind w:left="1267"/>
      </w:pPr>
      <w:r w:rsidRPr="00DE7C15">
        <w:t xml:space="preserve">En </w:t>
      </w:r>
      <w:r w:rsidRPr="00B9592E">
        <w:t>2023</w:t>
      </w:r>
      <w:r w:rsidRPr="00DE7C15">
        <w:t xml:space="preserve"> se empezó a transponer la Directiva (UE) </w:t>
      </w:r>
      <w:r w:rsidRPr="00B9592E">
        <w:t>2022</w:t>
      </w:r>
      <w:r w:rsidRPr="00DE7C15">
        <w:t>/</w:t>
      </w:r>
      <w:r w:rsidRPr="00B9592E">
        <w:t>2381</w:t>
      </w:r>
      <w:r w:rsidRPr="00DE7C15">
        <w:t xml:space="preserve"> del Parlamento Europeo y del Consejo de </w:t>
      </w:r>
      <w:r w:rsidRPr="00B9592E">
        <w:t>23</w:t>
      </w:r>
      <w:r w:rsidRPr="00DE7C15">
        <w:t xml:space="preserve"> de noviembre de </w:t>
      </w:r>
      <w:r w:rsidRPr="00B9592E">
        <w:t>2022</w:t>
      </w:r>
      <w:r w:rsidRPr="00DE7C15">
        <w:t xml:space="preserve"> relativa a un mejor equilibrio de género entre los administradores de las sociedades cotizadas y a medidas conexas.</w:t>
      </w:r>
    </w:p>
    <w:p w14:paraId="71DD977A" w14:textId="77777777" w:rsidR="009106EF" w:rsidRPr="00DE7C15" w:rsidRDefault="009106EF" w:rsidP="009106EF">
      <w:pPr>
        <w:pStyle w:val="SingleTxt"/>
        <w:spacing w:after="0" w:line="120" w:lineRule="exact"/>
        <w:rPr>
          <w:sz w:val="10"/>
        </w:rPr>
      </w:pPr>
      <w:bookmarkStart w:id="8" w:name="_Toc397671614"/>
    </w:p>
    <w:p w14:paraId="5D092864" w14:textId="77777777" w:rsidR="009106EF" w:rsidRPr="00DE7C15" w:rsidRDefault="009106EF" w:rsidP="009106EF">
      <w:pPr>
        <w:pStyle w:val="SingleTxt"/>
        <w:spacing w:after="0" w:line="120" w:lineRule="exact"/>
        <w:rPr>
          <w:sz w:val="10"/>
        </w:rPr>
      </w:pPr>
    </w:p>
    <w:p w14:paraId="3D4CB59E"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5</w:t>
      </w:r>
      <w:bookmarkEnd w:id="8"/>
    </w:p>
    <w:p w14:paraId="42E03F3F" w14:textId="77777777" w:rsidR="009106EF" w:rsidRPr="00DE7C15" w:rsidRDefault="009106EF" w:rsidP="009106EF">
      <w:pPr>
        <w:pStyle w:val="SingleTxt"/>
        <w:spacing w:after="0" w:line="120" w:lineRule="exact"/>
        <w:rPr>
          <w:sz w:val="10"/>
        </w:rPr>
      </w:pPr>
    </w:p>
    <w:p w14:paraId="2FE72D5A" w14:textId="77777777" w:rsidR="009106EF" w:rsidRPr="00DE7C15" w:rsidRDefault="009106EF" w:rsidP="009106EF">
      <w:pPr>
        <w:pStyle w:val="SingleTxt"/>
        <w:spacing w:after="0" w:line="120" w:lineRule="exact"/>
        <w:rPr>
          <w:sz w:val="10"/>
        </w:rPr>
      </w:pPr>
    </w:p>
    <w:p w14:paraId="377FB476"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Medidas para eliminar los estereotipos de género</w:t>
      </w:r>
    </w:p>
    <w:p w14:paraId="3A197D25" w14:textId="52C3AAE3" w:rsidR="009106EF" w:rsidRPr="00DE7C15" w:rsidRDefault="009106EF" w:rsidP="009106EF">
      <w:pPr>
        <w:pStyle w:val="SingleTxt"/>
        <w:spacing w:after="0" w:line="120" w:lineRule="exact"/>
        <w:rPr>
          <w:sz w:val="10"/>
        </w:rPr>
      </w:pPr>
    </w:p>
    <w:p w14:paraId="5C55C5BE" w14:textId="77777777" w:rsidR="009106EF" w:rsidRPr="00DE7C15" w:rsidRDefault="009106EF" w:rsidP="009106EF">
      <w:pPr>
        <w:pStyle w:val="SingleTxt"/>
        <w:spacing w:after="0" w:line="120" w:lineRule="exact"/>
        <w:rPr>
          <w:sz w:val="10"/>
        </w:rPr>
      </w:pPr>
    </w:p>
    <w:p w14:paraId="4D464640" w14:textId="50120E13" w:rsidR="00554041" w:rsidRPr="00DE7C15" w:rsidRDefault="00CE28E1" w:rsidP="006C1BAD">
      <w:pPr>
        <w:pStyle w:val="SingleTxt"/>
        <w:numPr>
          <w:ilvl w:val="0"/>
          <w:numId w:val="37"/>
        </w:numPr>
        <w:ind w:left="1267"/>
      </w:pPr>
      <w:r w:rsidRPr="00DE7C15">
        <w:t xml:space="preserve">Una de las prioridades de Chequia es determinar de manera sistemática maneras de eliminar eficazmente los estereotipos de género y los prejuicios inconscientes en todas las esferas y a todos los niveles de la sociedad. La Estrategia </w:t>
      </w:r>
      <w:r w:rsidRPr="00B9592E">
        <w:t>2021</w:t>
      </w:r>
      <w:r w:rsidRPr="00DE7C15">
        <w:t>+ aborda la cuestión de forma específica en el capítulo de sociedad y la tiene en cuenta en otros capítulos como prioridad horizontal (por ejemplo, en los de trabajo y cuidados, conocimientos o salud).</w:t>
      </w:r>
    </w:p>
    <w:p w14:paraId="0E796B4C" w14:textId="7AAC8657" w:rsidR="00554041" w:rsidRPr="00DE7C15" w:rsidRDefault="00CE28E1" w:rsidP="006C1BAD">
      <w:pPr>
        <w:pStyle w:val="SingleTxt"/>
        <w:numPr>
          <w:ilvl w:val="0"/>
          <w:numId w:val="37"/>
        </w:numPr>
        <w:ind w:left="1267"/>
      </w:pPr>
      <w:r w:rsidRPr="00DE7C15">
        <w:t xml:space="preserve">En lo que se refiere a las disciplinas de estudio, las mujeres siguen siendo mayoría en educación, crianza, y salud y atención social. Los hombres suelen elegir estudios y trayectorias profesionales de las áreas de la ingeniería, la fabricación, la construcción y las TIC; no obstante, desde </w:t>
      </w:r>
      <w:r w:rsidRPr="00B9592E">
        <w:t>2005</w:t>
      </w:r>
      <w:r w:rsidRPr="00DE7C15">
        <w:t xml:space="preserve"> se ha registrado un incremento del </w:t>
      </w:r>
      <w:r w:rsidRPr="00DE7C15">
        <w:lastRenderedPageBreak/>
        <w:t>porcentaje de alumnas que cursan estudios en esas áreas. Lograr que aumente la participación de las mujeres en las áreas de ciencia, tecnología, ingeniería y matemáticas (CTIM) también es uno de los objetivos del Plan de Acción de Educación Digital (</w:t>
      </w:r>
      <w:r w:rsidRPr="00B9592E">
        <w:t>2021</w:t>
      </w:r>
      <w:r w:rsidRPr="00DE7C15">
        <w:t>-</w:t>
      </w:r>
      <w:r w:rsidRPr="00B9592E">
        <w:t>2027</w:t>
      </w:r>
      <w:r w:rsidRPr="00DE7C15">
        <w:t xml:space="preserve">) de la UE, implementado, entre otras cosas, a través del proyecto </w:t>
      </w:r>
      <w:r w:rsidR="009106EF" w:rsidRPr="00DE7C15">
        <w:t>“</w:t>
      </w:r>
      <w:r w:rsidRPr="00DE7C15">
        <w:t>Girls Go Circular</w:t>
      </w:r>
      <w:r w:rsidR="009106EF" w:rsidRPr="00DE7C15">
        <w:t>”</w:t>
      </w:r>
      <w:r w:rsidRPr="00DE7C15">
        <w:t xml:space="preserve">, que se ha concebido principalmente para niñas de </w:t>
      </w:r>
      <w:r w:rsidRPr="00B9592E">
        <w:t>14</w:t>
      </w:r>
      <w:r w:rsidRPr="00DE7C15">
        <w:t xml:space="preserve"> a </w:t>
      </w:r>
      <w:r w:rsidRPr="00B9592E">
        <w:t>19</w:t>
      </w:r>
      <w:r w:rsidRPr="00DE7C15">
        <w:t xml:space="preserve"> </w:t>
      </w:r>
      <w:proofErr w:type="gramStart"/>
      <w:r w:rsidRPr="00DE7C15">
        <w:t>años de edad</w:t>
      </w:r>
      <w:proofErr w:type="gramEnd"/>
      <w:r w:rsidRPr="00DE7C15">
        <w:t xml:space="preserve"> y les enseña aptitudes digitales y empresariales y conocimientos sobre la economía circular a través del aprendizaje electrónico. Cada año, el Ministerio de Educación, Juventud y Deporte, en colaboración con el Centro Nacional de Contacto sobre Género y Ciencia del Instituto de Sociología de la Academia de Ciencias checa (en lo sucesivo, el </w:t>
      </w:r>
      <w:r w:rsidR="009106EF" w:rsidRPr="00DE7C15">
        <w:t>“</w:t>
      </w:r>
      <w:r w:rsidRPr="00DE7C15">
        <w:t>Centro Nacional de Contacto</w:t>
      </w:r>
      <w:r w:rsidR="009106EF" w:rsidRPr="00DE7C15">
        <w:t>”</w:t>
      </w:r>
      <w:r w:rsidRPr="00DE7C15">
        <w:t>), concede el Premio Milada Paulová de Investigación a mujeres, con lo que se crean modelos de conducta para que las estudiantes sigan un camino no estereotipado.</w:t>
      </w:r>
    </w:p>
    <w:p w14:paraId="2B833FF2" w14:textId="32269AB0" w:rsidR="00CE28E1" w:rsidRPr="00DE7C15" w:rsidRDefault="00CE28E1" w:rsidP="006C1BAD">
      <w:pPr>
        <w:pStyle w:val="SingleTxt"/>
        <w:numPr>
          <w:ilvl w:val="0"/>
          <w:numId w:val="37"/>
        </w:numPr>
        <w:ind w:left="1267"/>
      </w:pPr>
      <w:r w:rsidRPr="00DE7C15">
        <w:t>Durante el período examinado se adoptaron medidas para combatir los estereotipos de género en el empleo y la educación. Se capacitó a orientadores, mediadores laborales y otros empleados de la Oficina de Empleo de la República Checa sobre los estereotipos de género y las maneras de evitarlos al ofrecer oportunidades de empleo. Se incluyeron en el Plan de Acción para la Representación Equilibrada medidas encaminadas a introducir la publicidad con perspectiva de género y a crear comités de selección de composición mixta en cuanto al género. La mayoría de los ministerios han aplicado esas medidas.</w:t>
      </w:r>
    </w:p>
    <w:p w14:paraId="6538FDAE" w14:textId="1F33F4EA" w:rsidR="00CE28E1" w:rsidRPr="00DE7C15" w:rsidRDefault="00CE28E1" w:rsidP="006C1BAD">
      <w:pPr>
        <w:pStyle w:val="SingleTxt"/>
        <w:numPr>
          <w:ilvl w:val="0"/>
          <w:numId w:val="37"/>
        </w:numPr>
        <w:ind w:left="1267"/>
      </w:pPr>
      <w:r w:rsidRPr="00DE7C15">
        <w:t xml:space="preserve">La distribución equitativa de las responsabilidades domésticas y de cuidado de los hijos se promovió con la campaña gubernamental en los medios de comunicación </w:t>
      </w:r>
      <w:r w:rsidR="009106EF" w:rsidRPr="00DE7C15">
        <w:t>“</w:t>
      </w:r>
      <w:r w:rsidRPr="00DE7C15">
        <w:t>¡Esto es Igualdad!</w:t>
      </w:r>
      <w:r w:rsidR="009106EF" w:rsidRPr="00DE7C15">
        <w:t>”</w:t>
      </w:r>
      <w:r w:rsidRPr="00DE7C15">
        <w:t xml:space="preserve">, emitida en </w:t>
      </w:r>
      <w:r w:rsidRPr="00B9592E">
        <w:t>2017</w:t>
      </w:r>
      <w:r w:rsidRPr="00DE7C15">
        <w:t xml:space="preserve">. Los anuncios de televisión de la campaña mostraban a hombres que se acogían a la licencia parental o a mujeres que se turnaban con sus cónyuges en el cuidado de sus hijos y se reincorporaban antes al trabajo. La campaña </w:t>
      </w:r>
      <w:r w:rsidR="009106EF" w:rsidRPr="00DE7C15">
        <w:t>“</w:t>
      </w:r>
      <w:r w:rsidRPr="00DE7C15">
        <w:t>¡Esto es igualdad!</w:t>
      </w:r>
      <w:r w:rsidR="009106EF" w:rsidRPr="00DE7C15">
        <w:t>”</w:t>
      </w:r>
      <w:r w:rsidRPr="00DE7C15">
        <w:t xml:space="preserve"> sigue abordando los estereotipos de género en su sitio web, en las redes sociales y en su material promocional.</w:t>
      </w:r>
    </w:p>
    <w:p w14:paraId="5F9F385B" w14:textId="2A5ABA81" w:rsidR="00554041" w:rsidRPr="00DE7C15" w:rsidRDefault="00CE28E1" w:rsidP="006C1BAD">
      <w:pPr>
        <w:pStyle w:val="SingleTxt"/>
        <w:numPr>
          <w:ilvl w:val="0"/>
          <w:numId w:val="37"/>
        </w:numPr>
        <w:ind w:left="1267"/>
      </w:pPr>
      <w:r w:rsidRPr="00DE7C15">
        <w:t xml:space="preserve">Comprender y aplicar el principio de la igualdad de género en la sociedad sigue siendo uno de los principales objetivos de la educación escolar en virtud de la Ley núm. </w:t>
      </w:r>
      <w:r w:rsidRPr="00B9592E">
        <w:t>561</w:t>
      </w:r>
      <w:r w:rsidRPr="00DE7C15">
        <w:t>/</w:t>
      </w:r>
      <w:r w:rsidRPr="00B9592E">
        <w:t>2004</w:t>
      </w:r>
      <w:r w:rsidRPr="00DE7C15">
        <w:t xml:space="preserve"> (recop.) de Educación Preescolar, Primaria y Secundaria, Formación Profesional Superior y Educación de Otro Tipo, la Ley de Educación, en su forma modificada (en lo sucesivo, </w:t>
      </w:r>
      <w:r w:rsidR="009106EF" w:rsidRPr="00DE7C15">
        <w:t>“</w:t>
      </w:r>
      <w:r w:rsidRPr="00DE7C15">
        <w:t>Ley de Educación</w:t>
      </w:r>
      <w:r w:rsidR="009106EF" w:rsidRPr="00DE7C15">
        <w:t>”</w:t>
      </w:r>
      <w:r w:rsidRPr="00DE7C15">
        <w:t>). Se ha preparado apoyo metodológico sobre los enfoques que tienen en cuenta el género para el cuerpo docente y los alumnos. Además, el manual para orientadores educativos y asesores sobre perspectivas de carrera se ha actualizado con ejemplos de carreras sin estereotipos de género. La lucha contra los estereotipos de género se intensificará en el contexto de los exámenes de los programas educativos marco y la elaboración de los libros de texto y el material didáctico.</w:t>
      </w:r>
    </w:p>
    <w:p w14:paraId="10DCABE5" w14:textId="09B1520E" w:rsidR="00CE28E1" w:rsidRPr="00DE7C15" w:rsidRDefault="00CE28E1" w:rsidP="006C1BAD">
      <w:pPr>
        <w:pStyle w:val="SingleTxt"/>
        <w:numPr>
          <w:ilvl w:val="0"/>
          <w:numId w:val="37"/>
        </w:numPr>
        <w:ind w:left="1267"/>
      </w:pPr>
      <w:r w:rsidRPr="00DE7C15">
        <w:t xml:space="preserve">El Departamento también prestó especial atención a la cuestión de los estereotipos de género en la vida política. La publicación </w:t>
      </w:r>
      <w:r w:rsidR="009106EF" w:rsidRPr="00DE7C15">
        <w:t>“</w:t>
      </w:r>
      <w:r w:rsidRPr="00DE7C15">
        <w:t>Análisis sobre los estereotipos de género y las maneras en que se presenta a mujeres y hombres en las campañas electorales</w:t>
      </w:r>
      <w:r w:rsidR="009106EF" w:rsidRPr="00DE7C15">
        <w:t>”</w:t>
      </w:r>
      <w:r w:rsidRPr="00DE7C15">
        <w:t xml:space="preserve"> (en checo) se centró en los programas electorales, los debates preelectorales y las maneras en que se presentó a las mujeres en las campañas electorales legislativa de </w:t>
      </w:r>
      <w:r w:rsidRPr="00B9592E">
        <w:t>2017</w:t>
      </w:r>
      <w:r w:rsidRPr="00DE7C15">
        <w:t xml:space="preserve"> y presidencial de </w:t>
      </w:r>
      <w:r w:rsidRPr="00B9592E">
        <w:t>2018</w:t>
      </w:r>
      <w:r w:rsidRPr="00DE7C15">
        <w:t>.</w:t>
      </w:r>
    </w:p>
    <w:p w14:paraId="4E5FC162" w14:textId="20FAE161" w:rsidR="00554041" w:rsidRPr="00DE7C15" w:rsidRDefault="00CE28E1" w:rsidP="006C1BAD">
      <w:pPr>
        <w:pStyle w:val="SingleTxt"/>
        <w:numPr>
          <w:ilvl w:val="0"/>
          <w:numId w:val="37"/>
        </w:numPr>
        <w:ind w:left="1267"/>
      </w:pPr>
      <w:r w:rsidRPr="00DE7C15">
        <w:t xml:space="preserve">En </w:t>
      </w:r>
      <w:r w:rsidRPr="00B9592E">
        <w:t>2021</w:t>
      </w:r>
      <w:r w:rsidRPr="00DE7C15">
        <w:t xml:space="preserve"> se dictó una importante resolución judicial relativa a la publicidad sexista, de la que durante mucho tiempo solo se han ocupado las ONG, en particular la asociación ciudadana NESEHNUTÍ. El Tribunal Administrativo Supremo dictaminó en la causa de Index Čechy s.r.o. que un folleto que mostraba el cuerpo casi desnudo de una mujer sin que la imagen tuviera relación alguna con el servicio anunciado era contrario a las buenas costumbres, rebajaba la dignidad humana y constituía discriminación contra la mujer. Con arreglo a la decisión del Tribunal, el mensaje publicitario no solo tiene una función promocional, sino también cultural, ya </w:t>
      </w:r>
      <w:r w:rsidRPr="00DE7C15">
        <w:lastRenderedPageBreak/>
        <w:t>que refleja la realidad social y puede moldearla. Por consiguiente, según el Tribunal Administrativo Supremo, es importante que la publicidad no presente fenómenos socialmente indeseables que degraden la posición de la mujer en la sociedad.</w:t>
      </w:r>
    </w:p>
    <w:p w14:paraId="393ADF38" w14:textId="7A41EE4C" w:rsidR="009106EF" w:rsidRPr="00DE7C15" w:rsidRDefault="009106EF" w:rsidP="009106EF">
      <w:pPr>
        <w:pStyle w:val="SingleTxt"/>
        <w:spacing w:after="0" w:line="120" w:lineRule="exact"/>
        <w:rPr>
          <w:sz w:val="10"/>
        </w:rPr>
      </w:pPr>
    </w:p>
    <w:p w14:paraId="229244B5" w14:textId="77777777" w:rsidR="009106EF" w:rsidRPr="00DE7C15" w:rsidRDefault="009106EF" w:rsidP="009106EF">
      <w:pPr>
        <w:pStyle w:val="SingleTxt"/>
        <w:spacing w:after="0" w:line="120" w:lineRule="exact"/>
        <w:rPr>
          <w:sz w:val="10"/>
        </w:rPr>
      </w:pPr>
    </w:p>
    <w:p w14:paraId="40C7DEA3"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Violencia doméstica y de género</w:t>
      </w:r>
    </w:p>
    <w:p w14:paraId="712CD9B8" w14:textId="606293AB" w:rsidR="009106EF" w:rsidRPr="00DE7C15" w:rsidRDefault="009106EF" w:rsidP="009106EF">
      <w:pPr>
        <w:pStyle w:val="SingleTxt"/>
        <w:spacing w:after="0" w:line="120" w:lineRule="exact"/>
        <w:rPr>
          <w:sz w:val="10"/>
        </w:rPr>
      </w:pPr>
    </w:p>
    <w:p w14:paraId="5B20E786" w14:textId="77777777" w:rsidR="009106EF" w:rsidRPr="00DE7C15" w:rsidRDefault="009106EF" w:rsidP="009106EF">
      <w:pPr>
        <w:pStyle w:val="SingleTxt"/>
        <w:spacing w:after="0" w:line="120" w:lineRule="exact"/>
        <w:rPr>
          <w:sz w:val="10"/>
        </w:rPr>
      </w:pPr>
    </w:p>
    <w:p w14:paraId="476D28B3" w14:textId="5F4442D5" w:rsidR="00554041" w:rsidRPr="00DE7C15" w:rsidRDefault="00CE28E1" w:rsidP="006C1BAD">
      <w:pPr>
        <w:pStyle w:val="SingleTxt"/>
        <w:numPr>
          <w:ilvl w:val="0"/>
          <w:numId w:val="37"/>
        </w:numPr>
        <w:ind w:left="1267"/>
      </w:pPr>
      <w:r w:rsidRPr="00DE7C15">
        <w:t xml:space="preserve">Desde </w:t>
      </w:r>
      <w:r w:rsidRPr="00B9592E">
        <w:t>2011</w:t>
      </w:r>
      <w:r w:rsidRPr="00DE7C15">
        <w:t xml:space="preserve"> se han aprobado en Chequia planes de acción para prevenir y combatir la violencia doméstica. Cuando el Plan de Acción Nacional para la Prevención de la Violencia Doméstica </w:t>
      </w:r>
      <w:r w:rsidRPr="00B9592E">
        <w:t>2011</w:t>
      </w:r>
      <w:r w:rsidRPr="00DE7C15">
        <w:t>-</w:t>
      </w:r>
      <w:r w:rsidRPr="00B9592E">
        <w:t>2014</w:t>
      </w:r>
      <w:r w:rsidRPr="00DE7C15">
        <w:t xml:space="preserve"> (en lo sucesivo, </w:t>
      </w:r>
      <w:r w:rsidR="009106EF" w:rsidRPr="00DE7C15">
        <w:t>“</w:t>
      </w:r>
      <w:r w:rsidRPr="00DE7C15">
        <w:t xml:space="preserve">Plan de Acción de Violencia Doméstica </w:t>
      </w:r>
      <w:r w:rsidRPr="00B9592E">
        <w:t>2011</w:t>
      </w:r>
      <w:r w:rsidRPr="00DE7C15">
        <w:t>-</w:t>
      </w:r>
      <w:r w:rsidRPr="00B9592E">
        <w:t>2014</w:t>
      </w:r>
      <w:r w:rsidR="009106EF" w:rsidRPr="00DE7C15">
        <w:t>”</w:t>
      </w:r>
      <w:r w:rsidRPr="00DE7C15">
        <w:t xml:space="preserve">) llegó a su fin, se aprobó mediante la resolución del Gobierno núm. </w:t>
      </w:r>
      <w:r w:rsidRPr="00B9592E">
        <w:t>126</w:t>
      </w:r>
      <w:r w:rsidRPr="00DE7C15">
        <w:t xml:space="preserve"> de fecha </w:t>
      </w:r>
      <w:r w:rsidRPr="00B9592E">
        <w:t>23</w:t>
      </w:r>
      <w:r w:rsidRPr="00DE7C15">
        <w:t xml:space="preserve"> de febrero de </w:t>
      </w:r>
      <w:r w:rsidRPr="00B9592E">
        <w:t>2015</w:t>
      </w:r>
      <w:r w:rsidRPr="00DE7C15">
        <w:t xml:space="preserve"> el Plan de Acción para la Prevención de la Violencia Doméstica y de Género </w:t>
      </w:r>
      <w:r w:rsidRPr="00B9592E">
        <w:t>2015</w:t>
      </w:r>
      <w:r w:rsidRPr="00DE7C15">
        <w:t>-</w:t>
      </w:r>
      <w:r w:rsidRPr="00B9592E">
        <w:t>2018</w:t>
      </w:r>
      <w:r w:rsidRPr="00DE7C15">
        <w:t xml:space="preserve"> (en lo sucesivo, </w:t>
      </w:r>
      <w:r w:rsidR="009106EF" w:rsidRPr="00DE7C15">
        <w:t>“</w:t>
      </w:r>
      <w:r w:rsidRPr="00DE7C15">
        <w:t xml:space="preserve">Plan de Acción de Violencia Doméstica </w:t>
      </w:r>
      <w:r w:rsidRPr="00B9592E">
        <w:t>2015</w:t>
      </w:r>
      <w:r w:rsidRPr="00DE7C15">
        <w:t>-</w:t>
      </w:r>
      <w:r w:rsidRPr="00B9592E">
        <w:t>2018</w:t>
      </w:r>
      <w:r w:rsidR="009106EF" w:rsidRPr="00DE7C15">
        <w:t>”</w:t>
      </w:r>
      <w:r w:rsidRPr="00DE7C15">
        <w:t xml:space="preserve">). Cuando este concluyó, se aprobó mediante la resolución del Gobierno núm. </w:t>
      </w:r>
      <w:r w:rsidRPr="00B9592E">
        <w:t>318</w:t>
      </w:r>
      <w:r w:rsidRPr="00DE7C15">
        <w:t xml:space="preserve"> de fecha </w:t>
      </w:r>
      <w:r w:rsidRPr="00B9592E">
        <w:t>6</w:t>
      </w:r>
      <w:r w:rsidRPr="00DE7C15">
        <w:t xml:space="preserve"> de mayo de </w:t>
      </w:r>
      <w:r w:rsidRPr="00B9592E">
        <w:t>2019</w:t>
      </w:r>
      <w:r w:rsidRPr="00DE7C15">
        <w:t xml:space="preserve"> el Plan de Acción para la Prevención de la Violencia Doméstica y de Género </w:t>
      </w:r>
      <w:r w:rsidRPr="00B9592E">
        <w:t>2019</w:t>
      </w:r>
      <w:r w:rsidRPr="00DE7C15">
        <w:t>-</w:t>
      </w:r>
      <w:r w:rsidRPr="00B9592E">
        <w:t>2022</w:t>
      </w:r>
      <w:r w:rsidRPr="00DE7C15">
        <w:t xml:space="preserve"> (en lo sucesivo </w:t>
      </w:r>
      <w:r w:rsidR="009106EF" w:rsidRPr="00DE7C15">
        <w:t>“</w:t>
      </w:r>
      <w:r w:rsidRPr="00DE7C15">
        <w:t xml:space="preserve">Plan de Acción de Violencia Doméstica </w:t>
      </w:r>
      <w:r w:rsidRPr="00B9592E">
        <w:t>2019</w:t>
      </w:r>
      <w:r w:rsidRPr="00DE7C15">
        <w:t>-</w:t>
      </w:r>
      <w:r w:rsidRPr="00B9592E">
        <w:t>2022</w:t>
      </w:r>
      <w:r w:rsidR="009106EF" w:rsidRPr="00DE7C15">
        <w:t>”</w:t>
      </w:r>
      <w:r w:rsidRPr="00DE7C15">
        <w:t xml:space="preserve">). Los preparativos para llevar a cabo un plan de acción de continuación comenzaron en </w:t>
      </w:r>
      <w:r w:rsidRPr="00B9592E">
        <w:t>2022</w:t>
      </w:r>
      <w:r w:rsidRPr="00DE7C15">
        <w:t>.</w:t>
      </w:r>
    </w:p>
    <w:p w14:paraId="61B1DF6B" w14:textId="7737E0DF" w:rsidR="00554041" w:rsidRPr="00DE7C15" w:rsidRDefault="00CE28E1" w:rsidP="006C1BAD">
      <w:pPr>
        <w:pStyle w:val="SingleTxt"/>
        <w:numPr>
          <w:ilvl w:val="0"/>
          <w:numId w:val="37"/>
        </w:numPr>
        <w:ind w:left="1267"/>
      </w:pPr>
      <w:r w:rsidRPr="00DE7C15">
        <w:t xml:space="preserve">En comparación con el Plan de Acción de Violencia Doméstica </w:t>
      </w:r>
      <w:r w:rsidRPr="00B9592E">
        <w:t>2011</w:t>
      </w:r>
      <w:r w:rsidRPr="00DE7C15">
        <w:t>-</w:t>
      </w:r>
      <w:r w:rsidRPr="00B9592E">
        <w:t>2014</w:t>
      </w:r>
      <w:r w:rsidRPr="00DE7C15">
        <w:t xml:space="preserve">, en los correspondientes a los períodos </w:t>
      </w:r>
      <w:r w:rsidRPr="00B9592E">
        <w:t>2015</w:t>
      </w:r>
      <w:r w:rsidRPr="00DE7C15">
        <w:t>-</w:t>
      </w:r>
      <w:r w:rsidRPr="00B9592E">
        <w:t>2018</w:t>
      </w:r>
      <w:r w:rsidRPr="00DE7C15">
        <w:t xml:space="preserve"> y </w:t>
      </w:r>
      <w:r w:rsidRPr="00B9592E">
        <w:t>2019</w:t>
      </w:r>
      <w:r w:rsidRPr="00DE7C15">
        <w:t>-</w:t>
      </w:r>
      <w:r w:rsidRPr="00B9592E">
        <w:t>2022</w:t>
      </w:r>
      <w:r w:rsidRPr="00DE7C15">
        <w:t xml:space="preserve"> se amplió el enfoque con el fin incluir en ellos otras formas de violencia de género definidas en el Convenio de Estambul. Según los datos estadísticos disponibles, en Chequia esas formas de violencia son principalmente las violaciones, los abusos sexuales y el hostigamiento criminal peligroso; por tanto, se les ha prestado más atención en los planes de acción de continuación. Tanto el Plan de Acción de Violencia Doméstica </w:t>
      </w:r>
      <w:r w:rsidRPr="00B9592E">
        <w:t>2015</w:t>
      </w:r>
      <w:r w:rsidRPr="00DE7C15">
        <w:t>-</w:t>
      </w:r>
      <w:r w:rsidRPr="00B9592E">
        <w:t>2018</w:t>
      </w:r>
      <w:r w:rsidRPr="00DE7C15">
        <w:t xml:space="preserve"> como el Plan de Acción de Violencia Doméstica </w:t>
      </w:r>
      <w:r w:rsidRPr="00B9592E">
        <w:t>2019</w:t>
      </w:r>
      <w:r w:rsidRPr="00DE7C15">
        <w:t>-</w:t>
      </w:r>
      <w:r w:rsidRPr="00B9592E">
        <w:t>2022</w:t>
      </w:r>
      <w:r w:rsidRPr="00DE7C15">
        <w:t xml:space="preserve"> se basaron en la aplicación de un enfoque específico de género a esas formas de violencia, con lo que se reconocieron las necesidades específicas de género de las mujeres y los hombres tanto en su papel de personas en riesgo como de perpetradores de los actos de violencia. Lo que se pretende con los planes de acción de continuación es reflejar la interseccionalidad entre medidas y abarcar al mismo tiempo todas las formas de violencia doméstica y de género, con independencia del género de las personas que cometen los actos de violencia y de las personas en riesgo de sufrirlos.</w:t>
      </w:r>
    </w:p>
    <w:p w14:paraId="2931DE1D" w14:textId="5EAEB539" w:rsidR="00554041" w:rsidRPr="00DE7C15" w:rsidRDefault="00CE28E1" w:rsidP="006C1BAD">
      <w:pPr>
        <w:pStyle w:val="SingleTxt"/>
        <w:numPr>
          <w:ilvl w:val="0"/>
          <w:numId w:val="37"/>
        </w:numPr>
        <w:ind w:left="1267"/>
      </w:pPr>
      <w:r w:rsidRPr="00DE7C15">
        <w:t xml:space="preserve">La elaboración de los planes de acción de violencia doméstica estuvo a cargo de la Unidad de Igualdad de Género (en el caso del Plan de Acción de Violencia Doméstica </w:t>
      </w:r>
      <w:r w:rsidRPr="00B9592E">
        <w:t>2015</w:t>
      </w:r>
      <w:r w:rsidRPr="00DE7C15">
        <w:t>-</w:t>
      </w:r>
      <w:r w:rsidRPr="00B9592E">
        <w:t>2018</w:t>
      </w:r>
      <w:r w:rsidRPr="00DE7C15">
        <w:t xml:space="preserve">) o del Departamento (en el caso del Plan de Acción de Violencia Doméstica </w:t>
      </w:r>
      <w:r w:rsidRPr="00B9592E">
        <w:t>2019</w:t>
      </w:r>
      <w:r w:rsidRPr="00DE7C15">
        <w:t>-</w:t>
      </w:r>
      <w:r w:rsidRPr="00B9592E">
        <w:t>2022</w:t>
      </w:r>
      <w:r w:rsidRPr="00DE7C15">
        <w:t>), en colaboración con el Comité para la Prevención de la Violencia Doméstica y la Violencia contra la Mujer, que es un órgano de trabajo del Consejo. El Comité reúne a expertos en violencia doméstica y de género de la administración pública, las ONG y los proveedores de servicios sociales, el mundo académico, las fuerzas de policía y la administración de justicia.</w:t>
      </w:r>
    </w:p>
    <w:p w14:paraId="462D4B11" w14:textId="182C2DD6" w:rsidR="00554041" w:rsidRPr="00DE7C15" w:rsidRDefault="00CE28E1" w:rsidP="006C1BAD">
      <w:pPr>
        <w:pStyle w:val="SingleTxt"/>
        <w:numPr>
          <w:ilvl w:val="0"/>
          <w:numId w:val="37"/>
        </w:numPr>
        <w:ind w:left="1267"/>
      </w:pPr>
      <w:r w:rsidRPr="00DE7C15">
        <w:t>Los planes de acción de violencia doméstica responden a la situación actual en Chequia, donde la violencia doméstica sigue siendo un fenómeno social grave y generalizado, según datos del Ministerio del Interior, el Ministerio de Justicia y las estadísticas de los centros de investigación y los proveedores de servicios sociales.</w:t>
      </w:r>
    </w:p>
    <w:p w14:paraId="39B2455D" w14:textId="405ABA89" w:rsidR="00554041" w:rsidRPr="00DE7C15" w:rsidRDefault="00CE28E1" w:rsidP="006C1BAD">
      <w:pPr>
        <w:pStyle w:val="SingleTxt"/>
        <w:numPr>
          <w:ilvl w:val="0"/>
          <w:numId w:val="37"/>
        </w:numPr>
        <w:ind w:left="1267"/>
      </w:pPr>
      <w:r w:rsidRPr="00DE7C15">
        <w:t xml:space="preserve">El Plan de Acción de Violencia Doméstica </w:t>
      </w:r>
      <w:r w:rsidRPr="00B9592E">
        <w:t>2019</w:t>
      </w:r>
      <w:r w:rsidRPr="00DE7C15">
        <w:t>-</w:t>
      </w:r>
      <w:r w:rsidRPr="00B9592E">
        <w:t>2022</w:t>
      </w:r>
      <w:r w:rsidRPr="00DE7C15">
        <w:t xml:space="preserve"> contenía </w:t>
      </w:r>
      <w:r w:rsidRPr="00B9592E">
        <w:t>24</w:t>
      </w:r>
      <w:r w:rsidRPr="00DE7C15">
        <w:t xml:space="preserve"> medidas y </w:t>
      </w:r>
      <w:r w:rsidRPr="00B9592E">
        <w:t>68</w:t>
      </w:r>
      <w:r w:rsidRPr="00DE7C15">
        <w:t xml:space="preserve"> productos divididos en tres esferas estratégicas: prevención, protección y apoyo a las personas en situación de riesgo (incluidos los niños), y acceso a la justicia.</w:t>
      </w:r>
    </w:p>
    <w:p w14:paraId="5317B85D" w14:textId="7DFA88BE" w:rsidR="00554041" w:rsidRPr="00DE7C15" w:rsidRDefault="00CE28E1" w:rsidP="006C1BAD">
      <w:pPr>
        <w:pStyle w:val="SingleTxt"/>
        <w:numPr>
          <w:ilvl w:val="0"/>
          <w:numId w:val="37"/>
        </w:numPr>
        <w:ind w:left="1267"/>
      </w:pPr>
      <w:r w:rsidRPr="00B9592E">
        <w:rPr>
          <w:spacing w:val="0"/>
        </w:rPr>
        <w:t>Las prioridades principales del Plan de Acción de Violencia Doméstica</w:t>
      </w:r>
      <w:r w:rsidR="00F41B31" w:rsidRPr="00B9592E">
        <w:rPr>
          <w:spacing w:val="0"/>
        </w:rPr>
        <w:t xml:space="preserve"> </w:t>
      </w:r>
      <w:r w:rsidRPr="00B9592E">
        <w:rPr>
          <w:spacing w:val="0"/>
        </w:rPr>
        <w:t xml:space="preserve">2019-2022 incluían garantizar la disponibilidad regional de servicios especializados para las personas en riesgo de violencia y sus hijos, como centros de acogida, alojamientos para casos de emergencia y asistencia telefónica en emergencias, además de programas de terapia para </w:t>
      </w:r>
      <w:r w:rsidRPr="00B9592E">
        <w:rPr>
          <w:spacing w:val="0"/>
        </w:rPr>
        <w:lastRenderedPageBreak/>
        <w:t>personas violentas. También mejoraba la capacitación, la orientación metodológica y la cooperación de las profesiones de ayuda y se centraba en la prevención de la violencia mediante actividades de sensibilización y educación escolar. En 2021, el Gobierno aprobó una actualización del Plan de Acción de Violencia Doméstica 2019-2022 que incluía, entre otras cosas, nuevas medidas para prevenir la ciberviolencia, la violencia contra los hombres y las mujeres de edad y una mayor protección de las víctimas de la violencia doméstica y de género durante las crisis, como la pandemia de COVID-19 y las medidas restrictivas conexas. La entrada en vigor de la Ley núm. 250/2016 (recop.) de Responsabilidad por los Delitos y Procedimiento Aplicable permitió imponer la obligación de someterse a un programa adecuado de gestión de la agresividad o la conducta violenta a las personas que cometen actos de violencia en las relaciones íntimas. También se ha ampliado la protección de las personas que comparecen en juicios de faltas (por ejemplo, protección de los datos personales</w:t>
      </w:r>
      <w:r w:rsidRPr="00DE7C15">
        <w:t>).</w:t>
      </w:r>
    </w:p>
    <w:p w14:paraId="4E9C4C6B" w14:textId="6FBFF580" w:rsidR="00CE28E1" w:rsidRPr="00DE7C15" w:rsidRDefault="00CE28E1" w:rsidP="006C1BAD">
      <w:pPr>
        <w:pStyle w:val="SingleTxt"/>
        <w:numPr>
          <w:ilvl w:val="0"/>
          <w:numId w:val="37"/>
        </w:numPr>
        <w:ind w:left="1267"/>
      </w:pPr>
      <w:r w:rsidRPr="00DE7C15">
        <w:t xml:space="preserve">El Plan de Acción de Violencia Doméstica </w:t>
      </w:r>
      <w:r w:rsidRPr="00B9592E">
        <w:t>2019</w:t>
      </w:r>
      <w:r w:rsidRPr="00DE7C15">
        <w:t>-</w:t>
      </w:r>
      <w:r w:rsidRPr="00B9592E">
        <w:t>2022</w:t>
      </w:r>
      <w:r w:rsidRPr="00DE7C15">
        <w:t xml:space="preserve"> contenía </w:t>
      </w:r>
      <w:r w:rsidRPr="00B9592E">
        <w:t>34</w:t>
      </w:r>
      <w:r w:rsidRPr="00DE7C15">
        <w:t xml:space="preserve"> medidas para </w:t>
      </w:r>
      <w:r w:rsidRPr="00B9592E">
        <w:t>2020</w:t>
      </w:r>
      <w:r w:rsidRPr="00DE7C15">
        <w:t xml:space="preserve">, de las que </w:t>
      </w:r>
      <w:r w:rsidRPr="00B9592E">
        <w:t>15</w:t>
      </w:r>
      <w:r w:rsidRPr="00DE7C15">
        <w:t xml:space="preserve"> (</w:t>
      </w:r>
      <w:r w:rsidRPr="00B9592E">
        <w:t>44</w:t>
      </w:r>
      <w:r w:rsidRPr="00DE7C15">
        <w:t>,</w:t>
      </w:r>
      <w:r w:rsidRPr="00B9592E">
        <w:t>1</w:t>
      </w:r>
      <w:r w:rsidR="009106EF" w:rsidRPr="00DE7C15">
        <w:t> %</w:t>
      </w:r>
      <w:r w:rsidRPr="00DE7C15">
        <w:t xml:space="preserve">) se aplicaron, </w:t>
      </w:r>
      <w:r w:rsidRPr="00B9592E">
        <w:t>14</w:t>
      </w:r>
      <w:r w:rsidRPr="00DE7C15">
        <w:t xml:space="preserve"> (</w:t>
      </w:r>
      <w:r w:rsidRPr="00B9592E">
        <w:t>41</w:t>
      </w:r>
      <w:r w:rsidRPr="00DE7C15">
        <w:t>,</w:t>
      </w:r>
      <w:r w:rsidRPr="00B9592E">
        <w:t>2</w:t>
      </w:r>
      <w:r w:rsidR="009106EF" w:rsidRPr="00DE7C15">
        <w:t> %</w:t>
      </w:r>
      <w:r w:rsidRPr="00DE7C15">
        <w:t xml:space="preserve">) se aplicaron parcialmente y </w:t>
      </w:r>
      <w:r w:rsidRPr="00B9592E">
        <w:t>5</w:t>
      </w:r>
      <w:r w:rsidRPr="00DE7C15">
        <w:t xml:space="preserve"> (</w:t>
      </w:r>
      <w:r w:rsidRPr="00B9592E">
        <w:t>14</w:t>
      </w:r>
      <w:r w:rsidRPr="00DE7C15">
        <w:t>,</w:t>
      </w:r>
      <w:r w:rsidRPr="00B9592E">
        <w:t>7</w:t>
      </w:r>
      <w:r w:rsidR="009106EF" w:rsidRPr="00DE7C15">
        <w:t> %</w:t>
      </w:r>
      <w:r w:rsidRPr="00DE7C15">
        <w:t xml:space="preserve">) no se aplicaron. Si se incluyen también las medidas aplicadas parcialmente o no aplicadas en </w:t>
      </w:r>
      <w:r w:rsidRPr="00B9592E">
        <w:t>2019</w:t>
      </w:r>
      <w:r w:rsidRPr="00DE7C15">
        <w:t xml:space="preserve">, en </w:t>
      </w:r>
      <w:r w:rsidRPr="00B9592E">
        <w:t>2020</w:t>
      </w:r>
      <w:r w:rsidRPr="00DE7C15">
        <w:t xml:space="preserve"> debían aplicarse </w:t>
      </w:r>
      <w:r w:rsidRPr="00B9592E">
        <w:t>50</w:t>
      </w:r>
      <w:r w:rsidRPr="00DE7C15">
        <w:t xml:space="preserve"> medidas. De ese total, se aplicaron </w:t>
      </w:r>
      <w:r w:rsidRPr="00B9592E">
        <w:t>15</w:t>
      </w:r>
      <w:r w:rsidRPr="00DE7C15">
        <w:t xml:space="preserve"> (</w:t>
      </w:r>
      <w:r w:rsidRPr="00B9592E">
        <w:t>30</w:t>
      </w:r>
      <w:r w:rsidR="009106EF" w:rsidRPr="00DE7C15">
        <w:t> %</w:t>
      </w:r>
      <w:r w:rsidRPr="00DE7C15">
        <w:t xml:space="preserve">), se aplicaron parcialmente </w:t>
      </w:r>
      <w:r w:rsidRPr="00B9592E">
        <w:t>18</w:t>
      </w:r>
      <w:r w:rsidRPr="00DE7C15">
        <w:t xml:space="preserve"> (</w:t>
      </w:r>
      <w:r w:rsidRPr="00B9592E">
        <w:t>36</w:t>
      </w:r>
      <w:r w:rsidR="009106EF" w:rsidRPr="00DE7C15">
        <w:t> %</w:t>
      </w:r>
      <w:r w:rsidRPr="00DE7C15">
        <w:t xml:space="preserve">) y no se aplicaron </w:t>
      </w:r>
      <w:r w:rsidRPr="00B9592E">
        <w:t>17</w:t>
      </w:r>
      <w:r w:rsidRPr="00DE7C15">
        <w:t xml:space="preserve"> (</w:t>
      </w:r>
      <w:r w:rsidRPr="00B9592E">
        <w:t>34</w:t>
      </w:r>
      <w:r w:rsidR="009106EF" w:rsidRPr="00DE7C15">
        <w:t> %</w:t>
      </w:r>
      <w:r w:rsidRPr="00DE7C15">
        <w:t xml:space="preserve">). El último informe sobre la ejecución del Plan de Acción de Violencia Doméstica </w:t>
      </w:r>
      <w:r w:rsidRPr="00B9592E">
        <w:t>2019</w:t>
      </w:r>
      <w:r w:rsidRPr="00DE7C15">
        <w:t>-</w:t>
      </w:r>
      <w:r w:rsidRPr="00B9592E">
        <w:t>2022</w:t>
      </w:r>
      <w:r w:rsidRPr="00DE7C15">
        <w:t xml:space="preserve"> indica que de las </w:t>
      </w:r>
      <w:r w:rsidRPr="00B9592E">
        <w:t>61</w:t>
      </w:r>
      <w:r w:rsidRPr="00DE7C15">
        <w:t xml:space="preserve"> medidas con plazo de aplicación en </w:t>
      </w:r>
      <w:r w:rsidRPr="00B9592E">
        <w:t>2021</w:t>
      </w:r>
      <w:r w:rsidRPr="00DE7C15">
        <w:t xml:space="preserve"> o parcialmente aplicadas o no aplicadas en años anteriores, </w:t>
      </w:r>
      <w:r w:rsidRPr="00B9592E">
        <w:t>23</w:t>
      </w:r>
      <w:r w:rsidRPr="00DE7C15">
        <w:t xml:space="preserve"> (</w:t>
      </w:r>
      <w:r w:rsidRPr="00B9592E">
        <w:t>37</w:t>
      </w:r>
      <w:r w:rsidRPr="00DE7C15">
        <w:t>,</w:t>
      </w:r>
      <w:r w:rsidRPr="00B9592E">
        <w:t>7</w:t>
      </w:r>
      <w:r w:rsidR="009106EF" w:rsidRPr="00DE7C15">
        <w:t> %</w:t>
      </w:r>
      <w:r w:rsidRPr="00DE7C15">
        <w:t xml:space="preserve">) se aplicaron, </w:t>
      </w:r>
      <w:r w:rsidRPr="00B9592E">
        <w:t>17</w:t>
      </w:r>
      <w:r w:rsidRPr="00DE7C15">
        <w:t xml:space="preserve"> (</w:t>
      </w:r>
      <w:r w:rsidRPr="00B9592E">
        <w:t>27</w:t>
      </w:r>
      <w:r w:rsidRPr="00DE7C15">
        <w:t>,</w:t>
      </w:r>
      <w:r w:rsidRPr="00B9592E">
        <w:t>9</w:t>
      </w:r>
      <w:r w:rsidR="009106EF" w:rsidRPr="00DE7C15">
        <w:t> %</w:t>
      </w:r>
      <w:r w:rsidRPr="00DE7C15">
        <w:t xml:space="preserve">) se aplicaron parcialmente y </w:t>
      </w:r>
      <w:r w:rsidRPr="00B9592E">
        <w:t>21</w:t>
      </w:r>
      <w:r w:rsidRPr="00DE7C15">
        <w:t xml:space="preserve"> (</w:t>
      </w:r>
      <w:r w:rsidRPr="00B9592E">
        <w:t>34</w:t>
      </w:r>
      <w:r w:rsidRPr="00DE7C15">
        <w:t>,</w:t>
      </w:r>
      <w:r w:rsidRPr="00B9592E">
        <w:t>4</w:t>
      </w:r>
      <w:r w:rsidR="009106EF" w:rsidRPr="00DE7C15">
        <w:t> %</w:t>
      </w:r>
      <w:r w:rsidRPr="00DE7C15">
        <w:t>) no se aplicaron.</w:t>
      </w:r>
    </w:p>
    <w:p w14:paraId="5D2C732B" w14:textId="38E44769" w:rsidR="00CE28E1" w:rsidRPr="00DE7C15" w:rsidRDefault="00CE28E1" w:rsidP="006C1BAD">
      <w:pPr>
        <w:pStyle w:val="SingleTxt"/>
        <w:numPr>
          <w:ilvl w:val="0"/>
          <w:numId w:val="37"/>
        </w:numPr>
        <w:ind w:left="1267"/>
      </w:pPr>
      <w:r w:rsidRPr="00DE7C15">
        <w:t xml:space="preserve">Chequia sigue careciendo de servicios especializados para las víctimas de la violencia doméstica y de género y sus hijos. La modificación de la Ley núm. </w:t>
      </w:r>
      <w:r w:rsidRPr="00B9592E">
        <w:t>108</w:t>
      </w:r>
      <w:r w:rsidRPr="00DE7C15">
        <w:t>/</w:t>
      </w:r>
      <w:r w:rsidRPr="00B9592E">
        <w:t>2006</w:t>
      </w:r>
      <w:r w:rsidRPr="00DE7C15">
        <w:t xml:space="preserve"> (recop.) de Servicios Sociales, en su forma modificada, supondrá un cambio importante a este respecto, ya que promoverá la especialización y la disponibilidad de servicios sociales para las víctimas de la violencia doméstica y de género. En la legislatura anterior, el Gobierno no debatió el proyecto de modificación. Está previsto que el texto vuelva a someterse a consideración en </w:t>
      </w:r>
      <w:r w:rsidRPr="00B9592E">
        <w:t>2023</w:t>
      </w:r>
      <w:r w:rsidRPr="00DE7C15">
        <w:t>.</w:t>
      </w:r>
    </w:p>
    <w:p w14:paraId="78EAA93D" w14:textId="317C151B" w:rsidR="00554041" w:rsidRPr="00DE7C15" w:rsidRDefault="00CE28E1" w:rsidP="006C1BAD">
      <w:pPr>
        <w:pStyle w:val="SingleTxt"/>
        <w:numPr>
          <w:ilvl w:val="0"/>
          <w:numId w:val="37"/>
        </w:numPr>
        <w:ind w:left="1267"/>
      </w:pPr>
      <w:r w:rsidRPr="00DE7C15">
        <w:t xml:space="preserve">Desde </w:t>
      </w:r>
      <w:r w:rsidRPr="00B9592E">
        <w:t>2020</w:t>
      </w:r>
      <w:r w:rsidRPr="00DE7C15">
        <w:t xml:space="preserve">, el Ministerio de Finanzas administra un programa sobre los derechos humanos, la inclusión de los romaníes y la prevención de la violencia doméstica y de género que se financia con subvenciones de Noruega. El monto aproximado asignado al programa es de </w:t>
      </w:r>
      <w:r w:rsidRPr="00B9592E">
        <w:t>580</w:t>
      </w:r>
      <w:r w:rsidRPr="00DE7C15">
        <w:t xml:space="preserve"> millones de coronas checas, de los que unos </w:t>
      </w:r>
      <w:r w:rsidRPr="00B9592E">
        <w:t>156</w:t>
      </w:r>
      <w:r w:rsidRPr="00DE7C15">
        <w:t xml:space="preserve"> millones se han destinado a la esfera de violencia doméstica y de género del programa, repartidos a lo largo de cuatro años.</w:t>
      </w:r>
    </w:p>
    <w:p w14:paraId="18BEB49D" w14:textId="1DA0AC69" w:rsidR="00CE28E1" w:rsidRPr="00DE7C15" w:rsidRDefault="00CE28E1" w:rsidP="006C1BAD">
      <w:pPr>
        <w:pStyle w:val="SingleTxt"/>
        <w:numPr>
          <w:ilvl w:val="0"/>
          <w:numId w:val="37"/>
        </w:numPr>
        <w:ind w:left="1267"/>
      </w:pPr>
      <w:r w:rsidRPr="00DE7C15">
        <w:t xml:space="preserve">El Ministerio de Trabajo y Asuntos Sociales sigue aplicando un programa de subvenciones relativo a la familia y la protección de los derechos del niño. La prevención de la violencia contra la mujer y el niño, incluida la violencia doméstica y sexual, recibe apoyo en el marco de las esferas de subvención de actividades preventivas en apoyo de las familias y de apoyo al trabajo con niños y familias de la Agenda de Protección Social y Jurídica del Niño. La asignación económica del programa de subvenciones ascendió a un monto comprendido entre </w:t>
      </w:r>
      <w:r w:rsidRPr="00B9592E">
        <w:t>94</w:t>
      </w:r>
      <w:r w:rsidRPr="00DE7C15">
        <w:t xml:space="preserve"> y </w:t>
      </w:r>
      <w:r w:rsidRPr="00B9592E">
        <w:t>100</w:t>
      </w:r>
      <w:r w:rsidRPr="00DE7C15">
        <w:t xml:space="preserve"> millones de coronas checas anuales entre </w:t>
      </w:r>
      <w:r w:rsidRPr="00B9592E">
        <w:t>2015</w:t>
      </w:r>
      <w:r w:rsidRPr="00DE7C15">
        <w:t xml:space="preserve"> y </w:t>
      </w:r>
      <w:r w:rsidRPr="00B9592E">
        <w:t>2019</w:t>
      </w:r>
      <w:r w:rsidRPr="00DE7C15">
        <w:t xml:space="preserve">. La asignación se incrementó hasta los </w:t>
      </w:r>
      <w:r w:rsidRPr="00B9592E">
        <w:t>120</w:t>
      </w:r>
      <w:r w:rsidRPr="00DE7C15">
        <w:t xml:space="preserve"> millones de coronas checas en </w:t>
      </w:r>
      <w:r w:rsidRPr="00B9592E">
        <w:t>2020</w:t>
      </w:r>
      <w:r w:rsidRPr="00DE7C15">
        <w:t xml:space="preserve"> y los </w:t>
      </w:r>
      <w:r w:rsidRPr="00B9592E">
        <w:t>140</w:t>
      </w:r>
      <w:r w:rsidRPr="00DE7C15">
        <w:t xml:space="preserve"> millones en </w:t>
      </w:r>
      <w:r w:rsidRPr="00B9592E">
        <w:t>2021</w:t>
      </w:r>
      <w:r w:rsidRPr="00DE7C15">
        <w:t>.</w:t>
      </w:r>
    </w:p>
    <w:p w14:paraId="6723A5ED" w14:textId="3DC65751" w:rsidR="00CE28E1" w:rsidRPr="00DE7C15" w:rsidRDefault="00CE28E1" w:rsidP="006C1BAD">
      <w:pPr>
        <w:pStyle w:val="SingleTxt"/>
        <w:numPr>
          <w:ilvl w:val="0"/>
          <w:numId w:val="37"/>
        </w:numPr>
        <w:ind w:left="1267"/>
      </w:pPr>
      <w:r w:rsidRPr="00DE7C15">
        <w:t xml:space="preserve">Desde </w:t>
      </w:r>
      <w:r w:rsidRPr="00B9592E">
        <w:t>2013</w:t>
      </w:r>
      <w:r w:rsidRPr="00DE7C15">
        <w:t xml:space="preserve">, el Ministerio de Justicia administra un programa de subvenciones para el desarrollo de servicios para las víctimas de delitos que presta servicios a las víctimas de delitos sobre la base de la Ley núm. </w:t>
      </w:r>
      <w:r w:rsidRPr="00B9592E">
        <w:t>45</w:t>
      </w:r>
      <w:r w:rsidRPr="00DE7C15">
        <w:t>/</w:t>
      </w:r>
      <w:r w:rsidRPr="00B9592E">
        <w:t>2013</w:t>
      </w:r>
      <w:r w:rsidRPr="00DE7C15">
        <w:t xml:space="preserve"> (recop.) de Víctimas de Delitos (en lo sucesivo, </w:t>
      </w:r>
      <w:r w:rsidR="009106EF" w:rsidRPr="00DE7C15">
        <w:t>“</w:t>
      </w:r>
      <w:r w:rsidRPr="00DE7C15">
        <w:t>Ley de Víctimas</w:t>
      </w:r>
      <w:r w:rsidR="009106EF" w:rsidRPr="00DE7C15">
        <w:t>”</w:t>
      </w:r>
      <w:r w:rsidRPr="00DE7C15">
        <w:t xml:space="preserve">). La asignación económica fue de </w:t>
      </w:r>
      <w:r w:rsidRPr="00B9592E">
        <w:t>6</w:t>
      </w:r>
      <w:r w:rsidRPr="00DE7C15">
        <w:t>,</w:t>
      </w:r>
      <w:r w:rsidRPr="00B9592E">
        <w:t>6</w:t>
      </w:r>
      <w:r w:rsidRPr="00DE7C15">
        <w:t xml:space="preserve"> a </w:t>
      </w:r>
      <w:r w:rsidRPr="00B9592E">
        <w:t>10</w:t>
      </w:r>
      <w:r w:rsidRPr="00DE7C15">
        <w:t>,</w:t>
      </w:r>
      <w:r w:rsidRPr="00B9592E">
        <w:t>4</w:t>
      </w:r>
      <w:r w:rsidRPr="00DE7C15">
        <w:t xml:space="preserve"> millones de coronas suecas al año entre </w:t>
      </w:r>
      <w:r w:rsidRPr="00B9592E">
        <w:t>2015</w:t>
      </w:r>
      <w:r w:rsidRPr="00DE7C15">
        <w:t xml:space="preserve"> y </w:t>
      </w:r>
      <w:r w:rsidRPr="00B9592E">
        <w:t>2021</w:t>
      </w:r>
      <w:r w:rsidRPr="00DE7C15">
        <w:t>.</w:t>
      </w:r>
    </w:p>
    <w:p w14:paraId="5DA16C75" w14:textId="19897C55" w:rsidR="00CE28E1" w:rsidRPr="00DE7C15" w:rsidRDefault="00CE28E1" w:rsidP="006C1BAD">
      <w:pPr>
        <w:pStyle w:val="SingleTxt"/>
        <w:numPr>
          <w:ilvl w:val="0"/>
          <w:numId w:val="37"/>
        </w:numPr>
        <w:ind w:left="1267"/>
      </w:pPr>
      <w:r w:rsidRPr="00DE7C15">
        <w:t xml:space="preserve">El Ministerio del Interior siguió aplicando un programa de subvenciones para prevenir los fenómenos socialmente patológicos que gira en torno a la prevención de </w:t>
      </w:r>
      <w:r w:rsidRPr="00DE7C15">
        <w:lastRenderedPageBreak/>
        <w:t xml:space="preserve">la violencia doméstica y los delitos contra las personas de edad. El programa de subvenciones apoya proyectos centrados en el trabajo con las personas violentas. Su asignación fue de </w:t>
      </w:r>
      <w:r w:rsidRPr="00B9592E">
        <w:t>1</w:t>
      </w:r>
      <w:r w:rsidRPr="00DE7C15">
        <w:t>,</w:t>
      </w:r>
      <w:r w:rsidRPr="00B9592E">
        <w:t>6</w:t>
      </w:r>
      <w:r w:rsidRPr="00DE7C15">
        <w:t xml:space="preserve"> a </w:t>
      </w:r>
      <w:r w:rsidRPr="00B9592E">
        <w:t>2</w:t>
      </w:r>
      <w:r w:rsidRPr="00DE7C15">
        <w:t xml:space="preserve"> millones de coronas checas anuales entre </w:t>
      </w:r>
      <w:r w:rsidRPr="00B9592E">
        <w:t>2015</w:t>
      </w:r>
      <w:r w:rsidRPr="00DE7C15">
        <w:t xml:space="preserve"> y </w:t>
      </w:r>
      <w:r w:rsidRPr="00B9592E">
        <w:t>2022</w:t>
      </w:r>
      <w:r w:rsidRPr="00DE7C15">
        <w:t xml:space="preserve">. En </w:t>
      </w:r>
      <w:r w:rsidRPr="00B9592E">
        <w:t>2022</w:t>
      </w:r>
      <w:r w:rsidRPr="00DE7C15">
        <w:t xml:space="preserve"> se redujo un </w:t>
      </w:r>
      <w:r w:rsidRPr="00B9592E">
        <w:t>6</w:t>
      </w:r>
      <w:r w:rsidR="009106EF" w:rsidRPr="00DE7C15">
        <w:t> %</w:t>
      </w:r>
      <w:r w:rsidRPr="00DE7C15">
        <w:t xml:space="preserve">, hasta un monto de </w:t>
      </w:r>
      <w:r w:rsidRPr="00B9592E">
        <w:t>1</w:t>
      </w:r>
      <w:r w:rsidRPr="00DE7C15">
        <w:t>.</w:t>
      </w:r>
      <w:r w:rsidRPr="00B9592E">
        <w:t>880</w:t>
      </w:r>
      <w:r w:rsidRPr="00DE7C15">
        <w:t>.</w:t>
      </w:r>
      <w:r w:rsidRPr="00B9592E">
        <w:t>000</w:t>
      </w:r>
      <w:r w:rsidRPr="00DE7C15">
        <w:t xml:space="preserve"> coronas checas.</w:t>
      </w:r>
    </w:p>
    <w:p w14:paraId="14CAABE8" w14:textId="445A61ED" w:rsidR="00CE28E1" w:rsidRPr="00DE7C15" w:rsidRDefault="00CE28E1" w:rsidP="006C1BAD">
      <w:pPr>
        <w:pStyle w:val="SingleTxt"/>
        <w:numPr>
          <w:ilvl w:val="0"/>
          <w:numId w:val="37"/>
        </w:numPr>
        <w:ind w:left="1267"/>
      </w:pPr>
      <w:r w:rsidRPr="00DE7C15">
        <w:t xml:space="preserve">También se aumentó el presupuesto destinado a servicios sociales. Las subvenciones con cargo al presupuesto del Estado para los proveedores de servicios sociales, que ascendieron a </w:t>
      </w:r>
      <w:r w:rsidRPr="00B9592E">
        <w:t>8</w:t>
      </w:r>
      <w:r w:rsidRPr="00DE7C15">
        <w:t>.</w:t>
      </w:r>
      <w:r w:rsidRPr="00B9592E">
        <w:t>570</w:t>
      </w:r>
      <w:r w:rsidRPr="00DE7C15">
        <w:t xml:space="preserve"> millones de coronas checas en </w:t>
      </w:r>
      <w:r w:rsidRPr="00B9592E">
        <w:t>2015</w:t>
      </w:r>
      <w:r w:rsidRPr="00DE7C15">
        <w:t xml:space="preserve">, pasaron a ser de </w:t>
      </w:r>
      <w:r w:rsidRPr="00B9592E">
        <w:t>18</w:t>
      </w:r>
      <w:r w:rsidRPr="00DE7C15">
        <w:t>.</w:t>
      </w:r>
      <w:r w:rsidRPr="00B9592E">
        <w:t>600</w:t>
      </w:r>
      <w:r w:rsidRPr="00DE7C15">
        <w:t xml:space="preserve"> millones de coronas checas en </w:t>
      </w:r>
      <w:r w:rsidRPr="00B9592E">
        <w:t>2019</w:t>
      </w:r>
      <w:r w:rsidRPr="00DE7C15">
        <w:t xml:space="preserve">. En </w:t>
      </w:r>
      <w:r w:rsidRPr="00B9592E">
        <w:t>2021</w:t>
      </w:r>
      <w:r w:rsidRPr="00DE7C15">
        <w:t xml:space="preserve"> se destinaron </w:t>
      </w:r>
      <w:r w:rsidRPr="00B9592E">
        <w:t>21</w:t>
      </w:r>
      <w:r w:rsidRPr="00DE7C15">
        <w:t>.</w:t>
      </w:r>
      <w:r w:rsidRPr="00B9592E">
        <w:t>410</w:t>
      </w:r>
      <w:r w:rsidRPr="00DE7C15">
        <w:t xml:space="preserve"> millones de coronas checas a las subvenciones en esa esfera.</w:t>
      </w:r>
    </w:p>
    <w:p w14:paraId="3E31B03C" w14:textId="0DDF22A3" w:rsidR="00CE28E1" w:rsidRPr="00DE7C15" w:rsidRDefault="00CE28E1" w:rsidP="006C1BAD">
      <w:pPr>
        <w:pStyle w:val="SingleTxt"/>
        <w:numPr>
          <w:ilvl w:val="0"/>
          <w:numId w:val="37"/>
        </w:numPr>
        <w:ind w:left="1267"/>
      </w:pPr>
      <w:r w:rsidRPr="00DE7C15">
        <w:t xml:space="preserve">En virtud de la Ley de Víctimas y desde el </w:t>
      </w:r>
      <w:r w:rsidRPr="00B9592E">
        <w:t>1</w:t>
      </w:r>
      <w:r w:rsidRPr="00DE7C15">
        <w:t xml:space="preserve"> de julio de </w:t>
      </w:r>
      <w:r w:rsidRPr="00B9592E">
        <w:t>2021</w:t>
      </w:r>
      <w:r w:rsidRPr="00DE7C15">
        <w:t>, se considera especialmente vulnerables a las víctimas de la violencia contra la mujer, sin que sea necesario evaluar esa mayor vulnerabilidad caso por caso. Las víctimas especialmente vulnerables requieren un trato particularmente sensible que respete sus necesidades particulares. Por ese motivo, se establece que su interrogatorio debe ser particularmente sensible y tener en cuenta las circunstancias específicas que hacen que la víctima sea especialmente vulnerable. Debe hacerse de manera que no sea necesario repetirlo, y deben adoptarse medidas, siempre que sea posible, para evitar el contacto visual directo con la persona contra la que se dirigen las actuaciones o con el sospechoso, si la víctima así lo desea. En las diligencias previas al juicio, lleva a cabo el interrogatorio una persona capacitada para ello en locales adaptados o acondicionados destinados a ese fin. Solo pueden hacerse preguntas sobre la vida íntima de la víctima si son necesarias a fin de aclarar hechos relevantes para las actuaciones penales. Esas preguntas deben formularse con mucha amabilidad y ser exhaustivas, para que no haya que repetir el interrogatorio; su formulación debe adecuarse a la edad, la experiencia personal y el estado psicológico de la víctima, y siempre con la sensibilidad necesaria. Además, la víctima tiene derecho a oponerse al enfoque dado a una pregunta en cualquier momento.</w:t>
      </w:r>
    </w:p>
    <w:p w14:paraId="1342B62E" w14:textId="0494893E" w:rsidR="00CE28E1" w:rsidRPr="00DE7C15" w:rsidRDefault="00CE28E1" w:rsidP="006C1BAD">
      <w:pPr>
        <w:pStyle w:val="SingleTxt"/>
        <w:numPr>
          <w:ilvl w:val="0"/>
          <w:numId w:val="37"/>
        </w:numPr>
        <w:ind w:left="1267"/>
      </w:pPr>
      <w:r w:rsidRPr="00DE7C15">
        <w:t xml:space="preserve">En ese contexto, es necesario mencionar uno de los principios básicos de la Ley de Víctimas, según el cual la policía de la República Checa (en lo sucesivo, </w:t>
      </w:r>
      <w:r w:rsidR="009106EF" w:rsidRPr="00DE7C15">
        <w:t>“</w:t>
      </w:r>
      <w:r w:rsidRPr="00DE7C15">
        <w:t>policía</w:t>
      </w:r>
      <w:r w:rsidR="009106EF" w:rsidRPr="00DE7C15">
        <w:t>”</w:t>
      </w:r>
      <w:r w:rsidRPr="00DE7C15">
        <w:t>), las autoridades de aplicación de la ley y de justicia penal y otras autoridades públicas, las entidades inscritas en el registro de proveedores de asistencia a las víctimas de delitos, los proveedores de servicios sanitarios, los expertos, los intérpretes, los abogados defensores y los medios de comunicación están obligados a respetar la personalidad y la dignidad de la víctima, a dirigirse a ella con cortesía y amabilidad, y a adaptarse a ella en la medida de lo posible. Al mismo tiempo, se exige respetar el principio de prevención de la revictimización y la no discriminación de la víctima.</w:t>
      </w:r>
    </w:p>
    <w:p w14:paraId="0153C806" w14:textId="65F092B8" w:rsidR="00CE28E1" w:rsidRPr="00DE7C15" w:rsidRDefault="00CE28E1" w:rsidP="006C1BAD">
      <w:pPr>
        <w:pStyle w:val="SingleTxt"/>
        <w:numPr>
          <w:ilvl w:val="0"/>
          <w:numId w:val="37"/>
        </w:numPr>
        <w:ind w:left="1267"/>
      </w:pPr>
      <w:r w:rsidRPr="00DE7C15">
        <w:t xml:space="preserve">En </w:t>
      </w:r>
      <w:r w:rsidRPr="00B9592E">
        <w:t>2021</w:t>
      </w:r>
      <w:r w:rsidRPr="00DE7C15">
        <w:t xml:space="preserve"> se aprobó la modificación de la Ley núm. </w:t>
      </w:r>
      <w:r w:rsidRPr="00B9592E">
        <w:t>273</w:t>
      </w:r>
      <w:r w:rsidRPr="00DE7C15">
        <w:t>/</w:t>
      </w:r>
      <w:r w:rsidRPr="00B9592E">
        <w:t>2008</w:t>
      </w:r>
      <w:r w:rsidRPr="00DE7C15">
        <w:t xml:space="preserve"> (recop.) de Policía de la República Checa, en su forma modificada, gracias a la cual se considera automáticamente persona en situación de riesgo a cualquier niño que resida en un hogar común en el que estén teniendo lugar actos de violencia. Los agentes de policía tienen la obligación de facilitar a la persona expulsada información sobre la asistencia a personas que presentan un comportamiento violento o brindarle la posibilidad de someterse a un programa de terapia para perpetradores de actos violentos.</w:t>
      </w:r>
    </w:p>
    <w:p w14:paraId="062D4255" w14:textId="285DCE77" w:rsidR="00CE28E1" w:rsidRPr="00DE7C15" w:rsidRDefault="00CE28E1" w:rsidP="006C1BAD">
      <w:pPr>
        <w:pStyle w:val="SingleTxt"/>
        <w:numPr>
          <w:ilvl w:val="0"/>
          <w:numId w:val="37"/>
        </w:numPr>
        <w:ind w:left="1267"/>
      </w:pPr>
      <w:r w:rsidRPr="00DE7C15">
        <w:t xml:space="preserve">Durante el período examinado, se siguió capacitando a los agentes de policía en materia de violencia doméstica. También se imparte capacitación periódica a los especialistas en metodología de las direcciones regionales y los departamentos territoriales de policía sobre las víctimas de delitos y la violencia doméstica y de género. Con arreglo a la Orden núm. </w:t>
      </w:r>
      <w:r w:rsidRPr="00B9592E">
        <w:t>291</w:t>
      </w:r>
      <w:r w:rsidRPr="00DE7C15">
        <w:t>/</w:t>
      </w:r>
      <w:r w:rsidRPr="00B9592E">
        <w:t>2017</w:t>
      </w:r>
      <w:r w:rsidRPr="00DE7C15">
        <w:t xml:space="preserve"> del </w:t>
      </w:r>
      <w:proofErr w:type="gramStart"/>
      <w:r w:rsidRPr="00DE7C15">
        <w:t>Presidente</w:t>
      </w:r>
      <w:proofErr w:type="gramEnd"/>
      <w:r w:rsidRPr="00DE7C15">
        <w:t xml:space="preserve"> de la policía, esos especialistas imparten capacitación sobre la violencia doméstica y las víctimas de delitos a los agentes de la policía antidisturbios y del servicio de policía judicial e investigación penal. En </w:t>
      </w:r>
      <w:r w:rsidRPr="00B9592E">
        <w:t>2021</w:t>
      </w:r>
      <w:r w:rsidRPr="00DE7C15">
        <w:t xml:space="preserve"> recibieron capacitación </w:t>
      </w:r>
      <w:r w:rsidRPr="00B9592E">
        <w:t>4</w:t>
      </w:r>
      <w:r w:rsidRPr="00DE7C15">
        <w:t>.</w:t>
      </w:r>
      <w:r w:rsidRPr="00B9592E">
        <w:t>315</w:t>
      </w:r>
      <w:r w:rsidRPr="00DE7C15">
        <w:t xml:space="preserve"> agentes de policía. En el marco de un acreditado programa de capacitación que incluyó capacitación práctica </w:t>
      </w:r>
      <w:r w:rsidRPr="00DE7C15">
        <w:lastRenderedPageBreak/>
        <w:t xml:space="preserve">sobre la comunicación con las víctimas de la violencia doméstica y las víctimas especialmente vulnerables en la sala de interrogatorios, se capacitó a otros </w:t>
      </w:r>
      <w:r w:rsidRPr="00B9592E">
        <w:t>24</w:t>
      </w:r>
      <w:r w:rsidRPr="00DE7C15">
        <w:t xml:space="preserve"> especialistas en metodología. En un proyecto financiado con las subvenciones de Noruega, la Oficina del Gobierno empezó a capacitar a la policía en </w:t>
      </w:r>
      <w:r w:rsidRPr="00B9592E">
        <w:t>2022</w:t>
      </w:r>
      <w:r w:rsidRPr="00DE7C15">
        <w:t xml:space="preserve"> para aumentar sus competencias sobre el discurso de odio sexista en línea y la ciberviolencia de género.</w:t>
      </w:r>
    </w:p>
    <w:p w14:paraId="11567A8B" w14:textId="26EC430A" w:rsidR="00CE28E1" w:rsidRPr="00DE7C15" w:rsidRDefault="00CE28E1" w:rsidP="006C1BAD">
      <w:pPr>
        <w:pStyle w:val="SingleTxt"/>
        <w:numPr>
          <w:ilvl w:val="0"/>
          <w:numId w:val="37"/>
        </w:numPr>
        <w:ind w:left="1267"/>
      </w:pPr>
      <w:r w:rsidRPr="00DE7C15">
        <w:t xml:space="preserve">La Academia Judicial capacita a jueces y fiscales en materia de violencia doméstica. En los últimos años, la capacitación se ha centrado particularmente en la aplicación de la Ley de Víctimas (entre otras cosas, el derecho a la protección contra la revictimización por las fuerzas del orden y la justicia penal), las medidas provisionales en el ámbito de la prevención de la violencia doméstica, y los derechos de las víctimas en las actuaciones penales. La Academia Judicial también organiza capacitación centrada específicamente en la violencia doméstica. También se está impartiendo capacitación en materia de justicia civil, que aborda la regulación de la violencia doméstica en la Ley núm. </w:t>
      </w:r>
      <w:r w:rsidRPr="00B9592E">
        <w:t>89</w:t>
      </w:r>
      <w:r w:rsidRPr="00DE7C15">
        <w:t>/</w:t>
      </w:r>
      <w:r w:rsidRPr="00B9592E">
        <w:t>2012</w:t>
      </w:r>
      <w:r w:rsidRPr="00DE7C15">
        <w:t xml:space="preserve"> (recop.), Código Civil (en lo sucesivo, </w:t>
      </w:r>
      <w:r w:rsidR="009106EF" w:rsidRPr="00DE7C15">
        <w:t>“</w:t>
      </w:r>
      <w:r w:rsidRPr="00DE7C15">
        <w:t>Código Civil</w:t>
      </w:r>
      <w:r w:rsidR="009106EF" w:rsidRPr="00DE7C15">
        <w:t>”</w:t>
      </w:r>
      <w:r w:rsidRPr="00DE7C15">
        <w:t xml:space="preserve">) y el contexto procesal en la Ley núm. </w:t>
      </w:r>
      <w:r w:rsidRPr="00B9592E">
        <w:t>292</w:t>
      </w:r>
      <w:r w:rsidRPr="00DE7C15">
        <w:t>/</w:t>
      </w:r>
      <w:r w:rsidRPr="00B9592E">
        <w:t>2013</w:t>
      </w:r>
      <w:r w:rsidRPr="00DE7C15">
        <w:t xml:space="preserve"> (recop.), de Procedimientos Judiciales Especiales. Sobre la base de las medidas del Plan de Acción de Violencia Doméstica </w:t>
      </w:r>
      <w:r w:rsidRPr="00B9592E">
        <w:t>2019</w:t>
      </w:r>
      <w:r w:rsidRPr="00DE7C15">
        <w:t>-</w:t>
      </w:r>
      <w:r w:rsidRPr="00B9592E">
        <w:t>2022</w:t>
      </w:r>
      <w:r w:rsidRPr="00DE7C15">
        <w:t>, la Academia Judicial ofrece anualmente cursos para pasantes judiciales, jueces y fiscales sobre la toma de decisiones en materia de custodia de los hijos y modificación del contacto entre el progenitor violento y el niño; un curso para jueces sobre la toma de decisiones judiciales en los casos de violación y otras formas de violencia contra la mujer; y capacitación dirigida a profundizar en la especialización de los fiscales en los casos de violencia doméstica y de género.</w:t>
      </w:r>
    </w:p>
    <w:p w14:paraId="3DA7E64B" w14:textId="5322664B" w:rsidR="00CE28E1" w:rsidRPr="00DE7C15" w:rsidRDefault="00CE28E1" w:rsidP="006C1BAD">
      <w:pPr>
        <w:pStyle w:val="SingleTxt"/>
        <w:numPr>
          <w:ilvl w:val="0"/>
          <w:numId w:val="37"/>
        </w:numPr>
        <w:ind w:left="1267"/>
      </w:pPr>
      <w:r w:rsidRPr="00DE7C15">
        <w:t xml:space="preserve">En </w:t>
      </w:r>
      <w:r w:rsidRPr="00B9592E">
        <w:t>2018</w:t>
      </w:r>
      <w:r w:rsidRPr="00DE7C15">
        <w:t xml:space="preserve"> y </w:t>
      </w:r>
      <w:r w:rsidRPr="00B9592E">
        <w:t>2019</w:t>
      </w:r>
      <w:r w:rsidRPr="00DE7C15">
        <w:t xml:space="preserve">, el Ministerio del Interior puso en marcha el proyecto </w:t>
      </w:r>
      <w:r w:rsidR="009106EF" w:rsidRPr="00DE7C15">
        <w:t>“</w:t>
      </w:r>
      <w:r w:rsidRPr="00DE7C15">
        <w:t>No cierres los ojos ante la violencia doméstica III</w:t>
      </w:r>
      <w:r w:rsidR="009106EF" w:rsidRPr="00DE7C15">
        <w:t>”</w:t>
      </w:r>
      <w:r w:rsidRPr="00DE7C15">
        <w:t xml:space="preserve">, en cuyo marco se hizo una prueba piloto de </w:t>
      </w:r>
      <w:r w:rsidRPr="00B9592E">
        <w:t>15</w:t>
      </w:r>
      <w:r w:rsidRPr="00DE7C15">
        <w:t xml:space="preserve"> dispositivos de aviso con tecnología que permite a una persona en riesgo pedir ayuda inmediata con solo pulsar un botón. Hasta el momento, el proyecto se ha ejecutado en el territorio de la Dirección Regional de Policía de la región de Bohemia Central (departamentos territoriales de Kladno y Příbram).</w:t>
      </w:r>
    </w:p>
    <w:p w14:paraId="6D3AA3DD" w14:textId="000D31C8" w:rsidR="00CE28E1" w:rsidRPr="00DE7C15" w:rsidRDefault="00CE28E1" w:rsidP="006C1BAD">
      <w:pPr>
        <w:pStyle w:val="SingleTxt"/>
        <w:numPr>
          <w:ilvl w:val="0"/>
          <w:numId w:val="37"/>
        </w:numPr>
        <w:ind w:left="1267"/>
      </w:pPr>
      <w:r w:rsidRPr="00DE7C15">
        <w:t xml:space="preserve">El </w:t>
      </w:r>
      <w:r w:rsidRPr="00B9592E">
        <w:t>18</w:t>
      </w:r>
      <w:r w:rsidRPr="00DE7C15">
        <w:t xml:space="preserve"> de septiembre de </w:t>
      </w:r>
      <w:r w:rsidRPr="00B9592E">
        <w:t>2017</w:t>
      </w:r>
      <w:r w:rsidRPr="00DE7C15">
        <w:t>, el Gobierno aprobó el Concepto de Política Familiar. Las víctimas de la violencia doméstica y de otros delitos se identifican en el Concepto como personas en riesgo de exclusión social (un grupo de personas que está en una situación de riesgo inmediato para la salud o la vida). El Concepto también incluye medidas destinadas a prestar servicios de prevención primaria. Actualmente se está preparando una nueva Estrategia de Política Familiar.</w:t>
      </w:r>
    </w:p>
    <w:p w14:paraId="7DAD58C8" w14:textId="3203FF89" w:rsidR="00CE28E1" w:rsidRPr="00DE7C15" w:rsidRDefault="00CE28E1" w:rsidP="006C1BAD">
      <w:pPr>
        <w:pStyle w:val="SingleTxt"/>
        <w:numPr>
          <w:ilvl w:val="0"/>
          <w:numId w:val="37"/>
        </w:numPr>
        <w:ind w:left="1267"/>
      </w:pPr>
      <w:r w:rsidRPr="00DE7C15">
        <w:t xml:space="preserve">La Ley núm. </w:t>
      </w:r>
      <w:r w:rsidRPr="00B9592E">
        <w:t>135</w:t>
      </w:r>
      <w:r w:rsidRPr="00DE7C15">
        <w:t>/</w:t>
      </w:r>
      <w:r w:rsidRPr="00B9592E">
        <w:t>2006</w:t>
      </w:r>
      <w:r w:rsidRPr="00DE7C15">
        <w:t xml:space="preserve"> (recop.), que entró en vigor el </w:t>
      </w:r>
      <w:r w:rsidRPr="00B9592E">
        <w:t>1</w:t>
      </w:r>
      <w:r w:rsidRPr="00DE7C15">
        <w:t xml:space="preserve"> de enero de </w:t>
      </w:r>
      <w:r w:rsidRPr="00B9592E">
        <w:t>2007</w:t>
      </w:r>
      <w:r w:rsidRPr="00DE7C15">
        <w:t xml:space="preserve">, hizo posible expulsar del hogar común a la persona violenta. Las estadísticas sobre el número de personas expulsadas han sido objeto de un seguimiento continuo desde </w:t>
      </w:r>
      <w:r w:rsidRPr="00B9592E">
        <w:t>2007</w:t>
      </w:r>
      <w:r w:rsidRPr="00DE7C15">
        <w:t xml:space="preserve">. Si bien se registró un acusado aumento desde las </w:t>
      </w:r>
      <w:r w:rsidRPr="00B9592E">
        <w:t>862</w:t>
      </w:r>
      <w:r w:rsidRPr="00DE7C15">
        <w:t xml:space="preserve"> expulsiones anuales de </w:t>
      </w:r>
      <w:r w:rsidRPr="00B9592E">
        <w:t>2007</w:t>
      </w:r>
      <w:r w:rsidRPr="00DE7C15">
        <w:t xml:space="preserve"> a las </w:t>
      </w:r>
      <w:r w:rsidRPr="00B9592E">
        <w:t>1</w:t>
      </w:r>
      <w:r w:rsidRPr="00DE7C15">
        <w:t>.</w:t>
      </w:r>
      <w:r w:rsidRPr="00B9592E">
        <w:t>430</w:t>
      </w:r>
      <w:r w:rsidRPr="00DE7C15">
        <w:t xml:space="preserve"> de </w:t>
      </w:r>
      <w:r w:rsidRPr="00B9592E">
        <w:t>2011</w:t>
      </w:r>
      <w:r w:rsidRPr="00DE7C15">
        <w:t xml:space="preserve">, el número de personas expulsadas se ha estabilizado gradualmente entre las </w:t>
      </w:r>
      <w:r w:rsidRPr="00B9592E">
        <w:t>1</w:t>
      </w:r>
      <w:r w:rsidRPr="00DE7C15">
        <w:t>.</w:t>
      </w:r>
      <w:r w:rsidRPr="00B9592E">
        <w:t>250</w:t>
      </w:r>
      <w:r w:rsidRPr="00DE7C15">
        <w:t xml:space="preserve"> y las </w:t>
      </w:r>
      <w:r w:rsidRPr="00B9592E">
        <w:t>1</w:t>
      </w:r>
      <w:r w:rsidRPr="00DE7C15">
        <w:t>.</w:t>
      </w:r>
      <w:r w:rsidRPr="00B9592E">
        <w:t>350</w:t>
      </w:r>
      <w:r w:rsidRPr="00DE7C15">
        <w:t xml:space="preserve"> al año. No obstante, durante la pandemia de COVID-</w:t>
      </w:r>
      <w:r w:rsidRPr="00B9592E">
        <w:t>19</w:t>
      </w:r>
      <w:r w:rsidRPr="00DE7C15">
        <w:t xml:space="preserve">, en </w:t>
      </w:r>
      <w:r w:rsidRPr="00B9592E">
        <w:t>2020</w:t>
      </w:r>
      <w:r w:rsidRPr="00DE7C15">
        <w:t xml:space="preserve"> y </w:t>
      </w:r>
      <w:r w:rsidRPr="00B9592E">
        <w:t>2021</w:t>
      </w:r>
      <w:r w:rsidRPr="00DE7C15">
        <w:t xml:space="preserve">, el número de expulsiones bajó a </w:t>
      </w:r>
      <w:r w:rsidRPr="00B9592E">
        <w:t>958</w:t>
      </w:r>
      <w:r w:rsidRPr="00DE7C15">
        <w:t>.</w:t>
      </w:r>
    </w:p>
    <w:p w14:paraId="0039D547" w14:textId="322CC4BD" w:rsidR="00554041" w:rsidRPr="00DE7C15" w:rsidRDefault="00CE28E1" w:rsidP="006C1BAD">
      <w:pPr>
        <w:pStyle w:val="SingleTxt"/>
        <w:numPr>
          <w:ilvl w:val="0"/>
          <w:numId w:val="37"/>
        </w:numPr>
        <w:ind w:left="1267"/>
      </w:pPr>
      <w:r w:rsidRPr="00DE7C15">
        <w:t xml:space="preserve">Salvo un ligero descenso en </w:t>
      </w:r>
      <w:r w:rsidRPr="00B9592E">
        <w:t>2018</w:t>
      </w:r>
      <w:r w:rsidRPr="00DE7C15">
        <w:t xml:space="preserve">, el número de delitos penales por maltrato a un conviviente registrados por la policía entre </w:t>
      </w:r>
      <w:r w:rsidRPr="00B9592E">
        <w:t>2014</w:t>
      </w:r>
      <w:r w:rsidRPr="00DE7C15">
        <w:t xml:space="preserve"> y </w:t>
      </w:r>
      <w:r w:rsidRPr="00B9592E">
        <w:t>2019</w:t>
      </w:r>
      <w:r w:rsidRPr="00DE7C15">
        <w:t xml:space="preserve"> se estabilizó entre </w:t>
      </w:r>
      <w:r w:rsidRPr="00B9592E">
        <w:t>515</w:t>
      </w:r>
      <w:r w:rsidRPr="00DE7C15">
        <w:t xml:space="preserve"> y </w:t>
      </w:r>
      <w:r w:rsidRPr="00B9592E">
        <w:t>541</w:t>
      </w:r>
      <w:r w:rsidRPr="00DE7C15">
        <w:t xml:space="preserve"> casos anuales. Sin embargo, en </w:t>
      </w:r>
      <w:r w:rsidRPr="00B9592E">
        <w:t>2020</w:t>
      </w:r>
      <w:r w:rsidRPr="00DE7C15">
        <w:t xml:space="preserve"> se registró un acusado descenso, hasta los </w:t>
      </w:r>
      <w:r w:rsidRPr="00B9592E">
        <w:t>428</w:t>
      </w:r>
      <w:r w:rsidRPr="00DE7C15">
        <w:t xml:space="preserve"> casos. En </w:t>
      </w:r>
      <w:r w:rsidRPr="00B9592E">
        <w:t>2021</w:t>
      </w:r>
      <w:r w:rsidRPr="00DE7C15">
        <w:t xml:space="preserve"> se registraron </w:t>
      </w:r>
      <w:r w:rsidRPr="00B9592E">
        <w:t>403</w:t>
      </w:r>
      <w:r w:rsidRPr="00DE7C15">
        <w:t xml:space="preserve"> casos, lo que supone un nuevo descenso de </w:t>
      </w:r>
      <w:r w:rsidRPr="00B9592E">
        <w:t>25</w:t>
      </w:r>
      <w:r w:rsidRPr="00DE7C15">
        <w:t xml:space="preserve"> casos. La tasa de resolución de delitos fue del </w:t>
      </w:r>
      <w:r w:rsidRPr="00B9592E">
        <w:t>57</w:t>
      </w:r>
      <w:r w:rsidRPr="00DE7C15">
        <w:t>,</w:t>
      </w:r>
      <w:r w:rsidRPr="00B9592E">
        <w:t>1</w:t>
      </w:r>
      <w:r w:rsidR="009106EF" w:rsidRPr="00DE7C15">
        <w:t> %</w:t>
      </w:r>
      <w:r w:rsidRPr="00DE7C15">
        <w:t>, lo que representa una</w:t>
      </w:r>
      <w:r w:rsidR="00F616E5" w:rsidRPr="00DE7C15">
        <w:t> </w:t>
      </w:r>
      <w:r w:rsidRPr="00DE7C15">
        <w:t xml:space="preserve">disminución del </w:t>
      </w:r>
      <w:r w:rsidRPr="00B9592E">
        <w:t>2</w:t>
      </w:r>
      <w:r w:rsidRPr="00DE7C15">
        <w:t>,</w:t>
      </w:r>
      <w:r w:rsidRPr="00B9592E">
        <w:t>7</w:t>
      </w:r>
      <w:r w:rsidR="009106EF" w:rsidRPr="00DE7C15">
        <w:t> %</w:t>
      </w:r>
      <w:r w:rsidRPr="00DE7C15">
        <w:t xml:space="preserve"> con respecto al año anterior. Así pues, la pandemia de COVID-</w:t>
      </w:r>
      <w:r w:rsidRPr="00B9592E">
        <w:t>19</w:t>
      </w:r>
      <w:r w:rsidRPr="00DE7C15">
        <w:t xml:space="preserve"> y las medidas restrictivas conexas ocasionaron una disminución tanto de la tasa de expulsiones de personas violentas del hogar común como del número de delitos de maltrato gestionados por la policía. No obstante, es preciso analizar en </w:t>
      </w:r>
      <w:r w:rsidRPr="00DE7C15">
        <w:lastRenderedPageBreak/>
        <w:t xml:space="preserve">mayor profundidad y de manera independiente las causas de esos descensos. El maltrato de los convivientes sigue mostrando un patrón de género evidente: los datos indican que entre el </w:t>
      </w:r>
      <w:r w:rsidRPr="00B9592E">
        <w:t>95</w:t>
      </w:r>
      <w:r w:rsidR="009106EF" w:rsidRPr="00DE7C15">
        <w:t> %</w:t>
      </w:r>
      <w:r w:rsidRPr="00DE7C15">
        <w:t xml:space="preserve"> y el </w:t>
      </w:r>
      <w:r w:rsidRPr="00B9592E">
        <w:t>98</w:t>
      </w:r>
      <w:r w:rsidR="009106EF" w:rsidRPr="00DE7C15">
        <w:t> %</w:t>
      </w:r>
      <w:r w:rsidRPr="00DE7C15">
        <w:t xml:space="preserve"> de las personas enjuiciadas anualmente son hombres.</w:t>
      </w:r>
    </w:p>
    <w:p w14:paraId="286A0828" w14:textId="4DA06776" w:rsidR="00CE28E1" w:rsidRPr="00DE7C15" w:rsidRDefault="00CE28E1" w:rsidP="006C1BAD">
      <w:pPr>
        <w:pStyle w:val="SingleTxt"/>
        <w:numPr>
          <w:ilvl w:val="0"/>
          <w:numId w:val="37"/>
        </w:numPr>
        <w:ind w:left="1267"/>
      </w:pPr>
      <w:r w:rsidRPr="00DE7C15">
        <w:t xml:space="preserve">El </w:t>
      </w:r>
      <w:r w:rsidRPr="00B9592E">
        <w:t>6</w:t>
      </w:r>
      <w:r w:rsidRPr="00DE7C15">
        <w:t xml:space="preserve"> de abril de </w:t>
      </w:r>
      <w:r w:rsidRPr="00B9592E">
        <w:t>2022</w:t>
      </w:r>
      <w:r w:rsidRPr="00DE7C15">
        <w:t xml:space="preserve">, el Gobierno aprobó la Estrategia de Prevención del Delito para </w:t>
      </w:r>
      <w:r w:rsidRPr="00B9592E">
        <w:t>2022</w:t>
      </w:r>
      <w:r w:rsidRPr="00DE7C15">
        <w:t>-</w:t>
      </w:r>
      <w:r w:rsidRPr="00B9592E">
        <w:t>2027</w:t>
      </w:r>
      <w:r w:rsidRPr="00DE7C15">
        <w:t xml:space="preserve">, incluido su plan de aplicación. La Estrategia de Prevención del Delito tiene siete prioridades, cada una de las cuales tiene sus propios objetivos estratégicos, que posteriormente se desarrollan en </w:t>
      </w:r>
      <w:r w:rsidRPr="00B9592E">
        <w:t>50</w:t>
      </w:r>
      <w:r w:rsidRPr="00DE7C15">
        <w:t xml:space="preserve"> objetivos específicos y casi </w:t>
      </w:r>
      <w:r w:rsidRPr="00B9592E">
        <w:t>200</w:t>
      </w:r>
      <w:r w:rsidRPr="00DE7C15">
        <w:t xml:space="preserve"> medidas.</w:t>
      </w:r>
    </w:p>
    <w:p w14:paraId="4EB4F30C" w14:textId="77777777" w:rsidR="009106EF" w:rsidRPr="00DE7C15" w:rsidRDefault="009106EF" w:rsidP="009106EF">
      <w:pPr>
        <w:pStyle w:val="SingleTxt"/>
        <w:spacing w:after="0" w:line="120" w:lineRule="exact"/>
        <w:rPr>
          <w:sz w:val="10"/>
        </w:rPr>
      </w:pPr>
    </w:p>
    <w:p w14:paraId="0EDCF96A" w14:textId="77777777" w:rsidR="009106EF" w:rsidRPr="00DE7C15" w:rsidRDefault="009106EF" w:rsidP="009106EF">
      <w:pPr>
        <w:pStyle w:val="SingleTxt"/>
        <w:spacing w:after="0" w:line="120" w:lineRule="exact"/>
        <w:rPr>
          <w:sz w:val="10"/>
        </w:rPr>
      </w:pPr>
    </w:p>
    <w:p w14:paraId="4B4BDD18"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Violación y acoso sexual</w:t>
      </w:r>
    </w:p>
    <w:p w14:paraId="6852BDC3" w14:textId="4E591A1E" w:rsidR="009106EF" w:rsidRPr="00DE7C15" w:rsidRDefault="009106EF" w:rsidP="009106EF">
      <w:pPr>
        <w:pStyle w:val="SingleTxt"/>
        <w:spacing w:after="0" w:line="120" w:lineRule="exact"/>
        <w:rPr>
          <w:sz w:val="10"/>
        </w:rPr>
      </w:pPr>
    </w:p>
    <w:p w14:paraId="3A8C4905" w14:textId="77777777" w:rsidR="009106EF" w:rsidRPr="00DE7C15" w:rsidRDefault="009106EF" w:rsidP="009106EF">
      <w:pPr>
        <w:pStyle w:val="SingleTxt"/>
        <w:spacing w:after="0" w:line="120" w:lineRule="exact"/>
        <w:rPr>
          <w:sz w:val="10"/>
        </w:rPr>
      </w:pPr>
    </w:p>
    <w:p w14:paraId="36894532" w14:textId="7D2C74DF" w:rsidR="00554041" w:rsidRPr="00DE7C15" w:rsidRDefault="00CE28E1" w:rsidP="006C1BAD">
      <w:pPr>
        <w:pStyle w:val="SingleTxt"/>
        <w:numPr>
          <w:ilvl w:val="0"/>
          <w:numId w:val="37"/>
        </w:numPr>
        <w:ind w:left="1267"/>
      </w:pPr>
      <w:r w:rsidRPr="00DE7C15">
        <w:t xml:space="preserve">En años anteriores, la policía registraba anualmente entre </w:t>
      </w:r>
      <w:r w:rsidRPr="00B9592E">
        <w:t>600</w:t>
      </w:r>
      <w:r w:rsidRPr="00DE7C15">
        <w:t xml:space="preserve"> y </w:t>
      </w:r>
      <w:r w:rsidRPr="00B9592E">
        <w:t>700</w:t>
      </w:r>
      <w:r w:rsidRPr="00DE7C15">
        <w:t xml:space="preserve"> casos de violación. Sin embargo, según estudios de expertos, esa cifra supone aproximadamente entre el </w:t>
      </w:r>
      <w:r w:rsidRPr="00B9592E">
        <w:t>5</w:t>
      </w:r>
      <w:r w:rsidR="009106EF" w:rsidRPr="00DE7C15">
        <w:t> %</w:t>
      </w:r>
      <w:r w:rsidRPr="00DE7C15">
        <w:t xml:space="preserve"> y el </w:t>
      </w:r>
      <w:r w:rsidRPr="00B9592E">
        <w:t>10</w:t>
      </w:r>
      <w:r w:rsidR="009106EF" w:rsidRPr="00DE7C15">
        <w:t> %</w:t>
      </w:r>
      <w:r w:rsidRPr="00DE7C15">
        <w:t xml:space="preserve"> de los casos efectivos</w:t>
      </w:r>
      <w:r w:rsidRPr="00B9592E">
        <w:rPr>
          <w:vertAlign w:val="superscript"/>
        </w:rPr>
        <w:footnoteReference w:id="2"/>
      </w:r>
      <w:r w:rsidRPr="00DE7C15">
        <w:t xml:space="preserve">. El número de delitos de violación denunciados pasó de </w:t>
      </w:r>
      <w:r w:rsidRPr="00B9592E">
        <w:t>639</w:t>
      </w:r>
      <w:r w:rsidRPr="00DE7C15">
        <w:t xml:space="preserve"> a </w:t>
      </w:r>
      <w:r w:rsidRPr="00B9592E">
        <w:t>773</w:t>
      </w:r>
      <w:r w:rsidRPr="00DE7C15">
        <w:t xml:space="preserve"> en </w:t>
      </w:r>
      <w:r w:rsidRPr="00B9592E">
        <w:t>2021</w:t>
      </w:r>
      <w:r w:rsidRPr="00DE7C15">
        <w:t xml:space="preserve">, lo que representa un aumento de </w:t>
      </w:r>
      <w:r w:rsidRPr="00B9592E">
        <w:t>134</w:t>
      </w:r>
      <w:r w:rsidRPr="00DE7C15">
        <w:t xml:space="preserve"> y el mayor incremento total de los últimos </w:t>
      </w:r>
      <w:r w:rsidRPr="00B9592E">
        <w:t>13</w:t>
      </w:r>
      <w:r w:rsidRPr="00DE7C15">
        <w:t xml:space="preserve"> años. La tasa de resolución de las violaciones denunciadas fue del </w:t>
      </w:r>
      <w:r w:rsidRPr="00B9592E">
        <w:t>58</w:t>
      </w:r>
      <w:r w:rsidRPr="00DE7C15">
        <w:t>,</w:t>
      </w:r>
      <w:r w:rsidRPr="00B9592E">
        <w:t>0</w:t>
      </w:r>
      <w:r w:rsidR="009106EF" w:rsidRPr="00DE7C15">
        <w:t> %</w:t>
      </w:r>
      <w:r w:rsidRPr="00DE7C15">
        <w:t xml:space="preserve"> el año anterior. Por lo general, los autores son hombres. Las mujeres representaron el </w:t>
      </w:r>
      <w:r w:rsidRPr="00B9592E">
        <w:t>1</w:t>
      </w:r>
      <w:r w:rsidRPr="00DE7C15">
        <w:t>,</w:t>
      </w:r>
      <w:r w:rsidRPr="00B9592E">
        <w:t>3</w:t>
      </w:r>
      <w:r w:rsidR="009106EF" w:rsidRPr="00DE7C15">
        <w:t> %</w:t>
      </w:r>
      <w:r w:rsidRPr="00DE7C15">
        <w:t xml:space="preserve"> de las personas enjuiciadas en </w:t>
      </w:r>
      <w:r w:rsidRPr="00B9592E">
        <w:t>2021</w:t>
      </w:r>
      <w:r w:rsidRPr="00DE7C15">
        <w:t xml:space="preserve"> (una disminución del </w:t>
      </w:r>
      <w:r w:rsidRPr="00B9592E">
        <w:t>0</w:t>
      </w:r>
      <w:r w:rsidRPr="00DE7C15">
        <w:t>,</w:t>
      </w:r>
      <w:r w:rsidRPr="00B9592E">
        <w:t>4</w:t>
      </w:r>
      <w:r w:rsidR="009106EF" w:rsidRPr="00DE7C15">
        <w:t> %</w:t>
      </w:r>
      <w:r w:rsidRPr="00DE7C15">
        <w:t xml:space="preserve"> respecto del año anterior).</w:t>
      </w:r>
    </w:p>
    <w:p w14:paraId="4358F713" w14:textId="686ED41D" w:rsidR="00CE28E1" w:rsidRPr="00DE7C15" w:rsidRDefault="00CE28E1" w:rsidP="006C1BAD">
      <w:pPr>
        <w:pStyle w:val="SingleTxt"/>
        <w:numPr>
          <w:ilvl w:val="0"/>
          <w:numId w:val="37"/>
        </w:numPr>
        <w:ind w:left="1267"/>
      </w:pPr>
      <w:r w:rsidRPr="00DE7C15">
        <w:t xml:space="preserve">En </w:t>
      </w:r>
      <w:r w:rsidRPr="00B9592E">
        <w:t>2021</w:t>
      </w:r>
      <w:r w:rsidRPr="00DE7C15">
        <w:t xml:space="preserve">, la Oficina del Gobierno, en el marco del proyecto financiado con las subvenciones de Noruega, organizó </w:t>
      </w:r>
      <w:r w:rsidRPr="00B9592E">
        <w:t>126</w:t>
      </w:r>
      <w:r w:rsidRPr="00DE7C15">
        <w:t xml:space="preserve"> talleres para niños y jóvenes sobre la prevención de la violencia sexual. El interés por la capacitación es tan elevado que no es posible satisfacer plenamente la demanda con las capacidades actuales. En </w:t>
      </w:r>
      <w:r w:rsidRPr="00B9592E">
        <w:t>2021</w:t>
      </w:r>
      <w:r w:rsidRPr="00DE7C15">
        <w:t xml:space="preserve"> se capacitó a </w:t>
      </w:r>
      <w:r w:rsidRPr="00B9592E">
        <w:t>2</w:t>
      </w:r>
      <w:r w:rsidRPr="00DE7C15">
        <w:t>.</w:t>
      </w:r>
      <w:r w:rsidRPr="00B9592E">
        <w:t>475</w:t>
      </w:r>
      <w:r w:rsidRPr="00DE7C15">
        <w:t xml:space="preserve"> personas. Además, en </w:t>
      </w:r>
      <w:r w:rsidRPr="00B9592E">
        <w:t>2021</w:t>
      </w:r>
      <w:r w:rsidRPr="00DE7C15">
        <w:t xml:space="preserve"> se celebraron dos sesiones de capacitación exhaustiva para futuros docentes: una en la Facultad de Educación de la Universidad de Masaryk (abril de </w:t>
      </w:r>
      <w:r w:rsidRPr="00B9592E">
        <w:t>2021</w:t>
      </w:r>
      <w:r w:rsidRPr="00DE7C15">
        <w:t xml:space="preserve">), en la que se capacitó a </w:t>
      </w:r>
      <w:r w:rsidRPr="00B9592E">
        <w:t>11</w:t>
      </w:r>
      <w:r w:rsidRPr="00DE7C15">
        <w:t xml:space="preserve"> personas, y otra en la Facultad de Educación de la Universidad de Ostrava (noviembre de </w:t>
      </w:r>
      <w:r w:rsidRPr="00B9592E">
        <w:t>2021</w:t>
      </w:r>
      <w:r w:rsidRPr="00DE7C15">
        <w:t xml:space="preserve">), en la que las personas capacitadas fueron </w:t>
      </w:r>
      <w:r w:rsidRPr="00B9592E">
        <w:t>14</w:t>
      </w:r>
      <w:r w:rsidRPr="00DE7C15">
        <w:t>.</w:t>
      </w:r>
    </w:p>
    <w:p w14:paraId="470B62BA" w14:textId="1023E3B5" w:rsidR="00CE28E1" w:rsidRPr="00DE7C15" w:rsidRDefault="00CE28E1" w:rsidP="006C1BAD">
      <w:pPr>
        <w:pStyle w:val="SingleTxt"/>
        <w:numPr>
          <w:ilvl w:val="0"/>
          <w:numId w:val="37"/>
        </w:numPr>
        <w:ind w:left="1267"/>
      </w:pPr>
      <w:r w:rsidRPr="00DE7C15">
        <w:t xml:space="preserve">En </w:t>
      </w:r>
      <w:r w:rsidRPr="00B9592E">
        <w:t>2019</w:t>
      </w:r>
      <w:r w:rsidRPr="00DE7C15">
        <w:t xml:space="preserve">, la Oficina del Gobierno, en colaboración con la Oficina del Defensor Público de los Derechos, publicó un manual dirigido a las autoridades sobre la prevención del acoso sexual en la administración pública. El manual, que se distribuyó a los ministerios y a otros organismos públicos, tiene por objeto ayudar a las autoridades a prevenir el acoso sexual en el lugar de trabajo y a gestionar los casos de acoso sexual con sensibilidad y eficacia. Además, tras su publicación se impartió capacitación a los </w:t>
      </w:r>
      <w:proofErr w:type="gramStart"/>
      <w:r w:rsidRPr="00DE7C15">
        <w:t>Secretarios</w:t>
      </w:r>
      <w:proofErr w:type="gramEnd"/>
      <w:r w:rsidRPr="00DE7C15">
        <w:t xml:space="preserve"> de Estado y a los Jefes de los departamentos de recursos humanos sobre la prevención del acoso sexual en el lugar de trabajo, en colaboración con la Oficina del Defensor Público de los Derechos y la Sección de Función Pública del Ministerio del Interior. En </w:t>
      </w:r>
      <w:r w:rsidRPr="00B9592E">
        <w:t>2021</w:t>
      </w:r>
      <w:r w:rsidRPr="00DE7C15">
        <w:t xml:space="preserve"> se celebraron cuatro sesiones de capacitación dirigidas a oficinas de la administración pública.</w:t>
      </w:r>
    </w:p>
    <w:p w14:paraId="1AD756B5" w14:textId="651B9D1F" w:rsidR="00CE28E1" w:rsidRPr="00DE7C15" w:rsidRDefault="00CE28E1" w:rsidP="006C1BAD">
      <w:pPr>
        <w:pStyle w:val="SingleTxt"/>
        <w:numPr>
          <w:ilvl w:val="0"/>
          <w:numId w:val="37"/>
        </w:numPr>
        <w:ind w:left="1267"/>
      </w:pPr>
      <w:r w:rsidRPr="00DE7C15">
        <w:t xml:space="preserve">Durante todo el año </w:t>
      </w:r>
      <w:r w:rsidRPr="00B9592E">
        <w:t>2021</w:t>
      </w:r>
      <w:r w:rsidRPr="00DE7C15">
        <w:t xml:space="preserve"> tuvieron gran repercusión en los medios de comunicación y en el espacio público varios casos destacados de </w:t>
      </w:r>
      <w:proofErr w:type="gramStart"/>
      <w:r w:rsidRPr="00DE7C15">
        <w:t>acoso sexual y violencia sexual</w:t>
      </w:r>
      <w:proofErr w:type="gramEnd"/>
      <w:r w:rsidRPr="00DE7C15">
        <w:t xml:space="preserve">. En ese contexto, se ha vuelto a abrir un debate de toda la sociedad sobre la necesidad de revisar y volver a tipificar el delito de violación. Varias organizaciones que prestan asistencia a las víctimas de la violencia doméstica y sexual señalaron la necesidad de volver a tipificar el delito para que incluya la falta de consentimiento. Cuando se constituyó la Cámara de los Diputados después de las elecciones de octubre, se creó en la Comisión de Asuntos Constitucionales y Jurídicos </w:t>
      </w:r>
      <w:r w:rsidRPr="00DE7C15">
        <w:lastRenderedPageBreak/>
        <w:t xml:space="preserve">la Subcomisión sobre Violencia Doméstica y Sexual, que seguirá ocupándose de este asunto. El </w:t>
      </w:r>
      <w:r w:rsidRPr="00B9592E">
        <w:t>22</w:t>
      </w:r>
      <w:r w:rsidRPr="00DE7C15">
        <w:t xml:space="preserve"> de septiembre de </w:t>
      </w:r>
      <w:r w:rsidRPr="00B9592E">
        <w:t>2022</w:t>
      </w:r>
      <w:r w:rsidRPr="00DE7C15">
        <w:t xml:space="preserve">, el Consejo adoptó una resolución en la que se destacaba la necesidad de volver a tipificar el delito de violación de modo que su esencia fuera la falta de consentimiento de la víctima a las relaciones sexuales. En la resolución, el Consejo recomendaba al </w:t>
      </w:r>
      <w:proofErr w:type="gramStart"/>
      <w:r w:rsidRPr="00DE7C15">
        <w:t>Ministro</w:t>
      </w:r>
      <w:proofErr w:type="gramEnd"/>
      <w:r w:rsidRPr="00DE7C15">
        <w:t xml:space="preserve"> de Justicia que presentara al Gobierno un proyecto de modificación del Código Penal para que la tipificación del delito de violación con arreglo a lo dispuesto en su artículo </w:t>
      </w:r>
      <w:r w:rsidRPr="00B9592E">
        <w:t>185</w:t>
      </w:r>
      <w:r w:rsidRPr="00DE7C15">
        <w:t xml:space="preserve"> incluyera una referencia explícita a la falta de consentimiento.</w:t>
      </w:r>
    </w:p>
    <w:p w14:paraId="183F5F4F" w14:textId="0A2A4DD5" w:rsidR="00554041" w:rsidRPr="00DE7C15" w:rsidRDefault="00CE28E1" w:rsidP="006C1BAD">
      <w:pPr>
        <w:pStyle w:val="SingleTxt"/>
        <w:numPr>
          <w:ilvl w:val="0"/>
          <w:numId w:val="37"/>
        </w:numPr>
        <w:ind w:left="1267"/>
      </w:pPr>
      <w:r w:rsidRPr="00DE7C15">
        <w:t xml:space="preserve">En </w:t>
      </w:r>
      <w:r w:rsidRPr="00B9592E">
        <w:t>2021</w:t>
      </w:r>
      <w:r w:rsidRPr="00DE7C15">
        <w:t xml:space="preserve">, la Oficina del Gobierno publicó los resultados de un estudio sociológico sobre la incidencia del acoso sexual en el transporte público. Según el estudio, en Chequia, una de cada tres mujeres y uno de cada diez hombres han sufrido acoso sexual en el transporte público. El </w:t>
      </w:r>
      <w:r w:rsidRPr="00B9592E">
        <w:t>18</w:t>
      </w:r>
      <w:r w:rsidR="009106EF" w:rsidRPr="00DE7C15">
        <w:t> %</w:t>
      </w:r>
      <w:r w:rsidRPr="00DE7C15">
        <w:t xml:space="preserve"> de las personas tienen sensación de inseguridad frente al acoso sexual cuando viajan en transporte público. Un número ligeramente inferior de encuestados (</w:t>
      </w:r>
      <w:r w:rsidRPr="00B9592E">
        <w:t>14</w:t>
      </w:r>
      <w:r w:rsidR="009106EF" w:rsidRPr="00DE7C15">
        <w:t> %</w:t>
      </w:r>
      <w:r w:rsidRPr="00DE7C15">
        <w:t>) declaró sentirse amenazado durante la pandemia. Las mujeres (</w:t>
      </w:r>
      <w:r w:rsidRPr="00B9592E">
        <w:t>24</w:t>
      </w:r>
      <w:r w:rsidR="009106EF" w:rsidRPr="00DE7C15">
        <w:t> %</w:t>
      </w:r>
      <w:r w:rsidRPr="00DE7C15">
        <w:t xml:space="preserve"> frente al </w:t>
      </w:r>
      <w:r w:rsidRPr="00B9592E">
        <w:t>10</w:t>
      </w:r>
      <w:r w:rsidRPr="00DE7C15">
        <w:t>% de los hombres) y los jóvenes declaran niveles más altos de preocupación. El estudio también investigó qué podía aumentar la sensación de seguridad de los pasajeros. La mayoría de los encuestados se decantó por los botones de emergencia (</w:t>
      </w:r>
      <w:r w:rsidRPr="00B9592E">
        <w:t>66</w:t>
      </w:r>
      <w:r w:rsidR="009106EF" w:rsidRPr="00DE7C15">
        <w:t> %</w:t>
      </w:r>
      <w:r w:rsidRPr="00DE7C15">
        <w:t>), una implicación mayor de la policía (</w:t>
      </w:r>
      <w:r w:rsidRPr="00B9592E">
        <w:t>54</w:t>
      </w:r>
      <w:r w:rsidR="009106EF" w:rsidRPr="00DE7C15">
        <w:t> %</w:t>
      </w:r>
      <w:r w:rsidRPr="00DE7C15">
        <w:t>) y la capacitación de conductores y cobradores sobre cómo responder a los incidentes de acoso sexual (</w:t>
      </w:r>
      <w:r w:rsidRPr="00B9592E">
        <w:t>48</w:t>
      </w:r>
      <w:r w:rsidR="009106EF" w:rsidRPr="00DE7C15">
        <w:t> %</w:t>
      </w:r>
      <w:r w:rsidRPr="00DE7C15">
        <w:t>).</w:t>
      </w:r>
    </w:p>
    <w:p w14:paraId="386DC6A6" w14:textId="4B305526" w:rsidR="009106EF" w:rsidRPr="00DE7C15" w:rsidRDefault="009106EF" w:rsidP="009106EF">
      <w:pPr>
        <w:pStyle w:val="SingleTxt"/>
        <w:spacing w:after="0" w:line="120" w:lineRule="exact"/>
        <w:rPr>
          <w:sz w:val="10"/>
        </w:rPr>
      </w:pPr>
    </w:p>
    <w:p w14:paraId="666A9B7B" w14:textId="77777777" w:rsidR="009106EF" w:rsidRPr="00DE7C15" w:rsidRDefault="009106EF" w:rsidP="009106EF">
      <w:pPr>
        <w:pStyle w:val="SingleTxt"/>
        <w:spacing w:after="0" w:line="120" w:lineRule="exact"/>
        <w:rPr>
          <w:sz w:val="10"/>
        </w:rPr>
      </w:pPr>
    </w:p>
    <w:p w14:paraId="5DD4FB67"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6</w:t>
      </w:r>
    </w:p>
    <w:p w14:paraId="4EBD7A0E" w14:textId="77777777" w:rsidR="009106EF" w:rsidRPr="00DE7C15" w:rsidRDefault="009106EF" w:rsidP="009106EF">
      <w:pPr>
        <w:pStyle w:val="SingleTxt"/>
        <w:spacing w:after="0" w:line="120" w:lineRule="exact"/>
        <w:rPr>
          <w:sz w:val="10"/>
        </w:rPr>
      </w:pPr>
    </w:p>
    <w:p w14:paraId="56004A8B" w14:textId="77777777" w:rsidR="009106EF" w:rsidRPr="00DE7C15" w:rsidRDefault="009106EF" w:rsidP="009106EF">
      <w:pPr>
        <w:pStyle w:val="SingleTxt"/>
        <w:spacing w:after="0" w:line="120" w:lineRule="exact"/>
        <w:rPr>
          <w:sz w:val="10"/>
        </w:rPr>
      </w:pPr>
    </w:p>
    <w:p w14:paraId="6B61A9C1"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Lucha contra la trata de personas</w:t>
      </w:r>
    </w:p>
    <w:p w14:paraId="7F86D052" w14:textId="6438A011" w:rsidR="009106EF" w:rsidRPr="00DE7C15" w:rsidRDefault="009106EF" w:rsidP="009106EF">
      <w:pPr>
        <w:pStyle w:val="SingleTxt"/>
        <w:spacing w:after="0" w:line="120" w:lineRule="exact"/>
        <w:rPr>
          <w:sz w:val="10"/>
        </w:rPr>
      </w:pPr>
    </w:p>
    <w:p w14:paraId="0A20B3CA" w14:textId="77777777" w:rsidR="009106EF" w:rsidRPr="00DE7C15" w:rsidRDefault="009106EF" w:rsidP="009106EF">
      <w:pPr>
        <w:pStyle w:val="SingleTxt"/>
        <w:spacing w:after="0" w:line="120" w:lineRule="exact"/>
        <w:rPr>
          <w:sz w:val="10"/>
        </w:rPr>
      </w:pPr>
    </w:p>
    <w:p w14:paraId="4DFC0AE3" w14:textId="538E8811" w:rsidR="00554041" w:rsidRPr="00DE7C15" w:rsidRDefault="00CE28E1" w:rsidP="006C1BAD">
      <w:pPr>
        <w:pStyle w:val="SingleTxt"/>
        <w:numPr>
          <w:ilvl w:val="0"/>
          <w:numId w:val="37"/>
        </w:numPr>
        <w:ind w:left="1267"/>
      </w:pPr>
      <w:r w:rsidRPr="00DE7C15">
        <w:t xml:space="preserve">Las víctimas de la trata de personas pertenecen a un grupo de víctimas especialmente vulnerables para las que la Ley de Víctimas prevé medidas especiales que eviten agravar el estrés y reducir el riesgo de que sufran más daño y una revictimización, más allá del tratamiento general que se dispensa a todas las víctimas. Se ha protegido a las mujeres de la trata y la prostitución forzada mediante la tipificación como delitos de la trata, el proxenetismo y la incitación a mantener relaciones sexuales. Con efecto a partir del </w:t>
      </w:r>
      <w:r w:rsidRPr="00B9592E">
        <w:t>1</w:t>
      </w:r>
      <w:r w:rsidRPr="00DE7C15">
        <w:t xml:space="preserve"> de julio de </w:t>
      </w:r>
      <w:r w:rsidRPr="00B9592E">
        <w:t>2021</w:t>
      </w:r>
      <w:r w:rsidRPr="00DE7C15">
        <w:t xml:space="preserve">, se introdujo una modificación legislativa en el delito de incitación a mantener relaciones sexuales (artículo </w:t>
      </w:r>
      <w:r w:rsidRPr="00B9592E">
        <w:t>202</w:t>
      </w:r>
      <w:r w:rsidRPr="00DE7C15">
        <w:t xml:space="preserve"> del Código Penal). La definición actual abarca a los delincuentes que mantienen relaciones sexuales con niños o practican la autogratificación sexual, la exposición u otra conducta similar con niños para su propia satisfacción sexual, siempre que ofrezcan, prometan o proporcionen una remuneración, ventaja o beneficio al niño o a otra persona. La misma protección jurídica se aplica a las mujeres y niñas inmigrantes si el delito se comete en territorio checo.</w:t>
      </w:r>
    </w:p>
    <w:p w14:paraId="23E6C919" w14:textId="3C5EA880" w:rsidR="00CE28E1" w:rsidRPr="00DE7C15" w:rsidRDefault="00CE28E1" w:rsidP="006C1BAD">
      <w:pPr>
        <w:pStyle w:val="SingleTxt"/>
        <w:numPr>
          <w:ilvl w:val="0"/>
          <w:numId w:val="37"/>
        </w:numPr>
        <w:ind w:left="1267"/>
      </w:pPr>
      <w:r w:rsidRPr="00DE7C15">
        <w:t>Las víctimas de la trata de personas pueden incurrir en responsabilidad penal por sus actos. Sin embargo, el hecho de que la comisión del acto punible obedezca directamente a su condición de víctimas puede considerarse una eximente respecto de la ilegalidad del acto (extrema urgencia). Si se cumplen las condiciones, también se puede dispensar del castigo o reducir excepcionalmente la pena de prisión.</w:t>
      </w:r>
    </w:p>
    <w:p w14:paraId="67BD844B" w14:textId="7379F2B0" w:rsidR="00CE28E1" w:rsidRPr="00DE7C15" w:rsidRDefault="00CE28E1" w:rsidP="006C1BAD">
      <w:pPr>
        <w:pStyle w:val="SingleTxt"/>
        <w:numPr>
          <w:ilvl w:val="0"/>
          <w:numId w:val="37"/>
        </w:numPr>
        <w:ind w:left="1267"/>
      </w:pPr>
      <w:r w:rsidRPr="00DE7C15">
        <w:t>Las mujeres víctimas de la trata que residen ilegalmente en Chequia están sujetas a la reglamentación administrativa de expulsión habitual, como cualquier otro extranjero que reside ilegalmente en el país. Sin embargo, si participan en el Programa de Apoyo y Protección a las Víctimas de la Trata de Personas y cooperan en las actuaciones penales, pueden obtener la residencia y otros beneficios previstos en el Programa. Se les informa de la posibilidad de participar en el Programa y se les da tiempo para decidir.</w:t>
      </w:r>
    </w:p>
    <w:p w14:paraId="6C8924A2" w14:textId="64FA7C34" w:rsidR="00CE28E1" w:rsidRPr="00DE7C15" w:rsidRDefault="00CE28E1" w:rsidP="006C1BAD">
      <w:pPr>
        <w:pStyle w:val="SingleTxt"/>
        <w:numPr>
          <w:ilvl w:val="0"/>
          <w:numId w:val="37"/>
        </w:numPr>
        <w:ind w:left="1267"/>
      </w:pPr>
      <w:r w:rsidRPr="00DE7C15">
        <w:lastRenderedPageBreak/>
        <w:t xml:space="preserve">Chequia aprobó la Estrategia Nacional de Lucha contra la Trata de Personas en la República Checa para </w:t>
      </w:r>
      <w:r w:rsidRPr="00B9592E">
        <w:t>2016</w:t>
      </w:r>
      <w:r w:rsidRPr="00DE7C15">
        <w:t>-</w:t>
      </w:r>
      <w:r w:rsidRPr="00B9592E">
        <w:t>2019</w:t>
      </w:r>
      <w:r w:rsidRPr="00DE7C15">
        <w:t xml:space="preserve">, a la que siguió como continuación la Estrategia Nacional de Lucha contra la Trata de Personas en la República Checa para </w:t>
      </w:r>
      <w:r w:rsidRPr="00B9592E">
        <w:t>2020</w:t>
      </w:r>
      <w:r w:rsidRPr="00DE7C15">
        <w:t>-</w:t>
      </w:r>
      <w:r w:rsidRPr="00B9592E">
        <w:t>2023</w:t>
      </w:r>
      <w:r w:rsidRPr="00DE7C15">
        <w:t>. Todos los años se publica un informe sobre la situación de la trata de personas. Las estrategias se financian con cargo al presupuesto del Ministerio del Interior. El Programa de Apoyo y Protección a las Víctimas de la Trata de Personas se financia mediante procedimientos de contratación pública.</w:t>
      </w:r>
    </w:p>
    <w:p w14:paraId="644F5090" w14:textId="2FB3048A" w:rsidR="00CE28E1" w:rsidRPr="00DE7C15" w:rsidRDefault="00CE28E1" w:rsidP="006C1BAD">
      <w:pPr>
        <w:pStyle w:val="SingleTxt"/>
        <w:numPr>
          <w:ilvl w:val="0"/>
          <w:numId w:val="37"/>
        </w:numPr>
        <w:ind w:left="1267"/>
      </w:pPr>
      <w:r w:rsidRPr="00DE7C15">
        <w:t xml:space="preserve">La Estrategia Nacional de Lucha contra la Trata de Personas en la República Checa para </w:t>
      </w:r>
      <w:r w:rsidRPr="00B9592E">
        <w:t>2020</w:t>
      </w:r>
      <w:r w:rsidRPr="00DE7C15">
        <w:t>-</w:t>
      </w:r>
      <w:r w:rsidRPr="00B9592E">
        <w:t>2023</w:t>
      </w:r>
      <w:r w:rsidRPr="00DE7C15">
        <w:t xml:space="preserve"> contiene los objetivos específicos siguientes: combatir la trata de niños; fortalecer la identificación de las víctimas; prevenir la trata de personas y prestar asistencia a las víctimas; y colaborar en la lucha contra la trata de personas a escala nacional e internacional.</w:t>
      </w:r>
    </w:p>
    <w:p w14:paraId="341CA4BA" w14:textId="2185CE96" w:rsidR="00554041" w:rsidRPr="00DE7C15" w:rsidRDefault="00CE28E1" w:rsidP="006C1BAD">
      <w:pPr>
        <w:pStyle w:val="SingleTxt"/>
        <w:numPr>
          <w:ilvl w:val="0"/>
          <w:numId w:val="37"/>
        </w:numPr>
        <w:ind w:left="1267"/>
      </w:pPr>
      <w:r w:rsidRPr="00DE7C15">
        <w:t xml:space="preserve">Respecto de todos los delitos, incluida la trata de personas, las estadísticas de la policía únicamente revelan el número de delitos por su finalidad; en consecuencia, no es posible facilitar el número de víctimas. Sin embargo, a partir de </w:t>
      </w:r>
      <w:r w:rsidRPr="00B9592E">
        <w:t>2022</w:t>
      </w:r>
      <w:r w:rsidRPr="00DE7C15">
        <w:t xml:space="preserve">, el número de víctimas de la trata de personas se recoge en las estadísticas de los tribunales y las fiscalías, y el Ministerio de Justicia las recopila de forma centralizada. La mejora en la reunión de datos sobre la trata de personas es una de las tareas incorporadas en la Estrategia Nacional de Lucha contra la Trata de Personas en la República Checa para </w:t>
      </w:r>
      <w:r w:rsidRPr="00B9592E">
        <w:t>2020</w:t>
      </w:r>
      <w:r w:rsidRPr="00DE7C15">
        <w:t>-</w:t>
      </w:r>
      <w:r w:rsidRPr="00B9592E">
        <w:t>2023</w:t>
      </w:r>
      <w:r w:rsidRPr="00DE7C15">
        <w:t>.</w:t>
      </w:r>
    </w:p>
    <w:p w14:paraId="6B9618DD" w14:textId="6426F671" w:rsidR="00554041" w:rsidRPr="00DE7C15" w:rsidRDefault="00CE28E1" w:rsidP="006C1BAD">
      <w:pPr>
        <w:pStyle w:val="SingleTxt"/>
        <w:numPr>
          <w:ilvl w:val="0"/>
          <w:numId w:val="37"/>
        </w:numPr>
        <w:ind w:left="1267"/>
      </w:pPr>
      <w:r w:rsidRPr="00DE7C15">
        <w:t xml:space="preserve">En </w:t>
      </w:r>
      <w:r w:rsidRPr="00B9592E">
        <w:t>2017</w:t>
      </w:r>
      <w:r w:rsidRPr="00DE7C15">
        <w:t xml:space="preserve"> se aprobó una nueva orden del </w:t>
      </w:r>
      <w:proofErr w:type="gramStart"/>
      <w:r w:rsidRPr="00DE7C15">
        <w:t>Presidente</w:t>
      </w:r>
      <w:proofErr w:type="gramEnd"/>
      <w:r w:rsidRPr="00DE7C15">
        <w:t xml:space="preserve"> de la policía sobre las actividades relacionadas con la trata de personas que implantó principalmente la intervención de funcionarios de enlace para las minorías, en una labor pareja a la que desarrollan los agentes de la policía de inmigración. La intervención de funcionarios de enlace para las minorías en el sistema policial de lucha contra la trata de personas obedece a que un porcentaje significativo de los casos detectados e investigados han estado y siguen estando relacionados con la comunidad romaní y las localidades socialmente excluidas.</w:t>
      </w:r>
    </w:p>
    <w:p w14:paraId="1CBA3B70" w14:textId="49E83069" w:rsidR="009106EF" w:rsidRPr="00DE7C15" w:rsidRDefault="009106EF" w:rsidP="009106EF">
      <w:pPr>
        <w:pStyle w:val="SingleTxt"/>
        <w:spacing w:after="0" w:line="120" w:lineRule="exact"/>
        <w:rPr>
          <w:sz w:val="10"/>
        </w:rPr>
      </w:pPr>
    </w:p>
    <w:p w14:paraId="2F8707F0" w14:textId="77777777" w:rsidR="009106EF" w:rsidRPr="00DE7C15" w:rsidRDefault="009106EF" w:rsidP="009106EF">
      <w:pPr>
        <w:pStyle w:val="SingleTxt"/>
        <w:spacing w:after="0" w:line="120" w:lineRule="exact"/>
        <w:rPr>
          <w:sz w:val="10"/>
        </w:rPr>
      </w:pPr>
    </w:p>
    <w:p w14:paraId="725608DD"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Situación de los refugiados de Ucrania</w:t>
      </w:r>
    </w:p>
    <w:p w14:paraId="12780346" w14:textId="6A484A44" w:rsidR="009106EF" w:rsidRPr="00DE7C15" w:rsidRDefault="009106EF" w:rsidP="009106EF">
      <w:pPr>
        <w:pStyle w:val="SingleTxt"/>
        <w:spacing w:after="0" w:line="120" w:lineRule="exact"/>
        <w:rPr>
          <w:sz w:val="10"/>
        </w:rPr>
      </w:pPr>
    </w:p>
    <w:p w14:paraId="3B2A8115" w14:textId="77777777" w:rsidR="009106EF" w:rsidRPr="00DE7C15" w:rsidRDefault="009106EF" w:rsidP="009106EF">
      <w:pPr>
        <w:pStyle w:val="SingleTxt"/>
        <w:spacing w:after="0" w:line="120" w:lineRule="exact"/>
        <w:rPr>
          <w:sz w:val="10"/>
        </w:rPr>
      </w:pPr>
    </w:p>
    <w:p w14:paraId="0ED6CFAD" w14:textId="760BC457" w:rsidR="00CE28E1" w:rsidRPr="00DE7C15" w:rsidRDefault="00CE28E1" w:rsidP="006C1BAD">
      <w:pPr>
        <w:pStyle w:val="SingleTxt"/>
        <w:numPr>
          <w:ilvl w:val="0"/>
          <w:numId w:val="37"/>
        </w:numPr>
        <w:ind w:left="1267"/>
      </w:pPr>
      <w:r w:rsidRPr="00DE7C15">
        <w:t xml:space="preserve">A raíz de la agresión de Rusia contra Ucrania, al </w:t>
      </w:r>
      <w:r w:rsidRPr="00B9592E">
        <w:t>2</w:t>
      </w:r>
      <w:r w:rsidRPr="00DE7C15">
        <w:t xml:space="preserve"> de abril de </w:t>
      </w:r>
      <w:r w:rsidRPr="00B9592E">
        <w:t>2023</w:t>
      </w:r>
      <w:r w:rsidRPr="00DE7C15">
        <w:t xml:space="preserve"> se habían emitido casi </w:t>
      </w:r>
      <w:r w:rsidRPr="00B9592E">
        <w:t>504</w:t>
      </w:r>
      <w:r w:rsidRPr="00DE7C15">
        <w:t>.</w:t>
      </w:r>
      <w:r w:rsidRPr="00B9592E">
        <w:t>107</w:t>
      </w:r>
      <w:r w:rsidRPr="00DE7C15">
        <w:t xml:space="preserve"> órdenes temporales de protección en Chequia. En </w:t>
      </w:r>
      <w:r w:rsidRPr="00B9592E">
        <w:t>2022</w:t>
      </w:r>
      <w:r w:rsidRPr="00DE7C15">
        <w:t xml:space="preserve">, Chequia fue el país de la UE con mayor número de órdenes expedidas per cápita. Según un estudio del Ministerio de Trabajo y Asuntos Sociales de julio de </w:t>
      </w:r>
      <w:r w:rsidRPr="00B9592E">
        <w:t>2022</w:t>
      </w:r>
      <w:r w:rsidRPr="00DE7C15">
        <w:t xml:space="preserve">, el </w:t>
      </w:r>
      <w:r w:rsidRPr="00B9592E">
        <w:t>35</w:t>
      </w:r>
      <w:r w:rsidR="009106EF" w:rsidRPr="00DE7C15">
        <w:t> %</w:t>
      </w:r>
      <w:r w:rsidRPr="00DE7C15">
        <w:t xml:space="preserve"> de las personas llegadas de Ucrania eran niños, y de las personas en edad de trabajar, el </w:t>
      </w:r>
      <w:r w:rsidRPr="00B9592E">
        <w:t>72</w:t>
      </w:r>
      <w:r w:rsidR="009106EF" w:rsidRPr="00DE7C15">
        <w:t> %</w:t>
      </w:r>
      <w:r w:rsidRPr="00DE7C15">
        <w:t xml:space="preserve"> eran mujeres. Desde el comienzo del conflicto, Chequia presta la asistencia y el apoyo necesarios a las personas que abandonaron Ucrania a causa de la guerra, en el marco de su sistema de servicios sociales. Actualmente, los ciudadanos ucranianos tienen derecho a una prestación humanitaria equivalente al nivel mínimo de subsistencia durante </w:t>
      </w:r>
      <w:r w:rsidRPr="00B9592E">
        <w:t>150</w:t>
      </w:r>
      <w:r w:rsidRPr="00DE7C15">
        <w:t xml:space="preserve"> días tras la concesión de la protección temporal. Las personas vulnerables </w:t>
      </w:r>
      <w:r w:rsidR="00C66770">
        <w:t>—</w:t>
      </w:r>
      <w:r w:rsidRPr="00DE7C15">
        <w:t>como las mujeres embarazadas o las madres a cargo de niños pequeños</w:t>
      </w:r>
      <w:r w:rsidR="00C66770">
        <w:t xml:space="preserve">— </w:t>
      </w:r>
      <w:r w:rsidRPr="00DE7C15">
        <w:t xml:space="preserve">tienen derecho a la prestación transcurrido ese período. En el primer año de la agresión de Rusia contra Ucrania, Chequia gastó </w:t>
      </w:r>
      <w:r w:rsidRPr="00B9592E">
        <w:t>28</w:t>
      </w:r>
      <w:r w:rsidRPr="00DE7C15">
        <w:t>.</w:t>
      </w:r>
      <w:r w:rsidRPr="00B9592E">
        <w:t>500</w:t>
      </w:r>
      <w:r w:rsidRPr="00DE7C15">
        <w:t xml:space="preserve"> millones de coronas checas en la ayuda a los refugiados y solicitantes de asilo ucranianos.</w:t>
      </w:r>
    </w:p>
    <w:p w14:paraId="699EF148" w14:textId="77777777" w:rsidR="009106EF" w:rsidRPr="00DE7C15" w:rsidRDefault="009106EF" w:rsidP="009106EF">
      <w:pPr>
        <w:pStyle w:val="SingleTxt"/>
        <w:spacing w:after="0" w:line="120" w:lineRule="exact"/>
        <w:rPr>
          <w:sz w:val="10"/>
        </w:rPr>
      </w:pPr>
      <w:bookmarkStart w:id="9" w:name="_Toc397671620"/>
    </w:p>
    <w:p w14:paraId="119B3FAF" w14:textId="77777777" w:rsidR="009106EF" w:rsidRPr="00DE7C15" w:rsidRDefault="009106EF" w:rsidP="009106EF">
      <w:pPr>
        <w:pStyle w:val="SingleTxt"/>
        <w:spacing w:after="0" w:line="120" w:lineRule="exact"/>
        <w:rPr>
          <w:sz w:val="10"/>
        </w:rPr>
      </w:pPr>
    </w:p>
    <w:p w14:paraId="33045AA9" w14:textId="77777777" w:rsidR="009106EF" w:rsidRPr="00DE7C15" w:rsidRDefault="009106EF">
      <w:pPr>
        <w:suppressAutoHyphens w:val="0"/>
        <w:spacing w:after="160" w:line="259" w:lineRule="auto"/>
        <w:rPr>
          <w:kern w:val="14"/>
        </w:rPr>
      </w:pPr>
      <w:r w:rsidRPr="00B9592E">
        <w:rPr>
          <w:b/>
        </w:rPr>
        <w:br w:type="page"/>
      </w:r>
    </w:p>
    <w:p w14:paraId="5C80AF47"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lastRenderedPageBreak/>
        <w:tab/>
      </w:r>
      <w:r w:rsidRPr="00B9592E">
        <w:tab/>
        <w:t>Artículos 7 y 8</w:t>
      </w:r>
      <w:bookmarkEnd w:id="9"/>
    </w:p>
    <w:p w14:paraId="4FD1259C" w14:textId="77777777" w:rsidR="009106EF" w:rsidRPr="00DE7C15" w:rsidRDefault="009106EF" w:rsidP="009106EF">
      <w:pPr>
        <w:pStyle w:val="SingleTxt"/>
        <w:spacing w:after="0" w:line="120" w:lineRule="exact"/>
        <w:rPr>
          <w:sz w:val="10"/>
        </w:rPr>
      </w:pPr>
      <w:bookmarkStart w:id="10" w:name="_Toc397671621"/>
    </w:p>
    <w:p w14:paraId="259CC450" w14:textId="77777777" w:rsidR="009106EF" w:rsidRPr="00DE7C15" w:rsidRDefault="009106EF" w:rsidP="009106EF">
      <w:pPr>
        <w:pStyle w:val="SingleTxt"/>
        <w:spacing w:after="0" w:line="120" w:lineRule="exact"/>
        <w:rPr>
          <w:sz w:val="10"/>
        </w:rPr>
      </w:pPr>
    </w:p>
    <w:p w14:paraId="5F07BE35"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Participación de la mujer en la vida política y pública</w:t>
      </w:r>
      <w:bookmarkEnd w:id="10"/>
    </w:p>
    <w:p w14:paraId="21AE4A69" w14:textId="4A20952D" w:rsidR="009106EF" w:rsidRPr="00DE7C15" w:rsidRDefault="009106EF" w:rsidP="009106EF">
      <w:pPr>
        <w:pStyle w:val="SingleTxt"/>
        <w:spacing w:after="0" w:line="120" w:lineRule="exact"/>
        <w:rPr>
          <w:sz w:val="10"/>
        </w:rPr>
      </w:pPr>
    </w:p>
    <w:p w14:paraId="056C6466" w14:textId="77777777" w:rsidR="009106EF" w:rsidRPr="00DE7C15" w:rsidRDefault="009106EF" w:rsidP="009106EF">
      <w:pPr>
        <w:pStyle w:val="SingleTxt"/>
        <w:spacing w:after="0" w:line="120" w:lineRule="exact"/>
        <w:rPr>
          <w:sz w:val="10"/>
        </w:rPr>
      </w:pPr>
    </w:p>
    <w:p w14:paraId="450E2679" w14:textId="3548C67E" w:rsidR="00CE28E1" w:rsidRPr="00DE7C15" w:rsidRDefault="00CE28E1" w:rsidP="006C1BAD">
      <w:pPr>
        <w:pStyle w:val="SingleTxt"/>
        <w:numPr>
          <w:ilvl w:val="0"/>
          <w:numId w:val="37"/>
        </w:numPr>
        <w:ind w:left="1267"/>
      </w:pPr>
      <w:r w:rsidRPr="00DE7C15">
        <w:t xml:space="preserve">Según el artículo </w:t>
      </w:r>
      <w:r w:rsidRPr="00B9592E">
        <w:t>21</w:t>
      </w:r>
      <w:r w:rsidRPr="00DE7C15">
        <w:t xml:space="preserve"> </w:t>
      </w:r>
      <w:r w:rsidRPr="00B9592E">
        <w:t>3</w:t>
      </w:r>
      <w:r w:rsidRPr="00DE7C15">
        <w:t>) de la Carta, el derecho de voto es universal, igual y secreto. Por consiguiente, todos los ciudadanos adultos de Chequia tienen derecho a votar sin restricción alguna por motivos de raza, color, pertenencia a una nación o nacionalidad, idioma, sexo, religión, opiniones políticas o de otra índole, origen social, posición económica, nacimiento o cualquier otra condición social. El votante ejerce el derecho en persona; la votación por poder no está autorizada.</w:t>
      </w:r>
    </w:p>
    <w:p w14:paraId="015E8856" w14:textId="7288BB95" w:rsidR="00554041" w:rsidRPr="00DE7C15" w:rsidRDefault="00CE28E1" w:rsidP="006C1BAD">
      <w:pPr>
        <w:pStyle w:val="SingleTxt"/>
        <w:numPr>
          <w:ilvl w:val="0"/>
          <w:numId w:val="37"/>
        </w:numPr>
        <w:ind w:left="1267"/>
      </w:pPr>
      <w:r w:rsidRPr="00DE7C15">
        <w:t xml:space="preserve">Según el artículo </w:t>
      </w:r>
      <w:r w:rsidRPr="00B9592E">
        <w:t>21</w:t>
      </w:r>
      <w:r w:rsidRPr="00DE7C15">
        <w:t xml:space="preserve"> </w:t>
      </w:r>
      <w:r w:rsidRPr="00B9592E">
        <w:t>4</w:t>
      </w:r>
      <w:r w:rsidRPr="00DE7C15">
        <w:t>) de la Carta, los ciudadanos pueden acceder en pie de igualdad a cargos electivos y otros cargos públicos. No está permitido establecer limitaciones por razón de sexo.</w:t>
      </w:r>
    </w:p>
    <w:p w14:paraId="129B4A13" w14:textId="3D5D9AF2" w:rsidR="00554041" w:rsidRPr="00DE7C15" w:rsidRDefault="00CE28E1" w:rsidP="006C1BAD">
      <w:pPr>
        <w:pStyle w:val="SingleTxt"/>
        <w:numPr>
          <w:ilvl w:val="0"/>
          <w:numId w:val="37"/>
        </w:numPr>
        <w:ind w:left="1267"/>
      </w:pPr>
      <w:r w:rsidRPr="00DE7C15">
        <w:t xml:space="preserve">En </w:t>
      </w:r>
      <w:r w:rsidRPr="00B9592E">
        <w:t>2014</w:t>
      </w:r>
      <w:r w:rsidRPr="00DE7C15">
        <w:t xml:space="preserve">, el Ministerio del Interior, en colaboración con el Ministerio de Derechos Humanos, Igualdad de Oportunidades y Legislación, presentó un proyecto de ley para introducir un porcentaje mínimo de mujeres y hombres en las listas de candidatos a las elecciones a la Cámara de los Diputados y a las asambleas regionales. El </w:t>
      </w:r>
      <w:r w:rsidRPr="00B9592E">
        <w:t>30</w:t>
      </w:r>
      <w:r w:rsidRPr="00DE7C15">
        <w:t xml:space="preserve"> de abril de </w:t>
      </w:r>
      <w:r w:rsidRPr="00B9592E">
        <w:t>2015</w:t>
      </w:r>
      <w:r w:rsidRPr="00DE7C15">
        <w:t xml:space="preserve">, el proyecto de ley se sometió a la consideración del Gobierno, que lo debatió en su reunión del </w:t>
      </w:r>
      <w:r w:rsidRPr="00B9592E">
        <w:t>1</w:t>
      </w:r>
      <w:r w:rsidRPr="00DE7C15">
        <w:t xml:space="preserve"> de julio de </w:t>
      </w:r>
      <w:r w:rsidRPr="00B9592E">
        <w:t>2015</w:t>
      </w:r>
      <w:r w:rsidRPr="00DE7C15">
        <w:t xml:space="preserve">, pero no lo aprobó, lo que paralizó el proceso legislativo. Sin embargo, algunos partidos políticos han adoptado voluntariamente cuotas para garantizar una representación equilibrada. El Partido Verde introdujo cuotas internas en sus estatutos ya en </w:t>
      </w:r>
      <w:r w:rsidRPr="00B9592E">
        <w:t>2011</w:t>
      </w:r>
      <w:r w:rsidRPr="00DE7C15">
        <w:t xml:space="preserve">. El Partido Socialdemócrata Checo (ČSSD) adoptó las cuotas internas en </w:t>
      </w:r>
      <w:r w:rsidRPr="00B9592E">
        <w:t>2014</w:t>
      </w:r>
      <w:r w:rsidRPr="00DE7C15">
        <w:t xml:space="preserve">, pero las suprimió en </w:t>
      </w:r>
      <w:r w:rsidRPr="00B9592E">
        <w:t>2019</w:t>
      </w:r>
      <w:r w:rsidRPr="00DE7C15">
        <w:t xml:space="preserve"> cuando aprobó sus nuevos estatutos.</w:t>
      </w:r>
    </w:p>
    <w:p w14:paraId="1AB50D32" w14:textId="2B866383" w:rsidR="00CE28E1" w:rsidRPr="00DE7C15" w:rsidRDefault="00CE28E1" w:rsidP="006C1BAD">
      <w:pPr>
        <w:pStyle w:val="SingleTxt"/>
        <w:numPr>
          <w:ilvl w:val="0"/>
          <w:numId w:val="37"/>
        </w:numPr>
        <w:ind w:left="1267"/>
      </w:pPr>
      <w:r w:rsidRPr="00DE7C15">
        <w:t xml:space="preserve">En </w:t>
      </w:r>
      <w:r w:rsidRPr="00B9592E">
        <w:t>2021</w:t>
      </w:r>
      <w:r w:rsidRPr="00DE7C15">
        <w:t xml:space="preserve"> comenzó la ejecución de la medida de la Estrategia </w:t>
      </w:r>
      <w:r w:rsidRPr="00B9592E">
        <w:t>2021</w:t>
      </w:r>
      <w:r w:rsidRPr="00DE7C15">
        <w:t xml:space="preserve">+ que gira en torno a la formulación de medidas legislativas alternativas para promover una representación equilibrada de mujeres y hombres en la política. Se creó un grupo de trabajo de expertos para debatir la posibilidad de introducir normas sobre la representación de mujeres y hombres en las listas de candidatos. Además, en septiembre de </w:t>
      </w:r>
      <w:r w:rsidRPr="00B9592E">
        <w:t>2021</w:t>
      </w:r>
      <w:r w:rsidRPr="00DE7C15">
        <w:t xml:space="preserve">, el Departamento y la Embajada de la República de Chile organizaron el seminario </w:t>
      </w:r>
      <w:r w:rsidR="009106EF" w:rsidRPr="00DE7C15">
        <w:t>“</w:t>
      </w:r>
      <w:r w:rsidRPr="00DE7C15">
        <w:t>La experiencia de Chile respecto de las cuotas de género en las listas de candidatos</w:t>
      </w:r>
      <w:r w:rsidR="009106EF" w:rsidRPr="00DE7C15">
        <w:t>”</w:t>
      </w:r>
      <w:r w:rsidRPr="00DE7C15">
        <w:t xml:space="preserve">. Para finales de </w:t>
      </w:r>
      <w:r w:rsidRPr="00B9592E">
        <w:t>2023</w:t>
      </w:r>
      <w:r w:rsidRPr="00DE7C15">
        <w:t xml:space="preserve"> deben estar listas las soluciones alternativas a las medidas legislativas para promover el equilibrio de género en la vida política. Posteriormente, deberá presentarse la propuesta sobre la medida más adecuada para promover el equilibrio de género en las listas de candidatos.</w:t>
      </w:r>
    </w:p>
    <w:p w14:paraId="38F6BFDE" w14:textId="53397280" w:rsidR="00554041" w:rsidRPr="00DE7C15" w:rsidRDefault="00CE28E1" w:rsidP="006C1BAD">
      <w:pPr>
        <w:pStyle w:val="SingleTxt"/>
        <w:numPr>
          <w:ilvl w:val="0"/>
          <w:numId w:val="37"/>
        </w:numPr>
        <w:ind w:left="1267"/>
      </w:pPr>
      <w:r w:rsidRPr="00DE7C15">
        <w:t xml:space="preserve">Mediante la resolución del Gobierno núm. </w:t>
      </w:r>
      <w:r w:rsidRPr="00B9592E">
        <w:t>632</w:t>
      </w:r>
      <w:r w:rsidRPr="00DE7C15">
        <w:t xml:space="preserve"> de fecha </w:t>
      </w:r>
      <w:r w:rsidRPr="00B9592E">
        <w:t>11</w:t>
      </w:r>
      <w:r w:rsidRPr="00DE7C15">
        <w:t xml:space="preserve"> de julio de </w:t>
      </w:r>
      <w:r w:rsidRPr="00B9592E">
        <w:t>2016</w:t>
      </w:r>
      <w:r w:rsidRPr="00DE7C15">
        <w:t xml:space="preserve"> se aprobó el Plan de Acción de Representación Equilibrada. Fue el primer documento estratégico integral a nivel gubernamental centrado específicamente en la representación equilibrada.</w:t>
      </w:r>
    </w:p>
    <w:p w14:paraId="4ABFF65D" w14:textId="6864487F" w:rsidR="00CE28E1" w:rsidRPr="00DE7C15" w:rsidRDefault="00CE28E1" w:rsidP="006C1BAD">
      <w:pPr>
        <w:pStyle w:val="SingleTxt"/>
        <w:numPr>
          <w:ilvl w:val="0"/>
          <w:numId w:val="37"/>
        </w:numPr>
        <w:ind w:left="1267"/>
      </w:pPr>
      <w:r w:rsidRPr="00DE7C15">
        <w:t xml:space="preserve">El Plan de Acción de Representación Equilibrada contenía </w:t>
      </w:r>
      <w:r w:rsidRPr="00B9592E">
        <w:t>35</w:t>
      </w:r>
      <w:r w:rsidRPr="00DE7C15">
        <w:t xml:space="preserve"> medidas que debían aplicarse a lo largo de su período de ejecución. Entre sus logros parciales cabe mencionar la promoción gradual de la publicidad con perspectiva de género, la creación de comités de selección de composición mixta en cuanto al género y la publicación de un manual dirigido a los partidos políticos (</w:t>
      </w:r>
      <w:r w:rsidR="00436504">
        <w:t>Quince</w:t>
      </w:r>
      <w:r w:rsidR="001A2DB2">
        <w:t xml:space="preserve"> </w:t>
      </w:r>
      <w:r w:rsidRPr="00DE7C15">
        <w:t>sugerencias sobre las maneras de apoyar a las mujeres en los partidos y movimientos políticos).</w:t>
      </w:r>
    </w:p>
    <w:p w14:paraId="415B364F" w14:textId="61BA6C85" w:rsidR="00CE28E1" w:rsidRPr="00DE7C15" w:rsidRDefault="00CE28E1" w:rsidP="006C1BAD">
      <w:pPr>
        <w:pStyle w:val="SingleTxt"/>
        <w:numPr>
          <w:ilvl w:val="0"/>
          <w:numId w:val="37"/>
        </w:numPr>
        <w:ind w:left="1267"/>
      </w:pPr>
      <w:r w:rsidRPr="00DE7C15">
        <w:t xml:space="preserve">Otra herramienta para promover una mayor representación de las mujeres en los puestos decisorios es la auditoría de género. Tanto en el Plan de Acción de Representación Equilibrada como en las Medidas Actualizadas de </w:t>
      </w:r>
      <w:r w:rsidRPr="00B9592E">
        <w:t>2018</w:t>
      </w:r>
      <w:r w:rsidRPr="00DE7C15">
        <w:t xml:space="preserve"> de las Prioridades y los Procedimientos del Gobierno para Promover la Igualdad de Género se encomendaba la realización de auditorías de género. A finales de </w:t>
      </w:r>
      <w:r w:rsidRPr="00B9592E">
        <w:t>2022</w:t>
      </w:r>
      <w:r w:rsidRPr="00DE7C15">
        <w:t>, la mayoría de los órganos de la administración central las llevaban a cabo.</w:t>
      </w:r>
    </w:p>
    <w:p w14:paraId="633F5D72" w14:textId="3F05A302" w:rsidR="00CE28E1" w:rsidRPr="00DE7C15" w:rsidRDefault="00CE28E1" w:rsidP="006C1BAD">
      <w:pPr>
        <w:pStyle w:val="SingleTxt"/>
        <w:numPr>
          <w:ilvl w:val="0"/>
          <w:numId w:val="37"/>
        </w:numPr>
        <w:ind w:left="1267"/>
      </w:pPr>
      <w:r w:rsidRPr="00DE7C15">
        <w:lastRenderedPageBreak/>
        <w:t xml:space="preserve">Se siguieron realizando actividades de sensibilización sobre la representación de mujeres en puestos decisorios. En </w:t>
      </w:r>
      <w:r w:rsidRPr="00B9592E">
        <w:t>2016</w:t>
      </w:r>
      <w:r w:rsidRPr="00DE7C15">
        <w:t xml:space="preserve">, el Departamento, en colaboración con el Comité para la Representación Equilibrada de Mujeres y Hombres en la Vida Política y los Puestos Decisorios, organizó un taller sobre la promoción de la representación equilibrada de mujeres y hombres en la vida política. El taller se centró, entre otras cosas, en analizar el estado de la situación, el sexismo en las campañas electorales y las recomendaciones para apoyar la participación de las mujeres en la vida política. En </w:t>
      </w:r>
      <w:r w:rsidRPr="00B9592E">
        <w:t>2019</w:t>
      </w:r>
      <w:r w:rsidRPr="00DE7C15">
        <w:t xml:space="preserve">, el Departamento y la OSCE organizaron el seminario </w:t>
      </w:r>
      <w:r w:rsidR="009106EF" w:rsidRPr="00DE7C15">
        <w:t>“</w:t>
      </w:r>
      <w:r w:rsidRPr="00DE7C15">
        <w:t>Más mujeres en política: ¿cómo lograrlo?</w:t>
      </w:r>
      <w:r w:rsidR="009106EF" w:rsidRPr="00DE7C15">
        <w:t>”</w:t>
      </w:r>
      <w:r w:rsidRPr="00DE7C15">
        <w:t xml:space="preserve">. Durante el seminario se presentaron las normas internacionales y se celebraron una mesa redonda con representantes de los partidos políticos y un taller práctico. Asistieron al seminario representantes de siete partidos y movimientos políticos, incluidos seis partidos con representación en la Cámara de los Diputados. En </w:t>
      </w:r>
      <w:r w:rsidRPr="00B9592E">
        <w:t>2021</w:t>
      </w:r>
      <w:r w:rsidRPr="00DE7C15">
        <w:t xml:space="preserve">, se celebró el seminario </w:t>
      </w:r>
      <w:r w:rsidR="009106EF" w:rsidRPr="00DE7C15">
        <w:t>“</w:t>
      </w:r>
      <w:r w:rsidRPr="00DE7C15">
        <w:t>El género y la República Checa. ¿Por qué no hay mujeres en política?</w:t>
      </w:r>
      <w:r w:rsidR="009106EF" w:rsidRPr="00DE7C15">
        <w:t>”</w:t>
      </w:r>
      <w:r w:rsidRPr="00DE7C15">
        <w:t>, en apoyo de una representación equilibrada de hombres y mujeres en los partidos y movimientos políticos. El seminario tenía por objeto promover una representación equilibrada de hombres y mujeres en la vida política, así como la participación de los jóvenes en la política. Asistieron al seminario representantes de cinco partidos y movimientos políticos.</w:t>
      </w:r>
    </w:p>
    <w:p w14:paraId="394FC75E" w14:textId="269FB9E2" w:rsidR="00554041" w:rsidRPr="00DE7C15" w:rsidRDefault="00CE28E1" w:rsidP="006C1BAD">
      <w:pPr>
        <w:pStyle w:val="SingleTxt"/>
        <w:numPr>
          <w:ilvl w:val="0"/>
          <w:numId w:val="37"/>
        </w:numPr>
        <w:ind w:left="1267"/>
      </w:pPr>
      <w:r w:rsidRPr="00DE7C15">
        <w:t>La Estrategia +</w:t>
      </w:r>
      <w:r w:rsidRPr="00B9592E">
        <w:t>1</w:t>
      </w:r>
      <w:r w:rsidRPr="00DE7C15">
        <w:t xml:space="preserve"> se aprobó en virtud de la resolución del Gobierno núm. </w:t>
      </w:r>
      <w:r w:rsidRPr="00B9592E">
        <w:t>466</w:t>
      </w:r>
      <w:r w:rsidRPr="00DE7C15">
        <w:t xml:space="preserve"> de fecha </w:t>
      </w:r>
      <w:r w:rsidRPr="00B9592E">
        <w:t>23</w:t>
      </w:r>
      <w:r w:rsidRPr="00DE7C15">
        <w:t xml:space="preserve"> de mayo de </w:t>
      </w:r>
      <w:r w:rsidRPr="00B9592E">
        <w:t>2016</w:t>
      </w:r>
      <w:r w:rsidRPr="00DE7C15">
        <w:t xml:space="preserve">. Surgió como respuesta a la persistente escasa representación de mujeres en los puestos decisorios de la administración pública. Constituye una herramienta práctica en forma de medidas a través de las cuales las </w:t>
      </w:r>
      <w:proofErr w:type="gramStart"/>
      <w:r w:rsidRPr="00DE7C15">
        <w:t>autoridades públicas</w:t>
      </w:r>
      <w:proofErr w:type="gramEnd"/>
      <w:r w:rsidRPr="00DE7C15">
        <w:t xml:space="preserve"> pueden lograr una representación más equilibrada de mujeres y hombres en los puestos decisorios.</w:t>
      </w:r>
    </w:p>
    <w:p w14:paraId="507CDF2B" w14:textId="017998ED" w:rsidR="00554041" w:rsidRPr="00DE7C15" w:rsidRDefault="00CE28E1" w:rsidP="006C1BAD">
      <w:pPr>
        <w:pStyle w:val="SingleTxt"/>
        <w:numPr>
          <w:ilvl w:val="0"/>
          <w:numId w:val="37"/>
        </w:numPr>
        <w:ind w:left="1267"/>
      </w:pPr>
      <w:r w:rsidRPr="00DE7C15">
        <w:t xml:space="preserve">La Estrategia </w:t>
      </w:r>
      <w:r w:rsidRPr="00B9592E">
        <w:t>2021</w:t>
      </w:r>
      <w:r w:rsidRPr="00DE7C15">
        <w:t xml:space="preserve">+ tiene entre sus objetivos aumentar la representación de mujeres en puestos decisorios (no solo de los poderes públicos y de las administraciones central y local, sino también de la dirección de empresas) y en la vida política. El capítulo relativo a la adopción de decisiones contiene </w:t>
      </w:r>
      <w:r w:rsidRPr="00B9592E">
        <w:t>2</w:t>
      </w:r>
      <w:r w:rsidRPr="00DE7C15">
        <w:t xml:space="preserve"> objetivos estratégicos, </w:t>
      </w:r>
      <w:r w:rsidRPr="00B9592E">
        <w:t>9</w:t>
      </w:r>
      <w:r w:rsidRPr="00DE7C15">
        <w:t xml:space="preserve"> objetivos específicos y </w:t>
      </w:r>
      <w:r w:rsidRPr="00B9592E">
        <w:t>34</w:t>
      </w:r>
      <w:r w:rsidRPr="00DE7C15">
        <w:t xml:space="preserve"> medidas.</w:t>
      </w:r>
    </w:p>
    <w:p w14:paraId="4718CF72" w14:textId="44A030CC" w:rsidR="009106EF" w:rsidRPr="00DE7C15" w:rsidRDefault="009106EF" w:rsidP="009106EF">
      <w:pPr>
        <w:pStyle w:val="SingleTxt"/>
        <w:spacing w:after="0" w:line="120" w:lineRule="exact"/>
        <w:rPr>
          <w:sz w:val="10"/>
        </w:rPr>
      </w:pPr>
    </w:p>
    <w:p w14:paraId="1DDB1A3D" w14:textId="77777777" w:rsidR="009106EF" w:rsidRPr="00DE7C15" w:rsidRDefault="009106EF" w:rsidP="009106EF">
      <w:pPr>
        <w:pStyle w:val="SingleTxt"/>
        <w:spacing w:after="0" w:line="120" w:lineRule="exact"/>
        <w:rPr>
          <w:sz w:val="10"/>
        </w:rPr>
      </w:pPr>
    </w:p>
    <w:p w14:paraId="15606EF8" w14:textId="77777777" w:rsidR="00554041" w:rsidRPr="00B9592E"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592E">
        <w:tab/>
      </w:r>
      <w:r w:rsidRPr="00B9592E">
        <w:tab/>
        <w:t>Cámara de los Diputados</w:t>
      </w:r>
    </w:p>
    <w:p w14:paraId="0101C529" w14:textId="618A6563" w:rsidR="009106EF" w:rsidRPr="00DE7C15" w:rsidRDefault="009106EF" w:rsidP="009106EF">
      <w:pPr>
        <w:pStyle w:val="SingleTxt"/>
        <w:spacing w:after="0" w:line="120" w:lineRule="exact"/>
        <w:rPr>
          <w:sz w:val="10"/>
        </w:rPr>
      </w:pPr>
    </w:p>
    <w:p w14:paraId="532578AC" w14:textId="77777777" w:rsidR="009106EF" w:rsidRPr="00DE7C15" w:rsidRDefault="009106EF" w:rsidP="009106EF">
      <w:pPr>
        <w:pStyle w:val="SingleTxt"/>
        <w:spacing w:after="0" w:line="120" w:lineRule="exact"/>
        <w:rPr>
          <w:sz w:val="10"/>
        </w:rPr>
      </w:pPr>
    </w:p>
    <w:p w14:paraId="4CE45DCB" w14:textId="1389433E" w:rsidR="00CE28E1" w:rsidRPr="00DE7C15" w:rsidRDefault="00CE28E1" w:rsidP="006C1BAD">
      <w:pPr>
        <w:pStyle w:val="SingleTxt"/>
        <w:numPr>
          <w:ilvl w:val="0"/>
          <w:numId w:val="37"/>
        </w:numPr>
        <w:ind w:left="1267"/>
      </w:pPr>
      <w:r w:rsidRPr="00DE7C15">
        <w:t xml:space="preserve">En </w:t>
      </w:r>
      <w:r w:rsidRPr="00B9592E">
        <w:t>2021</w:t>
      </w:r>
      <w:r w:rsidRPr="00DE7C15">
        <w:t xml:space="preserve"> se celebraron elecciones a la Cámara de los Diputados. El </w:t>
      </w:r>
      <w:r w:rsidRPr="00B9592E">
        <w:t>31</w:t>
      </w:r>
      <w:r w:rsidRPr="00DE7C15">
        <w:t>,</w:t>
      </w:r>
      <w:r w:rsidRPr="00B9592E">
        <w:t>6</w:t>
      </w:r>
      <w:r w:rsidR="009106EF" w:rsidRPr="00DE7C15">
        <w:t> %</w:t>
      </w:r>
      <w:r w:rsidRPr="00DE7C15">
        <w:t xml:space="preserve"> de las candidaturas eran de mujeres, y el porcentaje de mujeres elegidas aumentó hasta el </w:t>
      </w:r>
      <w:r w:rsidRPr="00B9592E">
        <w:t>25</w:t>
      </w:r>
      <w:r w:rsidRPr="00DE7C15">
        <w:t>,</w:t>
      </w:r>
      <w:r w:rsidRPr="00B9592E">
        <w:t>5</w:t>
      </w:r>
      <w:r w:rsidR="009106EF" w:rsidRPr="00DE7C15">
        <w:t> %</w:t>
      </w:r>
      <w:r w:rsidRPr="00DE7C15">
        <w:t xml:space="preserve"> (desde el </w:t>
      </w:r>
      <w:r w:rsidRPr="00B9592E">
        <w:t>22</w:t>
      </w:r>
      <w:r w:rsidR="009106EF" w:rsidRPr="00DE7C15">
        <w:t> %</w:t>
      </w:r>
      <w:r w:rsidRPr="00DE7C15">
        <w:t xml:space="preserve"> de la legislatura anterior), lo que supone un máximo histórico de representación de mujeres tanto en las candidaturas como en los cargos electos. Nueve diputadas fueron elegidas en virtud del sistema de votación preferencial. Las mujeres obtuvieron </w:t>
      </w:r>
      <w:r w:rsidRPr="00B9592E">
        <w:t>566</w:t>
      </w:r>
      <w:r w:rsidRPr="00DE7C15">
        <w:t>.</w:t>
      </w:r>
      <w:r w:rsidRPr="00B9592E">
        <w:t>000</w:t>
      </w:r>
      <w:r w:rsidRPr="00DE7C15">
        <w:t xml:space="preserve"> votos preferenciales más en las elecciones de </w:t>
      </w:r>
      <w:r w:rsidRPr="00B9592E">
        <w:t>2021</w:t>
      </w:r>
      <w:r w:rsidRPr="00DE7C15">
        <w:t xml:space="preserve"> que en las anteriores (</w:t>
      </w:r>
      <w:r w:rsidRPr="00B9592E">
        <w:t>1</w:t>
      </w:r>
      <w:r w:rsidRPr="00DE7C15">
        <w:t>.</w:t>
      </w:r>
      <w:r w:rsidRPr="00B9592E">
        <w:t>215</w:t>
      </w:r>
      <w:r w:rsidRPr="00DE7C15">
        <w:t>.</w:t>
      </w:r>
      <w:r w:rsidRPr="00B9592E">
        <w:t>951</w:t>
      </w:r>
      <w:r w:rsidRPr="00DE7C15">
        <w:t xml:space="preserve"> votos preferenciales en total, lo que supone un aumento del </w:t>
      </w:r>
      <w:r w:rsidRPr="00B9592E">
        <w:t>87</w:t>
      </w:r>
      <w:r w:rsidR="009106EF" w:rsidRPr="00DE7C15">
        <w:t> %</w:t>
      </w:r>
      <w:r w:rsidRPr="00DE7C15">
        <w:t xml:space="preserve">). La campaña de la iniciativa civil </w:t>
      </w:r>
      <w:r w:rsidR="009106EF" w:rsidRPr="00DE7C15">
        <w:t>“</w:t>
      </w:r>
      <w:r w:rsidRPr="00DE7C15">
        <w:t>Elige a una mujer</w:t>
      </w:r>
      <w:r w:rsidR="009106EF" w:rsidRPr="00DE7C15">
        <w:t>”</w:t>
      </w:r>
      <w:r w:rsidRPr="00DE7C15">
        <w:t xml:space="preserve">, que animó a los votantes a otorgar su voto preferencial a una mujer, llegó a más de un millón de personas. En octubre de </w:t>
      </w:r>
      <w:r w:rsidRPr="00B9592E">
        <w:t>2022</w:t>
      </w:r>
      <w:r w:rsidRPr="00DE7C15">
        <w:t xml:space="preserve">, el </w:t>
      </w:r>
      <w:r w:rsidRPr="00B9592E">
        <w:t>26</w:t>
      </w:r>
      <w:r w:rsidR="009106EF" w:rsidRPr="00DE7C15">
        <w:t> %</w:t>
      </w:r>
      <w:r w:rsidRPr="00DE7C15">
        <w:t xml:space="preserve"> de los diputados eran mujeres (por la dimisión de un diputado que fue sustituido por una diputada).</w:t>
      </w:r>
    </w:p>
    <w:p w14:paraId="6FEF1C38" w14:textId="65F8F389" w:rsidR="00CE28E1" w:rsidRPr="00DE7C15" w:rsidRDefault="00CE28E1" w:rsidP="006C1BAD">
      <w:pPr>
        <w:pStyle w:val="SingleTxt"/>
        <w:numPr>
          <w:ilvl w:val="0"/>
          <w:numId w:val="37"/>
        </w:numPr>
        <w:ind w:left="1267"/>
      </w:pPr>
      <w:r w:rsidRPr="00DE7C15">
        <w:t>Esa nueva composición de la Cámara de los Diputados cambió de manera relativamente significativa su liderazgo. En comparación con la legislatura anterior (</w:t>
      </w:r>
      <w:r w:rsidRPr="00B9592E">
        <w:t>2017</w:t>
      </w:r>
      <w:r w:rsidRPr="00DE7C15">
        <w:t>-</w:t>
      </w:r>
      <w:r w:rsidRPr="00B9592E">
        <w:t>2021</w:t>
      </w:r>
      <w:r w:rsidRPr="00DE7C15">
        <w:t xml:space="preserve">), durante la cual ninguna mujer ocupó ni la Presidencia ni ninguna de las cinco Vicepresidencias, en la actual dos de las cinco Vicepresidencias de la Cámara de los Diputados están ocupadas por mujeres. También ocupa la Presidencia una mujer. Con todo, en lo que respecta a la dirección de los órganos de la Cámara de los Diputados, la situación no ha cambiado mucho. Aunque las mujeres representan el </w:t>
      </w:r>
      <w:r w:rsidRPr="00B9592E">
        <w:t>26</w:t>
      </w:r>
      <w:r w:rsidR="009106EF" w:rsidRPr="00DE7C15">
        <w:t> %</w:t>
      </w:r>
      <w:r w:rsidRPr="00DE7C15">
        <w:t xml:space="preserve"> de los diputados de la Cámara, solo </w:t>
      </w:r>
      <w:r w:rsidRPr="00B9592E">
        <w:t>4</w:t>
      </w:r>
      <w:r w:rsidRPr="00DE7C15">
        <w:t xml:space="preserve"> de sus </w:t>
      </w:r>
      <w:r w:rsidRPr="00B9592E">
        <w:t>18</w:t>
      </w:r>
      <w:r w:rsidRPr="00DE7C15">
        <w:t xml:space="preserve"> comités están presididos por mujeres. De las </w:t>
      </w:r>
      <w:r w:rsidRPr="00B9592E">
        <w:t>14</w:t>
      </w:r>
      <w:r w:rsidRPr="00DE7C15">
        <w:t xml:space="preserve"> comisiones, están presididas por mujeres </w:t>
      </w:r>
      <w:r w:rsidRPr="00B9592E">
        <w:t>3</w:t>
      </w:r>
      <w:r w:rsidRPr="00DE7C15">
        <w:t xml:space="preserve">. En la legislatura </w:t>
      </w:r>
      <w:r w:rsidRPr="00DE7C15">
        <w:lastRenderedPageBreak/>
        <w:t xml:space="preserve">anterior, </w:t>
      </w:r>
      <w:r w:rsidRPr="00B9592E">
        <w:t>6</w:t>
      </w:r>
      <w:r w:rsidRPr="00DE7C15">
        <w:t xml:space="preserve"> de los </w:t>
      </w:r>
      <w:r w:rsidRPr="00B9592E">
        <w:t>18</w:t>
      </w:r>
      <w:r w:rsidRPr="00DE7C15">
        <w:t xml:space="preserve"> comités y </w:t>
      </w:r>
      <w:r w:rsidRPr="00B9592E">
        <w:t>1</w:t>
      </w:r>
      <w:r w:rsidRPr="00DE7C15">
        <w:t xml:space="preserve"> de las </w:t>
      </w:r>
      <w:r w:rsidRPr="00B9592E">
        <w:t>16</w:t>
      </w:r>
      <w:r w:rsidRPr="00DE7C15">
        <w:t xml:space="preserve"> comisiones estuvieron presididas por mujeres.</w:t>
      </w:r>
    </w:p>
    <w:p w14:paraId="431A8AA0" w14:textId="69451D94" w:rsidR="00CE28E1" w:rsidRPr="00DE7C15" w:rsidRDefault="00CE28E1" w:rsidP="006C1BAD">
      <w:pPr>
        <w:pStyle w:val="SingleTxt"/>
        <w:numPr>
          <w:ilvl w:val="0"/>
          <w:numId w:val="37"/>
        </w:numPr>
        <w:ind w:left="1267"/>
      </w:pPr>
      <w:r w:rsidRPr="00DE7C15">
        <w:t xml:space="preserve">El Departamento actualizó el manual </w:t>
      </w:r>
      <w:r w:rsidR="009106EF" w:rsidRPr="00DE7C15">
        <w:t>“</w:t>
      </w:r>
      <w:r w:rsidRPr="00DE7C15">
        <w:t>Quince sugerencias sobre las maneras de apoyar a las mujeres en los partidos y movimientos políticos</w:t>
      </w:r>
      <w:r w:rsidR="009106EF" w:rsidRPr="00DE7C15">
        <w:t>”</w:t>
      </w:r>
      <w:r w:rsidRPr="00DE7C15">
        <w:t xml:space="preserve"> en </w:t>
      </w:r>
      <w:r w:rsidRPr="00B9592E">
        <w:t>2022</w:t>
      </w:r>
      <w:r w:rsidRPr="00DE7C15">
        <w:t>. El manual proporciona a los partidos y movimientos políticos de todo el espectro político recomendaciones específicas y herramientas de probada eficacia para fomentar una mayor participación de las mujeres en la vida política.</w:t>
      </w:r>
    </w:p>
    <w:p w14:paraId="04E52954" w14:textId="77777777" w:rsidR="009106EF" w:rsidRPr="00DE7C15" w:rsidRDefault="009106EF" w:rsidP="009106EF">
      <w:pPr>
        <w:pStyle w:val="SingleTxt"/>
        <w:spacing w:after="0" w:line="120" w:lineRule="exact"/>
        <w:rPr>
          <w:sz w:val="10"/>
        </w:rPr>
      </w:pPr>
    </w:p>
    <w:p w14:paraId="666F2805" w14:textId="77777777" w:rsidR="009106EF" w:rsidRPr="00DE7C15" w:rsidRDefault="009106EF" w:rsidP="009106EF">
      <w:pPr>
        <w:pStyle w:val="SingleTxt"/>
        <w:spacing w:after="0" w:line="120" w:lineRule="exact"/>
        <w:rPr>
          <w:sz w:val="10"/>
        </w:rPr>
      </w:pPr>
    </w:p>
    <w:p w14:paraId="4EBF8079"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Senado del Parlamento de la República Checa</w:t>
      </w:r>
    </w:p>
    <w:p w14:paraId="067C446F" w14:textId="515F43F9" w:rsidR="009106EF" w:rsidRPr="00DE7C15" w:rsidRDefault="009106EF" w:rsidP="009106EF">
      <w:pPr>
        <w:pStyle w:val="SingleTxt"/>
        <w:spacing w:after="0" w:line="120" w:lineRule="exact"/>
        <w:rPr>
          <w:sz w:val="10"/>
        </w:rPr>
      </w:pPr>
    </w:p>
    <w:p w14:paraId="601D1BD1" w14:textId="77777777" w:rsidR="009106EF" w:rsidRPr="00DE7C15" w:rsidRDefault="009106EF" w:rsidP="009106EF">
      <w:pPr>
        <w:pStyle w:val="SingleTxt"/>
        <w:spacing w:after="0" w:line="120" w:lineRule="exact"/>
        <w:rPr>
          <w:sz w:val="10"/>
        </w:rPr>
      </w:pPr>
    </w:p>
    <w:p w14:paraId="6FA6D1F3" w14:textId="12EE0FE8" w:rsidR="00554041" w:rsidRPr="00DE7C15" w:rsidRDefault="00CE28E1" w:rsidP="006C1BAD">
      <w:pPr>
        <w:pStyle w:val="SingleTxt"/>
        <w:numPr>
          <w:ilvl w:val="0"/>
          <w:numId w:val="37"/>
        </w:numPr>
        <w:ind w:left="1267"/>
      </w:pPr>
      <w:r w:rsidRPr="00DE7C15">
        <w:t xml:space="preserve">Las elecciones al Senado del Parlamento de la República Checa se celebran cada dos años en un tercio de las circunscripciones. El sistema de elección es mayoritario. Si ningún candidato obtiene más del </w:t>
      </w:r>
      <w:r w:rsidRPr="00B9592E">
        <w:t>50</w:t>
      </w:r>
      <w:r w:rsidR="009106EF" w:rsidRPr="00DE7C15">
        <w:t> %</w:t>
      </w:r>
      <w:r w:rsidRPr="00DE7C15">
        <w:t xml:space="preserve"> de los votos en la primera vuelta, se celebra una segunda, a la que pasan los dos candidatos más votados.</w:t>
      </w:r>
    </w:p>
    <w:p w14:paraId="107539B2" w14:textId="4BC5B83E" w:rsidR="00554041" w:rsidRPr="00DE7C15" w:rsidRDefault="00CE28E1" w:rsidP="006C1BAD">
      <w:pPr>
        <w:pStyle w:val="SingleTxt"/>
        <w:numPr>
          <w:ilvl w:val="0"/>
          <w:numId w:val="37"/>
        </w:numPr>
        <w:ind w:left="1267"/>
      </w:pPr>
      <w:r w:rsidRPr="00DE7C15">
        <w:t xml:space="preserve">El Senado se ha caracterizado durante mucho tiempo por tener la representación de mujeres más escasa, en parte debido al sistema de elección mayoritario. En las elecciones de </w:t>
      </w:r>
      <w:r w:rsidRPr="00B9592E">
        <w:t>2022</w:t>
      </w:r>
      <w:r w:rsidRPr="00DE7C15">
        <w:t xml:space="preserve">, las mujeres representaron el </w:t>
      </w:r>
      <w:r w:rsidRPr="00B9592E">
        <w:t>24</w:t>
      </w:r>
      <w:r w:rsidRPr="00DE7C15">
        <w:t>,</w:t>
      </w:r>
      <w:r w:rsidRPr="00B9592E">
        <w:t>4</w:t>
      </w:r>
      <w:r w:rsidR="009106EF" w:rsidRPr="00DE7C15">
        <w:t> %</w:t>
      </w:r>
      <w:r w:rsidRPr="00DE7C15">
        <w:t xml:space="preserve"> de las candidaturas y el </w:t>
      </w:r>
      <w:r w:rsidRPr="00B9592E">
        <w:t>33</w:t>
      </w:r>
      <w:r w:rsidRPr="00DE7C15">
        <w:t>,</w:t>
      </w:r>
      <w:r w:rsidRPr="00B9592E">
        <w:t>3</w:t>
      </w:r>
      <w:r w:rsidR="009106EF" w:rsidRPr="00DE7C15">
        <w:t> %</w:t>
      </w:r>
      <w:r w:rsidRPr="00DE7C15">
        <w:t xml:space="preserve"> de los senadores elegidos. Actualmente, son mujeres el </w:t>
      </w:r>
      <w:r w:rsidRPr="00B9592E">
        <w:t>18</w:t>
      </w:r>
      <w:r w:rsidRPr="00DE7C15">
        <w:t>,</w:t>
      </w:r>
      <w:r w:rsidRPr="00B9592E">
        <w:t>5</w:t>
      </w:r>
      <w:r w:rsidR="009106EF" w:rsidRPr="00DE7C15">
        <w:t> %</w:t>
      </w:r>
      <w:r w:rsidRPr="00DE7C15">
        <w:t xml:space="preserve"> de los senadores.</w:t>
      </w:r>
    </w:p>
    <w:p w14:paraId="050FEE97" w14:textId="4E8E517D" w:rsidR="00CE28E1" w:rsidRPr="00DE7C15" w:rsidRDefault="00CE28E1" w:rsidP="006C1BAD">
      <w:pPr>
        <w:pStyle w:val="SingleTxt"/>
        <w:numPr>
          <w:ilvl w:val="0"/>
          <w:numId w:val="37"/>
        </w:numPr>
        <w:ind w:left="1267"/>
      </w:pPr>
      <w:r w:rsidRPr="00DE7C15">
        <w:t>La Presidencia del Senado y una de las cinco Vicepresidencias están ocupadas actualmente por mujeres. Las mujeres presiden uno de los nueve comités y uno de los seis subcomités, pero ninguna de las siete comisiones permanentes.</w:t>
      </w:r>
    </w:p>
    <w:p w14:paraId="23B073B5" w14:textId="77777777" w:rsidR="009106EF" w:rsidRPr="00DE7C15" w:rsidRDefault="009106EF" w:rsidP="009106EF">
      <w:pPr>
        <w:pStyle w:val="SingleTxt"/>
        <w:spacing w:after="0" w:line="120" w:lineRule="exact"/>
        <w:rPr>
          <w:sz w:val="10"/>
        </w:rPr>
      </w:pPr>
    </w:p>
    <w:p w14:paraId="4353A0C0" w14:textId="77777777" w:rsidR="009106EF" w:rsidRPr="00DE7C15" w:rsidRDefault="009106EF" w:rsidP="009106EF">
      <w:pPr>
        <w:pStyle w:val="SingleTxt"/>
        <w:spacing w:after="0" w:line="120" w:lineRule="exact"/>
        <w:rPr>
          <w:sz w:val="10"/>
        </w:rPr>
      </w:pPr>
    </w:p>
    <w:p w14:paraId="1E4930B0"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Parlamento Europeo</w:t>
      </w:r>
    </w:p>
    <w:p w14:paraId="71E3551F" w14:textId="7A4AAFDA" w:rsidR="009106EF" w:rsidRPr="00DE7C15" w:rsidRDefault="009106EF" w:rsidP="009106EF">
      <w:pPr>
        <w:pStyle w:val="SingleTxt"/>
        <w:spacing w:after="0" w:line="120" w:lineRule="exact"/>
        <w:rPr>
          <w:sz w:val="10"/>
        </w:rPr>
      </w:pPr>
    </w:p>
    <w:p w14:paraId="3955EB39" w14:textId="77777777" w:rsidR="009106EF" w:rsidRPr="00DE7C15" w:rsidRDefault="009106EF" w:rsidP="009106EF">
      <w:pPr>
        <w:pStyle w:val="SingleTxt"/>
        <w:spacing w:after="0" w:line="120" w:lineRule="exact"/>
        <w:rPr>
          <w:sz w:val="10"/>
        </w:rPr>
      </w:pPr>
    </w:p>
    <w:p w14:paraId="02CA3A20" w14:textId="2345784B" w:rsidR="00CE28E1" w:rsidRPr="00DE7C15" w:rsidRDefault="00CE28E1" w:rsidP="006C1BAD">
      <w:pPr>
        <w:pStyle w:val="SingleTxt"/>
        <w:numPr>
          <w:ilvl w:val="0"/>
          <w:numId w:val="37"/>
        </w:numPr>
        <w:ind w:left="1267"/>
      </w:pPr>
      <w:r w:rsidRPr="00DE7C15">
        <w:t xml:space="preserve">En mayo de </w:t>
      </w:r>
      <w:r w:rsidRPr="00B9592E">
        <w:t>2019</w:t>
      </w:r>
      <w:r w:rsidRPr="00DE7C15">
        <w:t xml:space="preserve"> se celebraron elecciones al Parlamento Europeo, en las que salieron elegidas siete eurodiputadas. Eso significa que las mujeres representan actualmente un tercio de los eurodiputados.</w:t>
      </w:r>
    </w:p>
    <w:p w14:paraId="78DD9864" w14:textId="77777777" w:rsidR="009106EF" w:rsidRPr="00DE7C15" w:rsidRDefault="009106EF" w:rsidP="009106EF">
      <w:pPr>
        <w:pStyle w:val="SingleTxt"/>
        <w:spacing w:after="0" w:line="120" w:lineRule="exact"/>
        <w:rPr>
          <w:sz w:val="10"/>
        </w:rPr>
      </w:pPr>
    </w:p>
    <w:p w14:paraId="682C26F7" w14:textId="77777777" w:rsidR="009106EF" w:rsidRPr="00DE7C15" w:rsidRDefault="009106EF" w:rsidP="009106EF">
      <w:pPr>
        <w:pStyle w:val="SingleTxt"/>
        <w:spacing w:after="0" w:line="120" w:lineRule="exact"/>
        <w:rPr>
          <w:sz w:val="10"/>
        </w:rPr>
      </w:pPr>
    </w:p>
    <w:p w14:paraId="25071530"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Nivel municipal</w:t>
      </w:r>
    </w:p>
    <w:p w14:paraId="582F7FB2" w14:textId="00DFCEA4" w:rsidR="009106EF" w:rsidRPr="00DE7C15" w:rsidRDefault="009106EF" w:rsidP="009106EF">
      <w:pPr>
        <w:pStyle w:val="SingleTxt"/>
        <w:spacing w:after="0" w:line="120" w:lineRule="exact"/>
        <w:rPr>
          <w:sz w:val="10"/>
        </w:rPr>
      </w:pPr>
    </w:p>
    <w:p w14:paraId="6980FC96" w14:textId="77777777" w:rsidR="009106EF" w:rsidRPr="00DE7C15" w:rsidRDefault="009106EF" w:rsidP="009106EF">
      <w:pPr>
        <w:pStyle w:val="SingleTxt"/>
        <w:spacing w:after="0" w:line="120" w:lineRule="exact"/>
        <w:rPr>
          <w:sz w:val="10"/>
        </w:rPr>
      </w:pPr>
    </w:p>
    <w:p w14:paraId="4C836842" w14:textId="0F00D610" w:rsidR="00CE28E1" w:rsidRPr="00DE7C15" w:rsidRDefault="00CE28E1" w:rsidP="006C1BAD">
      <w:pPr>
        <w:pStyle w:val="SingleTxt"/>
        <w:numPr>
          <w:ilvl w:val="0"/>
          <w:numId w:val="37"/>
        </w:numPr>
        <w:ind w:left="1267"/>
      </w:pPr>
      <w:r w:rsidRPr="00DE7C15">
        <w:t xml:space="preserve">En las elecciones municipales, la representación de mujeres en las listas de candidatos y entre los cargos electos ha sido tradicionalmente la más alta. En </w:t>
      </w:r>
      <w:r w:rsidRPr="00B9592E">
        <w:t>2022</w:t>
      </w:r>
      <w:r w:rsidRPr="00DE7C15">
        <w:t xml:space="preserve">, el </w:t>
      </w:r>
      <w:r w:rsidRPr="00B9592E">
        <w:t>33</w:t>
      </w:r>
      <w:r w:rsidRPr="00DE7C15">
        <w:t>,</w:t>
      </w:r>
      <w:r w:rsidRPr="00B9592E">
        <w:t>3</w:t>
      </w:r>
      <w:r w:rsidR="009106EF" w:rsidRPr="00DE7C15">
        <w:t> %</w:t>
      </w:r>
      <w:r w:rsidRPr="00DE7C15">
        <w:t xml:space="preserve"> de las candidaturas a los consejos municipales y el </w:t>
      </w:r>
      <w:r w:rsidRPr="00B9592E">
        <w:t>29</w:t>
      </w:r>
      <w:r w:rsidR="009106EF" w:rsidRPr="00DE7C15">
        <w:t> %</w:t>
      </w:r>
      <w:r w:rsidRPr="00DE7C15">
        <w:t xml:space="preserve"> de los cargos electos fueron mujeres. En comparación con las elecciones de </w:t>
      </w:r>
      <w:r w:rsidRPr="00B9592E">
        <w:t>2018</w:t>
      </w:r>
      <w:r w:rsidRPr="00DE7C15">
        <w:t xml:space="preserve">, esos porcentajes representan un aumento de un </w:t>
      </w:r>
      <w:r w:rsidRPr="00B9592E">
        <w:t>1</w:t>
      </w:r>
      <w:r w:rsidR="009106EF" w:rsidRPr="00DE7C15">
        <w:t> %</w:t>
      </w:r>
      <w:r w:rsidRPr="00DE7C15">
        <w:t>, lo cual significa que se ha registrado un crecimiento continuo, si bien muy gradual, de la representación de mujeres a nivel municipal.</w:t>
      </w:r>
      <w:bookmarkStart w:id="11" w:name="_Toc397671623"/>
    </w:p>
    <w:p w14:paraId="684386CA" w14:textId="63FA4306" w:rsidR="00CE28E1" w:rsidRPr="00DE7C15" w:rsidRDefault="00CE28E1" w:rsidP="006C1BAD">
      <w:pPr>
        <w:pStyle w:val="SingleTxt"/>
        <w:numPr>
          <w:ilvl w:val="0"/>
          <w:numId w:val="37"/>
        </w:numPr>
        <w:ind w:left="1267"/>
      </w:pPr>
      <w:r w:rsidRPr="00DE7C15">
        <w:t xml:space="preserve">La mayoría de las alcaldesas ejercen su cargo en municipios pequeños de menos de </w:t>
      </w:r>
      <w:r w:rsidRPr="00B9592E">
        <w:t>1</w:t>
      </w:r>
      <w:r w:rsidRPr="00DE7C15">
        <w:t>.</w:t>
      </w:r>
      <w:r w:rsidRPr="00B9592E">
        <w:t>000</w:t>
      </w:r>
      <w:r w:rsidRPr="00DE7C15">
        <w:t xml:space="preserve"> habitantes (</w:t>
      </w:r>
      <w:r w:rsidRPr="00B9592E">
        <w:t>28</w:t>
      </w:r>
      <w:r w:rsidR="009106EF" w:rsidRPr="00DE7C15">
        <w:t> %</w:t>
      </w:r>
      <w:r w:rsidRPr="00DE7C15">
        <w:t xml:space="preserve">), mientras </w:t>
      </w:r>
      <w:proofErr w:type="gramStart"/>
      <w:r w:rsidRPr="00DE7C15">
        <w:t>que</w:t>
      </w:r>
      <w:proofErr w:type="gramEnd"/>
      <w:r w:rsidRPr="00DE7C15">
        <w:t xml:space="preserve"> en las grandes ciudades de más de </w:t>
      </w:r>
      <w:r w:rsidRPr="00B9592E">
        <w:t>100</w:t>
      </w:r>
      <w:r w:rsidRPr="00DE7C15">
        <w:t>.</w:t>
      </w:r>
      <w:r w:rsidRPr="00B9592E">
        <w:t>000</w:t>
      </w:r>
      <w:r w:rsidRPr="00DE7C15">
        <w:t xml:space="preserve"> habitantes, el número de alcaldesas es el más bajo (algo menos del </w:t>
      </w:r>
      <w:r w:rsidRPr="00B9592E">
        <w:t>8</w:t>
      </w:r>
      <w:r w:rsidR="009106EF" w:rsidRPr="00DE7C15">
        <w:t> %</w:t>
      </w:r>
      <w:r w:rsidRPr="00DE7C15">
        <w:t>). Esto indica que, a medida que aumentan los recursos financieros y el tamaño de los municipios, disminuye el número de alcaldesas.</w:t>
      </w:r>
      <w:bookmarkEnd w:id="11"/>
    </w:p>
    <w:p w14:paraId="1BC4A157" w14:textId="77777777" w:rsidR="009106EF" w:rsidRPr="00DE7C15" w:rsidRDefault="009106EF" w:rsidP="009106EF">
      <w:pPr>
        <w:pStyle w:val="SingleTxt"/>
        <w:spacing w:after="0" w:line="120" w:lineRule="exact"/>
        <w:rPr>
          <w:sz w:val="10"/>
        </w:rPr>
      </w:pPr>
    </w:p>
    <w:p w14:paraId="616E4FD9" w14:textId="77777777" w:rsidR="009106EF" w:rsidRPr="00DE7C15" w:rsidRDefault="009106EF" w:rsidP="009106EF">
      <w:pPr>
        <w:pStyle w:val="SingleTxt"/>
        <w:spacing w:after="0" w:line="120" w:lineRule="exact"/>
        <w:rPr>
          <w:sz w:val="10"/>
        </w:rPr>
      </w:pPr>
    </w:p>
    <w:p w14:paraId="17D3D1A4"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Elecciones presidenciales</w:t>
      </w:r>
    </w:p>
    <w:p w14:paraId="24825F4F" w14:textId="5FFA13BB" w:rsidR="009106EF" w:rsidRPr="00DE7C15" w:rsidRDefault="009106EF" w:rsidP="009106EF">
      <w:pPr>
        <w:pStyle w:val="SingleTxt"/>
        <w:spacing w:after="0" w:line="120" w:lineRule="exact"/>
        <w:rPr>
          <w:sz w:val="10"/>
        </w:rPr>
      </w:pPr>
    </w:p>
    <w:p w14:paraId="630D681D" w14:textId="77777777" w:rsidR="009106EF" w:rsidRPr="00DE7C15" w:rsidRDefault="009106EF" w:rsidP="009106EF">
      <w:pPr>
        <w:pStyle w:val="SingleTxt"/>
        <w:spacing w:after="0" w:line="120" w:lineRule="exact"/>
        <w:rPr>
          <w:sz w:val="10"/>
        </w:rPr>
      </w:pPr>
    </w:p>
    <w:p w14:paraId="50850351" w14:textId="2E84BA9D" w:rsidR="00554041" w:rsidRPr="00DE7C15" w:rsidRDefault="00CE28E1" w:rsidP="006C1BAD">
      <w:pPr>
        <w:pStyle w:val="SingleTxt"/>
        <w:numPr>
          <w:ilvl w:val="0"/>
          <w:numId w:val="37"/>
        </w:numPr>
        <w:ind w:left="1267"/>
      </w:pPr>
      <w:r w:rsidRPr="00DE7C15">
        <w:t xml:space="preserve">En enero de </w:t>
      </w:r>
      <w:r w:rsidRPr="00B9592E">
        <w:t>2018</w:t>
      </w:r>
      <w:r w:rsidRPr="00DE7C15">
        <w:t xml:space="preserve"> se celebraron las segundas elecciones a la Presidencia de la República Checa por sufragio universal. Aunque se presentaron al cargo nueve personalidades, entre ellos no había ninguna mujer. Esto supuso un importante cambio </w:t>
      </w:r>
      <w:r w:rsidRPr="00DE7C15">
        <w:lastRenderedPageBreak/>
        <w:t xml:space="preserve">respecto de las elecciones de </w:t>
      </w:r>
      <w:r w:rsidRPr="00B9592E">
        <w:t>2013</w:t>
      </w:r>
      <w:r w:rsidRPr="00DE7C15">
        <w:t xml:space="preserve">, en las que se presentaron a la Presidencia tres mujeres (un </w:t>
      </w:r>
      <w:r w:rsidRPr="00B9592E">
        <w:t>33</w:t>
      </w:r>
      <w:r w:rsidR="009106EF" w:rsidRPr="00DE7C15">
        <w:t> %</w:t>
      </w:r>
      <w:r w:rsidRPr="00DE7C15">
        <w:t xml:space="preserve"> del total de candidatos presidenciales).</w:t>
      </w:r>
    </w:p>
    <w:p w14:paraId="622D3351" w14:textId="4F778240" w:rsidR="00CE28E1" w:rsidRPr="00DE7C15" w:rsidRDefault="00CE28E1" w:rsidP="006C1BAD">
      <w:pPr>
        <w:pStyle w:val="SingleTxt"/>
        <w:numPr>
          <w:ilvl w:val="0"/>
          <w:numId w:val="37"/>
        </w:numPr>
        <w:ind w:left="1267"/>
      </w:pPr>
      <w:r w:rsidRPr="00DE7C15">
        <w:t xml:space="preserve">Según un análisis de </w:t>
      </w:r>
      <w:r w:rsidRPr="00B9592E">
        <w:t>2018</w:t>
      </w:r>
      <w:r w:rsidRPr="00DE7C15">
        <w:t xml:space="preserve"> de la Oficina del Gobierno, la falta de candidatas presidenciales no tuvo mucha repercusión en los medios de comunicación ni suscitó un debate social más amplio sobre el papel de la mujer en la política o las razones que llevan a la asimetría de género en la candidatura al cargo constitucional más alto. Los temas relacionados con la situación de la mujer en la sociedad y con la igualdad de género estuvieron prácticamente ausentes de las campañas de los candidatos. Una de las pocas oportunidades de comentar este tema fue la respuesta de los candidatos a una pregunta sobre su postura ante la campaña #MeToo, que tuvo mucha repercusión en la sociedad checa durante la campaña. Todos los candidatos que respondieron se mostraron reservados o directamente desdeñosos con la campaña.</w:t>
      </w:r>
    </w:p>
    <w:p w14:paraId="7B16A09F" w14:textId="346F5589" w:rsidR="00CE28E1" w:rsidRPr="00DE7C15" w:rsidRDefault="00CE28E1" w:rsidP="006C1BAD">
      <w:pPr>
        <w:pStyle w:val="SingleTxt"/>
        <w:numPr>
          <w:ilvl w:val="0"/>
          <w:numId w:val="37"/>
        </w:numPr>
        <w:ind w:left="1267"/>
      </w:pPr>
      <w:r w:rsidRPr="00DE7C15">
        <w:t xml:space="preserve">En las elecciones de </w:t>
      </w:r>
      <w:r w:rsidRPr="00B9592E">
        <w:t>2023</w:t>
      </w:r>
      <w:r w:rsidRPr="00DE7C15">
        <w:t xml:space="preserve">, tres mujeres anunciaron oficialmente su candidatura a la Presidencia. El tema de la insuficiente representación de las experiencias vitales de las mujeres en la toma de decisiones y en la esfera política está ganando atención, de manera lenta pero segura, en el espacio público y mediático, incluso en el contexto de las próximas elecciones presidenciales. Según una encuesta de STEM/MARK de </w:t>
      </w:r>
      <w:r w:rsidRPr="00B9592E">
        <w:t>2022</w:t>
      </w:r>
      <w:r w:rsidRPr="00DE7C15">
        <w:t xml:space="preserve">, el </w:t>
      </w:r>
      <w:r w:rsidRPr="00B9592E">
        <w:t>65</w:t>
      </w:r>
      <w:r w:rsidR="009106EF" w:rsidRPr="00DE7C15">
        <w:t> %</w:t>
      </w:r>
      <w:r w:rsidRPr="00DE7C15">
        <w:t xml:space="preserve"> de los encuestados podía concebir que una mujer ocupara la Presidencia.</w:t>
      </w:r>
    </w:p>
    <w:p w14:paraId="341E38DA" w14:textId="77777777" w:rsidR="009106EF" w:rsidRPr="00DE7C15" w:rsidRDefault="009106EF" w:rsidP="009106EF">
      <w:pPr>
        <w:pStyle w:val="SingleTxt"/>
        <w:spacing w:after="0" w:line="120" w:lineRule="exact"/>
        <w:rPr>
          <w:sz w:val="10"/>
        </w:rPr>
      </w:pPr>
      <w:bookmarkStart w:id="12" w:name="_Toc397671624"/>
    </w:p>
    <w:p w14:paraId="0677C67C" w14:textId="77777777" w:rsidR="009106EF" w:rsidRPr="00DE7C15" w:rsidRDefault="009106EF" w:rsidP="009106EF">
      <w:pPr>
        <w:pStyle w:val="SingleTxt"/>
        <w:spacing w:after="0" w:line="120" w:lineRule="exact"/>
        <w:rPr>
          <w:sz w:val="10"/>
        </w:rPr>
      </w:pPr>
    </w:p>
    <w:p w14:paraId="7E6D9D09"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Administración pública</w:t>
      </w:r>
      <w:bookmarkEnd w:id="12"/>
    </w:p>
    <w:p w14:paraId="24F8AE98" w14:textId="3A3AD797" w:rsidR="009106EF" w:rsidRPr="00DE7C15" w:rsidRDefault="009106EF" w:rsidP="009106EF">
      <w:pPr>
        <w:pStyle w:val="SingleTxt"/>
        <w:spacing w:after="0" w:line="120" w:lineRule="exact"/>
        <w:rPr>
          <w:sz w:val="10"/>
        </w:rPr>
      </w:pPr>
    </w:p>
    <w:p w14:paraId="2ED197D6" w14:textId="77777777" w:rsidR="009106EF" w:rsidRPr="00DE7C15" w:rsidRDefault="009106EF" w:rsidP="009106EF">
      <w:pPr>
        <w:pStyle w:val="SingleTxt"/>
        <w:spacing w:after="0" w:line="120" w:lineRule="exact"/>
        <w:rPr>
          <w:sz w:val="10"/>
        </w:rPr>
      </w:pPr>
    </w:p>
    <w:p w14:paraId="51764557" w14:textId="4C9D92E0" w:rsidR="00554041" w:rsidRPr="00DE7C15" w:rsidRDefault="00CE28E1" w:rsidP="006C1BAD">
      <w:pPr>
        <w:pStyle w:val="SingleTxt"/>
        <w:numPr>
          <w:ilvl w:val="0"/>
          <w:numId w:val="37"/>
        </w:numPr>
        <w:ind w:left="1267"/>
      </w:pPr>
      <w:r w:rsidRPr="00DE7C15">
        <w:t xml:space="preserve">En diciembre de </w:t>
      </w:r>
      <w:r w:rsidRPr="00B9592E">
        <w:t>2021</w:t>
      </w:r>
      <w:r w:rsidRPr="00DE7C15">
        <w:t xml:space="preserve"> se formó el nuevo Gobierno del </w:t>
      </w:r>
      <w:proofErr w:type="gramStart"/>
      <w:r w:rsidRPr="00DE7C15">
        <w:t>Primer Ministro</w:t>
      </w:r>
      <w:proofErr w:type="gramEnd"/>
      <w:r w:rsidRPr="00DE7C15">
        <w:t xml:space="preserve"> Petr Fiala. Desde la dimisión de la </w:t>
      </w:r>
      <w:proofErr w:type="gramStart"/>
      <w:r w:rsidRPr="00DE7C15">
        <w:t>Ministra</w:t>
      </w:r>
      <w:proofErr w:type="gramEnd"/>
      <w:r w:rsidRPr="00DE7C15">
        <w:t xml:space="preserve"> de Medio Ambiente (Anna Hubáčková) en octubre de </w:t>
      </w:r>
      <w:r w:rsidRPr="00B9592E">
        <w:t>2022</w:t>
      </w:r>
      <w:r w:rsidRPr="00DE7C15">
        <w:t xml:space="preserve">, forman parte del Gobierno dos mujeres: la Ministra de Defensa (Jana Černochová) y la Ministra de Ciencia, Investigación e Innovación (Helena Langšádlová), lo que representa un </w:t>
      </w:r>
      <w:r w:rsidRPr="00B9592E">
        <w:t>11</w:t>
      </w:r>
      <w:r w:rsidRPr="00DE7C15">
        <w:t>,</w:t>
      </w:r>
      <w:r w:rsidRPr="00B9592E">
        <w:t>8</w:t>
      </w:r>
      <w:r w:rsidR="009106EF" w:rsidRPr="00DE7C15">
        <w:t> %</w:t>
      </w:r>
      <w:r w:rsidRPr="00DE7C15">
        <w:t xml:space="preserve"> de representación de mujeres en el Gabinete. El Gobierno anterior tenía cuatro ministras (las de Finanzas, Trabajo y Asuntos Sociales, Justicia, y Desarrollo Regional).</w:t>
      </w:r>
    </w:p>
    <w:p w14:paraId="0DC2428E" w14:textId="63C5348B" w:rsidR="00554041" w:rsidRPr="00DE7C15" w:rsidRDefault="00CE28E1" w:rsidP="006C1BAD">
      <w:pPr>
        <w:pStyle w:val="SingleTxt"/>
        <w:numPr>
          <w:ilvl w:val="0"/>
          <w:numId w:val="37"/>
        </w:numPr>
        <w:ind w:left="1267"/>
      </w:pPr>
      <w:bookmarkStart w:id="13" w:name="_Hlk100698750"/>
      <w:r w:rsidRPr="00DE7C15">
        <w:t xml:space="preserve">En diciembre de </w:t>
      </w:r>
      <w:r w:rsidRPr="00B9592E">
        <w:t>2021</w:t>
      </w:r>
      <w:r w:rsidRPr="00DE7C15">
        <w:t xml:space="preserve">, la representación de mujeres en las Secretarías de Estado era del </w:t>
      </w:r>
      <w:r w:rsidRPr="00B9592E">
        <w:t>27</w:t>
      </w:r>
      <w:r w:rsidR="009106EF" w:rsidRPr="00DE7C15">
        <w:t> %</w:t>
      </w:r>
      <w:r w:rsidRPr="00DE7C15">
        <w:t xml:space="preserve"> (cuatro mujeres). En comparación con </w:t>
      </w:r>
      <w:r w:rsidRPr="00B9592E">
        <w:t>2018</w:t>
      </w:r>
      <w:r w:rsidRPr="00DE7C15">
        <w:t xml:space="preserve">, cuando solo una mujer ocupaba el cargo de </w:t>
      </w:r>
      <w:proofErr w:type="gramStart"/>
      <w:r w:rsidRPr="00DE7C15">
        <w:t>Secretaria</w:t>
      </w:r>
      <w:proofErr w:type="gramEnd"/>
      <w:r w:rsidRPr="00DE7C15">
        <w:t xml:space="preserve"> de Estado, el porcentaje supone un cambio relativamente significativo (en </w:t>
      </w:r>
      <w:r w:rsidRPr="00B9592E">
        <w:t>2020</w:t>
      </w:r>
      <w:r w:rsidRPr="00DE7C15">
        <w:t xml:space="preserve"> ocupaban ese cargo cuatro mujeres).</w:t>
      </w:r>
    </w:p>
    <w:p w14:paraId="1F22BF10" w14:textId="2E00374F" w:rsidR="00CE28E1" w:rsidRPr="00DE7C15" w:rsidRDefault="00CE28E1" w:rsidP="006C1BAD">
      <w:pPr>
        <w:pStyle w:val="SingleTxt"/>
        <w:numPr>
          <w:ilvl w:val="0"/>
          <w:numId w:val="37"/>
        </w:numPr>
        <w:ind w:left="1267"/>
      </w:pPr>
      <w:r w:rsidRPr="00DE7C15">
        <w:t xml:space="preserve">Mientras que la representación de mujeres entre los </w:t>
      </w:r>
      <w:proofErr w:type="gramStart"/>
      <w:r w:rsidRPr="00DE7C15">
        <w:t>Viceministros</w:t>
      </w:r>
      <w:proofErr w:type="gramEnd"/>
      <w:r w:rsidRPr="00DE7C15">
        <w:t xml:space="preserve"> cayó un </w:t>
      </w:r>
      <w:r w:rsidRPr="00B9592E">
        <w:t>3</w:t>
      </w:r>
      <w:r w:rsidR="009106EF" w:rsidRPr="00DE7C15">
        <w:t> %</w:t>
      </w:r>
      <w:r w:rsidRPr="00DE7C15">
        <w:t xml:space="preserve"> hasta ser del </w:t>
      </w:r>
      <w:r w:rsidRPr="00B9592E">
        <w:t>30</w:t>
      </w:r>
      <w:r w:rsidR="009106EF" w:rsidRPr="00DE7C15">
        <w:t> %</w:t>
      </w:r>
      <w:r w:rsidRPr="00DE7C15">
        <w:t xml:space="preserve"> respecto de </w:t>
      </w:r>
      <w:r w:rsidRPr="00B9592E">
        <w:t>2020</w:t>
      </w:r>
      <w:r w:rsidRPr="00DE7C15">
        <w:t>, se observa un ligero aumento en la representación de mujeres en los cargos de Director (</w:t>
      </w:r>
      <w:r w:rsidRPr="00B9592E">
        <w:t>28</w:t>
      </w:r>
      <w:r w:rsidR="009106EF" w:rsidRPr="00DE7C15">
        <w:t> %</w:t>
      </w:r>
      <w:r w:rsidRPr="00DE7C15">
        <w:t xml:space="preserve"> frente a </w:t>
      </w:r>
      <w:r w:rsidRPr="00B9592E">
        <w:t>26</w:t>
      </w:r>
      <w:r w:rsidR="009106EF" w:rsidRPr="00DE7C15">
        <w:t> %</w:t>
      </w:r>
      <w:r w:rsidRPr="00DE7C15">
        <w:t xml:space="preserve"> en </w:t>
      </w:r>
      <w:r w:rsidRPr="00B9592E">
        <w:t>2020</w:t>
      </w:r>
      <w:r w:rsidRPr="00DE7C15">
        <w:t>) y Jefe de Dependencia (</w:t>
      </w:r>
      <w:r w:rsidRPr="00B9592E">
        <w:t>46</w:t>
      </w:r>
      <w:r w:rsidR="009106EF" w:rsidRPr="00DE7C15">
        <w:t> %</w:t>
      </w:r>
      <w:r w:rsidRPr="00DE7C15">
        <w:t xml:space="preserve"> frente a </w:t>
      </w:r>
      <w:r w:rsidRPr="00B9592E">
        <w:t>42</w:t>
      </w:r>
      <w:r w:rsidR="009106EF" w:rsidRPr="00DE7C15">
        <w:t> %</w:t>
      </w:r>
      <w:r w:rsidRPr="00DE7C15">
        <w:t xml:space="preserve"> en </w:t>
      </w:r>
      <w:r w:rsidRPr="00B9592E">
        <w:t>2020</w:t>
      </w:r>
      <w:r w:rsidRPr="00DE7C15">
        <w:t>).</w:t>
      </w:r>
      <w:bookmarkEnd w:id="13"/>
    </w:p>
    <w:p w14:paraId="3120EEA8" w14:textId="77BCE35B" w:rsidR="00554041" w:rsidRPr="00DE7C15" w:rsidRDefault="00CE28E1" w:rsidP="006C1BAD">
      <w:pPr>
        <w:pStyle w:val="SingleTxt"/>
        <w:numPr>
          <w:ilvl w:val="0"/>
          <w:numId w:val="37"/>
        </w:numPr>
        <w:ind w:left="1267"/>
      </w:pPr>
      <w:r w:rsidRPr="00DE7C15">
        <w:t xml:space="preserve">Las mujeres han estado insuficientemente representadas durante mucho tiempo como embajadoras; en </w:t>
      </w:r>
      <w:r w:rsidRPr="00B9592E">
        <w:t>2022</w:t>
      </w:r>
      <w:r w:rsidRPr="00DE7C15">
        <w:t xml:space="preserve"> tenían un porcentaje de representación del </w:t>
      </w:r>
      <w:r w:rsidRPr="00B9592E">
        <w:t>18</w:t>
      </w:r>
      <w:r w:rsidR="009106EF" w:rsidRPr="00DE7C15">
        <w:t> %</w:t>
      </w:r>
      <w:r w:rsidRPr="00DE7C15">
        <w:t>.</w:t>
      </w:r>
    </w:p>
    <w:p w14:paraId="4E2E52A9" w14:textId="5359A522" w:rsidR="009106EF" w:rsidRPr="00DE7C15" w:rsidRDefault="009106EF" w:rsidP="009106EF">
      <w:pPr>
        <w:pStyle w:val="SingleTxt"/>
        <w:spacing w:after="0" w:line="120" w:lineRule="exact"/>
        <w:rPr>
          <w:sz w:val="10"/>
        </w:rPr>
      </w:pPr>
      <w:bookmarkStart w:id="14" w:name="_Toc397671625"/>
    </w:p>
    <w:p w14:paraId="622608EA" w14:textId="77777777" w:rsidR="009106EF" w:rsidRPr="00DE7C15" w:rsidRDefault="009106EF" w:rsidP="009106EF">
      <w:pPr>
        <w:pStyle w:val="SingleTxt"/>
        <w:spacing w:after="0" w:line="120" w:lineRule="exact"/>
        <w:rPr>
          <w:sz w:val="10"/>
        </w:rPr>
      </w:pPr>
    </w:p>
    <w:p w14:paraId="015EFE82"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Justicia</w:t>
      </w:r>
      <w:bookmarkEnd w:id="14"/>
    </w:p>
    <w:p w14:paraId="0206FFF8" w14:textId="1CC66009" w:rsidR="009106EF" w:rsidRPr="00DE7C15" w:rsidRDefault="009106EF" w:rsidP="009106EF">
      <w:pPr>
        <w:pStyle w:val="SingleTxt"/>
        <w:spacing w:after="0" w:line="120" w:lineRule="exact"/>
        <w:rPr>
          <w:sz w:val="10"/>
        </w:rPr>
      </w:pPr>
    </w:p>
    <w:p w14:paraId="67DA5B2D" w14:textId="77777777" w:rsidR="009106EF" w:rsidRPr="00DE7C15" w:rsidRDefault="009106EF" w:rsidP="009106EF">
      <w:pPr>
        <w:pStyle w:val="SingleTxt"/>
        <w:spacing w:after="0" w:line="120" w:lineRule="exact"/>
        <w:rPr>
          <w:sz w:val="10"/>
        </w:rPr>
      </w:pPr>
    </w:p>
    <w:p w14:paraId="67CFBE01" w14:textId="3D4C8EDD" w:rsidR="00CE28E1" w:rsidRPr="00DE7C15" w:rsidRDefault="00CE28E1" w:rsidP="006C1BAD">
      <w:pPr>
        <w:pStyle w:val="SingleTxt"/>
        <w:numPr>
          <w:ilvl w:val="0"/>
          <w:numId w:val="37"/>
        </w:numPr>
        <w:ind w:left="1267"/>
      </w:pPr>
      <w:r w:rsidRPr="00DE7C15">
        <w:t xml:space="preserve">El porcentaje total de juezas en los tribunales de todos los niveles es del </w:t>
      </w:r>
      <w:r w:rsidRPr="00B9592E">
        <w:t>60</w:t>
      </w:r>
      <w:r w:rsidR="009106EF" w:rsidRPr="00DE7C15">
        <w:t> %</w:t>
      </w:r>
      <w:r w:rsidRPr="00DE7C15">
        <w:t>. Sin embargo, están desproporcionadamente infrarrepresentadas en los niveles superiores de la administración de justicia. Las juezas están sobrerrepresentadas en los tribunales de distrito (</w:t>
      </w:r>
      <w:r w:rsidRPr="00B9592E">
        <w:t>67</w:t>
      </w:r>
      <w:r w:rsidR="009106EF" w:rsidRPr="00DE7C15">
        <w:t> %</w:t>
      </w:r>
      <w:r w:rsidRPr="00DE7C15">
        <w:t>) y regionales (</w:t>
      </w:r>
      <w:r w:rsidRPr="00B9592E">
        <w:t>54</w:t>
      </w:r>
      <w:r w:rsidR="009106EF" w:rsidRPr="00DE7C15">
        <w:t> %</w:t>
      </w:r>
      <w:r w:rsidRPr="00DE7C15">
        <w:t xml:space="preserve">), pero su representación disminuye en las instancias superiores, con un </w:t>
      </w:r>
      <w:r w:rsidRPr="00B9592E">
        <w:t>44</w:t>
      </w:r>
      <w:r w:rsidR="009106EF" w:rsidRPr="00DE7C15">
        <w:t> %</w:t>
      </w:r>
      <w:r w:rsidRPr="00DE7C15">
        <w:t xml:space="preserve"> en los tribunales municipales, un </w:t>
      </w:r>
      <w:r w:rsidRPr="00B9592E">
        <w:t>35</w:t>
      </w:r>
      <w:r w:rsidRPr="00DE7C15">
        <w:t>,</w:t>
      </w:r>
      <w:r w:rsidRPr="00B9592E">
        <w:t>5</w:t>
      </w:r>
      <w:r w:rsidR="009106EF" w:rsidRPr="00DE7C15">
        <w:t> %</w:t>
      </w:r>
      <w:r w:rsidRPr="00DE7C15">
        <w:t xml:space="preserve"> en el Tribunal Administrativo Supremo y menos del </w:t>
      </w:r>
      <w:r w:rsidRPr="00B9592E">
        <w:t>17</w:t>
      </w:r>
      <w:r w:rsidR="009106EF" w:rsidRPr="00DE7C15">
        <w:t> %</w:t>
      </w:r>
      <w:r w:rsidRPr="00DE7C15">
        <w:t xml:space="preserve"> en el Tribunal </w:t>
      </w:r>
      <w:r w:rsidRPr="00DE7C15">
        <w:lastRenderedPageBreak/>
        <w:t>Supremo</w:t>
      </w:r>
      <w:r w:rsidRPr="00B9592E">
        <w:rPr>
          <w:vertAlign w:val="superscript"/>
        </w:rPr>
        <w:footnoteReference w:id="3"/>
      </w:r>
      <w:r w:rsidRPr="00DE7C15">
        <w:t xml:space="preserve">. A </w:t>
      </w:r>
      <w:r w:rsidRPr="00B9592E">
        <w:t>22</w:t>
      </w:r>
      <w:r w:rsidRPr="00DE7C15">
        <w:t xml:space="preserve"> de mayo de </w:t>
      </w:r>
      <w:r w:rsidRPr="00B9592E">
        <w:t>2023</w:t>
      </w:r>
      <w:r w:rsidRPr="00DE7C15">
        <w:t xml:space="preserve">, solo estaban cubiertos </w:t>
      </w:r>
      <w:r w:rsidRPr="00B9592E">
        <w:t>12</w:t>
      </w:r>
      <w:r w:rsidRPr="00DE7C15">
        <w:t xml:space="preserve"> de los </w:t>
      </w:r>
      <w:r w:rsidRPr="00B9592E">
        <w:t>15</w:t>
      </w:r>
      <w:r w:rsidRPr="00DE7C15">
        <w:t xml:space="preserve"> puestos de magistrado del Tribunal Constitucional, y ninguno estaba ocupado por una mujer. No hay mujeres en la cúpula del Tribunal Supremo. No obstante, hay una </w:t>
      </w:r>
      <w:proofErr w:type="gramStart"/>
      <w:r w:rsidRPr="00DE7C15">
        <w:t>Vicepresidenta</w:t>
      </w:r>
      <w:proofErr w:type="gramEnd"/>
      <w:r w:rsidRPr="00DE7C15">
        <w:t xml:space="preserve"> en el Tribunal Administrativo Supremo. La Estrategia </w:t>
      </w:r>
      <w:r w:rsidRPr="00B9592E">
        <w:t>2021</w:t>
      </w:r>
      <w:r w:rsidRPr="00DE7C15">
        <w:t>+ aborda la segregación vertical de género y encomienda al Ministerio de Justicia que analice las causas específicas de la escasa representación de mujeres en puestos directivos de la administración de justicia y proponga soluciones.</w:t>
      </w:r>
    </w:p>
    <w:p w14:paraId="34566E69" w14:textId="77777777" w:rsidR="009106EF" w:rsidRPr="00DE7C15" w:rsidRDefault="009106EF" w:rsidP="009106EF">
      <w:pPr>
        <w:pStyle w:val="SingleTxt"/>
        <w:spacing w:after="0" w:line="120" w:lineRule="exact"/>
        <w:rPr>
          <w:sz w:val="10"/>
        </w:rPr>
      </w:pPr>
      <w:bookmarkStart w:id="15" w:name="_Toc397671626"/>
    </w:p>
    <w:p w14:paraId="72D679ED" w14:textId="77777777" w:rsidR="009106EF" w:rsidRPr="00DE7C15" w:rsidRDefault="009106EF" w:rsidP="009106EF">
      <w:pPr>
        <w:pStyle w:val="SingleTxt"/>
        <w:spacing w:after="0" w:line="120" w:lineRule="exact"/>
        <w:rPr>
          <w:sz w:val="10"/>
        </w:rPr>
      </w:pPr>
    </w:p>
    <w:p w14:paraId="2D100732"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Empresas</w:t>
      </w:r>
      <w:bookmarkEnd w:id="15"/>
    </w:p>
    <w:p w14:paraId="3F4914F1" w14:textId="2F24AD10" w:rsidR="009106EF" w:rsidRPr="00DE7C15" w:rsidRDefault="009106EF" w:rsidP="009106EF">
      <w:pPr>
        <w:pStyle w:val="SingleTxt"/>
        <w:spacing w:after="0" w:line="120" w:lineRule="exact"/>
        <w:rPr>
          <w:sz w:val="10"/>
        </w:rPr>
      </w:pPr>
    </w:p>
    <w:p w14:paraId="4D86C199" w14:textId="77777777" w:rsidR="009106EF" w:rsidRPr="00DE7C15" w:rsidRDefault="009106EF" w:rsidP="009106EF">
      <w:pPr>
        <w:pStyle w:val="SingleTxt"/>
        <w:spacing w:after="0" w:line="120" w:lineRule="exact"/>
        <w:rPr>
          <w:sz w:val="10"/>
        </w:rPr>
      </w:pPr>
    </w:p>
    <w:p w14:paraId="468F74E8" w14:textId="73C47A84" w:rsidR="00554041" w:rsidRPr="00DE7C15" w:rsidRDefault="00CE28E1" w:rsidP="006C1BAD">
      <w:pPr>
        <w:pStyle w:val="SingleTxt"/>
        <w:numPr>
          <w:ilvl w:val="0"/>
          <w:numId w:val="37"/>
        </w:numPr>
        <w:ind w:left="1267"/>
      </w:pPr>
      <w:r w:rsidRPr="00DE7C15">
        <w:t xml:space="preserve">La representación de mujeres en la dirección de las empresas en Chequia sigue siendo inferior a la media de la UE. Chequia ocupó el último lugar en el indicador relativo a los puestos decisorios en el ámbito económico (representación de mujeres en la dirección de empresas) del Índice de Igualdad de Género de </w:t>
      </w:r>
      <w:r w:rsidRPr="00B9592E">
        <w:t>2021</w:t>
      </w:r>
      <w:r w:rsidRPr="00B9592E">
        <w:rPr>
          <w:vertAlign w:val="superscript"/>
        </w:rPr>
        <w:footnoteReference w:id="4"/>
      </w:r>
      <w:r w:rsidRPr="00DE7C15">
        <w:t xml:space="preserve">. Mientras en la UE la representación media de mujeres en las juntas directivas o los consejos de administración de las empresas cotizadas más grandes es del </w:t>
      </w:r>
      <w:r w:rsidRPr="00B9592E">
        <w:t>32</w:t>
      </w:r>
      <w:r w:rsidR="009106EF" w:rsidRPr="00DE7C15">
        <w:t> %</w:t>
      </w:r>
      <w:r w:rsidRPr="00DE7C15">
        <w:t xml:space="preserve">, en Chequia es un </w:t>
      </w:r>
      <w:r w:rsidRPr="00B9592E">
        <w:t>11</w:t>
      </w:r>
      <w:r w:rsidR="009106EF" w:rsidRPr="00DE7C15">
        <w:t> %</w:t>
      </w:r>
      <w:r w:rsidRPr="00DE7C15">
        <w:t xml:space="preserve"> inferior</w:t>
      </w:r>
      <w:r w:rsidRPr="00B9592E">
        <w:rPr>
          <w:vertAlign w:val="superscript"/>
        </w:rPr>
        <w:footnoteReference w:id="5"/>
      </w:r>
      <w:r w:rsidRPr="00DE7C15">
        <w:t>.</w:t>
      </w:r>
    </w:p>
    <w:p w14:paraId="796957D0" w14:textId="3C9B0BAC" w:rsidR="00CE28E1" w:rsidRPr="00DE7C15" w:rsidRDefault="00CE28E1" w:rsidP="006C1BAD">
      <w:pPr>
        <w:pStyle w:val="SingleTxt"/>
        <w:numPr>
          <w:ilvl w:val="0"/>
          <w:numId w:val="37"/>
        </w:numPr>
        <w:ind w:left="1267"/>
      </w:pPr>
      <w:r w:rsidRPr="00DE7C15">
        <w:t>La ONG Open Society aborda la cuestión de la representación de mujeres en la dirección de las empresas y analiza, entre otras cosas, la participación de las mujeres en la toma de decisiones en el sector privado a través del denominado mapa de género</w:t>
      </w:r>
      <w:r w:rsidRPr="00B9592E">
        <w:rPr>
          <w:vertAlign w:val="superscript"/>
        </w:rPr>
        <w:footnoteReference w:id="6"/>
      </w:r>
      <w:r w:rsidRPr="00DE7C15">
        <w:t xml:space="preserve">. A finales de </w:t>
      </w:r>
      <w:r w:rsidRPr="00B9592E">
        <w:t>2021</w:t>
      </w:r>
      <w:r w:rsidRPr="00DE7C15">
        <w:t xml:space="preserve">, las mujeres solo ocupaban el </w:t>
      </w:r>
      <w:r w:rsidRPr="00B9592E">
        <w:t>10</w:t>
      </w:r>
      <w:r w:rsidRPr="00DE7C15">
        <w:t>,</w:t>
      </w:r>
      <w:r w:rsidRPr="00B9592E">
        <w:t>3</w:t>
      </w:r>
      <w:r w:rsidR="009106EF" w:rsidRPr="00DE7C15">
        <w:t> %</w:t>
      </w:r>
      <w:r w:rsidRPr="00DE7C15">
        <w:t xml:space="preserve"> de las presidencias de los consejos de administración y juntas directivas de las empresas cotizadas de titularidad estatal, autonómica y municipal.</w:t>
      </w:r>
    </w:p>
    <w:p w14:paraId="595AC45E" w14:textId="074B7A90" w:rsidR="00CE28E1" w:rsidRPr="00DE7C15" w:rsidRDefault="00CE28E1" w:rsidP="006C1BAD">
      <w:pPr>
        <w:pStyle w:val="SingleTxt"/>
        <w:numPr>
          <w:ilvl w:val="0"/>
          <w:numId w:val="37"/>
        </w:numPr>
        <w:ind w:left="1267"/>
      </w:pPr>
      <w:r w:rsidRPr="00DE7C15">
        <w:t xml:space="preserve">En enero de </w:t>
      </w:r>
      <w:r w:rsidRPr="00B9592E">
        <w:t>2022</w:t>
      </w:r>
      <w:r w:rsidRPr="00DE7C15">
        <w:t xml:space="preserve">, el Departamento actualizó el análisis de la representación de mujeres y hombres en la dirección de las empresas estatales sobre la base de datos obtenidos de los ministerios. En comparación con </w:t>
      </w:r>
      <w:r w:rsidRPr="00B9592E">
        <w:t>2018</w:t>
      </w:r>
      <w:r w:rsidRPr="00DE7C15">
        <w:t xml:space="preserve">, no se habían registrado cambios importantes en las juntas directivas y los consejos de administración. Del total de </w:t>
      </w:r>
      <w:r w:rsidRPr="00B9592E">
        <w:t>520</w:t>
      </w:r>
      <w:r w:rsidRPr="00DE7C15">
        <w:t xml:space="preserve"> integrantes de esos consejos y juntas en </w:t>
      </w:r>
      <w:r w:rsidRPr="00B9592E">
        <w:t>65</w:t>
      </w:r>
      <w:r w:rsidRPr="00DE7C15">
        <w:t xml:space="preserve"> empresas estatales, son mujeres </w:t>
      </w:r>
      <w:r w:rsidRPr="00B9592E">
        <w:t>83</w:t>
      </w:r>
      <w:r w:rsidRPr="00DE7C15">
        <w:t xml:space="preserve"> (</w:t>
      </w:r>
      <w:r w:rsidRPr="00B9592E">
        <w:t>16</w:t>
      </w:r>
      <w:r w:rsidR="009106EF" w:rsidRPr="00DE7C15">
        <w:t> %</w:t>
      </w:r>
      <w:r w:rsidRPr="00DE7C15">
        <w:t xml:space="preserve">). La representación de mujeres en las juntas directivas era del </w:t>
      </w:r>
      <w:r w:rsidRPr="00B9592E">
        <w:t>20</w:t>
      </w:r>
      <w:r w:rsidR="009106EF" w:rsidRPr="00DE7C15">
        <w:t> %</w:t>
      </w:r>
      <w:r w:rsidRPr="00DE7C15">
        <w:t xml:space="preserve">, y en los consejos de administración, solo del </w:t>
      </w:r>
      <w:r w:rsidRPr="00B9592E">
        <w:t>8</w:t>
      </w:r>
      <w:r w:rsidR="009106EF" w:rsidRPr="00DE7C15">
        <w:t> %</w:t>
      </w:r>
      <w:r w:rsidRPr="00DE7C15">
        <w:t xml:space="preserve">. En </w:t>
      </w:r>
      <w:r w:rsidRPr="00B9592E">
        <w:t>2018</w:t>
      </w:r>
      <w:r w:rsidRPr="00DE7C15">
        <w:t xml:space="preserve">, las mujeres tenían una representación del </w:t>
      </w:r>
      <w:r w:rsidRPr="00B9592E">
        <w:t>17</w:t>
      </w:r>
      <w:r w:rsidR="009106EF" w:rsidRPr="00DE7C15">
        <w:t> %</w:t>
      </w:r>
      <w:r w:rsidRPr="00DE7C15">
        <w:t xml:space="preserve"> en las juntas directivas y del </w:t>
      </w:r>
      <w:r w:rsidRPr="00B9592E">
        <w:t>10</w:t>
      </w:r>
      <w:r w:rsidR="009106EF" w:rsidRPr="00DE7C15">
        <w:t> %</w:t>
      </w:r>
      <w:r w:rsidRPr="00DE7C15">
        <w:t xml:space="preserve"> en los consejos de administración.</w:t>
      </w:r>
    </w:p>
    <w:p w14:paraId="69AD3EB2" w14:textId="4B4F4E37" w:rsidR="00554041" w:rsidRPr="00DE7C15" w:rsidRDefault="00CE28E1" w:rsidP="006C1BAD">
      <w:pPr>
        <w:pStyle w:val="SingleTxt"/>
        <w:numPr>
          <w:ilvl w:val="0"/>
          <w:numId w:val="37"/>
        </w:numPr>
        <w:ind w:left="1267"/>
      </w:pPr>
      <w:r w:rsidRPr="00DE7C15">
        <w:t xml:space="preserve">En </w:t>
      </w:r>
      <w:r w:rsidRPr="00B9592E">
        <w:t>2022</w:t>
      </w:r>
      <w:r w:rsidRPr="00DE7C15">
        <w:t>, el Departamento evaluó el grado de cumplimiento de los emisores pertinentes de la obligación de describir la aplicación de la política de diversidad en sus informes anuales</w:t>
      </w:r>
      <w:r w:rsidRPr="00B9592E">
        <w:rPr>
          <w:vertAlign w:val="superscript"/>
        </w:rPr>
        <w:footnoteReference w:id="7"/>
      </w:r>
      <w:r w:rsidRPr="00DE7C15">
        <w:t xml:space="preserve">. De las </w:t>
      </w:r>
      <w:r w:rsidRPr="00B9592E">
        <w:t>26</w:t>
      </w:r>
      <w:r w:rsidRPr="00DE7C15">
        <w:t xml:space="preserve"> empresas sujetas a la obligación, solo </w:t>
      </w:r>
      <w:r w:rsidRPr="00B9592E">
        <w:t>7</w:t>
      </w:r>
      <w:r w:rsidRPr="00DE7C15">
        <w:t xml:space="preserve"> indicaron en sus informes anuales de </w:t>
      </w:r>
      <w:r w:rsidRPr="00B9592E">
        <w:t>2020</w:t>
      </w:r>
      <w:r w:rsidRPr="00DE7C15">
        <w:t xml:space="preserve"> que aplicaban una política de diversidad (</w:t>
      </w:r>
      <w:r w:rsidRPr="00B9592E">
        <w:t>12</w:t>
      </w:r>
      <w:r w:rsidRPr="00DE7C15">
        <w:t xml:space="preserve"> empresas indicaron no disponer de esa política y respecto de </w:t>
      </w:r>
      <w:r w:rsidRPr="00B9592E">
        <w:t>7</w:t>
      </w:r>
      <w:r w:rsidRPr="00DE7C15">
        <w:t xml:space="preserve"> no se halló o divulgó la información). Esa fue la segunda evaluación de la obligación. En la anterior, basada en los informes anuales de </w:t>
      </w:r>
      <w:r w:rsidRPr="00B9592E">
        <w:t>2018</w:t>
      </w:r>
      <w:r w:rsidRPr="00DE7C15">
        <w:t xml:space="preserve">, </w:t>
      </w:r>
      <w:r w:rsidRPr="00B9592E">
        <w:t>4</w:t>
      </w:r>
      <w:r w:rsidRPr="00DE7C15">
        <w:t xml:space="preserve"> empresas indicaron que aplicaban la política de diversidad (</w:t>
      </w:r>
      <w:r w:rsidRPr="00B9592E">
        <w:t>17</w:t>
      </w:r>
      <w:r w:rsidRPr="00DE7C15">
        <w:t xml:space="preserve"> empresas declararon que no lo hacían y respecto de </w:t>
      </w:r>
      <w:r w:rsidRPr="00B9592E">
        <w:t>6</w:t>
      </w:r>
      <w:r w:rsidRPr="00DE7C15">
        <w:t xml:space="preserve"> no se halló o divulgó la información). En relación con la obligación, en </w:t>
      </w:r>
      <w:r w:rsidRPr="00B9592E">
        <w:t>2021</w:t>
      </w:r>
      <w:r w:rsidRPr="00DE7C15">
        <w:t xml:space="preserve"> se elaboró un manual que se incorporó al material del Banco Nacional de Chequia que se remite anualmente </w:t>
      </w:r>
      <w:r w:rsidRPr="00DE7C15">
        <w:lastRenderedPageBreak/>
        <w:t>a los emisores de valores cotizados con miras a la preparación de sus informes anuales</w:t>
      </w:r>
      <w:r w:rsidRPr="00B9592E">
        <w:rPr>
          <w:vertAlign w:val="superscript"/>
        </w:rPr>
        <w:footnoteReference w:id="8"/>
      </w:r>
      <w:r w:rsidRPr="00DE7C15">
        <w:t>.</w:t>
      </w:r>
    </w:p>
    <w:p w14:paraId="7D026ACB" w14:textId="39165E15" w:rsidR="00554041" w:rsidRPr="00DE7C15" w:rsidRDefault="00CE28E1" w:rsidP="006C1BAD">
      <w:pPr>
        <w:pStyle w:val="SingleTxt"/>
        <w:numPr>
          <w:ilvl w:val="0"/>
          <w:numId w:val="37"/>
        </w:numPr>
        <w:ind w:left="1267"/>
      </w:pPr>
      <w:r w:rsidRPr="00DE7C15">
        <w:t xml:space="preserve">En </w:t>
      </w:r>
      <w:r w:rsidRPr="00B9592E">
        <w:t>2020</w:t>
      </w:r>
      <w:r w:rsidRPr="00DE7C15">
        <w:t>, el Comité Europeo de Derechos Sociales publicó una decisión en la que declaraba que Chequia incumplía la Carta Social Europea debido a que no aplicaba medidas funcionales para promover una representación equilibrada de mujeres en los órganos decisorios de las empresas privadas</w:t>
      </w:r>
      <w:r w:rsidRPr="00B9592E">
        <w:rPr>
          <w:vertAlign w:val="superscript"/>
        </w:rPr>
        <w:footnoteReference w:id="9"/>
      </w:r>
      <w:r w:rsidRPr="00DE7C15">
        <w:t xml:space="preserve">. Las conclusiones de la decisión se reflejaron en la Estrategia </w:t>
      </w:r>
      <w:r w:rsidRPr="00B9592E">
        <w:t>2021</w:t>
      </w:r>
      <w:r w:rsidRPr="00DE7C15">
        <w:t>+, que incluye diversas medidas encaminadas a aumentar la representación de mujeres en los órganos estatutarios y la alta dirección de las empresas</w:t>
      </w:r>
      <w:r w:rsidRPr="00B9592E">
        <w:rPr>
          <w:vertAlign w:val="superscript"/>
        </w:rPr>
        <w:footnoteReference w:id="10"/>
      </w:r>
      <w:r w:rsidRPr="00DE7C15">
        <w:t>.</w:t>
      </w:r>
    </w:p>
    <w:p w14:paraId="6F374982" w14:textId="5C94C1BD" w:rsidR="00554041" w:rsidRPr="00DE7C15" w:rsidRDefault="00CE28E1" w:rsidP="006C1BAD">
      <w:pPr>
        <w:pStyle w:val="SingleTxt"/>
        <w:numPr>
          <w:ilvl w:val="0"/>
          <w:numId w:val="37"/>
        </w:numPr>
        <w:ind w:left="1267"/>
      </w:pPr>
      <w:r w:rsidRPr="00DE7C15">
        <w:t xml:space="preserve">En </w:t>
      </w:r>
      <w:r w:rsidRPr="00B9592E">
        <w:t>2022</w:t>
      </w:r>
      <w:r w:rsidRPr="00DE7C15">
        <w:t xml:space="preserve"> se adoptó la directiva en que se aborda la representación de mujeres en los órganos de gobierno de las empresas, que tiene por objeto lograr un mayor equilibrio de género entre los miembros de las juntas directivas o los administradores no ejecutivos de las sociedades cotizadas. Chequia debe transponer la directiva antes del </w:t>
      </w:r>
      <w:r w:rsidRPr="00B9592E">
        <w:t>28</w:t>
      </w:r>
      <w:r w:rsidRPr="00DE7C15">
        <w:t xml:space="preserve"> de diciembre de </w:t>
      </w:r>
      <w:r w:rsidRPr="00B9592E">
        <w:t>2024</w:t>
      </w:r>
      <w:r w:rsidRPr="00DE7C15">
        <w:t xml:space="preserve">. Desde </w:t>
      </w:r>
      <w:r w:rsidRPr="00B9592E">
        <w:t>2022</w:t>
      </w:r>
      <w:r w:rsidRPr="00DE7C15">
        <w:t>, un grupo de trabajo del que forman parte, entre otros, los ministerios de Justicia y Finanzas, trabaja en la transposición de la directiva y la aplicación de la decisión del Comité Europeo de Derechos Sociales.</w:t>
      </w:r>
    </w:p>
    <w:p w14:paraId="5F031455" w14:textId="64E7B23E" w:rsidR="00CE28E1" w:rsidRPr="00DE7C15" w:rsidRDefault="00CE28E1" w:rsidP="006C1BAD">
      <w:pPr>
        <w:pStyle w:val="SingleTxt"/>
        <w:numPr>
          <w:ilvl w:val="0"/>
          <w:numId w:val="37"/>
        </w:numPr>
        <w:ind w:left="1267"/>
      </w:pPr>
      <w:r w:rsidRPr="00DE7C15">
        <w:t xml:space="preserve">La cuestión de la representación de mujeres en las empresas también se afronta a través de la plataforma Business for Society, que organiza el certamen </w:t>
      </w:r>
      <w:r w:rsidR="009106EF" w:rsidRPr="00DE7C15">
        <w:t>“</w:t>
      </w:r>
      <w:r w:rsidRPr="00DE7C15">
        <w:t>Mejor empresa responsable</w:t>
      </w:r>
      <w:r w:rsidR="009106EF" w:rsidRPr="00DE7C15">
        <w:t>”</w:t>
      </w:r>
      <w:r w:rsidRPr="00DE7C15">
        <w:t xml:space="preserve">. El certamen reconoce a las empresas checas que aplican herramientas de diversidad. En septiembre de </w:t>
      </w:r>
      <w:r w:rsidRPr="00B9592E">
        <w:t>2018</w:t>
      </w:r>
      <w:r w:rsidRPr="00DE7C15">
        <w:t xml:space="preserve">, Business for Society, en colaboración con la Oficina del Gobierno, organizó una mesa redonda para el intercambio de buenas prácticas entre los sectores público y privado. En abril de </w:t>
      </w:r>
      <w:r w:rsidRPr="00B9592E">
        <w:t>2022</w:t>
      </w:r>
      <w:r w:rsidRPr="00DE7C15">
        <w:t>, la Oficina del Gobierno, en colaboración con Business for Society, organizó otra mesa redonda para el intercambio experiencias y buenas prácticas entre las empresas estatales y las empresas privadas sobre la promoción de la diversidad y prestando especial atención a la representación equilibrada de mujeres y hombres en los puestos decisorios de las empresas.</w:t>
      </w:r>
    </w:p>
    <w:p w14:paraId="5AF0CE79" w14:textId="77777777" w:rsidR="009106EF" w:rsidRPr="00DE7C15" w:rsidRDefault="009106EF" w:rsidP="009106EF">
      <w:pPr>
        <w:pStyle w:val="SingleTxt"/>
        <w:spacing w:after="0" w:line="120" w:lineRule="exact"/>
        <w:rPr>
          <w:sz w:val="10"/>
        </w:rPr>
      </w:pPr>
    </w:p>
    <w:p w14:paraId="632DD278" w14:textId="77777777" w:rsidR="009106EF" w:rsidRPr="00DE7C15" w:rsidRDefault="009106EF" w:rsidP="009106EF">
      <w:pPr>
        <w:pStyle w:val="SingleTxt"/>
        <w:spacing w:after="0" w:line="120" w:lineRule="exact"/>
        <w:rPr>
          <w:sz w:val="10"/>
        </w:rPr>
      </w:pPr>
    </w:p>
    <w:p w14:paraId="6C5F9B0F"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9</w:t>
      </w:r>
    </w:p>
    <w:p w14:paraId="5F75867D" w14:textId="6FF02F9D" w:rsidR="009106EF" w:rsidRPr="00DE7C15" w:rsidRDefault="009106EF" w:rsidP="009106EF">
      <w:pPr>
        <w:pStyle w:val="SingleTxt"/>
        <w:spacing w:after="0" w:line="120" w:lineRule="exact"/>
        <w:rPr>
          <w:sz w:val="10"/>
        </w:rPr>
      </w:pPr>
    </w:p>
    <w:p w14:paraId="57323C4D" w14:textId="77777777" w:rsidR="009106EF" w:rsidRPr="00DE7C15" w:rsidRDefault="009106EF" w:rsidP="009106EF">
      <w:pPr>
        <w:pStyle w:val="SingleTxt"/>
        <w:spacing w:after="0" w:line="120" w:lineRule="exact"/>
        <w:rPr>
          <w:sz w:val="10"/>
        </w:rPr>
      </w:pPr>
    </w:p>
    <w:p w14:paraId="0E562EF2" w14:textId="128AFA0B" w:rsidR="00CE28E1" w:rsidRPr="00DE7C15" w:rsidRDefault="00CE28E1" w:rsidP="006C1BAD">
      <w:pPr>
        <w:pStyle w:val="SingleTxt"/>
        <w:numPr>
          <w:ilvl w:val="0"/>
          <w:numId w:val="37"/>
        </w:numPr>
        <w:ind w:left="1267"/>
      </w:pPr>
      <w:r w:rsidRPr="00DE7C15">
        <w:t>Durante el período sobre el que se informa no hubo cambios respecto de la igualdad de derechos de mujeres y hombres para adquirir, cambiar o conservar su nacionalidad.</w:t>
      </w:r>
    </w:p>
    <w:p w14:paraId="2ACC8690" w14:textId="77777777" w:rsidR="009106EF" w:rsidRPr="00DE7C15" w:rsidRDefault="009106EF" w:rsidP="009106EF">
      <w:pPr>
        <w:pStyle w:val="SingleTxt"/>
        <w:spacing w:after="0" w:line="120" w:lineRule="exact"/>
        <w:rPr>
          <w:sz w:val="10"/>
        </w:rPr>
      </w:pPr>
    </w:p>
    <w:p w14:paraId="0352FC63" w14:textId="77777777" w:rsidR="009106EF" w:rsidRPr="00DE7C15" w:rsidRDefault="009106EF" w:rsidP="009106EF">
      <w:pPr>
        <w:pStyle w:val="SingleTxt"/>
        <w:spacing w:after="0" w:line="120" w:lineRule="exact"/>
        <w:rPr>
          <w:sz w:val="10"/>
        </w:rPr>
      </w:pPr>
    </w:p>
    <w:p w14:paraId="6D5810DB"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10</w:t>
      </w:r>
    </w:p>
    <w:p w14:paraId="668B8164" w14:textId="77777777" w:rsidR="009106EF" w:rsidRPr="00DE7C15" w:rsidRDefault="009106EF" w:rsidP="009106EF">
      <w:pPr>
        <w:pStyle w:val="SingleTxt"/>
        <w:spacing w:after="0" w:line="120" w:lineRule="exact"/>
        <w:rPr>
          <w:sz w:val="10"/>
        </w:rPr>
      </w:pPr>
    </w:p>
    <w:p w14:paraId="10EFBF75" w14:textId="77777777" w:rsidR="009106EF" w:rsidRPr="00DE7C15" w:rsidRDefault="009106EF" w:rsidP="009106EF">
      <w:pPr>
        <w:pStyle w:val="SingleTxt"/>
        <w:spacing w:after="0" w:line="120" w:lineRule="exact"/>
        <w:rPr>
          <w:sz w:val="10"/>
        </w:rPr>
      </w:pPr>
    </w:p>
    <w:p w14:paraId="427FCEB4"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Igualdad de género en la educación</w:t>
      </w:r>
    </w:p>
    <w:p w14:paraId="06333090" w14:textId="5890B515" w:rsidR="009106EF" w:rsidRPr="00DE7C15" w:rsidRDefault="009106EF" w:rsidP="009106EF">
      <w:pPr>
        <w:pStyle w:val="SingleTxt"/>
        <w:spacing w:after="0" w:line="120" w:lineRule="exact"/>
        <w:rPr>
          <w:sz w:val="10"/>
        </w:rPr>
      </w:pPr>
    </w:p>
    <w:p w14:paraId="0692C901" w14:textId="77777777" w:rsidR="009106EF" w:rsidRPr="00DE7C15" w:rsidRDefault="009106EF" w:rsidP="009106EF">
      <w:pPr>
        <w:pStyle w:val="SingleTxt"/>
        <w:spacing w:after="0" w:line="120" w:lineRule="exact"/>
        <w:rPr>
          <w:sz w:val="10"/>
        </w:rPr>
      </w:pPr>
    </w:p>
    <w:p w14:paraId="3BA755D4" w14:textId="49D90A3A" w:rsidR="00CE28E1" w:rsidRPr="00DE7C15" w:rsidRDefault="00CE28E1" w:rsidP="006C1BAD">
      <w:pPr>
        <w:pStyle w:val="SingleTxt"/>
        <w:numPr>
          <w:ilvl w:val="0"/>
          <w:numId w:val="37"/>
        </w:numPr>
        <w:ind w:left="1267"/>
      </w:pPr>
      <w:r w:rsidRPr="00DE7C15">
        <w:t xml:space="preserve">En Chequia, todas las personas tienen garantizado el derecho a la educación en virtud del artículo </w:t>
      </w:r>
      <w:r w:rsidRPr="00B9592E">
        <w:t>33</w:t>
      </w:r>
      <w:r w:rsidRPr="00DE7C15">
        <w:t xml:space="preserve"> de la Carta. Asimismo, el artículo </w:t>
      </w:r>
      <w:r w:rsidRPr="00B9592E">
        <w:t>2</w:t>
      </w:r>
      <w:r w:rsidRPr="00DE7C15">
        <w:t xml:space="preserve"> </w:t>
      </w:r>
      <w:r w:rsidRPr="00B9592E">
        <w:t>1</w:t>
      </w:r>
      <w:r w:rsidRPr="00DE7C15">
        <w:t>) de la Ley de Educación establece que la educación se basa en los principios de la igualdad de acceso a la educación de todos los ciudadanos checos o de otro Estado miembro de la Unión Europea, sin discriminación alguna por motivos de raza, color, sexo, idioma, creencias o religión, nacionalidad, origen étnico o social, posición económica, nacimiento o cualquier otra condición.</w:t>
      </w:r>
    </w:p>
    <w:p w14:paraId="1D948ACC" w14:textId="1BBCACE2" w:rsidR="00CE28E1" w:rsidRPr="00DE7C15" w:rsidRDefault="00CE28E1" w:rsidP="006C1BAD">
      <w:pPr>
        <w:pStyle w:val="SingleTxt"/>
        <w:numPr>
          <w:ilvl w:val="0"/>
          <w:numId w:val="37"/>
        </w:numPr>
        <w:ind w:left="1267"/>
      </w:pPr>
      <w:r w:rsidRPr="00DE7C15">
        <w:lastRenderedPageBreak/>
        <w:t xml:space="preserve">El artículo </w:t>
      </w:r>
      <w:r w:rsidRPr="00B9592E">
        <w:t>2</w:t>
      </w:r>
      <w:r w:rsidRPr="00DE7C15">
        <w:t xml:space="preserve"> </w:t>
      </w:r>
      <w:r w:rsidRPr="00B9592E">
        <w:t>2</w:t>
      </w:r>
      <w:r w:rsidRPr="00DE7C15">
        <w:t xml:space="preserve">) de la Ley de Educación establece como objetivo general de la educación la comprensión y aplicación del principio de igualdad de género en la sociedad. Esa disposición, por tanto, permite adoptar medidas conducentes a la eliminación de los estereotipos de género. Sin embargo, pese a esa disposición jurídica, se ha constatado que algunas escuelas primarias establecen planes de estudios diferenciados para las niñas y los niños en la esfera denominada </w:t>
      </w:r>
      <w:r w:rsidR="009106EF" w:rsidRPr="00DE7C15">
        <w:t>“</w:t>
      </w:r>
      <w:r w:rsidRPr="00DE7C15">
        <w:t>Las personas y el mundo laboral</w:t>
      </w:r>
      <w:r w:rsidR="009106EF" w:rsidRPr="00DE7C15">
        <w:t>”</w:t>
      </w:r>
      <w:r w:rsidRPr="00DE7C15">
        <w:t>. Algunas escuelas enseñan a los niños tecnología, dibujo técnico o montaje de bicicletas, mientras que las niñas aprenden cuidado del hogar, alimentación y preparación de alimentos.</w:t>
      </w:r>
    </w:p>
    <w:p w14:paraId="62DDE941" w14:textId="31B73274" w:rsidR="00554041" w:rsidRPr="00DE7C15" w:rsidRDefault="00CE28E1" w:rsidP="006C1BAD">
      <w:pPr>
        <w:pStyle w:val="SingleTxt"/>
        <w:numPr>
          <w:ilvl w:val="0"/>
          <w:numId w:val="37"/>
        </w:numPr>
        <w:ind w:left="1267"/>
      </w:pPr>
      <w:r w:rsidRPr="00DE7C15">
        <w:t xml:space="preserve">En </w:t>
      </w:r>
      <w:r w:rsidRPr="00B9592E">
        <w:t>2016</w:t>
      </w:r>
      <w:r w:rsidRPr="00DE7C15">
        <w:t xml:space="preserve"> entró en vigor la modificación de la Ley de Educación con la publicación del Decreto núm. </w:t>
      </w:r>
      <w:r w:rsidRPr="00B9592E">
        <w:t>27</w:t>
      </w:r>
      <w:r w:rsidRPr="00DE7C15">
        <w:t>/</w:t>
      </w:r>
      <w:r w:rsidRPr="00B9592E">
        <w:t>2016</w:t>
      </w:r>
      <w:r w:rsidRPr="00DE7C15">
        <w:t xml:space="preserve"> (recop.) de Educación de Alumnos con Necesidades Educativas Especiales. Gracias a esa modificación, los alumnos tienen más posibilidades de acceder a medidas de apoyo que les permitan cursar la enseñanza ordinaria. La medida se introdujo en respuesta a la mayor segregación de los alumnos romaníes en centros especiales y de apoyo.</w:t>
      </w:r>
    </w:p>
    <w:p w14:paraId="415F02DC" w14:textId="038A4582" w:rsidR="00CE28E1" w:rsidRPr="00DE7C15" w:rsidRDefault="00CE28E1" w:rsidP="006C1BAD">
      <w:pPr>
        <w:pStyle w:val="SingleTxt"/>
        <w:numPr>
          <w:ilvl w:val="0"/>
          <w:numId w:val="37"/>
        </w:numPr>
        <w:ind w:left="1267"/>
      </w:pPr>
      <w:r w:rsidRPr="00DE7C15">
        <w:t xml:space="preserve">En </w:t>
      </w:r>
      <w:r w:rsidRPr="00B9592E">
        <w:t>2020</w:t>
      </w:r>
      <w:r w:rsidRPr="00DE7C15">
        <w:t xml:space="preserve"> se adoptaron varios documentos importantes para favorecer la igualdad de género en la educación y la ciencia. El Ministerio de Educación, Juventud y Deporte aprobó la Estrategia para la Política Educativa de la República Checa </w:t>
      </w:r>
      <w:r w:rsidRPr="00B9592E">
        <w:t>2030</w:t>
      </w:r>
      <w:r w:rsidRPr="00DE7C15">
        <w:t xml:space="preserve">+ (en lo sucesivo, </w:t>
      </w:r>
      <w:r w:rsidR="009106EF" w:rsidRPr="00DE7C15">
        <w:t>“</w:t>
      </w:r>
      <w:r w:rsidRPr="00DE7C15">
        <w:t>Estrategia de Educación</w:t>
      </w:r>
      <w:r w:rsidR="009106EF" w:rsidRPr="00DE7C15">
        <w:t>”</w:t>
      </w:r>
      <w:r w:rsidRPr="00DE7C15">
        <w:t xml:space="preserve">) y el Plan de Fomento de la Igualdad de Género del Ministerio de Educación, Juventud y Deporte para </w:t>
      </w:r>
      <w:r w:rsidRPr="00B9592E">
        <w:t>2021</w:t>
      </w:r>
      <w:r w:rsidRPr="00DE7C15">
        <w:t>-</w:t>
      </w:r>
      <w:r w:rsidRPr="00B9592E">
        <w:t>2024</w:t>
      </w:r>
      <w:r w:rsidRPr="00DE7C15">
        <w:t xml:space="preserve"> (en lo sucesivo, </w:t>
      </w:r>
      <w:r w:rsidR="009106EF" w:rsidRPr="00DE7C15">
        <w:t>“</w:t>
      </w:r>
      <w:r w:rsidRPr="00DE7C15">
        <w:t>Plan de Educación</w:t>
      </w:r>
      <w:r w:rsidR="009106EF" w:rsidRPr="00DE7C15">
        <w:t>”</w:t>
      </w:r>
      <w:r w:rsidRPr="00DE7C15">
        <w:t>). La Estrategia de Educación es un documento de carácter general e integral, en el que se exponen las prioridades que deben abordarse en el período especificado, en particular en la educación regional, la educación no académica e informal, y el aprendizaje permanente. La Estrategia de Educación tiene dos objetivos estratégicos principales: transformar los contenidos de la educación (OE</w:t>
      </w:r>
      <w:r w:rsidRPr="00B9592E">
        <w:t>1</w:t>
      </w:r>
      <w:r w:rsidRPr="00DE7C15">
        <w:t>) y reducir las desigualdades sociales en la educación (OE</w:t>
      </w:r>
      <w:r w:rsidRPr="00B9592E">
        <w:t>2</w:t>
      </w:r>
      <w:r w:rsidRPr="00DE7C15">
        <w:t xml:space="preserve">). El objetivo estratégico </w:t>
      </w:r>
      <w:r w:rsidRPr="00B9592E">
        <w:t>2</w:t>
      </w:r>
      <w:r w:rsidRPr="00DE7C15">
        <w:t xml:space="preserve"> hace hincapié en la individualización de la enseñanza, lo que debería reforzar significativamente las competencias de los docentes en modalidades y métodos de trabajo innovadores que tengan en cuenta la igualdad de género y presten especial atención a las particularidades de la educación de niñas y niños. El otro objetivo es transformar los contenidos y métodos didácticos para desarrollar el potencial de todos los alumnos en las escuelas, teniendo en cuenta al mismo tiempo la igualdad de género y eliminando los estereotipos de género. El Plan de Educación establece medidas para intensificar el apoyo a la aplicación práctica de la igualdad de género en los procesos internos del Ministerio de Educación, Juventud y Deporte (en particular la diversidad en el lugar de trabajo) y en sus agendas temáticas. La seguridad escolar se garantiza considerando infracciones especialmente graves de las obligaciones establecidas en la Ley de Educación, que pueden dar lugar a la expulsión condicional del centro, las agresiones verbales graves y reiteradas y las agresiones físicas deliberadas de un alumno al personal del centro o a otros alumnos. En cuanto a la prevención primaria, el Ministerio sigue publicando documentos metodológicos. La recomendación metodológica sobre la prevención primaria de las conductas de riesgo en niños y jóvenes describe las distintas instituciones del sistema de prevención y recomienda procedimientos a los centros y establecimientos escolares para afrontar las conductas de riesgo en niños y jóvenes cuando se producen. El material se centra en fenómenos como la violencia doméstica, las conductas sexuales de riesgo, la homofobia y el acoso escolar, y actualmente está en proceso de actualización. Por ejemplo, en </w:t>
      </w:r>
      <w:r w:rsidRPr="00B9592E">
        <w:t>2020</w:t>
      </w:r>
      <w:r w:rsidRPr="00DE7C15">
        <w:t xml:space="preserve"> se publicó un nuevo documento sobre el acoso escolar.</w:t>
      </w:r>
    </w:p>
    <w:p w14:paraId="74FD907A" w14:textId="213BA276" w:rsidR="00CE28E1" w:rsidRPr="00DE7C15" w:rsidRDefault="00CE28E1" w:rsidP="006C1BAD">
      <w:pPr>
        <w:pStyle w:val="SingleTxt"/>
        <w:numPr>
          <w:ilvl w:val="0"/>
          <w:numId w:val="37"/>
        </w:numPr>
        <w:ind w:left="1267"/>
      </w:pPr>
      <w:r w:rsidRPr="00DE7C15">
        <w:t>En promedio, las mujeres checas alcanzan un nivel educativo superior al de los hombres checos. Mientras los hombres predominan entre los estudiantes que terminan programas de estudios de secundaria sin examen final de madurez (</w:t>
      </w:r>
      <w:r w:rsidRPr="00B9592E">
        <w:rPr>
          <w:i/>
          <w:iCs/>
        </w:rPr>
        <w:t>maturita</w:t>
      </w:r>
      <w:r w:rsidRPr="00DE7C15">
        <w:t xml:space="preserve"> (bachillerato)), las mujeres tienen un porcentaje mayor de representación entre </w:t>
      </w:r>
      <w:r w:rsidRPr="00DE7C15">
        <w:lastRenderedPageBreak/>
        <w:t>quienes finalizan programas de estudios de secundaria con examen final, de formación profesional superior y universitarios.</w:t>
      </w:r>
    </w:p>
    <w:p w14:paraId="3E9CA15D" w14:textId="2FB57F47" w:rsidR="00CE28E1" w:rsidRPr="00DE7C15" w:rsidRDefault="00CE28E1" w:rsidP="006C1BAD">
      <w:pPr>
        <w:pStyle w:val="SingleTxt"/>
        <w:numPr>
          <w:ilvl w:val="0"/>
          <w:numId w:val="37"/>
        </w:numPr>
        <w:ind w:left="1267"/>
      </w:pPr>
      <w:r w:rsidRPr="00DE7C15">
        <w:t xml:space="preserve">La segregación horizontal aún es un problema importante. Si bien no existen barreras jurídicas ni formales que impidan a las jóvenes y a los jóvenes estudiar determinadas disciplinas, desde temprana edad se los encamina a elegir materias diferentes y, en consecuencia, trayectorias profesionales distintas, debido a la persistencia de opiniones estereotipadas sobre la capacidad de las mujeres y los hombres en la sociedad checa. La representación de niñas y niños en los centros de enseñanza preescolar y las escuelas de primaria es, por supuesto, equilibrada. No obstante, las niñas superan en número a los niños en los centros de enseñanza secundaria de todos los tipos, salvo en los que no es preciso realizar el examen de madurez. Las niñas eligen las </w:t>
      </w:r>
      <w:r w:rsidR="009106EF" w:rsidRPr="00DE7C15">
        <w:t>“</w:t>
      </w:r>
      <w:r w:rsidRPr="00DE7C15">
        <w:t>disciplinas tradicionalmente femeninas</w:t>
      </w:r>
      <w:r w:rsidR="009106EF" w:rsidRPr="00DE7C15">
        <w:t>”</w:t>
      </w:r>
      <w:r w:rsidRPr="00DE7C15">
        <w:t xml:space="preserve">, como salud y educación, mientras que los niños se decantan por las </w:t>
      </w:r>
      <w:r w:rsidR="009106EF" w:rsidRPr="00DE7C15">
        <w:t>“</w:t>
      </w:r>
      <w:r w:rsidRPr="00DE7C15">
        <w:t>disciplinas tradicionalmente masculinas</w:t>
      </w:r>
      <w:r w:rsidR="009106EF" w:rsidRPr="00DE7C15">
        <w:t>”</w:t>
      </w:r>
      <w:r w:rsidRPr="00DE7C15">
        <w:t xml:space="preserve">, como ingeniería mecánica y eléctrica. Con todo, si se comparan los porcentajes de nuevos matriculados y egresados desglosados por sexo, se observa que se ha producido un ligero aumento de los jóvenes que eligen </w:t>
      </w:r>
      <w:r w:rsidR="009106EF" w:rsidRPr="00DE7C15">
        <w:t>“</w:t>
      </w:r>
      <w:r w:rsidRPr="00DE7C15">
        <w:t>disciplinas tradicionalmente femeninas</w:t>
      </w:r>
      <w:r w:rsidR="009106EF" w:rsidRPr="00DE7C15">
        <w:t>”</w:t>
      </w:r>
      <w:r w:rsidRPr="00DE7C15">
        <w:t xml:space="preserve"> y de las jóvenes que se decantan por </w:t>
      </w:r>
      <w:r w:rsidR="009106EF" w:rsidRPr="00DE7C15">
        <w:t>“</w:t>
      </w:r>
      <w:r w:rsidRPr="00DE7C15">
        <w:t>disciplinas tradicionalmente masculinas</w:t>
      </w:r>
      <w:r w:rsidR="009106EF" w:rsidRPr="00DE7C15">
        <w:t>”</w:t>
      </w:r>
      <w:r w:rsidRPr="00DE7C15">
        <w:t xml:space="preserve">. El estudio PISA </w:t>
      </w:r>
      <w:r w:rsidRPr="00B9592E">
        <w:t>2018</w:t>
      </w:r>
      <w:r w:rsidRPr="00DE7C15">
        <w:t xml:space="preserve"> reveló que, de los estudiantes con puntuaciones más altas en matemáticas y ciencias, el </w:t>
      </w:r>
      <w:r w:rsidRPr="00B9592E">
        <w:t>8</w:t>
      </w:r>
      <w:r w:rsidR="009106EF" w:rsidRPr="00DE7C15">
        <w:t> %</w:t>
      </w:r>
      <w:r w:rsidRPr="00DE7C15">
        <w:t xml:space="preserve"> de las niñas y el </w:t>
      </w:r>
      <w:r w:rsidRPr="00B9592E">
        <w:t>14</w:t>
      </w:r>
      <w:r w:rsidR="009106EF" w:rsidRPr="00DE7C15">
        <w:t> %</w:t>
      </w:r>
      <w:r w:rsidRPr="00DE7C15">
        <w:t xml:space="preserve"> de los niños se planteaban cursar estudios de CTIM, y el </w:t>
      </w:r>
      <w:r w:rsidRPr="00B9592E">
        <w:t>28</w:t>
      </w:r>
      <w:r w:rsidR="009106EF" w:rsidRPr="00DE7C15">
        <w:t> %</w:t>
      </w:r>
      <w:r w:rsidRPr="00DE7C15">
        <w:t xml:space="preserve"> de las niñas y el </w:t>
      </w:r>
      <w:r w:rsidRPr="00B9592E">
        <w:t>11</w:t>
      </w:r>
      <w:r w:rsidR="009106EF" w:rsidRPr="00DE7C15">
        <w:t> %</w:t>
      </w:r>
      <w:r w:rsidRPr="00DE7C15">
        <w:t xml:space="preserve"> de los niños, del campo de la salud. La segregación horizontal perpetúa las desigualdades persistentes en el mercado laboral, lo que dificulta aún más una redistribución efectiva de la mano de obra con arreglo a la cambiante demanda de conocimientos y aptitudes. Esa situación se traduce más adelante en diferencias salariales por empleo y sector, y también por nivel de prestigio. Por lo general, las ocupaciones </w:t>
      </w:r>
      <w:r w:rsidR="009106EF" w:rsidRPr="00DE7C15">
        <w:t>“</w:t>
      </w:r>
      <w:r w:rsidRPr="00DE7C15">
        <w:t>femeninas</w:t>
      </w:r>
      <w:r w:rsidR="009106EF" w:rsidRPr="00DE7C15">
        <w:t>”</w:t>
      </w:r>
      <w:r w:rsidRPr="00DE7C15">
        <w:t xml:space="preserve"> se asocian a una remuneración más baja y un menor prestigio.</w:t>
      </w:r>
    </w:p>
    <w:p w14:paraId="19E74F2B" w14:textId="1745487E" w:rsidR="00CE28E1" w:rsidRPr="00DE7C15" w:rsidRDefault="00CE28E1" w:rsidP="006C1BAD">
      <w:pPr>
        <w:pStyle w:val="SingleTxt"/>
        <w:numPr>
          <w:ilvl w:val="0"/>
          <w:numId w:val="37"/>
        </w:numPr>
        <w:ind w:left="1267"/>
      </w:pPr>
      <w:r w:rsidRPr="00DE7C15">
        <w:t>En lo que respecta a la segregación horizontal, el Ministerio de Educación, Juventud y Deporte, junto con el Instituto Nacional de Educación</w:t>
      </w:r>
      <w:r w:rsidRPr="00B9592E">
        <w:rPr>
          <w:vertAlign w:val="superscript"/>
        </w:rPr>
        <w:footnoteReference w:id="11"/>
      </w:r>
      <w:r w:rsidRPr="00DE7C15">
        <w:t xml:space="preserve"> y expertos del sector sin fines de lucro, puso a disposición de los docentes en </w:t>
      </w:r>
      <w:r w:rsidRPr="00B9592E">
        <w:t>2017</w:t>
      </w:r>
      <w:r w:rsidRPr="00DE7C15">
        <w:t>-</w:t>
      </w:r>
      <w:r w:rsidRPr="00B9592E">
        <w:t>2018</w:t>
      </w:r>
      <w:r w:rsidRPr="00DE7C15">
        <w:t xml:space="preserve"> un portal web</w:t>
      </w:r>
      <w:r w:rsidRPr="00B9592E">
        <w:rPr>
          <w:vertAlign w:val="superscript"/>
        </w:rPr>
        <w:footnoteReference w:id="12"/>
      </w:r>
      <w:r w:rsidRPr="00DE7C15">
        <w:t xml:space="preserve"> en el que se brindaba información sobre la enseñanza con perspectiva de género y las opciones profesionales equitativas en cuanto al género. En noviembre de </w:t>
      </w:r>
      <w:r w:rsidRPr="00B9592E">
        <w:t>2018</w:t>
      </w:r>
      <w:r w:rsidRPr="00DE7C15">
        <w:t xml:space="preserve">, el Instituto Nacional de Educación organizó una conferencia titulada </w:t>
      </w:r>
      <w:r w:rsidR="009106EF" w:rsidRPr="00DE7C15">
        <w:t>“</w:t>
      </w:r>
      <w:r w:rsidRPr="00DE7C15">
        <w:t>Tecnologías digitales en educación: usos prácticos</w:t>
      </w:r>
      <w:r w:rsidR="009106EF" w:rsidRPr="00DE7C15">
        <w:t>”</w:t>
      </w:r>
      <w:r w:rsidRPr="00DE7C15">
        <w:t xml:space="preserve">, que se centró en la enseñanza de las TIC con perspectiva de género. Algunas universidades también afrontaron la escasa participación de las mujeres en CTIM. Por ejemplo, la Universidad Técnica Checa puso en marcha en </w:t>
      </w:r>
      <w:r w:rsidRPr="00B9592E">
        <w:t>2017</w:t>
      </w:r>
      <w:r w:rsidRPr="00DE7C15">
        <w:t xml:space="preserve"> la campaña </w:t>
      </w:r>
      <w:r w:rsidR="009106EF" w:rsidRPr="00DE7C15">
        <w:t>“</w:t>
      </w:r>
      <w:r w:rsidRPr="00DE7C15">
        <w:t>Este es mi sitio</w:t>
      </w:r>
      <w:r w:rsidR="009106EF" w:rsidRPr="00DE7C15">
        <w:t>”</w:t>
      </w:r>
      <w:r w:rsidRPr="00DE7C15">
        <w:t>, que utilizaba videos publicitarios y modelos de conducta femeninos para alentar la matriculación de las jóvenes en estudios de ingeniería.</w:t>
      </w:r>
    </w:p>
    <w:p w14:paraId="59D4EB0D" w14:textId="2235C04B" w:rsidR="00CE28E1" w:rsidRPr="00DE7C15" w:rsidRDefault="00CE28E1" w:rsidP="006C1BAD">
      <w:pPr>
        <w:pStyle w:val="SingleTxt"/>
        <w:numPr>
          <w:ilvl w:val="0"/>
          <w:numId w:val="37"/>
        </w:numPr>
        <w:ind w:left="1267"/>
      </w:pPr>
      <w:r w:rsidRPr="00DE7C15">
        <w:t xml:space="preserve">En </w:t>
      </w:r>
      <w:r w:rsidRPr="00B9592E">
        <w:t>2019</w:t>
      </w:r>
      <w:r w:rsidRPr="00DE7C15">
        <w:t xml:space="preserve">, el Ministerio de Educación, Juventud y Deporte, en colaboración con la organización Gender Studies, o.p.s., reimprimió el manual metodológico </w:t>
      </w:r>
      <w:r w:rsidR="009106EF" w:rsidRPr="00DE7C15">
        <w:t>“</w:t>
      </w:r>
      <w:r w:rsidRPr="00DE7C15">
        <w:t>Elegir carrera sin prejuicios</w:t>
      </w:r>
      <w:r w:rsidR="009106EF" w:rsidRPr="00DE7C15">
        <w:t>”</w:t>
      </w:r>
      <w:r w:rsidRPr="00DE7C15">
        <w:t xml:space="preserve"> para contribuir a la educación sobre las perspectivas de carrera en las escuelas. La reimpresión se llevó a cabo en el marco de un proyecto sobre la optimización del aseguramiento institucional de la igualdad de género en el Ministerio de Educación, Juventud y Deporte.</w:t>
      </w:r>
    </w:p>
    <w:p w14:paraId="584A4809" w14:textId="253BE5B1" w:rsidR="00CE28E1" w:rsidRPr="00DE7C15" w:rsidRDefault="00CE28E1" w:rsidP="006C1BAD">
      <w:pPr>
        <w:pStyle w:val="SingleTxt"/>
        <w:numPr>
          <w:ilvl w:val="0"/>
          <w:numId w:val="37"/>
        </w:numPr>
        <w:ind w:left="1267"/>
      </w:pPr>
      <w:r w:rsidRPr="00DE7C15">
        <w:t xml:space="preserve">En </w:t>
      </w:r>
      <w:r w:rsidRPr="00B9592E">
        <w:t>2020</w:t>
      </w:r>
      <w:r w:rsidRPr="00DE7C15">
        <w:t xml:space="preserve"> se publicó un documento titulado </w:t>
      </w:r>
      <w:r w:rsidR="009106EF" w:rsidRPr="00DE7C15">
        <w:t>“</w:t>
      </w:r>
      <w:r w:rsidRPr="00DE7C15">
        <w:t>El camino a la educación con perspectiva de género</w:t>
      </w:r>
      <w:r w:rsidR="009106EF" w:rsidRPr="00DE7C15">
        <w:t>”</w:t>
      </w:r>
      <w:r w:rsidRPr="00DE7C15">
        <w:t xml:space="preserve">, que es una metodología para quienes trabajan con profesionales actuales o futuros de la docencia. La publicación contiene actividades prácticas que pueden incorporarse al aula. El Instituto de Sociología de la Academia </w:t>
      </w:r>
      <w:r w:rsidRPr="00DE7C15">
        <w:lastRenderedPageBreak/>
        <w:t>Checa de Ciencias organizó dos seminarios sobre educación con perspectiva de género.</w:t>
      </w:r>
    </w:p>
    <w:p w14:paraId="34BA53D7" w14:textId="142BBEEB" w:rsidR="00CE28E1" w:rsidRPr="00DE7C15" w:rsidRDefault="00CE28E1" w:rsidP="006C1BAD">
      <w:pPr>
        <w:pStyle w:val="SingleTxt"/>
        <w:numPr>
          <w:ilvl w:val="0"/>
          <w:numId w:val="37"/>
        </w:numPr>
        <w:ind w:left="1267"/>
      </w:pPr>
      <w:r w:rsidRPr="00DE7C15">
        <w:t xml:space="preserve">El Instituto de Sociología de la Academia Checa de Ciencias siguió publicando la revista </w:t>
      </w:r>
      <w:r w:rsidRPr="00B9592E">
        <w:rPr>
          <w:i/>
          <w:iCs/>
        </w:rPr>
        <w:t>Gender a výzkum</w:t>
      </w:r>
      <w:r w:rsidRPr="00DE7C15">
        <w:t xml:space="preserve"> (Género e investigación). En </w:t>
      </w:r>
      <w:r w:rsidRPr="00B9592E">
        <w:t>2020</w:t>
      </w:r>
      <w:r w:rsidRPr="00DE7C15">
        <w:t xml:space="preserve">, se centró, entre otras cosas, en la economía </w:t>
      </w:r>
      <w:r w:rsidRPr="00B9592E">
        <w:t>4</w:t>
      </w:r>
      <w:r w:rsidRPr="00DE7C15">
        <w:t>.</w:t>
      </w:r>
      <w:r w:rsidRPr="00B9592E">
        <w:t>0</w:t>
      </w:r>
      <w:r w:rsidRPr="00DE7C15">
        <w:t xml:space="preserve"> y la digitalización del trabajo, que se ha convertido en un asunto destacado y lo fue más aún durante la pandemia.</w:t>
      </w:r>
    </w:p>
    <w:p w14:paraId="1C64F8A1" w14:textId="7185C8BA" w:rsidR="00554041" w:rsidRPr="00DE7C15" w:rsidRDefault="00CE28E1" w:rsidP="006C1BAD">
      <w:pPr>
        <w:pStyle w:val="SingleTxt"/>
        <w:numPr>
          <w:ilvl w:val="0"/>
          <w:numId w:val="37"/>
        </w:numPr>
        <w:ind w:left="1267"/>
      </w:pPr>
      <w:r w:rsidRPr="00DE7C15">
        <w:t xml:space="preserve">El Plan de Educación es una de las herramientas disponibles para mitigar la segregación horizontal. Incluye medidas como la capacitación de los docentes actuales o futuros para promover la diferenciación interna de la enseñanza y la evaluación no estereotipada de </w:t>
      </w:r>
      <w:proofErr w:type="gramStart"/>
      <w:r w:rsidRPr="00DE7C15">
        <w:t>alumnos y alumnas</w:t>
      </w:r>
      <w:proofErr w:type="gramEnd"/>
      <w:r w:rsidRPr="00DE7C15">
        <w:t xml:space="preserve"> o la introducción o mejora de la educación y la orientación profesional no estereotipada en materia de género.</w:t>
      </w:r>
    </w:p>
    <w:p w14:paraId="0E9FA278" w14:textId="6EABECF5" w:rsidR="00CE28E1" w:rsidRPr="00DE7C15" w:rsidRDefault="00CE28E1" w:rsidP="006C1BAD">
      <w:pPr>
        <w:pStyle w:val="SingleTxt"/>
        <w:numPr>
          <w:ilvl w:val="0"/>
          <w:numId w:val="37"/>
        </w:numPr>
        <w:ind w:left="1267"/>
      </w:pPr>
      <w:r w:rsidRPr="00DE7C15">
        <w:t xml:space="preserve">La segregación de género se manifiesta en todas las disciplinas docentes. En </w:t>
      </w:r>
      <w:r w:rsidRPr="00B9592E">
        <w:t>2020</w:t>
      </w:r>
      <w:r w:rsidRPr="00DE7C15">
        <w:t xml:space="preserve">, el </w:t>
      </w:r>
      <w:r w:rsidRPr="00B9592E">
        <w:t>99</w:t>
      </w:r>
      <w:r w:rsidRPr="00DE7C15">
        <w:t>,</w:t>
      </w:r>
      <w:r w:rsidRPr="00B9592E">
        <w:t>4</w:t>
      </w:r>
      <w:r w:rsidR="009106EF" w:rsidRPr="00DE7C15">
        <w:t> %</w:t>
      </w:r>
      <w:r w:rsidRPr="00DE7C15">
        <w:t xml:space="preserve"> del personal docente de preescolar eran mujeres. Las mujeres también eran mayoría entre los docentes de primaria (</w:t>
      </w:r>
      <w:r w:rsidRPr="00B9592E">
        <w:t>84</w:t>
      </w:r>
      <w:r w:rsidR="009106EF" w:rsidRPr="00DE7C15">
        <w:t> %</w:t>
      </w:r>
      <w:r w:rsidRPr="00DE7C15">
        <w:t>), secundaria (</w:t>
      </w:r>
      <w:r w:rsidRPr="00B9592E">
        <w:t>60</w:t>
      </w:r>
      <w:r w:rsidR="00F26C0D" w:rsidRPr="00B9592E">
        <w:t xml:space="preserve"> </w:t>
      </w:r>
      <w:r w:rsidRPr="00DE7C15">
        <w:t>%) y formación profesional superior (</w:t>
      </w:r>
      <w:r w:rsidRPr="00B9592E">
        <w:t>66</w:t>
      </w:r>
      <w:r w:rsidR="009106EF" w:rsidRPr="00DE7C15">
        <w:t> %</w:t>
      </w:r>
      <w:r w:rsidRPr="00DE7C15">
        <w:t xml:space="preserve">). En cambio, el </w:t>
      </w:r>
      <w:r w:rsidRPr="00B9592E">
        <w:t>64</w:t>
      </w:r>
      <w:r w:rsidRPr="00DE7C15">
        <w:t>% del personal académico de las universidades eran hombres. La baja representación masculina en el sector educativo no se debe únicamente a los bajos sueldos y el escaso reconocimiento social, sino también a los estereotipos de género ya mencionados y a la consiguiente percepción de que la profesión de docente de preescolar o primaria no es adecuada para los hombres.</w:t>
      </w:r>
    </w:p>
    <w:p w14:paraId="1D287F7B" w14:textId="54AE5B9A" w:rsidR="00CE28E1" w:rsidRPr="00DE7C15" w:rsidRDefault="00CE28E1" w:rsidP="006C1BAD">
      <w:pPr>
        <w:pStyle w:val="SingleTxt"/>
        <w:numPr>
          <w:ilvl w:val="0"/>
          <w:numId w:val="37"/>
        </w:numPr>
        <w:ind w:left="1267"/>
      </w:pPr>
      <w:r w:rsidRPr="00B9592E">
        <w:rPr>
          <w:spacing w:val="0"/>
        </w:rPr>
        <w:t>En cuanto a la clasificación de empleos, los puestos directivos están ocupados predominantemente por hombres, pese a que la mayoría de los empleados del sector educativo son mujeres. En 2020, las mujeres eran mayoría entre el personal docente con independencia del tipo de centro, salvo las universidades. En cambio, entre los directivos, solo eran mayoría en las escuelas de preescolar y de primaria. No obstante, incluso en esas escuelas había proporcionalmente más hombres en puestos directivos de lo que sería coherente habida cuenta de su representación total en un tipo determinado de escuela. La segregación vertical también persiste en las universidades. En 2019 había un porcentaje ligeramente superior de mujeres entre los profesores universitarios (54,7</w:t>
      </w:r>
      <w:r w:rsidR="009106EF" w:rsidRPr="00B9592E">
        <w:rPr>
          <w:spacing w:val="0"/>
        </w:rPr>
        <w:t> %</w:t>
      </w:r>
      <w:r w:rsidRPr="00B9592E">
        <w:rPr>
          <w:spacing w:val="0"/>
        </w:rPr>
        <w:t xml:space="preserve"> de mujeres frente a 45,3</w:t>
      </w:r>
      <w:r w:rsidR="009106EF" w:rsidRPr="00B9592E">
        <w:rPr>
          <w:spacing w:val="0"/>
        </w:rPr>
        <w:t> %</w:t>
      </w:r>
      <w:r w:rsidRPr="00B9592E">
        <w:rPr>
          <w:spacing w:val="0"/>
        </w:rPr>
        <w:t xml:space="preserve"> de hombres). Sin embargo, en 2020 los hombres eran mayoría entre los profesores auxiliares (41</w:t>
      </w:r>
      <w:r w:rsidR="009106EF" w:rsidRPr="00B9592E">
        <w:rPr>
          <w:spacing w:val="0"/>
        </w:rPr>
        <w:t> %</w:t>
      </w:r>
      <w:r w:rsidRPr="00B9592E">
        <w:rPr>
          <w:spacing w:val="0"/>
        </w:rPr>
        <w:t xml:space="preserve"> de mujeres y 59</w:t>
      </w:r>
      <w:r w:rsidR="009106EF" w:rsidRPr="00B9592E">
        <w:rPr>
          <w:spacing w:val="0"/>
        </w:rPr>
        <w:t> %</w:t>
      </w:r>
      <w:r w:rsidRPr="00B9592E">
        <w:rPr>
          <w:spacing w:val="0"/>
        </w:rPr>
        <w:t xml:space="preserve"> de hombres), los profesores titulares (27</w:t>
      </w:r>
      <w:r w:rsidR="009106EF" w:rsidRPr="00B9592E">
        <w:rPr>
          <w:spacing w:val="0"/>
        </w:rPr>
        <w:t> %</w:t>
      </w:r>
      <w:r w:rsidR="00D313EA">
        <w:rPr>
          <w:spacing w:val="0"/>
        </w:rPr>
        <w:t> </w:t>
      </w:r>
      <w:r w:rsidRPr="00B9592E">
        <w:rPr>
          <w:spacing w:val="0"/>
        </w:rPr>
        <w:t>de mujeres y 73</w:t>
      </w:r>
      <w:r w:rsidR="009106EF" w:rsidRPr="00B9592E">
        <w:rPr>
          <w:spacing w:val="0"/>
        </w:rPr>
        <w:t> %</w:t>
      </w:r>
      <w:r w:rsidRPr="00B9592E">
        <w:rPr>
          <w:spacing w:val="0"/>
        </w:rPr>
        <w:t xml:space="preserve"> de hombres) y los catedráticos (15</w:t>
      </w:r>
      <w:r w:rsidR="009106EF" w:rsidRPr="00B9592E">
        <w:rPr>
          <w:spacing w:val="0"/>
        </w:rPr>
        <w:t> %</w:t>
      </w:r>
      <w:r w:rsidRPr="00B9592E">
        <w:rPr>
          <w:spacing w:val="0"/>
        </w:rPr>
        <w:t xml:space="preserve"> de mujeres y 85</w:t>
      </w:r>
      <w:r w:rsidR="009106EF" w:rsidRPr="00B9592E">
        <w:rPr>
          <w:spacing w:val="0"/>
        </w:rPr>
        <w:t> %</w:t>
      </w:r>
      <w:r w:rsidRPr="00B9592E">
        <w:rPr>
          <w:spacing w:val="0"/>
        </w:rPr>
        <w:t xml:space="preserve"> de hombres). A pesar del aumento constante de la representación femenina entre los catedráticos y profesores titulares, el crecimiento en el último decenio ha sido lento. Mientras entre 2015 y 2020 la variación en el número de catedráticas fue mínimo, se registró un aumento del 2</w:t>
      </w:r>
      <w:r w:rsidR="009106EF" w:rsidRPr="00B9592E">
        <w:rPr>
          <w:spacing w:val="0"/>
        </w:rPr>
        <w:t> %</w:t>
      </w:r>
      <w:r w:rsidRPr="00B9592E">
        <w:rPr>
          <w:spacing w:val="0"/>
        </w:rPr>
        <w:t xml:space="preserve"> en la representación de mujeres entre los profesores titulares en el mismo período</w:t>
      </w:r>
      <w:r w:rsidRPr="00DE7C15">
        <w:t>.</w:t>
      </w:r>
    </w:p>
    <w:p w14:paraId="3C29B4B2" w14:textId="77777777" w:rsidR="009106EF" w:rsidRPr="00DE7C15" w:rsidRDefault="009106EF" w:rsidP="009106EF">
      <w:pPr>
        <w:pStyle w:val="SingleTxt"/>
        <w:spacing w:after="0" w:line="120" w:lineRule="exact"/>
        <w:rPr>
          <w:sz w:val="10"/>
        </w:rPr>
      </w:pPr>
    </w:p>
    <w:p w14:paraId="2705DA52" w14:textId="77777777" w:rsidR="009106EF" w:rsidRPr="00DE7C15" w:rsidRDefault="009106EF" w:rsidP="009106EF">
      <w:pPr>
        <w:pStyle w:val="SingleTxt"/>
        <w:spacing w:after="0" w:line="120" w:lineRule="exact"/>
        <w:rPr>
          <w:sz w:val="10"/>
        </w:rPr>
      </w:pPr>
    </w:p>
    <w:p w14:paraId="477090C7"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Mujeres y ciencia</w:t>
      </w:r>
    </w:p>
    <w:p w14:paraId="7C9773A5" w14:textId="26954479" w:rsidR="009106EF" w:rsidRPr="00DE7C15" w:rsidRDefault="009106EF" w:rsidP="009106EF">
      <w:pPr>
        <w:pStyle w:val="SingleTxt"/>
        <w:spacing w:after="0" w:line="120" w:lineRule="exact"/>
        <w:rPr>
          <w:sz w:val="10"/>
        </w:rPr>
      </w:pPr>
    </w:p>
    <w:p w14:paraId="019D9555" w14:textId="77777777" w:rsidR="009106EF" w:rsidRPr="00DE7C15" w:rsidRDefault="009106EF" w:rsidP="009106EF">
      <w:pPr>
        <w:pStyle w:val="SingleTxt"/>
        <w:spacing w:after="0" w:line="120" w:lineRule="exact"/>
        <w:rPr>
          <w:sz w:val="10"/>
        </w:rPr>
      </w:pPr>
    </w:p>
    <w:p w14:paraId="23138401" w14:textId="6656ADFE" w:rsidR="00CE28E1" w:rsidRPr="00DE7C15" w:rsidRDefault="00CE28E1" w:rsidP="006C1BAD">
      <w:pPr>
        <w:pStyle w:val="SingleTxt"/>
        <w:numPr>
          <w:ilvl w:val="0"/>
          <w:numId w:val="37"/>
        </w:numPr>
        <w:tabs>
          <w:tab w:val="num" w:pos="2804"/>
        </w:tabs>
        <w:ind w:left="1267"/>
      </w:pPr>
      <w:r w:rsidRPr="00DE7C15">
        <w:t xml:space="preserve">Las mujeres constituyen la mayoría de los egresados universitarios. En </w:t>
      </w:r>
      <w:r w:rsidRPr="00B9592E">
        <w:t>2020</w:t>
      </w:r>
      <w:r w:rsidRPr="00DE7C15">
        <w:t xml:space="preserve"> representaban el </w:t>
      </w:r>
      <w:r w:rsidRPr="00B9592E">
        <w:t>62</w:t>
      </w:r>
      <w:r w:rsidR="009106EF" w:rsidRPr="00DE7C15">
        <w:t> %</w:t>
      </w:r>
      <w:r w:rsidRPr="00DE7C15">
        <w:t xml:space="preserve"> de los egresados en ciencias, matemáticas y estadística, pero ese porcentaje no se refleja plenamente en la ciencia y la investigación, donde siguen siendo minoría. Aunque se gradúan más mujeres de la universidad, no eligen una trayectoria profesional científica por diversas razones, entre ellas la financiación y las políticas inadecuadas. Este hecho se refleja en las estadísticas, que muestran que en </w:t>
      </w:r>
      <w:r w:rsidRPr="00B9592E">
        <w:t>2021</w:t>
      </w:r>
      <w:r w:rsidRPr="00DE7C15">
        <w:t xml:space="preserve"> las mujeres representaban solo el </w:t>
      </w:r>
      <w:r w:rsidRPr="00B9592E">
        <w:t>27</w:t>
      </w:r>
      <w:r w:rsidR="009106EF" w:rsidRPr="00DE7C15">
        <w:t> %</w:t>
      </w:r>
      <w:r w:rsidRPr="00DE7C15">
        <w:t xml:space="preserve"> de los investigadores. En general, el mayor porcentaje de mujeres en la ciencia y la investigación se da en el sector gubernamental (</w:t>
      </w:r>
      <w:r w:rsidRPr="00B9592E">
        <w:t>41</w:t>
      </w:r>
      <w:r w:rsidR="009106EF" w:rsidRPr="00DE7C15">
        <w:t> %</w:t>
      </w:r>
      <w:r w:rsidRPr="00DE7C15">
        <w:t>), seguido del sector de la educación superior (</w:t>
      </w:r>
      <w:r w:rsidRPr="00B9592E">
        <w:t>36</w:t>
      </w:r>
      <w:r w:rsidR="009106EF" w:rsidRPr="00DE7C15">
        <w:t> %</w:t>
      </w:r>
      <w:r w:rsidRPr="00DE7C15">
        <w:t>). En cambio, el porcentaje más bajo corresponde al sector empresarial (</w:t>
      </w:r>
      <w:r w:rsidRPr="00B9592E">
        <w:t>14</w:t>
      </w:r>
      <w:r w:rsidR="009106EF" w:rsidRPr="00DE7C15">
        <w:t> %</w:t>
      </w:r>
      <w:r w:rsidRPr="00DE7C15">
        <w:t>).</w:t>
      </w:r>
    </w:p>
    <w:p w14:paraId="3EBBDEFF" w14:textId="1469248D" w:rsidR="00CE28E1" w:rsidRPr="00DE7C15" w:rsidRDefault="00CE28E1" w:rsidP="006C1BAD">
      <w:pPr>
        <w:pStyle w:val="SingleTxt"/>
        <w:numPr>
          <w:ilvl w:val="0"/>
          <w:numId w:val="37"/>
        </w:numPr>
        <w:ind w:left="1267"/>
      </w:pPr>
      <w:r w:rsidRPr="00DE7C15">
        <w:lastRenderedPageBreak/>
        <w:t xml:space="preserve">En </w:t>
      </w:r>
      <w:r w:rsidRPr="00B9592E">
        <w:t>2021</w:t>
      </w:r>
      <w:r w:rsidRPr="00DE7C15">
        <w:t xml:space="preserve">, las mujeres representaban el </w:t>
      </w:r>
      <w:r w:rsidRPr="00B9592E">
        <w:t>43</w:t>
      </w:r>
      <w:r w:rsidRPr="00DE7C15">
        <w:t>,</w:t>
      </w:r>
      <w:r w:rsidRPr="00B9592E">
        <w:t>7</w:t>
      </w:r>
      <w:r w:rsidR="009106EF" w:rsidRPr="00DE7C15">
        <w:t> %</w:t>
      </w:r>
      <w:r w:rsidRPr="00DE7C15">
        <w:t xml:space="preserve"> de los doctorandos, la segunda cifra más baja de la UE. Sin embargo, desde </w:t>
      </w:r>
      <w:r w:rsidRPr="00B9592E">
        <w:t>2010</w:t>
      </w:r>
      <w:r w:rsidRPr="00DE7C15">
        <w:t>, el número de mujeres que terminan un doctorado ha aumentado más rápidamente que el de hombres. En la mayoría de los países de la UE, el porcentaje de doctoras en TI es baja. Chequia es el segundo país, después de Hungría, con el porcentaje más bajo (</w:t>
      </w:r>
      <w:r w:rsidRPr="00B9592E">
        <w:t>16</w:t>
      </w:r>
      <w:r w:rsidRPr="00DE7C15">
        <w:t>,</w:t>
      </w:r>
      <w:r w:rsidRPr="00B9592E">
        <w:t>7</w:t>
      </w:r>
      <w:r w:rsidR="009106EF" w:rsidRPr="00DE7C15">
        <w:t> %</w:t>
      </w:r>
      <w:r w:rsidRPr="00DE7C15">
        <w:t>). Al mismo tiempo, menos de una quinta parte de las mujeres trabajaban por cuenta propia en TI, ciencias e ingeniería, lo que representa el porcentaje más bajo, junto con Eslovaquia, Polonia, Hungría y el Reino Unido. La brecha de género ocasionada por la segregación horizontal se amplifica porque es menos probable que las mujeres emprendan.</w:t>
      </w:r>
    </w:p>
    <w:p w14:paraId="4866C529" w14:textId="025E93F8" w:rsidR="00CE28E1" w:rsidRPr="00DE7C15" w:rsidRDefault="00CE28E1" w:rsidP="006C1BAD">
      <w:pPr>
        <w:pStyle w:val="SingleTxt"/>
        <w:numPr>
          <w:ilvl w:val="0"/>
          <w:numId w:val="37"/>
        </w:numPr>
        <w:ind w:left="1267"/>
      </w:pPr>
      <w:r w:rsidRPr="00DE7C15">
        <w:t>Una de las herramientas para mejorar este fenómeno es la aprobación de planes de igualdad de género. A nivel institucional, establecen objetivos y medidas para una institución concreta. El Centro Nacional de Contacto ha recibido ayuda para elaborarlos, aplicarlos y reforzar las competencias de las personas responsables. El Centro ha abordado el problema a través de los proyectos internacionales GENDERACTIONplus (</w:t>
      </w:r>
      <w:r w:rsidRPr="00B9592E">
        <w:t>2022</w:t>
      </w:r>
      <w:r w:rsidRPr="00DE7C15">
        <w:t>-</w:t>
      </w:r>
      <w:r w:rsidRPr="00B9592E">
        <w:t>2024</w:t>
      </w:r>
      <w:r w:rsidRPr="00DE7C15">
        <w:t>) y GENDERACTION (</w:t>
      </w:r>
      <w:r w:rsidRPr="00B9592E">
        <w:t>2019</w:t>
      </w:r>
      <w:r w:rsidRPr="00DE7C15">
        <w:t>-</w:t>
      </w:r>
      <w:r w:rsidRPr="00B9592E">
        <w:t>2021</w:t>
      </w:r>
      <w:r w:rsidRPr="00DE7C15">
        <w:t xml:space="preserve">), que tienen como objetivo promover la consecución de la prioridad </w:t>
      </w:r>
      <w:r w:rsidRPr="00B9592E">
        <w:t>4</w:t>
      </w:r>
      <w:r w:rsidRPr="00DE7C15">
        <w:t xml:space="preserve"> del Espacio europeo de investigación (igualdad entre los sexos e integración de la perspectiva de género en la investigación). Uno de los temas del proyecto GENDERACTIONplus es el seguimiento de los planes de igualdad de género. La adopción de los planes se ha visto positivamente influenciada sobre todo por la decisión de la Comisión Europea de que la existencia de un plan vigente sea un requisito para competir por la financiación del programa de apoyo a la investigación Horizonte Europa. Desde </w:t>
      </w:r>
      <w:r w:rsidRPr="00B9592E">
        <w:t>2023</w:t>
      </w:r>
      <w:r w:rsidRPr="00DE7C15">
        <w:t xml:space="preserve">, el proveedor más importante de fondos para investigación de Chequia, GA ČR, también exige la existencia de un plan vigente. Según el análisis de la situación actual elaborado por el Centro Nacional de Contacto, en enero de </w:t>
      </w:r>
      <w:r w:rsidRPr="00B9592E">
        <w:t>2023</w:t>
      </w:r>
      <w:r w:rsidRPr="00DE7C15">
        <w:t xml:space="preserve"> tenían un plan de igualdad </w:t>
      </w:r>
      <w:r w:rsidRPr="00B9592E">
        <w:t>70</w:t>
      </w:r>
      <w:r w:rsidRPr="00DE7C15">
        <w:t xml:space="preserve"> organizaciones de investigación del sector público (</w:t>
      </w:r>
      <w:r w:rsidRPr="00B9592E">
        <w:t>66</w:t>
      </w:r>
      <w:r w:rsidR="009106EF" w:rsidRPr="00DE7C15">
        <w:t> %</w:t>
      </w:r>
      <w:r w:rsidRPr="00DE7C15">
        <w:t xml:space="preserve">). De esa cifra, el </w:t>
      </w:r>
      <w:r w:rsidRPr="00B9592E">
        <w:t>71</w:t>
      </w:r>
      <w:r w:rsidR="009106EF" w:rsidRPr="00DE7C15">
        <w:t> %</w:t>
      </w:r>
      <w:r w:rsidRPr="00DE7C15">
        <w:t xml:space="preserve"> (</w:t>
      </w:r>
      <w:r w:rsidRPr="00B9592E">
        <w:t>20</w:t>
      </w:r>
      <w:r w:rsidRPr="00DE7C15">
        <w:t xml:space="preserve"> de </w:t>
      </w:r>
      <w:r w:rsidRPr="00B9592E">
        <w:t>28</w:t>
      </w:r>
      <w:r w:rsidRPr="00DE7C15">
        <w:t xml:space="preserve">) eran instituciones de educación superior y el </w:t>
      </w:r>
      <w:r w:rsidRPr="00B9592E">
        <w:t>64</w:t>
      </w:r>
      <w:r w:rsidR="009106EF" w:rsidRPr="00DE7C15">
        <w:t> %</w:t>
      </w:r>
      <w:r w:rsidRPr="00DE7C15">
        <w:t xml:space="preserve"> (</w:t>
      </w:r>
      <w:r w:rsidRPr="00B9592E">
        <w:t>50</w:t>
      </w:r>
      <w:r w:rsidRPr="00DE7C15">
        <w:t xml:space="preserve"> de </w:t>
      </w:r>
      <w:r w:rsidRPr="00B9592E">
        <w:t>78</w:t>
      </w:r>
      <w:r w:rsidRPr="00DE7C15">
        <w:t xml:space="preserve">), instituciones públicas de investigación. El mayor aumento en el número de planes se produjo en </w:t>
      </w:r>
      <w:r w:rsidRPr="00B9592E">
        <w:t>2022</w:t>
      </w:r>
      <w:r w:rsidRPr="00DE7C15">
        <w:t xml:space="preserve">: mientras que en </w:t>
      </w:r>
      <w:r w:rsidRPr="00B9592E">
        <w:t>2011</w:t>
      </w:r>
      <w:r w:rsidRPr="00DE7C15">
        <w:t xml:space="preserve"> tenían un plan de igualdad </w:t>
      </w:r>
      <w:r w:rsidRPr="00B9592E">
        <w:t>11</w:t>
      </w:r>
      <w:r w:rsidRPr="00DE7C15">
        <w:t xml:space="preserve"> instituciones, en </w:t>
      </w:r>
      <w:r w:rsidRPr="00B9592E">
        <w:t>2021</w:t>
      </w:r>
      <w:r w:rsidRPr="00DE7C15">
        <w:t xml:space="preserve"> lo tenían </w:t>
      </w:r>
      <w:r w:rsidRPr="00B9592E">
        <w:t>69</w:t>
      </w:r>
      <w:r w:rsidRPr="00DE7C15">
        <w:t xml:space="preserve">. La mayoría de los planes de igualdad vigentes o previstos para </w:t>
      </w:r>
      <w:r w:rsidRPr="00B9592E">
        <w:t>2022</w:t>
      </w:r>
      <w:r w:rsidRPr="00DE7C15">
        <w:t xml:space="preserve"> estuvieron además precedidos de una auditoría de género. Así, durante </w:t>
      </w:r>
      <w:r w:rsidRPr="00B9592E">
        <w:t>2021</w:t>
      </w:r>
      <w:r w:rsidRPr="00DE7C15">
        <w:t>, las universidades destinaron esfuerzos considerables a cumplir los requisitos europeos y mejorar la igualdad de género en sus entornos institucionales.</w:t>
      </w:r>
    </w:p>
    <w:p w14:paraId="29A69EA5" w14:textId="499105A4" w:rsidR="00CE28E1" w:rsidRPr="00DE7C15" w:rsidRDefault="00CE28E1" w:rsidP="006C1BAD">
      <w:pPr>
        <w:pStyle w:val="SingleTxt"/>
        <w:numPr>
          <w:ilvl w:val="0"/>
          <w:numId w:val="37"/>
        </w:numPr>
        <w:ind w:left="1267"/>
      </w:pPr>
      <w:r w:rsidRPr="00DE7C15">
        <w:t xml:space="preserve">La Política Nacional de Investigación, Desarrollo e Innovación de la República Checa </w:t>
      </w:r>
      <w:r w:rsidRPr="00B9592E">
        <w:t>2021</w:t>
      </w:r>
      <w:r w:rsidRPr="00DE7C15">
        <w:t xml:space="preserve">+ se aprobó en </w:t>
      </w:r>
      <w:r w:rsidRPr="00B9592E">
        <w:t>2020</w:t>
      </w:r>
      <w:r w:rsidRPr="00DE7C15">
        <w:t xml:space="preserve">. Es el primer documento estratégico en esta esfera que incluye medidas dirigidas a la igualdad de género (principalmente en materia de desarrollo de los recursos humanos y conciliación). Las medidas concretas para asegurar la igualdad de género en la investigación, el desarrollo y la innovación son las establecidas en la recomendación para que los proveedores de investigación, desarrollo e innovación aborden las condiciones de trabajo en la investigación. La Estrategia </w:t>
      </w:r>
      <w:r w:rsidRPr="00B9592E">
        <w:t>2021</w:t>
      </w:r>
      <w:r w:rsidRPr="00DE7C15">
        <w:t>+ también es un documento fundamental que establece varios objetivos y prioridades para la igualdad de género en la investigación. Según la evaluación anual, el capítulo de conocimientos es uno de los mejor aplicados, en parte también gracias a los proyectos de acción compartidos CZERA y STRATIN+, financiados por el Ministerio de Educación, Juventud y Deporte, en cuyo marco afronta la cuestión el Centro Nacional de Contacto.</w:t>
      </w:r>
    </w:p>
    <w:p w14:paraId="7820F73B" w14:textId="479B6208" w:rsidR="00CE28E1" w:rsidRPr="00DE7C15" w:rsidRDefault="00CE28E1" w:rsidP="006C1BAD">
      <w:pPr>
        <w:pStyle w:val="SingleTxt"/>
        <w:numPr>
          <w:ilvl w:val="0"/>
          <w:numId w:val="37"/>
        </w:numPr>
        <w:ind w:left="1267"/>
      </w:pPr>
      <w:r w:rsidRPr="00DE7C15">
        <w:t xml:space="preserve">El Gobierno aprobó y presentó a la Comisión Europea el Programa Operativo Jan Amos Komenský, que, al margen del presupuesto estatal, es una de las fuentes más importantes de financiación de políticas y medidas en educación, ciencia e investigación. Los objetivos principales del programa son fortalecer la igualdad de género en la educación y aprovechar mejor el potencial de las mujeres en la esfera de la investigación y el desarrollo. Otra fuente destacada de financiación para las </w:t>
      </w:r>
      <w:r w:rsidRPr="00DE7C15">
        <w:lastRenderedPageBreak/>
        <w:t>actividades en este ámbito será el Mecanismo de Recuperación y Resiliencia de la UE en el marco del Plan Nacional de Recuperación.</w:t>
      </w:r>
    </w:p>
    <w:p w14:paraId="4FCCD72D" w14:textId="5399B4F2" w:rsidR="00554041" w:rsidRPr="00DE7C15" w:rsidRDefault="00CE28E1" w:rsidP="006C1BAD">
      <w:pPr>
        <w:pStyle w:val="SingleTxt"/>
        <w:numPr>
          <w:ilvl w:val="0"/>
          <w:numId w:val="37"/>
        </w:numPr>
        <w:ind w:left="1267"/>
      </w:pPr>
      <w:r w:rsidRPr="00DE7C15">
        <w:t xml:space="preserve">En </w:t>
      </w:r>
      <w:r w:rsidRPr="00B9592E">
        <w:t>2021</w:t>
      </w:r>
      <w:r w:rsidRPr="00DE7C15">
        <w:t>, Chequia apoyó la Declaración de Liubliana sobre la igualdad de género en la investigación y la innovación, que se presentó durante la Presidencia eslovena del Consejo de la UE.</w:t>
      </w:r>
    </w:p>
    <w:p w14:paraId="1EFF42A0" w14:textId="5BE19A05" w:rsidR="00CE28E1" w:rsidRPr="00DE7C15" w:rsidRDefault="00CE28E1" w:rsidP="006C1BAD">
      <w:pPr>
        <w:pStyle w:val="SingleTxt"/>
        <w:numPr>
          <w:ilvl w:val="0"/>
          <w:numId w:val="37"/>
        </w:numPr>
        <w:ind w:left="1267"/>
      </w:pPr>
      <w:r w:rsidRPr="00DE7C15">
        <w:t xml:space="preserve">El Ministerio de Educación, Juventud y Deporte, en colaboración con el Centro Nacional de Contacto, concede desde </w:t>
      </w:r>
      <w:r w:rsidRPr="00B9592E">
        <w:t>2009</w:t>
      </w:r>
      <w:r w:rsidRPr="00DE7C15">
        <w:t xml:space="preserve"> a científicas el premio Milada Paulová por su contribución a la ciencia a lo largo de toda su vida. El premio tiene por objeto otorgar un reconocimiento público y económico a la contribución de mujeres eminentes e inspirar con ello a científicas en ciernes o estudiantes. Ya han competido por el premio más de cien personas.</w:t>
      </w:r>
    </w:p>
    <w:p w14:paraId="41ABB59D" w14:textId="54F49DE7" w:rsidR="00CE28E1" w:rsidRPr="00DE7C15" w:rsidRDefault="00CE28E1" w:rsidP="006C1BAD">
      <w:pPr>
        <w:pStyle w:val="SingleTxt"/>
        <w:numPr>
          <w:ilvl w:val="0"/>
          <w:numId w:val="37"/>
        </w:numPr>
        <w:ind w:left="1267"/>
      </w:pPr>
      <w:r w:rsidRPr="00DE7C15">
        <w:t xml:space="preserve">El Grupo de Trabajo sobre la Igualdad de Género se creó en el marco del Consejo de Investigación, Desarrollo e Innovación en </w:t>
      </w:r>
      <w:r w:rsidRPr="00B9592E">
        <w:t>2021</w:t>
      </w:r>
      <w:r w:rsidRPr="00DE7C15">
        <w:t xml:space="preserve"> para mejorar la igualdad de género en la ciencia y coordinar a los proveedores. La agenda del Grupo de Trabajo se amplió en </w:t>
      </w:r>
      <w:r w:rsidRPr="00B9592E">
        <w:t>2022</w:t>
      </w:r>
      <w:r w:rsidRPr="00DE7C15">
        <w:t xml:space="preserve"> para incluir temas relacionados con la situación de las nuevas científicas y las condiciones laborales en general.</w:t>
      </w:r>
    </w:p>
    <w:p w14:paraId="446EEC52" w14:textId="77777777" w:rsidR="009106EF" w:rsidRPr="00DE7C15" w:rsidRDefault="009106EF" w:rsidP="009106EF">
      <w:pPr>
        <w:pStyle w:val="SingleTxt"/>
        <w:spacing w:after="0" w:line="120" w:lineRule="exact"/>
        <w:rPr>
          <w:sz w:val="10"/>
        </w:rPr>
      </w:pPr>
    </w:p>
    <w:p w14:paraId="6E6CF14F" w14:textId="77777777" w:rsidR="009106EF" w:rsidRPr="00DE7C15" w:rsidRDefault="009106EF" w:rsidP="009106EF">
      <w:pPr>
        <w:pStyle w:val="SingleTxt"/>
        <w:spacing w:after="0" w:line="120" w:lineRule="exact"/>
        <w:rPr>
          <w:sz w:val="10"/>
        </w:rPr>
      </w:pPr>
    </w:p>
    <w:p w14:paraId="11729DA2"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11</w:t>
      </w:r>
    </w:p>
    <w:p w14:paraId="75161156" w14:textId="77777777" w:rsidR="009106EF" w:rsidRPr="00DE7C15" w:rsidRDefault="009106EF" w:rsidP="009106EF">
      <w:pPr>
        <w:pStyle w:val="SingleTxt"/>
        <w:spacing w:after="0" w:line="120" w:lineRule="exact"/>
        <w:rPr>
          <w:sz w:val="10"/>
        </w:rPr>
      </w:pPr>
    </w:p>
    <w:p w14:paraId="6AA40700" w14:textId="77777777" w:rsidR="009106EF" w:rsidRPr="00DE7C15" w:rsidRDefault="009106EF" w:rsidP="009106EF">
      <w:pPr>
        <w:pStyle w:val="SingleTxt"/>
        <w:spacing w:after="0" w:line="120" w:lineRule="exact"/>
        <w:rPr>
          <w:sz w:val="10"/>
        </w:rPr>
      </w:pPr>
    </w:p>
    <w:p w14:paraId="69326207"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Igualdad de género en el empleo</w:t>
      </w:r>
    </w:p>
    <w:p w14:paraId="05FC9499" w14:textId="31AD8775" w:rsidR="009106EF" w:rsidRPr="00DE7C15" w:rsidRDefault="009106EF" w:rsidP="009106EF">
      <w:pPr>
        <w:pStyle w:val="SingleTxt"/>
        <w:spacing w:after="0" w:line="120" w:lineRule="exact"/>
        <w:rPr>
          <w:sz w:val="10"/>
        </w:rPr>
      </w:pPr>
    </w:p>
    <w:p w14:paraId="587AEDA1" w14:textId="77777777" w:rsidR="009106EF" w:rsidRPr="00DE7C15" w:rsidRDefault="009106EF" w:rsidP="009106EF">
      <w:pPr>
        <w:pStyle w:val="SingleTxt"/>
        <w:spacing w:after="0" w:line="120" w:lineRule="exact"/>
        <w:rPr>
          <w:sz w:val="10"/>
        </w:rPr>
      </w:pPr>
    </w:p>
    <w:p w14:paraId="7E246786" w14:textId="67E8EE01" w:rsidR="00CE28E1" w:rsidRPr="00DE7C15" w:rsidRDefault="00CE28E1" w:rsidP="006C1BAD">
      <w:pPr>
        <w:pStyle w:val="SingleTxt"/>
        <w:numPr>
          <w:ilvl w:val="0"/>
          <w:numId w:val="37"/>
        </w:numPr>
        <w:ind w:left="1267"/>
      </w:pPr>
      <w:r w:rsidRPr="00DE7C15">
        <w:t>Las mujeres no necesitan permiso de su cónyuge o su pareja para elegir su profesión, ocupación o empleo.</w:t>
      </w:r>
    </w:p>
    <w:p w14:paraId="23A89D40" w14:textId="4ECD07B0" w:rsidR="00554041" w:rsidRPr="00DE7C15" w:rsidRDefault="00CE28E1" w:rsidP="006C1BAD">
      <w:pPr>
        <w:pStyle w:val="SingleTxt"/>
        <w:numPr>
          <w:ilvl w:val="0"/>
          <w:numId w:val="37"/>
        </w:numPr>
        <w:ind w:left="1267"/>
      </w:pPr>
      <w:r w:rsidRPr="00DE7C15">
        <w:t xml:space="preserve">Las mujeres pueden trabajar en todos los ámbitos laborales e industriales. La Ley núm. </w:t>
      </w:r>
      <w:r w:rsidRPr="00B9592E">
        <w:t>262</w:t>
      </w:r>
      <w:r w:rsidRPr="00DE7C15">
        <w:t>/</w:t>
      </w:r>
      <w:r w:rsidRPr="00B9592E">
        <w:t>2006</w:t>
      </w:r>
      <w:r w:rsidRPr="00DE7C15">
        <w:t xml:space="preserve"> (recop.), el Código del Trabajo, en su forma modificada (en lo sucesivo, </w:t>
      </w:r>
      <w:r w:rsidR="009106EF" w:rsidRPr="00DE7C15">
        <w:t>“</w:t>
      </w:r>
      <w:r w:rsidRPr="00DE7C15">
        <w:t>Código del Trabajo</w:t>
      </w:r>
      <w:r w:rsidR="009106EF" w:rsidRPr="00DE7C15">
        <w:t>”</w:t>
      </w:r>
      <w:r w:rsidRPr="00DE7C15">
        <w:t xml:space="preserve">), prohíbe dar empleo a mujeres en trabajos que pongan en peligro su maternidad. El Decreto núm. </w:t>
      </w:r>
      <w:r w:rsidRPr="00B9592E">
        <w:t>180</w:t>
      </w:r>
      <w:r w:rsidRPr="00DE7C15">
        <w:t>/</w:t>
      </w:r>
      <w:r w:rsidRPr="00B9592E">
        <w:t>2015</w:t>
      </w:r>
      <w:r w:rsidRPr="00DE7C15">
        <w:t xml:space="preserve"> (recop.), relativo a los Trabajos y Lugares de Trabajo Prohibidos, enumera los trabajos que no pueden desempeñar las trabajadoras embarazadas o en período de lactancia y las madres hasta el noveno mes cumplido después del parto.</w:t>
      </w:r>
    </w:p>
    <w:p w14:paraId="64A2EBEA" w14:textId="1F4FB31F" w:rsidR="00554041" w:rsidRPr="00DE7C15" w:rsidRDefault="00CE28E1" w:rsidP="006C1BAD">
      <w:pPr>
        <w:pStyle w:val="SingleTxt"/>
        <w:numPr>
          <w:ilvl w:val="0"/>
          <w:numId w:val="37"/>
        </w:numPr>
        <w:ind w:left="1267"/>
      </w:pPr>
      <w:r w:rsidRPr="00DE7C15">
        <w:t>El Código del Trabajo establece explícitamente que todos los empleados de un empleador tienen derecho a igual salario por trabajo igual o por trabajo de igual valor. El Código del Trabajo establece en detalle lo que se entiende por trabajo igual y por trabajo de igual valor. Asimismo, la Ley contra la Discriminación obliga a los empleadores a asegurar la igualdad de trato en materia salarial mediante la adopción de medidas que constituyen una condición previa para la protección efectiva contra la discriminación.</w:t>
      </w:r>
    </w:p>
    <w:p w14:paraId="40F3A2E9" w14:textId="3FFD12AA" w:rsidR="00CE28E1" w:rsidRPr="00DE7C15" w:rsidRDefault="00CE28E1" w:rsidP="006C1BAD">
      <w:pPr>
        <w:pStyle w:val="SingleTxt"/>
        <w:numPr>
          <w:ilvl w:val="0"/>
          <w:numId w:val="37"/>
        </w:numPr>
        <w:ind w:left="1267"/>
      </w:pPr>
      <w:r w:rsidRPr="00DE7C15">
        <w:t xml:space="preserve">A pesar de esa legislación, persiste la brecha salarial de género. En </w:t>
      </w:r>
      <w:r w:rsidRPr="00B9592E">
        <w:t>2020</w:t>
      </w:r>
      <w:r w:rsidRPr="00DE7C15">
        <w:t xml:space="preserve">, era del </w:t>
      </w:r>
      <w:r w:rsidRPr="00B9592E">
        <w:t>16</w:t>
      </w:r>
      <w:r w:rsidRPr="00DE7C15">
        <w:t>,</w:t>
      </w:r>
      <w:r w:rsidRPr="00B9592E">
        <w:t>4</w:t>
      </w:r>
      <w:r w:rsidR="009106EF" w:rsidRPr="00DE7C15">
        <w:t> %</w:t>
      </w:r>
      <w:r w:rsidRPr="00DE7C15">
        <w:t xml:space="preserve">. Chequia sigue encontrándose entre los países de la UE con la brecha salarial de género más alta; sin embargo, también está entre los países que más rápidamente la están cerrando. Un proyecto del Ministerio de Trabajo y Asuntos Sociales, </w:t>
      </w:r>
      <w:r w:rsidR="009106EF" w:rsidRPr="00DE7C15">
        <w:t>“</w:t>
      </w:r>
      <w:r w:rsidRPr="00DE7C15">
        <w:t xml:space="preserve">un </w:t>
      </w:r>
      <w:r w:rsidRPr="00B9592E">
        <w:t>22</w:t>
      </w:r>
      <w:r w:rsidR="009106EF" w:rsidRPr="00DE7C15">
        <w:t> %</w:t>
      </w:r>
      <w:r w:rsidRPr="00DE7C15">
        <w:t xml:space="preserve"> a la igualdad</w:t>
      </w:r>
      <w:r w:rsidR="009106EF" w:rsidRPr="00DE7C15">
        <w:t>”</w:t>
      </w:r>
      <w:r w:rsidRPr="00DE7C15">
        <w:t xml:space="preserve">, está siendo esencial en la lucha contra la brecha salarial de género. En </w:t>
      </w:r>
      <w:r w:rsidRPr="00B9592E">
        <w:t>2022</w:t>
      </w:r>
      <w:r w:rsidRPr="00DE7C15">
        <w:t xml:space="preserve"> se aprobó el proyecto de continuación </w:t>
      </w:r>
      <w:r w:rsidR="009106EF" w:rsidRPr="00DE7C15">
        <w:t>“</w:t>
      </w:r>
      <w:r w:rsidRPr="00DE7C15">
        <w:t>Igual salario</w:t>
      </w:r>
      <w:r w:rsidR="009106EF" w:rsidRPr="00DE7C15">
        <w:t>”</w:t>
      </w:r>
      <w:r w:rsidRPr="00DE7C15">
        <w:t>. El proyecto, que se sigue financiando a través del programa operativo de empleo de la UE, se centra, entre otras cosas, en aumentar la capacidad de la Oficina Estatal de Inspección de Trabajo para vigilar que se respete el derecho a igual salario por trabajo igual o trabajo de igual valor</w:t>
      </w:r>
      <w:r w:rsidRPr="00B9592E">
        <w:rPr>
          <w:vertAlign w:val="superscript"/>
        </w:rPr>
        <w:footnoteReference w:id="13"/>
      </w:r>
      <w:r w:rsidRPr="00DE7C15">
        <w:t>.</w:t>
      </w:r>
      <w:r w:rsidR="00554041" w:rsidRPr="00DE7C15">
        <w:t xml:space="preserve"> </w:t>
      </w:r>
      <w:r w:rsidRPr="00DE7C15">
        <w:t xml:space="preserve">En el marco del proyecto se elaboraron estudios y análisis sociológicos, económicos y jurídicos centrados, en particular, en la descomposición de la brecha salarial de género, es decir, en el perfeccionamiento del </w:t>
      </w:r>
      <w:r w:rsidRPr="00DE7C15">
        <w:lastRenderedPageBreak/>
        <w:t>cálculo de las desigualdades salariales entre hombres y mujeres y la determinación de sus causas. También se recopilaron buenas prácticas extranjeras, prestando especial atención a determinar políticas y medidas legislativas y no legislativas que fomenten la transparencia a fin de establecer procesos que conduzcan a la reducción de la brecha salarial de género en Chequia. Como parte del proyecto, se ha establecido un centro de asesoramiento jurídico gratuito, se ha puesto a disposición del público una calculadora salarial en línea en el sitio web del proyecto, se ha transferido y sometido a una prueba piloto en el entorno checo la herramienta suiza de análisis de la igualdad salarial para empleadores Logib, y se han elaborado metodologías prácticas para el trabajo igual y el trabajo de igual valor. También se organizó un viaje de estudios a Islandia, donde representantes del Ministerio de Trabajo y Asuntos Sociales, la Oficina del Gobierno, la Confederación Checo-Morava de Sindicatos y el sector sin fines de lucro se familiarizaron con la norma islandesa de igualdad salarial ISO</w:t>
      </w:r>
      <w:r w:rsidR="005B6071">
        <w:t> </w:t>
      </w:r>
      <w:r w:rsidRPr="00B9592E">
        <w:t>85</w:t>
      </w:r>
      <w:r w:rsidRPr="00DE7C15">
        <w:t>/</w:t>
      </w:r>
      <w:r w:rsidRPr="00B9592E">
        <w:t>2012</w:t>
      </w:r>
      <w:r w:rsidRPr="00DE7C15">
        <w:t xml:space="preserve">. El Plan de Acción para la Igualdad Salarial de Mujeres y Hombres para </w:t>
      </w:r>
      <w:r w:rsidRPr="00B9592E">
        <w:t>2023</w:t>
      </w:r>
      <w:r w:rsidRPr="00DE7C15">
        <w:t>-</w:t>
      </w:r>
      <w:r w:rsidRPr="00B9592E">
        <w:t>2026</w:t>
      </w:r>
      <w:r w:rsidRPr="00DE7C15">
        <w:t xml:space="preserve"> se aprobó mediante la resolución del Gobierno núm. </w:t>
      </w:r>
      <w:r w:rsidRPr="00B9592E">
        <w:t>1097</w:t>
      </w:r>
      <w:r w:rsidRPr="00DE7C15">
        <w:t xml:space="preserve"> de fecha </w:t>
      </w:r>
      <w:r w:rsidRPr="00B9592E">
        <w:t>21</w:t>
      </w:r>
      <w:r w:rsidRPr="00DE7C15">
        <w:t xml:space="preserve"> de diciembre de </w:t>
      </w:r>
      <w:r w:rsidRPr="00B9592E">
        <w:t>2022</w:t>
      </w:r>
      <w:r w:rsidRPr="00DE7C15">
        <w:t>. Las medidas del Plan de Acción se centran, por ejemplo, en el fomento de la transparencia salarial, las inspecciones de igualdad salarial, la conciliación de la vida laboral y personal, y la educación y sensibilización.</w:t>
      </w:r>
    </w:p>
    <w:p w14:paraId="5DBD9770" w14:textId="512A5E7B" w:rsidR="00CE28E1" w:rsidRPr="00DE7C15" w:rsidRDefault="00CE28E1" w:rsidP="006C1BAD">
      <w:pPr>
        <w:pStyle w:val="SingleTxt"/>
        <w:numPr>
          <w:ilvl w:val="0"/>
          <w:numId w:val="37"/>
        </w:numPr>
        <w:ind w:left="1267"/>
      </w:pPr>
      <w:r w:rsidRPr="00DE7C15">
        <w:t xml:space="preserve">También se han incluido medidas dirigidas a eliminar la brecha salarial de género en la Estrategia </w:t>
      </w:r>
      <w:r w:rsidRPr="00B9592E">
        <w:t>2021</w:t>
      </w:r>
      <w:r w:rsidRPr="00DE7C15">
        <w:t>+, en el objetivo estratégico de reducir la brecha salarial de género del capítulo de empleo y cuidados. Las medidas están dirigidas, entre otras cosas, a fomentar la transparencia salarial, realizar inspecciones de igualdad salarial, hacer un seguimiento de los datos estadísticos e introducir cambios legislativos.</w:t>
      </w:r>
    </w:p>
    <w:p w14:paraId="4D6798E0" w14:textId="063DC750" w:rsidR="00CE28E1" w:rsidRPr="00DE7C15" w:rsidRDefault="00CE28E1" w:rsidP="006C1BAD">
      <w:pPr>
        <w:pStyle w:val="SingleTxt"/>
        <w:numPr>
          <w:ilvl w:val="0"/>
          <w:numId w:val="37"/>
        </w:numPr>
        <w:ind w:left="1267"/>
      </w:pPr>
      <w:r w:rsidRPr="00DE7C15">
        <w:t xml:space="preserve">La Directiva </w:t>
      </w:r>
      <w:r w:rsidRPr="00B9592E">
        <w:t>2023</w:t>
      </w:r>
      <w:r w:rsidRPr="00DE7C15">
        <w:t>/</w:t>
      </w:r>
      <w:r w:rsidRPr="00B9592E">
        <w:t>970</w:t>
      </w:r>
      <w:r w:rsidRPr="00DE7C15">
        <w:t xml:space="preserve"> del Parlamento Europeo y del Consejo de </w:t>
      </w:r>
      <w:r w:rsidRPr="00B9592E">
        <w:t>10</w:t>
      </w:r>
      <w:r w:rsidRPr="00DE7C15">
        <w:t xml:space="preserve"> de mayo de </w:t>
      </w:r>
      <w:r w:rsidRPr="00B9592E">
        <w:t>2023</w:t>
      </w:r>
      <w:r w:rsidRPr="00DE7C15">
        <w:t xml:space="preserve"> por la que se refuerza la aplicación del principio de igualdad de retribución entre hombres y mujeres por un mismo trabajo o un trabajo de igual valor a través de medidas de transparencia retributiva y de mecanismos para su cumplimiento también repercutirá en la transparencia salarial. La Directiva tiene por objeto poner fin al persistente incumplimiento del derecho a la igualdad de retribución mediante la introducción de normas de transparencia salarial que refuercen la posición de los trabajadores en el ejercicio de su derecho a la igualdad de retribución.</w:t>
      </w:r>
    </w:p>
    <w:p w14:paraId="3944D54C" w14:textId="59E20E12" w:rsidR="00554041" w:rsidRPr="00DE7C15" w:rsidRDefault="00CE28E1" w:rsidP="006C1BAD">
      <w:pPr>
        <w:pStyle w:val="SingleTxt"/>
        <w:numPr>
          <w:ilvl w:val="0"/>
          <w:numId w:val="37"/>
        </w:numPr>
        <w:ind w:left="1267"/>
      </w:pPr>
      <w:r w:rsidRPr="00DE7C15">
        <w:t>La Ley contra la Discriminación prohíbe la discriminación por razón de sexo en el empleo y la ocupación. La discriminación por embarazo, maternidad o paternidad y por motivos de identidad de género también se considera discriminación por razón de sexo. Por tanto, los empleadores tienen prohibido discriminar por razón de sexo en el acceso al empleo y no pueden preguntar si una solicitante de empleo está embarazada o planea formar una familia. El Código del Trabajo establece explícitamente que, en conexión con las negociaciones previas al inicio de una relación laboral, el empleador solo puede pedir a la persona datos directamente relacionados con la celebración del contrato de trabajo en cuestión.</w:t>
      </w:r>
    </w:p>
    <w:p w14:paraId="08E0C0F7" w14:textId="3B080AEB" w:rsidR="00CE28E1" w:rsidRPr="00DE7C15" w:rsidRDefault="00CE28E1" w:rsidP="006C1BAD">
      <w:pPr>
        <w:pStyle w:val="SingleTxt"/>
        <w:numPr>
          <w:ilvl w:val="0"/>
          <w:numId w:val="37"/>
        </w:numPr>
        <w:ind w:left="1267"/>
      </w:pPr>
      <w:r w:rsidRPr="00DE7C15">
        <w:t xml:space="preserve">Debido al cuidado de los hijos, las mujeres tienen menos años de cotización y pensiones más bajas que los hombres. Por ello, en </w:t>
      </w:r>
      <w:r w:rsidRPr="00B9592E">
        <w:t>2018</w:t>
      </w:r>
      <w:r w:rsidRPr="00DE7C15">
        <w:t xml:space="preserve"> se aprobó una modificación de la Ley núm. </w:t>
      </w:r>
      <w:r w:rsidRPr="00B9592E">
        <w:t>155</w:t>
      </w:r>
      <w:r w:rsidRPr="00DE7C15">
        <w:t>/</w:t>
      </w:r>
      <w:r w:rsidRPr="00B9592E">
        <w:t>1995</w:t>
      </w:r>
      <w:r w:rsidRPr="00DE7C15">
        <w:t xml:space="preserve"> (recop.) de Seguro de Pensiones, que asegura una revalorización más rápida de las pensiones bajas. La pensión básica asciende actualmente al </w:t>
      </w:r>
      <w:r w:rsidRPr="00B9592E">
        <w:t>10</w:t>
      </w:r>
      <w:r w:rsidR="009106EF" w:rsidRPr="00DE7C15">
        <w:t> %</w:t>
      </w:r>
      <w:r w:rsidRPr="00DE7C15">
        <w:t xml:space="preserve"> del salario medio, y no al </w:t>
      </w:r>
      <w:r w:rsidRPr="00B9592E">
        <w:t>9</w:t>
      </w:r>
      <w:r w:rsidR="009106EF" w:rsidRPr="00DE7C15">
        <w:t> %</w:t>
      </w:r>
      <w:r w:rsidRPr="00DE7C15">
        <w:t xml:space="preserve"> previo a la modificación. La Ley núm. </w:t>
      </w:r>
      <w:r w:rsidRPr="00B9592E">
        <w:t>323</w:t>
      </w:r>
      <w:r w:rsidRPr="00DE7C15">
        <w:t>/</w:t>
      </w:r>
      <w:r w:rsidRPr="00B9592E">
        <w:t>2021</w:t>
      </w:r>
      <w:r w:rsidRPr="00DE7C15">
        <w:t xml:space="preserve"> (recop.) de modificación de la Ley núm. </w:t>
      </w:r>
      <w:r w:rsidRPr="00B9592E">
        <w:t>155</w:t>
      </w:r>
      <w:r w:rsidRPr="00DE7C15">
        <w:t>/</w:t>
      </w:r>
      <w:r w:rsidRPr="00B9592E">
        <w:t>1995</w:t>
      </w:r>
      <w:r w:rsidRPr="00DE7C15">
        <w:t xml:space="preserve"> (recop.) de Seguro de Pensiones, en su forma modificada, y la Ley núm. </w:t>
      </w:r>
      <w:r w:rsidRPr="00B9592E">
        <w:t>582</w:t>
      </w:r>
      <w:r w:rsidRPr="00DE7C15">
        <w:t>/</w:t>
      </w:r>
      <w:r w:rsidRPr="00B9592E">
        <w:t>1991</w:t>
      </w:r>
      <w:r w:rsidRPr="00DE7C15">
        <w:t xml:space="preserve"> (recop.) de Organización y Aplicación de la Seguridad Social, en su forma modificada, entraron en vigor en enero de </w:t>
      </w:r>
      <w:r w:rsidRPr="00B9592E">
        <w:t>2023</w:t>
      </w:r>
      <w:r w:rsidRPr="00DE7C15">
        <w:t xml:space="preserve">. La modificación aumentó la pensión de vejez en </w:t>
      </w:r>
      <w:r w:rsidRPr="00B9592E">
        <w:t>500</w:t>
      </w:r>
      <w:r w:rsidRPr="00DE7C15">
        <w:t xml:space="preserve"> coronas checas al mes por hijo criado. La Ley tiene por objeto reducir la brecha de género en las pensiones que se produce debido al cuidado de los hijos, una brecha que todavía persiste en Chequia. Las mujeres figuran con mayor frecuencia en los grupos </w:t>
      </w:r>
      <w:r w:rsidRPr="00DE7C15">
        <w:lastRenderedPageBreak/>
        <w:t xml:space="preserve">de ingresos más bajos de las pensiones de vejez, y existe una diferencia significativa en las pensiones de vejez de mujeres y de hombres en los grupos de ingresos más altos (por encima de </w:t>
      </w:r>
      <w:r w:rsidRPr="00B9592E">
        <w:t>15</w:t>
      </w:r>
      <w:r w:rsidRPr="00DE7C15">
        <w:t>.</w:t>
      </w:r>
      <w:r w:rsidRPr="00B9592E">
        <w:t>000</w:t>
      </w:r>
      <w:r w:rsidRPr="00DE7C15">
        <w:t xml:space="preserve"> coronas checas al mes), en detrimento de las mujeres. En </w:t>
      </w:r>
      <w:r w:rsidRPr="00B9592E">
        <w:t>2021</w:t>
      </w:r>
      <w:r w:rsidRPr="00DE7C15">
        <w:t xml:space="preserve">, la brecha de género en las pensiones era del </w:t>
      </w:r>
      <w:r w:rsidRPr="00B9592E">
        <w:t>16</w:t>
      </w:r>
      <w:r w:rsidRPr="00DE7C15">
        <w:t>,</w:t>
      </w:r>
      <w:r w:rsidRPr="00B9592E">
        <w:t>9</w:t>
      </w:r>
      <w:r w:rsidR="009106EF" w:rsidRPr="00DE7C15">
        <w:t> %</w:t>
      </w:r>
      <w:r w:rsidRPr="00DE7C15">
        <w:t>.</w:t>
      </w:r>
    </w:p>
    <w:p w14:paraId="3157813F" w14:textId="7BAF0331" w:rsidR="00CE28E1" w:rsidRPr="00DE7C15" w:rsidRDefault="00CE28E1" w:rsidP="006C1BAD">
      <w:pPr>
        <w:pStyle w:val="SingleTxt"/>
        <w:numPr>
          <w:ilvl w:val="0"/>
          <w:numId w:val="37"/>
        </w:numPr>
        <w:ind w:left="1267"/>
      </w:pPr>
      <w:r w:rsidRPr="00DE7C15">
        <w:t>El teletrabajo es una importante herramienta de conciliación de la vida laboral y familiar. El Código del Trabajo permite utilizarlo, y su uso aumentó considerablemente durante la pandemia de COVID-</w:t>
      </w:r>
      <w:r w:rsidRPr="00B9592E">
        <w:t>19</w:t>
      </w:r>
      <w:r w:rsidRPr="00DE7C15">
        <w:t xml:space="preserve">. En relación con el teletrabajo, en </w:t>
      </w:r>
      <w:r w:rsidRPr="00B9592E">
        <w:t>2022</w:t>
      </w:r>
      <w:r w:rsidRPr="00DE7C15">
        <w:t xml:space="preserve"> se sometió al procedimiento de comentarios interministeriales un proyecto de ley de modificación del Código del Trabajo. El proyecto de modificación regula las condiciones generales para organizar el teletrabajo y aborda cuestiones relacionadas, por ejemplo, con el reembolso de los costos del teletrabajo y la seguridad en el trabajo. Con arreglo a la declaración programática del Gobierno, también se promueven las modalidades de trabajo flexibles y la conciliación de la vida profesional y personal.</w:t>
      </w:r>
    </w:p>
    <w:p w14:paraId="05062C9A" w14:textId="3D1BE899" w:rsidR="00CE28E1" w:rsidRPr="00DE7C15" w:rsidRDefault="00CE28E1" w:rsidP="006C1BAD">
      <w:pPr>
        <w:pStyle w:val="SingleTxt"/>
        <w:numPr>
          <w:ilvl w:val="0"/>
          <w:numId w:val="37"/>
        </w:numPr>
        <w:ind w:left="1267"/>
      </w:pPr>
      <w:r w:rsidRPr="00DE7C15">
        <w:t xml:space="preserve">El </w:t>
      </w:r>
      <w:r w:rsidRPr="00B9592E">
        <w:t>1</w:t>
      </w:r>
      <w:r w:rsidRPr="00DE7C15">
        <w:t xml:space="preserve"> de enero de </w:t>
      </w:r>
      <w:r w:rsidRPr="00B9592E">
        <w:t>2021</w:t>
      </w:r>
      <w:r w:rsidRPr="00DE7C15">
        <w:t xml:space="preserve"> entró en vigor una modificación del Código del Trabajo que introduce la institución de un lugar de trabajo compartido en las disposiciones del artículo </w:t>
      </w:r>
      <w:r w:rsidRPr="00B9592E">
        <w:t>317</w:t>
      </w:r>
      <w:r w:rsidRPr="00DE7C15">
        <w:t xml:space="preserve">a. En </w:t>
      </w:r>
      <w:r w:rsidRPr="00B9592E">
        <w:t>2023</w:t>
      </w:r>
      <w:r w:rsidRPr="00DE7C15">
        <w:t xml:space="preserve"> entrarán en vigor la Ley núm. </w:t>
      </w:r>
      <w:r w:rsidRPr="00B9592E">
        <w:t>216</w:t>
      </w:r>
      <w:r w:rsidRPr="00DE7C15">
        <w:t>/</w:t>
      </w:r>
      <w:r w:rsidRPr="00B9592E">
        <w:t>2022</w:t>
      </w:r>
      <w:r w:rsidRPr="00DE7C15">
        <w:t xml:space="preserve"> (recop.) de modificación de la Ley núm. </w:t>
      </w:r>
      <w:r w:rsidRPr="00B9592E">
        <w:t>589</w:t>
      </w:r>
      <w:r w:rsidRPr="00DE7C15">
        <w:t>/</w:t>
      </w:r>
      <w:r w:rsidRPr="00B9592E">
        <w:t>1992</w:t>
      </w:r>
      <w:r w:rsidRPr="00DE7C15">
        <w:t xml:space="preserve"> (recop.) de Cotizaciones a la Seguridad Social y Cotizaciones a la Política de Empleo del Estado, en su forma modificada, y otras leyes conexas. El objetivo de la modificación era promover la introducción del trabajo a tiempo parcial. Los empleadores que contraten a personas desfavorecidas en el mercado laboral (mayores de </w:t>
      </w:r>
      <w:r w:rsidRPr="00B9592E">
        <w:t>55</w:t>
      </w:r>
      <w:r w:rsidRPr="00DE7C15">
        <w:t xml:space="preserve"> años, progenitores y cuidadores, estudiantes, o personas con discapacidad) con un horario laboral o una carga de trabajo reducidos obtendrán un descuento en las cotizaciones que será de un </w:t>
      </w:r>
      <w:r w:rsidRPr="00B9592E">
        <w:t>5</w:t>
      </w:r>
      <w:r w:rsidR="009106EF" w:rsidRPr="00DE7C15">
        <w:t> %</w:t>
      </w:r>
      <w:r w:rsidRPr="00DE7C15">
        <w:t xml:space="preserve"> por mes natural del total de las bases de cotización de los trabajadores a los que se aplique el descuento. La modificación pretende dar respuesta al reducido porcentaje de ofertas de empleo a tiempo parcial y fomentar su uso, en particular, para ayudar a los progenitores con hijos pequeños a reincorporarse más rápidamente al mercado laboral.</w:t>
      </w:r>
    </w:p>
    <w:p w14:paraId="58E9B3D6" w14:textId="19E9DD6C" w:rsidR="00CE28E1" w:rsidRPr="00DE7C15" w:rsidRDefault="00CE28E1" w:rsidP="006C1BAD">
      <w:pPr>
        <w:pStyle w:val="SingleTxt"/>
        <w:numPr>
          <w:ilvl w:val="0"/>
          <w:numId w:val="37"/>
        </w:numPr>
        <w:ind w:left="1267"/>
      </w:pPr>
      <w:r w:rsidRPr="00DE7C15">
        <w:t xml:space="preserve">En octubre de </w:t>
      </w:r>
      <w:r w:rsidRPr="00B9592E">
        <w:t>2021</w:t>
      </w:r>
      <w:r w:rsidRPr="00DE7C15">
        <w:t xml:space="preserve"> se aprobó una modificación de la Ley de Guardería encaminada a asegurar unos servicios de calidad, accesibles y modernos para los más pequeños, desde los </w:t>
      </w:r>
      <w:r w:rsidRPr="00B9592E">
        <w:t>6</w:t>
      </w:r>
      <w:r w:rsidRPr="00DE7C15">
        <w:t xml:space="preserve"> meses hasta la edad de escolarización obligatoria, mediante una financiación estatal estable. También se aprobó un nuevo decreto de aplicación de determinadas disposiciones de la Ley, encaminadas a establecer los requisitos aplicables a las instalaciones y el funcionamiento de las guarderías de hasta </w:t>
      </w:r>
      <w:r w:rsidRPr="00B9592E">
        <w:t>12</w:t>
      </w:r>
      <w:r w:rsidRPr="00DE7C15">
        <w:t xml:space="preserve"> niños, así como las normas de calidad asistencial y nutricional para los niños menores de </w:t>
      </w:r>
      <w:r w:rsidRPr="00B9592E">
        <w:t>3</w:t>
      </w:r>
      <w:r w:rsidRPr="00DE7C15">
        <w:t xml:space="preserve"> años. Gracias a esos cambios, actualmente está teniendo lugar un proceso dinámico de desarrollo de un sistema integral y conectado de servicios preescolares de calidad en Chequia. Al </w:t>
      </w:r>
      <w:r w:rsidRPr="00B9592E">
        <w:t>17</w:t>
      </w:r>
      <w:r w:rsidRPr="00DE7C15">
        <w:t xml:space="preserve"> de abril de </w:t>
      </w:r>
      <w:r w:rsidRPr="00B9592E">
        <w:t>2023</w:t>
      </w:r>
      <w:r w:rsidRPr="00DE7C15">
        <w:t xml:space="preserve">, el Ministerio de Educación, Juventud y Deporte tenía registradas </w:t>
      </w:r>
      <w:r w:rsidRPr="00B9592E">
        <w:t>1</w:t>
      </w:r>
      <w:r w:rsidRPr="00DE7C15">
        <w:t>.</w:t>
      </w:r>
      <w:r w:rsidRPr="00B9592E">
        <w:t>510</w:t>
      </w:r>
      <w:r w:rsidRPr="00DE7C15">
        <w:t xml:space="preserve"> guarderías que sumaban en total </w:t>
      </w:r>
      <w:r w:rsidRPr="00B9592E">
        <w:t>20</w:t>
      </w:r>
      <w:r w:rsidRPr="00DE7C15">
        <w:t>.</w:t>
      </w:r>
      <w:r w:rsidRPr="00B9592E">
        <w:t>323</w:t>
      </w:r>
      <w:r w:rsidRPr="00DE7C15">
        <w:t xml:space="preserve"> plazas. Actualmente se está preparando una modificación de la Ley para definir lo que se conoce como guarderías de barrio. El Ministerio de Trabajo y Asuntos Sociales también supervisa continuamente la calidad y el desarrollo de las guarderías y, para ello, está preparando varios proyectos: la creación de un marco de seguimiento y evaluación sistemáticos y una estrategia de comunicación específica dirigida a los municipios como posibles fundadores.</w:t>
      </w:r>
    </w:p>
    <w:p w14:paraId="18A4F2CF" w14:textId="3B835E8B" w:rsidR="00CE28E1" w:rsidRPr="00DE7C15" w:rsidRDefault="00CE28E1" w:rsidP="006C1BAD">
      <w:pPr>
        <w:pStyle w:val="SingleTxt"/>
        <w:numPr>
          <w:ilvl w:val="0"/>
          <w:numId w:val="37"/>
        </w:numPr>
        <w:ind w:left="1267"/>
      </w:pPr>
      <w:r w:rsidRPr="00DE7C15">
        <w:t xml:space="preserve">Los niños mayores de tres años tienen derecho a una plaza en los centros de educación preescolar en virtud de la Ley de Educación. En </w:t>
      </w:r>
      <w:r w:rsidRPr="00B9592E">
        <w:t>2018</w:t>
      </w:r>
      <w:r w:rsidRPr="00DE7C15">
        <w:t xml:space="preserve"> se introdujo la prestación de cuidado posnatal por paternidad, que los padres pueden utilizar en el momento del nacimiento de su hijo. Esa prestación permite a los padres disfrutar de hasta siete días de licencia y de una prestación del seguro de enfermedad del </w:t>
      </w:r>
      <w:r w:rsidRPr="00B9592E">
        <w:t>70</w:t>
      </w:r>
      <w:r w:rsidR="009106EF" w:rsidRPr="00DE7C15">
        <w:t> %</w:t>
      </w:r>
      <w:r w:rsidRPr="00DE7C15">
        <w:t xml:space="preserve"> de la base diaria de cotización. En relación con la transposición de la Directiva (UE) </w:t>
      </w:r>
      <w:r w:rsidRPr="00B9592E">
        <w:t>2019</w:t>
      </w:r>
      <w:r w:rsidRPr="00DE7C15">
        <w:t>/</w:t>
      </w:r>
      <w:r w:rsidRPr="00B9592E">
        <w:t>1158</w:t>
      </w:r>
      <w:r w:rsidRPr="00DE7C15">
        <w:t xml:space="preserve"> del Parlamento Europeo y del Consejo de </w:t>
      </w:r>
      <w:r w:rsidRPr="00B9592E">
        <w:t>20</w:t>
      </w:r>
      <w:r w:rsidRPr="00DE7C15">
        <w:t xml:space="preserve"> de junio de </w:t>
      </w:r>
      <w:r w:rsidRPr="00B9592E">
        <w:t>2019</w:t>
      </w:r>
      <w:r w:rsidRPr="00DE7C15">
        <w:t xml:space="preserve"> relativa a la </w:t>
      </w:r>
      <w:r w:rsidRPr="00DE7C15">
        <w:lastRenderedPageBreak/>
        <w:t xml:space="preserve">conciliación de la vida familiar y la vida profesional de los progenitores y los cuidadores, y por la que se deroga la Directiva </w:t>
      </w:r>
      <w:r w:rsidRPr="00B9592E">
        <w:t>2010</w:t>
      </w:r>
      <w:r w:rsidRPr="00DE7C15">
        <w:t>/</w:t>
      </w:r>
      <w:r w:rsidRPr="00B9592E">
        <w:t>18</w:t>
      </w:r>
      <w:r w:rsidRPr="00DE7C15">
        <w:t xml:space="preserve">/UE del Consejo (en lo sucesivo </w:t>
      </w:r>
      <w:r w:rsidR="009106EF" w:rsidRPr="00DE7C15">
        <w:t>“</w:t>
      </w:r>
      <w:r w:rsidRPr="00DE7C15">
        <w:t>Directiva de conciliación</w:t>
      </w:r>
      <w:r w:rsidR="009106EF" w:rsidRPr="00DE7C15">
        <w:t>”</w:t>
      </w:r>
      <w:r w:rsidRPr="00DE7C15">
        <w:t xml:space="preserve">), se han introducido nuevas modificaciones en la prestación de cuidado posnatal por paternidad. Con efecto a partir del </w:t>
      </w:r>
      <w:r w:rsidRPr="00B9592E">
        <w:t>1</w:t>
      </w:r>
      <w:r w:rsidRPr="00DE7C15">
        <w:t xml:space="preserve"> de enero de </w:t>
      </w:r>
      <w:r w:rsidRPr="00B9592E">
        <w:t>2022</w:t>
      </w:r>
      <w:r w:rsidRPr="00DE7C15">
        <w:t>, la prestación se puede disfrutar durante dos semanas (</w:t>
      </w:r>
      <w:r w:rsidRPr="00B9592E">
        <w:t>14</w:t>
      </w:r>
      <w:r w:rsidRPr="00DE7C15">
        <w:t xml:space="preserve"> días naturales). Desde su introducción, aproximadamente el </w:t>
      </w:r>
      <w:r w:rsidRPr="00B9592E">
        <w:t>40</w:t>
      </w:r>
      <w:r w:rsidR="009106EF" w:rsidRPr="00DE7C15">
        <w:t> %</w:t>
      </w:r>
      <w:r w:rsidRPr="00DE7C15">
        <w:t xml:space="preserve"> de los padres la han utilizado.</w:t>
      </w:r>
    </w:p>
    <w:p w14:paraId="3E4F3E92" w14:textId="6B76565E" w:rsidR="00554041" w:rsidRPr="00DE7C15" w:rsidRDefault="00CE28E1" w:rsidP="006C1BAD">
      <w:pPr>
        <w:pStyle w:val="SingleTxt"/>
        <w:numPr>
          <w:ilvl w:val="0"/>
          <w:numId w:val="37"/>
        </w:numPr>
        <w:ind w:left="1267"/>
      </w:pPr>
      <w:r w:rsidRPr="00DE7C15">
        <w:t xml:space="preserve">En </w:t>
      </w:r>
      <w:r w:rsidRPr="00B9592E">
        <w:t>2019</w:t>
      </w:r>
      <w:r w:rsidRPr="00DE7C15">
        <w:t xml:space="preserve">, el Ómbudsman publicó la colección de dictámenes núm. </w:t>
      </w:r>
      <w:r w:rsidRPr="00B9592E">
        <w:t>20</w:t>
      </w:r>
      <w:r w:rsidRPr="00DE7C15">
        <w:t xml:space="preserve"> sobre discriminación</w:t>
      </w:r>
      <w:r w:rsidRPr="00B9592E">
        <w:rPr>
          <w:vertAlign w:val="superscript"/>
        </w:rPr>
        <w:footnoteReference w:id="14"/>
      </w:r>
      <w:r w:rsidRPr="00DE7C15">
        <w:t>.</w:t>
      </w:r>
      <w:r w:rsidR="00554041" w:rsidRPr="00DE7C15">
        <w:t xml:space="preserve"> </w:t>
      </w:r>
      <w:r w:rsidRPr="00DE7C15">
        <w:t xml:space="preserve">En </w:t>
      </w:r>
      <w:r w:rsidRPr="00B9592E">
        <w:t>2021</w:t>
      </w:r>
      <w:r w:rsidRPr="00DE7C15">
        <w:t>, puso de relieve la práctica discriminatoria de suprimir puestos fijos vacantes. Algunas oficinas suprimieron puestos de empleados que disfrutaban de una licencia de maternidad o paternidad como si estuvieran vacantes. El Ómbudsman también propuso medidas correctivas, como la revisión del reglamento de la función pública que establece las normas para presentar reestructuraciones, de forma que quede claramente establecido que, cuando se supriman puestos de trabajo en la función pública, queden excluidos aquellos que estén vacantes temporalmente por licencias de maternidad o paternidad, y que esos puestos, a los efectos de la supresión de puestos, no se consideren vacantes.</w:t>
      </w:r>
    </w:p>
    <w:p w14:paraId="4EB33A68" w14:textId="4770ADD3" w:rsidR="00554041" w:rsidRPr="00DE7C15" w:rsidRDefault="00CE28E1" w:rsidP="006C1BAD">
      <w:pPr>
        <w:pStyle w:val="SingleTxt"/>
        <w:numPr>
          <w:ilvl w:val="0"/>
          <w:numId w:val="37"/>
        </w:numPr>
        <w:ind w:left="1267"/>
      </w:pPr>
      <w:r w:rsidRPr="00DE7C15">
        <w:t>Los empleadores están obligados a velar por la igualdad de trato en materia de derecho al empleo. Esto significa que deben adoptar medidas en forma de requisitos previos para la protección efectiva contra la discriminación que puedan exigirse razonablemente con arreglo a las buenas costumbres, teniendo en cuenta las circunstancias y condiciones personales de la persona que tenga el deber de garantizar la igualdad de trato. La igualdad de trato también incluye garantizar la igualdad de oportunidades. La Ley contra la Discriminación establece explícitamente que no constituye discriminación la adopción de medidas destinadas a prevenir o compensar las desventajas resultantes de la pertenencia de una persona a un grupo definido por un motivo discriminatorio, incluido el sexo, y a garantizar la igualdad de trato y de oportunidades.</w:t>
      </w:r>
    </w:p>
    <w:p w14:paraId="259E511F" w14:textId="09F15907" w:rsidR="00CE28E1" w:rsidRPr="00DE7C15" w:rsidRDefault="00CE28E1" w:rsidP="006C1BAD">
      <w:pPr>
        <w:pStyle w:val="SingleTxt"/>
        <w:numPr>
          <w:ilvl w:val="0"/>
          <w:numId w:val="37"/>
        </w:numPr>
        <w:ind w:left="1267"/>
      </w:pPr>
      <w:r w:rsidRPr="00DE7C15">
        <w:t>El Gobierno no ha adoptado ninguna estrategia específica para garantizar la representación de mujeres en las cámaras profesionales y los sindicatos.</w:t>
      </w:r>
    </w:p>
    <w:p w14:paraId="4CE78E2B" w14:textId="77777777" w:rsidR="009106EF" w:rsidRPr="00DE7C15" w:rsidRDefault="009106EF" w:rsidP="009106EF">
      <w:pPr>
        <w:pStyle w:val="SingleTxt"/>
        <w:spacing w:after="0" w:line="120" w:lineRule="exact"/>
        <w:rPr>
          <w:bCs/>
          <w:sz w:val="10"/>
        </w:rPr>
      </w:pPr>
      <w:bookmarkStart w:id="16" w:name="_Toc397671634"/>
    </w:p>
    <w:p w14:paraId="6A45E97A" w14:textId="77777777" w:rsidR="009106EF" w:rsidRPr="00DE7C15" w:rsidRDefault="009106EF" w:rsidP="009106EF">
      <w:pPr>
        <w:pStyle w:val="SingleTxt"/>
        <w:spacing w:after="0" w:line="120" w:lineRule="exact"/>
        <w:rPr>
          <w:bCs/>
          <w:sz w:val="10"/>
        </w:rPr>
      </w:pPr>
    </w:p>
    <w:p w14:paraId="1E6C367A" w14:textId="77777777" w:rsidR="009106EF" w:rsidRPr="00DE7C15" w:rsidRDefault="009106EF"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r>
      <w:r w:rsidR="00CE28E1" w:rsidRPr="00B9592E">
        <w:t>Artículo 12</w:t>
      </w:r>
      <w:bookmarkEnd w:id="16"/>
    </w:p>
    <w:p w14:paraId="3872A782" w14:textId="77777777" w:rsidR="009106EF" w:rsidRPr="00DE7C15" w:rsidRDefault="009106EF" w:rsidP="009106EF">
      <w:pPr>
        <w:pStyle w:val="SingleTxt"/>
        <w:spacing w:after="0" w:line="120" w:lineRule="exact"/>
        <w:rPr>
          <w:sz w:val="10"/>
        </w:rPr>
      </w:pPr>
      <w:bookmarkStart w:id="17" w:name="_Toc397671635"/>
    </w:p>
    <w:p w14:paraId="2191011E" w14:textId="77777777" w:rsidR="009106EF" w:rsidRPr="00DE7C15" w:rsidRDefault="009106EF" w:rsidP="009106EF">
      <w:pPr>
        <w:pStyle w:val="SingleTxt"/>
        <w:spacing w:after="0" w:line="120" w:lineRule="exact"/>
        <w:rPr>
          <w:sz w:val="10"/>
        </w:rPr>
      </w:pPr>
    </w:p>
    <w:p w14:paraId="217FEB47"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Medidas para eliminar la discriminación en la atención de la salud</w:t>
      </w:r>
      <w:bookmarkEnd w:id="17"/>
    </w:p>
    <w:p w14:paraId="09522A92" w14:textId="405F4251" w:rsidR="009106EF" w:rsidRPr="00DE7C15" w:rsidRDefault="009106EF" w:rsidP="009106EF">
      <w:pPr>
        <w:pStyle w:val="SingleTxt"/>
        <w:spacing w:after="0" w:line="120" w:lineRule="exact"/>
        <w:rPr>
          <w:sz w:val="10"/>
        </w:rPr>
      </w:pPr>
    </w:p>
    <w:p w14:paraId="677B4B27" w14:textId="77777777" w:rsidR="009106EF" w:rsidRPr="00DE7C15" w:rsidRDefault="009106EF" w:rsidP="009106EF">
      <w:pPr>
        <w:pStyle w:val="SingleTxt"/>
        <w:spacing w:after="0" w:line="120" w:lineRule="exact"/>
        <w:rPr>
          <w:sz w:val="10"/>
        </w:rPr>
      </w:pPr>
    </w:p>
    <w:p w14:paraId="4DAF0942" w14:textId="5C44315D" w:rsidR="00CE28E1" w:rsidRPr="00DE7C15" w:rsidRDefault="00CE28E1" w:rsidP="006C1BAD">
      <w:pPr>
        <w:pStyle w:val="SingleTxt"/>
        <w:numPr>
          <w:ilvl w:val="0"/>
          <w:numId w:val="37"/>
        </w:numPr>
        <w:ind w:left="1267"/>
      </w:pPr>
      <w:r w:rsidRPr="00DE7C15">
        <w:t xml:space="preserve">Por término medio, las mujeres checas viven más que los hombres. En </w:t>
      </w:r>
      <w:r w:rsidRPr="00B9592E">
        <w:t>2020</w:t>
      </w:r>
      <w:r w:rsidRPr="00DE7C15">
        <w:t xml:space="preserve">, la esperanza de vida al nacer era de </w:t>
      </w:r>
      <w:r w:rsidRPr="00B9592E">
        <w:t>75</w:t>
      </w:r>
      <w:r w:rsidRPr="00DE7C15">
        <w:t>,</w:t>
      </w:r>
      <w:r w:rsidRPr="00B9592E">
        <w:t>3</w:t>
      </w:r>
      <w:r w:rsidRPr="00DE7C15">
        <w:t xml:space="preserve"> años en el caso de los hombres y de </w:t>
      </w:r>
      <w:r w:rsidRPr="00B9592E">
        <w:t>81</w:t>
      </w:r>
      <w:r w:rsidRPr="00DE7C15">
        <w:t>,</w:t>
      </w:r>
      <w:r w:rsidRPr="00B9592E">
        <w:t>4</w:t>
      </w:r>
      <w:r w:rsidRPr="00DE7C15">
        <w:t xml:space="preserve"> años en el de las mujeres.</w:t>
      </w:r>
    </w:p>
    <w:p w14:paraId="1285AAFC" w14:textId="55DB15C6" w:rsidR="00554041" w:rsidRPr="00DE7C15" w:rsidRDefault="00CE28E1" w:rsidP="006C1BAD">
      <w:pPr>
        <w:pStyle w:val="SingleTxt"/>
        <w:numPr>
          <w:ilvl w:val="0"/>
          <w:numId w:val="37"/>
        </w:numPr>
        <w:ind w:left="1267"/>
      </w:pPr>
      <w:r w:rsidRPr="00DE7C15">
        <w:t xml:space="preserve">La mayor esperanza de vida de las mujeres checas también se refleja en su mayor representación en el grupo de edad de mayores de </w:t>
      </w:r>
      <w:r w:rsidRPr="00B9592E">
        <w:t>65</w:t>
      </w:r>
      <w:r w:rsidRPr="00DE7C15">
        <w:t xml:space="preserve"> años: en </w:t>
      </w:r>
      <w:r w:rsidRPr="00B9592E">
        <w:t>2020</w:t>
      </w:r>
      <w:r w:rsidRPr="00DE7C15">
        <w:t xml:space="preserve">, había </w:t>
      </w:r>
      <w:r w:rsidRPr="00B9592E">
        <w:t>1</w:t>
      </w:r>
      <w:r w:rsidRPr="00DE7C15">
        <w:t>.</w:t>
      </w:r>
      <w:r w:rsidRPr="00B9592E">
        <w:t>248</w:t>
      </w:r>
      <w:r w:rsidRPr="00DE7C15">
        <w:t>.</w:t>
      </w:r>
      <w:r w:rsidRPr="00B9592E">
        <w:t>871</w:t>
      </w:r>
      <w:r w:rsidRPr="00DE7C15">
        <w:t xml:space="preserve"> mujeres (</w:t>
      </w:r>
      <w:r w:rsidRPr="00B9592E">
        <w:t>23</w:t>
      </w:r>
      <w:r w:rsidRPr="00DE7C15">
        <w:t>,</w:t>
      </w:r>
      <w:r w:rsidRPr="00B9592E">
        <w:t>0</w:t>
      </w:r>
      <w:r w:rsidR="009106EF" w:rsidRPr="00DE7C15">
        <w:t> %</w:t>
      </w:r>
      <w:r w:rsidRPr="00DE7C15">
        <w:t xml:space="preserve">) y </w:t>
      </w:r>
      <w:r w:rsidRPr="00B9592E">
        <w:t>909</w:t>
      </w:r>
      <w:r w:rsidRPr="00DE7C15">
        <w:t>.</w:t>
      </w:r>
      <w:r w:rsidRPr="00B9592E">
        <w:t>451</w:t>
      </w:r>
      <w:r w:rsidRPr="00DE7C15">
        <w:t xml:space="preserve"> (</w:t>
      </w:r>
      <w:r w:rsidRPr="00B9592E">
        <w:t>17</w:t>
      </w:r>
      <w:r w:rsidRPr="00DE7C15">
        <w:t>,</w:t>
      </w:r>
      <w:r w:rsidRPr="00B9592E">
        <w:t>2</w:t>
      </w:r>
      <w:r w:rsidR="009106EF" w:rsidRPr="00DE7C15">
        <w:t> %</w:t>
      </w:r>
      <w:r w:rsidRPr="00DE7C15">
        <w:t>) hombres en ese grupo.</w:t>
      </w:r>
    </w:p>
    <w:p w14:paraId="4458BD86" w14:textId="008494E1" w:rsidR="00CE28E1" w:rsidRPr="00DE7C15" w:rsidRDefault="00CE28E1" w:rsidP="006C1BAD">
      <w:pPr>
        <w:pStyle w:val="SingleTxt"/>
        <w:numPr>
          <w:ilvl w:val="0"/>
          <w:numId w:val="37"/>
        </w:numPr>
        <w:ind w:left="1267"/>
      </w:pPr>
      <w:r w:rsidRPr="00DE7C15">
        <w:t xml:space="preserve">Un tema que se está abordando en Chequia respecto de la salud de las mujeres es la atención relacionada con el parto. En </w:t>
      </w:r>
      <w:r w:rsidRPr="00B9592E">
        <w:t>2015</w:t>
      </w:r>
      <w:r w:rsidRPr="00DE7C15">
        <w:t xml:space="preserve"> se creó en el Consejo el Grupo de Trabajo sobre Obstetricia, integrado por un equipo multidisciplinario de personal médico, personal de partería y expertos en derecho sanitario, estadística, sociología y economía. En </w:t>
      </w:r>
      <w:r w:rsidRPr="00B9592E">
        <w:t>2021</w:t>
      </w:r>
      <w:r w:rsidRPr="00DE7C15">
        <w:t xml:space="preserve"> se creó la Comisión de Obstetricia en el Ministerio de Salud, que es un órgano consultivo, catalizador y coordinador del Ministerio de Salud para las cuestiones relacionadas con la obstetricia. Desde su creación, su prioridad ha sido </w:t>
      </w:r>
      <w:r w:rsidRPr="00DE7C15">
        <w:lastRenderedPageBreak/>
        <w:t xml:space="preserve">desarrollar el concepto de atención a la madre y al niño durante el embarazo, el parto y el posparto, que se deriva de la Estrategia </w:t>
      </w:r>
      <w:r w:rsidRPr="00B9592E">
        <w:t>2021</w:t>
      </w:r>
      <w:r w:rsidRPr="00DE7C15">
        <w:t>+.</w:t>
      </w:r>
    </w:p>
    <w:p w14:paraId="1B6BA4DC" w14:textId="49AAA173" w:rsidR="00CE28E1" w:rsidRPr="00DE7C15" w:rsidRDefault="00CE28E1" w:rsidP="006C1BAD">
      <w:pPr>
        <w:pStyle w:val="SingleTxt"/>
        <w:numPr>
          <w:ilvl w:val="0"/>
          <w:numId w:val="37"/>
        </w:numPr>
        <w:ind w:left="1267"/>
      </w:pPr>
      <w:r w:rsidRPr="00DE7C15">
        <w:t xml:space="preserve">Chequia tiene una larga tradición de atención preventiva de la salud para las mujeres, las embarazadas y las futuras madres. El seguro de enfermedad cubre las revisiones preventivas anuales de detección del cáncer de cuello uterino a partir de los </w:t>
      </w:r>
      <w:r w:rsidRPr="00B9592E">
        <w:t>15</w:t>
      </w:r>
      <w:r w:rsidRPr="00DE7C15">
        <w:t xml:space="preserve"> años. Desde </w:t>
      </w:r>
      <w:r w:rsidRPr="00B9592E">
        <w:t>2012</w:t>
      </w:r>
      <w:r w:rsidRPr="00DE7C15">
        <w:t xml:space="preserve">, la vacunación contra el papilomavirus humano a los </w:t>
      </w:r>
      <w:r w:rsidRPr="00B9592E">
        <w:t>13</w:t>
      </w:r>
      <w:r w:rsidRPr="00DE7C15">
        <w:t xml:space="preserve"> años está totalmente cubierta por el seguro público de salud, y desde </w:t>
      </w:r>
      <w:r w:rsidRPr="00B9592E">
        <w:t>2018</w:t>
      </w:r>
      <w:r w:rsidRPr="00DE7C15">
        <w:t xml:space="preserve"> está cubierta también para los niños de </w:t>
      </w:r>
      <w:r w:rsidRPr="00B9592E">
        <w:t>13</w:t>
      </w:r>
      <w:r w:rsidRPr="00DE7C15">
        <w:t xml:space="preserve"> y </w:t>
      </w:r>
      <w:r w:rsidRPr="00B9592E">
        <w:t>14</w:t>
      </w:r>
      <w:r w:rsidRPr="00DE7C15">
        <w:t xml:space="preserve"> años. A partir de </w:t>
      </w:r>
      <w:r w:rsidRPr="00B9592E">
        <w:t>2022</w:t>
      </w:r>
      <w:r w:rsidRPr="00DE7C15">
        <w:t xml:space="preserve">, la vacunación está cubierta una vez superado el límite de edad si su administración se pospuso por un problema de salud. El cribado del cáncer de mama es un servicio pagado que se realiza cada dos años a las mujeres a partir de los </w:t>
      </w:r>
      <w:r w:rsidRPr="00B9592E">
        <w:t>45</w:t>
      </w:r>
      <w:r w:rsidRPr="00DE7C15">
        <w:t xml:space="preserve"> años; el cribado del cáncer colorrectal se efectúa a partir de los </w:t>
      </w:r>
      <w:r w:rsidRPr="00B9592E">
        <w:t>55</w:t>
      </w:r>
      <w:r w:rsidRPr="00DE7C15">
        <w:t xml:space="preserve"> años.</w:t>
      </w:r>
    </w:p>
    <w:p w14:paraId="0836DBBA" w14:textId="46B36F82" w:rsidR="00554041" w:rsidRPr="00DE7C15" w:rsidRDefault="00CE28E1" w:rsidP="006C1BAD">
      <w:pPr>
        <w:pStyle w:val="SingleTxt"/>
        <w:numPr>
          <w:ilvl w:val="0"/>
          <w:numId w:val="37"/>
        </w:numPr>
        <w:ind w:left="1267"/>
      </w:pPr>
      <w:r w:rsidRPr="00DE7C15">
        <w:t xml:space="preserve">Chequia obtiene uno de los mejores resultados del mundo en atención patológica a recién nacidos. Según datos de Eurostat, la tasa de mortalidad de niños menores de </w:t>
      </w:r>
      <w:r w:rsidRPr="00B9592E">
        <w:t>1</w:t>
      </w:r>
      <w:r w:rsidRPr="00DE7C15">
        <w:t xml:space="preserve"> año en Chequia es muy inferior a la media de la UE. La atención a las mujeres embarazadas en los períodos prenatal y perinatal, incluido el pago de la atención médica (o por indicación médica) durante el parto en una maternidad (establecimiento ginecológico y obstétrico de hospitalización), también está totalmente cubierta por el seguro público de salud. La atención en dispensario está totalmente cubierta para las mujeres embarazadas a partir de la fecha de detección del embarazo. Si la mujer lo desea, un ginecólogo la monitoriza durante todo el embarazo en un dispensario prenatal.</w:t>
      </w:r>
    </w:p>
    <w:p w14:paraId="1E5C55D7" w14:textId="2ED83B57" w:rsidR="00CE28E1" w:rsidRPr="00DE7C15" w:rsidRDefault="00CE28E1" w:rsidP="006C1BAD">
      <w:pPr>
        <w:pStyle w:val="SingleTxt"/>
        <w:numPr>
          <w:ilvl w:val="0"/>
          <w:numId w:val="37"/>
        </w:numPr>
        <w:ind w:left="1267"/>
      </w:pPr>
      <w:r w:rsidRPr="00DE7C15">
        <w:t>La atención durante el parto sigue prestándose exclusivamente en establecimientos de salud. El seguro público de salud únicamente cubre los servicios de partería si los prescribe un médico</w:t>
      </w:r>
      <w:r w:rsidRPr="00B9592E">
        <w:rPr>
          <w:vertAlign w:val="superscript"/>
        </w:rPr>
        <w:footnoteReference w:id="15"/>
      </w:r>
      <w:r w:rsidRPr="00DE7C15">
        <w:t>. El fortalecimiento de la colaboración interdisciplinaria entre diversas profesiones se abordará en el concepto de la atención maternoinfantil que está preparando el Ministerio de Salud.</w:t>
      </w:r>
    </w:p>
    <w:p w14:paraId="5755DD4A" w14:textId="0605B862" w:rsidR="00CE28E1" w:rsidRPr="00DE7C15" w:rsidRDefault="00CE28E1" w:rsidP="006C1BAD">
      <w:pPr>
        <w:pStyle w:val="SingleTxt"/>
        <w:numPr>
          <w:ilvl w:val="0"/>
          <w:numId w:val="37"/>
        </w:numPr>
        <w:ind w:left="1267"/>
      </w:pPr>
      <w:r w:rsidRPr="00DE7C15">
        <w:t xml:space="preserve">Un tema controvertido es el relativo a la libertad de los progenitores para decidir sobre el método, las circunstancias y el lugar del parto, o el embarazo, el parto y el cuidado posnatal. Por iniciativa del Grupo de Trabajo sobre Obstetricia, el Gobierno recibió a mediados de </w:t>
      </w:r>
      <w:r w:rsidRPr="00B9592E">
        <w:t>2018</w:t>
      </w:r>
      <w:r w:rsidRPr="00DE7C15">
        <w:t xml:space="preserve"> la recomendación del Consejo sobre los centros de maternidad independientes. En ella figuraba, entre otras cosas, la recomendación de revisar la legislación, en concreto la Ley núm. </w:t>
      </w:r>
      <w:r w:rsidRPr="00B9592E">
        <w:t>372</w:t>
      </w:r>
      <w:r w:rsidRPr="00DE7C15">
        <w:t>/</w:t>
      </w:r>
      <w:r w:rsidRPr="00B9592E">
        <w:t>2011</w:t>
      </w:r>
      <w:r w:rsidRPr="00DE7C15">
        <w:t xml:space="preserve"> (recop.) de Servicios Sanitarios y el Decreto núm. </w:t>
      </w:r>
      <w:r w:rsidRPr="00B9592E">
        <w:t>92</w:t>
      </w:r>
      <w:r w:rsidRPr="00DE7C15">
        <w:t>/</w:t>
      </w:r>
      <w:r w:rsidRPr="00B9592E">
        <w:t>2012</w:t>
      </w:r>
      <w:r w:rsidRPr="00DE7C15">
        <w:t xml:space="preserve"> (recop.) de Requisitos Mínimos de Equipamiento Técnico y de Material de los Establecimientos de Salud y Puntos de Contacto de Atención Domiciliaria, a fin de eliminar los obstáculos que impiden abrir centros de maternidad independientes. El Gobierno no ha debatido la recomendación. Sin embargo, en la reunión del Consejo de </w:t>
      </w:r>
      <w:r w:rsidRPr="00B9592E">
        <w:t>22</w:t>
      </w:r>
      <w:r w:rsidRPr="00DE7C15">
        <w:t xml:space="preserve"> de octubre de </w:t>
      </w:r>
      <w:r w:rsidRPr="00B9592E">
        <w:t>2018</w:t>
      </w:r>
      <w:r w:rsidRPr="00DE7C15">
        <w:t xml:space="preserve">, el </w:t>
      </w:r>
      <w:proofErr w:type="gramStart"/>
      <w:r w:rsidRPr="00DE7C15">
        <w:t>Primer Ministro</w:t>
      </w:r>
      <w:proofErr w:type="gramEnd"/>
      <w:r w:rsidRPr="00DE7C15">
        <w:t xml:space="preserve"> respaldó la apertura de un centro de maternidad piloto en Praga. Posteriormente, el Ministerio de Salud comenzó a trabajar en el apoyo conceptual a las denominadas unidades de atención obstétrica de los hospitales de maternidad, que deben posibilitar los partos dirigidos por un especialista en partería del hospital. La primera unidad de ese tipo, que hace posible que un especialista en partería del hospital dirija el parto previa indicación médica, abrió en </w:t>
      </w:r>
      <w:r w:rsidRPr="00B9592E">
        <w:t>2018</w:t>
      </w:r>
      <w:r w:rsidRPr="00DE7C15">
        <w:t xml:space="preserve">. Aunque la unidad no cumple la recomendación del Consejo respecto de los centros de maternidad independientes, supone un avance y amplía las opciones de atención al parto. En años posteriores se han ido abriendo paulatinamente otras unidades. En </w:t>
      </w:r>
      <w:r w:rsidRPr="00B9592E">
        <w:t>2021</w:t>
      </w:r>
      <w:r w:rsidRPr="00DE7C15">
        <w:t xml:space="preserve">, al margen de Praga, se crearon unidades de maternidad en Brno y Frýdek-Místek. No obstante, la demanda de los servicios de las unidades sigue siendo muy superior a la oferta. El limitado acceso a los servicios de las unidades, dejando de lado el hecho de que no los hay en </w:t>
      </w:r>
      <w:r w:rsidRPr="00DE7C15">
        <w:lastRenderedPageBreak/>
        <w:t xml:space="preserve">la mayor parte de las regiones, se debe a que, por los servicios que prestan, las futuras madres deben hacer una aportación económica. En su declaración programática de </w:t>
      </w:r>
      <w:r w:rsidRPr="00B9592E">
        <w:t>2022</w:t>
      </w:r>
      <w:r w:rsidRPr="00DE7C15">
        <w:t>, el Gobierno se comprometió a apoyar a las mujeres en su elección del proveedor de atención de la salud durante el embarazo, el parto y la atención posnatal, poniendo a su disposición servicios de partería e insistiendo en la continuidad de la atención por una sola persona.</w:t>
      </w:r>
    </w:p>
    <w:p w14:paraId="141744F7" w14:textId="11C7FDB3" w:rsidR="00CE28E1" w:rsidRPr="00DE7C15" w:rsidRDefault="00CE28E1" w:rsidP="006C1BAD">
      <w:pPr>
        <w:pStyle w:val="SingleTxt"/>
        <w:numPr>
          <w:ilvl w:val="0"/>
          <w:numId w:val="37"/>
        </w:numPr>
        <w:ind w:left="1267"/>
      </w:pPr>
      <w:r w:rsidRPr="00DE7C15">
        <w:t xml:space="preserve">El Tribunal Europeo de Derechos Humanos (en lo sucesivo, </w:t>
      </w:r>
      <w:r w:rsidR="009106EF" w:rsidRPr="00DE7C15">
        <w:t>“</w:t>
      </w:r>
      <w:r w:rsidRPr="00DE7C15">
        <w:t>TEDH</w:t>
      </w:r>
      <w:r w:rsidR="009106EF" w:rsidRPr="00DE7C15">
        <w:t>”</w:t>
      </w:r>
      <w:r w:rsidRPr="00DE7C15">
        <w:t xml:space="preserve">) ha dictado dos fallos relacionados con el ejercicio de la libre elección parental. En el asunto </w:t>
      </w:r>
      <w:r w:rsidRPr="00B9592E">
        <w:rPr>
          <w:i/>
          <w:iCs/>
        </w:rPr>
        <w:t>Hanzelkovi c. la República Checa</w:t>
      </w:r>
      <w:r w:rsidRPr="00B9592E">
        <w:rPr>
          <w:vertAlign w:val="superscript"/>
        </w:rPr>
        <w:footnoteReference w:id="16"/>
      </w:r>
      <w:r w:rsidRPr="00DE7C15">
        <w:t xml:space="preserve">, los demandantes argumentaron principalmente que, a causa de su retorno forzoso al hospital de maternidad, que habían abandonado el día del parto, se había vulnerado su derecho al respeto a la vida privada y familiar en el sentido del artículo </w:t>
      </w:r>
      <w:r w:rsidRPr="00B9592E">
        <w:t>8</w:t>
      </w:r>
      <w:r w:rsidRPr="00DE7C15">
        <w:t xml:space="preserve"> del Convenio Europeo de Derechos Humanos, y que no se les había concedido un recurso efectivo contra esa injerencia de las </w:t>
      </w:r>
      <w:proofErr w:type="gramStart"/>
      <w:r w:rsidRPr="00DE7C15">
        <w:t>autoridades públicas</w:t>
      </w:r>
      <w:proofErr w:type="gramEnd"/>
      <w:r w:rsidRPr="00DE7C15">
        <w:t xml:space="preserve">, como exige el artículo </w:t>
      </w:r>
      <w:r w:rsidRPr="00B9592E">
        <w:t>13</w:t>
      </w:r>
      <w:r w:rsidRPr="00DE7C15">
        <w:t xml:space="preserve"> del Convenio. En este asunto, el TEDH consideró que se habían violado el derecho de los demandantes al respeto a la vida privada y familiar y el derecho a un recurso efectivo. En el asunto </w:t>
      </w:r>
      <w:r w:rsidRPr="00B9592E">
        <w:rPr>
          <w:i/>
          <w:iCs/>
        </w:rPr>
        <w:t>Dubská y Krejzová c. la República Checa</w:t>
      </w:r>
      <w:r w:rsidRPr="00B9592E">
        <w:rPr>
          <w:vertAlign w:val="superscript"/>
        </w:rPr>
        <w:footnoteReference w:id="17"/>
      </w:r>
      <w:r w:rsidRPr="00DE7C15">
        <w:t xml:space="preserve">, el TEDH concluyó que impedir el ejercicio de la profesión de partería durante los partos en el hogar no constituye una violación del derecho de las madres a la vida privada consagrado en el artículo </w:t>
      </w:r>
      <w:r w:rsidRPr="00B9592E">
        <w:t>8</w:t>
      </w:r>
      <w:r w:rsidRPr="00DE7C15">
        <w:t xml:space="preserve"> del Convenio Europeo de Derechos Humanos. Sin embargo, en su argumentación, el TEDH alentó a modificar la práctica en Chequia, y solicitó específicamente a las autoridades checas que reevaluaran constantemente las disposiciones jurídicas pertinentes teniendo en cuenta la evolución de la medicina, la ciencia y el derecho.</w:t>
      </w:r>
    </w:p>
    <w:p w14:paraId="58560166" w14:textId="757B4E77" w:rsidR="00554041" w:rsidRPr="00DE7C15" w:rsidRDefault="00CE28E1" w:rsidP="006C1BAD">
      <w:pPr>
        <w:pStyle w:val="SingleTxt"/>
        <w:numPr>
          <w:ilvl w:val="0"/>
          <w:numId w:val="37"/>
        </w:numPr>
        <w:ind w:left="1267"/>
      </w:pPr>
      <w:r w:rsidRPr="00DE7C15">
        <w:t xml:space="preserve">En toda Chequia, las matronas pueden celebrar un contrato con una compañía de seguros de salud. Sin embargo, una investigación de </w:t>
      </w:r>
      <w:r w:rsidRPr="00B9592E">
        <w:t>2018</w:t>
      </w:r>
      <w:r w:rsidRPr="00DE7C15">
        <w:t xml:space="preserve"> halló desequilibrios regionales en la prestación de servicios de partería. En algunas regiones, las compañías de seguros tienen suscritos contratos tanto con ginecólogos como con matronas. Debido a ello, los servicios de partería en esas regiones están cubiertos por el seguro público de salud si existe indicación médica. Por tanto, las mujeres de esas regiones pueden elegir al proveedor de atención prenatal y posnatal que prefieran. En otras regiones, en cambio, las mujeres han de abonar los servicios de partería. Según el Ómbudsman, todas las mujeres, con independencia de la región en que residan, deben tener la opción de elegir.</w:t>
      </w:r>
    </w:p>
    <w:p w14:paraId="0CF77FBB" w14:textId="67637A6B" w:rsidR="00CE28E1" w:rsidRPr="00DE7C15" w:rsidRDefault="00CE28E1" w:rsidP="006C1BAD">
      <w:pPr>
        <w:pStyle w:val="SingleTxt"/>
        <w:numPr>
          <w:ilvl w:val="0"/>
          <w:numId w:val="37"/>
        </w:numPr>
        <w:ind w:left="1267"/>
      </w:pPr>
      <w:r w:rsidRPr="00DE7C15">
        <w:t xml:space="preserve">En </w:t>
      </w:r>
      <w:r w:rsidRPr="00B9592E">
        <w:t>2021</w:t>
      </w:r>
      <w:r w:rsidRPr="00DE7C15">
        <w:t xml:space="preserve"> se aprobó una modificación de la Ley del Seguro Público de Salud, mediante la cual el Ministerio de Salud intentó subsanar algunas de las restricciones legislativas al ejercicio de la partería. En concreto, se ha suprimido la obligatoriedad de la indicación médica para el reembolso de los servicios de partería en los partos fisiológicos en establecimientos hospitalarios. Sin embargo, la modificación no resolvió suficientemente la restricción a la práctica independiente y el pago de los servicios prestados con cargo al seguro público, habida cuenta de que siguen sin reembolsarse las visitas a embarazadas o a madres que acaban de dar a luz si no hay indicación médica. La modificación también aumentó en un año (hasta el </w:t>
      </w:r>
      <w:r w:rsidRPr="00B9592E">
        <w:t>40</w:t>
      </w:r>
      <w:r w:rsidRPr="00DE7C15">
        <w:t xml:space="preserve"> cumpleaños) la edad máxima para someterse a una fertilización in vitro con cargo al seguro público de salud.</w:t>
      </w:r>
    </w:p>
    <w:p w14:paraId="3BCE1952" w14:textId="39BD9256" w:rsidR="00554041" w:rsidRPr="00DE7C15" w:rsidRDefault="00CE28E1" w:rsidP="006C1BAD">
      <w:pPr>
        <w:pStyle w:val="SingleTxt"/>
        <w:numPr>
          <w:ilvl w:val="0"/>
          <w:numId w:val="37"/>
        </w:numPr>
        <w:ind w:left="1267"/>
      </w:pPr>
      <w:r w:rsidRPr="00DE7C15">
        <w:t xml:space="preserve">El Ministerio de Salud emitió un dictamen interpretativo sobre los aspectos jurídicos de practicar interrupciones artificiales del embarazo a petición de mujeres extranjeras llegadas de Ucrania en el marco de la oleada migratoria. El dictamen se publicó en checo, ucraniano y ruso. En el segundo semestre de </w:t>
      </w:r>
      <w:r w:rsidRPr="00B9592E">
        <w:t>2021</w:t>
      </w:r>
      <w:r w:rsidRPr="00DE7C15">
        <w:t xml:space="preserve"> se puso en marcha un proyecto de sensibilización (</w:t>
      </w:r>
      <w:r w:rsidR="009106EF" w:rsidRPr="00DE7C15">
        <w:t>“</w:t>
      </w:r>
      <w:r w:rsidRPr="00DE7C15">
        <w:t>Deja que te ayuden</w:t>
      </w:r>
      <w:r w:rsidR="009106EF" w:rsidRPr="00DE7C15">
        <w:t>”</w:t>
      </w:r>
      <w:r w:rsidRPr="00DE7C15">
        <w:t xml:space="preserve">) dedicado a eliminar las </w:t>
      </w:r>
      <w:r w:rsidRPr="00DE7C15">
        <w:lastRenderedPageBreak/>
        <w:t>barreras y los prejuicios que afrontan los profesionales de partería. A través de relatos de partos, una sinopsis histórica del desarrollo de la obstetricia en Chequia, entrevistas con profesionales y trabajadores de la salud y opiniones de otros expertos, el proyecto se dirige tanto al público en general como a los legisladores.</w:t>
      </w:r>
    </w:p>
    <w:p w14:paraId="2D620F15" w14:textId="366349E3" w:rsidR="00CE28E1" w:rsidRPr="00DE7C15" w:rsidRDefault="00CE28E1" w:rsidP="006C1BAD">
      <w:pPr>
        <w:pStyle w:val="SingleTxt"/>
        <w:numPr>
          <w:ilvl w:val="0"/>
          <w:numId w:val="37"/>
        </w:numPr>
        <w:ind w:left="1267"/>
      </w:pPr>
      <w:r w:rsidRPr="00DE7C15">
        <w:t xml:space="preserve">La iniciativa civil </w:t>
      </w:r>
      <w:r w:rsidRPr="00B9592E">
        <w:rPr>
          <w:i/>
          <w:iCs/>
        </w:rPr>
        <w:t>Šestinedělky</w:t>
      </w:r>
      <w:r w:rsidRPr="00DE7C15">
        <w:t xml:space="preserve"> llevó a cabo en las maternidades una encuesta nacional sobre el apoyo a la lactancia materna entre </w:t>
      </w:r>
      <w:r w:rsidRPr="00B9592E">
        <w:t>2014</w:t>
      </w:r>
      <w:r w:rsidRPr="00DE7C15">
        <w:t xml:space="preserve"> y </w:t>
      </w:r>
      <w:r w:rsidRPr="00B9592E">
        <w:t>2017</w:t>
      </w:r>
      <w:r w:rsidRPr="00DE7C15">
        <w:t xml:space="preserve">. La encuesta, en la que participaron </w:t>
      </w:r>
      <w:r w:rsidRPr="00B9592E">
        <w:t>3</w:t>
      </w:r>
      <w:r w:rsidRPr="00DE7C15">
        <w:t>.</w:t>
      </w:r>
      <w:r w:rsidRPr="00B9592E">
        <w:t>894</w:t>
      </w:r>
      <w:r w:rsidRPr="00DE7C15">
        <w:t xml:space="preserve"> mujeres, demostró que ninguna de las maternidades checas cumplía los diez pasos para una lactancia materna eficaz de la OMS y el UNICEF, a pesar de que algunas de ellas tenían el certificado de hospital amigo del niño. En respuesta, el Consejo impulsó la iniciativa encaminada a implementar plenamente la iniciativa </w:t>
      </w:r>
      <w:r w:rsidR="009106EF" w:rsidRPr="00DE7C15">
        <w:t>“</w:t>
      </w:r>
      <w:r w:rsidRPr="00DE7C15">
        <w:t>Hospitales amigos del niño</w:t>
      </w:r>
      <w:r w:rsidR="009106EF" w:rsidRPr="00DE7C15">
        <w:t>”</w:t>
      </w:r>
      <w:r w:rsidRPr="00DE7C15">
        <w:t xml:space="preserve"> en </w:t>
      </w:r>
      <w:r w:rsidRPr="00B9592E">
        <w:t>2018</w:t>
      </w:r>
      <w:r w:rsidRPr="00DE7C15">
        <w:t xml:space="preserve">. La iniciativa se aprobó el </w:t>
      </w:r>
      <w:r w:rsidRPr="00B9592E">
        <w:t>28</w:t>
      </w:r>
      <w:r w:rsidRPr="00DE7C15">
        <w:t xml:space="preserve"> de junio de </w:t>
      </w:r>
      <w:r w:rsidRPr="00B9592E">
        <w:t>2021</w:t>
      </w:r>
      <w:r w:rsidRPr="00DE7C15">
        <w:t xml:space="preserve"> con el núm. </w:t>
      </w:r>
      <w:r w:rsidRPr="00B9592E">
        <w:t>11</w:t>
      </w:r>
      <w:r w:rsidRPr="00DE7C15">
        <w:t>/</w:t>
      </w:r>
      <w:r w:rsidRPr="00B9592E">
        <w:t>2021</w:t>
      </w:r>
      <w:r w:rsidRPr="00DE7C15">
        <w:t>.</w:t>
      </w:r>
    </w:p>
    <w:p w14:paraId="25E9753E" w14:textId="16ADE7CE" w:rsidR="00CE28E1" w:rsidRPr="00DE7C15" w:rsidRDefault="00CE28E1" w:rsidP="006C1BAD">
      <w:pPr>
        <w:pStyle w:val="SingleTxt"/>
        <w:numPr>
          <w:ilvl w:val="0"/>
          <w:numId w:val="37"/>
        </w:numPr>
        <w:ind w:left="1267"/>
      </w:pPr>
      <w:r w:rsidRPr="00DE7C15">
        <w:t xml:space="preserve">El Concepto de Política Familiar de </w:t>
      </w:r>
      <w:r w:rsidRPr="00B9592E">
        <w:t>2017</w:t>
      </w:r>
      <w:r w:rsidRPr="00DE7C15">
        <w:t xml:space="preserve"> prevé mejorar la calidad de la atención obstétrica en hospitales y maternidades con el fin de dar más privacidad a las madres, respetar sus deseos al planificar el parto y reducir las intervenciones médicas innecesarias, manteniendo al mismo tiempo el alto nivel de calidad actual de la atención obstétrica y neonatal. Al objeto de facilitar orientación experta a los profesionales respecto del desarrollo del concepto de atención maternoinfantil en los períodos prenatal y neonatal, en </w:t>
      </w:r>
      <w:r w:rsidRPr="00B9592E">
        <w:t>2021</w:t>
      </w:r>
      <w:r w:rsidRPr="00DE7C15">
        <w:t xml:space="preserve"> el Ministerio de Salud incluyó en su sitio web la traducción al checo de algunas partes de las recomendaciones de la OMS sobre los cuidados durante el parto para una experiencia de parto positiva y sobre la atención prenatal.</w:t>
      </w:r>
    </w:p>
    <w:p w14:paraId="0843927C" w14:textId="4EAB614B" w:rsidR="00CE28E1" w:rsidRPr="00DE7C15" w:rsidRDefault="00CE28E1" w:rsidP="006C1BAD">
      <w:pPr>
        <w:pStyle w:val="SingleTxt"/>
        <w:numPr>
          <w:ilvl w:val="0"/>
          <w:numId w:val="37"/>
        </w:numPr>
        <w:ind w:left="1267"/>
      </w:pPr>
      <w:r w:rsidRPr="00DE7C15">
        <w:t xml:space="preserve">Las medidas de lucha contra la pandemia afectaron negativamente a las mujeres. Tanto al principio de la pandemia como en </w:t>
      </w:r>
      <w:r w:rsidRPr="00B9592E">
        <w:t>2021</w:t>
      </w:r>
      <w:r w:rsidRPr="00DE7C15">
        <w:t>, en todo el mundo se registró un deterioro del acceso a las mujeres embarazadas y un menoscabo de sus derechos. Debido a las restricciones, en Chequia las mujeres afrontaron sobre todo limitaciones para tener un acompañante durante el parto y una separación más prolongada de sus hijos si habían contraído la COVID-</w:t>
      </w:r>
      <w:r w:rsidRPr="00B9592E">
        <w:t>19</w:t>
      </w:r>
      <w:r w:rsidRPr="00DE7C15">
        <w:t xml:space="preserve">. Algunas mujeres, por temor a tener que dar a luz en una maternidad sin el acompañante de su elección, optaron por el parto en el hogar, aunque no lo hubieran planeado así en un principio. En </w:t>
      </w:r>
      <w:r w:rsidRPr="00B9592E">
        <w:t>2021</w:t>
      </w:r>
      <w:r w:rsidRPr="00DE7C15">
        <w:t>, el Grupo de Trabajo sobre Obstetricia recomendó apoyar la elección de un acompañante para el parto durante la vigencia de las medidas impuestas por la pandemia de COVID-</w:t>
      </w:r>
      <w:r w:rsidRPr="00B9592E">
        <w:t>19</w:t>
      </w:r>
      <w:r w:rsidRPr="00DE7C15">
        <w:t xml:space="preserve">. A sugerencia del Consejo, el Ministerio de Salud tuvo en cuenta la recomendación y, con efecto a partir del </w:t>
      </w:r>
      <w:r w:rsidRPr="00B9592E">
        <w:t>12</w:t>
      </w:r>
      <w:r w:rsidRPr="00DE7C15">
        <w:t xml:space="preserve"> de abril de </w:t>
      </w:r>
      <w:r w:rsidRPr="00B9592E">
        <w:t>2021</w:t>
      </w:r>
      <w:r w:rsidRPr="00DE7C15">
        <w:t>, suprimió la restricción y permitió a las embarazadas estar acompañadas por la persona de su elección.</w:t>
      </w:r>
    </w:p>
    <w:p w14:paraId="7046E69C" w14:textId="424ADACD" w:rsidR="00554041" w:rsidRPr="00DE7C15" w:rsidRDefault="00CE28E1" w:rsidP="006C1BAD">
      <w:pPr>
        <w:pStyle w:val="SingleTxt"/>
        <w:numPr>
          <w:ilvl w:val="0"/>
          <w:numId w:val="37"/>
        </w:numPr>
        <w:ind w:left="1267"/>
      </w:pPr>
      <w:r w:rsidRPr="00DE7C15">
        <w:t>La pandemia ha puesto de manifiesto la necesidad de atender a la salud mental. Según estudios nacionales e internacionales, la salud mental de las mujeres con hijos y los jóvenes se ha deteriorado. Aunque algunos expertos consideran que no se ha registrado un aumento generalizado de la incidencia de las enfermedades mentales en los dos últimos años, sí se ha producido un incremento de sus formas graves. Las mujeres son más propensas a padecer trastornos neuróticos, por estrés y somatomorfos (</w:t>
      </w:r>
      <w:r w:rsidRPr="00B9592E">
        <w:t>168</w:t>
      </w:r>
      <w:r w:rsidRPr="00DE7C15">
        <w:t>.</w:t>
      </w:r>
      <w:r w:rsidRPr="00B9592E">
        <w:t>000</w:t>
      </w:r>
      <w:r w:rsidRPr="00DE7C15">
        <w:t xml:space="preserve"> mujeres y </w:t>
      </w:r>
      <w:r w:rsidRPr="00B9592E">
        <w:t>66</w:t>
      </w:r>
      <w:r w:rsidRPr="00DE7C15">
        <w:t>.</w:t>
      </w:r>
      <w:r w:rsidRPr="00B9592E">
        <w:t>000</w:t>
      </w:r>
      <w:r w:rsidRPr="00DE7C15">
        <w:t xml:space="preserve"> hombres) y a acogerse a licencias de enfermedad por problemas de salud mental durante períodos algo más prolongados. Los hombres exteriorizan más a menudo sus problemas de salud mental (a través del abuso de sustancias, conductas de riesgo o máquinas de juego), son hospitalizados más a menudo por </w:t>
      </w:r>
      <w:r w:rsidR="009106EF" w:rsidRPr="00DE7C15">
        <w:t>“</w:t>
      </w:r>
      <w:r w:rsidRPr="00DE7C15">
        <w:t>trastornos relacionados con el consumo de alcohol</w:t>
      </w:r>
      <w:r w:rsidR="009106EF" w:rsidRPr="00DE7C15">
        <w:t>”</w:t>
      </w:r>
      <w:r w:rsidRPr="00DE7C15">
        <w:t xml:space="preserve"> y tienen muchas más probabilidades de poner fin a su vida voluntariamente. Las mujeres, en cambio, tienden más a ser hospitalizadas por intentar poner voluntariamente fin a su vida. Las niñas de </w:t>
      </w:r>
      <w:r w:rsidRPr="00B9592E">
        <w:t>15</w:t>
      </w:r>
      <w:r w:rsidRPr="00DE7C15">
        <w:t xml:space="preserve"> a </w:t>
      </w:r>
      <w:r w:rsidRPr="00B9592E">
        <w:t>19</w:t>
      </w:r>
      <w:r w:rsidRPr="00DE7C15">
        <w:t xml:space="preserve"> años son un grupo especialmente vulnerable a ese respecto. Las redes sociales son una influencia negativa en lo tocante a la salud mental. Según una encuesta sobre los peligros de Internet desde la perspectiva de los niños, el </w:t>
      </w:r>
      <w:r w:rsidRPr="00B9592E">
        <w:t>19</w:t>
      </w:r>
      <w:r w:rsidRPr="00DE7C15">
        <w:t>,</w:t>
      </w:r>
      <w:r w:rsidRPr="00B9592E">
        <w:t>1</w:t>
      </w:r>
      <w:r w:rsidR="009106EF" w:rsidRPr="00DE7C15">
        <w:t> %</w:t>
      </w:r>
      <w:r w:rsidRPr="00DE7C15">
        <w:t xml:space="preserve"> de los encuestados dijeron haber encontrado instrucciones para suicidarse (las </w:t>
      </w:r>
      <w:r w:rsidRPr="00DE7C15">
        <w:lastRenderedPageBreak/>
        <w:t xml:space="preserve">segundas instrucciones más frecuentes, después de las relativas a la fabricación de armas, con el </w:t>
      </w:r>
      <w:r w:rsidRPr="00B9592E">
        <w:t>21</w:t>
      </w:r>
      <w:r w:rsidRPr="00DE7C15">
        <w:t>,</w:t>
      </w:r>
      <w:r w:rsidRPr="00B9592E">
        <w:t>5</w:t>
      </w:r>
      <w:r w:rsidR="009106EF" w:rsidRPr="00DE7C15">
        <w:t> %</w:t>
      </w:r>
      <w:r w:rsidRPr="00DE7C15">
        <w:t>) e instrucciones para autolesionarse (</w:t>
      </w:r>
      <w:r w:rsidRPr="00B9592E">
        <w:t>9</w:t>
      </w:r>
      <w:r w:rsidR="009106EF" w:rsidRPr="00DE7C15">
        <w:t> %</w:t>
      </w:r>
      <w:r w:rsidRPr="00DE7C15">
        <w:t>). Otro fenómeno relacionado y muy ligado a las cuestiones de género es el de los trastornos alimenticios, más frecuentes entre las mujeres.</w:t>
      </w:r>
    </w:p>
    <w:p w14:paraId="74F5F1F3" w14:textId="6AC1D6ED" w:rsidR="00554041" w:rsidRPr="00DE7C15" w:rsidRDefault="00CE28E1" w:rsidP="006C1BAD">
      <w:pPr>
        <w:pStyle w:val="SingleTxt"/>
        <w:numPr>
          <w:ilvl w:val="0"/>
          <w:numId w:val="37"/>
        </w:numPr>
        <w:ind w:left="1267"/>
      </w:pPr>
      <w:r w:rsidRPr="00DE7C15">
        <w:t>La Oficina del Gobierno abordó los problemas de salud mental a lo largo de</w:t>
      </w:r>
      <w:r w:rsidR="00323D52">
        <w:t> </w:t>
      </w:r>
      <w:r w:rsidRPr="00B9592E">
        <w:t>2021</w:t>
      </w:r>
      <w:r w:rsidRPr="00DE7C15">
        <w:t xml:space="preserve">. En mayo de ese año, organizó un taller dirigido a los empleadores y centrado en los vínculos entre las condiciones laborales y la salud mental. En concreto, el taller abordó el denominado </w:t>
      </w:r>
      <w:r w:rsidR="009106EF" w:rsidRPr="00DE7C15">
        <w:t>“</w:t>
      </w:r>
      <w:r w:rsidRPr="00DE7C15">
        <w:t>derecho a desconectar</w:t>
      </w:r>
      <w:r w:rsidR="009106EF" w:rsidRPr="00DE7C15">
        <w:t>”</w:t>
      </w:r>
      <w:r w:rsidRPr="00DE7C15">
        <w:t xml:space="preserve"> como una herramienta para eliminar el estrés laboral. </w:t>
      </w:r>
      <w:proofErr w:type="gramStart"/>
      <w:r w:rsidRPr="00DE7C15">
        <w:t>Además</w:t>
      </w:r>
      <w:proofErr w:type="gramEnd"/>
      <w:r w:rsidRPr="00DE7C15">
        <w:t xml:space="preserve"> se analizaron otras herramientas de apoyo a la salud mental de los empleados. En el seminario de aprendizaje mutuo organizado por la Comisión Europea, la Oficina del Gobierno presentó buenas prácticas relacionadas con la incorporación de la perspectiva de género en las políticas de salud mental. Durante la presentación, se expusieron la Estrategia </w:t>
      </w:r>
      <w:r w:rsidRPr="00B9592E">
        <w:t>2021</w:t>
      </w:r>
      <w:r w:rsidRPr="00DE7C15">
        <w:t>+ y otras iniciativas, en particular documentos comentados. También se presentó a los participantes el borrador de un folleto para facilitar información a los dispensadores de atención de la salud mental sobre las cuestiones de género.</w:t>
      </w:r>
    </w:p>
    <w:p w14:paraId="07AB08E2" w14:textId="3B5F9310" w:rsidR="00554041" w:rsidRPr="00DE7C15" w:rsidRDefault="00CE28E1" w:rsidP="006C1BAD">
      <w:pPr>
        <w:pStyle w:val="SingleTxt"/>
        <w:numPr>
          <w:ilvl w:val="0"/>
          <w:numId w:val="37"/>
        </w:numPr>
        <w:ind w:left="1267"/>
      </w:pPr>
      <w:r w:rsidRPr="00DE7C15">
        <w:t xml:space="preserve">En relación con la observación final núm. </w:t>
      </w:r>
      <w:r w:rsidRPr="00B9592E">
        <w:t>33</w:t>
      </w:r>
      <w:r w:rsidRPr="00DE7C15">
        <w:t xml:space="preserve">, Chequia informa de que el Ministerio de Salud ha iniciado una serie de consultas con las partes interesadas para garantizar el acceso de los extranjeros al seguro de salud durante su estancia en el país. El estudio en curso de la situación dará lugar a un análisis que se presentará al Ministerio del Interior, al Ministerio de Finanzas y a otras partes interesadas en un futuro próximo. Aunque actualmente se están barajando varias opciones para resolver el problema, como la promulgación de una nueva ley, la celebración de negociaciones con compañías de seguros comerciales o la introducción de ajustes en el alcance del seguro público de salud, se parte de la premisa de que el acceso de los extranjeros al seguro se garantizará presentando nueva legislación sobre el seguro de salud para extranjeros. En agosto de </w:t>
      </w:r>
      <w:r w:rsidRPr="00B9592E">
        <w:t>2021</w:t>
      </w:r>
      <w:r w:rsidRPr="00DE7C15">
        <w:t xml:space="preserve"> entró en vigor una modificación de la Ley núm. </w:t>
      </w:r>
      <w:r w:rsidRPr="00B9592E">
        <w:t>326</w:t>
      </w:r>
      <w:r w:rsidRPr="00DE7C15">
        <w:t>/</w:t>
      </w:r>
      <w:r w:rsidRPr="00B9592E">
        <w:t>1999</w:t>
      </w:r>
      <w:r w:rsidRPr="00DE7C15">
        <w:t xml:space="preserve"> (recop.) de Residencia de los Extranjeros, en su forma modificada. Con arreglo a la modificación introducida, los niños nacidos en Chequia de madres con un permiso de residencia de larga duración están cubiertos por el seguro público de salud, si bien solo por tiempo limitado: desde la fecha de nacimiento hasta el final del mes natural en que cumplen </w:t>
      </w:r>
      <w:r w:rsidRPr="00B9592E">
        <w:t>60</w:t>
      </w:r>
      <w:r w:rsidRPr="00DE7C15">
        <w:t xml:space="preserve"> días de edad.</w:t>
      </w:r>
    </w:p>
    <w:p w14:paraId="22E2B9A4" w14:textId="2CEB9E4A" w:rsidR="00CE28E1" w:rsidRPr="00DE7C15" w:rsidRDefault="00CE28E1" w:rsidP="006C1BAD">
      <w:pPr>
        <w:pStyle w:val="SingleTxt"/>
        <w:numPr>
          <w:ilvl w:val="0"/>
          <w:numId w:val="37"/>
        </w:numPr>
        <w:ind w:left="1267"/>
      </w:pPr>
      <w:r w:rsidRPr="00DE7C15">
        <w:t xml:space="preserve">En relación con la observación final núm. </w:t>
      </w:r>
      <w:r w:rsidRPr="00B9592E">
        <w:t>29</w:t>
      </w:r>
      <w:r w:rsidRPr="00DE7C15">
        <w:t xml:space="preserve">, se ha producido un importante avance legislativo. El </w:t>
      </w:r>
      <w:r w:rsidRPr="00B9592E">
        <w:t>1</w:t>
      </w:r>
      <w:r w:rsidRPr="00DE7C15">
        <w:t xml:space="preserve"> de enero de </w:t>
      </w:r>
      <w:r w:rsidRPr="00B9592E">
        <w:t>2022</w:t>
      </w:r>
      <w:r w:rsidRPr="00DE7C15">
        <w:t xml:space="preserve"> entró en vigor la Ley núm. </w:t>
      </w:r>
      <w:r w:rsidRPr="00B9592E">
        <w:t>297</w:t>
      </w:r>
      <w:r w:rsidRPr="00DE7C15">
        <w:t>/</w:t>
      </w:r>
      <w:r w:rsidRPr="00B9592E">
        <w:t>2021</w:t>
      </w:r>
      <w:r w:rsidRPr="00DE7C15">
        <w:t xml:space="preserve"> (recop.) de Indemnización Única a las Personas Esterilizadas en Contravención de la Ley. Las víctimas de una esterilización involuntaria practicada entre </w:t>
      </w:r>
      <w:r w:rsidRPr="00B9592E">
        <w:t>1966</w:t>
      </w:r>
      <w:r w:rsidRPr="00DE7C15">
        <w:t xml:space="preserve"> y </w:t>
      </w:r>
      <w:r w:rsidRPr="00B9592E">
        <w:t>2012</w:t>
      </w:r>
      <w:r w:rsidRPr="00DE7C15">
        <w:t xml:space="preserve"> tienen derecho a una indemnización de </w:t>
      </w:r>
      <w:r w:rsidRPr="00B9592E">
        <w:t>300</w:t>
      </w:r>
      <w:r w:rsidRPr="00DE7C15">
        <w:t>.</w:t>
      </w:r>
      <w:r w:rsidRPr="00B9592E">
        <w:t>000</w:t>
      </w:r>
      <w:r w:rsidRPr="00DE7C15">
        <w:t xml:space="preserve"> coronas checas. Tienen </w:t>
      </w:r>
      <w:r w:rsidRPr="00B9592E">
        <w:t>3</w:t>
      </w:r>
      <w:r w:rsidRPr="00DE7C15">
        <w:t xml:space="preserve"> años de plazo para presentar su solicitud a contar desde la entrada en vigor de la Ley. Se calcula que recibirán la indemnización unas </w:t>
      </w:r>
      <w:r w:rsidRPr="00B9592E">
        <w:t>400</w:t>
      </w:r>
      <w:r w:rsidRPr="00DE7C15">
        <w:t xml:space="preserve"> mujeres. Sin embargo, según los datos que obran en poder del Ministerio de Salud, es probable que se supere esa cifra, dado que al </w:t>
      </w:r>
      <w:r w:rsidRPr="00B9592E">
        <w:t>21</w:t>
      </w:r>
      <w:r w:rsidRPr="00DE7C15">
        <w:t xml:space="preserve"> de marzo de </w:t>
      </w:r>
      <w:r w:rsidRPr="00B9592E">
        <w:t>2023</w:t>
      </w:r>
      <w:r w:rsidRPr="00DE7C15">
        <w:t xml:space="preserve"> ya se había indemnizado a </w:t>
      </w:r>
      <w:r w:rsidRPr="00B9592E">
        <w:t>280</w:t>
      </w:r>
      <w:r w:rsidRPr="00DE7C15">
        <w:t xml:space="preserve"> solicitantes.</w:t>
      </w:r>
    </w:p>
    <w:p w14:paraId="6EF87BAD" w14:textId="6C997C84" w:rsidR="00CE28E1" w:rsidRPr="00DE7C15" w:rsidRDefault="00CE28E1" w:rsidP="006C1BAD">
      <w:pPr>
        <w:pStyle w:val="SingleTxt"/>
        <w:numPr>
          <w:ilvl w:val="0"/>
          <w:numId w:val="37"/>
        </w:numPr>
        <w:ind w:left="1267"/>
      </w:pPr>
      <w:r w:rsidRPr="00DE7C15">
        <w:t>Los expertos han insistido en la necesidad de que se tengan en cuenta los aspectos de género que puso de manifiesto la pandemia de COVID-</w:t>
      </w:r>
      <w:r w:rsidRPr="00B9592E">
        <w:t>19</w:t>
      </w:r>
      <w:r w:rsidRPr="00DE7C15">
        <w:t xml:space="preserve"> desde su inicio, en particular los relativos a la salud. Esos aspectos pueden aplicarse al diagnóstico y tratamiento de otras enfermedades. Al menos en </w:t>
      </w:r>
      <w:r w:rsidRPr="00B9592E">
        <w:t>2020</w:t>
      </w:r>
      <w:r w:rsidRPr="00DE7C15">
        <w:t xml:space="preserve">, las mujeres representaron la cifra más alta de infectados (casi </w:t>
      </w:r>
      <w:r w:rsidRPr="00B9592E">
        <w:t>350</w:t>
      </w:r>
      <w:r w:rsidRPr="00DE7C15">
        <w:t>.</w:t>
      </w:r>
      <w:r w:rsidRPr="00B9592E">
        <w:t>000</w:t>
      </w:r>
      <w:r w:rsidRPr="00DE7C15">
        <w:t xml:space="preserve"> hombres y </w:t>
      </w:r>
      <w:r w:rsidRPr="00B9592E">
        <w:t>382</w:t>
      </w:r>
      <w:r w:rsidRPr="00DE7C15">
        <w:t>.</w:t>
      </w:r>
      <w:r w:rsidRPr="00B9592E">
        <w:t>000</w:t>
      </w:r>
      <w:r w:rsidRPr="00DE7C15">
        <w:t xml:space="preserve"> mujeres). La disparidad pudo deberse a los distintos niveles de exposición al virus, por ejemplo, en el trabajo. En cambio, los hombres fueron mayoría entre los ingresos hospitalarios en casi todos los grupos de edad y en particular en el grupo de </w:t>
      </w:r>
      <w:r w:rsidRPr="00B9592E">
        <w:t>60</w:t>
      </w:r>
      <w:r w:rsidRPr="00DE7C15">
        <w:t xml:space="preserve"> a </w:t>
      </w:r>
      <w:r w:rsidRPr="00B9592E">
        <w:t>69</w:t>
      </w:r>
      <w:r w:rsidRPr="00DE7C15">
        <w:t xml:space="preserve"> años (</w:t>
      </w:r>
      <w:r w:rsidRPr="00B9592E">
        <w:t>6</w:t>
      </w:r>
      <w:r w:rsidRPr="00DE7C15">
        <w:t>.</w:t>
      </w:r>
      <w:r w:rsidRPr="00B9592E">
        <w:t>439</w:t>
      </w:r>
      <w:r w:rsidRPr="00DE7C15">
        <w:t xml:space="preserve"> hombres y </w:t>
      </w:r>
      <w:r w:rsidRPr="00B9592E">
        <w:t>4</w:t>
      </w:r>
      <w:r w:rsidRPr="00DE7C15">
        <w:t>.</w:t>
      </w:r>
      <w:r w:rsidRPr="00B9592E">
        <w:t>098</w:t>
      </w:r>
      <w:r w:rsidRPr="00DE7C15">
        <w:t xml:space="preserve"> mujeres). La mayor disparidad se registró en el grupo de edad de </w:t>
      </w:r>
      <w:r w:rsidRPr="00B9592E">
        <w:t>80</w:t>
      </w:r>
      <w:r w:rsidRPr="00DE7C15">
        <w:t xml:space="preserve"> años o más (</w:t>
      </w:r>
      <w:r w:rsidRPr="00B9592E">
        <w:t>6</w:t>
      </w:r>
      <w:r w:rsidRPr="00DE7C15">
        <w:t>.</w:t>
      </w:r>
      <w:r w:rsidRPr="00B9592E">
        <w:t>696</w:t>
      </w:r>
      <w:r w:rsidRPr="00DE7C15">
        <w:t xml:space="preserve"> hombres y </w:t>
      </w:r>
      <w:r w:rsidRPr="00B9592E">
        <w:t>10</w:t>
      </w:r>
      <w:r w:rsidRPr="00DE7C15">
        <w:t>.</w:t>
      </w:r>
      <w:r w:rsidRPr="00B9592E">
        <w:t>019</w:t>
      </w:r>
      <w:r w:rsidRPr="00DE7C15">
        <w:t xml:space="preserve"> mujeres), que se explica por la mayor esperanza de vida de las mujeres. La tasa de mortalidad también fue mayor entre los hombres, tanto en cifras </w:t>
      </w:r>
      <w:r w:rsidRPr="00DE7C15">
        <w:lastRenderedPageBreak/>
        <w:t>absolutas (</w:t>
      </w:r>
      <w:r w:rsidRPr="00B9592E">
        <w:t>6</w:t>
      </w:r>
      <w:r w:rsidRPr="00DE7C15">
        <w:t>.</w:t>
      </w:r>
      <w:r w:rsidRPr="00B9592E">
        <w:t>725</w:t>
      </w:r>
      <w:r w:rsidRPr="00DE7C15">
        <w:t xml:space="preserve"> hombres y </w:t>
      </w:r>
      <w:r w:rsidRPr="00B9592E">
        <w:t>5</w:t>
      </w:r>
      <w:r w:rsidRPr="00DE7C15">
        <w:t>.</w:t>
      </w:r>
      <w:r w:rsidRPr="00B9592E">
        <w:t>276</w:t>
      </w:r>
      <w:r w:rsidRPr="00DE7C15">
        <w:t xml:space="preserve"> mujeres) como por cada </w:t>
      </w:r>
      <w:r w:rsidRPr="00B9592E">
        <w:t>100</w:t>
      </w:r>
      <w:r w:rsidRPr="00DE7C15">
        <w:t>.</w:t>
      </w:r>
      <w:r w:rsidRPr="00B9592E">
        <w:t>000</w:t>
      </w:r>
      <w:r w:rsidRPr="00DE7C15">
        <w:t xml:space="preserve"> habitantes (</w:t>
      </w:r>
      <w:r w:rsidRPr="00B9592E">
        <w:t>127</w:t>
      </w:r>
      <w:r w:rsidRPr="00DE7C15">
        <w:t>,</w:t>
      </w:r>
      <w:r w:rsidRPr="00B9592E">
        <w:t>5</w:t>
      </w:r>
      <w:r w:rsidRPr="00DE7C15">
        <w:t xml:space="preserve"> hombres y </w:t>
      </w:r>
      <w:r w:rsidRPr="00B9592E">
        <w:t>97</w:t>
      </w:r>
      <w:r w:rsidRPr="00DE7C15">
        <w:t>,</w:t>
      </w:r>
      <w:r w:rsidRPr="00B9592E">
        <w:t>2</w:t>
      </w:r>
      <w:r w:rsidRPr="00DE7C15">
        <w:t xml:space="preserve"> mujeres). En la primavera de </w:t>
      </w:r>
      <w:r w:rsidRPr="00B9592E">
        <w:t>2021</w:t>
      </w:r>
      <w:r w:rsidRPr="00DE7C15">
        <w:t xml:space="preserve"> se publicaron los resultados de un estudio del Ministerio de Salud y de una encuesta sobre la vida durante la pandemia, en la que se analizó la actitud de la población checa hacia la vacunación contra la COVID-</w:t>
      </w:r>
      <w:r w:rsidRPr="00B9592E">
        <w:t>19</w:t>
      </w:r>
      <w:r w:rsidRPr="00DE7C15">
        <w:t xml:space="preserve">. Los resultados demostraron que el </w:t>
      </w:r>
      <w:r w:rsidRPr="00B9592E">
        <w:t>50</w:t>
      </w:r>
      <w:r w:rsidR="009106EF" w:rsidRPr="00DE7C15">
        <w:t> %</w:t>
      </w:r>
      <w:r w:rsidRPr="00DE7C15">
        <w:t xml:space="preserve"> de las mujeres y el </w:t>
      </w:r>
      <w:r w:rsidRPr="00B9592E">
        <w:t>41</w:t>
      </w:r>
      <w:r w:rsidR="009106EF" w:rsidRPr="00DE7C15">
        <w:t> %</w:t>
      </w:r>
      <w:r w:rsidRPr="00DE7C15">
        <w:t xml:space="preserve"> de los hombres no estaban interesados en vacunarse en diciembre de </w:t>
      </w:r>
      <w:r w:rsidRPr="00B9592E">
        <w:t>2020</w:t>
      </w:r>
      <w:r w:rsidRPr="00DE7C15">
        <w:t xml:space="preserve">. Sin embargo, el porcentaje de actitudes negativas disminuyó gradualmente durante </w:t>
      </w:r>
      <w:r w:rsidRPr="00B9592E">
        <w:t>2021</w:t>
      </w:r>
      <w:r w:rsidRPr="00DE7C15">
        <w:t xml:space="preserve"> y, según los datos más recientes (febrero de </w:t>
      </w:r>
      <w:r w:rsidRPr="00B9592E">
        <w:t>2022</w:t>
      </w:r>
      <w:r w:rsidRPr="00DE7C15">
        <w:t xml:space="preserve">), mantenían su negativa a vacunarse el </w:t>
      </w:r>
      <w:r w:rsidRPr="00B9592E">
        <w:t>12</w:t>
      </w:r>
      <w:r w:rsidR="009106EF" w:rsidRPr="00DE7C15">
        <w:t> %</w:t>
      </w:r>
      <w:r w:rsidRPr="00DE7C15">
        <w:t xml:space="preserve"> de las mujeres y el </w:t>
      </w:r>
      <w:r w:rsidRPr="00B9592E">
        <w:t>10</w:t>
      </w:r>
      <w:r w:rsidR="009106EF" w:rsidRPr="00DE7C15">
        <w:t> %</w:t>
      </w:r>
      <w:r w:rsidRPr="00DE7C15">
        <w:t xml:space="preserve"> de los hombres.</w:t>
      </w:r>
    </w:p>
    <w:p w14:paraId="4DAD9767" w14:textId="10232A76" w:rsidR="00CE28E1" w:rsidRPr="00DE7C15" w:rsidRDefault="00CE28E1" w:rsidP="006C1BAD">
      <w:pPr>
        <w:pStyle w:val="SingleTxt"/>
        <w:numPr>
          <w:ilvl w:val="0"/>
          <w:numId w:val="37"/>
        </w:numPr>
        <w:ind w:left="1267"/>
      </w:pPr>
      <w:r w:rsidRPr="00DE7C15">
        <w:t xml:space="preserve">En </w:t>
      </w:r>
      <w:r w:rsidRPr="00B9592E">
        <w:t>2020</w:t>
      </w:r>
      <w:r w:rsidRPr="00DE7C15">
        <w:t xml:space="preserve">, el número de enfermeros generales (o matronas) era de </w:t>
      </w:r>
      <w:r w:rsidRPr="00B9592E">
        <w:t>96</w:t>
      </w:r>
      <w:r w:rsidRPr="00DE7C15">
        <w:t>.</w:t>
      </w:r>
      <w:r w:rsidRPr="00B9592E">
        <w:t>175</w:t>
      </w:r>
      <w:r w:rsidRPr="00DE7C15">
        <w:t xml:space="preserve">, de los que el </w:t>
      </w:r>
      <w:r w:rsidRPr="00B9592E">
        <w:t>98</w:t>
      </w:r>
      <w:r w:rsidR="009106EF" w:rsidRPr="00DE7C15">
        <w:t> %</w:t>
      </w:r>
      <w:r w:rsidRPr="00DE7C15">
        <w:t xml:space="preserve"> (</w:t>
      </w:r>
      <w:r w:rsidRPr="00B9592E">
        <w:t>94</w:t>
      </w:r>
      <w:r w:rsidRPr="00DE7C15">
        <w:t>.</w:t>
      </w:r>
      <w:r w:rsidRPr="00B9592E">
        <w:t>065</w:t>
      </w:r>
      <w:r w:rsidRPr="00DE7C15">
        <w:t xml:space="preserve">) eran mujeres. Si bien se está registrando una tendencia al alza en el número de hombres que ocupan ese tipo de puestos, todavía es un sector altamente segregado y el aumento en el número de hombres sigue siendo mínimo. Pese a la feminización del sector, que en general se caracteriza por el bajo nivel de ingresos, en los últimos años se ha producido un aumento de los sueldos y salarios de los enfermeros generales. En los últimos cinco años, han aumentado un </w:t>
      </w:r>
      <w:r w:rsidRPr="00B9592E">
        <w:t>71</w:t>
      </w:r>
      <w:r w:rsidR="009106EF" w:rsidRPr="00DE7C15">
        <w:t> %</w:t>
      </w:r>
      <w:r w:rsidRPr="00DE7C15">
        <w:t xml:space="preserve">. Los sueldos de los empleados de los servicios sociales y de salud han subido un </w:t>
      </w:r>
      <w:r w:rsidRPr="00B9592E">
        <w:t>11</w:t>
      </w:r>
      <w:r w:rsidRPr="00DE7C15">
        <w:t>,</w:t>
      </w:r>
      <w:r w:rsidRPr="00B9592E">
        <w:t>3</w:t>
      </w:r>
      <w:r w:rsidR="009106EF" w:rsidRPr="00DE7C15">
        <w:t> %</w:t>
      </w:r>
      <w:r w:rsidRPr="00DE7C15">
        <w:t xml:space="preserve"> interanual. Al </w:t>
      </w:r>
      <w:r w:rsidRPr="00B9592E">
        <w:t>1</w:t>
      </w:r>
      <w:r w:rsidRPr="00DE7C15">
        <w:t xml:space="preserve"> de enero de </w:t>
      </w:r>
      <w:r w:rsidRPr="00B9592E">
        <w:t>2022</w:t>
      </w:r>
      <w:r w:rsidRPr="00DE7C15">
        <w:t xml:space="preserve">, los sueldos de los profesionales de la atención de la salud habían aumentado un </w:t>
      </w:r>
      <w:r w:rsidRPr="00B9592E">
        <w:t>6</w:t>
      </w:r>
      <w:r w:rsidR="009106EF" w:rsidRPr="00DE7C15">
        <w:t> %</w:t>
      </w:r>
      <w:r w:rsidRPr="00DE7C15">
        <w:t xml:space="preserve">. Con todo, las disparidades de ingresos persisten. Por ejemplo, los hombres ganan un </w:t>
      </w:r>
      <w:r w:rsidRPr="00B9592E">
        <w:t>8</w:t>
      </w:r>
      <w:r w:rsidR="009106EF" w:rsidRPr="00DE7C15">
        <w:t> %</w:t>
      </w:r>
      <w:r w:rsidRPr="00DE7C15">
        <w:t xml:space="preserve"> más que las mujeres como enfermeros especialistas. Los sindicatos sanitarios están proponiendo que se unifiquen las retribuciones en el régimen de sueldos.</w:t>
      </w:r>
    </w:p>
    <w:p w14:paraId="4371D211" w14:textId="77777777" w:rsidR="009106EF" w:rsidRPr="00DE7C15" w:rsidRDefault="009106EF" w:rsidP="009106EF">
      <w:pPr>
        <w:pStyle w:val="SingleTxt"/>
        <w:spacing w:after="0" w:line="120" w:lineRule="exact"/>
        <w:rPr>
          <w:sz w:val="10"/>
        </w:rPr>
      </w:pPr>
    </w:p>
    <w:p w14:paraId="0094B6C3" w14:textId="77777777" w:rsidR="009106EF" w:rsidRPr="00DE7C15" w:rsidRDefault="009106EF" w:rsidP="009106EF">
      <w:pPr>
        <w:pStyle w:val="SingleTxt"/>
        <w:spacing w:after="0" w:line="120" w:lineRule="exact"/>
        <w:rPr>
          <w:sz w:val="10"/>
        </w:rPr>
      </w:pPr>
    </w:p>
    <w:p w14:paraId="3C42EE2D"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13</w:t>
      </w:r>
    </w:p>
    <w:p w14:paraId="6EB80964" w14:textId="77777777" w:rsidR="009106EF" w:rsidRPr="00DE7C15" w:rsidRDefault="009106EF" w:rsidP="009106EF">
      <w:pPr>
        <w:pStyle w:val="SingleTxt"/>
        <w:spacing w:after="0" w:line="120" w:lineRule="exact"/>
        <w:rPr>
          <w:sz w:val="10"/>
        </w:rPr>
      </w:pPr>
    </w:p>
    <w:p w14:paraId="254D2163" w14:textId="77777777" w:rsidR="009106EF" w:rsidRPr="00DE7C15" w:rsidRDefault="009106EF" w:rsidP="009106EF">
      <w:pPr>
        <w:pStyle w:val="SingleTxt"/>
        <w:spacing w:after="0" w:line="120" w:lineRule="exact"/>
        <w:rPr>
          <w:sz w:val="10"/>
        </w:rPr>
      </w:pPr>
    </w:p>
    <w:p w14:paraId="695CB54D"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Prestaciones familiares</w:t>
      </w:r>
    </w:p>
    <w:p w14:paraId="108DF810" w14:textId="1B06A7B6" w:rsidR="009106EF" w:rsidRPr="00DE7C15" w:rsidRDefault="009106EF" w:rsidP="009106EF">
      <w:pPr>
        <w:pStyle w:val="SingleTxt"/>
        <w:spacing w:after="0" w:line="120" w:lineRule="exact"/>
        <w:rPr>
          <w:sz w:val="10"/>
        </w:rPr>
      </w:pPr>
    </w:p>
    <w:p w14:paraId="0868EC90" w14:textId="77777777" w:rsidR="009106EF" w:rsidRPr="00DE7C15" w:rsidRDefault="009106EF" w:rsidP="009106EF">
      <w:pPr>
        <w:pStyle w:val="SingleTxt"/>
        <w:spacing w:after="0" w:line="120" w:lineRule="exact"/>
        <w:rPr>
          <w:sz w:val="10"/>
        </w:rPr>
      </w:pPr>
    </w:p>
    <w:p w14:paraId="58FD6D2C" w14:textId="41638738" w:rsidR="00CE28E1" w:rsidRPr="00DE7C15" w:rsidRDefault="00CE28E1" w:rsidP="006C1BAD">
      <w:pPr>
        <w:pStyle w:val="SingleTxt"/>
        <w:numPr>
          <w:ilvl w:val="0"/>
          <w:numId w:val="37"/>
        </w:numPr>
        <w:ind w:left="1267"/>
      </w:pPr>
      <w:r w:rsidRPr="00DE7C15">
        <w:t xml:space="preserve">Con el fin de apoyar el reparto equitativo de las responsabilidades domésticas y familiares, así como la participación de los hombres en el cuidado de los hijos y la formación de un vínculo del padre con el recién nacido, una modificación de la Ley núm. </w:t>
      </w:r>
      <w:r w:rsidRPr="00B9592E">
        <w:t>187</w:t>
      </w:r>
      <w:r w:rsidRPr="00DE7C15">
        <w:t>/</w:t>
      </w:r>
      <w:r w:rsidRPr="00B9592E">
        <w:t>2006</w:t>
      </w:r>
      <w:r w:rsidRPr="00DE7C15">
        <w:t xml:space="preserve"> (recop.) de Seguro de Enfermedad introdujo la prestación de cuidado posnatal por paternidad. Desde febrero de </w:t>
      </w:r>
      <w:r w:rsidRPr="00B9592E">
        <w:t>2018</w:t>
      </w:r>
      <w:r w:rsidRPr="00DE7C15">
        <w:t xml:space="preserve">, los padres pueden acogerse a una licencia de una semana durante el posparto con una prestación del </w:t>
      </w:r>
      <w:r w:rsidRPr="00B9592E">
        <w:t>70</w:t>
      </w:r>
      <w:r w:rsidR="009106EF" w:rsidRPr="00DE7C15">
        <w:t> %</w:t>
      </w:r>
      <w:r w:rsidRPr="00DE7C15">
        <w:t xml:space="preserve"> de la base diaria de cotización, es decir, del mismo monto que la prestación de maternidad. La condición para percibir la prestación, según el artículo </w:t>
      </w:r>
      <w:r w:rsidRPr="00B9592E">
        <w:t>38</w:t>
      </w:r>
      <w:r w:rsidRPr="00DE7C15">
        <w:t>a</w:t>
      </w:r>
      <w:r w:rsidR="00554041" w:rsidRPr="00DE7C15">
        <w:t xml:space="preserve"> </w:t>
      </w:r>
      <w:r w:rsidRPr="00B9592E">
        <w:t>2</w:t>
      </w:r>
      <w:r w:rsidRPr="00DE7C15">
        <w:t xml:space="preserve">) de la Ley de Seguro de Enfermedad, es estar afiliado al seguro de enfermedad. En conexión con la transposición de la directiva de conciliación de la vida familiar y la vida profesional, se han introducido más ajustes en la prestación de cuidado posnatal por paternidad. Con efecto a partir del </w:t>
      </w:r>
      <w:r w:rsidRPr="00B9592E">
        <w:t>1</w:t>
      </w:r>
      <w:r w:rsidRPr="00DE7C15">
        <w:t xml:space="preserve"> de enero de </w:t>
      </w:r>
      <w:r w:rsidRPr="00B9592E">
        <w:t>2022</w:t>
      </w:r>
      <w:r w:rsidRPr="00DE7C15">
        <w:t>, la prestación se puede disfrutar durante dos semanas (</w:t>
      </w:r>
      <w:r w:rsidRPr="00B9592E">
        <w:t>14</w:t>
      </w:r>
      <w:r w:rsidRPr="00DE7C15">
        <w:t xml:space="preserve"> días naturales). Desde su introducción, aproximadamente el </w:t>
      </w:r>
      <w:r w:rsidRPr="00B9592E">
        <w:t>40</w:t>
      </w:r>
      <w:r w:rsidR="009106EF" w:rsidRPr="00DE7C15">
        <w:t> %</w:t>
      </w:r>
      <w:r w:rsidRPr="00DE7C15">
        <w:t xml:space="preserve"> de los padres la han utilizado.</w:t>
      </w:r>
    </w:p>
    <w:p w14:paraId="0D5217B7" w14:textId="55534C60" w:rsidR="00CE28E1" w:rsidRPr="00DE7C15" w:rsidRDefault="00CE28E1" w:rsidP="006C1BAD">
      <w:pPr>
        <w:pStyle w:val="SingleTxt"/>
        <w:numPr>
          <w:ilvl w:val="0"/>
          <w:numId w:val="37"/>
        </w:numPr>
        <w:ind w:left="1267"/>
      </w:pPr>
      <w:r w:rsidRPr="00DE7C15">
        <w:t xml:space="preserve">La modificación de la Ley núm. </w:t>
      </w:r>
      <w:r w:rsidRPr="00B9592E">
        <w:t>117</w:t>
      </w:r>
      <w:r w:rsidRPr="00DE7C15">
        <w:t>/</w:t>
      </w:r>
      <w:r w:rsidRPr="00B9592E">
        <w:t>1995</w:t>
      </w:r>
      <w:r w:rsidRPr="00DE7C15">
        <w:t xml:space="preserve"> (recop.) de Ayudas Sociales del Estado introdujo la flexibilidad en el uso de la prestación parental con efecto a partir del </w:t>
      </w:r>
      <w:r w:rsidRPr="00B9592E">
        <w:t>1</w:t>
      </w:r>
      <w:r w:rsidRPr="00DE7C15">
        <w:t xml:space="preserve"> de enero de </w:t>
      </w:r>
      <w:r w:rsidRPr="00B9592E">
        <w:t>2018</w:t>
      </w:r>
      <w:r w:rsidRPr="00DE7C15">
        <w:t xml:space="preserve">. La modificación tenía por objeto, entre otras cosas, aumentar la participación de los padres en el cuidado de los hijos, ya que estos afirman que la disminución de los ingresos familiares es el obstáculo más frecuente para tomar parte en esa labor. Una modificación posterior de la Ley núm. </w:t>
      </w:r>
      <w:r w:rsidRPr="00B9592E">
        <w:t>117</w:t>
      </w:r>
      <w:r w:rsidRPr="00DE7C15">
        <w:t>/</w:t>
      </w:r>
      <w:r w:rsidRPr="00B9592E">
        <w:t>1995</w:t>
      </w:r>
      <w:r w:rsidRPr="00DE7C15">
        <w:t xml:space="preserve"> (recop.) de Ayudas Sociales del Estado aumentó el subsidio parental de </w:t>
      </w:r>
      <w:r w:rsidRPr="00B9592E">
        <w:t>220</w:t>
      </w:r>
      <w:r w:rsidRPr="00DE7C15">
        <w:t>.</w:t>
      </w:r>
      <w:r w:rsidRPr="00B9592E">
        <w:t>000</w:t>
      </w:r>
      <w:r w:rsidRPr="00DE7C15">
        <w:t xml:space="preserve"> a </w:t>
      </w:r>
      <w:r w:rsidRPr="00B9592E">
        <w:t>300</w:t>
      </w:r>
      <w:r w:rsidRPr="00DE7C15">
        <w:t>.</w:t>
      </w:r>
      <w:r w:rsidRPr="00B9592E">
        <w:t>000</w:t>
      </w:r>
      <w:r w:rsidRPr="00DE7C15">
        <w:t xml:space="preserve"> coronas checas, o de </w:t>
      </w:r>
      <w:r w:rsidRPr="00B9592E">
        <w:t>300</w:t>
      </w:r>
      <w:r w:rsidRPr="00DE7C15">
        <w:t>.</w:t>
      </w:r>
      <w:r w:rsidRPr="00B9592E">
        <w:t>000</w:t>
      </w:r>
      <w:r w:rsidRPr="00DE7C15">
        <w:t xml:space="preserve"> a </w:t>
      </w:r>
      <w:r w:rsidRPr="00B9592E">
        <w:t>450</w:t>
      </w:r>
      <w:r w:rsidRPr="00DE7C15">
        <w:t>.</w:t>
      </w:r>
      <w:r w:rsidRPr="00B9592E">
        <w:t>000</w:t>
      </w:r>
      <w:r w:rsidRPr="00DE7C15">
        <w:t xml:space="preserve"> coronas checas en los nacimientos múltiples. El aumento de la prestación parental se aplica a todos los progenitores que la soliciten por un hijo menor de cuatro años a partir del </w:t>
      </w:r>
      <w:r w:rsidRPr="00B9592E">
        <w:t>1</w:t>
      </w:r>
      <w:r w:rsidRPr="00DE7C15">
        <w:t xml:space="preserve"> de enero de </w:t>
      </w:r>
      <w:r w:rsidRPr="00B9592E">
        <w:t>2020</w:t>
      </w:r>
      <w:r w:rsidRPr="00DE7C15">
        <w:t xml:space="preserve"> y a todos los progenitores que empiecen a percibirla en cualquier momento a partir del </w:t>
      </w:r>
      <w:r w:rsidRPr="00B9592E">
        <w:t>1</w:t>
      </w:r>
      <w:r w:rsidRPr="00DE7C15">
        <w:t xml:space="preserve"> de enero de </w:t>
      </w:r>
      <w:r w:rsidRPr="00B9592E">
        <w:t>2020</w:t>
      </w:r>
      <w:r w:rsidRPr="00DE7C15">
        <w:t xml:space="preserve">. La modificación también aumenta de </w:t>
      </w:r>
      <w:r w:rsidRPr="00B9592E">
        <w:t>46</w:t>
      </w:r>
      <w:r w:rsidRPr="00DE7C15">
        <w:t xml:space="preserve"> a </w:t>
      </w:r>
      <w:r w:rsidRPr="00B9592E">
        <w:t>92</w:t>
      </w:r>
      <w:r w:rsidRPr="00DE7C15">
        <w:t xml:space="preserve"> horas al mes el límite para la </w:t>
      </w:r>
      <w:r w:rsidRPr="00DE7C15">
        <w:lastRenderedPageBreak/>
        <w:t xml:space="preserve">percepción simultánea de la prestación parental y la ayuda de guardería para niños menores de </w:t>
      </w:r>
      <w:r w:rsidRPr="00B9592E">
        <w:t>2</w:t>
      </w:r>
      <w:r w:rsidRPr="00DE7C15">
        <w:t xml:space="preserve"> años.</w:t>
      </w:r>
    </w:p>
    <w:p w14:paraId="21647C15" w14:textId="1C45C099" w:rsidR="00CE28E1" w:rsidRPr="00DE7C15" w:rsidRDefault="00CE28E1" w:rsidP="006C1BAD">
      <w:pPr>
        <w:pStyle w:val="SingleTxt"/>
        <w:numPr>
          <w:ilvl w:val="0"/>
          <w:numId w:val="37"/>
        </w:numPr>
        <w:ind w:left="1267"/>
      </w:pPr>
      <w:r w:rsidRPr="00DE7C15">
        <w:t xml:space="preserve">La modificación de la Ley núm. </w:t>
      </w:r>
      <w:r w:rsidRPr="00B9592E">
        <w:t>187</w:t>
      </w:r>
      <w:r w:rsidRPr="00DE7C15">
        <w:t>/</w:t>
      </w:r>
      <w:r w:rsidRPr="00B9592E">
        <w:t>2006</w:t>
      </w:r>
      <w:r w:rsidRPr="00DE7C15">
        <w:t xml:space="preserve"> de Seguro de Enfermedad introdujo la prestación por cuidados. Desde junio de </w:t>
      </w:r>
      <w:r w:rsidRPr="00B9592E">
        <w:t>2018</w:t>
      </w:r>
      <w:r w:rsidRPr="00DE7C15">
        <w:t xml:space="preserve">, es posible tomarse una licencia laboral de tres meses para cuidar a un allegado y percibir una prestación del </w:t>
      </w:r>
      <w:r w:rsidRPr="00B9592E">
        <w:t>60</w:t>
      </w:r>
      <w:r w:rsidR="009106EF" w:rsidRPr="00DE7C15">
        <w:t> %</w:t>
      </w:r>
      <w:r w:rsidRPr="00DE7C15">
        <w:t xml:space="preserve"> de la base diaria de cotización, es decir, equivalente a la prestación por enfermedad. En relación con la transposición de la Directiva (UE) </w:t>
      </w:r>
      <w:r w:rsidRPr="00B9592E">
        <w:t>2019</w:t>
      </w:r>
      <w:r w:rsidRPr="00DE7C15">
        <w:t>/</w:t>
      </w:r>
      <w:r w:rsidRPr="00B9592E">
        <w:t>1158</w:t>
      </w:r>
      <w:r w:rsidRPr="00DE7C15">
        <w:t xml:space="preserve"> del Parlamento Europeo y del Consejo de </w:t>
      </w:r>
      <w:r w:rsidRPr="00B9592E">
        <w:t>20</w:t>
      </w:r>
      <w:r w:rsidRPr="00DE7C15">
        <w:t xml:space="preserve"> de junio de </w:t>
      </w:r>
      <w:r w:rsidRPr="00B9592E">
        <w:t>2019</w:t>
      </w:r>
      <w:r w:rsidRPr="00DE7C15">
        <w:t xml:space="preserve"> relativa a la conciliación de la vida familiar y la vida profesional de los progenitores y los cuidadores, y por la que se deroga la Directiva </w:t>
      </w:r>
      <w:r w:rsidRPr="00B9592E">
        <w:t>2010</w:t>
      </w:r>
      <w:r w:rsidRPr="00DE7C15">
        <w:t>/</w:t>
      </w:r>
      <w:r w:rsidRPr="00B9592E">
        <w:t>18</w:t>
      </w:r>
      <w:r w:rsidRPr="00DE7C15">
        <w:t>/UE del Consejo, el requisito de hospitalización para tener derecho a la prestación se redujo a cuatro días (en lugar de los siete anteriores). Además, las personas con un allegado en situación terminal también pueden percibir la prestación y, en esos casos, no se aplica el requisito de hospitalización.</w:t>
      </w:r>
    </w:p>
    <w:p w14:paraId="24A4300E" w14:textId="77777777" w:rsidR="009106EF" w:rsidRPr="00DE7C15" w:rsidRDefault="009106EF" w:rsidP="009106EF">
      <w:pPr>
        <w:pStyle w:val="SingleTxt"/>
        <w:spacing w:after="0" w:line="120" w:lineRule="exact"/>
        <w:rPr>
          <w:sz w:val="10"/>
        </w:rPr>
      </w:pPr>
    </w:p>
    <w:p w14:paraId="49D43DD6" w14:textId="77777777" w:rsidR="009106EF" w:rsidRPr="00DE7C15" w:rsidRDefault="009106EF" w:rsidP="009106EF">
      <w:pPr>
        <w:pStyle w:val="SingleTxt"/>
        <w:spacing w:after="0" w:line="120" w:lineRule="exact"/>
        <w:rPr>
          <w:sz w:val="10"/>
        </w:rPr>
      </w:pPr>
    </w:p>
    <w:p w14:paraId="504B7214"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 14</w:t>
      </w:r>
    </w:p>
    <w:p w14:paraId="31562B51" w14:textId="6E550FC9" w:rsidR="009106EF" w:rsidRPr="00DE7C15" w:rsidRDefault="009106EF" w:rsidP="009106EF">
      <w:pPr>
        <w:pStyle w:val="SingleTxt"/>
        <w:spacing w:after="0" w:line="120" w:lineRule="exact"/>
        <w:rPr>
          <w:sz w:val="10"/>
        </w:rPr>
      </w:pPr>
    </w:p>
    <w:p w14:paraId="15EC47BA" w14:textId="77777777" w:rsidR="009106EF" w:rsidRPr="00DE7C15" w:rsidRDefault="009106EF" w:rsidP="009106EF">
      <w:pPr>
        <w:pStyle w:val="SingleTxt"/>
        <w:spacing w:after="0" w:line="120" w:lineRule="exact"/>
        <w:rPr>
          <w:sz w:val="10"/>
        </w:rPr>
      </w:pPr>
    </w:p>
    <w:p w14:paraId="386B2C99" w14:textId="3531984D" w:rsidR="00CE28E1" w:rsidRPr="00DE7C15" w:rsidRDefault="00CE28E1" w:rsidP="006C1BAD">
      <w:pPr>
        <w:pStyle w:val="SingleTxt"/>
        <w:numPr>
          <w:ilvl w:val="0"/>
          <w:numId w:val="37"/>
        </w:numPr>
        <w:ind w:left="1267"/>
      </w:pPr>
      <w:r w:rsidRPr="00DE7C15">
        <w:t>En el período que se examina no se registraron cambios respecto de la igualdad de género en las zonas rurales.</w:t>
      </w:r>
    </w:p>
    <w:p w14:paraId="79643E02" w14:textId="77777777" w:rsidR="009106EF" w:rsidRPr="00DE7C15" w:rsidRDefault="009106EF" w:rsidP="009106EF">
      <w:pPr>
        <w:pStyle w:val="SingleTxt"/>
        <w:spacing w:after="0" w:line="120" w:lineRule="exact"/>
        <w:rPr>
          <w:sz w:val="10"/>
        </w:rPr>
      </w:pPr>
    </w:p>
    <w:p w14:paraId="15ABBD47" w14:textId="77777777" w:rsidR="009106EF" w:rsidRPr="00DE7C15" w:rsidRDefault="009106EF" w:rsidP="009106EF">
      <w:pPr>
        <w:pStyle w:val="SingleTxt"/>
        <w:spacing w:after="0" w:line="120" w:lineRule="exact"/>
        <w:rPr>
          <w:sz w:val="10"/>
        </w:rPr>
      </w:pPr>
    </w:p>
    <w:p w14:paraId="3C911515" w14:textId="77777777" w:rsidR="009106EF" w:rsidRPr="00DE7C15" w:rsidRDefault="00CE28E1" w:rsidP="00910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9592E">
        <w:tab/>
      </w:r>
      <w:r w:rsidRPr="00B9592E">
        <w:tab/>
        <w:t>Artículos 15 y 16</w:t>
      </w:r>
    </w:p>
    <w:p w14:paraId="24E29395" w14:textId="77777777" w:rsidR="009106EF" w:rsidRPr="00DE7C15" w:rsidRDefault="009106EF" w:rsidP="009106EF">
      <w:pPr>
        <w:pStyle w:val="SingleTxt"/>
        <w:spacing w:after="0" w:line="120" w:lineRule="exact"/>
        <w:rPr>
          <w:sz w:val="10"/>
        </w:rPr>
      </w:pPr>
    </w:p>
    <w:p w14:paraId="23448383" w14:textId="77777777" w:rsidR="009106EF" w:rsidRPr="00DE7C15" w:rsidRDefault="009106EF" w:rsidP="009106EF">
      <w:pPr>
        <w:pStyle w:val="SingleTxt"/>
        <w:spacing w:after="0" w:line="120" w:lineRule="exact"/>
        <w:rPr>
          <w:sz w:val="10"/>
        </w:rPr>
      </w:pPr>
    </w:p>
    <w:p w14:paraId="479A3B11" w14:textId="77777777" w:rsidR="009106EF" w:rsidRPr="00DE7C15" w:rsidRDefault="00CE28E1" w:rsidP="00910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val="0"/>
        </w:rPr>
      </w:pPr>
      <w:r w:rsidRPr="00B9592E">
        <w:tab/>
      </w:r>
      <w:r w:rsidRPr="00B9592E">
        <w:tab/>
        <w:t>Promoción de la igualdad entre mujeres y hombres ante la ley y en los asuntos civiles, familiares y matrimoniales</w:t>
      </w:r>
    </w:p>
    <w:p w14:paraId="036437B9" w14:textId="1675FDE7" w:rsidR="009106EF" w:rsidRPr="00DE7C15" w:rsidRDefault="009106EF" w:rsidP="009106EF">
      <w:pPr>
        <w:pStyle w:val="SingleTxt"/>
        <w:spacing w:after="0" w:line="120" w:lineRule="exact"/>
        <w:rPr>
          <w:sz w:val="10"/>
        </w:rPr>
      </w:pPr>
    </w:p>
    <w:p w14:paraId="28A9D06E" w14:textId="77777777" w:rsidR="009106EF" w:rsidRPr="00DE7C15" w:rsidRDefault="009106EF" w:rsidP="009106EF">
      <w:pPr>
        <w:pStyle w:val="SingleTxt"/>
        <w:spacing w:after="0" w:line="120" w:lineRule="exact"/>
        <w:rPr>
          <w:sz w:val="10"/>
        </w:rPr>
      </w:pPr>
    </w:p>
    <w:p w14:paraId="1731A16C" w14:textId="3A4E277C" w:rsidR="00CE28E1" w:rsidRPr="00DE7C15" w:rsidRDefault="00CE28E1" w:rsidP="006C1BAD">
      <w:pPr>
        <w:pStyle w:val="SingleTxt"/>
        <w:numPr>
          <w:ilvl w:val="0"/>
          <w:numId w:val="37"/>
        </w:numPr>
        <w:ind w:left="1267"/>
      </w:pPr>
      <w:r w:rsidRPr="00DE7C15">
        <w:t xml:space="preserve">El principio de igualdad consagrado en el artículo </w:t>
      </w:r>
      <w:r w:rsidRPr="00B9592E">
        <w:t>3</w:t>
      </w:r>
      <w:r w:rsidRPr="00DE7C15">
        <w:t xml:space="preserve"> </w:t>
      </w:r>
      <w:r w:rsidRPr="00B9592E">
        <w:t>1</w:t>
      </w:r>
      <w:r w:rsidRPr="00DE7C15">
        <w:t xml:space="preserve">) de la Carta se aplica a todos los derechos fundamentales, incluido el derecho a la protección ante injerencias injustificadas en la vida privada y familiar, reconocido en su artículo </w:t>
      </w:r>
      <w:r w:rsidRPr="00B9592E">
        <w:t>10</w:t>
      </w:r>
      <w:r w:rsidRPr="00DE7C15">
        <w:t xml:space="preserve"> </w:t>
      </w:r>
      <w:r w:rsidRPr="00B9592E">
        <w:t>2</w:t>
      </w:r>
      <w:r w:rsidRPr="00DE7C15">
        <w:t xml:space="preserve">). La paternidad y la familia están protegidas en el artículo </w:t>
      </w:r>
      <w:r w:rsidRPr="00B9592E">
        <w:t>32</w:t>
      </w:r>
      <w:r w:rsidRPr="00DE7C15">
        <w:t xml:space="preserve"> de la Carta, y las mujeres tienen garantizada una atención especial durante el embarazo en virtud del artículo </w:t>
      </w:r>
      <w:r w:rsidRPr="00B9592E">
        <w:t>32</w:t>
      </w:r>
      <w:r w:rsidRPr="00DE7C15">
        <w:t xml:space="preserve"> </w:t>
      </w:r>
      <w:r w:rsidRPr="00B9592E">
        <w:t>2</w:t>
      </w:r>
      <w:r w:rsidRPr="00DE7C15">
        <w:t xml:space="preserve">). El cuidado y la crianza de los hijos es un derecho de los padres reconocido en el artículo </w:t>
      </w:r>
      <w:r w:rsidRPr="00B9592E">
        <w:t>32</w:t>
      </w:r>
      <w:r w:rsidRPr="00DE7C15">
        <w:t xml:space="preserve"> </w:t>
      </w:r>
      <w:r w:rsidRPr="00B9592E">
        <w:t>4</w:t>
      </w:r>
      <w:r w:rsidRPr="00DE7C15">
        <w:t>) de la Carta. La Ley contra la Discriminación no se aplica a las relaciones personales. Los tribunales independientes velan por el cumplimiento del derecho de familia.</w:t>
      </w:r>
    </w:p>
    <w:p w14:paraId="28BBFDCF" w14:textId="027D2E3B" w:rsidR="00554041" w:rsidRPr="00DE7C15" w:rsidRDefault="00CE28E1" w:rsidP="006C1BAD">
      <w:pPr>
        <w:pStyle w:val="SingleTxt"/>
        <w:numPr>
          <w:ilvl w:val="0"/>
          <w:numId w:val="37"/>
        </w:numPr>
        <w:ind w:left="1267"/>
      </w:pPr>
      <w:r w:rsidRPr="00DE7C15">
        <w:t>El derecho de familia y las relaciones familiares se rigen por el Código Civil. Los tribunales independientes deciden sobre las relaciones familiares con arreglo al derecho civil. Las normas religiosas y consuetudinarias y las decisiones de los pueblos Indígenas son importantes para Chequia.</w:t>
      </w:r>
    </w:p>
    <w:p w14:paraId="39FD1CAC" w14:textId="5CC6D604" w:rsidR="00CE28E1" w:rsidRPr="00DE7C15" w:rsidRDefault="00CE28E1" w:rsidP="006C1BAD">
      <w:pPr>
        <w:pStyle w:val="SingleTxt"/>
        <w:numPr>
          <w:ilvl w:val="0"/>
          <w:numId w:val="37"/>
        </w:numPr>
        <w:ind w:left="1267"/>
      </w:pPr>
      <w:r w:rsidRPr="00DE7C15">
        <w:t xml:space="preserve">En virtud del artículo </w:t>
      </w:r>
      <w:r w:rsidRPr="00B9592E">
        <w:t>687</w:t>
      </w:r>
      <w:r w:rsidRPr="00DE7C15">
        <w:t xml:space="preserve"> del Código Civil, los hombres y las mujeres tienen los mismos deberes y derechos en el matrimonio y pueden casarse a la misma edad, es decir, a los dieciocho años, que es cuando adquieren plena capacidad jurídica. Los mayores de </w:t>
      </w:r>
      <w:r w:rsidRPr="00B9592E">
        <w:t>16</w:t>
      </w:r>
      <w:r w:rsidRPr="00DE7C15">
        <w:t xml:space="preserve"> años y menores de </w:t>
      </w:r>
      <w:r w:rsidRPr="00B9592E">
        <w:t>18</w:t>
      </w:r>
      <w:r w:rsidRPr="00DE7C15">
        <w:t xml:space="preserve"> solo pueden contraer matrimonio previa autorización judicial. Únicamente puede presentar la solicitud de matrimonio la persona menor de </w:t>
      </w:r>
      <w:r w:rsidRPr="00B9592E">
        <w:t>18</w:t>
      </w:r>
      <w:r w:rsidRPr="00DE7C15">
        <w:t xml:space="preserve"> años que pretende contraer matrimonio, de conformidad con el artículo </w:t>
      </w:r>
      <w:r w:rsidRPr="00B9592E">
        <w:t>367</w:t>
      </w:r>
      <w:r w:rsidRPr="00DE7C15">
        <w:t xml:space="preserve"> de la Ley núm. </w:t>
      </w:r>
      <w:r w:rsidRPr="00B9592E">
        <w:t>292</w:t>
      </w:r>
      <w:r w:rsidRPr="00DE7C15">
        <w:t>/</w:t>
      </w:r>
      <w:r w:rsidRPr="00B9592E">
        <w:t>2013</w:t>
      </w:r>
      <w:r w:rsidRPr="00DE7C15">
        <w:t xml:space="preserve"> (recop.) de Procedimientos Judiciales Especiales; sus progenitores o tutores no están facultados para hacerlo. Los compromisos, incluidos los de los hijos, no tienen efectos jurídicos. El matrimonio polígamo está tipificado tanto en el derecho civil como en el penal como delito de bigamia en virtud del artículo </w:t>
      </w:r>
      <w:r w:rsidRPr="00B9592E">
        <w:t>194</w:t>
      </w:r>
      <w:r w:rsidRPr="00DE7C15">
        <w:t xml:space="preserve"> del Código Penal.</w:t>
      </w:r>
    </w:p>
    <w:p w14:paraId="3E41D2B1" w14:textId="001A0182" w:rsidR="00CE28E1" w:rsidRPr="00DE7C15" w:rsidRDefault="00CE28E1" w:rsidP="006C1BAD">
      <w:pPr>
        <w:pStyle w:val="SingleTxt"/>
        <w:numPr>
          <w:ilvl w:val="0"/>
          <w:numId w:val="37"/>
        </w:numPr>
        <w:ind w:left="1267"/>
      </w:pPr>
      <w:r w:rsidRPr="00DE7C15">
        <w:t xml:space="preserve">El tribunal declarará nulo el matrimonio a petición del cónyuge que haya otorgado su conformidad al casamiento bajo la coacción de violencia o de amenaza de violencia, de conformidad con el artículo </w:t>
      </w:r>
      <w:r w:rsidRPr="00B9592E">
        <w:t>684</w:t>
      </w:r>
      <w:r w:rsidRPr="00DE7C15">
        <w:t xml:space="preserve"> del Código Civil. Por tanto, un </w:t>
      </w:r>
      <w:r w:rsidRPr="00DE7C15">
        <w:lastRenderedPageBreak/>
        <w:t>matrimonio forzado puede anularse si uno de los cónyuges se ve obligado a contraer matrimonio a la fuerza.</w:t>
      </w:r>
    </w:p>
    <w:p w14:paraId="7E3CB2D4" w14:textId="25FBEF7F" w:rsidR="00CE28E1" w:rsidRPr="00DE7C15" w:rsidRDefault="00CE28E1" w:rsidP="006C1BAD">
      <w:pPr>
        <w:pStyle w:val="SingleTxt"/>
        <w:numPr>
          <w:ilvl w:val="0"/>
          <w:numId w:val="37"/>
        </w:numPr>
        <w:ind w:left="1267"/>
      </w:pPr>
      <w:r w:rsidRPr="00DE7C15">
        <w:t xml:space="preserve">En </w:t>
      </w:r>
      <w:r w:rsidRPr="00B9592E">
        <w:t>2018</w:t>
      </w:r>
      <w:r w:rsidRPr="00DE7C15">
        <w:t xml:space="preserve"> se presentó a la Cámara de los Diputados de Chequia un proyecto de ley que autorizará el matrimonio de parejas del mismo sexo. Sin embargo, el proyecto de ley no se aprobó durante esa legislatura. El </w:t>
      </w:r>
      <w:r w:rsidRPr="00B9592E">
        <w:t>7</w:t>
      </w:r>
      <w:r w:rsidRPr="00DE7C15">
        <w:t xml:space="preserve"> de junio de </w:t>
      </w:r>
      <w:r w:rsidRPr="00B9592E">
        <w:t>2022</w:t>
      </w:r>
      <w:r w:rsidRPr="00DE7C15">
        <w:t xml:space="preserve"> se presentó un proyecto de ley similar en la Cámara de los Diputados respecto del cual el Gobierno adoptó una posición neutral. El proyecto de ley se remitió a la Comisión de Asuntos Constitucionales y Jurídicos para su examen.</w:t>
      </w:r>
    </w:p>
    <w:p w14:paraId="79A569BF" w14:textId="58A88C1B" w:rsidR="00CE28E1" w:rsidRPr="00DE7C15" w:rsidRDefault="00CE28E1" w:rsidP="006C1BAD">
      <w:pPr>
        <w:pStyle w:val="SingleTxt"/>
        <w:numPr>
          <w:ilvl w:val="0"/>
          <w:numId w:val="37"/>
        </w:numPr>
        <w:ind w:left="1267"/>
      </w:pPr>
      <w:r w:rsidRPr="00DE7C15">
        <w:t xml:space="preserve">La celebración de matrimonios civiles corresponde a una </w:t>
      </w:r>
      <w:proofErr w:type="gramStart"/>
      <w:r w:rsidRPr="00DE7C15">
        <w:t>autoridad pública</w:t>
      </w:r>
      <w:proofErr w:type="gramEnd"/>
      <w:r w:rsidRPr="00DE7C15">
        <w:t xml:space="preserve"> en virtud del artículo </w:t>
      </w:r>
      <w:r w:rsidRPr="00B9592E">
        <w:t>658</w:t>
      </w:r>
      <w:r w:rsidRPr="00DE7C15">
        <w:t xml:space="preserve"> del Código Civil. En los matrimonios religiosos, el oficial del registro civil tiene la obligación de presentar un informe sobre la celebración del matrimonio en la oficina del registro civil del distrito administrativo en que esta tuvo lugar en el plazo de tres días laborables a partir del casamiento, de conformidad con el artículo </w:t>
      </w:r>
      <w:r w:rsidRPr="00B9592E">
        <w:t>666</w:t>
      </w:r>
      <w:r w:rsidRPr="00DE7C15">
        <w:t xml:space="preserve"> del Código Civil.</w:t>
      </w:r>
    </w:p>
    <w:p w14:paraId="59D6B29B" w14:textId="5DEAF2D4" w:rsidR="00CE28E1" w:rsidRPr="00DE7C15" w:rsidRDefault="00CE28E1" w:rsidP="006C1BAD">
      <w:pPr>
        <w:pStyle w:val="SingleTxt"/>
        <w:numPr>
          <w:ilvl w:val="0"/>
          <w:numId w:val="37"/>
        </w:numPr>
        <w:ind w:left="1267"/>
      </w:pPr>
      <w:r w:rsidRPr="00DE7C15">
        <w:t xml:space="preserve">Solo los tribunales independientes pueden limitar la responsabilidad parental y la capacidad jurídica para contraer matrimonio. Así se establece en el artículo </w:t>
      </w:r>
      <w:r w:rsidRPr="00B9592E">
        <w:t>673</w:t>
      </w:r>
      <w:r w:rsidRPr="00DE7C15">
        <w:t xml:space="preserve"> del Código Civil, que prohíbe el matrimonio con personas cuya capacidad jurídica en esa esfera se haya limitado, y en el artículo </w:t>
      </w:r>
      <w:r w:rsidRPr="00B9592E">
        <w:t>865</w:t>
      </w:r>
      <w:r w:rsidRPr="00DE7C15">
        <w:t xml:space="preserve"> </w:t>
      </w:r>
      <w:r w:rsidRPr="00B9592E">
        <w:t>2</w:t>
      </w:r>
      <w:r w:rsidRPr="00DE7C15">
        <w:t xml:space="preserve">) del Código Civil, que establece </w:t>
      </w:r>
      <w:proofErr w:type="gramStart"/>
      <w:r w:rsidRPr="00DE7C15">
        <w:t>que</w:t>
      </w:r>
      <w:proofErr w:type="gramEnd"/>
      <w:r w:rsidRPr="00DE7C15">
        <w:t xml:space="preserve"> si el tribunal decide limitar la capacidad jurídica de un progenitor, decidirá también sobre su responsabilidad parental.</w:t>
      </w:r>
    </w:p>
    <w:p w14:paraId="1C8EC5A5" w14:textId="7B8CC5B3" w:rsidR="00CE28E1" w:rsidRPr="00DE7C15" w:rsidRDefault="00CE28E1" w:rsidP="006C1BAD">
      <w:pPr>
        <w:pStyle w:val="SingleTxt"/>
        <w:numPr>
          <w:ilvl w:val="0"/>
          <w:numId w:val="37"/>
        </w:numPr>
        <w:ind w:left="1267"/>
      </w:pPr>
      <w:r w:rsidRPr="00DE7C15">
        <w:t xml:space="preserve">En virtud del artículo </w:t>
      </w:r>
      <w:r w:rsidRPr="00B9592E">
        <w:t>687</w:t>
      </w:r>
      <w:r w:rsidRPr="00DE7C15">
        <w:t xml:space="preserve"> del Código Civil, los cónyuges están obligados a respetarse, vivir juntos, ser fieles el uno con el otro, respetar la dignidad del otro, prestarse apoyo mutuo, mantener una comunidad familiar, crear un entorno familiar saludable y cuidar conjuntamente de los hijos. Los cónyuges no tienen derecho a castigarse o disciplinarse mutuamente. El hombre no tiene la condición de cabeza de familia desde </w:t>
      </w:r>
      <w:r w:rsidRPr="00B9592E">
        <w:t>1950</w:t>
      </w:r>
      <w:r w:rsidRPr="00DE7C15">
        <w:t>. Los cónyuges eligen un apellido común al casarse. Las mujeres no necesitan el consentimiento de su marido para elegir un trabajo o una profesión.</w:t>
      </w:r>
    </w:p>
    <w:p w14:paraId="2C40FC8C" w14:textId="5F48C1BA" w:rsidR="00CE28E1" w:rsidRPr="00DE7C15" w:rsidRDefault="00CE28E1" w:rsidP="006C1BAD">
      <w:pPr>
        <w:pStyle w:val="SingleTxt"/>
        <w:numPr>
          <w:ilvl w:val="0"/>
          <w:numId w:val="37"/>
        </w:numPr>
        <w:ind w:left="1267"/>
      </w:pPr>
      <w:r w:rsidRPr="00DE7C15">
        <w:t xml:space="preserve">Los padres tienen los mismos derechos y obligaciones que las madres hacia sus hijos. Según el artículo </w:t>
      </w:r>
      <w:r w:rsidRPr="00B9592E">
        <w:t>32</w:t>
      </w:r>
      <w:r w:rsidRPr="00DE7C15">
        <w:t xml:space="preserve"> </w:t>
      </w:r>
      <w:r w:rsidRPr="00B9592E">
        <w:t>3</w:t>
      </w:r>
      <w:r w:rsidRPr="00DE7C15">
        <w:t>) de la Carta, los hijos nacidos dentro y fuera del matrimonio tienen los mismos derechos. En las relaciones LGBT, los padres no pierden sus derechos.</w:t>
      </w:r>
    </w:p>
    <w:p w14:paraId="542543C6" w14:textId="1F9A7789" w:rsidR="00CE28E1" w:rsidRPr="00DE7C15" w:rsidRDefault="00CE28E1" w:rsidP="006C1BAD">
      <w:pPr>
        <w:pStyle w:val="SingleTxt"/>
        <w:numPr>
          <w:ilvl w:val="0"/>
          <w:numId w:val="37"/>
        </w:numPr>
        <w:ind w:left="1267"/>
      </w:pPr>
      <w:r w:rsidRPr="00DE7C15">
        <w:t xml:space="preserve">En caso de divorcio, los tribunales deciden sobre la custodia posterior de los progenitores, que puede ser exclusiva, alterna o compartida con arreglo al artículo </w:t>
      </w:r>
      <w:r w:rsidRPr="00B9592E">
        <w:t>907</w:t>
      </w:r>
      <w:r w:rsidRPr="00DE7C15">
        <w:t xml:space="preserve"> del Código Civil. Al tomar una decisión, los tribunales tienen en cuenta el interés superior del menor sobre la base del artículo </w:t>
      </w:r>
      <w:r w:rsidRPr="00B9592E">
        <w:t>3</w:t>
      </w:r>
      <w:r w:rsidRPr="00DE7C15">
        <w:t xml:space="preserve"> de la Convención sobre los Derechos del Niño. En los casos de violencia familiar, los niños entran en el sistema de protección jurídico-social de la infancia en virtud del artículo </w:t>
      </w:r>
      <w:r w:rsidRPr="00B9592E">
        <w:t>6</w:t>
      </w:r>
      <w:r w:rsidRPr="00DE7C15">
        <w:t xml:space="preserve"> de la Ley núm. </w:t>
      </w:r>
      <w:r w:rsidRPr="00B9592E">
        <w:t>359</w:t>
      </w:r>
      <w:r w:rsidRPr="00DE7C15">
        <w:t>/</w:t>
      </w:r>
      <w:r w:rsidRPr="00B9592E">
        <w:t>1999</w:t>
      </w:r>
      <w:r w:rsidRPr="00DE7C15">
        <w:t xml:space="preserve"> (recop.) de Protección Jurídico-social de la Infancia. A continuación, los tribunales deben evaluar adecuadamente todas las circunstancias del caso y determinar qué modalidad de custodia es la mejor para el niño.</w:t>
      </w:r>
    </w:p>
    <w:p w14:paraId="34A5F69F" w14:textId="4F6D7287" w:rsidR="00CE28E1" w:rsidRPr="00DE7C15" w:rsidRDefault="00CE28E1" w:rsidP="00F616E5">
      <w:pPr>
        <w:pStyle w:val="SingleTxt"/>
        <w:numPr>
          <w:ilvl w:val="0"/>
          <w:numId w:val="37"/>
        </w:numPr>
        <w:ind w:left="1267"/>
      </w:pPr>
      <w:r w:rsidRPr="00DE7C15">
        <w:t>Las madres lesbianas no pierden la patria potestad por su orientación sexual.</w:t>
      </w:r>
    </w:p>
    <w:p w14:paraId="5DF2F69F" w14:textId="2D753CE0" w:rsidR="00CE28E1" w:rsidRPr="00DE7C15" w:rsidRDefault="00CE28E1" w:rsidP="00F616E5">
      <w:pPr>
        <w:pStyle w:val="SingleTxt"/>
        <w:numPr>
          <w:ilvl w:val="0"/>
          <w:numId w:val="37"/>
        </w:numPr>
        <w:ind w:left="1267"/>
      </w:pPr>
      <w:r w:rsidRPr="00DE7C15">
        <w:t xml:space="preserve">La Ley núm. </w:t>
      </w:r>
      <w:r w:rsidRPr="00B9592E">
        <w:t>115</w:t>
      </w:r>
      <w:r w:rsidRPr="00DE7C15">
        <w:t>/</w:t>
      </w:r>
      <w:r w:rsidRPr="00B9592E">
        <w:t>2006</w:t>
      </w:r>
      <w:r w:rsidRPr="00DE7C15">
        <w:t xml:space="preserve"> (recop.) de Uniones Registradas introdujo la posibilidad de que las parejas del mismo sexo constituyeran uniones registradas, que no son idénticas al matrimonio, sino que difieren en varios aspectos. De conformidad con el artículo </w:t>
      </w:r>
      <w:r w:rsidRPr="00B9592E">
        <w:t>3020</w:t>
      </w:r>
      <w:r w:rsidRPr="00DE7C15">
        <w:t xml:space="preserve"> del Código Civil, las disposiciones de las partes primera, tercera y cuarta del Código Civil sobre el matrimonio y sobre los derechos y obligaciones de los cónyuges se aplican de forma similar en las uniones registradas. La segunda parte del Código Civil, que regula el derecho de familia, no se aplica a esas uniones. Así, en las uniones registradas no se establece una sociedad conyugal y una de las partes de la unión registrada no puede adoptar al hijo de la otra parte. El Tribunal </w:t>
      </w:r>
      <w:r w:rsidRPr="00DE7C15">
        <w:lastRenderedPageBreak/>
        <w:t xml:space="preserve">Constitucional tuvo ante sí en </w:t>
      </w:r>
      <w:r w:rsidRPr="00B9592E">
        <w:t>2015</w:t>
      </w:r>
      <w:r w:rsidRPr="00DE7C15">
        <w:t xml:space="preserve"> una causa relativa a la adopción de un hijo en una unión registrada y determinó que la exclusión de la adopción del hijo por la pareja de un progenitor no casado es conforme con la Constitución</w:t>
      </w:r>
      <w:r w:rsidRPr="00B9592E">
        <w:rPr>
          <w:vertAlign w:val="superscript"/>
        </w:rPr>
        <w:footnoteReference w:id="18"/>
      </w:r>
      <w:r w:rsidRPr="00DE7C15">
        <w:t>.</w:t>
      </w:r>
    </w:p>
    <w:p w14:paraId="4CEC08D4" w14:textId="46751D0A" w:rsidR="00CE28E1" w:rsidRPr="00DE7C15" w:rsidRDefault="00CE28E1" w:rsidP="00F616E5">
      <w:pPr>
        <w:pStyle w:val="SingleTxt"/>
        <w:numPr>
          <w:ilvl w:val="0"/>
          <w:numId w:val="37"/>
        </w:numPr>
        <w:ind w:left="1267"/>
      </w:pPr>
      <w:r w:rsidRPr="00DE7C15">
        <w:t xml:space="preserve">La ley no regula las uniones informales, pero las reconoce en algunos ámbitos. Por ejemplo, considera a la pareja un allegado. Se asume jurídicamente que las personas que conviven de forma permanente son personas allegadas en el sentido del artículo </w:t>
      </w:r>
      <w:r w:rsidRPr="00B9592E">
        <w:t>22</w:t>
      </w:r>
      <w:r w:rsidRPr="00DE7C15">
        <w:t xml:space="preserve"> del Código Civil. Las mujeres y los hombres tienen los mismos derechos en esas uniones. La formación o disolución de las uniones informales carece de regulación jurídica, y un hombre y una mujer en unión informal no pueden inscribir una unión registrada.</w:t>
      </w:r>
    </w:p>
    <w:p w14:paraId="161B8968" w14:textId="10A96974" w:rsidR="00CE28E1" w:rsidRPr="00DE7C15" w:rsidRDefault="00CE28E1" w:rsidP="00F616E5">
      <w:pPr>
        <w:pStyle w:val="SingleTxt"/>
        <w:numPr>
          <w:ilvl w:val="0"/>
          <w:numId w:val="37"/>
        </w:numPr>
        <w:ind w:left="1267"/>
      </w:pPr>
      <w:r w:rsidRPr="00DE7C15">
        <w:t xml:space="preserve">La celebración del matrimonio da lugar a la constitución de una sociedad conyugal, si bien la ley admite excepciones. Según el artículo </w:t>
      </w:r>
      <w:r w:rsidRPr="00B9592E">
        <w:t>708</w:t>
      </w:r>
      <w:r w:rsidRPr="00DE7C15">
        <w:t xml:space="preserve"> del Código Civil, los bienes comunes de los cónyuges están sujetos a un régimen estatutario, a un régimen contractual o a un régimen establecido por decisión judicial. Según el artículo </w:t>
      </w:r>
      <w:r w:rsidRPr="00B9592E">
        <w:t>716</w:t>
      </w:r>
      <w:r w:rsidRPr="00DE7C15">
        <w:t xml:space="preserve"> del Código Civil, los novios y los cónyuges pueden acordar para su matrimonio un régimen patrimonial distinto del estatutario. Para que el contrato sobre el régimen patrimonial del matrimonio surta efecto, debe adoptar la forma de un instrumento público. El contrato no puede excluir ni modificar la disposición sobre los elementos habituales de la vivienda familiar recogida en el artículo </w:t>
      </w:r>
      <w:r w:rsidRPr="00B9592E">
        <w:t>718</w:t>
      </w:r>
      <w:r w:rsidRPr="00DE7C15">
        <w:t xml:space="preserve"> del Código Civil. Tampoco debe tener el efecto de excluir la capacidad del esposo de mantener a la familia de conformidad con el artículo </w:t>
      </w:r>
      <w:r w:rsidRPr="00B9592E">
        <w:t>719</w:t>
      </w:r>
      <w:r w:rsidRPr="00DE7C15">
        <w:t xml:space="preserve"> del Código Civil. Según el artículo </w:t>
      </w:r>
      <w:r w:rsidRPr="00B9592E">
        <w:t>724</w:t>
      </w:r>
      <w:r w:rsidRPr="00DE7C15">
        <w:t xml:space="preserve"> del Código Civil, por motivo grave y a petición de uno de los cónyuges, un tribunal cancelará la sociedad conyugal o limitará su alcance. Con arreglo al artículo </w:t>
      </w:r>
      <w:r w:rsidRPr="00B9592E">
        <w:t>729</w:t>
      </w:r>
      <w:r w:rsidRPr="00DE7C15">
        <w:t xml:space="preserve"> del Código Civil, en el régimen de separación de bienes un cónyuge puede disponer de sus bienes sin el consentimiento del otro cónyuge.</w:t>
      </w:r>
    </w:p>
    <w:p w14:paraId="39730CD6" w14:textId="61F5FB77" w:rsidR="00CE28E1" w:rsidRPr="00DE7C15" w:rsidRDefault="00CE28E1" w:rsidP="00F616E5">
      <w:pPr>
        <w:pStyle w:val="SingleTxt"/>
        <w:numPr>
          <w:ilvl w:val="0"/>
          <w:numId w:val="37"/>
        </w:numPr>
        <w:ind w:left="1267"/>
      </w:pPr>
      <w:r w:rsidRPr="00DE7C15">
        <w:t>Ambos cónyuges pueden solicitar el divorcio y declarar nulo el matrimonio.</w:t>
      </w:r>
    </w:p>
    <w:p w14:paraId="0DC02E1C" w14:textId="35B2B9AE" w:rsidR="00CE28E1" w:rsidRPr="00DE7C15" w:rsidRDefault="00CE28E1" w:rsidP="00F616E5">
      <w:pPr>
        <w:pStyle w:val="SingleTxt"/>
        <w:numPr>
          <w:ilvl w:val="0"/>
          <w:numId w:val="37"/>
        </w:numPr>
        <w:ind w:left="1267"/>
      </w:pPr>
      <w:r w:rsidRPr="00DE7C15">
        <w:t xml:space="preserve">Hombres y mujeres tienen los mismos derechos de sucesión. El cónyuge pertenece a la categoría de herederos de primer orden, según el artículo </w:t>
      </w:r>
      <w:r w:rsidRPr="00B9592E">
        <w:t>1635</w:t>
      </w:r>
      <w:r w:rsidRPr="00DE7C15">
        <w:t xml:space="preserve"> del Código Civil. En las uniones informales, la persona que ha compartido el hogar común con su pareja durante al menos un año antes del fallecimiento de esta y se ha ocupado del hogar común o dependía de ella para su manutención pertenece a la categoría de herederos de segundo y tercer orden en virtud de los artículos </w:t>
      </w:r>
      <w:r w:rsidRPr="00B9592E">
        <w:t>1636</w:t>
      </w:r>
      <w:r w:rsidRPr="00DE7C15">
        <w:t xml:space="preserve"> y </w:t>
      </w:r>
      <w:r w:rsidRPr="00B9592E">
        <w:t>1637</w:t>
      </w:r>
      <w:r w:rsidRPr="00DE7C15">
        <w:t xml:space="preserve"> del Código Civil.</w:t>
      </w:r>
    </w:p>
    <w:p w14:paraId="20B59CC6" w14:textId="48EC1E83" w:rsidR="00CE28E1" w:rsidRPr="00DE7C15" w:rsidRDefault="00CE28E1" w:rsidP="00F616E5">
      <w:pPr>
        <w:pStyle w:val="SingleTxt"/>
        <w:numPr>
          <w:ilvl w:val="0"/>
          <w:numId w:val="37"/>
        </w:numPr>
        <w:ind w:left="1267"/>
      </w:pPr>
      <w:r w:rsidRPr="00DE7C15">
        <w:t xml:space="preserve">Todos los hijos deben inscribirse en el registro civil en el plazo de tres días hábiles a partir de su nacimiento, de conformidad con el artículo </w:t>
      </w:r>
      <w:r w:rsidRPr="00B9592E">
        <w:t>15</w:t>
      </w:r>
      <w:r w:rsidRPr="00DE7C15">
        <w:t xml:space="preserve"> </w:t>
      </w:r>
      <w:r w:rsidRPr="00B9592E">
        <w:t>4</w:t>
      </w:r>
      <w:r w:rsidRPr="00DE7C15">
        <w:t xml:space="preserve">) de la Ley núm. </w:t>
      </w:r>
      <w:r w:rsidRPr="00B9592E">
        <w:t>301</w:t>
      </w:r>
      <w:r w:rsidRPr="00DE7C15">
        <w:t>/</w:t>
      </w:r>
      <w:r w:rsidRPr="00B9592E">
        <w:t>2000</w:t>
      </w:r>
      <w:r w:rsidRPr="00DE7C15">
        <w:t xml:space="preserve"> (recop.) de Registro de los Nacimientos, los Matrimonios y las Defunciones y de los Cambios de Nombres y Apellidos. La inscripción en el registro de nacimientos se realiza a partir de una notificación escrita del alumbramiento de un hijo nacido vivo o muerto, o sobre la base de una notificación verbal del nacimiento de un hijo fuera de un establecimiento de salud, si la madre no ha recibido servicios de salud, de conformidad con el artículo </w:t>
      </w:r>
      <w:r w:rsidRPr="00B9592E">
        <w:t>14</w:t>
      </w:r>
      <w:r w:rsidRPr="00DE7C15">
        <w:t xml:space="preserve"> de la Ley. El parto debe ser comunicado al registro civil por el proveedor de atención de salud en cuyo centro haya tenido lugar este. En caso contrario, el médico que primero haya prestado servicios médicos en el parto o después del parto deberá notificar el nacimiento de conformidad con el artículo </w:t>
      </w:r>
      <w:r w:rsidRPr="00B9592E">
        <w:t>15</w:t>
      </w:r>
      <w:r w:rsidRPr="00DE7C15">
        <w:t xml:space="preserve"> de la Ley. También están obligados a notificar el nacimiento el padre, representante legal, tutor legal o persona física que hayan tenido conocimiento </w:t>
      </w:r>
      <w:proofErr w:type="gramStart"/>
      <w:r w:rsidRPr="00DE7C15">
        <w:t>del mismo</w:t>
      </w:r>
      <w:proofErr w:type="gramEnd"/>
      <w:r w:rsidRPr="00DE7C15">
        <w:t xml:space="preserve">. El incumplimiento de esta disposición constituye una infracción por la que se puede imponer una multa de hasta </w:t>
      </w:r>
      <w:r w:rsidRPr="00B9592E">
        <w:t>10</w:t>
      </w:r>
      <w:r w:rsidRPr="00DE7C15">
        <w:t>.</w:t>
      </w:r>
      <w:r w:rsidRPr="00B9592E">
        <w:t>000</w:t>
      </w:r>
      <w:r w:rsidRPr="00DE7C15">
        <w:t xml:space="preserve"> coronas checas en virtud del artículo </w:t>
      </w:r>
      <w:r w:rsidRPr="00B9592E">
        <w:t>79</w:t>
      </w:r>
      <w:r w:rsidRPr="00DE7C15">
        <w:t>a de la Ley.</w:t>
      </w:r>
    </w:p>
    <w:p w14:paraId="0176C734" w14:textId="5C7D776D" w:rsidR="00CE28E1" w:rsidRPr="00DE7C15" w:rsidRDefault="00CE28E1" w:rsidP="00F616E5">
      <w:pPr>
        <w:pStyle w:val="SingleTxt"/>
        <w:numPr>
          <w:ilvl w:val="0"/>
          <w:numId w:val="37"/>
        </w:numPr>
        <w:ind w:left="1267"/>
      </w:pPr>
      <w:r w:rsidRPr="00DE7C15">
        <w:lastRenderedPageBreak/>
        <w:t xml:space="preserve">El </w:t>
      </w:r>
      <w:r w:rsidRPr="00B9592E">
        <w:t>1</w:t>
      </w:r>
      <w:r w:rsidRPr="00DE7C15">
        <w:t xml:space="preserve"> de julio de </w:t>
      </w:r>
      <w:r w:rsidRPr="00B9592E">
        <w:t>2021</w:t>
      </w:r>
      <w:r w:rsidRPr="00DE7C15">
        <w:t xml:space="preserve"> entró en vigor la Ley núm. </w:t>
      </w:r>
      <w:r w:rsidRPr="00B9592E">
        <w:t>588</w:t>
      </w:r>
      <w:r w:rsidRPr="00DE7C15">
        <w:t>/</w:t>
      </w:r>
      <w:r w:rsidRPr="00B9592E">
        <w:t>2020</w:t>
      </w:r>
      <w:r w:rsidRPr="00DE7C15">
        <w:t xml:space="preserve"> (recop.) de Pensión Alimenticia Sustitutoria para los Hijos a Cargo y de Modificación de Determinadas Leyes Conexas. La Ley regula las condiciones para conceder una pensión alimenticia sustitutoria a un hijo a cargo en los casos en que la persona que tiene el deber de mantener al hijo incumple esa obligación. La pensión alimenticia sustitutoria es una prestación social que concede y financia el Estado.</w:t>
      </w:r>
    </w:p>
    <w:p w14:paraId="40C693CD" w14:textId="16C6CFB1" w:rsidR="00CE28E1" w:rsidRPr="00DE7C15" w:rsidRDefault="00CE28E1" w:rsidP="00CE28E1">
      <w:r w:rsidRPr="00351610">
        <w:rPr>
          <w:noProof/>
          <w:w w:val="100"/>
        </w:rPr>
        <mc:AlternateContent>
          <mc:Choice Requires="wps">
            <w:drawing>
              <wp:anchor distT="0" distB="0" distL="114300" distR="114300" simplePos="0" relativeHeight="251659264" behindDoc="0" locked="0" layoutInCell="1" allowOverlap="1" wp14:anchorId="641A79BD" wp14:editId="72355AD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70982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E28E1" w:rsidRPr="00DE7C15" w:rsidSect="008443A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10:22:00Z" w:initials="Start">
    <w:p w14:paraId="487E7C0A" w14:textId="77777777" w:rsidR="00DC3C27" w:rsidRPr="00DE7C15" w:rsidRDefault="00DC3C27">
      <w:pPr>
        <w:pStyle w:val="CommentText"/>
        <w:rPr>
          <w:lang w:val="en-US"/>
        </w:rPr>
      </w:pPr>
      <w:r>
        <w:rPr>
          <w:rStyle w:val="CommentReference"/>
        </w:rPr>
        <w:annotationRef/>
      </w:r>
      <w:r w:rsidRPr="00DE7C15">
        <w:rPr>
          <w:lang w:val="en-US"/>
        </w:rPr>
        <w:t>&lt;&lt;ODS JOB NO&gt;&gt;N2400521S&lt;&lt;ODS JOB NO&gt;&gt;</w:t>
      </w:r>
    </w:p>
    <w:p w14:paraId="646901F8" w14:textId="77777777" w:rsidR="00DC3C27" w:rsidRPr="00DE7C15" w:rsidRDefault="00DC3C27">
      <w:pPr>
        <w:pStyle w:val="CommentText"/>
        <w:rPr>
          <w:lang w:val="en-US"/>
        </w:rPr>
      </w:pPr>
      <w:r w:rsidRPr="00DE7C15">
        <w:rPr>
          <w:lang w:val="en-US"/>
        </w:rPr>
        <w:t>&lt;&lt;ODS DOC SYMBOL1&gt;&gt;CEDAW/C/CZE/7&lt;&lt;ODS DOC SYMBOL1&gt;&gt;</w:t>
      </w:r>
    </w:p>
    <w:p w14:paraId="2D00ECF7" w14:textId="2B7D6894" w:rsidR="00DC3C27" w:rsidRPr="00DE7C15" w:rsidRDefault="00DC3C27">
      <w:pPr>
        <w:pStyle w:val="CommentText"/>
        <w:rPr>
          <w:lang w:val="en-US"/>
        </w:rPr>
      </w:pPr>
      <w:r w:rsidRPr="00DE7C1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00EC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AAB68" w16cex:dateUtc="2024-03-12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00ECF7" w16cid:durableId="299AAB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821D1" w14:textId="77777777" w:rsidR="00670BAA" w:rsidRDefault="00670BAA" w:rsidP="00331D20">
      <w:r>
        <w:separator/>
      </w:r>
    </w:p>
  </w:endnote>
  <w:endnote w:type="continuationSeparator" w:id="0">
    <w:p w14:paraId="38F51E61" w14:textId="77777777" w:rsidR="00670BAA" w:rsidRDefault="00670BA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3C27" w14:paraId="669BA158" w14:textId="77777777" w:rsidTr="00DC3C27">
      <w:tc>
        <w:tcPr>
          <w:tcW w:w="4920" w:type="dxa"/>
          <w:shd w:val="clear" w:color="auto" w:fill="auto"/>
          <w:vAlign w:val="bottom"/>
        </w:tcPr>
        <w:p w14:paraId="2DFC1B78" w14:textId="77777777" w:rsidR="00DC3C27" w:rsidRPr="00DC3C27" w:rsidRDefault="00DC3C27" w:rsidP="00DC3C2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BB695BF" w14:textId="77777777" w:rsidR="00DC3C27" w:rsidRPr="00DC3C27" w:rsidRDefault="00DC3C27" w:rsidP="00DC3C2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24-00198</w:t>
          </w:r>
          <w:r>
            <w:rPr>
              <w:b w:val="0"/>
              <w:color w:val="000000"/>
              <w:sz w:val="14"/>
            </w:rPr>
            <w:fldChar w:fldCharType="end"/>
          </w:r>
        </w:p>
      </w:tc>
    </w:tr>
  </w:tbl>
  <w:p w14:paraId="7B898874" w14:textId="77777777" w:rsidR="00DC3C27" w:rsidRPr="00DC3C27" w:rsidRDefault="00DC3C27" w:rsidP="00DC3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3C27" w14:paraId="0C0B28F7" w14:textId="77777777" w:rsidTr="00DC3C27">
      <w:tc>
        <w:tcPr>
          <w:tcW w:w="4920" w:type="dxa"/>
          <w:shd w:val="clear" w:color="auto" w:fill="auto"/>
          <w:vAlign w:val="bottom"/>
        </w:tcPr>
        <w:p w14:paraId="76D451FE" w14:textId="77777777" w:rsidR="00DC3C27" w:rsidRPr="00DC3C27" w:rsidRDefault="00DC3C27" w:rsidP="00DC3C2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24-00198</w:t>
          </w:r>
          <w:r>
            <w:rPr>
              <w:b w:val="0"/>
              <w:color w:val="000000"/>
              <w:sz w:val="14"/>
            </w:rPr>
            <w:fldChar w:fldCharType="end"/>
          </w:r>
        </w:p>
      </w:tc>
      <w:tc>
        <w:tcPr>
          <w:tcW w:w="4920" w:type="dxa"/>
          <w:shd w:val="clear" w:color="auto" w:fill="auto"/>
          <w:vAlign w:val="bottom"/>
        </w:tcPr>
        <w:p w14:paraId="4A5A7A1B" w14:textId="77777777" w:rsidR="00DC3C27" w:rsidRPr="00DC3C27" w:rsidRDefault="00DC3C27" w:rsidP="00DC3C2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9FBADE2" w14:textId="77777777" w:rsidR="009106EF" w:rsidRPr="009106EF" w:rsidRDefault="009106EF" w:rsidP="00DC3C27">
    <w:pPr>
      <w:pStyle w:val="Foote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BF8BE" w14:textId="77777777" w:rsidR="00DC3C27" w:rsidRPr="00DC3C27" w:rsidRDefault="00DC3C27" w:rsidP="00DC3C27">
    <w:pPr>
      <w:pStyle w:val="Footer"/>
      <w:spacing w:line="120" w:lineRule="exact"/>
      <w:rPr>
        <w:b w:val="0"/>
        <w:sz w:val="10"/>
      </w:rPr>
    </w:pPr>
    <w:r>
      <w:rPr>
        <w:b w:val="0"/>
        <w:sz w:val="10"/>
      </w:rPr>
      <w:drawing>
        <wp:anchor distT="0" distB="0" distL="114300" distR="114300" simplePos="0" relativeHeight="251658240" behindDoc="0" locked="0" layoutInCell="1" allowOverlap="1" wp14:anchorId="4AD6AD9A" wp14:editId="28CECEB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3C27" w14:paraId="39498207" w14:textId="77777777" w:rsidTr="00DC3C27">
      <w:tc>
        <w:tcPr>
          <w:tcW w:w="3830" w:type="dxa"/>
          <w:shd w:val="clear" w:color="auto" w:fill="auto"/>
        </w:tcPr>
        <w:p w14:paraId="35826DDC" w14:textId="23675DB5" w:rsidR="00DC3C27" w:rsidRDefault="00DC3C27" w:rsidP="00DC3C27">
          <w:pPr>
            <w:pStyle w:val="ReleaseDate"/>
          </w:pPr>
          <w:r>
            <w:t>24-00198 (S)    1</w:t>
          </w:r>
          <w:r w:rsidR="00CE28E1">
            <w:t>4</w:t>
          </w:r>
          <w:r>
            <w:t>0</w:t>
          </w:r>
          <w:r w:rsidR="00CE28E1">
            <w:t>2</w:t>
          </w:r>
          <w:r>
            <w:t xml:space="preserve">24    </w:t>
          </w:r>
          <w:r w:rsidR="00CE28E1">
            <w:t>27</w:t>
          </w:r>
          <w:r>
            <w:t>0324</w:t>
          </w:r>
        </w:p>
        <w:p w14:paraId="67BD6CC8" w14:textId="77777777" w:rsidR="00DC3C27" w:rsidRPr="00DC3C27" w:rsidRDefault="00DC3C27" w:rsidP="00DC3C2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*2400198*</w:t>
          </w:r>
        </w:p>
      </w:tc>
      <w:tc>
        <w:tcPr>
          <w:tcW w:w="4920" w:type="dxa"/>
          <w:shd w:val="clear" w:color="auto" w:fill="auto"/>
        </w:tcPr>
        <w:p w14:paraId="69032905" w14:textId="77777777" w:rsidR="00DC3C27" w:rsidRDefault="00DC3C27" w:rsidP="00DC3C27">
          <w:pPr>
            <w:pStyle w:val="Footer"/>
            <w:ind w:right="86"/>
            <w:jc w:val="right"/>
            <w:rPr>
              <w:b w:val="0"/>
              <w:sz w:val="20"/>
            </w:rPr>
          </w:pPr>
          <w:r>
            <w:rPr>
              <w:b w:val="0"/>
              <w:sz w:val="20"/>
            </w:rPr>
            <w:drawing>
              <wp:inline distT="0" distB="0" distL="0" distR="0" wp14:anchorId="20DD90FC" wp14:editId="6F0FDE1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0E1EE2" w14:textId="77777777" w:rsidR="00DC3C27" w:rsidRPr="00DC3C27" w:rsidRDefault="00DC3C27" w:rsidP="00DC3C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36EF" w14:textId="77777777" w:rsidR="00670BAA" w:rsidRPr="00554041" w:rsidRDefault="00670BAA" w:rsidP="00554041">
      <w:pPr>
        <w:pStyle w:val="Footer"/>
        <w:spacing w:after="80"/>
        <w:ind w:left="792"/>
        <w:rPr>
          <w:sz w:val="16"/>
        </w:rPr>
      </w:pPr>
      <w:r w:rsidRPr="00554041">
        <w:rPr>
          <w:sz w:val="16"/>
        </w:rPr>
        <w:t>__________________</w:t>
      </w:r>
    </w:p>
  </w:footnote>
  <w:footnote w:type="continuationSeparator" w:id="0">
    <w:p w14:paraId="0A266B1A" w14:textId="77777777" w:rsidR="00670BAA" w:rsidRPr="00554041" w:rsidRDefault="00670BAA" w:rsidP="00554041">
      <w:pPr>
        <w:pStyle w:val="Footer"/>
        <w:spacing w:after="80"/>
        <w:ind w:left="792"/>
        <w:rPr>
          <w:sz w:val="16"/>
        </w:rPr>
      </w:pPr>
      <w:r w:rsidRPr="00554041">
        <w:rPr>
          <w:sz w:val="16"/>
        </w:rPr>
        <w:t>__________________</w:t>
      </w:r>
    </w:p>
  </w:footnote>
  <w:footnote w:id="1">
    <w:p w14:paraId="6D4F8491" w14:textId="549A0FA6"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pPr>
      <w:r>
        <w:tab/>
      </w:r>
      <w:r w:rsidRPr="00B9592E">
        <w:rPr>
          <w:rStyle w:val="FootnoteReference"/>
        </w:rPr>
        <w:footnoteRef/>
      </w:r>
      <w:r>
        <w:tab/>
      </w:r>
      <w:hyperlink r:id="rId1" w:history="1">
        <w:r w:rsidR="00554041" w:rsidRPr="00B9592E">
          <w:rPr>
            <w:rStyle w:val="Hyperlink"/>
          </w:rPr>
          <w:t>https://www.ochrance.cz/uploads-import/DISKRIMINACE/Vyzkum/2020-vyzkum_judikatura-DIS.pdf</w:t>
        </w:r>
      </w:hyperlink>
      <w:r>
        <w:t>.</w:t>
      </w:r>
    </w:p>
  </w:footnote>
  <w:footnote w:id="2">
    <w:p w14:paraId="1E9DA8E3" w14:textId="6ABB22C4"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r>
      <w:hyperlink r:id="rId2" w:history="1">
        <w:r w:rsidR="00554041" w:rsidRPr="00B9592E">
          <w:rPr>
            <w:rStyle w:val="Hyperlink"/>
          </w:rPr>
          <w:t>https://www.vlada.cz/assets/ppov/rovne-prilezitosti-zen-a-muzu/dokumenty/AP-DN---grafikaFINAL.pdf,https://www.profem.cz/shared/clanky/970/V%C3%9DZKUMN%C3%81%20ZPR%C3%81VA_sexualni%20nasili_2021%20-%20Copy%201.pdf</w:t>
        </w:r>
      </w:hyperlink>
      <w:r>
        <w:t>.</w:t>
      </w:r>
    </w:p>
  </w:footnote>
  <w:footnote w:id="3">
    <w:p w14:paraId="2164C9D5" w14:textId="4CA1A604"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r>
      <w:hyperlink r:id="rId3" w:history="1">
        <w:r w:rsidR="00554041" w:rsidRPr="00B9592E">
          <w:rPr>
            <w:rStyle w:val="Hyperlink"/>
          </w:rPr>
          <w:t>https://www.czso.cz/documents/10180/142141209/3000022107.pdf/64e2a824-15dd-4f17-a11e-0437068351a6?version=1.3</w:t>
        </w:r>
      </w:hyperlink>
      <w:r>
        <w:t>.</w:t>
      </w:r>
    </w:p>
  </w:footnote>
  <w:footnote w:id="4">
    <w:p w14:paraId="329FC127" w14:textId="0CCEAEB6"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 w:val="16"/>
          <w:szCs w:val="16"/>
        </w:rPr>
      </w:pPr>
      <w:r>
        <w:rPr>
          <w:szCs w:val="18"/>
        </w:rPr>
        <w:tab/>
      </w:r>
      <w:r w:rsidRPr="00B9592E">
        <w:rPr>
          <w:rStyle w:val="FootnoteReference"/>
          <w:szCs w:val="18"/>
        </w:rPr>
        <w:footnoteRef/>
      </w:r>
      <w:r>
        <w:tab/>
      </w:r>
      <w:hyperlink r:id="rId4" w:history="1">
        <w:r w:rsidR="00554041" w:rsidRPr="00B9592E">
          <w:rPr>
            <w:rStyle w:val="Hyperlink"/>
          </w:rPr>
          <w:t>https://eige.europa.eu/gender-equality-index/2021/domain/power/CZ</w:t>
        </w:r>
      </w:hyperlink>
      <w:r>
        <w:t>.</w:t>
      </w:r>
    </w:p>
  </w:footnote>
  <w:footnote w:id="5">
    <w:p w14:paraId="35C1C7AA" w14:textId="10A12DC1"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 w:val="16"/>
          <w:szCs w:val="16"/>
        </w:rPr>
        <w:tab/>
      </w:r>
      <w:r w:rsidRPr="00B9592E">
        <w:rPr>
          <w:rStyle w:val="FootnoteReference"/>
          <w:szCs w:val="18"/>
        </w:rPr>
        <w:footnoteRef/>
      </w:r>
      <w:r>
        <w:tab/>
      </w:r>
      <w:hyperlink r:id="rId5" w:history="1">
        <w:r w:rsidR="00554041" w:rsidRPr="00B9592E">
          <w:rPr>
            <w:rStyle w:val="Hyperlink"/>
          </w:rPr>
          <w:t>https://eige.europa.eu/gender-statistics/dgs/indicator/wmidm_bus_bus__wmid_comp_compbm</w:t>
        </w:r>
      </w:hyperlink>
      <w:r>
        <w:t>.</w:t>
      </w:r>
    </w:p>
  </w:footnote>
  <w:footnote w:id="6">
    <w:p w14:paraId="66159E12" w14:textId="5085F229" w:rsidR="00CE28E1" w:rsidRPr="00C702D1"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sidRPr="00991097">
        <w:rPr>
          <w:szCs w:val="18"/>
        </w:rPr>
        <w:tab/>
      </w:r>
      <w:r w:rsidRPr="00B9592E">
        <w:rPr>
          <w:rStyle w:val="FootnoteReference"/>
          <w:szCs w:val="18"/>
        </w:rPr>
        <w:footnoteRef/>
      </w:r>
      <w:r>
        <w:tab/>
      </w:r>
      <w:hyperlink r:id="rId6" w:history="1">
        <w:r w:rsidR="00554041" w:rsidRPr="00B9592E">
          <w:rPr>
            <w:rStyle w:val="Hyperlink"/>
          </w:rPr>
          <w:t>http://www.genderovamapa.cz</w:t>
        </w:r>
      </w:hyperlink>
      <w:r>
        <w:t>.</w:t>
      </w:r>
    </w:p>
  </w:footnote>
  <w:footnote w:id="7">
    <w:p w14:paraId="665E0628" w14:textId="77777777" w:rsidR="00CE28E1" w:rsidRPr="00690882"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sidRPr="00991097">
        <w:rPr>
          <w:szCs w:val="18"/>
        </w:rPr>
        <w:tab/>
      </w:r>
      <w:r w:rsidRPr="00B9592E">
        <w:rPr>
          <w:rStyle w:val="FootnoteReference"/>
          <w:szCs w:val="18"/>
        </w:rPr>
        <w:footnoteRef/>
      </w:r>
      <w:r>
        <w:tab/>
        <w:t xml:space="preserve">Se trata de la obligación establecida en el artículo </w:t>
      </w:r>
      <w:r w:rsidRPr="00B9592E">
        <w:t>118</w:t>
      </w:r>
      <w:r>
        <w:t xml:space="preserve"> </w:t>
      </w:r>
      <w:r w:rsidRPr="00B9592E">
        <w:t>4</w:t>
      </w:r>
      <w:r>
        <w:t xml:space="preserve">) l) de la Ley núm. </w:t>
      </w:r>
      <w:r w:rsidRPr="00B9592E">
        <w:t>256</w:t>
      </w:r>
      <w:r>
        <w:t>/</w:t>
      </w:r>
      <w:r w:rsidRPr="00B9592E">
        <w:t>2004</w:t>
      </w:r>
      <w:r>
        <w:t xml:space="preserve"> (recop.) de Entidades del Mercado de Capitales, a saber, la obligación de los emisores pertinentes de describir en sus informes anuales la aplicación de la política de diversidad, incluida la determinación de las buenas prácticas en materia de política de diversidad, en relación con criterios como la edad, el sexo o la educación.</w:t>
      </w:r>
    </w:p>
  </w:footnote>
  <w:footnote w:id="8">
    <w:p w14:paraId="401F22C5" w14:textId="504EB6EB"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r>
      <w:hyperlink r:id="rId7" w:history="1">
        <w:r w:rsidR="00554041" w:rsidRPr="00B9592E">
          <w:rPr>
            <w:rStyle w:val="Hyperlink"/>
          </w:rPr>
          <w:t>https://www.vlada.cz/assets/ppov/rovne-prilezitosti-zen-a-muzu/dokumenty/Manual-k-popisu-politiky-rozmanitosti-ve-vyrocnich-zpravach.pdf</w:t>
        </w:r>
      </w:hyperlink>
      <w:r>
        <w:t>.</w:t>
      </w:r>
    </w:p>
  </w:footnote>
  <w:footnote w:id="9">
    <w:p w14:paraId="0585AB2C" w14:textId="2DB4DF8B"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rStyle w:val="FootnoteReference"/>
          <w:szCs w:val="18"/>
        </w:rPr>
      </w:pPr>
      <w:r>
        <w:rPr>
          <w:szCs w:val="18"/>
        </w:rPr>
        <w:tab/>
      </w:r>
      <w:r w:rsidRPr="00B9592E">
        <w:rPr>
          <w:rStyle w:val="FootnoteReference"/>
        </w:rPr>
        <w:footnoteRef/>
      </w:r>
      <w:r>
        <w:tab/>
      </w:r>
      <w:hyperlink r:id="rId8" w:anchor="{%22sort%22:[%22ESCPublicationDate%20Descending%" w:history="1">
        <w:r w:rsidRPr="00B9592E">
          <w:rPr>
            <w:rStyle w:val="Hyperlink"/>
          </w:rPr>
          <w:t>https://hudoc.esc.coe.int/fre/#{%22sort%22:[%22ESCPublicationDate%</w:t>
        </w:r>
        <w:r w:rsidR="00554041" w:rsidRPr="00B9592E">
          <w:rPr>
            <w:rStyle w:val="Hyperlink"/>
          </w:rPr>
          <w:br/>
        </w:r>
        <w:r w:rsidRPr="00B9592E">
          <w:rPr>
            <w:rStyle w:val="Hyperlink"/>
          </w:rPr>
          <w:t>20Descending%22],%22ESCDcIdentifier%22:[%22cc-128-2016-dmerits-en%22]}</w:t>
        </w:r>
      </w:hyperlink>
      <w:r w:rsidR="00554041">
        <w:t>.</w:t>
      </w:r>
    </w:p>
  </w:footnote>
  <w:footnote w:id="10">
    <w:p w14:paraId="74047506" w14:textId="77777777"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szCs w:val="18"/>
          <w:vertAlign w:val="superscript"/>
        </w:rPr>
        <w:footnoteRef/>
      </w:r>
      <w:r>
        <w:tab/>
        <w:t xml:space="preserve">Concretamente, son las medidas </w:t>
      </w:r>
      <w:r w:rsidRPr="00B9592E">
        <w:t>1</w:t>
      </w:r>
      <w:r>
        <w:t>.</w:t>
      </w:r>
      <w:r w:rsidRPr="00B9592E">
        <w:t>5</w:t>
      </w:r>
      <w:r>
        <w:t>.</w:t>
      </w:r>
      <w:r w:rsidRPr="00B9592E">
        <w:t>1</w:t>
      </w:r>
      <w:r>
        <w:t xml:space="preserve"> a </w:t>
      </w:r>
      <w:r w:rsidRPr="00B9592E">
        <w:t>1</w:t>
      </w:r>
      <w:r>
        <w:t>.</w:t>
      </w:r>
      <w:r w:rsidRPr="00B9592E">
        <w:t>5</w:t>
      </w:r>
      <w:r>
        <w:t>.</w:t>
      </w:r>
      <w:r w:rsidRPr="00B9592E">
        <w:t>5</w:t>
      </w:r>
      <w:r>
        <w:t xml:space="preserve"> del capítulo relativo a la adopción de decisiones.</w:t>
      </w:r>
    </w:p>
  </w:footnote>
  <w:footnote w:id="11">
    <w:p w14:paraId="6A0A504D" w14:textId="77777777"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t xml:space="preserve">Desde el </w:t>
      </w:r>
      <w:r w:rsidRPr="00B9592E">
        <w:t>1</w:t>
      </w:r>
      <w:r>
        <w:t xml:space="preserve"> de enero de </w:t>
      </w:r>
      <w:r w:rsidRPr="00B9592E">
        <w:t>2020</w:t>
      </w:r>
      <w:r>
        <w:t>, el Instituto Pedagógico Nacional de la República Checa ha asumido las actividades del Instituto Nacional de Educación.</w:t>
      </w:r>
    </w:p>
  </w:footnote>
  <w:footnote w:id="12">
    <w:p w14:paraId="28B7942F" w14:textId="74FB380D"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r>
      <w:hyperlink r:id="rId9" w:history="1">
        <w:r w:rsidR="00554041" w:rsidRPr="00B9592E">
          <w:rPr>
            <w:rStyle w:val="Hyperlink"/>
          </w:rPr>
          <w:t>https://www.nidv.cz/old/gender-ve-skole</w:t>
        </w:r>
      </w:hyperlink>
      <w:r>
        <w:t>.</w:t>
      </w:r>
    </w:p>
  </w:footnote>
  <w:footnote w:id="13">
    <w:p w14:paraId="25BC8C5E" w14:textId="2F058BCA"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r>
      <w:hyperlink r:id="rId10" w:history="1">
        <w:r w:rsidR="00554041" w:rsidRPr="00B9592E">
          <w:rPr>
            <w:rStyle w:val="Hyperlink"/>
          </w:rPr>
          <w:t>https://www.rovnaodmena.cz/</w:t>
        </w:r>
      </w:hyperlink>
      <w:r>
        <w:t>.</w:t>
      </w:r>
    </w:p>
  </w:footnote>
  <w:footnote w:id="14">
    <w:p w14:paraId="4D61BBF4" w14:textId="62549E32" w:rsidR="00CE28E1" w:rsidRPr="00554041" w:rsidRDefault="00CE28E1" w:rsidP="00554041">
      <w:pPr>
        <w:pStyle w:val="FootnoteText"/>
        <w:tabs>
          <w:tab w:val="clear" w:pos="418"/>
          <w:tab w:val="right" w:pos="1195"/>
          <w:tab w:val="left" w:pos="1267"/>
          <w:tab w:val="left" w:pos="1742"/>
          <w:tab w:val="left" w:pos="2218"/>
          <w:tab w:val="left" w:pos="2693"/>
        </w:tabs>
        <w:ind w:left="1267" w:right="1267" w:hanging="432"/>
      </w:pPr>
      <w:r>
        <w:rPr>
          <w:szCs w:val="18"/>
        </w:rPr>
        <w:tab/>
      </w:r>
      <w:r w:rsidRPr="00B9592E">
        <w:rPr>
          <w:rStyle w:val="FootnoteReference"/>
          <w:szCs w:val="18"/>
        </w:rPr>
        <w:footnoteRef/>
      </w:r>
      <w:r>
        <w:tab/>
      </w:r>
      <w:hyperlink r:id="rId11" w:history="1">
        <w:r w:rsidR="00554041" w:rsidRPr="00B9592E">
          <w:rPr>
            <w:rStyle w:val="Hyperlink"/>
          </w:rPr>
          <w:t>https://www.ochrance.cz/fileadmin/user_upload/Publikace/sborniky_stanoviska/</w:t>
        </w:r>
        <w:r w:rsidR="00554041" w:rsidRPr="00B9592E">
          <w:rPr>
            <w:rStyle w:val="Hyperlink"/>
          </w:rPr>
          <w:br/>
          <w:t>Sbornik_Diskriminace.pdf</w:t>
        </w:r>
      </w:hyperlink>
      <w:r>
        <w:t>.</w:t>
      </w:r>
    </w:p>
  </w:footnote>
  <w:footnote w:id="15">
    <w:p w14:paraId="39745642" w14:textId="77777777"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t>La información facilitada sobre los servicios de partería no se aplica en los partos fisiológicos en establecimientos hospitalarios.</w:t>
      </w:r>
    </w:p>
  </w:footnote>
  <w:footnote w:id="16">
    <w:p w14:paraId="3F1DFAEB" w14:textId="77777777"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t xml:space="preserve">Sentencia de </w:t>
      </w:r>
      <w:r w:rsidRPr="00B9592E">
        <w:t>11</w:t>
      </w:r>
      <w:r>
        <w:t xml:space="preserve"> de diciembre de </w:t>
      </w:r>
      <w:r w:rsidRPr="00B9592E">
        <w:t>2014</w:t>
      </w:r>
      <w:r>
        <w:t xml:space="preserve"> en el asunto núm. </w:t>
      </w:r>
      <w:r w:rsidRPr="00B9592E">
        <w:t>43643</w:t>
      </w:r>
      <w:r>
        <w:t>/</w:t>
      </w:r>
      <w:r w:rsidRPr="00B9592E">
        <w:t>10</w:t>
      </w:r>
      <w:r>
        <w:t>.</w:t>
      </w:r>
    </w:p>
  </w:footnote>
  <w:footnote w:id="17">
    <w:p w14:paraId="7C2FD425" w14:textId="77777777" w:rsidR="00CE28E1" w:rsidRPr="006E0AEF"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t xml:space="preserve">Sentencia de la Gran Sala de </w:t>
      </w:r>
      <w:r w:rsidRPr="00B9592E">
        <w:t>15</w:t>
      </w:r>
      <w:r>
        <w:t xml:space="preserve"> de noviembre de </w:t>
      </w:r>
      <w:r w:rsidRPr="00B9592E">
        <w:t>2016</w:t>
      </w:r>
      <w:r>
        <w:t xml:space="preserve"> en los asuntos núms. </w:t>
      </w:r>
      <w:r w:rsidRPr="00B9592E">
        <w:t>28859</w:t>
      </w:r>
      <w:r>
        <w:t>/</w:t>
      </w:r>
      <w:r w:rsidRPr="00B9592E">
        <w:t>11</w:t>
      </w:r>
      <w:r>
        <w:t xml:space="preserve"> y </w:t>
      </w:r>
      <w:r w:rsidRPr="00B9592E">
        <w:t>28473</w:t>
      </w:r>
      <w:r>
        <w:t>/</w:t>
      </w:r>
      <w:r w:rsidRPr="00B9592E">
        <w:t>12</w:t>
      </w:r>
      <w:r>
        <w:t>.</w:t>
      </w:r>
    </w:p>
  </w:footnote>
  <w:footnote w:id="18">
    <w:p w14:paraId="51EA9A48" w14:textId="547239BA" w:rsidR="00CE28E1" w:rsidRPr="00991097" w:rsidRDefault="00CE28E1" w:rsidP="0055404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B9592E">
        <w:rPr>
          <w:rStyle w:val="FootnoteReference"/>
          <w:szCs w:val="18"/>
        </w:rPr>
        <w:footnoteRef/>
      </w:r>
      <w:r>
        <w:tab/>
        <w:t xml:space="preserve">Decisión del Tribunal Constitucional núm. Pl. ÚS </w:t>
      </w:r>
      <w:hyperlink r:id="rId12" w:history="1">
        <w:r w:rsidRPr="00B9592E">
          <w:rPr>
            <w:rStyle w:val="Hyperlink"/>
          </w:rPr>
          <w:t>10/15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3C27" w14:paraId="62C2E730" w14:textId="77777777" w:rsidTr="00DC3C27">
      <w:trPr>
        <w:trHeight w:hRule="exact" w:val="864"/>
      </w:trPr>
      <w:tc>
        <w:tcPr>
          <w:tcW w:w="4920" w:type="dxa"/>
          <w:shd w:val="clear" w:color="auto" w:fill="auto"/>
          <w:vAlign w:val="bottom"/>
        </w:tcPr>
        <w:p w14:paraId="3733EB18" w14:textId="77777777" w:rsidR="00DC3C27" w:rsidRPr="00DC3C27" w:rsidRDefault="00DC3C27" w:rsidP="00DC3C27">
          <w:pPr>
            <w:pStyle w:val="Header"/>
            <w:spacing w:after="80"/>
            <w:rPr>
              <w:b/>
            </w:rPr>
          </w:pPr>
          <w:r>
            <w:rPr>
              <w:b/>
            </w:rPr>
            <w:fldChar w:fldCharType="begin"/>
          </w:r>
          <w:r>
            <w:rPr>
              <w:b/>
            </w:rPr>
            <w:instrText xml:space="preserve"> DOCVARIABLE "Symbol1" \* MERGEFORMAT </w:instrText>
          </w:r>
          <w:r>
            <w:rPr>
              <w:b/>
            </w:rPr>
            <w:fldChar w:fldCharType="separate"/>
          </w:r>
          <w:r>
            <w:rPr>
              <w:b/>
            </w:rPr>
            <w:t>CEDAW/C/CZE/7</w:t>
          </w:r>
          <w:r>
            <w:rPr>
              <w:b/>
            </w:rPr>
            <w:fldChar w:fldCharType="end"/>
          </w:r>
        </w:p>
      </w:tc>
      <w:tc>
        <w:tcPr>
          <w:tcW w:w="4920" w:type="dxa"/>
          <w:shd w:val="clear" w:color="auto" w:fill="auto"/>
          <w:vAlign w:val="bottom"/>
        </w:tcPr>
        <w:p w14:paraId="5DCED4B4" w14:textId="77777777" w:rsidR="00DC3C27" w:rsidRDefault="00DC3C27" w:rsidP="00DC3C27">
          <w:pPr>
            <w:pStyle w:val="Header"/>
          </w:pPr>
        </w:p>
      </w:tc>
    </w:tr>
  </w:tbl>
  <w:p w14:paraId="6A2C088F" w14:textId="77777777" w:rsidR="00DC3C27" w:rsidRPr="00DC3C27" w:rsidRDefault="00DC3C27" w:rsidP="00DC3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3C27" w14:paraId="63FC35B2" w14:textId="77777777" w:rsidTr="00DC3C27">
      <w:trPr>
        <w:trHeight w:hRule="exact" w:val="864"/>
      </w:trPr>
      <w:tc>
        <w:tcPr>
          <w:tcW w:w="4920" w:type="dxa"/>
          <w:shd w:val="clear" w:color="auto" w:fill="auto"/>
          <w:vAlign w:val="bottom"/>
        </w:tcPr>
        <w:p w14:paraId="644142F1" w14:textId="77777777" w:rsidR="00DC3C27" w:rsidRDefault="00DC3C27" w:rsidP="00DC3C27">
          <w:pPr>
            <w:pStyle w:val="Header"/>
          </w:pPr>
        </w:p>
      </w:tc>
      <w:tc>
        <w:tcPr>
          <w:tcW w:w="4920" w:type="dxa"/>
          <w:shd w:val="clear" w:color="auto" w:fill="auto"/>
          <w:vAlign w:val="bottom"/>
        </w:tcPr>
        <w:p w14:paraId="36B1F476" w14:textId="77777777" w:rsidR="00DC3C27" w:rsidRPr="00DC3C27" w:rsidRDefault="00DC3C27" w:rsidP="00DC3C27">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CEDAW/C/CZE/7</w:t>
          </w:r>
          <w:r>
            <w:rPr>
              <w:b/>
            </w:rPr>
            <w:fldChar w:fldCharType="end"/>
          </w:r>
        </w:p>
      </w:tc>
    </w:tr>
  </w:tbl>
  <w:p w14:paraId="5DA4DDE8" w14:textId="77777777" w:rsidR="00DC3C27" w:rsidRPr="00DC3C27" w:rsidRDefault="00DC3C27" w:rsidP="00DC3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3C27" w14:paraId="2C4DFCFD" w14:textId="77777777" w:rsidTr="00DC3C27">
      <w:trPr>
        <w:gridAfter w:val="1"/>
        <w:wAfter w:w="15" w:type="dxa"/>
        <w:trHeight w:hRule="exact" w:val="864"/>
      </w:trPr>
      <w:tc>
        <w:tcPr>
          <w:tcW w:w="1267" w:type="dxa"/>
          <w:tcBorders>
            <w:bottom w:val="single" w:sz="4" w:space="0" w:color="auto"/>
          </w:tcBorders>
          <w:shd w:val="clear" w:color="auto" w:fill="auto"/>
          <w:vAlign w:val="bottom"/>
        </w:tcPr>
        <w:p w14:paraId="75439A19" w14:textId="77777777" w:rsidR="00DC3C27" w:rsidRDefault="00DC3C27" w:rsidP="00DC3C27">
          <w:pPr>
            <w:pStyle w:val="Header"/>
            <w:spacing w:after="120"/>
          </w:pPr>
        </w:p>
      </w:tc>
      <w:tc>
        <w:tcPr>
          <w:tcW w:w="2059" w:type="dxa"/>
          <w:tcBorders>
            <w:bottom w:val="single" w:sz="4" w:space="0" w:color="auto"/>
          </w:tcBorders>
          <w:shd w:val="clear" w:color="auto" w:fill="auto"/>
          <w:vAlign w:val="bottom"/>
        </w:tcPr>
        <w:p w14:paraId="3D7BA2E6" w14:textId="77777777" w:rsidR="00DC3C27" w:rsidRPr="00DC3C27" w:rsidRDefault="00DC3C27" w:rsidP="00DC3C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B252819" w14:textId="77777777" w:rsidR="00DC3C27" w:rsidRDefault="00DC3C27" w:rsidP="00DC3C27">
          <w:pPr>
            <w:pStyle w:val="Header"/>
            <w:spacing w:after="120"/>
          </w:pPr>
        </w:p>
      </w:tc>
      <w:tc>
        <w:tcPr>
          <w:tcW w:w="6480" w:type="dxa"/>
          <w:gridSpan w:val="3"/>
          <w:tcBorders>
            <w:bottom w:val="single" w:sz="4" w:space="0" w:color="auto"/>
          </w:tcBorders>
          <w:shd w:val="clear" w:color="auto" w:fill="auto"/>
          <w:vAlign w:val="bottom"/>
        </w:tcPr>
        <w:p w14:paraId="6B80190D" w14:textId="77777777" w:rsidR="00DC3C27" w:rsidRPr="00DC3C27" w:rsidRDefault="00DC3C27" w:rsidP="00DC3C27">
          <w:pPr>
            <w:spacing w:after="80" w:line="240" w:lineRule="auto"/>
            <w:jc w:val="right"/>
            <w:rPr>
              <w:position w:val="-4"/>
            </w:rPr>
          </w:pPr>
          <w:r>
            <w:rPr>
              <w:position w:val="-4"/>
              <w:sz w:val="40"/>
            </w:rPr>
            <w:t>CEDAW</w:t>
          </w:r>
          <w:r>
            <w:rPr>
              <w:position w:val="-4"/>
            </w:rPr>
            <w:t>/C/CZE/7</w:t>
          </w:r>
        </w:p>
      </w:tc>
    </w:tr>
    <w:tr w:rsidR="00DC3C27" w:rsidRPr="00DC3C27" w14:paraId="57E113A8" w14:textId="77777777" w:rsidTr="00DC3C27">
      <w:trPr>
        <w:trHeight w:hRule="exact" w:val="2880"/>
      </w:trPr>
      <w:tc>
        <w:tcPr>
          <w:tcW w:w="1267" w:type="dxa"/>
          <w:tcBorders>
            <w:top w:val="single" w:sz="4" w:space="0" w:color="auto"/>
            <w:bottom w:val="single" w:sz="12" w:space="0" w:color="auto"/>
          </w:tcBorders>
          <w:shd w:val="clear" w:color="auto" w:fill="auto"/>
        </w:tcPr>
        <w:p w14:paraId="46EF33BA" w14:textId="77777777" w:rsidR="00DC3C27" w:rsidRPr="00DC3C27" w:rsidRDefault="00DC3C27" w:rsidP="00DC3C27">
          <w:pPr>
            <w:pStyle w:val="Header"/>
            <w:spacing w:before="120"/>
            <w:jc w:val="center"/>
          </w:pPr>
          <w:r>
            <w:t xml:space="preserve"> </w:t>
          </w:r>
          <w:r>
            <w:drawing>
              <wp:inline distT="0" distB="0" distL="0" distR="0" wp14:anchorId="0A902976" wp14:editId="5793595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A03ACA" w14:textId="77777777" w:rsidR="00DC3C27" w:rsidRPr="00DC3C27" w:rsidRDefault="00DC3C27" w:rsidP="00DC3C2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FC3784" w14:textId="77777777" w:rsidR="00DC3C27" w:rsidRPr="00CE28E1" w:rsidRDefault="00DC3C27" w:rsidP="00DC3C2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8EA9E85" w14:textId="77777777" w:rsidR="00DC3C27" w:rsidRDefault="00DC3C27" w:rsidP="00DC3C27">
          <w:pPr>
            <w:pStyle w:val="Distribution"/>
            <w:spacing w:before="240"/>
          </w:pPr>
          <w:r>
            <w:t>Distr. general</w:t>
          </w:r>
        </w:p>
        <w:p w14:paraId="7BD00671" w14:textId="77777777" w:rsidR="00DC3C27" w:rsidRDefault="00DC3C27" w:rsidP="00DC3C27">
          <w:pPr>
            <w:pStyle w:val="Publication"/>
          </w:pPr>
          <w:r>
            <w:t>8 de enero de 2024</w:t>
          </w:r>
        </w:p>
        <w:p w14:paraId="76940ABE" w14:textId="77777777" w:rsidR="00DC3C27" w:rsidRDefault="00DC3C27" w:rsidP="00DC3C27">
          <w:r>
            <w:t>Español</w:t>
          </w:r>
        </w:p>
        <w:p w14:paraId="286D183B" w14:textId="77777777" w:rsidR="00DC3C27" w:rsidRDefault="00DC3C27" w:rsidP="00DC3C27">
          <w:pPr>
            <w:pStyle w:val="Original"/>
          </w:pPr>
          <w:r>
            <w:t>Original: inglés</w:t>
          </w:r>
        </w:p>
        <w:p w14:paraId="7C4756FD" w14:textId="6F787093" w:rsidR="00DC3C27" w:rsidRPr="00DC3C27" w:rsidRDefault="00CE28E1" w:rsidP="00CE28E1">
          <w:r w:rsidRPr="00CE28E1">
            <w:t>Español, francés e inglés únicamente</w:t>
          </w:r>
        </w:p>
      </w:tc>
    </w:tr>
  </w:tbl>
  <w:p w14:paraId="70BBF5A9" w14:textId="77777777" w:rsidR="00DC3C27" w:rsidRPr="00CE28E1" w:rsidRDefault="00DC3C27" w:rsidP="00DC3C2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D954887"/>
    <w:multiLevelType w:val="hybridMultilevel"/>
    <w:tmpl w:val="2B362816"/>
    <w:lvl w:ilvl="0" w:tplc="DE3E8B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C40B952" w:tentative="1">
      <w:start w:val="1"/>
      <w:numFmt w:val="lowerLetter"/>
      <w:lvlText w:val="%2."/>
      <w:lvlJc w:val="left"/>
      <w:pPr>
        <w:tabs>
          <w:tab w:val="num" w:pos="1440"/>
        </w:tabs>
        <w:ind w:left="1440" w:hanging="360"/>
      </w:pPr>
    </w:lvl>
    <w:lvl w:ilvl="2" w:tplc="3828CB8A" w:tentative="1">
      <w:start w:val="1"/>
      <w:numFmt w:val="lowerRoman"/>
      <w:lvlText w:val="%3."/>
      <w:lvlJc w:val="right"/>
      <w:pPr>
        <w:tabs>
          <w:tab w:val="num" w:pos="2160"/>
        </w:tabs>
        <w:ind w:left="2160" w:hanging="180"/>
      </w:pPr>
    </w:lvl>
    <w:lvl w:ilvl="3" w:tplc="05003328" w:tentative="1">
      <w:start w:val="1"/>
      <w:numFmt w:val="decimal"/>
      <w:lvlText w:val="%4."/>
      <w:lvlJc w:val="left"/>
      <w:pPr>
        <w:tabs>
          <w:tab w:val="num" w:pos="2880"/>
        </w:tabs>
        <w:ind w:left="2880" w:hanging="360"/>
      </w:pPr>
    </w:lvl>
    <w:lvl w:ilvl="4" w:tplc="E33E6790" w:tentative="1">
      <w:start w:val="1"/>
      <w:numFmt w:val="lowerLetter"/>
      <w:lvlText w:val="%5."/>
      <w:lvlJc w:val="left"/>
      <w:pPr>
        <w:tabs>
          <w:tab w:val="num" w:pos="3600"/>
        </w:tabs>
        <w:ind w:left="3600" w:hanging="360"/>
      </w:pPr>
    </w:lvl>
    <w:lvl w:ilvl="5" w:tplc="8CBEB836" w:tentative="1">
      <w:start w:val="1"/>
      <w:numFmt w:val="lowerRoman"/>
      <w:lvlText w:val="%6."/>
      <w:lvlJc w:val="right"/>
      <w:pPr>
        <w:tabs>
          <w:tab w:val="num" w:pos="4320"/>
        </w:tabs>
        <w:ind w:left="4320" w:hanging="180"/>
      </w:pPr>
    </w:lvl>
    <w:lvl w:ilvl="6" w:tplc="6C86A776" w:tentative="1">
      <w:start w:val="1"/>
      <w:numFmt w:val="decimal"/>
      <w:lvlText w:val="%7."/>
      <w:lvlJc w:val="left"/>
      <w:pPr>
        <w:tabs>
          <w:tab w:val="num" w:pos="5040"/>
        </w:tabs>
        <w:ind w:left="5040" w:hanging="360"/>
      </w:pPr>
    </w:lvl>
    <w:lvl w:ilvl="7" w:tplc="FDD43E7E" w:tentative="1">
      <w:start w:val="1"/>
      <w:numFmt w:val="lowerLetter"/>
      <w:lvlText w:val="%8."/>
      <w:lvlJc w:val="left"/>
      <w:pPr>
        <w:tabs>
          <w:tab w:val="num" w:pos="5760"/>
        </w:tabs>
        <w:ind w:left="5760" w:hanging="360"/>
      </w:pPr>
    </w:lvl>
    <w:lvl w:ilvl="8" w:tplc="CE7CE0E6"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45628BF"/>
    <w:multiLevelType w:val="singleLevel"/>
    <w:tmpl w:val="02143396"/>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25903E6E"/>
    <w:multiLevelType w:val="hybridMultilevel"/>
    <w:tmpl w:val="30964136"/>
    <w:lvl w:ilvl="0" w:tplc="B6E8912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ACF4EB2"/>
    <w:multiLevelType w:val="hybridMultilevel"/>
    <w:tmpl w:val="CB6C816A"/>
    <w:lvl w:ilvl="0" w:tplc="AECA1930">
      <w:start w:val="1"/>
      <w:numFmt w:val="bullet"/>
      <w:pStyle w:val="Bullet2G"/>
      <w:lvlText w:val="•"/>
      <w:lvlJc w:val="left"/>
      <w:pPr>
        <w:tabs>
          <w:tab w:val="num" w:pos="2268"/>
        </w:tabs>
        <w:ind w:left="2268" w:hanging="170"/>
      </w:pPr>
      <w:rPr>
        <w:rFonts w:ascii="Times New Roman" w:hAnsi="Times New Roman" w:cs="Times New Roman" w:hint="default"/>
      </w:rPr>
    </w:lvl>
    <w:lvl w:ilvl="1" w:tplc="A88A39CE" w:tentative="1">
      <w:start w:val="1"/>
      <w:numFmt w:val="bullet"/>
      <w:lvlText w:val="o"/>
      <w:lvlJc w:val="left"/>
      <w:pPr>
        <w:tabs>
          <w:tab w:val="num" w:pos="3708"/>
        </w:tabs>
        <w:ind w:left="3708" w:hanging="360"/>
      </w:pPr>
      <w:rPr>
        <w:rFonts w:ascii="Courier New" w:hAnsi="Courier New" w:hint="default"/>
      </w:rPr>
    </w:lvl>
    <w:lvl w:ilvl="2" w:tplc="11D6A1F2" w:tentative="1">
      <w:start w:val="1"/>
      <w:numFmt w:val="bullet"/>
      <w:lvlText w:val=""/>
      <w:lvlJc w:val="left"/>
      <w:pPr>
        <w:tabs>
          <w:tab w:val="num" w:pos="4428"/>
        </w:tabs>
        <w:ind w:left="4428" w:hanging="360"/>
      </w:pPr>
      <w:rPr>
        <w:rFonts w:ascii="Wingdings" w:hAnsi="Wingdings" w:hint="default"/>
      </w:rPr>
    </w:lvl>
    <w:lvl w:ilvl="3" w:tplc="3B2A22E6" w:tentative="1">
      <w:start w:val="1"/>
      <w:numFmt w:val="bullet"/>
      <w:lvlText w:val=""/>
      <w:lvlJc w:val="left"/>
      <w:pPr>
        <w:tabs>
          <w:tab w:val="num" w:pos="5148"/>
        </w:tabs>
        <w:ind w:left="5148" w:hanging="360"/>
      </w:pPr>
      <w:rPr>
        <w:rFonts w:ascii="Symbol" w:hAnsi="Symbol" w:hint="default"/>
      </w:rPr>
    </w:lvl>
    <w:lvl w:ilvl="4" w:tplc="53E4CF98" w:tentative="1">
      <w:start w:val="1"/>
      <w:numFmt w:val="bullet"/>
      <w:lvlText w:val="o"/>
      <w:lvlJc w:val="left"/>
      <w:pPr>
        <w:tabs>
          <w:tab w:val="num" w:pos="5868"/>
        </w:tabs>
        <w:ind w:left="5868" w:hanging="360"/>
      </w:pPr>
      <w:rPr>
        <w:rFonts w:ascii="Courier New" w:hAnsi="Courier New" w:hint="default"/>
      </w:rPr>
    </w:lvl>
    <w:lvl w:ilvl="5" w:tplc="728E266C" w:tentative="1">
      <w:start w:val="1"/>
      <w:numFmt w:val="bullet"/>
      <w:lvlText w:val=""/>
      <w:lvlJc w:val="left"/>
      <w:pPr>
        <w:tabs>
          <w:tab w:val="num" w:pos="6588"/>
        </w:tabs>
        <w:ind w:left="6588" w:hanging="360"/>
      </w:pPr>
      <w:rPr>
        <w:rFonts w:ascii="Wingdings" w:hAnsi="Wingdings" w:hint="default"/>
      </w:rPr>
    </w:lvl>
    <w:lvl w:ilvl="6" w:tplc="86D2A884" w:tentative="1">
      <w:start w:val="1"/>
      <w:numFmt w:val="bullet"/>
      <w:lvlText w:val=""/>
      <w:lvlJc w:val="left"/>
      <w:pPr>
        <w:tabs>
          <w:tab w:val="num" w:pos="7308"/>
        </w:tabs>
        <w:ind w:left="7308" w:hanging="360"/>
      </w:pPr>
      <w:rPr>
        <w:rFonts w:ascii="Symbol" w:hAnsi="Symbol" w:hint="default"/>
      </w:rPr>
    </w:lvl>
    <w:lvl w:ilvl="7" w:tplc="7C26228A" w:tentative="1">
      <w:start w:val="1"/>
      <w:numFmt w:val="bullet"/>
      <w:lvlText w:val="o"/>
      <w:lvlJc w:val="left"/>
      <w:pPr>
        <w:tabs>
          <w:tab w:val="num" w:pos="8028"/>
        </w:tabs>
        <w:ind w:left="8028" w:hanging="360"/>
      </w:pPr>
      <w:rPr>
        <w:rFonts w:ascii="Courier New" w:hAnsi="Courier New" w:hint="default"/>
      </w:rPr>
    </w:lvl>
    <w:lvl w:ilvl="8" w:tplc="7B1C7944"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637B76"/>
    <w:multiLevelType w:val="multilevel"/>
    <w:tmpl w:val="81CCFF74"/>
    <w:lvl w:ilvl="0">
      <w:start w:val="2"/>
      <w:numFmt w:val="bullet"/>
      <w:lvlText w:val="-"/>
      <w:lvlJc w:val="left"/>
      <w:pPr>
        <w:ind w:left="144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26179A4"/>
    <w:multiLevelType w:val="multilevel"/>
    <w:tmpl w:val="230A96AE"/>
    <w:lvl w:ilvl="0">
      <w:start w:val="1"/>
      <w:numFmt w:val="decimal"/>
      <w:lvlText w:val="%1."/>
      <w:lvlJc w:val="left"/>
      <w:pPr>
        <w:ind w:left="720" w:hanging="360"/>
      </w:pPr>
      <w:rPr>
        <w:rFonts w:cs="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8AD07B2"/>
    <w:multiLevelType w:val="hybridMultilevel"/>
    <w:tmpl w:val="7FEE3222"/>
    <w:lvl w:ilvl="0" w:tplc="047083D8">
      <w:start w:val="1"/>
      <w:numFmt w:val="bullet"/>
      <w:pStyle w:val="Bullet1G"/>
      <w:lvlText w:val="•"/>
      <w:lvlJc w:val="left"/>
      <w:pPr>
        <w:tabs>
          <w:tab w:val="num" w:pos="1701"/>
        </w:tabs>
        <w:ind w:left="1701" w:hanging="170"/>
      </w:pPr>
      <w:rPr>
        <w:rFonts w:ascii="Times New Roman" w:hAnsi="Times New Roman" w:cs="Times New Roman" w:hint="default"/>
      </w:rPr>
    </w:lvl>
    <w:lvl w:ilvl="1" w:tplc="8E607EF0" w:tentative="1">
      <w:start w:val="1"/>
      <w:numFmt w:val="bullet"/>
      <w:lvlText w:val="o"/>
      <w:lvlJc w:val="left"/>
      <w:pPr>
        <w:tabs>
          <w:tab w:val="num" w:pos="3141"/>
        </w:tabs>
        <w:ind w:left="3141" w:hanging="360"/>
      </w:pPr>
      <w:rPr>
        <w:rFonts w:ascii="Courier New" w:hAnsi="Courier New" w:hint="default"/>
      </w:rPr>
    </w:lvl>
    <w:lvl w:ilvl="2" w:tplc="5C186668" w:tentative="1">
      <w:start w:val="1"/>
      <w:numFmt w:val="bullet"/>
      <w:lvlText w:val=""/>
      <w:lvlJc w:val="left"/>
      <w:pPr>
        <w:tabs>
          <w:tab w:val="num" w:pos="3861"/>
        </w:tabs>
        <w:ind w:left="3861" w:hanging="360"/>
      </w:pPr>
      <w:rPr>
        <w:rFonts w:ascii="Wingdings" w:hAnsi="Wingdings" w:hint="default"/>
      </w:rPr>
    </w:lvl>
    <w:lvl w:ilvl="3" w:tplc="F8F6885A" w:tentative="1">
      <w:start w:val="1"/>
      <w:numFmt w:val="bullet"/>
      <w:lvlText w:val=""/>
      <w:lvlJc w:val="left"/>
      <w:pPr>
        <w:tabs>
          <w:tab w:val="num" w:pos="4581"/>
        </w:tabs>
        <w:ind w:left="4581" w:hanging="360"/>
      </w:pPr>
      <w:rPr>
        <w:rFonts w:ascii="Symbol" w:hAnsi="Symbol" w:hint="default"/>
      </w:rPr>
    </w:lvl>
    <w:lvl w:ilvl="4" w:tplc="7BC266AE" w:tentative="1">
      <w:start w:val="1"/>
      <w:numFmt w:val="bullet"/>
      <w:lvlText w:val="o"/>
      <w:lvlJc w:val="left"/>
      <w:pPr>
        <w:tabs>
          <w:tab w:val="num" w:pos="5301"/>
        </w:tabs>
        <w:ind w:left="5301" w:hanging="360"/>
      </w:pPr>
      <w:rPr>
        <w:rFonts w:ascii="Courier New" w:hAnsi="Courier New" w:hint="default"/>
      </w:rPr>
    </w:lvl>
    <w:lvl w:ilvl="5" w:tplc="B9F0B9BA" w:tentative="1">
      <w:start w:val="1"/>
      <w:numFmt w:val="bullet"/>
      <w:lvlText w:val=""/>
      <w:lvlJc w:val="left"/>
      <w:pPr>
        <w:tabs>
          <w:tab w:val="num" w:pos="6021"/>
        </w:tabs>
        <w:ind w:left="6021" w:hanging="360"/>
      </w:pPr>
      <w:rPr>
        <w:rFonts w:ascii="Wingdings" w:hAnsi="Wingdings" w:hint="default"/>
      </w:rPr>
    </w:lvl>
    <w:lvl w:ilvl="6" w:tplc="9216025E" w:tentative="1">
      <w:start w:val="1"/>
      <w:numFmt w:val="bullet"/>
      <w:lvlText w:val=""/>
      <w:lvlJc w:val="left"/>
      <w:pPr>
        <w:tabs>
          <w:tab w:val="num" w:pos="6741"/>
        </w:tabs>
        <w:ind w:left="6741" w:hanging="360"/>
      </w:pPr>
      <w:rPr>
        <w:rFonts w:ascii="Symbol" w:hAnsi="Symbol" w:hint="default"/>
      </w:rPr>
    </w:lvl>
    <w:lvl w:ilvl="7" w:tplc="3682670A" w:tentative="1">
      <w:start w:val="1"/>
      <w:numFmt w:val="bullet"/>
      <w:lvlText w:val="o"/>
      <w:lvlJc w:val="left"/>
      <w:pPr>
        <w:tabs>
          <w:tab w:val="num" w:pos="7461"/>
        </w:tabs>
        <w:ind w:left="7461" w:hanging="360"/>
      </w:pPr>
      <w:rPr>
        <w:rFonts w:ascii="Courier New" w:hAnsi="Courier New" w:hint="default"/>
      </w:rPr>
    </w:lvl>
    <w:lvl w:ilvl="8" w:tplc="88C8FA34"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7"/>
  </w:num>
  <w:num w:numId="8" w16cid:durableId="164712109">
    <w:abstractNumId w:val="7"/>
  </w:num>
  <w:num w:numId="9" w16cid:durableId="250091437">
    <w:abstractNumId w:val="15"/>
  </w:num>
  <w:num w:numId="10" w16cid:durableId="524252012">
    <w:abstractNumId w:val="14"/>
  </w:num>
  <w:num w:numId="11" w16cid:durableId="1374187316">
    <w:abstractNumId w:val="13"/>
  </w:num>
  <w:num w:numId="12" w16cid:durableId="36052305">
    <w:abstractNumId w:val="17"/>
  </w:num>
  <w:num w:numId="13" w16cid:durableId="1679231921">
    <w:abstractNumId w:val="7"/>
  </w:num>
  <w:num w:numId="14" w16cid:durableId="1031536774">
    <w:abstractNumId w:val="15"/>
  </w:num>
  <w:num w:numId="15" w16cid:durableId="875393002">
    <w:abstractNumId w:val="13"/>
  </w:num>
  <w:num w:numId="16" w16cid:durableId="1483237288">
    <w:abstractNumId w:val="13"/>
  </w:num>
  <w:num w:numId="17" w16cid:durableId="912012482">
    <w:abstractNumId w:val="13"/>
  </w:num>
  <w:num w:numId="18" w16cid:durableId="1379892502">
    <w:abstractNumId w:val="13"/>
  </w:num>
  <w:num w:numId="19" w16cid:durableId="1788037444">
    <w:abstractNumId w:val="13"/>
  </w:num>
  <w:num w:numId="20" w16cid:durableId="984509384">
    <w:abstractNumId w:val="13"/>
  </w:num>
  <w:num w:numId="21" w16cid:durableId="723914449">
    <w:abstractNumId w:val="13"/>
  </w:num>
  <w:num w:numId="22" w16cid:durableId="563181366">
    <w:abstractNumId w:val="13"/>
  </w:num>
  <w:num w:numId="23" w16cid:durableId="1979722990">
    <w:abstractNumId w:val="13"/>
  </w:num>
  <w:num w:numId="24" w16cid:durableId="1877236076">
    <w:abstractNumId w:val="14"/>
  </w:num>
  <w:num w:numId="25" w16cid:durableId="1461075889">
    <w:abstractNumId w:val="13"/>
  </w:num>
  <w:num w:numId="26" w16cid:durableId="1239553403">
    <w:abstractNumId w:val="19"/>
  </w:num>
  <w:num w:numId="27" w16cid:durableId="826215125">
    <w:abstractNumId w:val="10"/>
  </w:num>
  <w:num w:numId="28" w16cid:durableId="1247037023">
    <w:abstractNumId w:val="6"/>
  </w:num>
  <w:num w:numId="29" w16cid:durableId="1578709885">
    <w:abstractNumId w:val="16"/>
  </w:num>
  <w:num w:numId="30" w16cid:durableId="1938445960">
    <w:abstractNumId w:val="20"/>
  </w:num>
  <w:num w:numId="31" w16cid:durableId="1702969752">
    <w:abstractNumId w:val="12"/>
  </w:num>
  <w:num w:numId="32" w16cid:durableId="743337748">
    <w:abstractNumId w:val="18"/>
  </w:num>
  <w:num w:numId="33" w16cid:durableId="379672542">
    <w:abstractNumId w:val="5"/>
  </w:num>
  <w:num w:numId="34" w16cid:durableId="631980393">
    <w:abstractNumId w:val="8"/>
  </w:num>
  <w:num w:numId="35" w16cid:durableId="1684362614">
    <w:abstractNumId w:val="9"/>
  </w:num>
  <w:num w:numId="36" w16cid:durableId="76362442">
    <w:abstractNumId w:val="8"/>
    <w:lvlOverride w:ilvl="0">
      <w:lvl w:ilvl="0">
        <w:start w:val="1"/>
        <w:numFmt w:val="decimal"/>
        <w:lvlRestart w:val="0"/>
        <w:lvlText w:val="%1."/>
        <w:lvlJc w:val="left"/>
        <w:pPr>
          <w:tabs>
            <w:tab w:val="num" w:pos="475"/>
          </w:tabs>
          <w:ind w:left="0" w:firstLine="0"/>
        </w:pPr>
        <w:rPr>
          <w:spacing w:val="0"/>
          <w:w w:val="100"/>
        </w:rPr>
      </w:lvl>
    </w:lvlOverride>
  </w:num>
  <w:num w:numId="37" w16cid:durableId="285083656">
    <w:abstractNumId w:val="8"/>
    <w:lvlOverride w:ilvl="0">
      <w:lvl w:ilvl="0">
        <w:start w:val="1"/>
        <w:numFmt w:val="decimal"/>
        <w:lvlRestart w:val="0"/>
        <w:lvlText w:val="%1."/>
        <w:lvlJc w:val="left"/>
        <w:pPr>
          <w:tabs>
            <w:tab w:val="num" w:pos="475"/>
          </w:tabs>
          <w:ind w:left="0" w:firstLine="0"/>
        </w:pPr>
        <w:rPr>
          <w:spacing w:val="0"/>
          <w:w w:val="100"/>
        </w:rPr>
      </w:lvl>
    </w:lvlOverride>
  </w:num>
  <w:num w:numId="38" w16cid:durableId="1246719312">
    <w:abstractNumId w:val="8"/>
    <w:lvlOverride w:ilvl="0">
      <w:lvl w:ilvl="0">
        <w:start w:val="1"/>
        <w:numFmt w:val="decimal"/>
        <w:lvlRestart w:val="0"/>
        <w:lvlText w:val="%1."/>
        <w:lvlJc w:val="left"/>
        <w:pPr>
          <w:tabs>
            <w:tab w:val="num" w:pos="475"/>
          </w:tabs>
          <w:ind w:left="0" w:firstLine="0"/>
        </w:pPr>
        <w:rPr>
          <w:spacing w:val="0"/>
          <w:w w:val="100"/>
        </w:rPr>
      </w:lvl>
    </w:lvlOverride>
  </w:num>
  <w:num w:numId="39" w16cid:durableId="1109619859">
    <w:abstractNumId w:val="8"/>
    <w:lvlOverride w:ilvl="0">
      <w:lvl w:ilvl="0">
        <w:start w:val="1"/>
        <w:numFmt w:val="decimal"/>
        <w:lvlRestart w:val="0"/>
        <w:lvlText w:val="%1."/>
        <w:lvlJc w:val="left"/>
        <w:pPr>
          <w:tabs>
            <w:tab w:val="num" w:pos="475"/>
          </w:tabs>
          <w:ind w:left="0" w:firstLine="0"/>
        </w:pPr>
        <w:rPr>
          <w:spacing w:val="0"/>
          <w:w w:val="100"/>
        </w:rPr>
      </w:lvl>
    </w:lvlOverride>
  </w:num>
  <w:num w:numId="40" w16cid:durableId="24866209">
    <w:abstractNumId w:val="8"/>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198*"/>
    <w:docVar w:name="CreationDt" w:val="12/03/2024 10:22 AM"/>
    <w:docVar w:name="DocCategory" w:val="Doc"/>
    <w:docVar w:name="DocType" w:val="Final"/>
    <w:docVar w:name="DutyStation" w:val="New York"/>
    <w:docVar w:name="FooterJN" w:val="24-00198"/>
    <w:docVar w:name="jobn" w:val="24-00198 (S)"/>
    <w:docVar w:name="jobnDT" w:val="24-00198 (S)   120324"/>
    <w:docVar w:name="jobnDTDT" w:val="24-00198 (S)   120324   120324"/>
    <w:docVar w:name="JobNo" w:val="2400198S"/>
    <w:docVar w:name="JobNo2" w:val="240052110:22 AM"/>
    <w:docVar w:name="LocalDrive" w:val="-1"/>
    <w:docVar w:name="OandT" w:val="EMS/JCD"/>
    <w:docVar w:name="sss1" w:val="CEDAW/C/CZE/7"/>
    <w:docVar w:name="sss2" w:val="-"/>
    <w:docVar w:name="Symbol1" w:val="CEDAW/C/CZE/7"/>
    <w:docVar w:name="Symbol2" w:val="-"/>
    <w:docVar w:name="Title1" w:val="_x0009__x0009_Séptimo informe periódico que Chequia debía presentar en 2020 en virtud del artículo 18 de la Convención*,**_x000d_"/>
  </w:docVars>
  <w:rsids>
    <w:rsidRoot w:val="00FE1CF7"/>
    <w:rsid w:val="00001169"/>
    <w:rsid w:val="00001967"/>
    <w:rsid w:val="00003C9B"/>
    <w:rsid w:val="00022980"/>
    <w:rsid w:val="00024EAE"/>
    <w:rsid w:val="00036B92"/>
    <w:rsid w:val="0005059C"/>
    <w:rsid w:val="00050ADE"/>
    <w:rsid w:val="000727BA"/>
    <w:rsid w:val="000A1280"/>
    <w:rsid w:val="000A1590"/>
    <w:rsid w:val="000C1825"/>
    <w:rsid w:val="000C4239"/>
    <w:rsid w:val="000D05E1"/>
    <w:rsid w:val="000D1334"/>
    <w:rsid w:val="000D2EAD"/>
    <w:rsid w:val="000F3B26"/>
    <w:rsid w:val="00105618"/>
    <w:rsid w:val="0010776C"/>
    <w:rsid w:val="001325B0"/>
    <w:rsid w:val="0014481A"/>
    <w:rsid w:val="00146FCE"/>
    <w:rsid w:val="00151F81"/>
    <w:rsid w:val="00171CDD"/>
    <w:rsid w:val="00174ABB"/>
    <w:rsid w:val="0019644A"/>
    <w:rsid w:val="001978D5"/>
    <w:rsid w:val="001A015E"/>
    <w:rsid w:val="001A2DB2"/>
    <w:rsid w:val="001A3CFF"/>
    <w:rsid w:val="001B45D4"/>
    <w:rsid w:val="001C1B08"/>
    <w:rsid w:val="001C38DB"/>
    <w:rsid w:val="001C5B5D"/>
    <w:rsid w:val="001E6C89"/>
    <w:rsid w:val="0021740E"/>
    <w:rsid w:val="00244684"/>
    <w:rsid w:val="00247400"/>
    <w:rsid w:val="002738D7"/>
    <w:rsid w:val="0027492E"/>
    <w:rsid w:val="0028508D"/>
    <w:rsid w:val="002932C1"/>
    <w:rsid w:val="00293B83"/>
    <w:rsid w:val="002B2D23"/>
    <w:rsid w:val="002B5C1E"/>
    <w:rsid w:val="002C0212"/>
    <w:rsid w:val="002C1E96"/>
    <w:rsid w:val="002C26FC"/>
    <w:rsid w:val="002D13DB"/>
    <w:rsid w:val="002D39AE"/>
    <w:rsid w:val="002D43F6"/>
    <w:rsid w:val="002E6AA6"/>
    <w:rsid w:val="002F1792"/>
    <w:rsid w:val="00303FC9"/>
    <w:rsid w:val="00304249"/>
    <w:rsid w:val="0031025F"/>
    <w:rsid w:val="00323D52"/>
    <w:rsid w:val="00331D20"/>
    <w:rsid w:val="00334B31"/>
    <w:rsid w:val="00351610"/>
    <w:rsid w:val="00363328"/>
    <w:rsid w:val="00365FD7"/>
    <w:rsid w:val="003665BE"/>
    <w:rsid w:val="00371CD6"/>
    <w:rsid w:val="0037485E"/>
    <w:rsid w:val="00382D60"/>
    <w:rsid w:val="00386D66"/>
    <w:rsid w:val="003975EF"/>
    <w:rsid w:val="003B2EDE"/>
    <w:rsid w:val="003C6E4F"/>
    <w:rsid w:val="003D7130"/>
    <w:rsid w:val="003E5E54"/>
    <w:rsid w:val="003F75F8"/>
    <w:rsid w:val="00403750"/>
    <w:rsid w:val="00414121"/>
    <w:rsid w:val="004177E2"/>
    <w:rsid w:val="00434113"/>
    <w:rsid w:val="00436504"/>
    <w:rsid w:val="00436876"/>
    <w:rsid w:val="00445A71"/>
    <w:rsid w:val="00447A4B"/>
    <w:rsid w:val="00470A40"/>
    <w:rsid w:val="0047638E"/>
    <w:rsid w:val="00481FF5"/>
    <w:rsid w:val="004839E9"/>
    <w:rsid w:val="00495E7B"/>
    <w:rsid w:val="0049669D"/>
    <w:rsid w:val="004A348F"/>
    <w:rsid w:val="004A3FFB"/>
    <w:rsid w:val="004A4987"/>
    <w:rsid w:val="004A799A"/>
    <w:rsid w:val="004B14C7"/>
    <w:rsid w:val="004B3C07"/>
    <w:rsid w:val="004D292D"/>
    <w:rsid w:val="004F5722"/>
    <w:rsid w:val="005074C6"/>
    <w:rsid w:val="00520EB4"/>
    <w:rsid w:val="00531ABA"/>
    <w:rsid w:val="00540DC8"/>
    <w:rsid w:val="0054211F"/>
    <w:rsid w:val="00543230"/>
    <w:rsid w:val="00554041"/>
    <w:rsid w:val="005610B1"/>
    <w:rsid w:val="00581359"/>
    <w:rsid w:val="00585412"/>
    <w:rsid w:val="00590764"/>
    <w:rsid w:val="005B6071"/>
    <w:rsid w:val="005C1B17"/>
    <w:rsid w:val="005D4F00"/>
    <w:rsid w:val="005E23BE"/>
    <w:rsid w:val="005E4EBE"/>
    <w:rsid w:val="0060242D"/>
    <w:rsid w:val="00602A10"/>
    <w:rsid w:val="0060402C"/>
    <w:rsid w:val="00620589"/>
    <w:rsid w:val="0063771D"/>
    <w:rsid w:val="00670BAA"/>
    <w:rsid w:val="00671C81"/>
    <w:rsid w:val="00674D29"/>
    <w:rsid w:val="00686C12"/>
    <w:rsid w:val="006A5986"/>
    <w:rsid w:val="006C14E8"/>
    <w:rsid w:val="006C1BAD"/>
    <w:rsid w:val="006C7738"/>
    <w:rsid w:val="006D184A"/>
    <w:rsid w:val="006E3966"/>
    <w:rsid w:val="006E7D87"/>
    <w:rsid w:val="006F5920"/>
    <w:rsid w:val="0071286D"/>
    <w:rsid w:val="00716EE8"/>
    <w:rsid w:val="00720E93"/>
    <w:rsid w:val="00727155"/>
    <w:rsid w:val="00731148"/>
    <w:rsid w:val="00734A64"/>
    <w:rsid w:val="00735E6D"/>
    <w:rsid w:val="007367D5"/>
    <w:rsid w:val="00737468"/>
    <w:rsid w:val="0073750F"/>
    <w:rsid w:val="007519A0"/>
    <w:rsid w:val="00762EEF"/>
    <w:rsid w:val="007633C9"/>
    <w:rsid w:val="00771752"/>
    <w:rsid w:val="007752D9"/>
    <w:rsid w:val="00780650"/>
    <w:rsid w:val="007925DF"/>
    <w:rsid w:val="007B4CD6"/>
    <w:rsid w:val="007C405C"/>
    <w:rsid w:val="007D2120"/>
    <w:rsid w:val="007D56EE"/>
    <w:rsid w:val="007E1164"/>
    <w:rsid w:val="007E4457"/>
    <w:rsid w:val="007E76F3"/>
    <w:rsid w:val="007F49D0"/>
    <w:rsid w:val="008138CB"/>
    <w:rsid w:val="00821509"/>
    <w:rsid w:val="008239D2"/>
    <w:rsid w:val="0083038C"/>
    <w:rsid w:val="00842240"/>
    <w:rsid w:val="008443AA"/>
    <w:rsid w:val="00847569"/>
    <w:rsid w:val="00851EB0"/>
    <w:rsid w:val="00863195"/>
    <w:rsid w:val="00871053"/>
    <w:rsid w:val="008719CB"/>
    <w:rsid w:val="0087219E"/>
    <w:rsid w:val="00877270"/>
    <w:rsid w:val="0088056D"/>
    <w:rsid w:val="00892D50"/>
    <w:rsid w:val="008A2590"/>
    <w:rsid w:val="008A40C5"/>
    <w:rsid w:val="008B2E89"/>
    <w:rsid w:val="008D55F3"/>
    <w:rsid w:val="008E04FC"/>
    <w:rsid w:val="008E425E"/>
    <w:rsid w:val="008E7B74"/>
    <w:rsid w:val="008E7B8B"/>
    <w:rsid w:val="008F11CA"/>
    <w:rsid w:val="009106EF"/>
    <w:rsid w:val="009247FB"/>
    <w:rsid w:val="00942DE2"/>
    <w:rsid w:val="00947CFB"/>
    <w:rsid w:val="00980F34"/>
    <w:rsid w:val="009A5CD2"/>
    <w:rsid w:val="009A648D"/>
    <w:rsid w:val="009B00E9"/>
    <w:rsid w:val="009B21D9"/>
    <w:rsid w:val="009D1160"/>
    <w:rsid w:val="009D56BA"/>
    <w:rsid w:val="009E235A"/>
    <w:rsid w:val="009E23D9"/>
    <w:rsid w:val="00A10D21"/>
    <w:rsid w:val="00A236CC"/>
    <w:rsid w:val="00A42042"/>
    <w:rsid w:val="00A6175A"/>
    <w:rsid w:val="00A72797"/>
    <w:rsid w:val="00A75ACC"/>
    <w:rsid w:val="00A82101"/>
    <w:rsid w:val="00A95C3A"/>
    <w:rsid w:val="00AA1D5C"/>
    <w:rsid w:val="00AA29EE"/>
    <w:rsid w:val="00AD7748"/>
    <w:rsid w:val="00AE12FF"/>
    <w:rsid w:val="00AE1779"/>
    <w:rsid w:val="00AE1ED4"/>
    <w:rsid w:val="00AE37D9"/>
    <w:rsid w:val="00B125A0"/>
    <w:rsid w:val="00B16A98"/>
    <w:rsid w:val="00B272FA"/>
    <w:rsid w:val="00B27698"/>
    <w:rsid w:val="00B43769"/>
    <w:rsid w:val="00B54B32"/>
    <w:rsid w:val="00B70DAA"/>
    <w:rsid w:val="00B7299C"/>
    <w:rsid w:val="00B771CE"/>
    <w:rsid w:val="00B80FFC"/>
    <w:rsid w:val="00B901FD"/>
    <w:rsid w:val="00B9592E"/>
    <w:rsid w:val="00BA4984"/>
    <w:rsid w:val="00BB5454"/>
    <w:rsid w:val="00BB6CFE"/>
    <w:rsid w:val="00BC2C8A"/>
    <w:rsid w:val="00BE5F2A"/>
    <w:rsid w:val="00BE6412"/>
    <w:rsid w:val="00C007A7"/>
    <w:rsid w:val="00C119B8"/>
    <w:rsid w:val="00C16A02"/>
    <w:rsid w:val="00C16D72"/>
    <w:rsid w:val="00C174A0"/>
    <w:rsid w:val="00C2259E"/>
    <w:rsid w:val="00C2492A"/>
    <w:rsid w:val="00C35E82"/>
    <w:rsid w:val="00C36164"/>
    <w:rsid w:val="00C371DA"/>
    <w:rsid w:val="00C4553C"/>
    <w:rsid w:val="00C46456"/>
    <w:rsid w:val="00C60123"/>
    <w:rsid w:val="00C6119A"/>
    <w:rsid w:val="00C64F8A"/>
    <w:rsid w:val="00C661ED"/>
    <w:rsid w:val="00C66770"/>
    <w:rsid w:val="00C93179"/>
    <w:rsid w:val="00C9444A"/>
    <w:rsid w:val="00CA3333"/>
    <w:rsid w:val="00CA5C32"/>
    <w:rsid w:val="00CB11A0"/>
    <w:rsid w:val="00CC1B5E"/>
    <w:rsid w:val="00CC2D86"/>
    <w:rsid w:val="00CC67DA"/>
    <w:rsid w:val="00CE28E1"/>
    <w:rsid w:val="00CE35F9"/>
    <w:rsid w:val="00CE6A59"/>
    <w:rsid w:val="00D12747"/>
    <w:rsid w:val="00D17B5B"/>
    <w:rsid w:val="00D22125"/>
    <w:rsid w:val="00D23FFB"/>
    <w:rsid w:val="00D313EA"/>
    <w:rsid w:val="00D409D0"/>
    <w:rsid w:val="00D654E6"/>
    <w:rsid w:val="00D74DE3"/>
    <w:rsid w:val="00D93D5E"/>
    <w:rsid w:val="00DA089F"/>
    <w:rsid w:val="00DA5C6A"/>
    <w:rsid w:val="00DB0712"/>
    <w:rsid w:val="00DB14D6"/>
    <w:rsid w:val="00DB652C"/>
    <w:rsid w:val="00DC3C27"/>
    <w:rsid w:val="00DC6F6F"/>
    <w:rsid w:val="00DC7F0D"/>
    <w:rsid w:val="00DE254A"/>
    <w:rsid w:val="00DE48A2"/>
    <w:rsid w:val="00DE5604"/>
    <w:rsid w:val="00DE7C15"/>
    <w:rsid w:val="00E235F8"/>
    <w:rsid w:val="00E300C9"/>
    <w:rsid w:val="00E31526"/>
    <w:rsid w:val="00E52620"/>
    <w:rsid w:val="00E548DF"/>
    <w:rsid w:val="00E557A8"/>
    <w:rsid w:val="00E6149B"/>
    <w:rsid w:val="00E6471F"/>
    <w:rsid w:val="00E70506"/>
    <w:rsid w:val="00E75652"/>
    <w:rsid w:val="00E7616A"/>
    <w:rsid w:val="00E8036E"/>
    <w:rsid w:val="00E81EAA"/>
    <w:rsid w:val="00E867B9"/>
    <w:rsid w:val="00EA02A3"/>
    <w:rsid w:val="00EA1709"/>
    <w:rsid w:val="00EA54EE"/>
    <w:rsid w:val="00EB1FBB"/>
    <w:rsid w:val="00EC05D6"/>
    <w:rsid w:val="00EC2B39"/>
    <w:rsid w:val="00EF6BA9"/>
    <w:rsid w:val="00F05AC4"/>
    <w:rsid w:val="00F065A9"/>
    <w:rsid w:val="00F2252A"/>
    <w:rsid w:val="00F22753"/>
    <w:rsid w:val="00F22FDA"/>
    <w:rsid w:val="00F26C0D"/>
    <w:rsid w:val="00F3740C"/>
    <w:rsid w:val="00F41B31"/>
    <w:rsid w:val="00F422CF"/>
    <w:rsid w:val="00F43888"/>
    <w:rsid w:val="00F516D7"/>
    <w:rsid w:val="00F616E5"/>
    <w:rsid w:val="00F62E36"/>
    <w:rsid w:val="00F65F4F"/>
    <w:rsid w:val="00F86EFA"/>
    <w:rsid w:val="00F95E56"/>
    <w:rsid w:val="00FD0BF4"/>
    <w:rsid w:val="00FD1B9D"/>
    <w:rsid w:val="00FD2F26"/>
    <w:rsid w:val="00FE1CF7"/>
    <w:rsid w:val="00FF060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8AE5B"/>
  <w15:chartTrackingRefBased/>
  <w15:docId w15:val="{48270FE3-6123-4BE6-BC95-EB91A667C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BVI fnr,Footnote symbol,Footnote Refernece,callout,Footnotes refss,Footnote Reference Superscript,Footnote Reference Number,Footnote Refernece + (Latein) Arial,10 pt,Blau,Fußnotenzeichen_Raxen,Footnote Refe,FR,...,Style 10,fr"/>
    <w:uiPriority w:val="99"/>
    <w:qFormat/>
    <w:rsid w:val="00C60123"/>
    <w:rPr>
      <w:color w:val="auto"/>
      <w:spacing w:val="5"/>
      <w:w w:val="103"/>
      <w:kern w:val="14"/>
      <w:position w:val="0"/>
      <w:vertAlign w:val="superscript"/>
    </w:rPr>
  </w:style>
  <w:style w:type="paragraph" w:styleId="FootnoteText">
    <w:name w:val="footnote text"/>
    <w:aliases w:val="5_G,Schriftart: 9 pt,Schriftart: 10 pt,Schriftart: 8 pt,Char Char Char Char Char,Char Char Char Char,Char Char Char,Char,Char3,Char Char,Text pozn. pod čarou1,Footnote Text Char1,Footnote Text Char1 Char1 Char,Footnote,o,f,ft, Char3"/>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Schriftart: 9 pt Char,Schriftart: 10 pt Char,Schriftart: 8 pt Char,Char Char Char Char Char Char,Char Char Char Char Char1,Char Char Char Char1,Char Char1,Char3 Char,Char Char Char1,Text pozn. pod čarou1 Char,Footnote Char"/>
    <w:basedOn w:val="DefaultParagraphFont"/>
    <w:link w:val="FootnoteText"/>
    <w:uiPriority w:val="99"/>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qFormat/>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9"/>
    <w:qFormat/>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DC3C27"/>
    <w:pPr>
      <w:spacing w:line="240" w:lineRule="auto"/>
    </w:pPr>
    <w:rPr>
      <w:szCs w:val="20"/>
    </w:rPr>
  </w:style>
  <w:style w:type="character" w:customStyle="1" w:styleId="CommentTextChar">
    <w:name w:val="Comment Text Char"/>
    <w:basedOn w:val="DefaultParagraphFont"/>
    <w:link w:val="CommentText"/>
    <w:uiPriority w:val="99"/>
    <w:rsid w:val="00DC3C2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3C27"/>
    <w:rPr>
      <w:b/>
      <w:bCs/>
    </w:rPr>
  </w:style>
  <w:style w:type="character" w:customStyle="1" w:styleId="CommentSubjectChar">
    <w:name w:val="Comment Subject Char"/>
    <w:basedOn w:val="CommentTextChar"/>
    <w:link w:val="CommentSubject"/>
    <w:uiPriority w:val="99"/>
    <w:semiHidden/>
    <w:rsid w:val="00DC3C27"/>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CE28E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CE28E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CE28E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CE28E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CE28E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CE28E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CE28E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CE28E1"/>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CE28E1"/>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CE28E1"/>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CE28E1"/>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CE28E1"/>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CE28E1"/>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CE28E1"/>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CE28E1"/>
    <w:rPr>
      <w:rFonts w:ascii="Times New Roman" w:hAnsi="Times New Roman"/>
      <w:b/>
      <w:sz w:val="18"/>
      <w:lang w:val="en-GB"/>
    </w:rPr>
  </w:style>
  <w:style w:type="character" w:customStyle="1" w:styleId="SingleTxtGChar">
    <w:name w:val="_ Single Txt_G Char"/>
    <w:link w:val="SingleTxtG"/>
    <w:locked/>
    <w:rsid w:val="00CE28E1"/>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CE28E1"/>
    <w:pPr>
      <w:numPr>
        <w:numId w:val="29"/>
      </w:numPr>
    </w:pPr>
  </w:style>
  <w:style w:type="numbering" w:styleId="1ai">
    <w:name w:val="Outline List 1"/>
    <w:basedOn w:val="NoList"/>
    <w:semiHidden/>
    <w:rsid w:val="00CE28E1"/>
    <w:pPr>
      <w:numPr>
        <w:numId w:val="30"/>
      </w:numPr>
    </w:pPr>
  </w:style>
  <w:style w:type="table" w:customStyle="1" w:styleId="TableGrid1">
    <w:name w:val="Table Grid1"/>
    <w:basedOn w:val="TableNormal"/>
    <w:rsid w:val="00CE28E1"/>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Characters">
    <w:name w:val="Footnote Characters"/>
    <w:link w:val="4GChar"/>
    <w:uiPriority w:val="99"/>
    <w:qFormat/>
    <w:rsid w:val="00CE28E1"/>
    <w:rPr>
      <w:vertAlign w:val="superscript"/>
    </w:rPr>
  </w:style>
  <w:style w:type="character" w:customStyle="1" w:styleId="FootnoteAnchor">
    <w:name w:val="Footnote Anchor"/>
    <w:rsid w:val="00CE28E1"/>
    <w:rPr>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Characters"/>
    <w:uiPriority w:val="99"/>
    <w:qFormat/>
    <w:rsid w:val="00CE28E1"/>
    <w:pPr>
      <w:suppressAutoHyphens w:val="0"/>
      <w:spacing w:after="160"/>
      <w:jc w:val="both"/>
    </w:pPr>
    <w:rPr>
      <w:rFonts w:asciiTheme="minorHAnsi" w:eastAsiaTheme="minorEastAsia" w:hAnsiTheme="minorHAnsi" w:cstheme="minorBidi"/>
      <w:spacing w:val="0"/>
      <w:w w:val="100"/>
      <w:sz w:val="22"/>
      <w:vertAlign w:val="superscript"/>
      <w:lang w:val="en-US" w:eastAsia="zh-CN"/>
    </w:rPr>
  </w:style>
  <w:style w:type="paragraph" w:styleId="ListParagraph">
    <w:name w:val="List Paragraph"/>
    <w:basedOn w:val="Normal"/>
    <w:qFormat/>
    <w:rsid w:val="00CE28E1"/>
    <w:pPr>
      <w:spacing w:after="120" w:line="240" w:lineRule="auto"/>
      <w:ind w:left="708"/>
    </w:pPr>
    <w:rPr>
      <w:rFonts w:eastAsia="Times New Roman"/>
      <w:spacing w:val="0"/>
      <w:w w:val="100"/>
      <w:kern w:val="0"/>
      <w:sz w:val="24"/>
      <w:szCs w:val="24"/>
      <w:lang w:val="en-GB" w:eastAsia="zh-CN"/>
      <w14:ligatures w14:val="none"/>
    </w:rPr>
  </w:style>
  <w:style w:type="character" w:customStyle="1" w:styleId="Znakypropoznmkupodarou">
    <w:name w:val="Znaky pro poznámku pod čarou"/>
    <w:rsid w:val="00CE28E1"/>
    <w:rPr>
      <w:vertAlign w:val="superscript"/>
    </w:rPr>
  </w:style>
  <w:style w:type="character" w:customStyle="1" w:styleId="Znakapoznpodarou1">
    <w:name w:val="Značka pozn. pod čarou1"/>
    <w:rsid w:val="00CE28E1"/>
    <w:rPr>
      <w:vertAlign w:val="superscript"/>
    </w:rPr>
  </w:style>
  <w:style w:type="paragraph" w:customStyle="1" w:styleId="Default">
    <w:name w:val="Default"/>
    <w:rsid w:val="00CE28E1"/>
    <w:pPr>
      <w:autoSpaceDE w:val="0"/>
      <w:autoSpaceDN w:val="0"/>
      <w:adjustRightInd w:val="0"/>
      <w:spacing w:after="0" w:line="240" w:lineRule="auto"/>
    </w:pPr>
    <w:rPr>
      <w:rFonts w:ascii="Arial" w:eastAsiaTheme="minorHAnsi" w:hAnsi="Arial" w:cs="Arial"/>
      <w:color w:val="000000"/>
      <w:kern w:val="0"/>
      <w:sz w:val="24"/>
      <w:szCs w:val="24"/>
      <w:lang w:val="en-GB" w:eastAsia="en-US"/>
      <w14:ligatures w14:val="none"/>
    </w:rPr>
  </w:style>
  <w:style w:type="character" w:styleId="HTMLVariable">
    <w:name w:val="HTML Variable"/>
    <w:basedOn w:val="DefaultParagraphFont"/>
    <w:uiPriority w:val="99"/>
    <w:semiHidden/>
    <w:unhideWhenUsed/>
    <w:rsid w:val="00CE28E1"/>
    <w:rPr>
      <w:i/>
      <w:iCs/>
    </w:rPr>
  </w:style>
  <w:style w:type="paragraph" w:styleId="Revision">
    <w:name w:val="Revision"/>
    <w:hidden/>
    <w:uiPriority w:val="99"/>
    <w:semiHidden/>
    <w:rsid w:val="00CE28E1"/>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Nevyeenzmnka1">
    <w:name w:val="Nevyřešená zmínka1"/>
    <w:basedOn w:val="DefaultParagraphFont"/>
    <w:uiPriority w:val="99"/>
    <w:semiHidden/>
    <w:unhideWhenUsed/>
    <w:rsid w:val="00CE28E1"/>
    <w:rPr>
      <w:color w:val="605E5C"/>
      <w:shd w:val="clear" w:color="auto" w:fill="E1DFDD"/>
    </w:rPr>
  </w:style>
  <w:style w:type="character" w:customStyle="1" w:styleId="cf01">
    <w:name w:val="cf01"/>
    <w:basedOn w:val="DefaultParagraphFont"/>
    <w:rsid w:val="00CE28E1"/>
    <w:rPr>
      <w:rFonts w:ascii="Segoe UI" w:hAnsi="Segoe UI" w:cs="Segoe UI" w:hint="default"/>
      <w:sz w:val="18"/>
      <w:szCs w:val="18"/>
    </w:rPr>
  </w:style>
  <w:style w:type="character" w:customStyle="1" w:styleId="Nevyeenzmnka2">
    <w:name w:val="Nevyřešená zmínka2"/>
    <w:basedOn w:val="DefaultParagraphFont"/>
    <w:uiPriority w:val="99"/>
    <w:semiHidden/>
    <w:unhideWhenUsed/>
    <w:rsid w:val="00CE2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sc.coe.int/fre/" TargetMode="External"/><Relationship Id="rId3" Type="http://schemas.openxmlformats.org/officeDocument/2006/relationships/hyperlink" Target="https://www.czso.cz/documents/10180/142141209/3000022107.pdf/64e2a824-15dd-4f17-a11e-0437068351a6?version=1.3" TargetMode="External"/><Relationship Id="rId7" Type="http://schemas.openxmlformats.org/officeDocument/2006/relationships/hyperlink" Target="https://www.vlada.cz/assets/ppov/rovne-prilezitosti-zen-a-muzu/dokumenty/Manual-k-popisu-politiky-rozmanitosti-ve-vyrocnich-zpravach.pdf" TargetMode="External"/><Relationship Id="rId12" Type="http://schemas.openxmlformats.org/officeDocument/2006/relationships/hyperlink" Target="https://undocs.org/es/A/RES/10/15" TargetMode="External"/><Relationship Id="rId2" Type="http://schemas.openxmlformats.org/officeDocument/2006/relationships/hyperlink" Target="https://www.vlada.cz/assets/ppov/rovne-prilezitosti-zen-a-muzu/dokumenty/AP-DN---grafikaFINAL.pdf,https://www.profem.cz/shared/clanky/970/V%C3%9DZKUMN%C3%81%20ZPR%C3%81VA_sexualni%20nasili_2021%20-%20Copy%201.pdf" TargetMode="External"/><Relationship Id="rId1" Type="http://schemas.openxmlformats.org/officeDocument/2006/relationships/hyperlink" Target="https://www.ochrance.cz/uploads-import/DISKRIMINACE/Vyzkum/2020-vyzkum_judikatura-DIS.pdf" TargetMode="External"/><Relationship Id="rId6" Type="http://schemas.openxmlformats.org/officeDocument/2006/relationships/hyperlink" Target="http://www.genderovamapa.cz" TargetMode="External"/><Relationship Id="rId11" Type="http://schemas.openxmlformats.org/officeDocument/2006/relationships/hyperlink" Target="https://www.ochrance.cz/fileadmin/user_upload/Publikace/sborniky_stanoviska/Sbornik_Diskriminace.pdf" TargetMode="External"/><Relationship Id="rId5" Type="http://schemas.openxmlformats.org/officeDocument/2006/relationships/hyperlink" Target="https://eige.europa.eu/gender-statistics/dgs/indicator/wmidm_bus_bus__wmid_comp_compbm" TargetMode="External"/><Relationship Id="rId10" Type="http://schemas.openxmlformats.org/officeDocument/2006/relationships/hyperlink" Target="https://www.rovnaodmena.cz/" TargetMode="External"/><Relationship Id="rId4" Type="http://schemas.openxmlformats.org/officeDocument/2006/relationships/hyperlink" Target="https://eige.europa.eu/gender-equality-index/2021/domain/power/CZ" TargetMode="External"/><Relationship Id="rId9" Type="http://schemas.openxmlformats.org/officeDocument/2006/relationships/hyperlink" Target="https://www.nidv.cz/old/gender-ve-sko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25535</Words>
  <Characters>131510</Characters>
  <Application>Microsoft Office Word</Application>
  <DocSecurity>0</DocSecurity>
  <Lines>2191</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Norma Bevis</cp:lastModifiedBy>
  <cp:revision>3</cp:revision>
  <dcterms:created xsi:type="dcterms:W3CDTF">2024-03-26T20:03:00Z</dcterms:created>
  <dcterms:modified xsi:type="dcterms:W3CDTF">2024-03-26T20:03:00Z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2400198</vt:lpwstr>
  </property>
  <property fmtid="{D5CDD505-2E9C-101B-9397-08002B2CF9AE}" pid="3" name="ODSRefJobNo">
    <vt:lpwstr>2400521</vt:lpwstr>
  </property>
  <property fmtid="{D5CDD505-2E9C-101B-9397-08002B2CF9AE}" pid="4" name="Symbol1">
    <vt:lpwstr>CEDAW/C/CZE/7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Séptimo informe periódico que Chequia debía presentar en 2020 en virtud del artículo 18 de la Convención*,**_x000d_</vt:lpwstr>
  </property>
  <property fmtid="{D5CDD505-2E9C-101B-9397-08002B2CF9AE}" pid="9" name="Comment">
    <vt:lpwstr/>
  </property>
  <property fmtid="{D5CDD505-2E9C-101B-9397-08002B2CF9AE}" pid="10" name="DraftPages">
    <vt:lpwstr> </vt:lpwstr>
  </property>
  <property fmtid="{D5CDD505-2E9C-101B-9397-08002B2CF9AE}" pid="11" name="Operator">
    <vt:lpwstr>EMS</vt:lpwstr>
  </property>
  <property fmtid="{D5CDD505-2E9C-101B-9397-08002B2CF9AE}" pid="12" name="Translator">
    <vt:lpwstr>JCD</vt:lpwstr>
  </property>
</Properties>
</file>