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2FB" w:rsidRDefault="00A632FB" w:rsidP="00A632FB">
      <w:pPr>
        <w:spacing w:line="60" w:lineRule="exact"/>
        <w:sectPr w:rsidR="00A632FB" w:rsidSect="00A632F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Size =1Lang = C"/>
            <w10:wrap anchorx="page" anchory="page"/>
          </v:shape>
        </w:pict>
      </w:r>
      <w:commentRangeEnd w:id="0"/>
      <w:r>
        <w:rPr>
          <w:rStyle w:val="CommentReference"/>
        </w:rPr>
        <w:commentReference w:id="0"/>
      </w:r>
    </w:p>
    <w:p w:rsidR="00A632FB" w:rsidRDefault="00A632FB" w:rsidP="00A632FB">
      <w:pPr>
        <w:spacing w:line="60" w:lineRule="exact"/>
      </w:pPr>
    </w:p>
    <w:p w:rsidR="005D2049" w:rsidRDefault="005D2049" w:rsidP="005D204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5D2049" w:rsidRPr="005D2049" w:rsidRDefault="005D2049" w:rsidP="005D2049">
      <w:pPr>
        <w:pStyle w:val="SingleTxt"/>
        <w:spacing w:after="60"/>
        <w:ind w:left="0"/>
        <w:rPr>
          <w:rFonts w:ascii="SimHei" w:eastAsia="SimHei" w:hint="eastAsia"/>
        </w:rPr>
      </w:pPr>
      <w:r w:rsidRPr="005D2049">
        <w:rPr>
          <w:rFonts w:ascii="SimHei" w:eastAsia="SimHei" w:hint="eastAsia"/>
        </w:rPr>
        <w:t>第五十二届会议</w:t>
      </w:r>
    </w:p>
    <w:p w:rsidR="005D2049" w:rsidRDefault="005D2049" w:rsidP="005D2049">
      <w:pPr>
        <w:pStyle w:val="SingleTxt"/>
        <w:spacing w:after="60"/>
        <w:ind w:left="0"/>
        <w:rPr>
          <w:rFonts w:hint="eastAsia"/>
        </w:rPr>
      </w:pPr>
      <w:r>
        <w:rPr>
          <w:rFonts w:hint="eastAsia"/>
        </w:rPr>
        <w:t>2012年7月9日至27日</w:t>
      </w:r>
    </w:p>
    <w:p w:rsidR="005D2049" w:rsidRPr="005D2049" w:rsidRDefault="005D2049" w:rsidP="005D2049">
      <w:pPr>
        <w:pStyle w:val="SingleTxt"/>
        <w:spacing w:after="0" w:line="120" w:lineRule="exact"/>
        <w:rPr>
          <w:rFonts w:hint="eastAsia"/>
          <w:sz w:val="10"/>
        </w:rPr>
      </w:pPr>
    </w:p>
    <w:p w:rsidR="005D2049" w:rsidRPr="005D2049" w:rsidRDefault="005D2049" w:rsidP="005D2049">
      <w:pPr>
        <w:pStyle w:val="SingleTxt"/>
        <w:spacing w:after="0" w:line="120" w:lineRule="exact"/>
        <w:rPr>
          <w:rFonts w:hint="eastAsia"/>
          <w:sz w:val="10"/>
        </w:rPr>
      </w:pPr>
    </w:p>
    <w:p w:rsidR="005D2049" w:rsidRPr="005D2049" w:rsidRDefault="005D2049" w:rsidP="005D2049">
      <w:pPr>
        <w:pStyle w:val="SingleTxt"/>
        <w:spacing w:after="0" w:line="120" w:lineRule="exact"/>
        <w:rPr>
          <w:rFonts w:hint="eastAsia"/>
          <w:sz w:val="10"/>
        </w:rPr>
      </w:pPr>
    </w:p>
    <w:p w:rsidR="005D2049" w:rsidRDefault="005D2049" w:rsidP="005D204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5D2049" w:rsidRPr="005D2049" w:rsidRDefault="005D2049" w:rsidP="005D2049">
      <w:pPr>
        <w:pStyle w:val="SingleTxt"/>
        <w:spacing w:after="0" w:line="120" w:lineRule="exact"/>
        <w:rPr>
          <w:rFonts w:hint="eastAsia"/>
          <w:sz w:val="10"/>
        </w:rPr>
      </w:pPr>
    </w:p>
    <w:p w:rsidR="005D2049" w:rsidRPr="005D2049" w:rsidRDefault="005D2049" w:rsidP="005D2049">
      <w:pPr>
        <w:pStyle w:val="SingleTxt"/>
        <w:spacing w:after="0" w:line="120" w:lineRule="exact"/>
        <w:rPr>
          <w:rFonts w:hint="eastAsia"/>
          <w:sz w:val="10"/>
        </w:rPr>
      </w:pPr>
    </w:p>
    <w:p w:rsidR="005D2049" w:rsidRDefault="005D2049" w:rsidP="005D204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新西兰</w:t>
      </w:r>
    </w:p>
    <w:p w:rsidR="005D2049" w:rsidRPr="005D2049" w:rsidRDefault="005D2049" w:rsidP="005D2049">
      <w:pPr>
        <w:pStyle w:val="SingleTxt"/>
        <w:spacing w:after="0" w:line="120" w:lineRule="exact"/>
        <w:rPr>
          <w:rFonts w:hint="eastAsia"/>
          <w:sz w:val="10"/>
        </w:rPr>
      </w:pPr>
    </w:p>
    <w:p w:rsidR="005D2049" w:rsidRDefault="005D2049" w:rsidP="00E278AE">
      <w:pPr>
        <w:pStyle w:val="SingleTxt"/>
        <w:spacing w:line="340" w:lineRule="exact"/>
        <w:rPr>
          <w:rFonts w:hint="eastAsia"/>
        </w:rPr>
      </w:pPr>
      <w:r>
        <w:rPr>
          <w:rFonts w:hint="eastAsia"/>
        </w:rPr>
        <w:t>1.</w:t>
      </w:r>
      <w:r>
        <w:rPr>
          <w:rFonts w:hint="eastAsia"/>
        </w:rPr>
        <w:tab/>
      </w:r>
      <w:r w:rsidRPr="000F1904">
        <w:rPr>
          <w:rFonts w:hAnsi="SimSun" w:hint="eastAsia"/>
        </w:rPr>
        <w:t>2012年7月18日，委员会在第1053和1054次会议上(CEDAW/C/SR.1053和1054)，审议了新西兰的第七次定期报告(CEDAW/C/NZL/7)。委员会的议题和问题清单载于CEDAW/C/NZL/Q/7，新西兰政府的答复载于CEDAW/C/NZL/Q/7/Add.1。</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导言</w:t>
      </w:r>
    </w:p>
    <w:p w:rsidR="005D2049" w:rsidRPr="005D2049" w:rsidRDefault="005D2049" w:rsidP="005D2049">
      <w:pPr>
        <w:pStyle w:val="SingleTxt"/>
        <w:spacing w:after="0" w:line="120" w:lineRule="exact"/>
        <w:rPr>
          <w:rFonts w:hint="eastAsia"/>
          <w:sz w:val="10"/>
        </w:rPr>
      </w:pPr>
    </w:p>
    <w:p w:rsidR="005D2049" w:rsidRDefault="005D2049" w:rsidP="005D2049">
      <w:pPr>
        <w:pStyle w:val="SingleTxt"/>
        <w:rPr>
          <w:rFonts w:hint="eastAsia"/>
        </w:rPr>
      </w:pPr>
      <w:r>
        <w:rPr>
          <w:rFonts w:hint="eastAsia"/>
        </w:rPr>
        <w:t>2.</w:t>
      </w:r>
      <w:r>
        <w:rPr>
          <w:rFonts w:hint="eastAsia"/>
        </w:rPr>
        <w:tab/>
      </w:r>
      <w:r w:rsidRPr="000F1904">
        <w:rPr>
          <w:rFonts w:hAnsi="SimSun" w:hint="eastAsia"/>
        </w:rPr>
        <w:t>委员会对缔约国及时提交其第七次定期报告表示赞赏。该报告编写得很好，遵循了委员会对编写报告提出的导则，并提及委员会的一般性建议。委员会对缔约国的口头介绍、其对会前工作组提出的议题和问题清单的书面答复以及对委员会口头提出的问题所作的进一步说明表示赞赏。</w:t>
      </w:r>
    </w:p>
    <w:p w:rsidR="005D2049" w:rsidRDefault="005D2049" w:rsidP="005D2049">
      <w:pPr>
        <w:pStyle w:val="SingleTxt"/>
        <w:rPr>
          <w:rFonts w:hint="eastAsia"/>
        </w:rPr>
      </w:pPr>
      <w:r>
        <w:rPr>
          <w:rFonts w:hint="eastAsia"/>
        </w:rPr>
        <w:t>3.</w:t>
      </w:r>
      <w:r>
        <w:rPr>
          <w:rFonts w:hint="eastAsia"/>
        </w:rPr>
        <w:tab/>
      </w:r>
      <w:r w:rsidRPr="000F1904">
        <w:rPr>
          <w:rFonts w:hAnsi="SimSun" w:hint="eastAsia"/>
        </w:rPr>
        <w:t>委员会赞扬缔约国妇女事务部长Jo Goodhew阁下率领的高级别代表团。</w:t>
      </w:r>
    </w:p>
    <w:p w:rsidR="005D2049" w:rsidRPr="000F1904" w:rsidRDefault="005D2049" w:rsidP="00E278AE">
      <w:pPr>
        <w:pStyle w:val="SingleTxt"/>
        <w:spacing w:line="340" w:lineRule="exact"/>
        <w:rPr>
          <w:rFonts w:hAnsi="SimSun" w:hint="eastAsia"/>
        </w:rPr>
      </w:pPr>
      <w:r>
        <w:rPr>
          <w:rFonts w:hint="eastAsia"/>
        </w:rPr>
        <w:t>4.</w:t>
      </w:r>
      <w:r>
        <w:rPr>
          <w:rFonts w:hint="eastAsia"/>
        </w:rPr>
        <w:tab/>
      </w:r>
      <w:r w:rsidRPr="000F1904">
        <w:rPr>
          <w:rFonts w:hAnsi="SimSun" w:hint="eastAsia"/>
        </w:rPr>
        <w:t>委员会赞赏地注意到，本报告是在政府机构、议会和包括妇女组织在内的国家民间社会组织共同参与的情况下编写的。</w:t>
      </w:r>
    </w:p>
    <w:p w:rsidR="005D2049" w:rsidRDefault="005D2049" w:rsidP="00E278AE">
      <w:pPr>
        <w:pStyle w:val="SingleTxt"/>
        <w:spacing w:line="340" w:lineRule="exact"/>
        <w:rPr>
          <w:rFonts w:hint="eastAsia"/>
        </w:rPr>
      </w:pPr>
      <w:r w:rsidRPr="000F1904">
        <w:rPr>
          <w:rFonts w:hAnsi="SimSun" w:hint="eastAsia"/>
        </w:rPr>
        <w:t>5.</w:t>
      </w:r>
      <w:r w:rsidRPr="000F1904">
        <w:rPr>
          <w:rFonts w:hAnsi="SimSun" w:hint="eastAsia"/>
        </w:rPr>
        <w:tab/>
        <w:t>委员会欢迎新西兰人权委员会参加其工作，并对此作出贡献。</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积极方面</w:t>
      </w:r>
    </w:p>
    <w:p w:rsidR="005D2049" w:rsidRPr="005D2049" w:rsidRDefault="005D2049" w:rsidP="005D2049">
      <w:pPr>
        <w:pStyle w:val="SingleTxt"/>
        <w:spacing w:after="0" w:line="120" w:lineRule="exact"/>
        <w:rPr>
          <w:rFonts w:hint="eastAsia"/>
          <w:sz w:val="10"/>
        </w:rPr>
      </w:pPr>
    </w:p>
    <w:p w:rsidR="005D2049" w:rsidRPr="000F1904" w:rsidRDefault="005D2049" w:rsidP="00E278AE">
      <w:pPr>
        <w:pStyle w:val="SingleTxt"/>
        <w:spacing w:line="340" w:lineRule="exact"/>
        <w:rPr>
          <w:rFonts w:hAnsi="SimSun" w:hint="eastAsia"/>
        </w:rPr>
      </w:pPr>
      <w:r>
        <w:rPr>
          <w:rFonts w:hint="eastAsia"/>
        </w:rPr>
        <w:t>6.</w:t>
      </w:r>
      <w:r>
        <w:rPr>
          <w:rFonts w:hint="eastAsia"/>
        </w:rPr>
        <w:tab/>
      </w:r>
      <w:r w:rsidRPr="000F1904">
        <w:rPr>
          <w:rFonts w:hAnsi="SimSun" w:hint="eastAsia"/>
        </w:rPr>
        <w:t>委员会赞扬缔约国于2007年通过人权修正案之后，便撤销了对《公约》的最后保留意见，使妇女能够在武装部队中作战。</w:t>
      </w:r>
    </w:p>
    <w:p w:rsidR="005D2049" w:rsidRPr="000F1904" w:rsidRDefault="005D2049" w:rsidP="00E278AE">
      <w:pPr>
        <w:pStyle w:val="SingleTxt"/>
        <w:spacing w:line="340" w:lineRule="exact"/>
        <w:rPr>
          <w:rFonts w:hAnsi="SimSun" w:hint="eastAsia"/>
        </w:rPr>
      </w:pPr>
      <w:r w:rsidRPr="000F1904">
        <w:rPr>
          <w:rFonts w:hAnsi="SimSun" w:hint="eastAsia"/>
        </w:rPr>
        <w:t>7.</w:t>
      </w:r>
      <w:r w:rsidRPr="000F1904">
        <w:rPr>
          <w:rFonts w:hAnsi="SimSun" w:hint="eastAsia"/>
        </w:rPr>
        <w:tab/>
        <w:t>委员会欢迎任命第一名亚裔女部长和三名毛利族女部长。</w:t>
      </w:r>
    </w:p>
    <w:p w:rsidR="005D2049" w:rsidRPr="000F1904" w:rsidRDefault="005D2049" w:rsidP="00E278AE">
      <w:pPr>
        <w:pStyle w:val="SingleTxt"/>
        <w:spacing w:line="340" w:lineRule="exact"/>
        <w:rPr>
          <w:rFonts w:hAnsi="SimSun" w:hint="eastAsia"/>
        </w:rPr>
      </w:pPr>
      <w:r w:rsidRPr="000F1904">
        <w:rPr>
          <w:rFonts w:hAnsi="SimSun" w:hint="eastAsia"/>
        </w:rPr>
        <w:t>8.</w:t>
      </w:r>
      <w:r w:rsidRPr="000F1904">
        <w:rPr>
          <w:rFonts w:hAnsi="SimSun" w:hint="eastAsia"/>
        </w:rPr>
        <w:tab/>
        <w:t>委员会赞扬缔约国自2007年通过委员会的最后一条结论意见以来，为提高妇女地位进行了一系列积极的立法和政策改革，包括：</w:t>
      </w:r>
    </w:p>
    <w:p w:rsidR="005D2049" w:rsidRPr="000F1904" w:rsidRDefault="005D2049" w:rsidP="00E278AE">
      <w:pPr>
        <w:pStyle w:val="SingleTxt"/>
        <w:spacing w:line="340" w:lineRule="exact"/>
        <w:rPr>
          <w:rFonts w:hAnsi="SimSun" w:hint="eastAsia"/>
        </w:rPr>
      </w:pPr>
      <w:r w:rsidRPr="000F1904">
        <w:rPr>
          <w:rFonts w:hAnsi="SimSun" w:hint="eastAsia"/>
        </w:rPr>
        <w:tab/>
        <w:t>(a)</w:t>
      </w:r>
      <w:r w:rsidRPr="000F1904">
        <w:rPr>
          <w:rFonts w:hAnsi="SimSun" w:hint="eastAsia"/>
        </w:rPr>
        <w:tab/>
        <w:t>2008年遏制家庭暴力行动工作组发起的禁止家庭暴力运动(“禁止家暴”运动)；</w:t>
      </w:r>
    </w:p>
    <w:p w:rsidR="005D2049" w:rsidRPr="000F1904" w:rsidRDefault="005D2049" w:rsidP="00E278AE">
      <w:pPr>
        <w:pStyle w:val="SingleTxt"/>
        <w:spacing w:line="340" w:lineRule="exact"/>
        <w:rPr>
          <w:rFonts w:hAnsi="SimSun" w:hint="eastAsia"/>
        </w:rPr>
      </w:pPr>
      <w:r w:rsidRPr="000F1904">
        <w:rPr>
          <w:rFonts w:hAnsi="SimSun" w:hint="eastAsia"/>
        </w:rPr>
        <w:tab/>
        <w:t>(b)</w:t>
      </w:r>
      <w:r w:rsidRPr="000F1904">
        <w:rPr>
          <w:rFonts w:hAnsi="SimSun" w:hint="eastAsia"/>
        </w:rPr>
        <w:tab/>
        <w:t xml:space="preserve">2009通过立法变革，使刑事法院能够在行为人因家庭暴力而判罪的案件中，为受害人发出保护令； </w:t>
      </w:r>
    </w:p>
    <w:p w:rsidR="005D2049" w:rsidRPr="000F1904" w:rsidRDefault="005D2049" w:rsidP="005D2049">
      <w:pPr>
        <w:pStyle w:val="SingleTxt"/>
        <w:rPr>
          <w:rFonts w:hAnsi="SimSun" w:hint="eastAsia"/>
        </w:rPr>
      </w:pPr>
      <w:r w:rsidRPr="000F1904">
        <w:rPr>
          <w:rFonts w:hAnsi="SimSun" w:hint="eastAsia"/>
        </w:rPr>
        <w:tab/>
        <w:t>(c)</w:t>
      </w:r>
      <w:r w:rsidRPr="000F1904">
        <w:rPr>
          <w:rFonts w:hAnsi="SimSun" w:hint="eastAsia"/>
        </w:rPr>
        <w:tab/>
        <w:t>2008年就业关系(休息、婴儿哺乳和其他事项)修正案，提倡母亲在工作场所哺乳；</w:t>
      </w:r>
    </w:p>
    <w:p w:rsidR="005D2049" w:rsidRPr="000F1904" w:rsidRDefault="005D2049" w:rsidP="00E278AE">
      <w:pPr>
        <w:pStyle w:val="SingleTxt"/>
        <w:spacing w:line="340" w:lineRule="exact"/>
        <w:rPr>
          <w:rFonts w:hAnsi="SimSun" w:hint="eastAsia"/>
        </w:rPr>
      </w:pPr>
      <w:r w:rsidRPr="000F1904">
        <w:rPr>
          <w:rFonts w:hAnsi="SimSun" w:hint="eastAsia"/>
        </w:rPr>
        <w:tab/>
        <w:t>(d)</w:t>
      </w:r>
      <w:r w:rsidRPr="000F1904">
        <w:rPr>
          <w:rFonts w:hAnsi="SimSun" w:hint="eastAsia"/>
        </w:rPr>
        <w:tab/>
        <w:t>2007年在全国开展教育运动，目的是鼓励妇女进行宫颈癌检查，各年龄组妇女的检查人数因而增加；</w:t>
      </w:r>
    </w:p>
    <w:p w:rsidR="005D2049" w:rsidRPr="000F1904" w:rsidRDefault="005D2049" w:rsidP="005D2049">
      <w:pPr>
        <w:pStyle w:val="SingleTxt"/>
        <w:rPr>
          <w:rFonts w:hAnsi="SimSun" w:hint="eastAsia"/>
        </w:rPr>
      </w:pPr>
      <w:r w:rsidRPr="000F1904">
        <w:rPr>
          <w:rFonts w:hAnsi="SimSun" w:hint="eastAsia"/>
        </w:rPr>
        <w:tab/>
        <w:t>(e)</w:t>
      </w:r>
      <w:r w:rsidRPr="000F1904">
        <w:rPr>
          <w:rFonts w:hAnsi="SimSun" w:hint="eastAsia"/>
        </w:rPr>
        <w:tab/>
        <w:t>2008年妇女事务部制定的“变化指标”，以跟踪妇女权利问题在新西兰的进展情况。</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主要关切领域和建议</w:t>
      </w:r>
    </w:p>
    <w:p w:rsidR="005D2049" w:rsidRPr="005D2049" w:rsidRDefault="005D2049" w:rsidP="005D2049">
      <w:pPr>
        <w:pStyle w:val="SingleTxt"/>
        <w:spacing w:after="0" w:line="120" w:lineRule="exact"/>
        <w:rPr>
          <w:rFonts w:hint="eastAsia"/>
          <w:sz w:val="10"/>
        </w:rPr>
      </w:pPr>
    </w:p>
    <w:p w:rsidR="005D2049" w:rsidRPr="00A110C4" w:rsidRDefault="005D2049" w:rsidP="005D2049">
      <w:pPr>
        <w:pStyle w:val="SingleTxt"/>
        <w:rPr>
          <w:rFonts w:hAnsi="SimSun" w:hint="eastAsia"/>
        </w:rPr>
      </w:pPr>
      <w:r>
        <w:rPr>
          <w:rFonts w:hint="eastAsia"/>
        </w:rPr>
        <w:t>9.</w:t>
      </w:r>
      <w:r>
        <w:rPr>
          <w:rFonts w:hint="eastAsia"/>
        </w:rPr>
        <w:tab/>
      </w:r>
      <w:r w:rsidRPr="00A110C4">
        <w:rPr>
          <w:rFonts w:hAnsi="SimSun" w:hint="eastAsia"/>
        </w:rPr>
        <w:t>委员会回顾，缔约国有义务全面和继续执行《公约》的各项规定，并将本结论意见中提出的关切问题和建议作为缔约国需要在此时至提交下一次定期报告期间予以优先关注的事项。委员会关切地注意到，一些挑战继续在阻碍缔约国全面执行《公约》，包括对性别暴力</w:t>
      </w:r>
      <w:r w:rsidR="00764202" w:rsidRPr="00A110C4">
        <w:rPr>
          <w:rFonts w:hAnsi="SimSun" w:hint="eastAsia"/>
        </w:rPr>
        <w:t>(</w:t>
      </w:r>
      <w:r w:rsidRPr="00A110C4">
        <w:rPr>
          <w:rFonts w:hAnsi="SimSun" w:hint="eastAsia"/>
        </w:rPr>
        <w:t>包括家庭暴力</w:t>
      </w:r>
      <w:r w:rsidR="00764202" w:rsidRPr="00A110C4">
        <w:rPr>
          <w:rFonts w:hAnsi="SimSun" w:hint="eastAsia"/>
        </w:rPr>
        <w:t>)</w:t>
      </w:r>
      <w:r w:rsidRPr="00A110C4">
        <w:rPr>
          <w:rFonts w:hAnsi="SimSun" w:hint="eastAsia"/>
        </w:rPr>
        <w:t>使用不带性别色彩的语言；报酬不平等和报酬公平问题；弱势妇女群体</w:t>
      </w:r>
      <w:r w:rsidR="00764202" w:rsidRPr="00A110C4">
        <w:rPr>
          <w:rFonts w:hAnsi="SimSun" w:hint="eastAsia"/>
        </w:rPr>
        <w:t>(</w:t>
      </w:r>
      <w:r w:rsidRPr="00A110C4">
        <w:rPr>
          <w:rFonts w:hAnsi="SimSun" w:hint="eastAsia"/>
        </w:rPr>
        <w:t>包括残疾妇女和少数妇女</w:t>
      </w:r>
      <w:r w:rsidR="00764202" w:rsidRPr="00A110C4">
        <w:rPr>
          <w:rFonts w:hAnsi="SimSun" w:hint="eastAsia"/>
        </w:rPr>
        <w:t>)</w:t>
      </w:r>
      <w:r w:rsidRPr="00A110C4">
        <w:rPr>
          <w:rFonts w:hAnsi="SimSun" w:hint="eastAsia"/>
        </w:rPr>
        <w:t>的地位；2011年地震对妇女的影响；法律援助计划方面的资金削减等政策变化的影响；目标和基准能否足以增进妇女权利；宣传和促进《公约》的工作不够。因此，委员会敦促缔约国在其执行工作中以这些方面为重点，并在下一次定期报告中报告采取的行动和取得的成果。委员会吁请缔约国将本结论意见提交各有关部委、议会和司法机构，以确保其充分实施。</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议会</w:t>
      </w:r>
    </w:p>
    <w:p w:rsidR="005D2049" w:rsidRPr="005D2049" w:rsidRDefault="005D2049" w:rsidP="005D2049">
      <w:pPr>
        <w:pStyle w:val="SingleTxt"/>
        <w:spacing w:after="0" w:line="120" w:lineRule="exact"/>
        <w:rPr>
          <w:rFonts w:hint="eastAsia"/>
          <w:sz w:val="10"/>
        </w:rPr>
      </w:pPr>
    </w:p>
    <w:p w:rsidR="005D2049" w:rsidRPr="000F1904" w:rsidRDefault="005D2049" w:rsidP="005D2049">
      <w:pPr>
        <w:pStyle w:val="SingleTxt"/>
        <w:rPr>
          <w:rFonts w:hAnsi="SimSun" w:hint="eastAsia"/>
        </w:rPr>
      </w:pPr>
      <w:r>
        <w:rPr>
          <w:rFonts w:hint="eastAsia"/>
        </w:rPr>
        <w:t>10.</w:t>
      </w:r>
      <w:r>
        <w:rPr>
          <w:rFonts w:hint="eastAsia"/>
        </w:rPr>
        <w:tab/>
      </w:r>
      <w:r w:rsidRPr="00DF0187">
        <w:rPr>
          <w:rFonts w:hAnsi="SimSun" w:hint="eastAsia"/>
        </w:rPr>
        <w:t>委员会重申，政府对充分履行《公约》赋予缔约国的义务负有主要责任并特别需要为此问责，同时强调指出，《公约》对政府的各个部门都有约束力。委员会请缔约国鼓励议会酌情按照其程序，从现在起至委员会根据《公约》提交下一次报告期间，采取必要步骤，执行本结论意见。委员会注意到，在议会分发委员会以往结论意见和其中所载建议的范围有限，而且议会没有进行系统的监督，以确保妇女权利和性别平等问题上的问责制。委员会建议扩大缔约国报告以及委员会结论意见和建议的传播范围，将其分发给所有议员。委员会敦促缔约国考虑在议会中建立一个人权专设委员会，以加强议会对人权特别是妇女权利和性别平等的监督。</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性别歧视和性别平等的定义</w:t>
      </w:r>
    </w:p>
    <w:p w:rsidR="005D2049" w:rsidRPr="005D2049" w:rsidRDefault="005D2049" w:rsidP="005D2049">
      <w:pPr>
        <w:pStyle w:val="SingleTxt"/>
        <w:spacing w:after="0" w:line="120" w:lineRule="exact"/>
        <w:rPr>
          <w:rFonts w:hint="eastAsia"/>
          <w:sz w:val="10"/>
        </w:rPr>
      </w:pPr>
    </w:p>
    <w:p w:rsidR="005D2049" w:rsidRDefault="005D2049" w:rsidP="005D2049">
      <w:pPr>
        <w:pStyle w:val="SingleTxt"/>
        <w:rPr>
          <w:rFonts w:hint="eastAsia"/>
        </w:rPr>
      </w:pPr>
      <w:r>
        <w:rPr>
          <w:rFonts w:hint="eastAsia"/>
        </w:rPr>
        <w:t>11.</w:t>
      </w:r>
      <w:r>
        <w:rPr>
          <w:rFonts w:hint="eastAsia"/>
        </w:rPr>
        <w:tab/>
      </w:r>
      <w:r w:rsidRPr="005D2049">
        <w:rPr>
          <w:rFonts w:hAnsi="SimSun" w:hint="eastAsia"/>
        </w:rPr>
        <w:t>委员会回顾其以往的建议(CEDAW/C/NZL/CO/6)，对缔约国依然没有根据《公约》第一条，在其《宪章》或立法中明确和全面禁止直接和间接歧视妇女的行为继续表示关切。委员会关切地注意到，法律没有规定私人行为体对同值工作同等报酬给予足够的保护，禁止直接和间接歧视。</w:t>
      </w:r>
    </w:p>
    <w:p w:rsidR="005D2049" w:rsidRDefault="005D2049" w:rsidP="005D2049">
      <w:pPr>
        <w:pStyle w:val="SingleTxt"/>
        <w:rPr>
          <w:rFonts w:hint="eastAsia"/>
        </w:rPr>
      </w:pPr>
      <w:r>
        <w:rPr>
          <w:rFonts w:hint="eastAsia"/>
        </w:rPr>
        <w:t>12.</w:t>
      </w:r>
      <w:r>
        <w:rPr>
          <w:rFonts w:hint="eastAsia"/>
        </w:rPr>
        <w:tab/>
      </w:r>
      <w:r w:rsidRPr="005D2049">
        <w:rPr>
          <w:rFonts w:ascii="SimHei" w:eastAsia="SimHei" w:hint="eastAsia"/>
        </w:rPr>
        <w:t>委员会建议缔约国结合目前对宪法的审查，根据《公约》第二条(a)款，将男女平等的原则充分纳入宪法和</w:t>
      </w:r>
      <w:r w:rsidR="00764202">
        <w:rPr>
          <w:rFonts w:ascii="SimHei" w:eastAsia="SimHei" w:hint="eastAsia"/>
        </w:rPr>
        <w:t>(</w:t>
      </w:r>
      <w:r w:rsidRPr="005D2049">
        <w:rPr>
          <w:rFonts w:ascii="SimHei" w:eastAsia="SimHei" w:hint="eastAsia"/>
        </w:rPr>
        <w:t>或</w:t>
      </w:r>
      <w:r w:rsidR="00764202">
        <w:rPr>
          <w:rFonts w:ascii="SimHei" w:eastAsia="SimHei" w:hint="eastAsia"/>
        </w:rPr>
        <w:t>)</w:t>
      </w:r>
      <w:r w:rsidRPr="005D2049">
        <w:rPr>
          <w:rFonts w:ascii="SimHei" w:eastAsia="SimHei" w:hint="eastAsia"/>
        </w:rPr>
        <w:t>其他立法。委员会敦促缔约国根据《公约》第一条，对性别歧视作出法律定义，并且按照《公约》第二条(e)款，扩大国家对公私行为体歧视行为的责任，以实现男女在形式和内容上的平等。</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《公约》、《任择议定书》和委员会一般性建议的知名度</w:t>
      </w:r>
    </w:p>
    <w:p w:rsidR="005D2049" w:rsidRPr="005D2049" w:rsidRDefault="005D2049" w:rsidP="005D2049">
      <w:pPr>
        <w:pStyle w:val="SingleTxt"/>
        <w:spacing w:after="0" w:line="120" w:lineRule="exact"/>
        <w:rPr>
          <w:rFonts w:hint="eastAsia"/>
          <w:sz w:val="10"/>
        </w:rPr>
      </w:pPr>
    </w:p>
    <w:p w:rsidR="005D2049" w:rsidRDefault="005D2049" w:rsidP="00E278AE">
      <w:pPr>
        <w:pStyle w:val="SingleTxt"/>
        <w:spacing w:line="340" w:lineRule="exact"/>
        <w:rPr>
          <w:rFonts w:hint="eastAsia"/>
        </w:rPr>
      </w:pPr>
      <w:r>
        <w:rPr>
          <w:rFonts w:hint="eastAsia"/>
        </w:rPr>
        <w:t>13.</w:t>
      </w:r>
      <w:r>
        <w:rPr>
          <w:rFonts w:hint="eastAsia"/>
        </w:rPr>
        <w:tab/>
        <w:t>委员会赞赏地注意到，司法部于2010年推出一个人权网站，提供关于《公约》及其《任择议定书》的资料，但委员会对缔约国尚未采取充分行动提高《公约》在该国的知名度依然感到关切。委员会关切地注意到，许多妇女不知道《任择议定书》规定的投诉机制，对《公约》规定的妇女权利也没有充分的了解。委员会还关切地注意到，</w:t>
      </w:r>
      <w:r w:rsidRPr="00E278AE">
        <w:rPr>
          <w:rFonts w:hAnsi="SimSun" w:hint="eastAsia"/>
        </w:rPr>
        <w:t>缔约国</w:t>
      </w:r>
      <w:r>
        <w:rPr>
          <w:rFonts w:hint="eastAsia"/>
        </w:rPr>
        <w:t xml:space="preserve">尚未采取充分行动，对法官和律师进行《公约》方面的培训，并将《公约》纳入缔约国的法律框架。 </w:t>
      </w:r>
    </w:p>
    <w:p w:rsidR="005D2049" w:rsidRPr="005D2049" w:rsidRDefault="005D2049" w:rsidP="005D2049">
      <w:pPr>
        <w:pStyle w:val="SingleTxt"/>
        <w:rPr>
          <w:rFonts w:ascii="SimHei" w:eastAsia="SimHei" w:hint="eastAsia"/>
        </w:rPr>
      </w:pPr>
      <w:r>
        <w:rPr>
          <w:rFonts w:hint="eastAsia"/>
        </w:rPr>
        <w:t>14.</w:t>
      </w:r>
      <w:r>
        <w:rPr>
          <w:rFonts w:hint="eastAsia"/>
        </w:rPr>
        <w:tab/>
      </w:r>
      <w:r w:rsidRPr="005D2049">
        <w:rPr>
          <w:rFonts w:ascii="SimHei" w:eastAsia="SimHei" w:hint="eastAsia"/>
        </w:rPr>
        <w:t>委员会敦促缔约国：</w:t>
      </w:r>
    </w:p>
    <w:p w:rsidR="005D2049" w:rsidRPr="005D2049" w:rsidRDefault="005D2049" w:rsidP="005D2049">
      <w:pPr>
        <w:pStyle w:val="SingleTxt"/>
        <w:rPr>
          <w:rFonts w:ascii="SimHei" w:eastAsia="SimHei" w:hint="eastAsia"/>
        </w:rPr>
      </w:pPr>
      <w:r w:rsidRPr="005D2049">
        <w:rPr>
          <w:rFonts w:ascii="SimHei" w:eastAsia="SimHei" w:hint="eastAsia"/>
        </w:rPr>
        <w:tab/>
      </w:r>
      <w:r w:rsidR="00764202">
        <w:rPr>
          <w:rFonts w:ascii="SimHei" w:eastAsia="SimHei" w:hint="eastAsia"/>
        </w:rPr>
        <w:t>(</w:t>
      </w:r>
      <w:r w:rsidRPr="005D2049">
        <w:rPr>
          <w:rFonts w:ascii="SimHei" w:eastAsia="SimHei" w:hint="eastAsia"/>
        </w:rPr>
        <w:t>a)  确保声称《公约》规定的权利受到侵犯的妇女了解其在国家和地方各级获得司法救助的权利和手段，并确保在缔约国各地</w:t>
      </w:r>
      <w:r w:rsidR="00764202">
        <w:rPr>
          <w:rFonts w:ascii="SimHei" w:eastAsia="SimHei" w:hint="eastAsia"/>
        </w:rPr>
        <w:t>(</w:t>
      </w:r>
      <w:r w:rsidRPr="005D2049">
        <w:rPr>
          <w:rFonts w:ascii="SimHei" w:eastAsia="SimHei" w:hint="eastAsia"/>
        </w:rPr>
        <w:t>包括学校和高等教育机构</w:t>
      </w:r>
      <w:r w:rsidR="00764202">
        <w:rPr>
          <w:rFonts w:ascii="SimHei" w:eastAsia="SimHei" w:hint="eastAsia"/>
        </w:rPr>
        <w:t>)</w:t>
      </w:r>
      <w:r w:rsidRPr="005D2049">
        <w:rPr>
          <w:rFonts w:ascii="SimHei" w:eastAsia="SimHei" w:hint="eastAsia"/>
        </w:rPr>
        <w:t>提供关于《公约》的资料，而且利用宣传运动和媒体提供这种资料；</w:t>
      </w:r>
    </w:p>
    <w:p w:rsidR="005D2049" w:rsidRDefault="005D2049" w:rsidP="005D2049">
      <w:pPr>
        <w:pStyle w:val="SingleTxt"/>
      </w:pPr>
      <w:r w:rsidRPr="005D2049">
        <w:rPr>
          <w:rFonts w:ascii="SimHei" w:eastAsia="SimHei" w:hint="eastAsia"/>
        </w:rPr>
        <w:tab/>
      </w:r>
      <w:r w:rsidR="00764202">
        <w:rPr>
          <w:rFonts w:ascii="SimHei" w:eastAsia="SimHei" w:hint="eastAsia"/>
        </w:rPr>
        <w:t>(</w:t>
      </w:r>
      <w:r w:rsidRPr="005D2049">
        <w:rPr>
          <w:rFonts w:ascii="SimHei" w:eastAsia="SimHei" w:hint="eastAsia"/>
        </w:rPr>
        <w:t>b)  传播《公约》、《任择议定书》、委员会的一般性建议以及委员会对个人来文的看法和对社会各界的调查，并为政府官员、立法者、法官、律师、治安法官、检察官、警察和其他执法官员举办关于《公约》及其适用性的法律教育和定期培训，使《公约》能够成为关于性别平等和提高妇女地位的所有法律、法院裁决和政策的有效框架。</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司法救助和法律投诉机制 </w:t>
      </w:r>
    </w:p>
    <w:p w:rsidR="005D2049" w:rsidRPr="005D2049" w:rsidRDefault="005D2049" w:rsidP="005D2049">
      <w:pPr>
        <w:pStyle w:val="SingleTxt"/>
        <w:spacing w:after="0" w:line="120" w:lineRule="exact"/>
        <w:rPr>
          <w:rFonts w:hint="eastAsia"/>
          <w:sz w:val="10"/>
        </w:rPr>
      </w:pPr>
    </w:p>
    <w:p w:rsidR="005D2049" w:rsidRDefault="005D2049" w:rsidP="00E278AE">
      <w:pPr>
        <w:pStyle w:val="SingleTxt"/>
        <w:spacing w:line="340" w:lineRule="exact"/>
        <w:rPr>
          <w:rFonts w:hint="eastAsia"/>
        </w:rPr>
      </w:pPr>
      <w:r>
        <w:rPr>
          <w:rFonts w:hint="eastAsia"/>
        </w:rPr>
        <w:t>15.</w:t>
      </w:r>
      <w:r>
        <w:rPr>
          <w:rFonts w:hint="eastAsia"/>
        </w:rPr>
        <w:tab/>
        <w:t>委员会深切关注缔约国收紧了法律援助的资助和拟议资格标准，导致妇女的申请减少，并可能继续对妇女诉诸法律的机会造成不利影响，尤其是因为在缔约国利用法律援助者中，65%是妇女。委员会还关注移徙妇女由于文化、财务和语言障碍，缺乏获得适当法律服务的机会，并关注毛利妇女被起诉和定罪的比例以及作为罪行受害人的比例异常之高。此外，委员会欢迎人权委员会发挥作用，提供听取歧视投诉的机制，同时委员会感到关切的是，关于投诉机制的信息没有充分分发，人权委员会缺乏充足的资源。</w:t>
      </w:r>
    </w:p>
    <w:p w:rsidR="005D2049" w:rsidRPr="005D2049" w:rsidRDefault="005D2049" w:rsidP="005D2049">
      <w:pPr>
        <w:pStyle w:val="SingleTxt"/>
        <w:rPr>
          <w:rFonts w:ascii="SimHei" w:eastAsia="SimHei" w:hint="eastAsia"/>
        </w:rPr>
      </w:pPr>
      <w:r>
        <w:rPr>
          <w:rFonts w:hint="eastAsia"/>
        </w:rPr>
        <w:t>16.</w:t>
      </w:r>
      <w:r>
        <w:rPr>
          <w:rFonts w:hint="eastAsia"/>
        </w:rPr>
        <w:tab/>
      </w:r>
      <w:r w:rsidRPr="005D2049">
        <w:rPr>
          <w:rFonts w:ascii="SimHei" w:eastAsia="SimHei" w:hint="eastAsia"/>
        </w:rPr>
        <w:t>委员会敦促缔约国：</w:t>
      </w:r>
    </w:p>
    <w:p w:rsidR="005D2049" w:rsidRPr="005D2049" w:rsidRDefault="005D2049" w:rsidP="005D2049">
      <w:pPr>
        <w:pStyle w:val="SingleTxt"/>
        <w:rPr>
          <w:rFonts w:ascii="SimHei" w:eastAsia="SimHei" w:hint="eastAsia"/>
        </w:rPr>
      </w:pPr>
      <w:r w:rsidRPr="005D2049">
        <w:rPr>
          <w:rFonts w:ascii="SimHei" w:eastAsia="SimHei" w:hint="eastAsia"/>
        </w:rPr>
        <w:tab/>
        <w:t>(a)</w:t>
      </w:r>
      <w:r w:rsidRPr="005D2049">
        <w:rPr>
          <w:rFonts w:ascii="SimHei" w:eastAsia="SimHei" w:hint="eastAsia"/>
        </w:rPr>
        <w:tab/>
        <w:t>协助妇女获得司法救助，包括为缺乏充足财力的妇女提供免费法律援助，并进一步努力确保移徙妇女和毛利妇女免遭司法歧视；</w:t>
      </w:r>
    </w:p>
    <w:p w:rsidR="005D2049" w:rsidRPr="005D2049" w:rsidRDefault="005D2049" w:rsidP="005D2049">
      <w:pPr>
        <w:pStyle w:val="SingleTxt"/>
        <w:rPr>
          <w:rFonts w:ascii="SimHei" w:eastAsia="SimHei" w:hint="eastAsia"/>
        </w:rPr>
      </w:pPr>
      <w:r w:rsidRPr="005D2049">
        <w:rPr>
          <w:rFonts w:ascii="SimHei" w:eastAsia="SimHei" w:hint="eastAsia"/>
        </w:rPr>
        <w:tab/>
        <w:t>(b)</w:t>
      </w:r>
      <w:r w:rsidRPr="005D2049">
        <w:rPr>
          <w:rFonts w:ascii="SimHei" w:eastAsia="SimHei" w:hint="eastAsia"/>
        </w:rPr>
        <w:tab/>
        <w:t>根据《公约》及其《任择议定书》规定的义务，为法律行业和非政府组织提供关于适用禁止歧视立法方面的培训，包括司法救助方面的的培训；</w:t>
      </w:r>
    </w:p>
    <w:p w:rsidR="005D2049" w:rsidRPr="005D2049" w:rsidRDefault="005D2049" w:rsidP="005D2049">
      <w:pPr>
        <w:pStyle w:val="SingleTxt"/>
        <w:rPr>
          <w:rFonts w:ascii="SimHei" w:eastAsia="SimHei" w:hint="eastAsia"/>
        </w:rPr>
      </w:pPr>
      <w:r w:rsidRPr="005D2049">
        <w:rPr>
          <w:rFonts w:ascii="SimHei" w:eastAsia="SimHei" w:hint="eastAsia"/>
        </w:rPr>
        <w:tab/>
        <w:t>(c)</w:t>
      </w:r>
      <w:r w:rsidRPr="005D2049">
        <w:rPr>
          <w:rFonts w:ascii="SimHei" w:eastAsia="SimHei" w:hint="eastAsia"/>
        </w:rPr>
        <w:tab/>
        <w:t>强化提高妇女认识的举措，帮助妇女了解如何利用现有的反歧视法律补救方法，包括通过人权委员会，并确保人权委员会有充分的资源。</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提高妇女地位国家机构</w:t>
      </w:r>
    </w:p>
    <w:p w:rsidR="005D2049" w:rsidRPr="005D2049" w:rsidRDefault="005D2049" w:rsidP="005D2049">
      <w:pPr>
        <w:pStyle w:val="SingleTxt"/>
        <w:spacing w:after="0" w:line="120" w:lineRule="exact"/>
        <w:rPr>
          <w:rFonts w:hint="eastAsia"/>
          <w:sz w:val="10"/>
        </w:rPr>
      </w:pPr>
    </w:p>
    <w:p w:rsidR="005D2049" w:rsidRDefault="005D2049" w:rsidP="005D2049">
      <w:pPr>
        <w:pStyle w:val="SingleTxt"/>
        <w:rPr>
          <w:rFonts w:hint="eastAsia"/>
        </w:rPr>
      </w:pPr>
      <w:r>
        <w:rPr>
          <w:rFonts w:hint="eastAsia"/>
        </w:rPr>
        <w:t>17.</w:t>
      </w:r>
      <w:r>
        <w:rPr>
          <w:rFonts w:hint="eastAsia"/>
        </w:rPr>
        <w:tab/>
        <w:t>委员会关切地注意到，缔约国尚未按照委员会在以往结论性意见中提出的要求(CEDAW/C/NZL/CO/6，第15段)，采取充分措施，确保将性别观点纳入所有国家计划和政府机构的主流。在这方面，委员会关切地注意到，缔约国尚未为妇女制订新的国家行动计划来取代2009年结束的行动计划，并且妇女事务部缺乏执行其众多任务的充分资源。</w:t>
      </w:r>
    </w:p>
    <w:p w:rsidR="005D2049" w:rsidRPr="005D2049" w:rsidRDefault="005D2049" w:rsidP="005D2049">
      <w:pPr>
        <w:pStyle w:val="SingleTxt"/>
        <w:rPr>
          <w:rFonts w:ascii="SimHei" w:eastAsia="SimHei" w:hint="eastAsia"/>
        </w:rPr>
      </w:pPr>
      <w:r>
        <w:rPr>
          <w:rFonts w:hint="eastAsia"/>
        </w:rPr>
        <w:t>18.</w:t>
      </w:r>
      <w:r>
        <w:rPr>
          <w:rFonts w:hint="eastAsia"/>
        </w:rPr>
        <w:tab/>
      </w:r>
      <w:r w:rsidRPr="005D2049">
        <w:rPr>
          <w:rFonts w:ascii="SimHei" w:eastAsia="SimHei" w:hint="eastAsia"/>
        </w:rPr>
        <w:t>委员会鼓励缔约国：</w:t>
      </w:r>
    </w:p>
    <w:p w:rsidR="005D2049" w:rsidRPr="005D2049" w:rsidRDefault="005D2049" w:rsidP="005D2049">
      <w:pPr>
        <w:pStyle w:val="SingleTxt"/>
        <w:rPr>
          <w:rFonts w:ascii="SimHei" w:eastAsia="SimHei" w:hint="eastAsia"/>
        </w:rPr>
      </w:pPr>
      <w:r w:rsidRPr="005D2049">
        <w:rPr>
          <w:rFonts w:ascii="SimHei" w:eastAsia="SimHei" w:hint="eastAsia"/>
        </w:rPr>
        <w:tab/>
        <w:t>(a)</w:t>
      </w:r>
      <w:r w:rsidRPr="005D2049">
        <w:rPr>
          <w:rFonts w:ascii="SimHei" w:eastAsia="SimHei" w:hint="eastAsia"/>
        </w:rPr>
        <w:tab/>
        <w:t>将性别观点纳入国家所有计划和政府机构的主流；</w:t>
      </w:r>
    </w:p>
    <w:p w:rsidR="005D2049" w:rsidRPr="005D2049" w:rsidRDefault="005D2049" w:rsidP="005D2049">
      <w:pPr>
        <w:pStyle w:val="SingleTxt"/>
        <w:rPr>
          <w:rFonts w:ascii="SimHei" w:eastAsia="SimHei" w:hint="eastAsia"/>
        </w:rPr>
      </w:pPr>
      <w:r w:rsidRPr="005D2049">
        <w:rPr>
          <w:rFonts w:ascii="SimHei" w:eastAsia="SimHei" w:hint="eastAsia"/>
        </w:rPr>
        <w:tab/>
        <w:t>(b)</w:t>
      </w:r>
      <w:r w:rsidRPr="005D2049">
        <w:rPr>
          <w:rFonts w:ascii="SimHei" w:eastAsia="SimHei" w:hint="eastAsia"/>
        </w:rPr>
        <w:tab/>
        <w:t>加强现有的国家机构，途径是在各级提供充分的权限、能见度及人力和财力资源，并通过增加妇女事务部的资源，增强提高妇女地位和促进性别平等的现有机制间的协调；</w:t>
      </w:r>
    </w:p>
    <w:p w:rsidR="005D2049" w:rsidRDefault="005D2049" w:rsidP="005D2049">
      <w:pPr>
        <w:pStyle w:val="SingleTxt"/>
        <w:rPr>
          <w:rFonts w:hint="eastAsia"/>
        </w:rPr>
      </w:pPr>
      <w:r w:rsidRPr="005D2049">
        <w:rPr>
          <w:rFonts w:ascii="SimHei" w:eastAsia="SimHei" w:hint="eastAsia"/>
        </w:rPr>
        <w:tab/>
        <w:t>(c)</w:t>
      </w:r>
      <w:r w:rsidRPr="005D2049">
        <w:rPr>
          <w:rFonts w:ascii="SimHei" w:eastAsia="SimHei" w:hint="eastAsia"/>
        </w:rPr>
        <w:tab/>
        <w:t>进行关于如何在缔约国改善妇女状况的综合研究，并据此制订国家妇女行动计划。</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暂行特别措施 </w:t>
      </w:r>
    </w:p>
    <w:p w:rsidR="005D2049" w:rsidRPr="005D2049" w:rsidRDefault="005D2049" w:rsidP="005D2049">
      <w:pPr>
        <w:pStyle w:val="SingleTxt"/>
        <w:spacing w:after="0" w:line="120" w:lineRule="exact"/>
        <w:rPr>
          <w:rFonts w:hint="eastAsia"/>
          <w:sz w:val="10"/>
        </w:rPr>
      </w:pPr>
    </w:p>
    <w:p w:rsidR="005D2049" w:rsidRDefault="005D2049" w:rsidP="00E278AE">
      <w:pPr>
        <w:pStyle w:val="SingleTxt"/>
        <w:spacing w:line="340" w:lineRule="exact"/>
        <w:rPr>
          <w:rFonts w:hint="eastAsia"/>
        </w:rPr>
      </w:pPr>
      <w:r>
        <w:rPr>
          <w:rFonts w:hint="eastAsia"/>
        </w:rPr>
        <w:t>19.</w:t>
      </w:r>
      <w:r>
        <w:rPr>
          <w:rFonts w:hint="eastAsia"/>
        </w:rPr>
        <w:tab/>
        <w:t>委员会注意到缔约国制订了变革指标，以监测在经济发展、妇女进入领导层和暴力侵害妇女行为这三个优先领域妇女权利的进步情况。不过委员会关切的是，设定的目标和指标不足以确保有效实现妇女的进步。在这方面，委员会关切地注意到，缔约国宣布，虽然立法允许使用暂行特别措施，但是采用这些措施并不足以有效加速实现男女之间的实质平等。委员会承认妇女在公共部门任职取得了一些进展，但委员会关切的是，在私营企业董事会中担任高级和管理职位的妇女人数很少。</w:t>
      </w:r>
    </w:p>
    <w:p w:rsidR="005D2049" w:rsidRDefault="005D2049" w:rsidP="005D2049">
      <w:pPr>
        <w:pStyle w:val="SingleTxt"/>
        <w:rPr>
          <w:rFonts w:hint="eastAsia"/>
        </w:rPr>
      </w:pPr>
      <w:r>
        <w:rPr>
          <w:rFonts w:hint="eastAsia"/>
        </w:rPr>
        <w:t>20.</w:t>
      </w:r>
      <w:r w:rsidRPr="005D2049">
        <w:rPr>
          <w:rFonts w:ascii="SimHei" w:eastAsia="SimHei" w:hint="eastAsia"/>
          <w:spacing w:val="-2"/>
        </w:rPr>
        <w:tab/>
        <w:t>委员会鼓励缔约国根据《公约》第四条第1款和委员会的第25号一般性建议，研究、审查并重新考虑暂行特别措施的相关性和用处。委员会还建议缔约国在其男女平等立法中列入相关条款，鼓励在公共部门和私营部门中采用暂行特别措施，以便在缔约国的所有领域和部门加速实现妇女在法律上和事实上与男子平等。</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定型观念和有害习俗</w:t>
      </w:r>
    </w:p>
    <w:p w:rsidR="005D2049" w:rsidRPr="005D2049" w:rsidRDefault="005D2049" w:rsidP="005D2049">
      <w:pPr>
        <w:pStyle w:val="SingleTxt"/>
        <w:spacing w:after="0" w:line="120" w:lineRule="exact"/>
        <w:rPr>
          <w:rFonts w:hint="eastAsia"/>
          <w:sz w:val="10"/>
        </w:rPr>
      </w:pPr>
    </w:p>
    <w:p w:rsidR="005D2049" w:rsidRDefault="005D2049" w:rsidP="00E278AE">
      <w:pPr>
        <w:pStyle w:val="SingleTxt"/>
        <w:spacing w:line="340" w:lineRule="exact"/>
        <w:rPr>
          <w:rFonts w:hint="eastAsia"/>
        </w:rPr>
      </w:pPr>
      <w:r>
        <w:rPr>
          <w:rFonts w:hint="eastAsia"/>
        </w:rPr>
        <w:t>21.</w:t>
      </w:r>
      <w:r>
        <w:rPr>
          <w:rFonts w:hint="eastAsia"/>
        </w:rPr>
        <w:tab/>
        <w:t xml:space="preserve">委员会注意到缔约国尤其通过媒体广播条例，努力消除影响妇女的歧视态度和有害习俗，同时委员会对涉及男女在家庭和社会中的传统作用的负面定型观念继续感到关切。委员会尤其关切的是，媒体以负面并且有时是剥削性的方式呈现妇女，从而延续对妇女和女孩的歧视。在这方面，委员会关切地注意到，缔约国尚未按照委员会在以往结论意见中提出的建议，开展全国性的宣传运动，宣传男女平等的重要性。此外，委员会对尤其针对少女的网络欺凌发生率表示关切。委员会还对移民社区中存在的强迫少女结婚的做法感到关切。  </w:t>
      </w:r>
    </w:p>
    <w:p w:rsidR="005D2049" w:rsidRPr="005D2049" w:rsidRDefault="005D2049" w:rsidP="005D2049">
      <w:pPr>
        <w:pStyle w:val="SingleTxt"/>
        <w:rPr>
          <w:rFonts w:ascii="SimHei" w:eastAsia="SimHei" w:hint="eastAsia"/>
        </w:rPr>
      </w:pPr>
      <w:r>
        <w:rPr>
          <w:rFonts w:hint="eastAsia"/>
        </w:rPr>
        <w:t>22.</w:t>
      </w:r>
      <w:r>
        <w:rPr>
          <w:rFonts w:hint="eastAsia"/>
        </w:rPr>
        <w:tab/>
      </w:r>
      <w:r w:rsidRPr="005D2049">
        <w:rPr>
          <w:rFonts w:ascii="SimHei" w:eastAsia="SimHei" w:hint="eastAsia"/>
        </w:rPr>
        <w:t xml:space="preserve">委员会敦促缔约国： </w:t>
      </w:r>
    </w:p>
    <w:p w:rsidR="005D2049" w:rsidRPr="005D2049" w:rsidRDefault="005D2049" w:rsidP="005D2049">
      <w:pPr>
        <w:pStyle w:val="SingleTxt"/>
        <w:rPr>
          <w:rFonts w:ascii="SimHei" w:eastAsia="SimHei" w:hint="eastAsia"/>
        </w:rPr>
      </w:pPr>
      <w:r w:rsidRPr="005D2049">
        <w:rPr>
          <w:rFonts w:ascii="SimHei" w:eastAsia="SimHei" w:hint="eastAsia"/>
        </w:rPr>
        <w:tab/>
        <w:t>(a)</w:t>
      </w:r>
      <w:r w:rsidRPr="005D2049">
        <w:rPr>
          <w:rFonts w:ascii="SimHei" w:eastAsia="SimHei" w:hint="eastAsia"/>
        </w:rPr>
        <w:tab/>
        <w:t>立即开展全国运动，宣传民主社会中男女平等的重要性，按照《公约》第二条(f)款和第五条(a)款的规定加深对妇女实质性平等的含义和内容的理解，消除关于男女的传统家庭和社会角色的负面定型观念；</w:t>
      </w:r>
    </w:p>
    <w:p w:rsidR="005D2049" w:rsidRPr="005D2049" w:rsidRDefault="005D2049" w:rsidP="005D2049">
      <w:pPr>
        <w:pStyle w:val="SingleTxt"/>
        <w:rPr>
          <w:rFonts w:ascii="SimHei" w:eastAsia="SimHei" w:hint="eastAsia"/>
        </w:rPr>
      </w:pPr>
      <w:r w:rsidRPr="005D2049">
        <w:rPr>
          <w:rFonts w:ascii="SimHei" w:eastAsia="SimHei" w:hint="eastAsia"/>
        </w:rPr>
        <w:tab/>
        <w:t>(b)</w:t>
      </w:r>
      <w:r w:rsidRPr="005D2049">
        <w:rPr>
          <w:rFonts w:ascii="SimHei" w:eastAsia="SimHei" w:hint="eastAsia"/>
        </w:rPr>
        <w:tab/>
        <w:t>系统收集与有害习俗、包括网络欺凌少女有关的数据，采取措施，如在学校开展提高认识运动，防止这些做法；</w:t>
      </w:r>
    </w:p>
    <w:p w:rsidR="005D2049" w:rsidRDefault="005D2049" w:rsidP="005D2049">
      <w:pPr>
        <w:pStyle w:val="SingleTxt"/>
        <w:rPr>
          <w:rFonts w:hint="eastAsia"/>
        </w:rPr>
      </w:pPr>
      <w:r w:rsidRPr="005D2049">
        <w:rPr>
          <w:rFonts w:ascii="SimHei" w:eastAsia="SimHei" w:hint="eastAsia"/>
        </w:rPr>
        <w:tab/>
        <w:t>(c)</w:t>
      </w:r>
      <w:r w:rsidRPr="005D2049">
        <w:rPr>
          <w:rFonts w:ascii="SimHei" w:eastAsia="SimHei" w:hint="eastAsia"/>
        </w:rPr>
        <w:tab/>
        <w:t>采取一切必要措施打击移徙社区中的早婚和强迫婚姻习俗，并进行这方面的提高认识运动。</w:t>
      </w:r>
      <w:r>
        <w:rPr>
          <w:rFonts w:hint="eastAsia"/>
        </w:rPr>
        <w:t xml:space="preserve"> </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暴力侵害妇女行为 </w:t>
      </w:r>
    </w:p>
    <w:p w:rsidR="005D2049" w:rsidRPr="005D2049" w:rsidRDefault="005D2049" w:rsidP="005D2049">
      <w:pPr>
        <w:pStyle w:val="SingleTxt"/>
        <w:spacing w:after="0" w:line="120" w:lineRule="exact"/>
        <w:rPr>
          <w:rFonts w:hint="eastAsia"/>
          <w:sz w:val="10"/>
        </w:rPr>
      </w:pPr>
    </w:p>
    <w:p w:rsidR="005D2049" w:rsidRDefault="005D2049" w:rsidP="005D2049">
      <w:pPr>
        <w:pStyle w:val="SingleTxt"/>
        <w:rPr>
          <w:rFonts w:hint="eastAsia"/>
        </w:rPr>
      </w:pPr>
      <w:r>
        <w:rPr>
          <w:rFonts w:hint="eastAsia"/>
        </w:rPr>
        <w:t>23.</w:t>
      </w:r>
      <w:r>
        <w:rPr>
          <w:rFonts w:hint="eastAsia"/>
        </w:rPr>
        <w:tab/>
        <w:t>委员会注意到，缔约国已采取措施，通过立法和体制框架，保护妇女免受暴力侵害。在立法一级，该方面的措施包括颁布刑法修正案，以加强对受害者权利的保护，如授权警方当场发出安全令，以保护家庭暴力的受害者。委员会还注意到，立法也授权刑事法院为家庭暴力案件的受害者签发保护令。</w:t>
      </w:r>
    </w:p>
    <w:p w:rsidR="005D2049" w:rsidRDefault="005D2049" w:rsidP="005D2049">
      <w:pPr>
        <w:pStyle w:val="SingleTxt"/>
      </w:pPr>
      <w:r>
        <w:rPr>
          <w:rFonts w:hint="eastAsia"/>
        </w:rPr>
        <w:t>24.</w:t>
      </w:r>
      <w:r>
        <w:rPr>
          <w:rFonts w:hint="eastAsia"/>
        </w:rPr>
        <w:tab/>
        <w:t>委员会注意到遏制家庭暴力行动工作组的工作，同时委员会关切地注意到，该工作组成员中的妇女任职人数偏低。委员会还注意到，遏制性暴力行动工作队报告中的许多建议尚未执行。委员会还注意到，处理家庭暴力问题的法庭数目增加，并采取了一些提高认识举措，如“禁止家暴运动”，以降低家庭暴力的发生率。尽管有前述具有正面意义的发展，委员会仍然关切的是，暴力侵害妇女行为的数量仍然很大并继续增加，报告率和定罪率低，尤其是在涉及性暴力的时候。委员会关切地注意到，有关暴力侵害妇女，尤其是毛利妇女、移徙妇女和残疾妇女的统计数据不足。</w:t>
      </w:r>
    </w:p>
    <w:p w:rsidR="005D2049" w:rsidRPr="005D2049" w:rsidRDefault="005D2049" w:rsidP="005D2049">
      <w:pPr>
        <w:pStyle w:val="SingleTxt"/>
        <w:rPr>
          <w:rFonts w:ascii="SimHei" w:eastAsia="SimHei" w:hint="eastAsia"/>
        </w:rPr>
      </w:pPr>
      <w:r>
        <w:rPr>
          <w:rFonts w:hint="eastAsia"/>
        </w:rPr>
        <w:t>25.</w:t>
      </w:r>
      <w:r>
        <w:rPr>
          <w:rFonts w:hint="eastAsia"/>
        </w:rPr>
        <w:tab/>
      </w:r>
      <w:r w:rsidRPr="005D2049">
        <w:rPr>
          <w:rFonts w:ascii="SimHei" w:eastAsia="SimHei" w:hint="eastAsia"/>
        </w:rPr>
        <w:t>委员会促请缔约国：</w:t>
      </w:r>
    </w:p>
    <w:p w:rsidR="005D2049" w:rsidRPr="005D2049" w:rsidRDefault="005D2049" w:rsidP="005D2049">
      <w:pPr>
        <w:pStyle w:val="SingleTxt"/>
        <w:rPr>
          <w:rFonts w:ascii="SimHei" w:eastAsia="SimHei" w:hint="eastAsia"/>
        </w:rPr>
      </w:pPr>
      <w:r w:rsidRPr="005D2049">
        <w:rPr>
          <w:rFonts w:ascii="SimHei" w:eastAsia="SimHei" w:hint="eastAsia"/>
        </w:rPr>
        <w:tab/>
        <w:t>(a)</w:t>
      </w:r>
      <w:r w:rsidRPr="005D2049">
        <w:rPr>
          <w:rFonts w:ascii="SimHei" w:eastAsia="SimHei" w:hint="eastAsia"/>
        </w:rPr>
        <w:tab/>
        <w:t>采取必要措施鼓励报告家庭暴力和性暴力案件，确保教育专业人士、提供保健服务者和社会工作者充分熟悉相关法律规定，了解各种形式的暴力侵害妇女行为，并能够履行自己的报案义务；</w:t>
      </w:r>
    </w:p>
    <w:p w:rsidR="005D2049" w:rsidRPr="005D2049" w:rsidRDefault="005D2049" w:rsidP="005D2049">
      <w:pPr>
        <w:pStyle w:val="SingleTxt"/>
        <w:rPr>
          <w:rFonts w:ascii="SimHei" w:eastAsia="SimHei" w:hint="eastAsia"/>
        </w:rPr>
      </w:pPr>
      <w:r w:rsidRPr="005D2049">
        <w:rPr>
          <w:rFonts w:ascii="SimHei" w:eastAsia="SimHei" w:hint="eastAsia"/>
        </w:rPr>
        <w:tab/>
        <w:t>(b)</w:t>
      </w:r>
      <w:r w:rsidRPr="005D2049">
        <w:rPr>
          <w:rFonts w:ascii="SimHei" w:eastAsia="SimHei" w:hint="eastAsia"/>
        </w:rPr>
        <w:tab/>
        <w:t>加强对警察、检察官、司法和其他相关政府机构进行有关家庭暴力和性暴力的培训；</w:t>
      </w:r>
    </w:p>
    <w:p w:rsidR="005D2049" w:rsidRPr="005D2049" w:rsidRDefault="005D2049" w:rsidP="005D2049">
      <w:pPr>
        <w:pStyle w:val="SingleTxt"/>
        <w:rPr>
          <w:rFonts w:ascii="SimHei" w:eastAsia="SimHei" w:hint="eastAsia"/>
        </w:rPr>
      </w:pPr>
      <w:r w:rsidRPr="005D2049">
        <w:rPr>
          <w:rFonts w:ascii="SimHei" w:eastAsia="SimHei" w:hint="eastAsia"/>
        </w:rPr>
        <w:tab/>
        <w:t>(c)</w:t>
      </w:r>
      <w:r w:rsidRPr="005D2049">
        <w:rPr>
          <w:rFonts w:ascii="SimHei" w:eastAsia="SimHei" w:hint="eastAsia"/>
        </w:rPr>
        <w:tab/>
        <w:t>为女性暴力受害者，包括毛利妇女和移徙妇女提供充分的援助和保护，确保她们获得必要的法律和心理社会服务；</w:t>
      </w:r>
    </w:p>
    <w:p w:rsidR="005D2049" w:rsidRPr="005D2049" w:rsidRDefault="005D2049" w:rsidP="005D2049">
      <w:pPr>
        <w:pStyle w:val="SingleTxt"/>
        <w:rPr>
          <w:rFonts w:ascii="SimHei" w:eastAsia="SimHei" w:hint="eastAsia"/>
        </w:rPr>
      </w:pPr>
      <w:r w:rsidRPr="005D2049">
        <w:rPr>
          <w:rFonts w:ascii="SimHei" w:eastAsia="SimHei" w:hint="eastAsia"/>
        </w:rPr>
        <w:tab/>
        <w:t>(d)</w:t>
      </w:r>
      <w:r w:rsidRPr="005D2049">
        <w:rPr>
          <w:rFonts w:ascii="SimHei" w:eastAsia="SimHei" w:hint="eastAsia"/>
        </w:rPr>
        <w:tab/>
        <w:t>增加妇女在遏制家庭暴力行动工作组中的任职人数，确保提供适当资源，以便在缔约国提高对该工作组地位的认识；</w:t>
      </w:r>
    </w:p>
    <w:p w:rsidR="005D2049" w:rsidRPr="005D2049" w:rsidRDefault="005D2049" w:rsidP="005D2049">
      <w:pPr>
        <w:pStyle w:val="SingleTxt"/>
        <w:rPr>
          <w:rFonts w:ascii="SimHei" w:eastAsia="SimHei" w:hint="eastAsia"/>
        </w:rPr>
      </w:pPr>
      <w:r w:rsidRPr="005D2049">
        <w:rPr>
          <w:rFonts w:ascii="SimHei" w:eastAsia="SimHei" w:hint="eastAsia"/>
        </w:rPr>
        <w:tab/>
        <w:t>(e)</w:t>
      </w:r>
      <w:r w:rsidRPr="005D2049">
        <w:rPr>
          <w:rFonts w:ascii="SimHei" w:eastAsia="SimHei" w:hint="eastAsia"/>
        </w:rPr>
        <w:tab/>
        <w:t>确保系统收集和公布按性别、族裔、暴力类型及施害者与受害者的关系分列的数据；收集被伴侣或前伴侣杀害的妇女数据；监测旨在消除一切形式暴力侵害妇女和女孩行为的立法、政策和措施的效力。</w:t>
      </w:r>
    </w:p>
    <w:p w:rsidR="005D2049" w:rsidRDefault="005D2049" w:rsidP="005D20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贩卖人口和利用卖淫营利</w:t>
      </w:r>
    </w:p>
    <w:p w:rsidR="005D2049" w:rsidRPr="005D2049" w:rsidRDefault="005D2049" w:rsidP="005D2049">
      <w:pPr>
        <w:pStyle w:val="SingleTxt"/>
        <w:spacing w:after="0" w:line="120" w:lineRule="exact"/>
        <w:rPr>
          <w:rFonts w:hint="eastAsia"/>
          <w:sz w:val="10"/>
        </w:rPr>
      </w:pPr>
    </w:p>
    <w:p w:rsidR="005D2049" w:rsidRDefault="005D2049" w:rsidP="005D2049">
      <w:pPr>
        <w:pStyle w:val="SingleTxt"/>
        <w:rPr>
          <w:rFonts w:hint="eastAsia"/>
        </w:rPr>
      </w:pPr>
      <w:r>
        <w:rPr>
          <w:rFonts w:hint="eastAsia"/>
        </w:rPr>
        <w:t>26.</w:t>
      </w:r>
      <w:r>
        <w:rPr>
          <w:rFonts w:hint="eastAsia"/>
        </w:rPr>
        <w:tab/>
        <w:t>委员会赞赏《2009年预防贩卖人口行动计划》以及《2003年卖淫改革法》通过以来在保护性工作者方面取得的改进，同时对缺乏有关贩卖妇女和女孩的综合信息和数据表示遗憾。委员会注意到，没有关于贩卖妇女和女孩的起诉和定罪；但尤其鉴于存在关于贩卖移徙妇女和女孩的报道，包括“邮购”新娘和“网购”新娘的报道，委员会关切其原因可能是对贩卖人口和利用卖淫营利的威胁没有充分的知识和认识。</w:t>
      </w:r>
    </w:p>
    <w:p w:rsidR="005D2049" w:rsidRPr="00B74F43" w:rsidRDefault="005D2049" w:rsidP="005D2049">
      <w:pPr>
        <w:pStyle w:val="SingleTxt"/>
        <w:rPr>
          <w:rFonts w:ascii="SimHei" w:eastAsia="SimHei" w:hint="eastAsia"/>
        </w:rPr>
      </w:pPr>
      <w:r>
        <w:rPr>
          <w:rFonts w:hint="eastAsia"/>
        </w:rPr>
        <w:t>27.</w:t>
      </w:r>
      <w:r>
        <w:rPr>
          <w:rFonts w:hint="eastAsia"/>
        </w:rPr>
        <w:tab/>
      </w:r>
      <w:r w:rsidRPr="00B74F43">
        <w:rPr>
          <w:rFonts w:ascii="SimHei" w:eastAsia="SimHei" w:hint="eastAsia"/>
        </w:rPr>
        <w:t>委员会建议缔约国：</w:t>
      </w:r>
    </w:p>
    <w:p w:rsidR="005D2049" w:rsidRPr="00B74F43" w:rsidRDefault="005D2049" w:rsidP="005D2049">
      <w:pPr>
        <w:pStyle w:val="SingleTxt"/>
        <w:rPr>
          <w:rFonts w:ascii="SimHei" w:eastAsia="SimHei" w:hint="eastAsia"/>
        </w:rPr>
      </w:pPr>
      <w:r w:rsidRPr="00B74F43">
        <w:rPr>
          <w:rFonts w:ascii="SimHei" w:eastAsia="SimHei" w:hint="eastAsia"/>
        </w:rPr>
        <w:tab/>
        <w:t>(a)</w:t>
      </w:r>
      <w:r w:rsidRPr="00B74F43">
        <w:rPr>
          <w:rFonts w:ascii="SimHei" w:eastAsia="SimHei" w:hint="eastAsia"/>
        </w:rPr>
        <w:tab/>
        <w:t>查明、起诉并惩罚贩卖者，切实保护被贩卖妇女和女孩的人权；</w:t>
      </w:r>
    </w:p>
    <w:p w:rsidR="005D2049" w:rsidRPr="00B74F43" w:rsidRDefault="005D2049" w:rsidP="005D2049">
      <w:pPr>
        <w:pStyle w:val="SingleTxt"/>
        <w:rPr>
          <w:rFonts w:ascii="SimHei" w:eastAsia="SimHei" w:hint="eastAsia"/>
        </w:rPr>
      </w:pPr>
      <w:r w:rsidRPr="00B74F43">
        <w:rPr>
          <w:rFonts w:ascii="SimHei" w:eastAsia="SimHei" w:hint="eastAsia"/>
        </w:rPr>
        <w:tab/>
        <w:t>(b)</w:t>
      </w:r>
      <w:r w:rsidRPr="00B74F43">
        <w:rPr>
          <w:rFonts w:ascii="SimHei" w:eastAsia="SimHei" w:hint="eastAsia"/>
        </w:rPr>
        <w:tab/>
        <w:t>确保被贩卖妇女和女孩获得充分支持，使其能够作证指控贩卖者；</w:t>
      </w:r>
    </w:p>
    <w:p w:rsidR="005D2049" w:rsidRPr="00B74F43" w:rsidRDefault="005D2049" w:rsidP="005D2049">
      <w:pPr>
        <w:pStyle w:val="SingleTxt"/>
        <w:rPr>
          <w:rFonts w:ascii="SimHei" w:eastAsia="SimHei" w:hint="eastAsia"/>
        </w:rPr>
      </w:pPr>
      <w:r w:rsidRPr="00B74F43">
        <w:rPr>
          <w:rFonts w:ascii="SimHei" w:eastAsia="SimHei" w:hint="eastAsia"/>
        </w:rPr>
        <w:tab/>
        <w:t>(c)</w:t>
      </w:r>
      <w:r w:rsidRPr="00B74F43">
        <w:rPr>
          <w:rFonts w:ascii="SimHei" w:eastAsia="SimHei" w:hint="eastAsia"/>
        </w:rPr>
        <w:tab/>
        <w:t>确保系统监测和定期评价，包括收集和分析有关贩卖妇女并利用她们卖淫营利的数据，并在下一次定期报告中列入这些数据；</w:t>
      </w:r>
    </w:p>
    <w:p w:rsidR="005D2049" w:rsidRPr="00B74F43" w:rsidRDefault="005D2049" w:rsidP="005D2049">
      <w:pPr>
        <w:pStyle w:val="SingleTxt"/>
        <w:rPr>
          <w:rFonts w:ascii="SimHei" w:eastAsia="SimHei" w:hint="eastAsia"/>
        </w:rPr>
      </w:pPr>
      <w:r w:rsidRPr="00B74F43">
        <w:rPr>
          <w:rFonts w:ascii="SimHei" w:eastAsia="SimHei" w:hint="eastAsia"/>
        </w:rPr>
        <w:tab/>
        <w:t>(d)</w:t>
      </w:r>
      <w:r w:rsidRPr="00B74F43">
        <w:rPr>
          <w:rFonts w:ascii="SimHei" w:eastAsia="SimHei" w:hint="eastAsia"/>
        </w:rPr>
        <w:tab/>
        <w:t>提高对贩卖人口和利用卖淫营利所构成威胁的认识，努力预先查明弱势群体，包括移徙妇女和女孩，如“邮购”和“网购”新娘。</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参与政治和公共生活</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28.</w:t>
      </w:r>
      <w:r>
        <w:rPr>
          <w:rFonts w:hint="eastAsia"/>
        </w:rPr>
        <w:tab/>
        <w:t>委员会注意到，缔约国妇女参与公共生活的程度较高，根据2011年《全球性别差距报告》的资料，在135个国家中，缔约国排名第6，在女议员人数方面，缔约国在134个国家中排名第15。尽管妇女在中央和地方各级政府以及在外交部门任职的人数较高，但委员会仍然感到关切地注意到，妇女担任高级管理职务和法律界、尤其是司法界较高职务的人数不足，而且自缔约国提交上次报告以来，担任公共行政总裁的女性人数不增反减。委员会注意到，虽然该国政府和私营部门合作，以确定增加妇女担任决策职务人数的指标，但确定的指标、目标和时限不够，这可能是妇女代表性不进反退的表现。</w:t>
      </w:r>
    </w:p>
    <w:p w:rsidR="005D2049" w:rsidRPr="00B74F43" w:rsidRDefault="005D2049" w:rsidP="005D2049">
      <w:pPr>
        <w:pStyle w:val="SingleTxt"/>
        <w:rPr>
          <w:rFonts w:ascii="SimHei" w:eastAsia="SimHei" w:hint="eastAsia"/>
        </w:rPr>
      </w:pPr>
      <w:r>
        <w:rPr>
          <w:rFonts w:hint="eastAsia"/>
        </w:rPr>
        <w:t>29.</w:t>
      </w:r>
      <w:r>
        <w:rPr>
          <w:rFonts w:hint="eastAsia"/>
        </w:rPr>
        <w:tab/>
      </w:r>
      <w:r w:rsidRPr="00B74F43">
        <w:rPr>
          <w:rFonts w:ascii="SimHei" w:eastAsia="SimHei" w:hint="eastAsia"/>
        </w:rPr>
        <w:t>委员会建议缔约国：</w:t>
      </w:r>
    </w:p>
    <w:p w:rsidR="005D2049" w:rsidRPr="00B74F43" w:rsidRDefault="005D2049" w:rsidP="005D2049">
      <w:pPr>
        <w:pStyle w:val="SingleTxt"/>
        <w:rPr>
          <w:rFonts w:ascii="SimHei" w:eastAsia="SimHei" w:hint="eastAsia"/>
        </w:rPr>
      </w:pPr>
      <w:r w:rsidRPr="00B74F43">
        <w:rPr>
          <w:rFonts w:ascii="SimHei" w:eastAsia="SimHei" w:hint="eastAsia"/>
        </w:rPr>
        <w:tab/>
        <w:t>(a)</w:t>
      </w:r>
      <w:r w:rsidRPr="00B74F43">
        <w:rPr>
          <w:rFonts w:ascii="SimHei" w:eastAsia="SimHei" w:hint="eastAsia"/>
        </w:rPr>
        <w:tab/>
        <w:t>根据委员会关于妇女参与政治和公共生活的第23号一般性建议，采取措施，增加妇女担任各级和各领域决策职务的人数；</w:t>
      </w:r>
    </w:p>
    <w:p w:rsidR="005D2049" w:rsidRPr="00B74F43" w:rsidRDefault="005D2049" w:rsidP="005D2049">
      <w:pPr>
        <w:pStyle w:val="SingleTxt"/>
        <w:rPr>
          <w:rFonts w:ascii="SimHei" w:eastAsia="SimHei" w:hint="eastAsia"/>
        </w:rPr>
      </w:pPr>
      <w:r w:rsidRPr="00B74F43">
        <w:rPr>
          <w:rFonts w:ascii="SimHei" w:eastAsia="SimHei" w:hint="eastAsia"/>
        </w:rPr>
        <w:tab/>
        <w:t>(b)</w:t>
      </w:r>
      <w:r w:rsidRPr="00B74F43">
        <w:rPr>
          <w:rFonts w:ascii="SimHei" w:eastAsia="SimHei" w:hint="eastAsia"/>
        </w:rPr>
        <w:tab/>
        <w:t>尽一切努力在私营部门和公共部门传播《公约》信息，以提高对男女实质性平等含义和内容的认识和理解；</w:t>
      </w:r>
    </w:p>
    <w:p w:rsidR="005D2049" w:rsidRPr="00B74F43" w:rsidRDefault="005D2049" w:rsidP="005D2049">
      <w:pPr>
        <w:pStyle w:val="SingleTxt"/>
        <w:rPr>
          <w:rFonts w:ascii="SimHei" w:eastAsia="SimHei" w:hint="eastAsia"/>
        </w:rPr>
      </w:pPr>
      <w:r w:rsidRPr="00B74F43">
        <w:rPr>
          <w:rFonts w:ascii="SimHei" w:eastAsia="SimHei" w:hint="eastAsia"/>
        </w:rPr>
        <w:tab/>
        <w:t>(c)</w:t>
      </w:r>
      <w:r w:rsidRPr="00B74F43">
        <w:rPr>
          <w:rFonts w:ascii="SimHei" w:eastAsia="SimHei" w:hint="eastAsia"/>
        </w:rPr>
        <w:tab/>
        <w:t>审查已确定的增加妇女担任决策职务人数的指标、目标和时限，以确保这些指标、目标和时限足以强化在提高妇女代表性方面取得的进步。</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教育</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30.</w:t>
      </w:r>
      <w:r>
        <w:rPr>
          <w:rFonts w:hint="eastAsia"/>
        </w:rPr>
        <w:tab/>
        <w:t>委员会欣见缔约国教育领域出现的一些积极趋势，包括获得幼儿教育的儿童人数增加，中学女生保留率提高，获得大学学位的妇女人数稳步增加。委员会还高兴地看到，缔约国提供的信息显示，接受高等教育的女性多于男性，毛利妇女和太平洋岛屿妇女接受证书、文凭、学位和研究生水平教育的比例超越欧裔或亚裔妇女。然而，委员会感到关切的是，缔约国没有按照委员会在以往结论意见中提出的建议，采取足够的行动，说明并公布学费的自愿性质。因此，委员会担心父母可能面临相当大的交学费压力，这给低收入家庭和单亲家庭造成财务负担。委员会还关切地注意到，虽然毛利女孩接受高等教育的情况改善，但近年来其整体辍学率却上升了。此外，委员会对男女生仍修不同的专题科目感到关切：，这影响未来的就业机会，并使职业隔离长期存在。</w:t>
      </w:r>
    </w:p>
    <w:p w:rsidR="005D2049" w:rsidRPr="00B74F43" w:rsidRDefault="005D2049" w:rsidP="005D2049">
      <w:pPr>
        <w:pStyle w:val="SingleTxt"/>
        <w:rPr>
          <w:rFonts w:ascii="SimHei" w:eastAsia="SimHei" w:hint="eastAsia"/>
        </w:rPr>
      </w:pPr>
      <w:r>
        <w:rPr>
          <w:rFonts w:hint="eastAsia"/>
        </w:rPr>
        <w:t>31.</w:t>
      </w:r>
      <w:r>
        <w:rPr>
          <w:rFonts w:hint="eastAsia"/>
        </w:rPr>
        <w:tab/>
      </w:r>
      <w:r w:rsidRPr="00B74F43">
        <w:rPr>
          <w:rFonts w:ascii="SimHei" w:eastAsia="SimHei" w:hint="eastAsia"/>
        </w:rPr>
        <w:t>委员会建议缔约国：</w:t>
      </w:r>
    </w:p>
    <w:p w:rsidR="005D2049" w:rsidRPr="00B74F43" w:rsidRDefault="005D2049" w:rsidP="005D2049">
      <w:pPr>
        <w:pStyle w:val="SingleTxt"/>
        <w:rPr>
          <w:rFonts w:ascii="SimHei" w:eastAsia="SimHei" w:hint="eastAsia"/>
        </w:rPr>
      </w:pPr>
      <w:r w:rsidRPr="00B74F43">
        <w:rPr>
          <w:rFonts w:ascii="SimHei" w:eastAsia="SimHei" w:hint="eastAsia"/>
        </w:rPr>
        <w:tab/>
        <w:t>(a)</w:t>
      </w:r>
      <w:r w:rsidRPr="00B74F43">
        <w:rPr>
          <w:rFonts w:ascii="SimHei" w:eastAsia="SimHei" w:hint="eastAsia"/>
        </w:rPr>
        <w:tab/>
        <w:t>制定系统方案，确保家长了解学校收费的自愿性质，并监督学校向家长收费的做法；</w:t>
      </w:r>
    </w:p>
    <w:p w:rsidR="005D2049" w:rsidRPr="00B74F43" w:rsidRDefault="005D2049" w:rsidP="005D2049">
      <w:pPr>
        <w:pStyle w:val="SingleTxt"/>
        <w:rPr>
          <w:rFonts w:ascii="SimHei" w:eastAsia="SimHei" w:hint="eastAsia"/>
        </w:rPr>
      </w:pPr>
      <w:r w:rsidRPr="00B74F43">
        <w:rPr>
          <w:rFonts w:ascii="SimHei" w:eastAsia="SimHei" w:hint="eastAsia"/>
        </w:rPr>
        <w:tab/>
        <w:t>(b)</w:t>
      </w:r>
      <w:r w:rsidRPr="00B74F43">
        <w:rPr>
          <w:rFonts w:ascii="SimHei" w:eastAsia="SimHei" w:hint="eastAsia"/>
        </w:rPr>
        <w:tab/>
        <w:t>收集家长所付实际教育费用的数据；</w:t>
      </w:r>
    </w:p>
    <w:p w:rsidR="005D2049" w:rsidRPr="00B74F43" w:rsidRDefault="005D2049" w:rsidP="005D2049">
      <w:pPr>
        <w:pStyle w:val="SingleTxt"/>
        <w:rPr>
          <w:rFonts w:ascii="SimHei" w:eastAsia="SimHei" w:hint="eastAsia"/>
        </w:rPr>
      </w:pPr>
      <w:r w:rsidRPr="00B74F43">
        <w:rPr>
          <w:rFonts w:ascii="SimHei" w:eastAsia="SimHei" w:hint="eastAsia"/>
        </w:rPr>
        <w:tab/>
        <w:t>(c)</w:t>
      </w:r>
      <w:r w:rsidRPr="00B74F43">
        <w:rPr>
          <w:rFonts w:ascii="SimHei" w:eastAsia="SimHei" w:hint="eastAsia"/>
        </w:rPr>
        <w:tab/>
        <w:t>采取措施，降低毛利女孩辍学率，让她们重返教育体系；</w:t>
      </w:r>
    </w:p>
    <w:p w:rsidR="005D2049" w:rsidRPr="00B74F43" w:rsidRDefault="005D2049" w:rsidP="005D2049">
      <w:pPr>
        <w:pStyle w:val="SingleTxt"/>
        <w:rPr>
          <w:rFonts w:ascii="SimHei" w:eastAsia="SimHei" w:hint="eastAsia"/>
        </w:rPr>
      </w:pPr>
      <w:r w:rsidRPr="00B74F43">
        <w:rPr>
          <w:rFonts w:ascii="SimHei" w:eastAsia="SimHei" w:hint="eastAsia"/>
        </w:rPr>
        <w:tab/>
        <w:t>(d)</w:t>
      </w:r>
      <w:r w:rsidRPr="00B74F43">
        <w:rPr>
          <w:rFonts w:ascii="SimHei" w:eastAsia="SimHei" w:hint="eastAsia"/>
        </w:rPr>
        <w:tab/>
        <w:t>采取措施，打破专题科目的性别隔离，以确保妇女和女孩能够平等地学习非传统专题科目，增加其未来就业机会，并打破职业隔离趋势。</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就业</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32.</w:t>
      </w:r>
      <w:r>
        <w:rPr>
          <w:rFonts w:hint="eastAsia"/>
        </w:rPr>
        <w:tab/>
        <w:t>委员会关切地注意到高失业率，尤其是青年妇女和少数族裔人士的高失业率。委员会还注意到，职业隔离程度居高不下。委员会赞赏地注意到，自营职业者现在可以休育儿假，但委员会关切地注意到，在实施育儿假，包括让男性休带薪育儿假、确保有多个雇佣关系的季节工人或定期合同工人能休带薪假以及增加妇女担任管理和决策职务的人数这些方面存在各种挑战。此外，委员会对下述情况感到关切：缔约国拟议修改关于集体谈判权的立法，允许雇主即使在已有工会谈判达成的集体协议情况下，仍可以较低个人待遇雇用新工人。委员会注意到，自2007年以来，妇女担任私营公司首席执行官和董事会董事的人数略有减少。委员会还关切地注意到，劳动部裁撤了薪酬和就业公平股，并且注意到，妇女事务部没有制定一项一贯的政策，以消除长期存在的男女工资差距。</w:t>
      </w:r>
    </w:p>
    <w:p w:rsidR="005D2049" w:rsidRPr="00B74F43" w:rsidRDefault="005D2049" w:rsidP="005D2049">
      <w:pPr>
        <w:pStyle w:val="SingleTxt"/>
        <w:rPr>
          <w:rFonts w:ascii="SimHei" w:eastAsia="SimHei" w:hint="eastAsia"/>
        </w:rPr>
      </w:pPr>
      <w:r>
        <w:rPr>
          <w:rFonts w:hint="eastAsia"/>
        </w:rPr>
        <w:t>33.</w:t>
      </w:r>
      <w:r>
        <w:rPr>
          <w:rFonts w:hint="eastAsia"/>
        </w:rPr>
        <w:tab/>
      </w:r>
      <w:r w:rsidRPr="00B74F43">
        <w:rPr>
          <w:rFonts w:ascii="SimHei" w:eastAsia="SimHei" w:hint="eastAsia"/>
        </w:rPr>
        <w:t>委员会建议缔约国：</w:t>
      </w:r>
    </w:p>
    <w:p w:rsidR="005D2049" w:rsidRPr="00B74F43" w:rsidRDefault="005D2049" w:rsidP="005D2049">
      <w:pPr>
        <w:pStyle w:val="SingleTxt"/>
        <w:rPr>
          <w:rFonts w:ascii="SimHei" w:eastAsia="SimHei" w:hint="eastAsia"/>
        </w:rPr>
      </w:pPr>
      <w:r w:rsidRPr="00B74F43">
        <w:rPr>
          <w:rFonts w:ascii="SimHei" w:eastAsia="SimHei" w:hint="eastAsia"/>
        </w:rPr>
        <w:tab/>
        <w:t>(a)</w:t>
      </w:r>
      <w:r w:rsidRPr="00B74F43">
        <w:rPr>
          <w:rFonts w:ascii="SimHei" w:eastAsia="SimHei" w:hint="eastAsia"/>
        </w:rPr>
        <w:tab/>
        <w:t>制定适当立法，保证落实和实施《公约》第十一条(d)款规定的“同样价值的工作享有同等报酬”原则；</w:t>
      </w:r>
    </w:p>
    <w:p w:rsidR="005D2049" w:rsidRPr="00B74F43" w:rsidRDefault="005D2049" w:rsidP="005D2049">
      <w:pPr>
        <w:pStyle w:val="SingleTxt"/>
        <w:rPr>
          <w:rFonts w:ascii="SimHei" w:eastAsia="SimHei" w:hint="eastAsia"/>
        </w:rPr>
      </w:pPr>
      <w:r w:rsidRPr="00B74F43">
        <w:rPr>
          <w:rFonts w:ascii="SimHei" w:eastAsia="SimHei" w:hint="eastAsia"/>
        </w:rPr>
        <w:tab/>
        <w:t>(b)</w:t>
      </w:r>
      <w:r w:rsidRPr="00B74F43">
        <w:rPr>
          <w:rFonts w:ascii="SimHei" w:eastAsia="SimHei" w:hint="eastAsia"/>
        </w:rPr>
        <w:tab/>
        <w:t>通过下列途径有效地执行同样价值的工作享有同等报酬原则：制定具体措施和指标，确定矫正不同行业报酬不平等问题的时间框架，审查公共服务部门首席执行官应对薪酬政策承担的责任；</w:t>
      </w:r>
    </w:p>
    <w:p w:rsidR="005D2049" w:rsidRPr="00B74F43" w:rsidRDefault="005D2049" w:rsidP="005D2049">
      <w:pPr>
        <w:pStyle w:val="SingleTxt"/>
        <w:rPr>
          <w:rFonts w:ascii="SimHei" w:eastAsia="SimHei" w:hint="eastAsia"/>
        </w:rPr>
      </w:pPr>
      <w:r w:rsidRPr="00B74F43">
        <w:rPr>
          <w:rFonts w:ascii="SimHei" w:eastAsia="SimHei" w:hint="eastAsia"/>
        </w:rPr>
        <w:tab/>
        <w:t>(c)</w:t>
      </w:r>
      <w:r w:rsidRPr="00B74F43">
        <w:rPr>
          <w:rFonts w:ascii="SimHei" w:eastAsia="SimHei" w:hint="eastAsia"/>
        </w:rPr>
        <w:tab/>
        <w:t>采取适当法律措施，以确保实施育儿假，包括让男性能休带薪育儿假并让有多个雇佣关系的季节工人或定期合同工人能休带薪假，并考虑批准国际劳工组织关于有家庭责任工人的《156号公约》；</w:t>
      </w:r>
    </w:p>
    <w:p w:rsidR="005D2049" w:rsidRPr="00B74F43" w:rsidRDefault="005D2049" w:rsidP="005D2049">
      <w:pPr>
        <w:pStyle w:val="SingleTxt"/>
        <w:rPr>
          <w:rFonts w:ascii="SimHei" w:eastAsia="SimHei" w:hint="eastAsia"/>
        </w:rPr>
      </w:pPr>
      <w:r w:rsidRPr="00B74F43">
        <w:rPr>
          <w:rFonts w:ascii="SimHei" w:eastAsia="SimHei" w:hint="eastAsia"/>
        </w:rPr>
        <w:tab/>
        <w:t>(d)</w:t>
      </w:r>
      <w:r w:rsidRPr="00B74F43">
        <w:rPr>
          <w:rFonts w:ascii="SimHei" w:eastAsia="SimHei" w:hint="eastAsia"/>
        </w:rPr>
        <w:tab/>
        <w:t>制定政策并采取一切必要措施，包括根据《公约》第四条第1款和委员会第25号一般性建议采取暂行特别措施，并确定有时限的目标，消除横向和纵向职业隔离；</w:t>
      </w:r>
    </w:p>
    <w:p w:rsidR="005D2049" w:rsidRPr="00B74F43" w:rsidRDefault="005D2049" w:rsidP="005D2049">
      <w:pPr>
        <w:pStyle w:val="SingleTxt"/>
        <w:rPr>
          <w:rFonts w:ascii="SimHei" w:eastAsia="SimHei" w:hint="eastAsia"/>
        </w:rPr>
      </w:pPr>
      <w:r w:rsidRPr="00B74F43">
        <w:rPr>
          <w:rFonts w:ascii="SimHei" w:eastAsia="SimHei" w:hint="eastAsia"/>
        </w:rPr>
        <w:tab/>
        <w:t>(e)</w:t>
      </w:r>
      <w:r w:rsidRPr="00B74F43">
        <w:rPr>
          <w:rFonts w:ascii="SimHei" w:eastAsia="SimHei" w:hint="eastAsia"/>
        </w:rPr>
        <w:tab/>
        <w:t>对集体谈判权改革对不同性别的影响进行独立评价，确保改革不会对妇女就业权利和工会权利产生负面影响；</w:t>
      </w:r>
    </w:p>
    <w:p w:rsidR="005D2049" w:rsidRPr="00B74F43" w:rsidRDefault="005D2049" w:rsidP="005D2049">
      <w:pPr>
        <w:pStyle w:val="SingleTxt"/>
        <w:rPr>
          <w:rFonts w:ascii="SimHei" w:eastAsia="SimHei" w:hint="eastAsia"/>
        </w:rPr>
      </w:pPr>
      <w:r w:rsidRPr="00B74F43">
        <w:rPr>
          <w:rFonts w:ascii="SimHei" w:eastAsia="SimHei" w:hint="eastAsia"/>
        </w:rPr>
        <w:tab/>
        <w:t>(f)</w:t>
      </w:r>
      <w:r w:rsidRPr="00B74F43">
        <w:rPr>
          <w:rFonts w:ascii="SimHei" w:eastAsia="SimHei" w:hint="eastAsia"/>
        </w:rPr>
        <w:tab/>
        <w:t>确保在劳动部裁撤薪酬和就业公平股后，缔约国政府仍然有监测性别薪酬不平等问题的机构。</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保健</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34.</w:t>
      </w:r>
      <w:r>
        <w:rPr>
          <w:rFonts w:hint="eastAsia"/>
        </w:rPr>
        <w:tab/>
        <w:t>委员会赞扬缔约国推动保护妇女的性健康和生殖健康权利，推动预防孕产妇死亡。然而，委员会关切地注意到，令人费解的堕胎法规定，妇女必须获得两名有执照咨询人出具的证明才能堕胎，这使妇女依赖对规则的善意解释，剥夺了其自主权。委员会还感到关切的是，缔约国仍然视堕胎为刑事犯罪，这导致妇女寻求非法堕胎，而这又往往是不安全的。委员会赞赏缔约国采取措施，改善青年妇女的心理保健服务，但委员会关切地注意到，青年妇女、特别是少数族裔和移徙青年妇女的自杀率偏高。委员会确认，缔约国实施了全面医疗保险，最近成功地开展了保健教育活动，例如推动宫颈癌检查和制定同性恋妇女和变性人保健服务良好做法准则，但委员会对能否获得这些保健服务以及对服务质量仍然感到关切。此外，委员会仍然对少数民族妇女在获得保健方面遭遇的不平等感到关切。特别是，毛利少女怀孕率高，得不到适合其年龄的关于性和生殖健康和权利的有效教育，委员会对此感到关切。此外，有报道说，一些保健人员认为，对孕妇进行艾滋病毒检测是强制性规定，并且未经妇女同意就对妇女进行检测，委员会对此感到关切。</w:t>
      </w:r>
    </w:p>
    <w:p w:rsidR="005D2049" w:rsidRPr="00B74F43" w:rsidRDefault="005D2049" w:rsidP="005D2049">
      <w:pPr>
        <w:pStyle w:val="SingleTxt"/>
        <w:rPr>
          <w:rFonts w:ascii="SimHei" w:eastAsia="SimHei" w:hint="eastAsia"/>
        </w:rPr>
      </w:pPr>
      <w:r>
        <w:rPr>
          <w:rFonts w:hint="eastAsia"/>
        </w:rPr>
        <w:t>35.</w:t>
      </w:r>
      <w:r>
        <w:rPr>
          <w:rFonts w:hint="eastAsia"/>
        </w:rPr>
        <w:tab/>
      </w:r>
      <w:r w:rsidRPr="00B74F43">
        <w:rPr>
          <w:rFonts w:ascii="SimHei" w:eastAsia="SimHei" w:hint="eastAsia"/>
        </w:rPr>
        <w:t>委员会敦促缔约国：</w:t>
      </w:r>
    </w:p>
    <w:p w:rsidR="005D2049" w:rsidRPr="00B74F43" w:rsidRDefault="005D2049" w:rsidP="00E278AE">
      <w:pPr>
        <w:pStyle w:val="SingleTxt"/>
        <w:spacing w:line="300" w:lineRule="exact"/>
        <w:rPr>
          <w:rFonts w:ascii="SimHei" w:eastAsia="SimHei" w:hint="eastAsia"/>
        </w:rPr>
      </w:pPr>
      <w:r w:rsidRPr="00B74F43">
        <w:rPr>
          <w:rFonts w:ascii="SimHei" w:eastAsia="SimHei" w:hint="eastAsia"/>
        </w:rPr>
        <w:tab/>
        <w:t>(a)</w:t>
      </w:r>
      <w:r w:rsidRPr="00B74F43">
        <w:rPr>
          <w:rFonts w:ascii="SimHei" w:eastAsia="SimHei" w:hint="eastAsia"/>
        </w:rPr>
        <w:tab/>
        <w:t>审查堕胎法律和实践，以期予以简化，并确保妇女能够自主选择；</w:t>
      </w:r>
    </w:p>
    <w:p w:rsidR="005D2049" w:rsidRPr="00B74F43" w:rsidRDefault="005D2049" w:rsidP="00E278AE">
      <w:pPr>
        <w:pStyle w:val="SingleTxt"/>
        <w:spacing w:line="300" w:lineRule="exact"/>
        <w:rPr>
          <w:rFonts w:ascii="SimHei" w:eastAsia="SimHei" w:hint="eastAsia"/>
        </w:rPr>
      </w:pPr>
      <w:r w:rsidRPr="00B74F43">
        <w:rPr>
          <w:rFonts w:ascii="SimHei" w:eastAsia="SimHei" w:hint="eastAsia"/>
        </w:rPr>
        <w:tab/>
        <w:t>(b)</w:t>
      </w:r>
      <w:r w:rsidRPr="00B74F43">
        <w:rPr>
          <w:rFonts w:ascii="SimHei" w:eastAsia="SimHei" w:hint="eastAsia"/>
        </w:rPr>
        <w:tab/>
        <w:t>防止发生妇女被迫选择不安全堕胎办法的情况，撤消对堕胎妇女实施的惩罚规定；</w:t>
      </w:r>
    </w:p>
    <w:p w:rsidR="005D2049" w:rsidRPr="00B74F43" w:rsidRDefault="005D2049" w:rsidP="00E278AE">
      <w:pPr>
        <w:pStyle w:val="SingleTxt"/>
        <w:spacing w:line="300" w:lineRule="exact"/>
        <w:rPr>
          <w:rFonts w:ascii="SimHei" w:eastAsia="SimHei" w:hint="eastAsia"/>
        </w:rPr>
      </w:pPr>
      <w:r w:rsidRPr="00B74F43">
        <w:rPr>
          <w:rFonts w:ascii="SimHei" w:eastAsia="SimHei" w:hint="eastAsia"/>
        </w:rPr>
        <w:tab/>
        <w:t>(c)</w:t>
      </w:r>
      <w:r w:rsidRPr="00B74F43">
        <w:rPr>
          <w:rFonts w:ascii="SimHei" w:eastAsia="SimHei" w:hint="eastAsia"/>
        </w:rPr>
        <w:tab/>
        <w:t>采取必要措施，解决少女心理健康状况不断恶化的问题，防止和杜绝滥用酒精和药物的现象，防止女孩自杀，特别是防止移徙和少数族裔女孩自杀；</w:t>
      </w:r>
    </w:p>
    <w:p w:rsidR="005D2049" w:rsidRPr="00B74F43" w:rsidRDefault="005D2049" w:rsidP="00E278AE">
      <w:pPr>
        <w:pStyle w:val="SingleTxt"/>
        <w:spacing w:line="300" w:lineRule="exact"/>
        <w:rPr>
          <w:rFonts w:ascii="SimHei" w:eastAsia="SimHei" w:hint="eastAsia"/>
        </w:rPr>
      </w:pPr>
      <w:r w:rsidRPr="00B74F43">
        <w:rPr>
          <w:rFonts w:ascii="SimHei" w:eastAsia="SimHei" w:hint="eastAsia"/>
        </w:rPr>
        <w:tab/>
        <w:t>(d)</w:t>
      </w:r>
      <w:r w:rsidRPr="00B74F43">
        <w:rPr>
          <w:rFonts w:ascii="SimHei" w:eastAsia="SimHei" w:hint="eastAsia"/>
        </w:rPr>
        <w:tab/>
        <w:t>加大行动力度，改善少数族裔妇女、特别是毛利和太平洋妇女的医疗保健服务，包括心理保健服务；</w:t>
      </w:r>
    </w:p>
    <w:p w:rsidR="005D2049" w:rsidRPr="00B74F43" w:rsidRDefault="005D2049" w:rsidP="00E278AE">
      <w:pPr>
        <w:pStyle w:val="SingleTxt"/>
        <w:spacing w:line="300" w:lineRule="exact"/>
        <w:rPr>
          <w:rFonts w:ascii="SimHei" w:eastAsia="SimHei" w:hint="eastAsia"/>
        </w:rPr>
      </w:pPr>
      <w:r w:rsidRPr="00B74F43">
        <w:rPr>
          <w:rFonts w:ascii="SimHei" w:eastAsia="SimHei" w:hint="eastAsia"/>
        </w:rPr>
        <w:tab/>
        <w:t>(e)</w:t>
      </w:r>
      <w:r w:rsidRPr="00B74F43">
        <w:rPr>
          <w:rFonts w:ascii="SimHei" w:eastAsia="SimHei" w:hint="eastAsia"/>
        </w:rPr>
        <w:tab/>
        <w:t>改善同性恋妇女和变性人获得保健服务的机会，提高服务质量；</w:t>
      </w:r>
    </w:p>
    <w:p w:rsidR="005D2049" w:rsidRPr="00B74F43" w:rsidRDefault="005D2049" w:rsidP="00E278AE">
      <w:pPr>
        <w:pStyle w:val="SingleTxt"/>
        <w:spacing w:line="300" w:lineRule="exact"/>
        <w:rPr>
          <w:rFonts w:ascii="SimHei" w:eastAsia="SimHei" w:hint="eastAsia"/>
        </w:rPr>
      </w:pPr>
      <w:r w:rsidRPr="00B74F43">
        <w:rPr>
          <w:rFonts w:ascii="SimHei" w:eastAsia="SimHei" w:hint="eastAsia"/>
        </w:rPr>
        <w:tab/>
        <w:t>(f)</w:t>
      </w:r>
      <w:r w:rsidRPr="00B74F43">
        <w:rPr>
          <w:rFonts w:ascii="SimHei" w:eastAsia="SimHei" w:hint="eastAsia"/>
        </w:rPr>
        <w:tab/>
        <w:t>广泛推动关于性健康权利和生殖健康权利的教育，特别是关于预防青少年怀孕和意外怀孕的教育，并加强支持怀孕女孩的措施；</w:t>
      </w:r>
    </w:p>
    <w:p w:rsidR="005D2049" w:rsidRPr="00B74F43" w:rsidRDefault="005D2049" w:rsidP="00E278AE">
      <w:pPr>
        <w:pStyle w:val="SingleTxt"/>
        <w:spacing w:line="300" w:lineRule="exact"/>
        <w:rPr>
          <w:rFonts w:ascii="SimHei" w:eastAsia="SimHei" w:hint="eastAsia"/>
        </w:rPr>
      </w:pPr>
      <w:r w:rsidRPr="00B74F43">
        <w:rPr>
          <w:rFonts w:ascii="SimHei" w:eastAsia="SimHei" w:hint="eastAsia"/>
        </w:rPr>
        <w:tab/>
        <w:t>(g)</w:t>
      </w:r>
      <w:r w:rsidRPr="00B74F43">
        <w:rPr>
          <w:rFonts w:ascii="SimHei" w:eastAsia="SimHei" w:hint="eastAsia"/>
        </w:rPr>
        <w:tab/>
        <w:t>采取步骤，确保孕妇被告知艾滋病毒检测不是强制性规定，并确保她们是在知情同意条件下接受检测。</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弱势妇女群体</w:t>
      </w:r>
    </w:p>
    <w:p w:rsidR="00B74F43" w:rsidRPr="00B74F43" w:rsidRDefault="00B74F43" w:rsidP="00B74F43">
      <w:pPr>
        <w:pStyle w:val="SingleTxt"/>
        <w:spacing w:after="0" w:line="120" w:lineRule="exact"/>
        <w:rPr>
          <w:rFonts w:hint="eastAsia"/>
          <w:sz w:val="10"/>
        </w:rPr>
      </w:pPr>
    </w:p>
    <w:p w:rsidR="005D2049" w:rsidRDefault="005D2049" w:rsidP="00E278AE">
      <w:pPr>
        <w:pStyle w:val="SingleTxt"/>
        <w:spacing w:line="300" w:lineRule="exact"/>
        <w:rPr>
          <w:rFonts w:hint="eastAsia"/>
        </w:rPr>
      </w:pPr>
      <w:r>
        <w:rPr>
          <w:rFonts w:hint="eastAsia"/>
        </w:rPr>
        <w:t>36.</w:t>
      </w:r>
      <w:r>
        <w:rPr>
          <w:rFonts w:hint="eastAsia"/>
        </w:rPr>
        <w:tab/>
        <w:t>委员会对残疾妇女、少数族裔和少数群体妇女、农村妇女和移徙妇女等弱势妇女群体的情况感到关切，她们在教育、保健、社会和政治参与以及就业等方面，更容易遭受多种形式的歧视。正如缔约国在报告中指出，残疾妇女在不具备条件、不工作和低收入者中的人数超过正常比例。委员会担心新社会保障立法有可能将主要影响毛利妇女，减少其社会福利。委员会还感到关切的是，很少有针对残疾妇女和女孩的教育和就业方案。委员会关切地注意到基督城地震对妇女、特别是对农村妇女和老年妇女的影响，据报道，她们的压力感、焦虑感和抑郁感较高，因此，她们流离失所和失业的人数也较多。</w:t>
      </w:r>
    </w:p>
    <w:p w:rsidR="005D2049" w:rsidRPr="00B74F43" w:rsidRDefault="005D2049" w:rsidP="005D2049">
      <w:pPr>
        <w:pStyle w:val="SingleTxt"/>
        <w:rPr>
          <w:rFonts w:ascii="SimHei" w:eastAsia="SimHei" w:hint="eastAsia"/>
        </w:rPr>
      </w:pPr>
      <w:r>
        <w:rPr>
          <w:rFonts w:hint="eastAsia"/>
        </w:rPr>
        <w:t>37.</w:t>
      </w:r>
      <w:r>
        <w:rPr>
          <w:rFonts w:hint="eastAsia"/>
        </w:rPr>
        <w:tab/>
      </w:r>
      <w:r w:rsidRPr="00B74F43">
        <w:rPr>
          <w:rFonts w:ascii="SimHei" w:eastAsia="SimHei" w:hint="eastAsia"/>
        </w:rPr>
        <w:t>委员会建议缔约国：</w:t>
      </w:r>
    </w:p>
    <w:p w:rsidR="005D2049" w:rsidRPr="00B74F43" w:rsidRDefault="005D2049" w:rsidP="005D2049">
      <w:pPr>
        <w:pStyle w:val="SingleTxt"/>
        <w:rPr>
          <w:rFonts w:ascii="SimHei" w:eastAsia="SimHei" w:hint="eastAsia"/>
        </w:rPr>
      </w:pPr>
      <w:r w:rsidRPr="00B74F43">
        <w:rPr>
          <w:rFonts w:ascii="SimHei" w:eastAsia="SimHei" w:hint="eastAsia"/>
        </w:rPr>
        <w:tab/>
        <w:t>(a)</w:t>
      </w:r>
      <w:r w:rsidRPr="00B74F43">
        <w:rPr>
          <w:rFonts w:ascii="SimHei" w:eastAsia="SimHei" w:hint="eastAsia"/>
        </w:rPr>
        <w:tab/>
        <w:t>在下次报告中提供数据和信息，说明残疾妇女、农村妇女、老年妇女和少数族裔妇女的情况，包括她们获得教育、就业和医疗保健服务的情况；</w:t>
      </w:r>
    </w:p>
    <w:p w:rsidR="005D2049" w:rsidRPr="00B74F43" w:rsidRDefault="005D2049" w:rsidP="005D2049">
      <w:pPr>
        <w:pStyle w:val="SingleTxt"/>
        <w:rPr>
          <w:rFonts w:ascii="SimHei" w:eastAsia="SimHei" w:hint="eastAsia"/>
        </w:rPr>
      </w:pPr>
      <w:r w:rsidRPr="00B74F43">
        <w:rPr>
          <w:rFonts w:ascii="SimHei" w:eastAsia="SimHei" w:hint="eastAsia"/>
        </w:rPr>
        <w:tab/>
        <w:t>(b)</w:t>
      </w:r>
      <w:r w:rsidRPr="00B74F43">
        <w:rPr>
          <w:rFonts w:ascii="SimHei" w:eastAsia="SimHei" w:hint="eastAsia"/>
        </w:rPr>
        <w:tab/>
        <w:t>确保正在进行的福利改革不歧视弱势妇女群体，并确保对福利改革对不同性别的影响进行独立评价；</w:t>
      </w:r>
    </w:p>
    <w:p w:rsidR="005D2049" w:rsidRPr="00B74F43" w:rsidRDefault="005D2049" w:rsidP="005D2049">
      <w:pPr>
        <w:pStyle w:val="SingleTxt"/>
        <w:rPr>
          <w:rFonts w:ascii="SimHei" w:eastAsia="SimHei" w:hint="eastAsia"/>
        </w:rPr>
      </w:pPr>
      <w:r w:rsidRPr="00B74F43">
        <w:rPr>
          <w:rFonts w:ascii="SimHei" w:eastAsia="SimHei" w:hint="eastAsia"/>
        </w:rPr>
        <w:tab/>
        <w:t>(c)</w:t>
      </w:r>
      <w:r w:rsidRPr="00B74F43">
        <w:rPr>
          <w:rFonts w:ascii="SimHei" w:eastAsia="SimHei" w:hint="eastAsia"/>
        </w:rPr>
        <w:tab/>
        <w:t>确保将性别观点纳入与2011年地震恢复进程有关的政策，使用按性别、年龄、族裔和其他身份分类的数据，分析这些政策对不同性别的影响。</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婚姻和家庭关系中对妇女的歧视</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38.</w:t>
      </w:r>
      <w:r w:rsidR="00B74F43">
        <w:rPr>
          <w:rFonts w:hint="eastAsia"/>
        </w:rPr>
        <w:tab/>
      </w:r>
      <w:r>
        <w:rPr>
          <w:rFonts w:hint="eastAsia"/>
        </w:rPr>
        <w:t>委员会对有关移民社区中的强迫婚姻报道感到关切，并对没有立法禁止早婚和强迫婚姻感到遗憾。委员会还关切地注意到，法律和实践没有充分解决家庭法中规定的移徙妇女权利，特别是强迫婚姻、一夫多妻和因嫁妆引起的暴力问题，小到16岁的少女就能经父母同意结婚。</w:t>
      </w:r>
    </w:p>
    <w:p w:rsidR="005D2049" w:rsidRPr="00B74F43" w:rsidRDefault="005D2049" w:rsidP="005D2049">
      <w:pPr>
        <w:pStyle w:val="SingleTxt"/>
        <w:rPr>
          <w:rFonts w:ascii="SimHei" w:eastAsia="SimHei" w:hint="eastAsia"/>
        </w:rPr>
      </w:pPr>
      <w:r>
        <w:rPr>
          <w:rFonts w:hint="eastAsia"/>
        </w:rPr>
        <w:t>39.</w:t>
      </w:r>
      <w:r w:rsidR="00B74F43">
        <w:rPr>
          <w:rFonts w:hint="eastAsia"/>
        </w:rPr>
        <w:tab/>
      </w:r>
      <w:r w:rsidRPr="00B74F43">
        <w:rPr>
          <w:rFonts w:ascii="SimHei" w:eastAsia="SimHei" w:hint="eastAsia"/>
        </w:rPr>
        <w:t>委员会建议缔约国：</w:t>
      </w:r>
    </w:p>
    <w:p w:rsidR="005D2049" w:rsidRPr="00B74F43" w:rsidRDefault="00B74F43" w:rsidP="005D2049">
      <w:pPr>
        <w:pStyle w:val="SingleTxt"/>
        <w:rPr>
          <w:rFonts w:ascii="SimHei" w:eastAsia="SimHei" w:hint="eastAsia"/>
        </w:rPr>
      </w:pPr>
      <w:r w:rsidRPr="00B74F43">
        <w:rPr>
          <w:rFonts w:ascii="SimHei" w:eastAsia="SimHei" w:hint="eastAsia"/>
        </w:rPr>
        <w:tab/>
      </w:r>
      <w:r w:rsidR="00764202">
        <w:rPr>
          <w:rFonts w:ascii="SimHei" w:eastAsia="SimHei" w:hint="eastAsia"/>
        </w:rPr>
        <w:t>(</w:t>
      </w:r>
      <w:r w:rsidR="005D2049" w:rsidRPr="00B74F43">
        <w:rPr>
          <w:rFonts w:ascii="SimHei" w:eastAsia="SimHei" w:hint="eastAsia"/>
        </w:rPr>
        <w:t>a</w:t>
      </w:r>
      <w:r w:rsidR="00764202">
        <w:rPr>
          <w:rFonts w:ascii="SimHei" w:eastAsia="SimHei" w:hint="eastAsia"/>
        </w:rPr>
        <w:t>)</w:t>
      </w:r>
      <w:r w:rsidR="005D2049" w:rsidRPr="00B74F43">
        <w:rPr>
          <w:rFonts w:ascii="SimHei" w:eastAsia="SimHei" w:hint="eastAsia"/>
        </w:rPr>
        <w:tab/>
        <w:t>将结婚的最低法定年龄修改到18岁，不以父母同意为例外条件；</w:t>
      </w:r>
    </w:p>
    <w:p w:rsidR="005D2049" w:rsidRPr="00B74F43" w:rsidRDefault="00B74F43" w:rsidP="005D2049">
      <w:pPr>
        <w:pStyle w:val="SingleTxt"/>
        <w:rPr>
          <w:rFonts w:ascii="SimHei" w:eastAsia="SimHei" w:hint="eastAsia"/>
        </w:rPr>
      </w:pPr>
      <w:r w:rsidRPr="00B74F43">
        <w:rPr>
          <w:rFonts w:ascii="SimHei" w:eastAsia="SimHei" w:hint="eastAsia"/>
        </w:rPr>
        <w:tab/>
      </w:r>
      <w:r w:rsidR="00764202">
        <w:rPr>
          <w:rFonts w:ascii="SimHei" w:eastAsia="SimHei" w:hint="eastAsia"/>
        </w:rPr>
        <w:t>(</w:t>
      </w:r>
      <w:r w:rsidR="005D2049" w:rsidRPr="00B74F43">
        <w:rPr>
          <w:rFonts w:ascii="SimHei" w:eastAsia="SimHei" w:hint="eastAsia"/>
        </w:rPr>
        <w:t>b</w:t>
      </w:r>
      <w:r w:rsidR="00764202">
        <w:rPr>
          <w:rFonts w:ascii="SimHei" w:eastAsia="SimHei" w:hint="eastAsia"/>
        </w:rPr>
        <w:t>)</w:t>
      </w:r>
      <w:r w:rsidR="005D2049" w:rsidRPr="00B74F43">
        <w:rPr>
          <w:rFonts w:ascii="SimHei" w:eastAsia="SimHei" w:hint="eastAsia"/>
        </w:rPr>
        <w:tab/>
        <w:t>采取法律措施，禁止早婚和强迫婚姻，并提倡采取措施，保护一夫多妻和因嫁妆引起的暴力的受害妇女。</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《北京宣言和行动纲要》</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40.</w:t>
      </w:r>
      <w:r w:rsidR="00B74F43">
        <w:rPr>
          <w:rFonts w:hint="eastAsia"/>
        </w:rPr>
        <w:tab/>
      </w:r>
      <w:r w:rsidRPr="00B74F43">
        <w:rPr>
          <w:rFonts w:ascii="SimHei" w:eastAsia="SimHei" w:hint="eastAsia"/>
        </w:rPr>
        <w:t>委员会敦促缔约国在履行其《公约》义务时，充分利用加强《公约》各项规定的《北京宣言和行动纲要》，并请缔约国在下一次定期报告中，将这方面的资料包括在内。</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千年发展目标</w:t>
      </w:r>
    </w:p>
    <w:p w:rsidR="00B74F43" w:rsidRPr="00B74F43" w:rsidRDefault="00B74F43" w:rsidP="00B74F43">
      <w:pPr>
        <w:pStyle w:val="SingleTxt"/>
        <w:spacing w:after="0" w:line="120" w:lineRule="exact"/>
        <w:rPr>
          <w:rFonts w:hint="eastAsia"/>
          <w:sz w:val="10"/>
        </w:rPr>
      </w:pPr>
    </w:p>
    <w:p w:rsidR="005D2049" w:rsidRDefault="005D2049" w:rsidP="00E278AE">
      <w:pPr>
        <w:pStyle w:val="SingleTxt"/>
        <w:spacing w:line="300" w:lineRule="exact"/>
        <w:rPr>
          <w:rFonts w:hint="eastAsia"/>
        </w:rPr>
      </w:pPr>
      <w:r>
        <w:rPr>
          <w:rFonts w:hint="eastAsia"/>
        </w:rPr>
        <w:t>41.</w:t>
      </w:r>
      <w:r w:rsidR="00B74F43">
        <w:rPr>
          <w:rFonts w:hint="eastAsia"/>
        </w:rPr>
        <w:tab/>
      </w:r>
      <w:r w:rsidRPr="00B74F43">
        <w:rPr>
          <w:rFonts w:ascii="SimHei" w:eastAsia="SimHei" w:hint="eastAsia"/>
        </w:rPr>
        <w:t>委员会强调，全面和有效执行《公约》对实现千年发展目标不可或缺。委员会要求在实现千年发展目标的各项努力中，纳入性别观点，并明确反映《公约》的各项规定，并请缔约国在下一次定期报告中，将这方面的资料包括在内。</w:t>
      </w:r>
    </w:p>
    <w:p w:rsidR="005D2049" w:rsidRDefault="00E278AE" w:rsidP="00E278A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传播</w:t>
      </w:r>
    </w:p>
    <w:p w:rsidR="00E278AE" w:rsidRPr="00E278AE" w:rsidRDefault="00E278AE" w:rsidP="00E278AE">
      <w:pPr>
        <w:pStyle w:val="SingleTxt"/>
        <w:spacing w:after="0" w:line="120" w:lineRule="exact"/>
        <w:rPr>
          <w:rFonts w:hint="eastAsia"/>
          <w:sz w:val="10"/>
        </w:rPr>
      </w:pPr>
    </w:p>
    <w:p w:rsidR="005D2049" w:rsidRDefault="005D2049" w:rsidP="00E278AE">
      <w:pPr>
        <w:pStyle w:val="SingleTxt"/>
        <w:spacing w:line="300" w:lineRule="exact"/>
        <w:rPr>
          <w:rFonts w:hint="eastAsia"/>
        </w:rPr>
      </w:pPr>
      <w:r>
        <w:rPr>
          <w:rFonts w:hint="eastAsia"/>
        </w:rPr>
        <w:t>42.</w:t>
      </w:r>
      <w:r w:rsidR="00B74F43">
        <w:rPr>
          <w:rFonts w:hint="eastAsia"/>
        </w:rPr>
        <w:tab/>
      </w:r>
      <w:r w:rsidRPr="00B74F43">
        <w:rPr>
          <w:rFonts w:ascii="SimHei" w:eastAsia="SimHei" w:hint="eastAsia"/>
        </w:rPr>
        <w:t>委员会要求在新西兰广泛传播本结论意见，以使民众、政府官员、政治家、议员以及妇女组织和人权组织了解为确保妇女在法律上和事实上的平等而采取的步骤，以及在这方面需要进一步采取的步骤。委员会请缔约国继续广泛传播委员会的一般性建议、《北京宣言和行动纲要》以及关于“2000年妇女：21世纪性别平等、发展与和平”这一主题的大会第二十三届特别会议的成果，特别是向妇女组织和人权组织传播。</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其他条约的批准</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43.</w:t>
      </w:r>
      <w:r w:rsidR="00B74F43">
        <w:rPr>
          <w:rFonts w:hint="eastAsia"/>
        </w:rPr>
        <w:tab/>
      </w:r>
      <w:r w:rsidRPr="00B74F43">
        <w:rPr>
          <w:rFonts w:ascii="SimHei" w:eastAsia="SimHei" w:hint="eastAsia"/>
        </w:rPr>
        <w:t>委员会指出，缔约国遵守九项主要国际人权文书</w:t>
      </w:r>
      <w:r w:rsidR="000F1904">
        <w:rPr>
          <w:rStyle w:val="FootnoteReference"/>
          <w:rFonts w:ascii="SimHei" w:eastAsia="SimHei"/>
        </w:rPr>
        <w:footnoteReference w:id="1"/>
      </w:r>
      <w:r w:rsidRPr="00B74F43">
        <w:rPr>
          <w:rFonts w:ascii="SimHei" w:eastAsia="SimHei" w:hint="eastAsia"/>
        </w:rPr>
        <w:t xml:space="preserve"> 将有助于促进妇女在生活的各个方面享受人权和基本自由。因此，委员会鼓励缔约国考虑批准其尚未加入的条约，即《保护所有人免遭强迫失踪国际公约》和《保护所有移徙工人及其家庭成员权利国际公约》。</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结论意见的后续行动</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44.</w:t>
      </w:r>
      <w:r w:rsidR="00B74F43">
        <w:rPr>
          <w:rFonts w:hint="eastAsia"/>
        </w:rPr>
        <w:tab/>
      </w:r>
      <w:r w:rsidRPr="00B74F43">
        <w:rPr>
          <w:rFonts w:ascii="SimHei" w:eastAsia="SimHei" w:hint="eastAsia"/>
        </w:rPr>
        <w:t>委员会请缔约国在两年内提供书面资料，说明为执行上文第36段和第38段中的各项建议而采取的步骤。</w:t>
      </w:r>
    </w:p>
    <w:p w:rsidR="005D2049" w:rsidRDefault="00B74F43" w:rsidP="00B74F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5D2049">
        <w:rPr>
          <w:rFonts w:hint="eastAsia"/>
        </w:rPr>
        <w:t>编制下一次报告</w:t>
      </w:r>
    </w:p>
    <w:p w:rsidR="00B74F43" w:rsidRPr="00B74F43" w:rsidRDefault="00B74F43" w:rsidP="00B74F43">
      <w:pPr>
        <w:pStyle w:val="SingleTxt"/>
        <w:spacing w:after="0" w:line="120" w:lineRule="exact"/>
        <w:rPr>
          <w:rFonts w:hint="eastAsia"/>
          <w:sz w:val="10"/>
        </w:rPr>
      </w:pPr>
    </w:p>
    <w:p w:rsidR="005D2049" w:rsidRDefault="005D2049" w:rsidP="005D2049">
      <w:pPr>
        <w:pStyle w:val="SingleTxt"/>
        <w:rPr>
          <w:rFonts w:hint="eastAsia"/>
        </w:rPr>
      </w:pPr>
      <w:r>
        <w:rPr>
          <w:rFonts w:hint="eastAsia"/>
        </w:rPr>
        <w:t>45.</w:t>
      </w:r>
      <w:r w:rsidR="00B74F43">
        <w:rPr>
          <w:rFonts w:hint="eastAsia"/>
        </w:rPr>
        <w:tab/>
      </w:r>
      <w:r w:rsidRPr="00B74F43">
        <w:rPr>
          <w:rFonts w:ascii="SimHei" w:eastAsia="SimHei" w:hint="eastAsia"/>
        </w:rPr>
        <w:t>委员会请缔约国确保政府各部和公共机构参与编制下一次定期报告，同时在该阶段中咨询各种妇女组织和人权组织。</w:t>
      </w:r>
    </w:p>
    <w:p w:rsidR="005D2049" w:rsidRDefault="005D2049" w:rsidP="005D2049">
      <w:pPr>
        <w:pStyle w:val="SingleTxt"/>
        <w:rPr>
          <w:rFonts w:hint="eastAsia"/>
        </w:rPr>
      </w:pPr>
      <w:r>
        <w:rPr>
          <w:rFonts w:hint="eastAsia"/>
        </w:rPr>
        <w:t>46.</w:t>
      </w:r>
      <w:r w:rsidR="00B74F43">
        <w:rPr>
          <w:rFonts w:hint="eastAsia"/>
        </w:rPr>
        <w:tab/>
      </w:r>
      <w:r w:rsidRPr="00B74F43">
        <w:rPr>
          <w:rFonts w:ascii="SimHei" w:eastAsia="SimHei" w:hint="eastAsia"/>
        </w:rPr>
        <w:t>委员会请缔约国在根据《公约》第十八条提交的下一次定期报告中，答复本结论意见所提出的各项关切，还请缔约国于2016年7月提交下一次定期报告。</w:t>
      </w:r>
    </w:p>
    <w:p w:rsidR="005D2049" w:rsidRDefault="005D2049" w:rsidP="005D2049">
      <w:pPr>
        <w:pStyle w:val="SingleTxt"/>
        <w:rPr>
          <w:rFonts w:ascii="SimHei" w:eastAsia="SimHei" w:hint="eastAsia"/>
        </w:rPr>
      </w:pPr>
      <w:r>
        <w:rPr>
          <w:rFonts w:hint="eastAsia"/>
        </w:rPr>
        <w:t>47.</w:t>
      </w:r>
      <w:r w:rsidR="00B74F43">
        <w:rPr>
          <w:rFonts w:hint="eastAsia"/>
        </w:rPr>
        <w:tab/>
      </w:r>
      <w:r w:rsidRPr="00B74F43">
        <w:rPr>
          <w:rFonts w:ascii="SimHei" w:eastAsia="SimHei" w:hint="eastAsia"/>
        </w:rPr>
        <w:t>委员会请缔约国遵循2006年6月人权条约机构第五次委员会间会议核准的“关于根据国际人权条约提交报告的统一导则，包括关于共同核心文件和具体条约文件的导则”(见HRI/MC/2006/3和Corr.1)。委员会2008年1月第四十届会议通过的提交具体条约报告的导则必须与关于共同核心文件的导则一同使用。它们一起构成根据《消除对妇女一切形式歧视公约》提交报告的统一导则。具体条约文件应限制在40页，而经过修订的共同核心文件不应超过80页。</w:t>
      </w:r>
    </w:p>
    <w:p w:rsidR="00764202" w:rsidRPr="00764202" w:rsidRDefault="00764202" w:rsidP="00764202">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764202" w:rsidRPr="00764202" w:rsidSect="00A632FB">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10T14:50:00Z" w:initials="Start">
    <w:p w:rsidR="00DF0187" w:rsidRDefault="00DF018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NO&gt;&gt;N1245529C&lt;&lt;ODS JOB NO&gt;&gt;</w:t>
      </w:r>
    </w:p>
    <w:p w:rsidR="00DF0187" w:rsidRDefault="00DF0187">
      <w:pPr>
        <w:pStyle w:val="CommentText"/>
      </w:pPr>
      <w:r>
        <w:t>&lt;&lt;ODS DOC SYMBOL1&gt;&gt;CEDAW/C/NZL/CO/7&lt;&lt;ODS DOC SYMBOL1&gt;&gt;</w:t>
      </w:r>
    </w:p>
    <w:p w:rsidR="00DF0187" w:rsidRDefault="00DF01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385" w:rsidRDefault="00830385">
      <w:r>
        <w:separator/>
      </w:r>
    </w:p>
  </w:endnote>
  <w:endnote w:type="continuationSeparator" w:id="0">
    <w:p w:rsidR="00830385" w:rsidRDefault="0083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F0187" w:rsidTr="00A632FB">
      <w:tblPrEx>
        <w:tblCellMar>
          <w:top w:w="0" w:type="dxa"/>
          <w:bottom w:w="0" w:type="dxa"/>
        </w:tblCellMar>
      </w:tblPrEx>
      <w:tc>
        <w:tcPr>
          <w:tcW w:w="5033" w:type="dxa"/>
          <w:shd w:val="clear" w:color="auto" w:fill="auto"/>
        </w:tcPr>
        <w:p w:rsidR="00DF0187" w:rsidRPr="00A632FB" w:rsidRDefault="00DF0187" w:rsidP="00A632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7D1D">
            <w:rPr>
              <w:b w:val="0"/>
              <w:w w:val="103"/>
              <w:sz w:val="14"/>
            </w:rPr>
            <w:t>12-45529 (C)</w:t>
          </w:r>
          <w:r>
            <w:rPr>
              <w:b w:val="0"/>
              <w:w w:val="103"/>
              <w:sz w:val="14"/>
            </w:rPr>
            <w:fldChar w:fldCharType="end"/>
          </w:r>
        </w:p>
      </w:tc>
      <w:tc>
        <w:tcPr>
          <w:tcW w:w="5033" w:type="dxa"/>
          <w:shd w:val="clear" w:color="auto" w:fill="auto"/>
        </w:tcPr>
        <w:p w:rsidR="00DF0187" w:rsidRPr="00A632FB" w:rsidRDefault="00DF0187" w:rsidP="00A632FB">
          <w:pPr>
            <w:pStyle w:val="Footer"/>
            <w:jc w:val="left"/>
            <w:rPr>
              <w:w w:val="103"/>
            </w:rPr>
          </w:pPr>
          <w:r>
            <w:rPr>
              <w:w w:val="103"/>
            </w:rPr>
            <w:fldChar w:fldCharType="begin"/>
          </w:r>
          <w:r>
            <w:rPr>
              <w:w w:val="103"/>
            </w:rPr>
            <w:instrText xml:space="preserve"> PAGE  \* MERGEFORMAT </w:instrText>
          </w:r>
          <w:r>
            <w:rPr>
              <w:w w:val="103"/>
            </w:rPr>
            <w:fldChar w:fldCharType="separate"/>
          </w:r>
          <w:r w:rsidR="00597D1D">
            <w:rPr>
              <w:w w:val="103"/>
            </w:rPr>
            <w:t>2</w:t>
          </w:r>
          <w:r>
            <w:rPr>
              <w:w w:val="103"/>
            </w:rPr>
            <w:fldChar w:fldCharType="end"/>
          </w:r>
        </w:p>
      </w:tc>
    </w:tr>
  </w:tbl>
  <w:p w:rsidR="00DF0187" w:rsidRPr="00A632FB" w:rsidRDefault="00DF0187" w:rsidP="00A63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F0187" w:rsidTr="00A632FB">
      <w:tblPrEx>
        <w:tblCellMar>
          <w:top w:w="0" w:type="dxa"/>
          <w:bottom w:w="0" w:type="dxa"/>
        </w:tblCellMar>
      </w:tblPrEx>
      <w:tc>
        <w:tcPr>
          <w:tcW w:w="5033" w:type="dxa"/>
          <w:shd w:val="clear" w:color="auto" w:fill="auto"/>
        </w:tcPr>
        <w:p w:rsidR="00DF0187" w:rsidRPr="00A632FB" w:rsidRDefault="00DF0187" w:rsidP="00A632FB">
          <w:pPr>
            <w:pStyle w:val="Footer"/>
            <w:jc w:val="right"/>
          </w:pPr>
          <w:r>
            <w:fldChar w:fldCharType="begin"/>
          </w:r>
          <w:r>
            <w:instrText xml:space="preserve"> PAGE  \* MERGEFORMAT </w:instrText>
          </w:r>
          <w:r>
            <w:fldChar w:fldCharType="separate"/>
          </w:r>
          <w:r w:rsidR="00597D1D">
            <w:t>11</w:t>
          </w:r>
          <w:r>
            <w:fldChar w:fldCharType="end"/>
          </w:r>
        </w:p>
      </w:tc>
      <w:tc>
        <w:tcPr>
          <w:tcW w:w="5033" w:type="dxa"/>
          <w:shd w:val="clear" w:color="auto" w:fill="auto"/>
        </w:tcPr>
        <w:p w:rsidR="00DF0187" w:rsidRPr="00A632FB" w:rsidRDefault="00DF0187" w:rsidP="00A632FB">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7D1D">
            <w:rPr>
              <w:b w:val="0"/>
              <w:w w:val="103"/>
              <w:sz w:val="14"/>
            </w:rPr>
            <w:t>12-45529 (C)</w:t>
          </w:r>
          <w:r>
            <w:rPr>
              <w:b w:val="0"/>
              <w:w w:val="103"/>
              <w:sz w:val="14"/>
            </w:rPr>
            <w:fldChar w:fldCharType="end"/>
          </w:r>
        </w:p>
      </w:tc>
    </w:tr>
  </w:tbl>
  <w:p w:rsidR="00DF0187" w:rsidRPr="00A632FB" w:rsidRDefault="00DF0187" w:rsidP="00A632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DF0187" w:rsidTr="00A632FB">
      <w:tblPrEx>
        <w:tblCellMar>
          <w:top w:w="0" w:type="dxa"/>
          <w:bottom w:w="0" w:type="dxa"/>
        </w:tblCellMar>
      </w:tblPrEx>
      <w:tc>
        <w:tcPr>
          <w:tcW w:w="5033" w:type="dxa"/>
        </w:tcPr>
        <w:p w:rsidR="00DF0187" w:rsidRDefault="00DF0187" w:rsidP="00A632F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597D1D">
            <w:rPr>
              <w:b w:val="0"/>
              <w:sz w:val="21"/>
            </w:rPr>
            <w:t>12-45529 (C)</w:t>
          </w:r>
          <w:r>
            <w:rPr>
              <w:b w:val="0"/>
              <w:sz w:val="21"/>
            </w:rPr>
            <w:fldChar w:fldCharType="end"/>
          </w:r>
          <w:r>
            <w:rPr>
              <w:b w:val="0"/>
              <w:sz w:val="21"/>
            </w:rPr>
            <w:t xml:space="preserve">    100413    120413</w:t>
          </w:r>
        </w:p>
        <w:p w:rsidR="00DF0187" w:rsidRPr="00A632FB" w:rsidRDefault="00DF0187" w:rsidP="00A632FB">
          <w:pPr>
            <w:spacing w:before="80" w:line="210" w:lineRule="exact"/>
            <w:rPr>
              <w:rFonts w:ascii="Barcode 3 of 9 by request" w:hAnsi="Barcode 3 of 9 by request"/>
              <w:sz w:val="24"/>
            </w:rPr>
          </w:pPr>
          <w:r>
            <w:rPr>
              <w:rFonts w:ascii="Barcode 3 of 9 by request" w:hAnsi="Barcode 3 of 9 by request" w:hint="eastAsia"/>
              <w:sz w:val="24"/>
            </w:rPr>
            <w:t>*1245529C*</w:t>
          </w:r>
        </w:p>
      </w:tc>
      <w:tc>
        <w:tcPr>
          <w:tcW w:w="3686" w:type="dxa"/>
        </w:tcPr>
        <w:p w:rsidR="00DF0187" w:rsidRDefault="00DF0187" w:rsidP="00A632FB">
          <w:pPr>
            <w:pStyle w:val="Footer"/>
            <w:jc w:val="right"/>
            <w:rPr>
              <w:b w:val="0"/>
              <w:sz w:val="21"/>
            </w:rPr>
          </w:pPr>
          <w:r w:rsidRPr="00A632FB">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F0187" w:rsidRPr="00A632FB" w:rsidRDefault="00DF0187" w:rsidP="00A632FB">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385" w:rsidRPr="000F1904" w:rsidRDefault="00830385" w:rsidP="000F1904">
      <w:pPr>
        <w:pStyle w:val="Footer"/>
        <w:spacing w:after="80"/>
        <w:ind w:left="792"/>
        <w:rPr>
          <w:sz w:val="16"/>
        </w:rPr>
      </w:pPr>
      <w:r w:rsidRPr="000F1904">
        <w:rPr>
          <w:sz w:val="16"/>
        </w:rPr>
        <w:t>__________________</w:t>
      </w:r>
    </w:p>
  </w:footnote>
  <w:footnote w:type="continuationSeparator" w:id="0">
    <w:p w:rsidR="00830385" w:rsidRPr="000F1904" w:rsidRDefault="00830385" w:rsidP="000F1904">
      <w:pPr>
        <w:pStyle w:val="Footer"/>
        <w:spacing w:after="80"/>
        <w:ind w:left="792"/>
        <w:rPr>
          <w:sz w:val="16"/>
        </w:rPr>
      </w:pPr>
      <w:r w:rsidRPr="000F1904">
        <w:rPr>
          <w:sz w:val="16"/>
        </w:rPr>
        <w:t>__________________</w:t>
      </w:r>
    </w:p>
  </w:footnote>
  <w:footnote w:id="1">
    <w:p w:rsidR="00DF0187" w:rsidRPr="000F1904" w:rsidRDefault="00DF0187" w:rsidP="000F190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F1904">
        <w:rPr>
          <w:rFonts w:hint="eastAsia"/>
        </w:rPr>
        <w:t>《经济、社会及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F0187" w:rsidTr="00A632FB">
      <w:tblPrEx>
        <w:tblCellMar>
          <w:top w:w="0" w:type="dxa"/>
          <w:bottom w:w="0" w:type="dxa"/>
        </w:tblCellMar>
      </w:tblPrEx>
      <w:trPr>
        <w:trHeight w:hRule="exact" w:val="864"/>
      </w:trPr>
      <w:tc>
        <w:tcPr>
          <w:tcW w:w="4838" w:type="dxa"/>
          <w:shd w:val="clear" w:color="auto" w:fill="auto"/>
          <w:vAlign w:val="bottom"/>
        </w:tcPr>
        <w:p w:rsidR="00DF0187" w:rsidRPr="00A632FB" w:rsidRDefault="00DF0187" w:rsidP="00A632F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97D1D">
            <w:rPr>
              <w:b/>
              <w:sz w:val="17"/>
            </w:rPr>
            <w:t>CEDAW/C/NZL/CO/7</w:t>
          </w:r>
          <w:r>
            <w:rPr>
              <w:b/>
              <w:sz w:val="17"/>
            </w:rPr>
            <w:fldChar w:fldCharType="end"/>
          </w:r>
        </w:p>
      </w:tc>
      <w:tc>
        <w:tcPr>
          <w:tcW w:w="5033" w:type="dxa"/>
          <w:shd w:val="clear" w:color="auto" w:fill="auto"/>
          <w:vAlign w:val="bottom"/>
        </w:tcPr>
        <w:p w:rsidR="00DF0187" w:rsidRDefault="00DF0187" w:rsidP="00A632FB">
          <w:pPr>
            <w:pStyle w:val="Header"/>
          </w:pPr>
        </w:p>
      </w:tc>
    </w:tr>
  </w:tbl>
  <w:p w:rsidR="00DF0187" w:rsidRPr="00A632FB" w:rsidRDefault="00DF0187" w:rsidP="00A63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F0187" w:rsidTr="00A632FB">
      <w:tblPrEx>
        <w:tblCellMar>
          <w:top w:w="0" w:type="dxa"/>
          <w:bottom w:w="0" w:type="dxa"/>
        </w:tblCellMar>
      </w:tblPrEx>
      <w:trPr>
        <w:trHeight w:hRule="exact" w:val="864"/>
      </w:trPr>
      <w:tc>
        <w:tcPr>
          <w:tcW w:w="4838" w:type="dxa"/>
          <w:shd w:val="clear" w:color="auto" w:fill="auto"/>
          <w:vAlign w:val="bottom"/>
        </w:tcPr>
        <w:p w:rsidR="00DF0187" w:rsidRDefault="00DF0187" w:rsidP="00A632FB">
          <w:pPr>
            <w:pStyle w:val="Header"/>
          </w:pPr>
        </w:p>
      </w:tc>
      <w:tc>
        <w:tcPr>
          <w:tcW w:w="5033" w:type="dxa"/>
          <w:shd w:val="clear" w:color="auto" w:fill="auto"/>
          <w:vAlign w:val="bottom"/>
        </w:tcPr>
        <w:p w:rsidR="00DF0187" w:rsidRPr="00A632FB" w:rsidRDefault="00DF0187" w:rsidP="00A632F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97D1D">
            <w:rPr>
              <w:b/>
              <w:sz w:val="17"/>
            </w:rPr>
            <w:t>CEDAW/C/NZL/CO/7</w:t>
          </w:r>
          <w:r>
            <w:rPr>
              <w:b/>
              <w:sz w:val="17"/>
            </w:rPr>
            <w:fldChar w:fldCharType="end"/>
          </w:r>
        </w:p>
      </w:tc>
    </w:tr>
  </w:tbl>
  <w:p w:rsidR="00DF0187" w:rsidRPr="00A632FB" w:rsidRDefault="00DF0187" w:rsidP="00A632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F0187" w:rsidTr="00A632F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F0187" w:rsidRDefault="00DF0187" w:rsidP="00A632FB">
          <w:pPr>
            <w:pStyle w:val="Header"/>
            <w:spacing w:after="120"/>
          </w:pPr>
        </w:p>
      </w:tc>
      <w:tc>
        <w:tcPr>
          <w:tcW w:w="1872" w:type="dxa"/>
          <w:tcBorders>
            <w:bottom w:val="single" w:sz="4" w:space="0" w:color="auto"/>
          </w:tcBorders>
          <w:shd w:val="clear" w:color="auto" w:fill="auto"/>
          <w:vAlign w:val="bottom"/>
        </w:tcPr>
        <w:p w:rsidR="00DF0187" w:rsidRPr="00A632FB" w:rsidRDefault="00DF0187" w:rsidP="00A632F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F0187" w:rsidRDefault="00DF0187" w:rsidP="00A632FB">
          <w:pPr>
            <w:pStyle w:val="Header"/>
            <w:spacing w:after="120"/>
          </w:pPr>
        </w:p>
      </w:tc>
      <w:tc>
        <w:tcPr>
          <w:tcW w:w="6523" w:type="dxa"/>
          <w:gridSpan w:val="3"/>
          <w:tcBorders>
            <w:bottom w:val="single" w:sz="4" w:space="0" w:color="auto"/>
          </w:tcBorders>
          <w:shd w:val="clear" w:color="auto" w:fill="auto"/>
          <w:vAlign w:val="bottom"/>
        </w:tcPr>
        <w:p w:rsidR="00DF0187" w:rsidRPr="00A632FB" w:rsidRDefault="00DF0187" w:rsidP="00A632FB">
          <w:pPr>
            <w:spacing w:after="80" w:line="240" w:lineRule="auto"/>
            <w:jc w:val="right"/>
            <w:rPr>
              <w:rFonts w:ascii="Times New Roman"/>
              <w:position w:val="-4"/>
            </w:rPr>
          </w:pPr>
          <w:r>
            <w:rPr>
              <w:rFonts w:ascii="Times New Roman"/>
              <w:position w:val="-4"/>
              <w:sz w:val="40"/>
            </w:rPr>
            <w:t>CEDAW</w:t>
          </w:r>
          <w:r>
            <w:rPr>
              <w:rFonts w:ascii="Times New Roman"/>
              <w:position w:val="-4"/>
            </w:rPr>
            <w:t>/C/NZL/CO/7</w:t>
          </w:r>
        </w:p>
      </w:tc>
    </w:tr>
    <w:tr w:rsidR="00DF0187" w:rsidRPr="00A632FB" w:rsidTr="00A632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F0187" w:rsidRDefault="00DF0187" w:rsidP="00A632F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F0187" w:rsidRPr="00A632FB" w:rsidRDefault="00DF0187" w:rsidP="00A632FB">
          <w:pPr>
            <w:pStyle w:val="Header"/>
            <w:spacing w:before="109"/>
            <w:ind w:left="-72"/>
          </w:pPr>
        </w:p>
      </w:tc>
      <w:tc>
        <w:tcPr>
          <w:tcW w:w="5227" w:type="dxa"/>
          <w:gridSpan w:val="3"/>
          <w:tcBorders>
            <w:top w:val="single" w:sz="4" w:space="0" w:color="auto"/>
            <w:bottom w:val="single" w:sz="12" w:space="0" w:color="auto"/>
          </w:tcBorders>
          <w:shd w:val="clear" w:color="auto" w:fill="auto"/>
        </w:tcPr>
        <w:p w:rsidR="00DF0187" w:rsidRPr="00A632FB" w:rsidRDefault="00DF0187" w:rsidP="00A632F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F0187" w:rsidRPr="00A632FB" w:rsidRDefault="00DF0187" w:rsidP="00A632FB">
          <w:pPr>
            <w:pStyle w:val="Header"/>
            <w:spacing w:before="109"/>
          </w:pPr>
        </w:p>
      </w:tc>
      <w:tc>
        <w:tcPr>
          <w:tcW w:w="3180" w:type="dxa"/>
          <w:gridSpan w:val="2"/>
          <w:tcBorders>
            <w:top w:val="single" w:sz="4" w:space="0" w:color="auto"/>
            <w:bottom w:val="single" w:sz="12" w:space="0" w:color="auto"/>
          </w:tcBorders>
          <w:shd w:val="clear" w:color="auto" w:fill="auto"/>
        </w:tcPr>
        <w:p w:rsidR="00DF0187" w:rsidRDefault="00DF0187" w:rsidP="00A632FB">
          <w:pPr>
            <w:spacing w:before="240" w:line="240" w:lineRule="exact"/>
            <w:rPr>
              <w:rFonts w:ascii="Times New Roman"/>
            </w:rPr>
          </w:pPr>
          <w:r>
            <w:rPr>
              <w:rFonts w:ascii="Times New Roman"/>
            </w:rPr>
            <w:t>Distr.: General</w:t>
          </w:r>
        </w:p>
        <w:p w:rsidR="00DF0187" w:rsidRDefault="00DF0187" w:rsidP="00A632FB">
          <w:pPr>
            <w:spacing w:line="240" w:lineRule="exact"/>
            <w:rPr>
              <w:rFonts w:ascii="Times New Roman"/>
            </w:rPr>
          </w:pPr>
          <w:r>
            <w:rPr>
              <w:rFonts w:ascii="Times New Roman"/>
            </w:rPr>
            <w:t>6 August 2012</w:t>
          </w:r>
        </w:p>
        <w:p w:rsidR="00DF0187" w:rsidRDefault="00DF0187" w:rsidP="00A632FB">
          <w:pPr>
            <w:spacing w:line="240" w:lineRule="exact"/>
            <w:rPr>
              <w:rFonts w:ascii="Times New Roman"/>
            </w:rPr>
          </w:pPr>
          <w:r>
            <w:rPr>
              <w:rFonts w:ascii="Times New Roman"/>
            </w:rPr>
            <w:t>Chinese</w:t>
          </w:r>
        </w:p>
        <w:p w:rsidR="00DF0187" w:rsidRPr="00A632FB" w:rsidRDefault="00DF0187" w:rsidP="00A632FB">
          <w:pPr>
            <w:spacing w:line="240" w:lineRule="exact"/>
            <w:rPr>
              <w:rFonts w:ascii="Times New Roman"/>
            </w:rPr>
          </w:pPr>
          <w:r>
            <w:rPr>
              <w:rFonts w:ascii="Times New Roman"/>
            </w:rPr>
            <w:t>Original: English</w:t>
          </w:r>
        </w:p>
      </w:tc>
    </w:tr>
  </w:tbl>
  <w:p w:rsidR="00DF0187" w:rsidRPr="00A632FB" w:rsidRDefault="00DF0187" w:rsidP="00A632F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5529*"/>
    <w:docVar w:name="CreationDt" w:val="10/04/2013 13:56:28"/>
    <w:docVar w:name="DocCategory" w:val="Doc"/>
    <w:docVar w:name="DocType" w:val="Final"/>
    <w:docVar w:name="FooterJN" w:val="12-45529 (C)"/>
    <w:docVar w:name="jobn" w:val="12-45529 (C)"/>
    <w:docVar w:name="jobnDT" w:val="12-45529 (C)   100413"/>
    <w:docVar w:name="jobnDTDT" w:val="12-45529 (C)   100413   100413"/>
    <w:docVar w:name="JobNo" w:val="1245529C"/>
    <w:docVar w:name="OandT" w:val="keya"/>
    <w:docVar w:name="sss1" w:val="CEDAW/C/NZL/CO/7"/>
    <w:docVar w:name="sss2" w:val="-"/>
    <w:docVar w:name="Symbol1" w:val="CEDAW/C/NZL/CO/7"/>
    <w:docVar w:name="Symbol2" w:val="-"/>
  </w:docVars>
  <w:rsids>
    <w:rsidRoot w:val="00426FE0"/>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83CAB"/>
    <w:rsid w:val="00095C67"/>
    <w:rsid w:val="000A31F9"/>
    <w:rsid w:val="000C1786"/>
    <w:rsid w:val="000C4DDE"/>
    <w:rsid w:val="000E240F"/>
    <w:rsid w:val="000E49A4"/>
    <w:rsid w:val="000F1058"/>
    <w:rsid w:val="000F1904"/>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63610"/>
    <w:rsid w:val="003649EE"/>
    <w:rsid w:val="00371BC6"/>
    <w:rsid w:val="00373A15"/>
    <w:rsid w:val="00383ACA"/>
    <w:rsid w:val="00384CB1"/>
    <w:rsid w:val="00394A02"/>
    <w:rsid w:val="003966E8"/>
    <w:rsid w:val="003C7B20"/>
    <w:rsid w:val="003D075F"/>
    <w:rsid w:val="003E4565"/>
    <w:rsid w:val="003E748F"/>
    <w:rsid w:val="003E7612"/>
    <w:rsid w:val="00414423"/>
    <w:rsid w:val="00426FE0"/>
    <w:rsid w:val="0043385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4265"/>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97D1D"/>
    <w:rsid w:val="005A175A"/>
    <w:rsid w:val="005B7338"/>
    <w:rsid w:val="005C02AB"/>
    <w:rsid w:val="005C5FC3"/>
    <w:rsid w:val="005D0F04"/>
    <w:rsid w:val="005D2049"/>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52CC"/>
    <w:rsid w:val="007319E0"/>
    <w:rsid w:val="007345AA"/>
    <w:rsid w:val="00737B00"/>
    <w:rsid w:val="0075155C"/>
    <w:rsid w:val="00753A05"/>
    <w:rsid w:val="00757193"/>
    <w:rsid w:val="00761190"/>
    <w:rsid w:val="00764202"/>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0385"/>
    <w:rsid w:val="0083056F"/>
    <w:rsid w:val="008378D1"/>
    <w:rsid w:val="00846462"/>
    <w:rsid w:val="00860742"/>
    <w:rsid w:val="0086691F"/>
    <w:rsid w:val="00883DB0"/>
    <w:rsid w:val="00884C8F"/>
    <w:rsid w:val="00896D38"/>
    <w:rsid w:val="008A0216"/>
    <w:rsid w:val="008C3296"/>
    <w:rsid w:val="008C3413"/>
    <w:rsid w:val="008E2D03"/>
    <w:rsid w:val="008E7BDF"/>
    <w:rsid w:val="008F2BB5"/>
    <w:rsid w:val="008F425D"/>
    <w:rsid w:val="008F5472"/>
    <w:rsid w:val="008F5D0F"/>
    <w:rsid w:val="009122E0"/>
    <w:rsid w:val="00913351"/>
    <w:rsid w:val="0096193C"/>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69AD"/>
    <w:rsid w:val="00A110C4"/>
    <w:rsid w:val="00A17A85"/>
    <w:rsid w:val="00A20856"/>
    <w:rsid w:val="00A24399"/>
    <w:rsid w:val="00A24CA5"/>
    <w:rsid w:val="00A33D6D"/>
    <w:rsid w:val="00A37345"/>
    <w:rsid w:val="00A40AAE"/>
    <w:rsid w:val="00A40EA9"/>
    <w:rsid w:val="00A4532A"/>
    <w:rsid w:val="00A5206D"/>
    <w:rsid w:val="00A632FB"/>
    <w:rsid w:val="00A72E47"/>
    <w:rsid w:val="00A90956"/>
    <w:rsid w:val="00A95404"/>
    <w:rsid w:val="00A968C5"/>
    <w:rsid w:val="00AA3438"/>
    <w:rsid w:val="00AA3C28"/>
    <w:rsid w:val="00AA759D"/>
    <w:rsid w:val="00AB2786"/>
    <w:rsid w:val="00AD4308"/>
    <w:rsid w:val="00AF2A33"/>
    <w:rsid w:val="00B03EFA"/>
    <w:rsid w:val="00B309DD"/>
    <w:rsid w:val="00B36621"/>
    <w:rsid w:val="00B36D64"/>
    <w:rsid w:val="00B41B48"/>
    <w:rsid w:val="00B55E1D"/>
    <w:rsid w:val="00B56194"/>
    <w:rsid w:val="00B60F41"/>
    <w:rsid w:val="00B61A34"/>
    <w:rsid w:val="00B64E8E"/>
    <w:rsid w:val="00B65E8B"/>
    <w:rsid w:val="00B74F43"/>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B2B1E"/>
    <w:rsid w:val="00CC3E8B"/>
    <w:rsid w:val="00CC4E84"/>
    <w:rsid w:val="00CD5641"/>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0187"/>
    <w:rsid w:val="00DF742A"/>
    <w:rsid w:val="00E041F4"/>
    <w:rsid w:val="00E050BA"/>
    <w:rsid w:val="00E25442"/>
    <w:rsid w:val="00E25A1F"/>
    <w:rsid w:val="00E278AE"/>
    <w:rsid w:val="00E35B72"/>
    <w:rsid w:val="00E37EEB"/>
    <w:rsid w:val="00E710FB"/>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TotalTime>
  <Pages>1</Pages>
  <Words>4621</Words>
  <Characters>4807</Characters>
  <Application>Microsoft Office Word</Application>
  <DocSecurity>4</DocSecurity>
  <Lines>192</Lines>
  <Paragraphs>130</Paragraphs>
  <ScaleCrop>false</ScaleCrop>
  <Company>United Nations</Company>
  <LinksUpToDate>false</LinksUpToDate>
  <CharactersWithSpaces>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2013-04-10T13:54:00Z</cp:lastPrinted>
  <dcterms:created xsi:type="dcterms:W3CDTF">2013-04-10T12:54:00Z</dcterms:created>
  <dcterms:modified xsi:type="dcterms:W3CDTF">2013-04-10T14:05:00Z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1245529</vt:lpwstr>
  </property>
  <property fmtid="{D5CDD505-2E9C-101B-9397-08002B2CF9AE}" pid="3" name="Symbol1">
    <vt:lpwstr>CEDAW/C/NZL/CO/7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keya</vt:lpwstr>
  </property>
</Properties>
</file>