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4F0EC4" w14:paraId="5307D12A" w14:textId="77777777" w:rsidTr="0054149D">
        <w:trPr>
          <w:trHeight w:hRule="exact" w:val="851"/>
        </w:trPr>
        <w:tc>
          <w:tcPr>
            <w:tcW w:w="1274" w:type="dxa"/>
            <w:tcBorders>
              <w:bottom w:val="single" w:sz="4" w:space="0" w:color="auto"/>
            </w:tcBorders>
          </w:tcPr>
          <w:p w14:paraId="7E588A5A" w14:textId="77777777" w:rsidR="006B3E27" w:rsidRPr="004F0EC4" w:rsidRDefault="006B3E27" w:rsidP="00B90484">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25C08E91" w14:textId="77777777" w:rsidR="006B3E27" w:rsidRPr="004F0EC4" w:rsidRDefault="006B3E27" w:rsidP="00803632">
            <w:pPr>
              <w:spacing w:after="80" w:line="480" w:lineRule="exact"/>
              <w:ind w:left="57"/>
              <w:jc w:val="left"/>
              <w:rPr>
                <w:sz w:val="30"/>
                <w:szCs w:val="30"/>
                <w:rtl/>
              </w:rPr>
            </w:pPr>
            <w:r w:rsidRPr="004F0EC4">
              <w:rPr>
                <w:rFonts w:hint="cs"/>
                <w:sz w:val="30"/>
                <w:szCs w:val="30"/>
                <w:rtl/>
              </w:rPr>
              <w:t>الأمم المتحدة</w:t>
            </w:r>
          </w:p>
        </w:tc>
        <w:tc>
          <w:tcPr>
            <w:tcW w:w="4111" w:type="dxa"/>
            <w:tcBorders>
              <w:bottom w:val="single" w:sz="4" w:space="0" w:color="auto"/>
            </w:tcBorders>
            <w:vAlign w:val="bottom"/>
          </w:tcPr>
          <w:p w14:paraId="672A0B7E" w14:textId="33008E89" w:rsidR="006B3E27" w:rsidRPr="004F0EC4" w:rsidRDefault="00FA26A0" w:rsidP="00FA26A0">
            <w:pPr>
              <w:bidi w:val="0"/>
              <w:jc w:val="left"/>
            </w:pPr>
            <w:r w:rsidRPr="004F0EC4">
              <w:rPr>
                <w:sz w:val="40"/>
              </w:rPr>
              <w:t>CRPD</w:t>
            </w:r>
            <w:r w:rsidRPr="004F0EC4">
              <w:t>/C/CHL/2-4</w:t>
            </w:r>
          </w:p>
        </w:tc>
      </w:tr>
      <w:tr w:rsidR="006B3E27" w:rsidRPr="004F0EC4" w14:paraId="2AFBCDAF" w14:textId="77777777" w:rsidTr="0054149D">
        <w:trPr>
          <w:trHeight w:hRule="exact" w:val="2835"/>
        </w:trPr>
        <w:tc>
          <w:tcPr>
            <w:tcW w:w="1274" w:type="dxa"/>
            <w:tcBorders>
              <w:top w:val="single" w:sz="4" w:space="0" w:color="auto"/>
              <w:bottom w:val="single" w:sz="12" w:space="0" w:color="auto"/>
            </w:tcBorders>
          </w:tcPr>
          <w:p w14:paraId="6DF023C7" w14:textId="77777777" w:rsidR="006B3E27" w:rsidRPr="004F0EC4" w:rsidRDefault="0059622A" w:rsidP="00E86F91">
            <w:pPr>
              <w:spacing w:before="120"/>
              <w:jc w:val="center"/>
              <w:rPr>
                <w:sz w:val="56"/>
                <w:szCs w:val="56"/>
                <w:rtl/>
              </w:rPr>
            </w:pPr>
            <w:r w:rsidRPr="004F0EC4">
              <w:rPr>
                <w:noProof/>
                <w:sz w:val="56"/>
                <w:szCs w:val="56"/>
              </w:rPr>
              <w:drawing>
                <wp:inline distT="0" distB="0" distL="0" distR="0" wp14:anchorId="2A2D75A0" wp14:editId="51A3FA0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30997C3C" w14:textId="77777777" w:rsidR="006B3E27" w:rsidRPr="004F0EC4" w:rsidRDefault="00606EDF" w:rsidP="00803632">
            <w:pPr>
              <w:spacing w:before="120" w:after="40" w:line="640" w:lineRule="exact"/>
              <w:ind w:left="57"/>
              <w:jc w:val="left"/>
              <w:rPr>
                <w:b/>
                <w:bCs/>
                <w:sz w:val="50"/>
                <w:szCs w:val="50"/>
                <w:rtl/>
              </w:rPr>
            </w:pPr>
            <w:r w:rsidRPr="004F0EC4">
              <w:rPr>
                <w:rFonts w:hint="cs"/>
                <w:b/>
                <w:bCs/>
                <w:sz w:val="50"/>
                <w:szCs w:val="50"/>
                <w:rtl/>
              </w:rPr>
              <w:t>اتفاق</w:t>
            </w:r>
            <w:r w:rsidR="007541BA" w:rsidRPr="004F0EC4">
              <w:rPr>
                <w:rFonts w:hint="cs"/>
                <w:b/>
                <w:bCs/>
                <w:sz w:val="50"/>
                <w:szCs w:val="50"/>
                <w:rtl/>
              </w:rPr>
              <w:t>ية</w:t>
            </w:r>
            <w:r w:rsidRPr="004F0EC4">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1D73DA39" w14:textId="77777777" w:rsidR="00E54512" w:rsidRPr="004F0EC4" w:rsidRDefault="00E54512" w:rsidP="00E54512">
            <w:pPr>
              <w:suppressAutoHyphens/>
              <w:bidi w:val="0"/>
              <w:spacing w:before="240"/>
              <w:jc w:val="left"/>
              <w:rPr>
                <w:rFonts w:eastAsia="SimSun"/>
              </w:rPr>
            </w:pPr>
            <w:r w:rsidRPr="004F0EC4">
              <w:rPr>
                <w:rFonts w:eastAsia="SimSun"/>
              </w:rPr>
              <w:t>Distr.: General</w:t>
            </w:r>
          </w:p>
          <w:p w14:paraId="00878B16" w14:textId="77777777" w:rsidR="00E54512" w:rsidRPr="004F0EC4" w:rsidRDefault="00E54512" w:rsidP="00E54512">
            <w:pPr>
              <w:bidi w:val="0"/>
              <w:jc w:val="left"/>
              <w:rPr>
                <w:rFonts w:eastAsia="SimSun"/>
              </w:rPr>
            </w:pPr>
            <w:r w:rsidRPr="004F0EC4">
              <w:rPr>
                <w:rFonts w:eastAsia="SimSun"/>
              </w:rPr>
              <w:t>29 January 2026</w:t>
            </w:r>
          </w:p>
          <w:p w14:paraId="6AEF7E51" w14:textId="60D138B6" w:rsidR="00E54512" w:rsidRPr="004F0EC4" w:rsidRDefault="00E54512" w:rsidP="00E54512">
            <w:pPr>
              <w:bidi w:val="0"/>
              <w:jc w:val="left"/>
              <w:rPr>
                <w:rFonts w:eastAsia="SimSun"/>
              </w:rPr>
            </w:pPr>
            <w:r w:rsidRPr="004F0EC4">
              <w:rPr>
                <w:rFonts w:eastAsia="SimSun"/>
              </w:rPr>
              <w:t>Arabic</w:t>
            </w:r>
          </w:p>
          <w:p w14:paraId="00CDD388" w14:textId="77777777" w:rsidR="00E54512" w:rsidRPr="004F0EC4" w:rsidRDefault="00E54512" w:rsidP="00E54512">
            <w:pPr>
              <w:bidi w:val="0"/>
              <w:jc w:val="left"/>
              <w:rPr>
                <w:rFonts w:eastAsia="SimSun"/>
              </w:rPr>
            </w:pPr>
            <w:r w:rsidRPr="004F0EC4">
              <w:rPr>
                <w:rFonts w:eastAsia="SimSun"/>
              </w:rPr>
              <w:t>Original: Spanish</w:t>
            </w:r>
          </w:p>
          <w:p w14:paraId="0B3FD5DA" w14:textId="7338A8D9" w:rsidR="006B3E27" w:rsidRPr="004F0EC4" w:rsidRDefault="00E54512" w:rsidP="00E54512">
            <w:pPr>
              <w:bidi w:val="0"/>
              <w:ind w:right="1275"/>
              <w:jc w:val="left"/>
            </w:pPr>
            <w:r w:rsidRPr="004F0EC4">
              <w:rPr>
                <w:rFonts w:eastAsia="SimSun"/>
                <w:lang w:eastAsia="en-US"/>
              </w:rPr>
              <w:t>Arabic, English, French and Spanish only</w:t>
            </w:r>
          </w:p>
        </w:tc>
      </w:tr>
    </w:tbl>
    <w:p w14:paraId="35F062EC" w14:textId="77777777" w:rsidR="00C00FE8" w:rsidRPr="004F0EC4" w:rsidRDefault="00C00FE8" w:rsidP="00C00FE8">
      <w:pPr>
        <w:pStyle w:val="SingleTxtGA"/>
        <w:spacing w:before="120"/>
        <w:ind w:left="0"/>
        <w:rPr>
          <w:b/>
          <w:bCs/>
          <w:sz w:val="26"/>
          <w:szCs w:val="26"/>
        </w:rPr>
      </w:pPr>
      <w:r w:rsidRPr="004F0EC4">
        <w:rPr>
          <w:b/>
          <w:bCs/>
          <w:sz w:val="26"/>
          <w:szCs w:val="26"/>
          <w:rtl/>
        </w:rPr>
        <w:t>اللجنة المعنية بحقوق الأشخاص ذوي الإعاقة</w:t>
      </w:r>
    </w:p>
    <w:p w14:paraId="620FD59E" w14:textId="77777777" w:rsidR="00C00FE8" w:rsidRPr="004F0EC4" w:rsidRDefault="00C00FE8" w:rsidP="009F0FB8">
      <w:pPr>
        <w:pStyle w:val="HMGA"/>
        <w:spacing w:before="480"/>
        <w:rPr>
          <w:lang w:val="en-US"/>
        </w:rPr>
      </w:pPr>
      <w:r w:rsidRPr="004F0EC4">
        <w:rPr>
          <w:rtl/>
          <w:lang w:val="en-US"/>
        </w:rPr>
        <w:tab/>
      </w:r>
      <w:r w:rsidRPr="004F0EC4">
        <w:rPr>
          <w:rtl/>
          <w:lang w:val="en-US"/>
        </w:rPr>
        <w:tab/>
        <w:t>التقرير الدوري الجامع للتقارير الدورية من الثاني إلى الرابع المقدم من شيلي بموجب المادة 35 من الاتفاقية عملاً بإجراء الإبلاغ الاختياري، والواجب تقديمه في عام 2022</w:t>
      </w:r>
      <w:r w:rsidRPr="004F0EC4">
        <w:rPr>
          <w:rStyle w:val="FootnoteReference"/>
          <w:vertAlign w:val="baseline"/>
          <w:rtl/>
          <w:lang w:val="en-US"/>
        </w:rPr>
        <w:footnoteReference w:customMarkFollows="1" w:id="1"/>
        <w:t>*</w:t>
      </w:r>
      <w:r w:rsidRPr="004F0EC4">
        <w:rPr>
          <w:rFonts w:hint="cs"/>
          <w:rtl/>
          <w:lang w:val="en-US"/>
        </w:rPr>
        <w:t xml:space="preserve"> </w:t>
      </w:r>
      <w:r w:rsidRPr="004F0EC4">
        <w:rPr>
          <w:rStyle w:val="FootnoteReference"/>
          <w:vertAlign w:val="baseline"/>
          <w:rtl/>
          <w:lang w:val="en-US"/>
        </w:rPr>
        <w:footnoteReference w:customMarkFollows="1" w:id="2"/>
        <w:t>**</w:t>
      </w:r>
      <w:r w:rsidRPr="004F0EC4">
        <w:rPr>
          <w:rFonts w:hint="cs"/>
          <w:rtl/>
          <w:lang w:val="en-US"/>
        </w:rPr>
        <w:t xml:space="preserve"> </w:t>
      </w:r>
      <w:r w:rsidRPr="004F0EC4">
        <w:rPr>
          <w:rStyle w:val="FootnoteReference"/>
          <w:vertAlign w:val="baseline"/>
          <w:rtl/>
          <w:lang w:val="en-US"/>
        </w:rPr>
        <w:footnoteReference w:customMarkFollows="1" w:id="3"/>
        <w:t>***</w:t>
      </w:r>
    </w:p>
    <w:p w14:paraId="1482FF18" w14:textId="77777777" w:rsidR="00C00FE8" w:rsidRPr="004F0EC4" w:rsidRDefault="00C00FE8" w:rsidP="00C00FE8">
      <w:pPr>
        <w:pStyle w:val="SingleTxtGA"/>
        <w:bidi w:val="0"/>
      </w:pPr>
      <w:r w:rsidRPr="004F0EC4">
        <w:rPr>
          <w:rtl/>
        </w:rPr>
        <w:t>[تاريخ الاستلام: 29 كانون الأول/ديسمبر 2022]</w:t>
      </w:r>
    </w:p>
    <w:p w14:paraId="0080F664" w14:textId="77777777" w:rsidR="00C00FE8" w:rsidRPr="004F0EC4" w:rsidRDefault="00C00FE8" w:rsidP="00C00FE8">
      <w:pPr>
        <w:bidi w:val="0"/>
        <w:spacing w:after="200" w:line="276" w:lineRule="auto"/>
        <w:jc w:val="left"/>
        <w:rPr>
          <w:b/>
          <w:bCs/>
          <w:sz w:val="30"/>
          <w:szCs w:val="30"/>
          <w:rtl/>
        </w:rPr>
      </w:pPr>
      <w:r w:rsidRPr="004F0EC4">
        <w:rPr>
          <w:rtl/>
        </w:rPr>
        <w:br w:type="page"/>
      </w:r>
    </w:p>
    <w:p w14:paraId="6E79166B" w14:textId="77777777" w:rsidR="00C00FE8" w:rsidRPr="004F0EC4" w:rsidRDefault="00C00FE8" w:rsidP="00C00FE8">
      <w:pPr>
        <w:pStyle w:val="HChGA"/>
        <w:rPr>
          <w:lang w:val="en-US"/>
        </w:rPr>
      </w:pPr>
      <w:r w:rsidRPr="004F0EC4">
        <w:rPr>
          <w:rtl/>
          <w:lang w:val="en-US"/>
        </w:rPr>
        <w:lastRenderedPageBreak/>
        <w:tab/>
        <w:t>أولا</w:t>
      </w:r>
      <w:r w:rsidRPr="004F0EC4">
        <w:rPr>
          <w:rFonts w:hint="cs"/>
          <w:rtl/>
          <w:lang w:val="en-US"/>
        </w:rPr>
        <w:t>ً</w:t>
      </w:r>
      <w:r w:rsidRPr="004F0EC4">
        <w:rPr>
          <w:rtl/>
          <w:lang w:val="en-US"/>
        </w:rPr>
        <w:t>-</w:t>
      </w:r>
      <w:r w:rsidRPr="004F0EC4">
        <w:rPr>
          <w:rtl/>
          <w:lang w:val="en-US"/>
        </w:rPr>
        <w:tab/>
        <w:t>مقدّمة</w:t>
      </w:r>
    </w:p>
    <w:p w14:paraId="365DFAA3" w14:textId="77777777" w:rsidR="00C00FE8" w:rsidRPr="004F0EC4" w:rsidRDefault="00C00FE8" w:rsidP="00C00FE8">
      <w:pPr>
        <w:pStyle w:val="SingleTxtGA"/>
        <w:rPr>
          <w:rtl/>
        </w:rPr>
      </w:pPr>
      <w:r w:rsidRPr="004F0EC4">
        <w:rPr>
          <w:rtl/>
        </w:rPr>
        <w:t>1-</w:t>
      </w:r>
      <w:r w:rsidRPr="004F0EC4">
        <w:rPr>
          <w:rtl/>
        </w:rPr>
        <w:tab/>
      </w:r>
      <w:r w:rsidRPr="004F0EC4">
        <w:rPr>
          <w:spacing w:val="-2"/>
          <w:rtl/>
        </w:rPr>
        <w:t xml:space="preserve">تقدم حكومة شيلي بهذا التقرير عن التقدم المحرز في تنفيذ اتفاقية حقوق الأشخاص ذوي الإعاقة، </w:t>
      </w:r>
      <w:r w:rsidRPr="004F0EC4">
        <w:rPr>
          <w:rtl/>
        </w:rPr>
        <w:t>رداً على قائمة المسائل التي أعدتها اللجنة المعنية بحقوق الأشخاص ذوي الإعاقة قبل تقديم تقرير الدولة الجامع للتقريرين الدوريين من الثاني إلى الرابع.</w:t>
      </w:r>
    </w:p>
    <w:p w14:paraId="4E6516A8" w14:textId="77777777" w:rsidR="00C00FE8" w:rsidRPr="004F0EC4" w:rsidRDefault="00C00FE8" w:rsidP="00C00FE8">
      <w:pPr>
        <w:pStyle w:val="SingleTxtGA"/>
      </w:pPr>
      <w:r w:rsidRPr="004F0EC4">
        <w:rPr>
          <w:rtl/>
        </w:rPr>
        <w:t>2-</w:t>
      </w:r>
      <w:r w:rsidRPr="004F0EC4">
        <w:rPr>
          <w:rtl/>
        </w:rPr>
        <w:tab/>
        <w:t>ويغطي التقرير الفترة الممتدة من عام 2016 إلى تموز/يوليه 2022، ويستعرض التطورات التشريعية والسياسات العامة وغيرها من الأحداث ذات الصلة التي أثرت على ممارسة الحقوق من قبل المواطنين عموماً والأشخاص ذوي الإعاقة خصوصاً. وقد شارك في إعداده أكثر من 40 هيئة حكومية.</w:t>
      </w:r>
    </w:p>
    <w:p w14:paraId="172303E6" w14:textId="77561EDA" w:rsidR="00C00FE8" w:rsidRPr="004F0EC4" w:rsidRDefault="00C00FE8" w:rsidP="00C00FE8">
      <w:pPr>
        <w:pStyle w:val="SingleTxtGA"/>
        <w:rPr>
          <w:rtl/>
        </w:rPr>
      </w:pPr>
      <w:r w:rsidRPr="004F0EC4">
        <w:rPr>
          <w:rtl/>
        </w:rPr>
        <w:t>3-</w:t>
      </w:r>
      <w:r w:rsidRPr="004F0EC4">
        <w:rPr>
          <w:rtl/>
        </w:rPr>
        <w:tab/>
      </w:r>
      <w:r w:rsidRPr="004F0EC4">
        <w:rPr>
          <w:spacing w:val="-7"/>
          <w:rtl/>
        </w:rPr>
        <w:t>وعلى الصعيد التشريعي، كان لاعتماد القوانين التالية أهمية خاصة: ’1‘ القانون رقم 21-015(2017)،</w:t>
      </w:r>
      <w:r w:rsidRPr="004F0EC4">
        <w:rPr>
          <w:rtl/>
        </w:rPr>
        <w:t xml:space="preserve"> الذي ينص على حوافز لإدماج الأشخاص ذوي الإعاقة في القوى العاملة في الهيئات الحكومية والشركات الخاصة؛ و’2‘ القانون رقم 21-168(2019)، الذي يكرس حق الأشخاص ذوي الإعاقة في الحصول </w:t>
      </w:r>
      <w:r w:rsidRPr="004F0EC4">
        <w:rPr>
          <w:spacing w:val="-2"/>
          <w:rtl/>
        </w:rPr>
        <w:t>على الرعاية الصحية على سبيل الأولوية؛ و’3‘ القانون رقم 21-303 (2021)، الذي يشجع استخدام لغة</w:t>
      </w:r>
      <w:r w:rsidR="009F0FB8" w:rsidRPr="004F0EC4">
        <w:rPr>
          <w:rFonts w:hint="cs"/>
          <w:rtl/>
        </w:rPr>
        <w:t> </w:t>
      </w:r>
      <w:r w:rsidRPr="004F0EC4">
        <w:rPr>
          <w:rtl/>
        </w:rPr>
        <w:t>الإشارة الشيلية، مع الاعتراف بها لغة رسمية للأشخاص الصم؛ و’4‘ القانون رقم 21-331(2021)، الذي يعترف بحقوق الأشخاص المصابين بمرض عقلي أو بإعاقة نفسية أو ذهنية ويحميها؛ و’5‘ القانون رقم 21-380(2021)، الذي يعترف بحق مقدمي الرعاية إلى الأشخاص ذوي الإعاقة في الحصول على معاملة تفضيلية في مجال الصحة؛ و’6‘ القانون رقم 21-403(2022)، الذي يعترف باجتماع الصمم والعمى بوصفه إعاقة واحدة.</w:t>
      </w:r>
      <w:r w:rsidR="004F033D" w:rsidRPr="004F0EC4">
        <w:rPr>
          <w:rFonts w:hint="cs"/>
          <w:rtl/>
        </w:rPr>
        <w:t xml:space="preserve"> </w:t>
      </w:r>
    </w:p>
    <w:p w14:paraId="3559525E" w14:textId="77777777" w:rsidR="00C00FE8" w:rsidRPr="004F0EC4" w:rsidRDefault="00C00FE8" w:rsidP="00C00FE8">
      <w:pPr>
        <w:pStyle w:val="SingleTxtGA"/>
      </w:pPr>
      <w:r w:rsidRPr="004F0EC4">
        <w:rPr>
          <w:rtl/>
        </w:rPr>
        <w:t>4-</w:t>
      </w:r>
      <w:r w:rsidRPr="004F0EC4">
        <w:rPr>
          <w:rtl/>
        </w:rPr>
        <w:tab/>
        <w:t xml:space="preserve">وعلى صعيد السياسات العامة، بُذلت جهود ملحوظة لإدماج قضايا الإعاقة في عمل جميع أجهزة </w:t>
      </w:r>
      <w:r w:rsidRPr="004F0EC4">
        <w:rPr>
          <w:spacing w:val="-4"/>
          <w:rtl/>
        </w:rPr>
        <w:t>الحكومة، لا سيما في المجالات المتعلقة بالرعاية الصحية، والتعليم، والعمل، والكوارث وحالات الطوارئ</w:t>
      </w:r>
      <w:r w:rsidRPr="004F0EC4">
        <w:rPr>
          <w:rtl/>
        </w:rPr>
        <w:t>، والإسكان، والسلامة العامة، والوصول إلى العدالة، والشؤون الجنسانية، والرياضة، والثقافة.</w:t>
      </w:r>
    </w:p>
    <w:p w14:paraId="3EB9A263" w14:textId="1973CD6E" w:rsidR="00C00FE8" w:rsidRPr="004F0EC4" w:rsidRDefault="00C00FE8" w:rsidP="00C00FE8">
      <w:pPr>
        <w:pStyle w:val="SingleTxtGA"/>
      </w:pPr>
      <w:r w:rsidRPr="004F0EC4">
        <w:rPr>
          <w:rtl/>
        </w:rPr>
        <w:t>5-</w:t>
      </w:r>
      <w:r w:rsidRPr="004F0EC4">
        <w:rPr>
          <w:rtl/>
        </w:rPr>
        <w:tab/>
      </w:r>
      <w:r w:rsidRPr="004F0EC4">
        <w:rPr>
          <w:spacing w:val="-2"/>
          <w:rtl/>
        </w:rPr>
        <w:t>وبُذلت أيضاًً جهود كبيرة للمضي قدماً في اعتماد نظام لتصنيف الإعاقات وإصدار الشهادات يتبنى نهجاً قائماً على حقوق الإنسان، وينص على إدخال تحسينات على تطبيق هذا النظام. ومن الجدير بالذكر أيضاًً إحراز تقدم في مجال الصحة النفسية، وهو يشمل إصدار القانون رقم 21-331 والاعتراف القانوني بحق كل شخص في منح أو حجب موافقته على الخضوع لأي إجراء أو علاج مرتبط برعايته الصحية. وفي</w:t>
      </w:r>
      <w:r w:rsidR="00324833" w:rsidRPr="004F0EC4">
        <w:rPr>
          <w:rFonts w:hint="cs"/>
          <w:spacing w:val="-2"/>
          <w:rtl/>
        </w:rPr>
        <w:t> </w:t>
      </w:r>
      <w:r w:rsidRPr="004F0EC4">
        <w:rPr>
          <w:spacing w:val="-2"/>
          <w:rtl/>
        </w:rPr>
        <w:t>هذا السياق، فُرض حظر صريح على التعقيم القسري للأطفال والمراهقين منذ عام 2021. وينبغي أيضاًً تسليط الضوء على الإجراءات التي اتُخذت للحد من الآثار السلبية للجائحة على الأشخاص ذوي الإعاقة، وضمان إتاحة المعلومات لهم في جميع الأوقات، وعدم انقطاع خدمات دعم الرعاية الصحية والتعليم عنهم.</w:t>
      </w:r>
    </w:p>
    <w:p w14:paraId="72977951" w14:textId="77777777" w:rsidR="00C00FE8" w:rsidRPr="004F0EC4" w:rsidRDefault="00C00FE8" w:rsidP="00C00FE8">
      <w:pPr>
        <w:pStyle w:val="SingleTxtGA"/>
        <w:rPr>
          <w:spacing w:val="-5"/>
        </w:rPr>
      </w:pPr>
      <w:r w:rsidRPr="004F0EC4">
        <w:rPr>
          <w:spacing w:val="-4"/>
          <w:rtl/>
        </w:rPr>
        <w:t>6-</w:t>
      </w:r>
      <w:r w:rsidRPr="004F0EC4">
        <w:rPr>
          <w:spacing w:val="-4"/>
          <w:rtl/>
        </w:rPr>
        <w:tab/>
      </w:r>
      <w:r w:rsidRPr="004F0EC4">
        <w:rPr>
          <w:spacing w:val="-2"/>
          <w:rtl/>
        </w:rPr>
        <w:t>وعلى الرغم من التقدم المحرز، لوحظت في سياق إعداد هذا التقرير تحديات كبيرة أمام ضمان حقوق الأشخاص ذوي الإعاقة. ولضمان أن تراعي السياسات والخطط والبرامج والمبادرات احتياجات الأشخاص ذوي الإعاقة طوال حياتهم، مع أخذ المتغيرات المتداخلة في الاعتبار، مثل النوع الاجتماعي والجنسية والوضع القانوني في الهجرة والانتماء إلى الشعوب الأصلية، وسلب الحرية، من بين أمور أخرى، لا</w:t>
      </w:r>
      <w:r w:rsidRPr="004F0EC4">
        <w:rPr>
          <w:rFonts w:hint="cs"/>
          <w:spacing w:val="-2"/>
          <w:rtl/>
        </w:rPr>
        <w:t> </w:t>
      </w:r>
      <w:r w:rsidRPr="004F0EC4">
        <w:rPr>
          <w:spacing w:val="-2"/>
          <w:rtl/>
        </w:rPr>
        <w:t>بد من المضي في تعزيز الجهود المشتركة بين القطاعات. وقد حُددت أيضاً أوجه قصور في جمع الإحصاءات وحفظ السجلات العامة؛ فعدم إدراج حالة الإعاقة دائماً باعتبارها متغيراً يمكن الاستعلام عنه يجعل من الصعب جمع معلومات</w:t>
      </w:r>
      <w:r w:rsidRPr="004F0EC4">
        <w:rPr>
          <w:spacing w:val="-4"/>
          <w:rtl/>
        </w:rPr>
        <w:t xml:space="preserve"> كمية أدق عن تأثير بعض القضايا والسياسات العامة والمبادرات الأخرى. ومن المأمول أن تعمل نتائج الاستقصاء الوطني للإعاقة والاعتمادية لعام 2022، التي لم تصدر بعد، على سد هذه الفجوة في البيانات الحديثة، ولو جزئياً. وتشمل التحديات الرئيسية الأخرى التي يتعين معالجتها السعي نحو </w:t>
      </w:r>
      <w:r w:rsidRPr="004F0EC4">
        <w:rPr>
          <w:spacing w:val="-5"/>
          <w:rtl/>
        </w:rPr>
        <w:t>الاعتراف الكامل بالأهلية القانونية للأشخاص ذوي الإعاقة، وذلك بإلغاء نموذج اتخاذ القرار بالنيابة الذي لا يزال سارياً في شيلي، واستبداله بنظام للدعم والضمانات. وقد صيغ بالفعل مشروع قانون ينص على هذا الانتقال.</w:t>
      </w:r>
    </w:p>
    <w:p w14:paraId="381611F6" w14:textId="493ED749" w:rsidR="00C00FE8" w:rsidRPr="004F0EC4" w:rsidRDefault="00C00FE8" w:rsidP="00C00FE8">
      <w:pPr>
        <w:pStyle w:val="SingleTxtGA"/>
        <w:spacing w:line="350" w:lineRule="exact"/>
        <w:rPr>
          <w:rtl/>
        </w:rPr>
      </w:pPr>
      <w:r w:rsidRPr="004F0EC4">
        <w:rPr>
          <w:rtl/>
        </w:rPr>
        <w:lastRenderedPageBreak/>
        <w:t>7-</w:t>
      </w:r>
      <w:r w:rsidRPr="004F0EC4">
        <w:rPr>
          <w:rtl/>
        </w:rPr>
        <w:tab/>
        <w:t xml:space="preserve">وتُعد حقوق الإنسان عنصراً أساسياً وشاملاً في برنامج الحكومة الجديدة. لذا، فإن دورة الإبلاغ الحالية تكتسي أهمية قصوى، فهي تشكل فرصة لإثبات الالتزام الراسخ داخل الإدارة العامة بمعالجة قضايا الإعاقة. وفي هذا السياق، دعت </w:t>
      </w:r>
      <w:r w:rsidR="00A27310" w:rsidRPr="004F0EC4">
        <w:rPr>
          <w:rtl/>
        </w:rPr>
        <w:t xml:space="preserve">الدائرة </w:t>
      </w:r>
      <w:r w:rsidRPr="004F0EC4">
        <w:rPr>
          <w:rtl/>
        </w:rPr>
        <w:t>الوطنية لشؤون الأشخاص ذوي الإعاقة في تشرين الأول/</w:t>
      </w:r>
      <w:r w:rsidRPr="004F0EC4">
        <w:rPr>
          <w:rFonts w:hint="cs"/>
          <w:rtl/>
        </w:rPr>
        <w:t xml:space="preserve">   </w:t>
      </w:r>
      <w:r w:rsidRPr="004F0EC4">
        <w:rPr>
          <w:rtl/>
        </w:rPr>
        <w:t xml:space="preserve">أكتوبر 2022 الأشخاص ذوي الإعاقة ومنظماتهم وأسرهم، فضلاً عن أفراد الجمهور، إلى المساهمة في هذا التقرير بإبداء آرائهم في ثلاثة مواضيع رئيسية هي: تصنيف الإعاقة وإصدار </w:t>
      </w:r>
      <w:proofErr w:type="gramStart"/>
      <w:r w:rsidRPr="004F0EC4">
        <w:rPr>
          <w:rtl/>
        </w:rPr>
        <w:t>الشهادات</w:t>
      </w:r>
      <w:r w:rsidRPr="004F0EC4">
        <w:rPr>
          <w:vertAlign w:val="superscript"/>
          <w:rtl/>
        </w:rPr>
        <w:t>(</w:t>
      </w:r>
      <w:proofErr w:type="gramEnd"/>
      <w:r w:rsidRPr="004F0EC4">
        <w:rPr>
          <w:vertAlign w:val="superscript"/>
          <w:rtl/>
        </w:rPr>
        <w:footnoteReference w:id="4"/>
      </w:r>
      <w:r w:rsidRPr="004F0EC4">
        <w:rPr>
          <w:vertAlign w:val="superscript"/>
          <w:rtl/>
        </w:rPr>
        <w:t>)</w:t>
      </w:r>
      <w:r w:rsidRPr="004F0EC4">
        <w:rPr>
          <w:rtl/>
        </w:rPr>
        <w:t xml:space="preserve">؛ وحماية </w:t>
      </w:r>
      <w:r w:rsidRPr="004F0EC4">
        <w:rPr>
          <w:spacing w:val="-2"/>
          <w:rtl/>
        </w:rPr>
        <w:t>حقوق الأشخاص ذوي الإعاقة؛ ومرض فيروس كورونا (كوفيد-19). وقد اختيرت هذه المجالات بناءً على</w:t>
      </w:r>
      <w:r w:rsidRPr="004F0EC4">
        <w:rPr>
          <w:rtl/>
        </w:rPr>
        <w:t xml:space="preserve"> التوصيات التي وجهتها اللجنة إلى حكومة شيلي في عام 2016 وقائمة المسائل الصادرة في عام 2020. وبالإضافة إلى ذلك، دُعيت لجان المجتمع المدني الإقليمية لحضور حلقات عمل استمر كل منها يوماً كاملا</w:t>
      </w:r>
      <w:r w:rsidRPr="004F0EC4">
        <w:rPr>
          <w:rFonts w:hint="cs"/>
          <w:rtl/>
        </w:rPr>
        <w:t>ً</w:t>
      </w:r>
      <w:r w:rsidRPr="004F0EC4">
        <w:rPr>
          <w:rtl/>
        </w:rPr>
        <w:t xml:space="preserve">، وأتيحت لها فيها فرصة تبادل وجهات نظرها وآرائها بشأن عملية إعداد التقارير والمجالات الثلاثة </w:t>
      </w:r>
      <w:r w:rsidRPr="004F0EC4">
        <w:rPr>
          <w:spacing w:val="-2"/>
          <w:rtl/>
        </w:rPr>
        <w:t xml:space="preserve">المذكورة </w:t>
      </w:r>
      <w:proofErr w:type="gramStart"/>
      <w:r w:rsidRPr="004F0EC4">
        <w:rPr>
          <w:spacing w:val="-2"/>
          <w:rtl/>
        </w:rPr>
        <w:t>أعلاه</w:t>
      </w:r>
      <w:r w:rsidRPr="004F0EC4">
        <w:rPr>
          <w:spacing w:val="-2"/>
          <w:vertAlign w:val="superscript"/>
          <w:rtl/>
        </w:rPr>
        <w:t>(</w:t>
      </w:r>
      <w:proofErr w:type="gramEnd"/>
      <w:r w:rsidRPr="004F0EC4">
        <w:rPr>
          <w:spacing w:val="-2"/>
          <w:vertAlign w:val="superscript"/>
          <w:rtl/>
        </w:rPr>
        <w:footnoteReference w:id="5"/>
      </w:r>
      <w:r w:rsidRPr="004F0EC4">
        <w:rPr>
          <w:spacing w:val="-2"/>
          <w:vertAlign w:val="superscript"/>
          <w:rtl/>
        </w:rPr>
        <w:t>)</w:t>
      </w:r>
      <w:r w:rsidRPr="004F0EC4">
        <w:rPr>
          <w:spacing w:val="-2"/>
          <w:rtl/>
        </w:rPr>
        <w:t>. وترد نتائج هذه المشاورات في المرفق 8، الذي يتوخى تلخيص آراء المجتمع المدني بشأن</w:t>
      </w:r>
      <w:r w:rsidRPr="004F0EC4">
        <w:rPr>
          <w:rtl/>
        </w:rPr>
        <w:t xml:space="preserve"> هذه المواضيع واستكمال رد الدولة عليها.</w:t>
      </w:r>
    </w:p>
    <w:p w14:paraId="41BBD5D2" w14:textId="77777777" w:rsidR="00C00FE8" w:rsidRPr="004F0EC4" w:rsidRDefault="00C00FE8" w:rsidP="00C00FE8">
      <w:pPr>
        <w:pStyle w:val="SingleTxtGA"/>
        <w:spacing w:line="350" w:lineRule="exact"/>
      </w:pPr>
      <w:r w:rsidRPr="004F0EC4">
        <w:rPr>
          <w:rtl/>
        </w:rPr>
        <w:t>8-</w:t>
      </w:r>
      <w:r w:rsidRPr="004F0EC4">
        <w:rPr>
          <w:rtl/>
        </w:rPr>
        <w:tab/>
        <w:t>وجميع الأرقام الواردة في هذا التقرير معبَّر عنها بالبيسو التشيلي.</w:t>
      </w:r>
    </w:p>
    <w:p w14:paraId="5E06AFC1" w14:textId="77777777" w:rsidR="00C00FE8" w:rsidRPr="004F0EC4" w:rsidRDefault="00C00FE8" w:rsidP="00C00FE8">
      <w:pPr>
        <w:pStyle w:val="HChGA"/>
        <w:rPr>
          <w:rtl/>
          <w:lang w:val="en-US"/>
        </w:rPr>
      </w:pPr>
      <w:r w:rsidRPr="004F0EC4">
        <w:rPr>
          <w:rtl/>
          <w:lang w:val="en-US"/>
        </w:rPr>
        <w:tab/>
        <w:t>ثانيا</w:t>
      </w:r>
      <w:r w:rsidRPr="004F0EC4">
        <w:rPr>
          <w:rFonts w:hint="cs"/>
          <w:rtl/>
          <w:lang w:val="en-US"/>
        </w:rPr>
        <w:t>ً</w:t>
      </w:r>
      <w:r w:rsidRPr="004F0EC4">
        <w:rPr>
          <w:rtl/>
          <w:lang w:val="en-US"/>
        </w:rPr>
        <w:t>-</w:t>
      </w:r>
      <w:r w:rsidRPr="004F0EC4">
        <w:rPr>
          <w:rtl/>
          <w:lang w:val="en-US"/>
        </w:rPr>
        <w:tab/>
        <w:t>الغرض والالتزامات العامة</w:t>
      </w:r>
    </w:p>
    <w:p w14:paraId="4191707B" w14:textId="77777777" w:rsidR="00C00FE8" w:rsidRPr="004F0EC4" w:rsidRDefault="00C00FE8" w:rsidP="00C00FE8">
      <w:pPr>
        <w:pStyle w:val="SingleTxtGA"/>
        <w:spacing w:line="350" w:lineRule="exact"/>
      </w:pPr>
      <w:r w:rsidRPr="004F0EC4">
        <w:rPr>
          <w:rtl/>
        </w:rPr>
        <w:t>9-</w:t>
      </w:r>
      <w:r w:rsidRPr="004F0EC4">
        <w:rPr>
          <w:rtl/>
        </w:rPr>
        <w:tab/>
        <w:t xml:space="preserve">في آب/أغسطس 2020، أُنشئت اللجنة الدائمة لشؤون كبار السن والأشخاص ذوي الإعاقة التي تتبع مجلس </w:t>
      </w:r>
      <w:proofErr w:type="gramStart"/>
      <w:r w:rsidRPr="004F0EC4">
        <w:rPr>
          <w:rtl/>
        </w:rPr>
        <w:t>النواب</w:t>
      </w:r>
      <w:r w:rsidRPr="004F0EC4">
        <w:rPr>
          <w:vertAlign w:val="superscript"/>
          <w:rtl/>
        </w:rPr>
        <w:t>(</w:t>
      </w:r>
      <w:proofErr w:type="gramEnd"/>
      <w:r w:rsidRPr="004F0EC4">
        <w:rPr>
          <w:vertAlign w:val="superscript"/>
          <w:rtl/>
        </w:rPr>
        <w:footnoteReference w:id="6"/>
      </w:r>
      <w:r w:rsidRPr="004F0EC4">
        <w:rPr>
          <w:vertAlign w:val="superscript"/>
          <w:rtl/>
        </w:rPr>
        <w:t>)</w:t>
      </w:r>
      <w:r w:rsidRPr="004F0EC4">
        <w:rPr>
          <w:rtl/>
        </w:rPr>
        <w:t xml:space="preserve"> بهدف الإشراف على إقرار مشاريع </w:t>
      </w:r>
      <w:proofErr w:type="gramStart"/>
      <w:r w:rsidRPr="004F0EC4">
        <w:rPr>
          <w:rtl/>
        </w:rPr>
        <w:t>القوانين</w:t>
      </w:r>
      <w:r w:rsidRPr="004F0EC4">
        <w:rPr>
          <w:vertAlign w:val="superscript"/>
          <w:rtl/>
        </w:rPr>
        <w:t>(</w:t>
      </w:r>
      <w:proofErr w:type="gramEnd"/>
      <w:r w:rsidRPr="004F0EC4">
        <w:rPr>
          <w:vertAlign w:val="superscript"/>
          <w:rtl/>
        </w:rPr>
        <w:footnoteReference w:id="7"/>
      </w:r>
      <w:r w:rsidRPr="004F0EC4">
        <w:rPr>
          <w:vertAlign w:val="superscript"/>
          <w:rtl/>
        </w:rPr>
        <w:t>)</w:t>
      </w:r>
      <w:r w:rsidRPr="004F0EC4">
        <w:rPr>
          <w:rtl/>
        </w:rPr>
        <w:t xml:space="preserve"> المتعلقة بقضايا الإعاقة والشيخوخة، وضمان إجراء مراجعة أكثر تخصصاً لمشاريع التشريعات في هذين المجالين.</w:t>
      </w:r>
    </w:p>
    <w:p w14:paraId="0394F1B5" w14:textId="2345D5EF" w:rsidR="00C00FE8" w:rsidRPr="004F0EC4" w:rsidRDefault="00C00FE8" w:rsidP="00C00FE8">
      <w:pPr>
        <w:pStyle w:val="SingleTxtGA"/>
        <w:spacing w:line="350" w:lineRule="exact"/>
      </w:pPr>
      <w:r w:rsidRPr="004F0EC4">
        <w:rPr>
          <w:rtl/>
        </w:rPr>
        <w:t>10-</w:t>
      </w:r>
      <w:r w:rsidRPr="004F0EC4">
        <w:rPr>
          <w:rtl/>
        </w:rPr>
        <w:tab/>
        <w:t xml:space="preserve">وتُعد الدائرة الوطنية لشؤون الأشخاص ذوي الإعاقة مصدراً للمشورة المتخصصة فيما يتعلق باعتماد مشاريع القوانين المتعلقة بحقوق الأشخاص ذوي الإعاقة، وتضطلع بدور فعال في صياغتها ومراجعتها. كما تساهم في صياغة هذه القوانين، بالتعاون مع وزارة التنمية الاجتماعية وخدمات الأسرة، لضمان أن تتضمن منظوراً يراعي احتياجات الأشخاص ذوي الإعاقة ويستند إلى حقوق </w:t>
      </w:r>
      <w:proofErr w:type="gramStart"/>
      <w:r w:rsidRPr="004F0EC4">
        <w:rPr>
          <w:rtl/>
        </w:rPr>
        <w:t>الإنسان</w:t>
      </w:r>
      <w:r w:rsidRPr="004F0EC4">
        <w:rPr>
          <w:vertAlign w:val="superscript"/>
          <w:rtl/>
        </w:rPr>
        <w:t>(</w:t>
      </w:r>
      <w:proofErr w:type="gramEnd"/>
      <w:r w:rsidRPr="004F0EC4">
        <w:rPr>
          <w:vertAlign w:val="superscript"/>
          <w:rtl/>
        </w:rPr>
        <w:footnoteReference w:id="8"/>
      </w:r>
      <w:r w:rsidRPr="004F0EC4">
        <w:rPr>
          <w:vertAlign w:val="superscript"/>
          <w:rtl/>
        </w:rPr>
        <w:t>)</w:t>
      </w:r>
      <w:r w:rsidRPr="004F0EC4">
        <w:rPr>
          <w:rtl/>
        </w:rPr>
        <w:t>، وأن</w:t>
      </w:r>
      <w:r w:rsidR="0009457A" w:rsidRPr="004F0EC4">
        <w:rPr>
          <w:rFonts w:hint="cs"/>
          <w:rtl/>
        </w:rPr>
        <w:t> </w:t>
      </w:r>
      <w:r w:rsidRPr="004F0EC4">
        <w:rPr>
          <w:rtl/>
        </w:rPr>
        <w:t xml:space="preserve">تستخدم المصطلحات </w:t>
      </w:r>
      <w:proofErr w:type="gramStart"/>
      <w:r w:rsidRPr="004F0EC4">
        <w:rPr>
          <w:rtl/>
        </w:rPr>
        <w:t>الصحيحة</w:t>
      </w:r>
      <w:r w:rsidRPr="004F0EC4">
        <w:rPr>
          <w:vertAlign w:val="superscript"/>
          <w:rtl/>
        </w:rPr>
        <w:t>(</w:t>
      </w:r>
      <w:proofErr w:type="gramEnd"/>
      <w:r w:rsidRPr="004F0EC4">
        <w:rPr>
          <w:vertAlign w:val="superscript"/>
          <w:rtl/>
        </w:rPr>
        <w:footnoteReference w:id="9"/>
      </w:r>
      <w:r w:rsidRPr="004F0EC4">
        <w:rPr>
          <w:vertAlign w:val="superscript"/>
          <w:rtl/>
        </w:rPr>
        <w:t>)</w:t>
      </w:r>
      <w:r w:rsidRPr="004F0EC4">
        <w:rPr>
          <w:rtl/>
        </w:rPr>
        <w:t>.</w:t>
      </w:r>
    </w:p>
    <w:p w14:paraId="04096A20" w14:textId="2EA4AA79" w:rsidR="00C00FE8" w:rsidRPr="004F0EC4" w:rsidRDefault="00C00FE8" w:rsidP="00C00FE8">
      <w:pPr>
        <w:pStyle w:val="SingleTxtGA"/>
        <w:spacing w:line="350" w:lineRule="exact"/>
      </w:pPr>
      <w:r w:rsidRPr="004F0EC4">
        <w:rPr>
          <w:rtl/>
        </w:rPr>
        <w:t>11-</w:t>
      </w:r>
      <w:r w:rsidRPr="004F0EC4">
        <w:rPr>
          <w:rtl/>
        </w:rPr>
        <w:tab/>
        <w:t>وفيما يتعلق بتصنيف الإعاقة وإصدار الشهادات المتعلقة بها، قامت وزارة الصحة بتعزيز قدرات الوحدات المعنية بشؤون الإعاقة التابعة للجان الطب الوقائي والإعاقة في الأمانات العامة ال</w:t>
      </w:r>
      <w:r w:rsidRPr="004F0EC4">
        <w:rPr>
          <w:rFonts w:hint="cs"/>
          <w:rtl/>
        </w:rPr>
        <w:t>‍</w:t>
      </w:r>
      <w:r w:rsidRPr="004F0EC4">
        <w:rPr>
          <w:rtl/>
        </w:rPr>
        <w:t xml:space="preserve"> 16 التابعة</w:t>
      </w:r>
      <w:r w:rsidRPr="004F0EC4">
        <w:rPr>
          <w:rFonts w:hint="cs"/>
          <w:rtl/>
        </w:rPr>
        <w:t> </w:t>
      </w:r>
      <w:r w:rsidRPr="004F0EC4">
        <w:rPr>
          <w:rtl/>
        </w:rPr>
        <w:t xml:space="preserve">للوزارة. يوجد 27 وحدة معنية بشؤون الإعاقة، يعمل بها أفرقة متعددة التخصصات، ويبلغ إجمالي عدد المهنيين العاملين في مجال تصنيف الإعاقة وإصدار الشهادات على الصعيد الوطني 116 شخصاً، </w:t>
      </w:r>
      <w:r w:rsidRPr="004F0EC4">
        <w:rPr>
          <w:spacing w:val="2"/>
          <w:rtl/>
        </w:rPr>
        <w:t>وتتمتع هذه الوحدات بميزانية سنوية متجددة. وفي عام 2017، أُدرجت شهادة الإعاقة في نظام إدارة</w:t>
      </w:r>
      <w:r w:rsidRPr="004F0EC4">
        <w:rPr>
          <w:rFonts w:hint="cs"/>
          <w:spacing w:val="2"/>
          <w:rtl/>
        </w:rPr>
        <w:t> </w:t>
      </w:r>
      <w:r w:rsidRPr="004F0EC4">
        <w:rPr>
          <w:spacing w:val="2"/>
          <w:rtl/>
        </w:rPr>
        <w:t xml:space="preserve">الجودة </w:t>
      </w:r>
      <w:r w:rsidRPr="004F0EC4">
        <w:rPr>
          <w:spacing w:val="2"/>
        </w:rPr>
        <w:t>ISO 9001-2015</w:t>
      </w:r>
      <w:r w:rsidRPr="004F0EC4">
        <w:rPr>
          <w:spacing w:val="2"/>
          <w:rtl/>
        </w:rPr>
        <w:t xml:space="preserve"> التابع لمكتب وكيل وزارة الصحة، ما أدى إلى تحسينات مستمرة في الخدمة ساهمت في تسهيل الالتزام بالمواعيد القانونية المحددة لتصنيف الإعاقة وإصدار الشهادات، وتوحيد</w:t>
      </w:r>
      <w:r w:rsidRPr="004F0EC4">
        <w:rPr>
          <w:rFonts w:hint="cs"/>
          <w:spacing w:val="2"/>
          <w:rtl/>
        </w:rPr>
        <w:t> </w:t>
      </w:r>
      <w:r w:rsidRPr="004F0EC4">
        <w:rPr>
          <w:spacing w:val="2"/>
          <w:rtl/>
        </w:rPr>
        <w:t>البروتوكولات والإجراءات بما يتوافق مع اللوائح، وتحقيق نتائج قابلة للقياس.</w:t>
      </w:r>
      <w:r w:rsidRPr="004F0EC4">
        <w:rPr>
          <w:rtl/>
        </w:rPr>
        <w:t xml:space="preserve"> </w:t>
      </w:r>
      <w:r w:rsidR="0009457A" w:rsidRPr="004F0EC4">
        <w:rPr>
          <w:rFonts w:hint="cs"/>
          <w:rtl/>
        </w:rPr>
        <w:t xml:space="preserve">                      </w:t>
      </w:r>
      <w:r w:rsidRPr="004F0EC4">
        <w:rPr>
          <w:rtl/>
        </w:rPr>
        <w:lastRenderedPageBreak/>
        <w:t xml:space="preserve">وفي عام 2018، اعتُمد نظام مؤسسي لحفظ السجلات الإحصائية يعمل على تجميع التقارير وقياس المؤشرات على أساس شهري </w:t>
      </w:r>
      <w:r w:rsidRPr="004F0EC4">
        <w:rPr>
          <w:spacing w:val="-4"/>
          <w:rtl/>
        </w:rPr>
        <w:t>وسنوي وإقليمي لكل لجنة من لجان الطب الوقائي والإعاقة المعنية بعملية تصنيف الإعاقة وإصدار الشهادات</w:t>
      </w:r>
      <w:r w:rsidRPr="004F0EC4">
        <w:rPr>
          <w:rtl/>
        </w:rPr>
        <w:t xml:space="preserve">. </w:t>
      </w:r>
      <w:r w:rsidRPr="004F0EC4">
        <w:rPr>
          <w:spacing w:val="-4"/>
          <w:rtl/>
        </w:rPr>
        <w:t>وتشمل المتغيرات المشمولة بالرصد الجنس والسن وسبب الإعاقة ودرجتها وعدد التقييمات التي أجرتها وحدات</w:t>
      </w:r>
      <w:r w:rsidRPr="004F0EC4">
        <w:rPr>
          <w:rtl/>
        </w:rPr>
        <w:t xml:space="preserve"> تصنيف الإعاقة في المنطقة المعنية.</w:t>
      </w:r>
    </w:p>
    <w:p w14:paraId="7838F808" w14:textId="16CF8FE5" w:rsidR="00C00FE8" w:rsidRPr="004F0EC4" w:rsidRDefault="00C00FE8" w:rsidP="00C00FE8">
      <w:pPr>
        <w:pStyle w:val="SingleTxtGA"/>
        <w:rPr>
          <w:rtl/>
        </w:rPr>
      </w:pPr>
      <w:r w:rsidRPr="004F0EC4">
        <w:rPr>
          <w:rtl/>
        </w:rPr>
        <w:t>12-</w:t>
      </w:r>
      <w:r w:rsidRPr="004F0EC4">
        <w:rPr>
          <w:rtl/>
        </w:rPr>
        <w:tab/>
        <w:t xml:space="preserve">وفي الفترة من عام 2016 إلى عام 2019، نظمت الوحدات المعنية بشؤون الإعاقة التابعة للجان الطب الوقائي والإعاقة 94 حلقة عمل حول نظام تصنيف الإعاقة وإصدار الشهادات، قدمت فيها تدريبات بشأن كيفية استخدامه لما يعادل 000 </w:t>
      </w:r>
      <w:r w:rsidR="00A27310" w:rsidRPr="004F0EC4">
        <w:rPr>
          <w:rtl/>
        </w:rPr>
        <w:t>2</w:t>
      </w:r>
      <w:r w:rsidR="00A27310" w:rsidRPr="004F0EC4">
        <w:rPr>
          <w:rFonts w:hint="cs"/>
          <w:rtl/>
        </w:rPr>
        <w:t xml:space="preserve"> </w:t>
      </w:r>
      <w:r w:rsidRPr="004F0EC4">
        <w:rPr>
          <w:rtl/>
        </w:rPr>
        <w:t xml:space="preserve">من المهنيين العاملين في مجال الرعاية الصحية في جميع أنحاء البلد. وبصورة عامة، استندت 57 في </w:t>
      </w:r>
      <w:proofErr w:type="gramStart"/>
      <w:r w:rsidRPr="004F0EC4">
        <w:rPr>
          <w:rtl/>
        </w:rPr>
        <w:t>المائة</w:t>
      </w:r>
      <w:proofErr w:type="gramEnd"/>
      <w:r w:rsidRPr="004F0EC4">
        <w:rPr>
          <w:rtl/>
        </w:rPr>
        <w:t xml:space="preserve"> من الشهادات الصادرة في الفترة من عام 2018 إلى عام 2021 إلى تقييمات أجرتها الوحدات الإقليمية المعنية بشؤون الإعاقة وإصدار الشهادات. وتحولت عملية إصدار الشهادات إلى النظام الرقمي أثناء فترة </w:t>
      </w:r>
      <w:proofErr w:type="gramStart"/>
      <w:r w:rsidRPr="004F0EC4">
        <w:rPr>
          <w:rtl/>
        </w:rPr>
        <w:t>الجائحة</w:t>
      </w:r>
      <w:r w:rsidRPr="004F0EC4">
        <w:rPr>
          <w:vertAlign w:val="superscript"/>
          <w:rtl/>
        </w:rPr>
        <w:t>(</w:t>
      </w:r>
      <w:proofErr w:type="gramEnd"/>
      <w:r w:rsidRPr="004F0EC4">
        <w:rPr>
          <w:vertAlign w:val="superscript"/>
          <w:rtl/>
        </w:rPr>
        <w:footnoteReference w:id="10"/>
      </w:r>
      <w:r w:rsidRPr="004F0EC4">
        <w:rPr>
          <w:vertAlign w:val="superscript"/>
          <w:rtl/>
        </w:rPr>
        <w:t>)</w:t>
      </w:r>
      <w:r w:rsidRPr="004F0EC4">
        <w:rPr>
          <w:rtl/>
        </w:rPr>
        <w:t>.</w:t>
      </w:r>
    </w:p>
    <w:p w14:paraId="3C9043C4" w14:textId="4B3FC6EC" w:rsidR="00C00FE8" w:rsidRPr="004F0EC4" w:rsidRDefault="00C00FE8" w:rsidP="00C00FE8">
      <w:pPr>
        <w:pStyle w:val="SingleTxtGA"/>
        <w:rPr>
          <w:rtl/>
        </w:rPr>
      </w:pPr>
      <w:r w:rsidRPr="004F0EC4">
        <w:rPr>
          <w:rtl/>
        </w:rPr>
        <w:t>13-</w:t>
      </w:r>
      <w:r w:rsidRPr="004F0EC4">
        <w:rPr>
          <w:rtl/>
        </w:rPr>
        <w:tab/>
      </w:r>
      <w:r w:rsidRPr="004F0EC4">
        <w:rPr>
          <w:spacing w:val="-2"/>
          <w:rtl/>
        </w:rPr>
        <w:t xml:space="preserve">وتعمل </w:t>
      </w:r>
      <w:r w:rsidR="00A27310" w:rsidRPr="004F0EC4">
        <w:rPr>
          <w:spacing w:val="-2"/>
          <w:rtl/>
        </w:rPr>
        <w:t xml:space="preserve">الدائرة </w:t>
      </w:r>
      <w:r w:rsidRPr="004F0EC4">
        <w:rPr>
          <w:spacing w:val="-2"/>
          <w:rtl/>
        </w:rPr>
        <w:t>الوطنية لشؤون الأشخاص ذوي الإعاقة منذ عام 2019 على وضع الخطة الوطنية لتصنيف الإعاقة وإصدار الشهادات. وتقوم في هذا الإطار بمراجعة وتعديل إجراءات التصنيف وإصدار الشهادات بهدف تحسين الإدارة وزيادة الوعي. وأُجريت دراسة استقصائية تحليلية استندت إلى حوار شامل</w:t>
      </w:r>
      <w:r w:rsidRPr="004F0EC4">
        <w:rPr>
          <w:rtl/>
        </w:rPr>
        <w:t xml:space="preserve"> دُعي للمشاركة فيه الأشخاص ذوو الإعاقة وممثلو المؤسسات المسؤولة عن عملية التصنيف والتصديق أو</w:t>
      </w:r>
      <w:r w:rsidRPr="004F0EC4">
        <w:rPr>
          <w:rFonts w:hint="cs"/>
          <w:rtl/>
        </w:rPr>
        <w:t> </w:t>
      </w:r>
      <w:r w:rsidRPr="004F0EC4">
        <w:rPr>
          <w:rtl/>
        </w:rPr>
        <w:t xml:space="preserve">المشارِكة فيها، وذلك في 16 منطقة من مناطق البلد في الفترة من تشرين الأول/أكتوبر 2019 إلى شباط/فبراير 2020. ونُظم ما مجموعه 58 جلسة نقاش، منها 30 جلسة مع منظمات المجتمع المدني. وشارك في هذا الحدث ممثلو 164 منظمة من منظمات الأشخاص ذوي الإعاقة والمنظمات العاملة من </w:t>
      </w:r>
      <w:r w:rsidRPr="004F0EC4">
        <w:rPr>
          <w:spacing w:val="-2"/>
          <w:rtl/>
        </w:rPr>
        <w:t>أجلهم، بالإضافة إلى 575 فرداً، وساهم فيه 292 منهم. وبالإضافة إلى ذلك، نُظمت 32 مقابلة مع ممثلي</w:t>
      </w:r>
      <w:r w:rsidRPr="004F0EC4">
        <w:rPr>
          <w:rtl/>
        </w:rPr>
        <w:t xml:space="preserve"> منظمات الأشخاص ذوي الإعاقة والمنظمات العاملة من أجلهم ومع أشخاص ذوي إعاقة غير منتسبين إلى منظمة بعينها، ومُنحت الأولوية للبلديات الواقعة خارج العواصم الإقليمية.</w:t>
      </w:r>
    </w:p>
    <w:p w14:paraId="05848F99" w14:textId="77777777" w:rsidR="00C00FE8" w:rsidRPr="004F0EC4" w:rsidRDefault="00C00FE8" w:rsidP="00C00FE8">
      <w:pPr>
        <w:pStyle w:val="SingleTxtGA"/>
        <w:rPr>
          <w:rtl/>
        </w:rPr>
      </w:pPr>
      <w:r w:rsidRPr="004F0EC4">
        <w:rPr>
          <w:rtl/>
        </w:rPr>
        <w:t>14-</w:t>
      </w:r>
      <w:r w:rsidRPr="004F0EC4">
        <w:rPr>
          <w:spacing w:val="-2"/>
          <w:rtl/>
        </w:rPr>
        <w:tab/>
      </w:r>
      <w:r w:rsidRPr="004F0EC4">
        <w:rPr>
          <w:spacing w:val="2"/>
          <w:rtl/>
        </w:rPr>
        <w:t>ثم بدأ العمل على تصميم وتنفيذ التوجهات الاستراتيجية للخطة الوطنية لتصنيف الإعاقة وإصدار الشهادات، بالاعتماد على نتائج الدراسة. وتمثل أحد مسارات العمل في تعزيز الوعي بهذه</w:t>
      </w:r>
      <w:r w:rsidRPr="004F0EC4">
        <w:rPr>
          <w:rFonts w:hint="cs"/>
          <w:spacing w:val="2"/>
          <w:rtl/>
        </w:rPr>
        <w:t> </w:t>
      </w:r>
      <w:r w:rsidRPr="004F0EC4">
        <w:rPr>
          <w:spacing w:val="2"/>
          <w:rtl/>
        </w:rPr>
        <w:t>العملية، والسعي إلى إرساء ثقافة شاملة تُعالج في إطارها قضايا الإعاقة وتُزال الحواجز المرتبطة</w:t>
      </w:r>
      <w:r w:rsidRPr="004F0EC4">
        <w:rPr>
          <w:rFonts w:hint="cs"/>
          <w:spacing w:val="2"/>
          <w:rtl/>
        </w:rPr>
        <w:t> </w:t>
      </w:r>
      <w:r w:rsidRPr="004F0EC4">
        <w:rPr>
          <w:spacing w:val="2"/>
          <w:rtl/>
        </w:rPr>
        <w:t xml:space="preserve">بالوصم والتمييز. وصدر ستة عشر تقريراً إقليمياً وتقرير تشخيصي وطني </w:t>
      </w:r>
      <w:proofErr w:type="gramStart"/>
      <w:r w:rsidRPr="004F0EC4">
        <w:rPr>
          <w:spacing w:val="2"/>
          <w:rtl/>
        </w:rPr>
        <w:t>واحد</w:t>
      </w:r>
      <w:r w:rsidRPr="004F0EC4">
        <w:rPr>
          <w:spacing w:val="2"/>
          <w:vertAlign w:val="superscript"/>
          <w:rtl/>
        </w:rPr>
        <w:t>(</w:t>
      </w:r>
      <w:proofErr w:type="gramEnd"/>
      <w:r w:rsidRPr="004F0EC4">
        <w:rPr>
          <w:spacing w:val="2"/>
          <w:vertAlign w:val="superscript"/>
          <w:rtl/>
        </w:rPr>
        <w:footnoteReference w:id="11"/>
      </w:r>
      <w:r w:rsidRPr="004F0EC4">
        <w:rPr>
          <w:spacing w:val="2"/>
          <w:vertAlign w:val="superscript"/>
          <w:rtl/>
        </w:rPr>
        <w:t>)</w:t>
      </w:r>
      <w:r w:rsidRPr="004F0EC4">
        <w:rPr>
          <w:spacing w:val="2"/>
          <w:rtl/>
        </w:rPr>
        <w:t>. وأعد في حزيران/</w:t>
      </w:r>
      <w:proofErr w:type="gramStart"/>
      <w:r w:rsidRPr="004F0EC4">
        <w:rPr>
          <w:spacing w:val="2"/>
          <w:rtl/>
        </w:rPr>
        <w:t>يونيه</w:t>
      </w:r>
      <w:proofErr w:type="gramEnd"/>
      <w:r w:rsidRPr="004F0EC4">
        <w:rPr>
          <w:spacing w:val="2"/>
          <w:rtl/>
        </w:rPr>
        <w:t xml:space="preserve"> 2020 دليل إجرائي لعملية تصنيف الإعاقة وإصدار </w:t>
      </w:r>
      <w:proofErr w:type="gramStart"/>
      <w:r w:rsidRPr="004F0EC4">
        <w:rPr>
          <w:spacing w:val="2"/>
          <w:rtl/>
        </w:rPr>
        <w:t>الشهادات</w:t>
      </w:r>
      <w:r w:rsidRPr="004F0EC4">
        <w:rPr>
          <w:spacing w:val="2"/>
          <w:vertAlign w:val="superscript"/>
          <w:rtl/>
        </w:rPr>
        <w:t>(</w:t>
      </w:r>
      <w:proofErr w:type="gramEnd"/>
      <w:r w:rsidRPr="004F0EC4">
        <w:rPr>
          <w:spacing w:val="2"/>
          <w:vertAlign w:val="superscript"/>
          <w:rtl/>
        </w:rPr>
        <w:footnoteReference w:id="12"/>
      </w:r>
      <w:r w:rsidRPr="004F0EC4">
        <w:rPr>
          <w:spacing w:val="2"/>
          <w:vertAlign w:val="superscript"/>
          <w:rtl/>
        </w:rPr>
        <w:t>)</w:t>
      </w:r>
      <w:r w:rsidRPr="004F0EC4">
        <w:rPr>
          <w:spacing w:val="2"/>
          <w:rtl/>
        </w:rPr>
        <w:t>، بالتعاون مع مكتب اللجنة الوطنية للطب الوقائي والإعاقة. ويقدم هذا الدليل إرشادات من شأنها توحيد إجراءات التصنيف وإصدار الشهادات، مع حماية حقوق الأشخاص ذوي الإعاقة وضمان امتثال لقانون رقم 20-422</w:t>
      </w:r>
      <w:r w:rsidRPr="004F0EC4">
        <w:rPr>
          <w:spacing w:val="2"/>
          <w:vertAlign w:val="superscript"/>
          <w:rtl/>
        </w:rPr>
        <w:t>(</w:t>
      </w:r>
      <w:r w:rsidRPr="004F0EC4">
        <w:rPr>
          <w:spacing w:val="2"/>
          <w:vertAlign w:val="superscript"/>
          <w:rtl/>
        </w:rPr>
        <w:footnoteReference w:id="13"/>
      </w:r>
      <w:r w:rsidRPr="004F0EC4">
        <w:rPr>
          <w:spacing w:val="2"/>
          <w:vertAlign w:val="superscript"/>
          <w:rtl/>
        </w:rPr>
        <w:t>)</w:t>
      </w:r>
      <w:r w:rsidRPr="004F0EC4">
        <w:rPr>
          <w:spacing w:val="2"/>
          <w:rtl/>
        </w:rPr>
        <w:t xml:space="preserve"> </w:t>
      </w:r>
      <w:r w:rsidRPr="004F0EC4">
        <w:rPr>
          <w:spacing w:val="-2"/>
          <w:rtl/>
        </w:rPr>
        <w:t>والمرسوم رقم 47</w:t>
      </w:r>
      <w:r w:rsidRPr="004F0EC4">
        <w:rPr>
          <w:spacing w:val="-2"/>
          <w:vertAlign w:val="superscript"/>
          <w:rtl/>
        </w:rPr>
        <w:t>(</w:t>
      </w:r>
      <w:r w:rsidRPr="004F0EC4">
        <w:rPr>
          <w:spacing w:val="-2"/>
          <w:vertAlign w:val="superscript"/>
          <w:rtl/>
        </w:rPr>
        <w:footnoteReference w:id="14"/>
      </w:r>
      <w:r w:rsidRPr="004F0EC4">
        <w:rPr>
          <w:spacing w:val="-2"/>
          <w:vertAlign w:val="superscript"/>
          <w:rtl/>
        </w:rPr>
        <w:t>)</w:t>
      </w:r>
      <w:r w:rsidRPr="004F0EC4">
        <w:rPr>
          <w:spacing w:val="-2"/>
          <w:rtl/>
        </w:rPr>
        <w:t>. وفي تشرين الأول/أكتوبر 2021، نظم مكتب اللجنة الوطنية للطب الوقائي والإعاقة،</w:t>
      </w:r>
      <w:r w:rsidRPr="004F0EC4">
        <w:rPr>
          <w:spacing w:val="2"/>
          <w:rtl/>
        </w:rPr>
        <w:t xml:space="preserve"> </w:t>
      </w:r>
      <w:r w:rsidRPr="004F0EC4">
        <w:rPr>
          <w:spacing w:val="-2"/>
          <w:rtl/>
        </w:rPr>
        <w:t>بالتعاون مع المنصة الرقمية الخاصة بالمستشفيات لخدمات الطب عن بُعد، أربع جلسات لتبادل المعلومات</w:t>
      </w:r>
      <w:r w:rsidRPr="004F0EC4">
        <w:rPr>
          <w:spacing w:val="2"/>
          <w:rtl/>
        </w:rPr>
        <w:t xml:space="preserve"> </w:t>
      </w:r>
      <w:r w:rsidRPr="004F0EC4">
        <w:rPr>
          <w:spacing w:val="-2"/>
          <w:rtl/>
        </w:rPr>
        <w:t>بهدف تعزيز الإلمام بعملية التصنيف وإصدار الشهادات المحدثة، وقد حضر هذه الجلسات 200 1 شخصاً</w:t>
      </w:r>
      <w:r w:rsidRPr="004F0EC4">
        <w:rPr>
          <w:spacing w:val="2"/>
          <w:rtl/>
        </w:rPr>
        <w:t xml:space="preserve"> من مختلف أنحاء البلد.</w:t>
      </w:r>
    </w:p>
    <w:p w14:paraId="49858872" w14:textId="59BA2931" w:rsidR="00C00FE8" w:rsidRPr="004F0EC4" w:rsidRDefault="00C00FE8" w:rsidP="00C00FE8">
      <w:pPr>
        <w:pStyle w:val="SingleTxtGA"/>
      </w:pPr>
      <w:r w:rsidRPr="004F0EC4">
        <w:rPr>
          <w:rtl/>
        </w:rPr>
        <w:lastRenderedPageBreak/>
        <w:t>15-</w:t>
      </w:r>
      <w:r w:rsidRPr="004F0EC4">
        <w:rPr>
          <w:rtl/>
        </w:rPr>
        <w:tab/>
        <w:t xml:space="preserve">ودعماً لتنفيذ الخطة الوطنية لتصنيف الإعاقة وإصدار الشهادات، نُظمت في عام 2022 دورات تدريبية عن بُعد كانت متاحة على الصعيد الوطني بهدف تبادل المعلومات مع الأشخاص ذوي الإعاقة </w:t>
      </w:r>
      <w:r w:rsidRPr="004F0EC4">
        <w:rPr>
          <w:spacing w:val="-2"/>
          <w:rtl/>
        </w:rPr>
        <w:t>وتشجيعهم على التسجيل في السجل الوطني للإعاقة. وفي الفترة من نيسان/أبريل إلى آب/أغسطس 2022،</w:t>
      </w:r>
      <w:r w:rsidRPr="004F0EC4">
        <w:rPr>
          <w:rtl/>
        </w:rPr>
        <w:t xml:space="preserve"> نظمت 19 حلقة عمل، حضرها نحو 000 1 شخص، في إطار حملة </w:t>
      </w:r>
      <w:r w:rsidR="00E22186" w:rsidRPr="004F0EC4">
        <w:rPr>
          <w:rFonts w:hint="cs"/>
          <w:rtl/>
        </w:rPr>
        <w:t>"</w:t>
      </w:r>
      <w:r w:rsidRPr="004F0EC4">
        <w:rPr>
          <w:rtl/>
        </w:rPr>
        <w:t>قراري ومؤهلاتي</w:t>
      </w:r>
      <w:r w:rsidR="00E22186" w:rsidRPr="004F0EC4">
        <w:rPr>
          <w:rFonts w:hint="cs"/>
          <w:rtl/>
        </w:rPr>
        <w:t>"</w:t>
      </w:r>
      <w:r w:rsidRPr="004F0EC4">
        <w:rPr>
          <w:vertAlign w:val="superscript"/>
          <w:rtl/>
        </w:rPr>
        <w:t>(</w:t>
      </w:r>
      <w:r w:rsidRPr="004F0EC4">
        <w:rPr>
          <w:vertAlign w:val="superscript"/>
          <w:rtl/>
        </w:rPr>
        <w:footnoteReference w:id="15"/>
      </w:r>
      <w:r w:rsidRPr="004F0EC4">
        <w:rPr>
          <w:vertAlign w:val="superscript"/>
          <w:rtl/>
        </w:rPr>
        <w:t>)</w:t>
      </w:r>
      <w:r w:rsidRPr="004F0EC4">
        <w:rPr>
          <w:rtl/>
        </w:rPr>
        <w:t>.</w:t>
      </w:r>
    </w:p>
    <w:p w14:paraId="22D0492B" w14:textId="77777777" w:rsidR="00C00FE8" w:rsidRPr="004F0EC4" w:rsidRDefault="00C00FE8" w:rsidP="00C00FE8">
      <w:pPr>
        <w:pStyle w:val="SingleTxtGA"/>
        <w:rPr>
          <w:rtl/>
        </w:rPr>
      </w:pPr>
      <w:r w:rsidRPr="004F0EC4">
        <w:rPr>
          <w:rtl/>
        </w:rPr>
        <w:t>16-</w:t>
      </w:r>
      <w:r w:rsidRPr="004F0EC4">
        <w:rPr>
          <w:rtl/>
        </w:rPr>
        <w:tab/>
        <w:t>ونظمت الدائرة الوطنية لشؤون الأشخاص ذوي الإعاقة العديد من المشاورات العامة، ومن بينها: (أ) مشاورة عامة وطنية</w:t>
      </w:r>
      <w:r w:rsidRPr="004F0EC4">
        <w:rPr>
          <w:vertAlign w:val="superscript"/>
          <w:rtl/>
        </w:rPr>
        <w:t>(</w:t>
      </w:r>
      <w:r w:rsidRPr="004F0EC4">
        <w:rPr>
          <w:vertAlign w:val="superscript"/>
          <w:rtl/>
        </w:rPr>
        <w:footnoteReference w:id="16"/>
      </w:r>
      <w:r w:rsidRPr="004F0EC4">
        <w:rPr>
          <w:vertAlign w:val="superscript"/>
          <w:rtl/>
        </w:rPr>
        <w:t>)</w:t>
      </w:r>
      <w:r w:rsidRPr="004F0EC4">
        <w:rPr>
          <w:rtl/>
        </w:rPr>
        <w:t xml:space="preserve"> في عام 2017، في إطار تنفيذ القانون رقم 21-015</w:t>
      </w:r>
      <w:r w:rsidRPr="004F0EC4">
        <w:rPr>
          <w:vertAlign w:val="superscript"/>
          <w:rtl/>
        </w:rPr>
        <w:t>(</w:t>
      </w:r>
      <w:r w:rsidRPr="004F0EC4">
        <w:rPr>
          <w:vertAlign w:val="superscript"/>
          <w:rtl/>
        </w:rPr>
        <w:footnoteReference w:id="17"/>
      </w:r>
      <w:r w:rsidRPr="004F0EC4">
        <w:rPr>
          <w:vertAlign w:val="superscript"/>
          <w:rtl/>
        </w:rPr>
        <w:t>)</w:t>
      </w:r>
      <w:r w:rsidRPr="004F0EC4">
        <w:rPr>
          <w:rtl/>
        </w:rPr>
        <w:t xml:space="preserve"> ولوائحه</w:t>
      </w:r>
      <w:r w:rsidRPr="004F0EC4">
        <w:rPr>
          <w:vertAlign w:val="superscript"/>
          <w:rtl/>
        </w:rPr>
        <w:t>(</w:t>
      </w:r>
      <w:r w:rsidRPr="004F0EC4">
        <w:rPr>
          <w:vertAlign w:val="superscript"/>
          <w:rtl/>
        </w:rPr>
        <w:footnoteReference w:id="18"/>
      </w:r>
      <w:r w:rsidRPr="004F0EC4">
        <w:rPr>
          <w:vertAlign w:val="superscript"/>
          <w:rtl/>
        </w:rPr>
        <w:t>)</w:t>
      </w:r>
      <w:r w:rsidRPr="004F0EC4">
        <w:rPr>
          <w:rtl/>
        </w:rPr>
        <w:t xml:space="preserve">، وساهم فيها أعضاء في منظمات للأشخاص ذوي الإعاقة ومنظمات عاملة من أجلهم، وأعضاء في لجان المجتمع </w:t>
      </w:r>
      <w:r w:rsidRPr="004F0EC4">
        <w:rPr>
          <w:spacing w:val="-2"/>
          <w:rtl/>
        </w:rPr>
        <w:t>المدني التابعة للدائرة الوطنية لشؤون الأشخاص ذوي الإعاقة، سواء بالحضور المادي أو على</w:t>
      </w:r>
      <w:r w:rsidRPr="004F0EC4">
        <w:rPr>
          <w:rtl/>
        </w:rPr>
        <w:t xml:space="preserve"> </w:t>
      </w:r>
      <w:r w:rsidRPr="004F0EC4">
        <w:rPr>
          <w:spacing w:val="2"/>
          <w:rtl/>
        </w:rPr>
        <w:t>الإنترنت</w:t>
      </w:r>
      <w:r w:rsidRPr="004F0EC4">
        <w:rPr>
          <w:spacing w:val="2"/>
          <w:vertAlign w:val="superscript"/>
          <w:rtl/>
        </w:rPr>
        <w:t>(</w:t>
      </w:r>
      <w:r w:rsidRPr="004F0EC4">
        <w:rPr>
          <w:spacing w:val="2"/>
          <w:vertAlign w:val="superscript"/>
          <w:rtl/>
        </w:rPr>
        <w:footnoteReference w:id="19"/>
      </w:r>
      <w:r w:rsidRPr="004F0EC4">
        <w:rPr>
          <w:spacing w:val="2"/>
          <w:vertAlign w:val="superscript"/>
          <w:rtl/>
        </w:rPr>
        <w:t>)</w:t>
      </w:r>
      <w:r w:rsidRPr="004F0EC4">
        <w:rPr>
          <w:spacing w:val="2"/>
          <w:rtl/>
        </w:rPr>
        <w:t xml:space="preserve">؛ </w:t>
      </w:r>
      <w:r w:rsidRPr="004F0EC4">
        <w:rPr>
          <w:spacing w:val="-2"/>
          <w:rtl/>
        </w:rPr>
        <w:t>و(ب) مشاورات في عام 2017 لتحديث مجموعة وسائل المساعدة التقنية المتاحة</w:t>
      </w:r>
      <w:r w:rsidRPr="004F0EC4">
        <w:rPr>
          <w:spacing w:val="-2"/>
          <w:vertAlign w:val="superscript"/>
          <w:rtl/>
        </w:rPr>
        <w:t>(</w:t>
      </w:r>
      <w:r w:rsidRPr="004F0EC4">
        <w:rPr>
          <w:spacing w:val="-2"/>
          <w:vertAlign w:val="superscript"/>
          <w:rtl/>
        </w:rPr>
        <w:footnoteReference w:id="20"/>
      </w:r>
      <w:r w:rsidRPr="004F0EC4">
        <w:rPr>
          <w:spacing w:val="-2"/>
          <w:vertAlign w:val="superscript"/>
          <w:rtl/>
        </w:rPr>
        <w:t>)</w:t>
      </w:r>
      <w:r w:rsidRPr="004F0EC4">
        <w:rPr>
          <w:spacing w:val="-2"/>
          <w:rtl/>
        </w:rPr>
        <w:t>، ودعوة في عام 2018</w:t>
      </w:r>
      <w:r w:rsidRPr="004F0EC4">
        <w:rPr>
          <w:spacing w:val="2"/>
          <w:rtl/>
        </w:rPr>
        <w:t xml:space="preserve"> إلى تقديم مساهمات من الأشخاص ذوي الإعاقة وأفراد أسرهم ومقدمي الرعاية لهم والمهنيين العاملين في مجال الإعاقة</w:t>
      </w:r>
      <w:r w:rsidRPr="004F0EC4">
        <w:rPr>
          <w:spacing w:val="2"/>
          <w:vertAlign w:val="superscript"/>
          <w:rtl/>
        </w:rPr>
        <w:t>(</w:t>
      </w:r>
      <w:r w:rsidRPr="004F0EC4">
        <w:rPr>
          <w:spacing w:val="2"/>
          <w:vertAlign w:val="superscript"/>
          <w:rtl/>
        </w:rPr>
        <w:footnoteReference w:id="21"/>
      </w:r>
      <w:r w:rsidRPr="004F0EC4">
        <w:rPr>
          <w:spacing w:val="2"/>
          <w:vertAlign w:val="superscript"/>
          <w:rtl/>
        </w:rPr>
        <w:t>)</w:t>
      </w:r>
      <w:r w:rsidRPr="004F0EC4">
        <w:rPr>
          <w:spacing w:val="2"/>
          <w:rtl/>
        </w:rPr>
        <w:t>؛ و(ج) مشاورات</w:t>
      </w:r>
      <w:r w:rsidRPr="004F0EC4">
        <w:rPr>
          <w:spacing w:val="2"/>
          <w:vertAlign w:val="superscript"/>
          <w:rtl/>
        </w:rPr>
        <w:t>(</w:t>
      </w:r>
      <w:r w:rsidRPr="004F0EC4">
        <w:rPr>
          <w:spacing w:val="2"/>
          <w:vertAlign w:val="superscript"/>
          <w:rtl/>
        </w:rPr>
        <w:footnoteReference w:id="22"/>
      </w:r>
      <w:r w:rsidRPr="004F0EC4">
        <w:rPr>
          <w:spacing w:val="2"/>
          <w:vertAlign w:val="superscript"/>
          <w:rtl/>
        </w:rPr>
        <w:t>)</w:t>
      </w:r>
      <w:r w:rsidRPr="004F0EC4">
        <w:rPr>
          <w:spacing w:val="2"/>
          <w:rtl/>
        </w:rPr>
        <w:t xml:space="preserve"> في عام 2018 تتعلق بالدعوة العامة الأولى إلى تقديم طلبات الالتحاق ببرنامج الانتقال إلى العيش المستقل؛ و(د) مشاورات في عام 2021 لتقييم تنفيذ القانون </w:t>
      </w:r>
      <w:r w:rsidRPr="004F0EC4">
        <w:rPr>
          <w:spacing w:val="6"/>
          <w:rtl/>
        </w:rPr>
        <w:t>رقم</w:t>
      </w:r>
      <w:r w:rsidRPr="004F0EC4">
        <w:rPr>
          <w:rFonts w:hint="cs"/>
          <w:spacing w:val="6"/>
          <w:rtl/>
        </w:rPr>
        <w:t> </w:t>
      </w:r>
      <w:r w:rsidRPr="004F0EC4">
        <w:rPr>
          <w:spacing w:val="6"/>
          <w:rtl/>
        </w:rPr>
        <w:t>21-015</w:t>
      </w:r>
      <w:r w:rsidRPr="004F0EC4">
        <w:rPr>
          <w:spacing w:val="6"/>
          <w:vertAlign w:val="superscript"/>
          <w:rtl/>
        </w:rPr>
        <w:t>(</w:t>
      </w:r>
      <w:r w:rsidRPr="004F0EC4">
        <w:rPr>
          <w:spacing w:val="6"/>
          <w:vertAlign w:val="superscript"/>
          <w:rtl/>
        </w:rPr>
        <w:footnoteReference w:id="23"/>
      </w:r>
      <w:r w:rsidRPr="004F0EC4">
        <w:rPr>
          <w:spacing w:val="6"/>
          <w:vertAlign w:val="superscript"/>
          <w:rtl/>
        </w:rPr>
        <w:t>)</w:t>
      </w:r>
      <w:r w:rsidRPr="004F0EC4">
        <w:rPr>
          <w:spacing w:val="6"/>
          <w:rtl/>
        </w:rPr>
        <w:t>، وذلك امتثالاً للالتزام القانوني المنصوص عليه فيه، على أن يتبع</w:t>
      </w:r>
      <w:r w:rsidRPr="004F0EC4">
        <w:rPr>
          <w:rFonts w:hint="cs"/>
          <w:spacing w:val="6"/>
          <w:rtl/>
        </w:rPr>
        <w:t> </w:t>
      </w:r>
      <w:r w:rsidRPr="004F0EC4">
        <w:rPr>
          <w:spacing w:val="6"/>
          <w:rtl/>
        </w:rPr>
        <w:t>ذلك إعداد تقرير (انظر الفقرة 166)</w:t>
      </w:r>
      <w:r w:rsidRPr="004F0EC4">
        <w:rPr>
          <w:spacing w:val="6"/>
          <w:vertAlign w:val="superscript"/>
          <w:rtl/>
        </w:rPr>
        <w:t>(</w:t>
      </w:r>
      <w:r w:rsidRPr="004F0EC4">
        <w:rPr>
          <w:spacing w:val="6"/>
          <w:vertAlign w:val="superscript"/>
          <w:rtl/>
        </w:rPr>
        <w:footnoteReference w:id="24"/>
      </w:r>
      <w:r w:rsidRPr="004F0EC4">
        <w:rPr>
          <w:spacing w:val="6"/>
          <w:vertAlign w:val="superscript"/>
          <w:rtl/>
        </w:rPr>
        <w:t>)</w:t>
      </w:r>
      <w:r w:rsidRPr="004F0EC4">
        <w:rPr>
          <w:spacing w:val="6"/>
          <w:rtl/>
        </w:rPr>
        <w:t>. ورغم أن عنصري الإعاقة والأصل الأصلي لم يكونا من</w:t>
      </w:r>
      <w:r w:rsidRPr="004F0EC4">
        <w:rPr>
          <w:rFonts w:hint="cs"/>
          <w:spacing w:val="6"/>
          <w:rtl/>
        </w:rPr>
        <w:t> </w:t>
      </w:r>
      <w:r w:rsidRPr="004F0EC4">
        <w:rPr>
          <w:spacing w:val="6"/>
          <w:rtl/>
        </w:rPr>
        <w:t>بين المتغيرات التي أُخذت في الاعتبار أثناء المشاورات التي أُجريت مع الشعوب الأصلية، فإن خدمات وبرامج الوكالة الوطنية لتنمية الشعوب الأصلية تشمل منحاً تنافسية ومبادرات إنتاجية واجتماعية تُمنح فيها نقاط إضافية لأفراد الشعوب الأصلية ذوي الإعاقة الذين يعانون أوضاع الحرمان الاجتماعي والاقتصادي.</w:t>
      </w:r>
    </w:p>
    <w:p w14:paraId="2B93C29A" w14:textId="77777777" w:rsidR="00C00FE8" w:rsidRPr="004F0EC4" w:rsidRDefault="00C00FE8" w:rsidP="00C00FE8">
      <w:pPr>
        <w:pStyle w:val="SingleTxtGA"/>
      </w:pPr>
      <w:r w:rsidRPr="004F0EC4">
        <w:rPr>
          <w:rtl/>
        </w:rPr>
        <w:t>17-</w:t>
      </w:r>
      <w:r w:rsidRPr="004F0EC4">
        <w:rPr>
          <w:rtl/>
        </w:rPr>
        <w:tab/>
        <w:t>وقامت وزارة شؤون المرأة والمساواة بين الجنسين والهيئة الوطنية لشؤون المرأة والمساواة بين الجنسين بتشكيل لجان من المجتمع المدني تضم ممثلين عن المنظمات العاملة مع النساء ذوات الإعاقة ومن أجلهن.</w:t>
      </w:r>
    </w:p>
    <w:p w14:paraId="5E9D4876" w14:textId="00B00705" w:rsidR="00C00FE8" w:rsidRPr="004F0EC4" w:rsidRDefault="00C00FE8" w:rsidP="00C00FE8">
      <w:pPr>
        <w:pStyle w:val="SingleTxtGA"/>
      </w:pPr>
      <w:r w:rsidRPr="004F0EC4">
        <w:rPr>
          <w:rtl/>
        </w:rPr>
        <w:t>18-</w:t>
      </w:r>
      <w:r w:rsidRPr="004F0EC4">
        <w:rPr>
          <w:rtl/>
        </w:rPr>
        <w:tab/>
        <w:t xml:space="preserve">ولتيسير عمل منظمات المجتمع المدني، تعمل الدائرة الوطنية لشؤون الأشخاص ذوي الإعاقة، بالتعاون مع منظمة العمل الدولية، على وضع برنامج بعنوان </w:t>
      </w:r>
      <w:r w:rsidR="00E22186" w:rsidRPr="004F0EC4">
        <w:rPr>
          <w:rFonts w:hint="cs"/>
          <w:rtl/>
        </w:rPr>
        <w:t>"</w:t>
      </w:r>
      <w:r w:rsidRPr="004F0EC4">
        <w:rPr>
          <w:rtl/>
        </w:rPr>
        <w:t>زيادة الإدماج. تعلم كيفية الإدماج</w:t>
      </w:r>
      <w:r w:rsidR="00E22186" w:rsidRPr="004F0EC4">
        <w:rPr>
          <w:rFonts w:hint="cs"/>
          <w:rtl/>
        </w:rPr>
        <w:t>"</w:t>
      </w:r>
      <w:r w:rsidRPr="004F0EC4">
        <w:rPr>
          <w:vertAlign w:val="superscript"/>
          <w:rtl/>
        </w:rPr>
        <w:t>(</w:t>
      </w:r>
      <w:r w:rsidRPr="004F0EC4">
        <w:rPr>
          <w:vertAlign w:val="superscript"/>
          <w:rtl/>
        </w:rPr>
        <w:footnoteReference w:id="25"/>
      </w:r>
      <w:r w:rsidRPr="004F0EC4">
        <w:rPr>
          <w:vertAlign w:val="superscript"/>
          <w:rtl/>
        </w:rPr>
        <w:t>)</w:t>
      </w:r>
      <w:r w:rsidRPr="004F0EC4">
        <w:rPr>
          <w:rtl/>
        </w:rPr>
        <w:t xml:space="preserve"> </w:t>
      </w:r>
      <w:r w:rsidRPr="004F0EC4">
        <w:rPr>
          <w:rtl/>
        </w:rPr>
        <w:lastRenderedPageBreak/>
        <w:t>يهدف إلى تعزيز الممارسات الشاملة لدى الجهات الحكومية والمجتمع المدني والقطاع الخاص.</w:t>
      </w:r>
      <w:r w:rsidRPr="004F0EC4">
        <w:rPr>
          <w:rFonts w:hint="cs"/>
          <w:rtl/>
        </w:rPr>
        <w:t xml:space="preserve">       </w:t>
      </w:r>
      <w:r w:rsidRPr="004F0EC4">
        <w:rPr>
          <w:rtl/>
        </w:rPr>
        <w:t xml:space="preserve"> وفي عام 2020، أُجريت دراسة استقصائية حول فضاءات الدعوة ومنصات مشاركة المواطنين لتقييم مدى إشراكها للأشخاص ذوي الإعاقة، بالاستناد إلى البيانات الوطنية والتجارب الدولية على السواء. وأنشئت صفحة شبكية تتضمن موارد تدريبية متنوعة (</w:t>
      </w:r>
      <w:hyperlink r:id="rId9" w:history="1">
        <w:r w:rsidRPr="004F0EC4">
          <w:rPr>
            <w:rStyle w:val="Hyperlink"/>
          </w:rPr>
          <w:t>https://masinclusion.org/</w:t>
        </w:r>
      </w:hyperlink>
      <w:r w:rsidRPr="004F0EC4">
        <w:rPr>
          <w:rtl/>
        </w:rPr>
        <w:t xml:space="preserve">)، كما نُظمت اجتماعات موائد مستديرة في منطقة العاصمة </w:t>
      </w:r>
      <w:proofErr w:type="spellStart"/>
      <w:r w:rsidRPr="004F0EC4">
        <w:rPr>
          <w:rtl/>
        </w:rPr>
        <w:t>وماولي</w:t>
      </w:r>
      <w:proofErr w:type="spellEnd"/>
      <w:r w:rsidRPr="004F0EC4">
        <w:rPr>
          <w:rtl/>
        </w:rPr>
        <w:t xml:space="preserve"> بهدف وضع خطة للدعوة يشارك فيها كل من القطاعين العام والخاص والمجتمع المدني والنقابات العمالية وتصميم استراتيجية اتصالات لتوعية الجمهور وتبادل المعلومات حول البرنامج. وفي عامي 2021 و2022، نظمت الدائرة دورة تدريبية بشأن تنمية المهارات اللازمة للمشاركة والشراكة من أجل تعزيز إدماج الأشخاص ذوي الإعاقة. وقد صُممت هذه الدورة لتوفير أدوات ومعارف عملية، وركزت على تعزيز لجان المجتمع المدني الإقليمية.</w:t>
      </w:r>
    </w:p>
    <w:p w14:paraId="52F1D1C0" w14:textId="77777777" w:rsidR="00C00FE8" w:rsidRPr="004F0EC4" w:rsidRDefault="00C00FE8" w:rsidP="00C00FE8">
      <w:pPr>
        <w:pStyle w:val="HChGA"/>
        <w:rPr>
          <w:lang w:val="en-US"/>
        </w:rPr>
      </w:pPr>
      <w:r w:rsidRPr="004F0EC4">
        <w:rPr>
          <w:rtl/>
          <w:lang w:val="en-US"/>
        </w:rPr>
        <w:tab/>
        <w:t>ثالثا</w:t>
      </w:r>
      <w:r w:rsidRPr="004F0EC4">
        <w:rPr>
          <w:rFonts w:hint="cs"/>
          <w:rtl/>
          <w:lang w:val="en-US"/>
        </w:rPr>
        <w:t>ً</w:t>
      </w:r>
      <w:r w:rsidRPr="004F0EC4">
        <w:rPr>
          <w:rtl/>
          <w:lang w:val="en-US"/>
        </w:rPr>
        <w:t>-</w:t>
      </w:r>
      <w:r w:rsidRPr="004F0EC4">
        <w:rPr>
          <w:rtl/>
          <w:lang w:val="en-US"/>
        </w:rPr>
        <w:tab/>
        <w:t>حقوق محدّدة</w:t>
      </w:r>
    </w:p>
    <w:p w14:paraId="22088865" w14:textId="77777777" w:rsidR="00C00FE8" w:rsidRPr="004F0EC4" w:rsidRDefault="00C00FE8" w:rsidP="00C00FE8">
      <w:pPr>
        <w:pStyle w:val="H1GA"/>
        <w:rPr>
          <w:lang w:val="en-US"/>
        </w:rPr>
      </w:pPr>
      <w:r w:rsidRPr="004F0EC4">
        <w:rPr>
          <w:rtl/>
          <w:lang w:val="en-US"/>
        </w:rPr>
        <w:tab/>
      </w:r>
      <w:r w:rsidRPr="004F0EC4">
        <w:rPr>
          <w:rtl/>
          <w:lang w:val="en-US"/>
        </w:rPr>
        <w:tab/>
        <w:t>المادة 5</w:t>
      </w:r>
    </w:p>
    <w:p w14:paraId="3C6555C5" w14:textId="77777777" w:rsidR="00C00FE8" w:rsidRPr="004F0EC4" w:rsidRDefault="00C00FE8" w:rsidP="00C00FE8">
      <w:pPr>
        <w:pStyle w:val="SingleTxtGA"/>
      </w:pPr>
      <w:r w:rsidRPr="004F0EC4">
        <w:rPr>
          <w:rtl/>
        </w:rPr>
        <w:t>19-</w:t>
      </w:r>
      <w:r w:rsidRPr="004F0EC4">
        <w:rPr>
          <w:rtl/>
        </w:rPr>
        <w:tab/>
        <w:t>يعترف القانون رقم 20-609</w:t>
      </w:r>
      <w:r w:rsidRPr="004F0EC4">
        <w:rPr>
          <w:vertAlign w:val="superscript"/>
          <w:rtl/>
        </w:rPr>
        <w:t>(</w:t>
      </w:r>
      <w:r w:rsidRPr="004F0EC4">
        <w:rPr>
          <w:vertAlign w:val="superscript"/>
          <w:rtl/>
        </w:rPr>
        <w:footnoteReference w:id="26"/>
      </w:r>
      <w:r w:rsidRPr="004F0EC4">
        <w:rPr>
          <w:vertAlign w:val="superscript"/>
          <w:rtl/>
        </w:rPr>
        <w:t>)</w:t>
      </w:r>
      <w:r w:rsidRPr="004F0EC4">
        <w:rPr>
          <w:rtl/>
        </w:rPr>
        <w:t xml:space="preserve"> بالإعاقة باعتبارها سبباً من أسباب التمييز المحظورة، ويحدد عقوبات تهدف إما إلى إزالة آثار الفعل التمييزي أو إلى إجبار المدعى عليه على تصحيح التقصير، مع تحديد مهلة معقولة للامتثال في الحالة الأخيرة. وبالإضافة إلى ذلك، يُعدّل القانون المادة 12 من القانون الجنائي بحيث يُدرج ارتكاب جريمة أو المشاركة فيها عندما يكون مرض الضحية أو إعاقتها هو الدافع وراءها ضمن الظروف المشدد للعقوبة.</w:t>
      </w:r>
    </w:p>
    <w:p w14:paraId="1698408F" w14:textId="77777777" w:rsidR="00C00FE8" w:rsidRPr="004F0EC4" w:rsidRDefault="00C00FE8" w:rsidP="00C00FE8">
      <w:pPr>
        <w:pStyle w:val="SingleTxtGA"/>
        <w:rPr>
          <w:spacing w:val="-6"/>
          <w:rtl/>
        </w:rPr>
      </w:pPr>
      <w:r w:rsidRPr="004F0EC4">
        <w:rPr>
          <w:rtl/>
        </w:rPr>
        <w:t>20-</w:t>
      </w:r>
      <w:r w:rsidRPr="004F0EC4">
        <w:rPr>
          <w:rtl/>
        </w:rPr>
        <w:tab/>
      </w:r>
      <w:r w:rsidRPr="004F0EC4">
        <w:rPr>
          <w:spacing w:val="-2"/>
          <w:rtl/>
        </w:rPr>
        <w:t xml:space="preserve">وفيما يتعلق بسبل الانتصاف، ينص القانون الوطني على ما يلي: (أ) الإجراءات المنصوص عليها </w:t>
      </w:r>
      <w:r w:rsidRPr="004F0EC4">
        <w:rPr>
          <w:rtl/>
        </w:rPr>
        <w:t>في المادة 57 من القانون رقم 20-422</w:t>
      </w:r>
      <w:r w:rsidRPr="004F0EC4">
        <w:rPr>
          <w:vertAlign w:val="superscript"/>
          <w:rtl/>
        </w:rPr>
        <w:t>(</w:t>
      </w:r>
      <w:r w:rsidRPr="004F0EC4">
        <w:rPr>
          <w:vertAlign w:val="superscript"/>
          <w:rtl/>
        </w:rPr>
        <w:footnoteReference w:id="27"/>
      </w:r>
      <w:r w:rsidRPr="004F0EC4">
        <w:rPr>
          <w:vertAlign w:val="superscript"/>
          <w:rtl/>
        </w:rPr>
        <w:t>)</w:t>
      </w:r>
      <w:r w:rsidRPr="004F0EC4">
        <w:rPr>
          <w:rtl/>
        </w:rPr>
        <w:t xml:space="preserve">، التي تنظم الترتيبات التيسيرية "الضرورية"؛ و(ب) إجراءات </w:t>
      </w:r>
      <w:r w:rsidRPr="004F0EC4">
        <w:rPr>
          <w:spacing w:val="-6"/>
          <w:rtl/>
        </w:rPr>
        <w:t xml:space="preserve">الحماية (المادة 20 من </w:t>
      </w:r>
      <w:proofErr w:type="gramStart"/>
      <w:r w:rsidRPr="004F0EC4">
        <w:rPr>
          <w:spacing w:val="-6"/>
          <w:rtl/>
        </w:rPr>
        <w:t>الدستور)</w:t>
      </w:r>
      <w:r w:rsidRPr="004F0EC4">
        <w:rPr>
          <w:spacing w:val="-6"/>
          <w:vertAlign w:val="superscript"/>
          <w:rtl/>
        </w:rPr>
        <w:t>(</w:t>
      </w:r>
      <w:proofErr w:type="gramEnd"/>
      <w:r w:rsidRPr="004F0EC4">
        <w:rPr>
          <w:spacing w:val="-6"/>
          <w:vertAlign w:val="superscript"/>
          <w:rtl/>
        </w:rPr>
        <w:footnoteReference w:id="28"/>
      </w:r>
      <w:r w:rsidRPr="004F0EC4">
        <w:rPr>
          <w:spacing w:val="-6"/>
          <w:vertAlign w:val="superscript"/>
          <w:rtl/>
        </w:rPr>
        <w:t>)</w:t>
      </w:r>
      <w:r w:rsidRPr="004F0EC4">
        <w:rPr>
          <w:spacing w:val="-6"/>
          <w:rtl/>
        </w:rPr>
        <w:t xml:space="preserve">؛ و(ج) إجراءات حماية حقوق العمال (قانون العمل، المادة 85 وما </w:t>
      </w:r>
      <w:proofErr w:type="gramStart"/>
      <w:r w:rsidRPr="004F0EC4">
        <w:rPr>
          <w:spacing w:val="-6"/>
          <w:rtl/>
        </w:rPr>
        <w:t>يليها)</w:t>
      </w:r>
      <w:r w:rsidRPr="004F0EC4">
        <w:rPr>
          <w:spacing w:val="-6"/>
          <w:vertAlign w:val="superscript"/>
          <w:rtl/>
        </w:rPr>
        <w:t>(</w:t>
      </w:r>
      <w:proofErr w:type="gramEnd"/>
      <w:r w:rsidRPr="004F0EC4">
        <w:rPr>
          <w:spacing w:val="-6"/>
          <w:vertAlign w:val="superscript"/>
          <w:rtl/>
        </w:rPr>
        <w:footnoteReference w:id="29"/>
      </w:r>
      <w:r w:rsidRPr="004F0EC4">
        <w:rPr>
          <w:spacing w:val="-6"/>
          <w:vertAlign w:val="superscript"/>
          <w:rtl/>
        </w:rPr>
        <w:t>)</w:t>
      </w:r>
      <w:r w:rsidRPr="004F0EC4">
        <w:rPr>
          <w:spacing w:val="-6"/>
          <w:rtl/>
        </w:rPr>
        <w:t>.</w:t>
      </w:r>
    </w:p>
    <w:p w14:paraId="69F16731" w14:textId="77777777" w:rsidR="00C00FE8" w:rsidRPr="004F0EC4" w:rsidRDefault="00C00FE8" w:rsidP="00C00FE8">
      <w:pPr>
        <w:pStyle w:val="SingleTxtGA"/>
        <w:rPr>
          <w:rtl/>
        </w:rPr>
      </w:pPr>
      <w:r w:rsidRPr="004F0EC4">
        <w:rPr>
          <w:rtl/>
        </w:rPr>
        <w:t>21-</w:t>
      </w:r>
      <w:r w:rsidRPr="004F0EC4">
        <w:rPr>
          <w:rtl/>
        </w:rPr>
        <w:tab/>
        <w:t>وبموجب القانون رقم 20-940</w:t>
      </w:r>
      <w:r w:rsidRPr="004F0EC4">
        <w:rPr>
          <w:vertAlign w:val="superscript"/>
          <w:rtl/>
        </w:rPr>
        <w:t>(</w:t>
      </w:r>
      <w:r w:rsidRPr="004F0EC4">
        <w:rPr>
          <w:vertAlign w:val="superscript"/>
          <w:rtl/>
        </w:rPr>
        <w:footnoteReference w:id="30"/>
      </w:r>
      <w:r w:rsidRPr="004F0EC4">
        <w:rPr>
          <w:vertAlign w:val="superscript"/>
          <w:rtl/>
        </w:rPr>
        <w:t>)</w:t>
      </w:r>
      <w:r w:rsidRPr="004F0EC4">
        <w:rPr>
          <w:rtl/>
        </w:rPr>
        <w:t>، أُدرجت الإعاقة في قانون العمل باعتبارها سبباً للتمييز يمكن أن يشكل أساساً لاتخاذ إجراءات لحماية العمال. وأضاف القانون رقم 21-015</w:t>
      </w:r>
      <w:r w:rsidRPr="004F0EC4">
        <w:rPr>
          <w:vertAlign w:val="superscript"/>
          <w:rtl/>
        </w:rPr>
        <w:t>(</w:t>
      </w:r>
      <w:r w:rsidRPr="004F0EC4">
        <w:rPr>
          <w:vertAlign w:val="superscript"/>
          <w:rtl/>
        </w:rPr>
        <w:footnoteReference w:id="31"/>
      </w:r>
      <w:r w:rsidRPr="004F0EC4">
        <w:rPr>
          <w:vertAlign w:val="superscript"/>
          <w:rtl/>
        </w:rPr>
        <w:t>)</w:t>
      </w:r>
      <w:r w:rsidRPr="004F0EC4">
        <w:rPr>
          <w:rtl/>
        </w:rPr>
        <w:t xml:space="preserve"> إلى النظام الإداري الذي ينظم شؤون موظفي القطاع العام حظراً لأي فعل من أفعال التمييز التعسفي قد يؤدي إلى الإقصاء أو التقييد، بما في ذلك الإقصاء أو التقييد على أساس الإعاقة، ويُقصد به إبطال أو تقويض التكافؤ في فرص العمل والمساواة في المعاملة في مجال العمل. ويجوز لموظفي القطاع العام ذوي الإعاقة الاستناد إلى هذا الحكم بالاقتران مع القانون رقم 21-280 لرفع دعاوى تتعلق بحماية </w:t>
      </w:r>
      <w:proofErr w:type="gramStart"/>
      <w:r w:rsidRPr="004F0EC4">
        <w:rPr>
          <w:rtl/>
        </w:rPr>
        <w:t>العمال</w:t>
      </w:r>
      <w:r w:rsidRPr="004F0EC4">
        <w:rPr>
          <w:vertAlign w:val="superscript"/>
          <w:rtl/>
        </w:rPr>
        <w:t>(</w:t>
      </w:r>
      <w:proofErr w:type="gramEnd"/>
      <w:r w:rsidRPr="004F0EC4">
        <w:rPr>
          <w:vertAlign w:val="superscript"/>
          <w:rtl/>
        </w:rPr>
        <w:footnoteReference w:id="32"/>
      </w:r>
      <w:r w:rsidRPr="004F0EC4">
        <w:rPr>
          <w:vertAlign w:val="superscript"/>
          <w:rtl/>
        </w:rPr>
        <w:t>)</w:t>
      </w:r>
      <w:r w:rsidRPr="004F0EC4">
        <w:rPr>
          <w:rtl/>
        </w:rPr>
        <w:t>.</w:t>
      </w:r>
    </w:p>
    <w:p w14:paraId="6D10BA4F" w14:textId="3490BF85" w:rsidR="00C00FE8" w:rsidRPr="004F0EC4" w:rsidRDefault="00C00FE8" w:rsidP="00C00FE8">
      <w:pPr>
        <w:pStyle w:val="SingleTxtGA"/>
        <w:rPr>
          <w:rtl/>
        </w:rPr>
      </w:pPr>
      <w:r w:rsidRPr="004F0EC4">
        <w:rPr>
          <w:rtl/>
        </w:rPr>
        <w:t>22-</w:t>
      </w:r>
      <w:r w:rsidRPr="004F0EC4">
        <w:rPr>
          <w:rtl/>
        </w:rPr>
        <w:tab/>
      </w:r>
      <w:r w:rsidRPr="004F0EC4">
        <w:rPr>
          <w:spacing w:val="-4"/>
          <w:rtl/>
        </w:rPr>
        <w:t xml:space="preserve">ولا يُعترف صراحةً بالتمييز المتقاطع والمتعدد في التشريعات، لكن قوائم أسباب التمييز المحظورة الواردة في النصوص القانونية المختلفة تستخدم حرف العطف </w:t>
      </w:r>
      <w:r w:rsidR="00E22186" w:rsidRPr="004F0EC4">
        <w:rPr>
          <w:rFonts w:hint="cs"/>
          <w:spacing w:val="-4"/>
          <w:rtl/>
        </w:rPr>
        <w:t>"</w:t>
      </w:r>
      <w:r w:rsidRPr="004F0EC4">
        <w:rPr>
          <w:spacing w:val="-4"/>
          <w:rtl/>
        </w:rPr>
        <w:t>أو</w:t>
      </w:r>
      <w:r w:rsidR="00E22186" w:rsidRPr="004F0EC4">
        <w:rPr>
          <w:rFonts w:hint="cs"/>
          <w:spacing w:val="-4"/>
          <w:rtl/>
        </w:rPr>
        <w:t>"</w:t>
      </w:r>
      <w:r w:rsidRPr="004F0EC4">
        <w:rPr>
          <w:spacing w:val="-4"/>
          <w:rtl/>
        </w:rPr>
        <w:t xml:space="preserve"> للإشارة إلى أن الأسباب المذكورة هي أمثلة على سبيل المثال لا الحصر، بحيث يتسنى رفع دعاوى تتعلق بالتمييز المتقاطع بناءً على سببين أو أكثر.</w:t>
      </w:r>
    </w:p>
    <w:p w14:paraId="35C85E0A" w14:textId="77777777" w:rsidR="00C00FE8" w:rsidRPr="004F0EC4" w:rsidRDefault="00C00FE8" w:rsidP="00C00FE8">
      <w:pPr>
        <w:pStyle w:val="SingleTxtGA"/>
        <w:spacing w:line="350" w:lineRule="exact"/>
      </w:pPr>
      <w:r w:rsidRPr="004F0EC4">
        <w:rPr>
          <w:rtl/>
        </w:rPr>
        <w:lastRenderedPageBreak/>
        <w:t>23-</w:t>
      </w:r>
      <w:r w:rsidRPr="004F0EC4">
        <w:rPr>
          <w:rtl/>
        </w:rPr>
        <w:tab/>
        <w:t>ويُنظر حالياً في مشروع القانون رقم 12-748–17</w:t>
      </w:r>
      <w:r w:rsidRPr="004F0EC4">
        <w:rPr>
          <w:vertAlign w:val="superscript"/>
          <w:rtl/>
        </w:rPr>
        <w:t>(</w:t>
      </w:r>
      <w:r w:rsidRPr="004F0EC4">
        <w:rPr>
          <w:vertAlign w:val="superscript"/>
          <w:rtl/>
        </w:rPr>
        <w:footnoteReference w:id="33"/>
      </w:r>
      <w:r w:rsidRPr="004F0EC4">
        <w:rPr>
          <w:vertAlign w:val="superscript"/>
          <w:rtl/>
        </w:rPr>
        <w:t>)</w:t>
      </w:r>
      <w:r w:rsidRPr="004F0EC4">
        <w:rPr>
          <w:rtl/>
        </w:rPr>
        <w:t xml:space="preserve">. وتتمثل أهدافه الرئيسية في القضاء على جميع أشكال التمييز ضد أي شخص أو مجموعة من الأشخاص، ومنعها، والمعاقبة عليها، وتوفير سبل الانتصاف منها، فضلاً عن تعزيز مبادئ المساواة وعدم التمييز. وبالإضافة إلى ذلك، ينص مشروع القانون على إجراء قضائي خاص وسريع للتعامل مع أفعال التمييز </w:t>
      </w:r>
      <w:proofErr w:type="gramStart"/>
      <w:r w:rsidRPr="004F0EC4">
        <w:rPr>
          <w:rtl/>
        </w:rPr>
        <w:t>التعسفي</w:t>
      </w:r>
      <w:r w:rsidRPr="004F0EC4">
        <w:rPr>
          <w:vertAlign w:val="superscript"/>
          <w:rtl/>
        </w:rPr>
        <w:t>(</w:t>
      </w:r>
      <w:proofErr w:type="gramEnd"/>
      <w:r w:rsidRPr="004F0EC4">
        <w:rPr>
          <w:vertAlign w:val="superscript"/>
          <w:rtl/>
        </w:rPr>
        <w:footnoteReference w:id="34"/>
      </w:r>
      <w:r w:rsidRPr="004F0EC4">
        <w:rPr>
          <w:vertAlign w:val="superscript"/>
          <w:rtl/>
        </w:rPr>
        <w:t>)</w:t>
      </w:r>
      <w:r w:rsidRPr="004F0EC4">
        <w:rPr>
          <w:rtl/>
        </w:rPr>
        <w:t>.</w:t>
      </w:r>
    </w:p>
    <w:p w14:paraId="62CC6A7D" w14:textId="77777777" w:rsidR="00C00FE8" w:rsidRPr="004F0EC4" w:rsidRDefault="00C00FE8" w:rsidP="00C00FE8">
      <w:pPr>
        <w:pStyle w:val="H1GA"/>
        <w:rPr>
          <w:lang w:val="en-US"/>
        </w:rPr>
      </w:pPr>
      <w:r w:rsidRPr="004F0EC4">
        <w:rPr>
          <w:rtl/>
          <w:lang w:val="en-US"/>
        </w:rPr>
        <w:tab/>
      </w:r>
      <w:r w:rsidRPr="004F0EC4">
        <w:rPr>
          <w:rtl/>
          <w:lang w:val="en-US"/>
        </w:rPr>
        <w:tab/>
        <w:t>المادة 6</w:t>
      </w:r>
    </w:p>
    <w:p w14:paraId="571E3AD7" w14:textId="77777777" w:rsidR="00C00FE8" w:rsidRPr="004F0EC4" w:rsidRDefault="00C00FE8" w:rsidP="00C00FE8">
      <w:pPr>
        <w:pStyle w:val="SingleTxtGA"/>
        <w:spacing w:line="350" w:lineRule="exact"/>
      </w:pPr>
      <w:r w:rsidRPr="004F0EC4">
        <w:rPr>
          <w:rtl/>
        </w:rPr>
        <w:t>24-</w:t>
      </w:r>
      <w:r w:rsidRPr="004F0EC4">
        <w:rPr>
          <w:rtl/>
        </w:rPr>
        <w:tab/>
        <w:t>يُطبق برنامج لتحسين الإدارة بهدف تعميم المنظور الجنساني في جميع إدارات الخدمات في القطاع العام. وتتوخى هذه البرامج ضمان اتباع كل هيئة حكومية نهجاً يراعي المنظور الجنساني في تقديم الخدمات و/أو المنتجات الاستراتيجية، وإدماج المتغيرات الجنسانية في نظمها المعلوماتية، بحيث يمكن تحديد الاحتياجات المختلفة للرجال والنساء وتقديم استجابات مخصصة لكل من الجنسين.</w:t>
      </w:r>
    </w:p>
    <w:p w14:paraId="3DC4267E" w14:textId="77777777" w:rsidR="00C00FE8" w:rsidRPr="004F0EC4" w:rsidRDefault="00C00FE8" w:rsidP="00C00FE8">
      <w:pPr>
        <w:pStyle w:val="SingleTxtGA"/>
        <w:spacing w:line="350" w:lineRule="exact"/>
        <w:rPr>
          <w:rtl/>
        </w:rPr>
      </w:pPr>
      <w:r w:rsidRPr="004F0EC4">
        <w:rPr>
          <w:rtl/>
        </w:rPr>
        <w:t>25-</w:t>
      </w:r>
      <w:r w:rsidRPr="004F0EC4">
        <w:rPr>
          <w:rtl/>
        </w:rPr>
        <w:tab/>
        <w:t xml:space="preserve">وتعرض الفقرات 50 وما يليها من هذا التقرير الإجراءات المتخذة لضمان إتاحة المعلومات في حالات الخطر والطوارئ الإنسانية. وتشير الفقرة 106 إلى الاتفاق المبرم بين وزارة شؤون المرأة والمساواة بين الجنسين ومؤسسة نيلي </w:t>
      </w:r>
      <w:proofErr w:type="spellStart"/>
      <w:r w:rsidRPr="004F0EC4">
        <w:rPr>
          <w:rtl/>
        </w:rPr>
        <w:t>زابيل</w:t>
      </w:r>
      <w:proofErr w:type="spellEnd"/>
      <w:r w:rsidRPr="004F0EC4">
        <w:rPr>
          <w:rtl/>
        </w:rPr>
        <w:t xml:space="preserve"> من أجل إنشاء مركز للنساء الصم.</w:t>
      </w:r>
    </w:p>
    <w:p w14:paraId="29058831" w14:textId="77777777" w:rsidR="00C00FE8" w:rsidRPr="004F0EC4" w:rsidRDefault="00C00FE8" w:rsidP="00C00FE8">
      <w:pPr>
        <w:pStyle w:val="SingleTxtGA"/>
        <w:spacing w:line="350" w:lineRule="exact"/>
      </w:pPr>
      <w:r w:rsidRPr="004F0EC4">
        <w:rPr>
          <w:rtl/>
        </w:rPr>
        <w:t>26-</w:t>
      </w:r>
      <w:r w:rsidRPr="004F0EC4">
        <w:rPr>
          <w:rtl/>
        </w:rPr>
        <w:tab/>
      </w:r>
      <w:r w:rsidRPr="004F0EC4">
        <w:rPr>
          <w:spacing w:val="-2"/>
          <w:rtl/>
        </w:rPr>
        <w:t>وفي كل عام، تتخذ وزارة شؤون المرأة والمساواة بين الجنسين والدائرة الوطنية لشؤون المرأة والمساواة بين الجنسين والدائرة الوطنية لشؤون الأشخاص ذوي الإعاقة إجراءات منسقة لتوعية النساء ذوات الإعاقة بحقوقهن، وذلك بالأساس في إطار برامجها الرامية إلى تحسين إدارة تعميم المنظور الجنساني، وبموجب اتفاقية التعاون من أجل تعزيز حقوق النساء ذوات الإعاقة والتوعية بها التي وُقعت في عام 2020. وشُكلت لجنة معنية بالشؤون الجنسانية والإعاقة اعتمدت في عام 2021 خطة عمل داخلية تتضمن إجراءات محددة. وفي</w:t>
      </w:r>
      <w:r w:rsidRPr="004F0EC4">
        <w:rPr>
          <w:spacing w:val="-6"/>
          <w:rtl/>
        </w:rPr>
        <w:t xml:space="preserve"> عامي 2020 و2021، تركزت الجهود خصوصاً على إعداد ونشر دليل لتقديم الدعم للنساء ذوات الإعاقة</w:t>
      </w:r>
      <w:r w:rsidRPr="004F0EC4">
        <w:rPr>
          <w:spacing w:val="-2"/>
          <w:rtl/>
        </w:rPr>
        <w:t xml:space="preserve"> ضحايا </w:t>
      </w:r>
      <w:proofErr w:type="gramStart"/>
      <w:r w:rsidRPr="004F0EC4">
        <w:rPr>
          <w:spacing w:val="-2"/>
          <w:rtl/>
        </w:rPr>
        <w:t>العنف</w:t>
      </w:r>
      <w:r w:rsidRPr="004F0EC4">
        <w:rPr>
          <w:spacing w:val="-2"/>
          <w:vertAlign w:val="superscript"/>
          <w:rtl/>
        </w:rPr>
        <w:t>(</w:t>
      </w:r>
      <w:proofErr w:type="gramEnd"/>
      <w:r w:rsidRPr="004F0EC4">
        <w:rPr>
          <w:spacing w:val="-2"/>
          <w:vertAlign w:val="superscript"/>
          <w:rtl/>
        </w:rPr>
        <w:footnoteReference w:id="35"/>
      </w:r>
      <w:r w:rsidRPr="004F0EC4">
        <w:rPr>
          <w:spacing w:val="-2"/>
          <w:vertAlign w:val="superscript"/>
          <w:rtl/>
        </w:rPr>
        <w:t>)</w:t>
      </w:r>
      <w:r w:rsidRPr="004F0EC4">
        <w:rPr>
          <w:spacing w:val="-2"/>
          <w:rtl/>
        </w:rPr>
        <w:t xml:space="preserve">، وكتيب للتوصيات، ووُزع كلاهما على مختلف الجهات </w:t>
      </w:r>
      <w:proofErr w:type="gramStart"/>
      <w:r w:rsidRPr="004F0EC4">
        <w:rPr>
          <w:spacing w:val="-2"/>
          <w:rtl/>
        </w:rPr>
        <w:t>الحكومية</w:t>
      </w:r>
      <w:r w:rsidRPr="004F0EC4">
        <w:rPr>
          <w:spacing w:val="-2"/>
          <w:vertAlign w:val="superscript"/>
          <w:rtl/>
        </w:rPr>
        <w:t>(</w:t>
      </w:r>
      <w:proofErr w:type="gramEnd"/>
      <w:r w:rsidRPr="004F0EC4">
        <w:rPr>
          <w:spacing w:val="-2"/>
          <w:vertAlign w:val="superscript"/>
          <w:rtl/>
        </w:rPr>
        <w:footnoteReference w:id="36"/>
      </w:r>
      <w:r w:rsidRPr="004F0EC4">
        <w:rPr>
          <w:spacing w:val="-2"/>
          <w:vertAlign w:val="superscript"/>
          <w:rtl/>
        </w:rPr>
        <w:t>)</w:t>
      </w:r>
      <w:r w:rsidRPr="004F0EC4">
        <w:rPr>
          <w:spacing w:val="-2"/>
          <w:rtl/>
        </w:rPr>
        <w:t>.</w:t>
      </w:r>
    </w:p>
    <w:p w14:paraId="5446802A" w14:textId="4161B2FA" w:rsidR="00C00FE8" w:rsidRPr="004F0EC4" w:rsidRDefault="00C00FE8" w:rsidP="00C00FE8">
      <w:pPr>
        <w:pStyle w:val="SingleTxtGA"/>
        <w:spacing w:line="350" w:lineRule="exact"/>
      </w:pPr>
      <w:r w:rsidRPr="004F0EC4">
        <w:rPr>
          <w:rtl/>
        </w:rPr>
        <w:t>27-</w:t>
      </w:r>
      <w:r w:rsidRPr="004F0EC4">
        <w:rPr>
          <w:rtl/>
        </w:rPr>
        <w:tab/>
        <w:t>ويركز مشروع القانون المتعلق بحق المرأة في حياة خالية من العنف (مشروع القانون رقم</w:t>
      </w:r>
      <w:r w:rsidRPr="004F0EC4">
        <w:rPr>
          <w:rFonts w:hint="cs"/>
          <w:rtl/>
        </w:rPr>
        <w:t> </w:t>
      </w:r>
      <w:r w:rsidRPr="004F0EC4">
        <w:rPr>
          <w:rtl/>
        </w:rPr>
        <w:t>11077-</w:t>
      </w:r>
      <w:proofErr w:type="gramStart"/>
      <w:r w:rsidRPr="004F0EC4">
        <w:rPr>
          <w:rtl/>
        </w:rPr>
        <w:t>07)</w:t>
      </w:r>
      <w:r w:rsidRPr="004F0EC4">
        <w:rPr>
          <w:vertAlign w:val="superscript"/>
          <w:rtl/>
        </w:rPr>
        <w:t>(</w:t>
      </w:r>
      <w:proofErr w:type="gramEnd"/>
      <w:r w:rsidRPr="004F0EC4">
        <w:rPr>
          <w:vertAlign w:val="superscript"/>
          <w:rtl/>
        </w:rPr>
        <w:footnoteReference w:id="37"/>
      </w:r>
      <w:r w:rsidRPr="004F0EC4">
        <w:rPr>
          <w:vertAlign w:val="superscript"/>
          <w:rtl/>
        </w:rPr>
        <w:t>)</w:t>
      </w:r>
      <w:r w:rsidRPr="004F0EC4">
        <w:rPr>
          <w:rtl/>
        </w:rPr>
        <w:t xml:space="preserve"> الذي يهدف إلى منع العنف بالمرأة ومعاقبة مرتكبيه والقضاء عليه، تركيزاً صريحاً على العرق والإعاقة والوضع القانوني للمهاجرين باعتبارها سمات محمية، لكنه يترك المجال مفتوحاً أمام إمكانية أخذ </w:t>
      </w:r>
      <w:r w:rsidR="00E22186" w:rsidRPr="004F0EC4">
        <w:rPr>
          <w:rFonts w:hint="cs"/>
          <w:rtl/>
        </w:rPr>
        <w:t>"</w:t>
      </w:r>
      <w:r w:rsidRPr="004F0EC4">
        <w:rPr>
          <w:rtl/>
        </w:rPr>
        <w:t>أي سمة أخرى</w:t>
      </w:r>
      <w:r w:rsidR="00E22186" w:rsidRPr="004F0EC4">
        <w:rPr>
          <w:rFonts w:hint="cs"/>
          <w:rtl/>
        </w:rPr>
        <w:t>"</w:t>
      </w:r>
      <w:r w:rsidRPr="004F0EC4">
        <w:rPr>
          <w:rtl/>
        </w:rPr>
        <w:t xml:space="preserve"> في الاعتبار أيضاًً. وتشمل أشكال العنف ضد المرأة العنف الرمزي والمؤسسي والسياسي والعنف في مكان العمل والعنف غير المباشر. ويشير مشروع القانون إلى اتفاقية حقوق الأشخاص ذوي الإعاقة، ويتضمن تعديلات على القانون رقم 20-066 تهدف إلى إدخال تدابير لحماية ومساعدة الأشخاص ذوي الإعاقة، فضلاً عن النساء وكبار السن </w:t>
      </w:r>
      <w:proofErr w:type="gramStart"/>
      <w:r w:rsidRPr="004F0EC4">
        <w:rPr>
          <w:rtl/>
        </w:rPr>
        <w:t>والأطفال</w:t>
      </w:r>
      <w:r w:rsidRPr="004F0EC4">
        <w:rPr>
          <w:vertAlign w:val="superscript"/>
          <w:rtl/>
        </w:rPr>
        <w:t>(</w:t>
      </w:r>
      <w:proofErr w:type="gramEnd"/>
      <w:r w:rsidRPr="004F0EC4">
        <w:rPr>
          <w:vertAlign w:val="superscript"/>
          <w:rtl/>
        </w:rPr>
        <w:footnoteReference w:id="38"/>
      </w:r>
      <w:r w:rsidRPr="004F0EC4">
        <w:rPr>
          <w:vertAlign w:val="superscript"/>
          <w:rtl/>
        </w:rPr>
        <w:t>)</w:t>
      </w:r>
      <w:r w:rsidRPr="004F0EC4">
        <w:rPr>
          <w:rtl/>
        </w:rPr>
        <w:t>.</w:t>
      </w:r>
    </w:p>
    <w:p w14:paraId="2FAFA639" w14:textId="77777777" w:rsidR="00C00FE8" w:rsidRPr="004F0EC4" w:rsidRDefault="00C00FE8" w:rsidP="00C00FE8">
      <w:pPr>
        <w:pStyle w:val="SingleTxtGA"/>
        <w:rPr>
          <w:rtl/>
        </w:rPr>
      </w:pPr>
      <w:r w:rsidRPr="004F0EC4">
        <w:rPr>
          <w:rtl/>
        </w:rPr>
        <w:lastRenderedPageBreak/>
        <w:t>28-</w:t>
      </w:r>
      <w:r w:rsidRPr="004F0EC4">
        <w:rPr>
          <w:rtl/>
        </w:rPr>
        <w:tab/>
      </w:r>
      <w:r w:rsidRPr="004F0EC4">
        <w:rPr>
          <w:spacing w:val="-4"/>
          <w:rtl/>
        </w:rPr>
        <w:t>وتشمل خطة نساء الشعوب الأصلية، التي أُعلنت في 9 آب/أغسطس 2021، ما لا يقل عن 20 مبادرة</w:t>
      </w:r>
      <w:r w:rsidRPr="004F0EC4">
        <w:rPr>
          <w:rtl/>
        </w:rPr>
        <w:t xml:space="preserve"> تهدف إلى تعزيز القيادة والاستقلال الاقتصادي والاستقلالية المادية وحق نساء الشعوب الأصلية في حياة خالية من العنف.</w:t>
      </w:r>
    </w:p>
    <w:p w14:paraId="00889FD1" w14:textId="77777777" w:rsidR="00C00FE8" w:rsidRPr="004F0EC4" w:rsidRDefault="00C00FE8" w:rsidP="00C00FE8">
      <w:pPr>
        <w:pStyle w:val="H1GA"/>
        <w:rPr>
          <w:lang w:val="en-US"/>
        </w:rPr>
      </w:pPr>
      <w:r w:rsidRPr="004F0EC4">
        <w:rPr>
          <w:rtl/>
          <w:lang w:val="en-US"/>
        </w:rPr>
        <w:tab/>
      </w:r>
      <w:r w:rsidRPr="004F0EC4">
        <w:rPr>
          <w:rtl/>
          <w:lang w:val="en-US"/>
        </w:rPr>
        <w:tab/>
        <w:t>المادة 7</w:t>
      </w:r>
    </w:p>
    <w:p w14:paraId="1467D6DE" w14:textId="77777777" w:rsidR="00C00FE8" w:rsidRPr="004F0EC4" w:rsidRDefault="00C00FE8" w:rsidP="00C00FE8">
      <w:pPr>
        <w:pStyle w:val="SingleTxtGA"/>
      </w:pPr>
      <w:r w:rsidRPr="004F0EC4">
        <w:rPr>
          <w:rtl/>
        </w:rPr>
        <w:t>29-</w:t>
      </w:r>
      <w:r w:rsidRPr="004F0EC4">
        <w:rPr>
          <w:rtl/>
        </w:rPr>
        <w:tab/>
        <w:t>صدر القانون رقم 21-430 بشأن الضمانات والحماية الشاملة لحقوق الأطفال والمراهقين في</w:t>
      </w:r>
      <w:r w:rsidRPr="004F0EC4">
        <w:rPr>
          <w:rFonts w:hint="cs"/>
          <w:rtl/>
        </w:rPr>
        <w:t> </w:t>
      </w:r>
      <w:r w:rsidRPr="004F0EC4">
        <w:rPr>
          <w:rtl/>
        </w:rPr>
        <w:t xml:space="preserve">15 آذار/مارس 2022. وتشمل المبادئ المنصوص عليها في تلك الوثيقة حق الأطفال والمراهقين في الاعتراف بهم بوصفهم أصحاب حقوق قانونية، ومصلحة الطفل الفضلى، والحق في الاستقلالية التدريجية، والمنظور الجنساني. كما يُعترف بحقوق وضمانات </w:t>
      </w:r>
      <w:proofErr w:type="gramStart"/>
      <w:r w:rsidRPr="004F0EC4">
        <w:rPr>
          <w:rtl/>
        </w:rPr>
        <w:t>أخرى</w:t>
      </w:r>
      <w:r w:rsidRPr="004F0EC4">
        <w:rPr>
          <w:vertAlign w:val="superscript"/>
          <w:rtl/>
        </w:rPr>
        <w:t>(</w:t>
      </w:r>
      <w:proofErr w:type="gramEnd"/>
      <w:r w:rsidRPr="004F0EC4">
        <w:rPr>
          <w:vertAlign w:val="superscript"/>
          <w:rtl/>
        </w:rPr>
        <w:footnoteReference w:id="39"/>
      </w:r>
      <w:r w:rsidRPr="004F0EC4">
        <w:rPr>
          <w:vertAlign w:val="superscript"/>
          <w:rtl/>
        </w:rPr>
        <w:t>)</w:t>
      </w:r>
      <w:r w:rsidRPr="004F0EC4">
        <w:rPr>
          <w:rtl/>
        </w:rPr>
        <w:t>.</w:t>
      </w:r>
    </w:p>
    <w:p w14:paraId="6EAAB021" w14:textId="77777777" w:rsidR="00C00FE8" w:rsidRPr="004F0EC4" w:rsidRDefault="00C00FE8" w:rsidP="00C00FE8">
      <w:pPr>
        <w:pStyle w:val="SingleTxtGA"/>
        <w:rPr>
          <w:spacing w:val="-4"/>
        </w:rPr>
      </w:pPr>
      <w:r w:rsidRPr="004F0EC4">
        <w:rPr>
          <w:rtl/>
        </w:rPr>
        <w:t>30-</w:t>
      </w:r>
      <w:r w:rsidRPr="004F0EC4">
        <w:rPr>
          <w:rtl/>
        </w:rPr>
        <w:tab/>
        <w:t xml:space="preserve">وتتوسع المادة 8 من القانون في مبدأ المساواة وعدم التمييز التعسفي، حيث تنص على أن للأطفال والمراهقين "الحق في المساواة في التمتع بحقوقهم وممارستها وحمايتها، دون تمييز تعسفي، وفقاً للدستور وقانون الطفل والمراهقين والمعاهدات الدولية الأخرى السارية المتعلقة بحقوق الإنسان التي صدقت </w:t>
      </w:r>
      <w:r w:rsidRPr="004F0EC4">
        <w:rPr>
          <w:spacing w:val="-4"/>
          <w:rtl/>
        </w:rPr>
        <w:t>عليها شيلي والتشريعات الوطنية". وتحظر هذه المادة التمييز التعسفي على أساس إعاقة الأطفال والمراهقين.</w:t>
      </w:r>
    </w:p>
    <w:p w14:paraId="2533D125" w14:textId="77777777" w:rsidR="00C00FE8" w:rsidRPr="004F0EC4" w:rsidRDefault="00C00FE8" w:rsidP="00C00FE8">
      <w:pPr>
        <w:pStyle w:val="SingleTxtGA"/>
        <w:rPr>
          <w:spacing w:val="2"/>
        </w:rPr>
      </w:pPr>
      <w:r w:rsidRPr="004F0EC4">
        <w:rPr>
          <w:rtl/>
        </w:rPr>
        <w:t>31-</w:t>
      </w:r>
      <w:r w:rsidRPr="004F0EC4">
        <w:rPr>
          <w:rtl/>
        </w:rPr>
        <w:tab/>
      </w:r>
      <w:r w:rsidRPr="004F0EC4">
        <w:rPr>
          <w:spacing w:val="2"/>
          <w:rtl/>
        </w:rPr>
        <w:t xml:space="preserve">وتنص المادة 19 على مبدأ الإدماج، مشيرةً إلى أن على الدولة اتخاذ التدابير اللازمة لتيسير الإدماج الاجتماعي والتعليمي لجميع الأطفال والمراهقين، لا سيما الذين قد يتعرضون، بسبب ظروفهم </w:t>
      </w:r>
      <w:proofErr w:type="gramStart"/>
      <w:r w:rsidRPr="004F0EC4">
        <w:rPr>
          <w:spacing w:val="2"/>
          <w:rtl/>
        </w:rPr>
        <w:t>الجسدية</w:t>
      </w:r>
      <w:proofErr w:type="gramEnd"/>
      <w:r w:rsidRPr="004F0EC4">
        <w:rPr>
          <w:spacing w:val="2"/>
          <w:rtl/>
        </w:rPr>
        <w:t xml:space="preserve"> أو النفسية، أو أي حالة أو ظرف آخر، لمعاملة تمييزية، ومساعدتهم على تحقيق إمكاناتهم</w:t>
      </w:r>
      <w:r w:rsidRPr="004F0EC4">
        <w:rPr>
          <w:rFonts w:hint="cs"/>
          <w:spacing w:val="2"/>
          <w:rtl/>
        </w:rPr>
        <w:t> </w:t>
      </w:r>
      <w:r w:rsidRPr="004F0EC4">
        <w:rPr>
          <w:spacing w:val="2"/>
          <w:rtl/>
        </w:rPr>
        <w:t>الكاملة.</w:t>
      </w:r>
    </w:p>
    <w:p w14:paraId="4FEB50EE" w14:textId="77777777" w:rsidR="00C00FE8" w:rsidRPr="004F0EC4" w:rsidRDefault="00C00FE8" w:rsidP="00C00FE8">
      <w:pPr>
        <w:pStyle w:val="H1GA"/>
        <w:rPr>
          <w:lang w:val="en-US"/>
        </w:rPr>
      </w:pPr>
      <w:r w:rsidRPr="004F0EC4">
        <w:rPr>
          <w:rtl/>
          <w:lang w:val="en-US"/>
        </w:rPr>
        <w:tab/>
      </w:r>
      <w:r w:rsidRPr="004F0EC4">
        <w:rPr>
          <w:rtl/>
          <w:lang w:val="en-US"/>
        </w:rPr>
        <w:tab/>
        <w:t>المادة 8</w:t>
      </w:r>
    </w:p>
    <w:p w14:paraId="118CA829" w14:textId="77777777" w:rsidR="00C00FE8" w:rsidRPr="004F0EC4" w:rsidRDefault="00C00FE8" w:rsidP="00C00FE8">
      <w:pPr>
        <w:pStyle w:val="SingleTxtGA"/>
        <w:rPr>
          <w:rtl/>
        </w:rPr>
      </w:pPr>
      <w:r w:rsidRPr="004F0EC4">
        <w:rPr>
          <w:rtl/>
        </w:rPr>
        <w:t>32-</w:t>
      </w:r>
      <w:r w:rsidRPr="004F0EC4">
        <w:rPr>
          <w:rtl/>
        </w:rPr>
        <w:tab/>
        <w:t>لم تُتخذ أي إجراءات محددة لمعالجة أوضاع الأشخاص ذوي الإعاقة من الشعوب الأصلية، لكن الدولة وضعت برامج تدريبية تهدف إلى تعزيز المساواة في المعاملة لفائدة الأشخاص ذوي الإعاقة. ومن الأمثلة على ذلك: (أ) برنامج "الاستعداد للإدماج"</w:t>
      </w:r>
      <w:r w:rsidRPr="004F0EC4">
        <w:rPr>
          <w:vertAlign w:val="superscript"/>
          <w:rtl/>
        </w:rPr>
        <w:t>(</w:t>
      </w:r>
      <w:r w:rsidRPr="004F0EC4">
        <w:rPr>
          <w:vertAlign w:val="superscript"/>
          <w:rtl/>
        </w:rPr>
        <w:footnoteReference w:id="40"/>
      </w:r>
      <w:r w:rsidRPr="004F0EC4">
        <w:rPr>
          <w:vertAlign w:val="superscript"/>
          <w:rtl/>
        </w:rPr>
        <w:t>)</w:t>
      </w:r>
      <w:r w:rsidRPr="004F0EC4">
        <w:rPr>
          <w:rtl/>
        </w:rPr>
        <w:t xml:space="preserve">، الذي صُمم لتثقيف المسؤولين الحكوميين </w:t>
      </w:r>
      <w:r w:rsidRPr="004F0EC4">
        <w:rPr>
          <w:spacing w:val="-2"/>
          <w:rtl/>
        </w:rPr>
        <w:t>فيما</w:t>
      </w:r>
      <w:r w:rsidRPr="004F0EC4">
        <w:rPr>
          <w:rFonts w:hint="cs"/>
          <w:spacing w:val="-2"/>
          <w:rtl/>
        </w:rPr>
        <w:t> </w:t>
      </w:r>
      <w:r w:rsidRPr="004F0EC4">
        <w:rPr>
          <w:spacing w:val="-2"/>
          <w:rtl/>
        </w:rPr>
        <w:t>يتعلق بقضايا تشمل</w:t>
      </w:r>
      <w:r w:rsidRPr="004F0EC4">
        <w:rPr>
          <w:spacing w:val="-2"/>
          <w:vertAlign w:val="superscript"/>
          <w:rtl/>
        </w:rPr>
        <w:t>(</w:t>
      </w:r>
      <w:r w:rsidRPr="004F0EC4">
        <w:rPr>
          <w:spacing w:val="-2"/>
          <w:vertAlign w:val="superscript"/>
          <w:rtl/>
        </w:rPr>
        <w:footnoteReference w:id="41"/>
      </w:r>
      <w:r w:rsidRPr="004F0EC4">
        <w:rPr>
          <w:spacing w:val="-2"/>
          <w:vertAlign w:val="superscript"/>
          <w:rtl/>
        </w:rPr>
        <w:t>)</w:t>
      </w:r>
      <w:r w:rsidRPr="004F0EC4">
        <w:rPr>
          <w:spacing w:val="-2"/>
          <w:rtl/>
        </w:rPr>
        <w:t xml:space="preserve"> الحق في إتاحة إمكانية الوصول للجميع، والتحديات التي تواجه مقدمي الخدمات </w:t>
      </w:r>
      <w:r w:rsidRPr="004F0EC4">
        <w:rPr>
          <w:rtl/>
        </w:rPr>
        <w:t xml:space="preserve">العامة، ومعايير إمكانية الوصول في مجال البناء والتخطيط الحضري، والذي انضم إليه 681 5 شخصاً منذ إطلاق منصة التعلم </w:t>
      </w:r>
      <w:r w:rsidRPr="004F0EC4">
        <w:t>academia.senadis.cl</w:t>
      </w:r>
      <w:r w:rsidRPr="004F0EC4">
        <w:rPr>
          <w:rtl/>
        </w:rPr>
        <w:t>؛ و(ب) برنامج "زيادة الإدماج، تعلم كيفية الإدماج"</w:t>
      </w:r>
      <w:r w:rsidRPr="004F0EC4">
        <w:rPr>
          <w:vertAlign w:val="superscript"/>
          <w:rtl/>
        </w:rPr>
        <w:t>(</w:t>
      </w:r>
      <w:r w:rsidRPr="004F0EC4">
        <w:rPr>
          <w:vertAlign w:val="superscript"/>
          <w:rtl/>
        </w:rPr>
        <w:footnoteReference w:id="42"/>
      </w:r>
      <w:r w:rsidRPr="004F0EC4">
        <w:rPr>
          <w:vertAlign w:val="superscript"/>
          <w:rtl/>
        </w:rPr>
        <w:t>)</w:t>
      </w:r>
      <w:r w:rsidRPr="004F0EC4">
        <w:rPr>
          <w:rtl/>
        </w:rPr>
        <w:t>، الذي يتألف من مجتمع إلكتروني لتبادل الموارد التدريبية التي أعدتها الدائرة الوطنية لشؤون الأشخاص ذوي الإعاقة بدعم من منظمة العمل الدولية؛ و(ج) برنامج "الإدماج"</w:t>
      </w:r>
      <w:r w:rsidRPr="004F0EC4">
        <w:rPr>
          <w:vertAlign w:val="superscript"/>
          <w:rtl/>
        </w:rPr>
        <w:t>(</w:t>
      </w:r>
      <w:r w:rsidRPr="004F0EC4">
        <w:rPr>
          <w:vertAlign w:val="superscript"/>
          <w:rtl/>
        </w:rPr>
        <w:footnoteReference w:id="43"/>
      </w:r>
      <w:r w:rsidRPr="004F0EC4">
        <w:rPr>
          <w:vertAlign w:val="superscript"/>
          <w:rtl/>
        </w:rPr>
        <w:t>)</w:t>
      </w:r>
      <w:r w:rsidRPr="004F0EC4">
        <w:rPr>
          <w:rtl/>
        </w:rPr>
        <w:t>، وهو عبارة عن منصة إلكترونية للتواصل الشامل</w:t>
      </w:r>
      <w:r w:rsidRPr="004F0EC4">
        <w:rPr>
          <w:vertAlign w:val="superscript"/>
          <w:rtl/>
        </w:rPr>
        <w:t>(</w:t>
      </w:r>
      <w:r w:rsidRPr="004F0EC4">
        <w:rPr>
          <w:vertAlign w:val="superscript"/>
          <w:rtl/>
        </w:rPr>
        <w:footnoteReference w:id="44"/>
      </w:r>
      <w:r w:rsidRPr="004F0EC4">
        <w:rPr>
          <w:vertAlign w:val="superscript"/>
          <w:rtl/>
        </w:rPr>
        <w:t>)</w:t>
      </w:r>
      <w:r w:rsidRPr="004F0EC4">
        <w:rPr>
          <w:rtl/>
        </w:rPr>
        <w:t>.</w:t>
      </w:r>
    </w:p>
    <w:p w14:paraId="5C1BDD5F" w14:textId="77777777" w:rsidR="00C00FE8" w:rsidRPr="004F0EC4" w:rsidRDefault="00C00FE8" w:rsidP="00C00FE8">
      <w:pPr>
        <w:pStyle w:val="SingleTxtGA"/>
        <w:rPr>
          <w:rtl/>
        </w:rPr>
      </w:pPr>
      <w:r w:rsidRPr="004F0EC4">
        <w:rPr>
          <w:rtl/>
        </w:rPr>
        <w:lastRenderedPageBreak/>
        <w:t>33-</w:t>
      </w:r>
      <w:r w:rsidRPr="004F0EC4">
        <w:rPr>
          <w:rtl/>
        </w:rPr>
        <w:tab/>
        <w:t>ويشكل التواصل الشامل من منظور حقوقي بهدف التوعية والإعلام والتثقيف بشأن حقوق الأشخاص ذوي الإعاقة أحد محاور العمل التي يروج لها الصندوق الوطني للمبادرات الشاملة الذي تديره الدائرة الوطنية لشؤون الأشخاص ذوي الإعاقة. ويجب أن تتضمن جميع الأنشطة تدابير تهدف إلى تعزيز إمكانية الوصول للأشخاص ذوي الإعاقات الحسية و/أو الذهنية، كما يجب أن تُصمم من منظور قائم على الحقوق، وفقاً لاتفاقية حقوق الأشخاص ذوي الإعاقة وللقانون رقم 20-422</w:t>
      </w:r>
      <w:r w:rsidRPr="004F0EC4">
        <w:rPr>
          <w:vertAlign w:val="superscript"/>
          <w:rtl/>
        </w:rPr>
        <w:t>(</w:t>
      </w:r>
      <w:r w:rsidRPr="004F0EC4">
        <w:rPr>
          <w:vertAlign w:val="superscript"/>
          <w:rtl/>
        </w:rPr>
        <w:footnoteReference w:id="45"/>
      </w:r>
      <w:r w:rsidRPr="004F0EC4">
        <w:rPr>
          <w:vertAlign w:val="superscript"/>
          <w:rtl/>
        </w:rPr>
        <w:t>)</w:t>
      </w:r>
      <w:r w:rsidRPr="004F0EC4">
        <w:rPr>
          <w:rtl/>
        </w:rPr>
        <w:t>.</w:t>
      </w:r>
    </w:p>
    <w:p w14:paraId="3408735C" w14:textId="086D3F67" w:rsidR="00C00FE8" w:rsidRPr="004F0EC4" w:rsidRDefault="00C00FE8" w:rsidP="00C00FE8">
      <w:pPr>
        <w:pStyle w:val="SingleTxtGA"/>
      </w:pPr>
      <w:r w:rsidRPr="004F0EC4">
        <w:rPr>
          <w:rtl/>
        </w:rPr>
        <w:t>34-</w:t>
      </w:r>
      <w:r w:rsidRPr="004F0EC4">
        <w:rPr>
          <w:rtl/>
        </w:rPr>
        <w:tab/>
        <w:t>وأطلقت الدائرة الوطنية لشؤون الأشخاص ذوي الإعاقة حملات ركزت على ما يلي</w:t>
      </w:r>
      <w:r w:rsidRPr="004F0EC4">
        <w:rPr>
          <w:vertAlign w:val="superscript"/>
          <w:rtl/>
        </w:rPr>
        <w:t>(</w:t>
      </w:r>
      <w:r w:rsidRPr="004F0EC4">
        <w:rPr>
          <w:vertAlign w:val="superscript"/>
          <w:rtl/>
        </w:rPr>
        <w:footnoteReference w:id="46"/>
      </w:r>
      <w:r w:rsidRPr="004F0EC4">
        <w:rPr>
          <w:vertAlign w:val="superscript"/>
          <w:rtl/>
        </w:rPr>
        <w:t>)</w:t>
      </w:r>
      <w:r w:rsidRPr="004F0EC4">
        <w:rPr>
          <w:rtl/>
        </w:rPr>
        <w:t>: (أ) اليوم الدولي للأشخاص ذوي الإعاقة؛ و(ب) تشجيع الاستخدام الصحيح للمصطلحات المتعلقة بالإعاقة وكيفية التعامل مع الأشخاص ذوي الإعاقة؛ و(ج) القانون رقم 21-015؛ و(د) الحملة العالمية من أجل معاملة الأطفال ذوي الإعاقة معاملة لائقة في جميع أنحاء العالم</w:t>
      </w:r>
      <w:r w:rsidR="00A27310" w:rsidRPr="004F0EC4">
        <w:rPr>
          <w:rFonts w:hint="cs"/>
          <w:rtl/>
        </w:rPr>
        <w:t xml:space="preserve"> </w:t>
      </w:r>
      <w:r w:rsidRPr="004F0EC4">
        <w:rPr>
          <w:rtl/>
        </w:rPr>
        <w:t>(2019)</w:t>
      </w:r>
      <w:r w:rsidR="00A27310" w:rsidRPr="004F0EC4">
        <w:rPr>
          <w:vertAlign w:val="superscript"/>
          <w:rtl/>
        </w:rPr>
        <w:t>(</w:t>
      </w:r>
      <w:r w:rsidR="00A27310" w:rsidRPr="004F0EC4">
        <w:rPr>
          <w:vertAlign w:val="superscript"/>
          <w:rtl/>
        </w:rPr>
        <w:footnoteReference w:id="47"/>
      </w:r>
      <w:r w:rsidR="00A27310" w:rsidRPr="004F0EC4">
        <w:rPr>
          <w:vertAlign w:val="superscript"/>
          <w:rtl/>
        </w:rPr>
        <w:t>)</w:t>
      </w:r>
      <w:r w:rsidRPr="004F0EC4">
        <w:rPr>
          <w:rtl/>
        </w:rPr>
        <w:t>؛ و(ه) برنامج "انطلق نحو الاندماج" (2019)؛ و(و) استراتيجية الاتصالات الرامية إلى التوعية بالخطة الوطنية لتصنيف الإعاقة وإصدار الشهادات (2020)؛ و(ز) أنشطة التوعية في سياق الأزمة الصحية المرتبطة بمرض فيروس كوفيد</w:t>
      </w:r>
      <w:r w:rsidRPr="004F0EC4">
        <w:rPr>
          <w:spacing w:val="-4"/>
          <w:rtl/>
        </w:rPr>
        <w:t xml:space="preserve">-19؛ و(ح) الترويج لشعار </w:t>
      </w:r>
      <w:r w:rsidR="00E22186" w:rsidRPr="004F0EC4">
        <w:rPr>
          <w:rFonts w:hint="cs"/>
          <w:spacing w:val="-4"/>
          <w:rtl/>
        </w:rPr>
        <w:t>"</w:t>
      </w:r>
      <w:r w:rsidRPr="004F0EC4">
        <w:rPr>
          <w:spacing w:val="-4"/>
          <w:rtl/>
        </w:rPr>
        <w:t>شيلي الشاملة</w:t>
      </w:r>
      <w:r w:rsidR="00E22186" w:rsidRPr="004F0EC4">
        <w:rPr>
          <w:rFonts w:hint="cs"/>
          <w:spacing w:val="-4"/>
          <w:rtl/>
        </w:rPr>
        <w:t>"</w:t>
      </w:r>
      <w:r w:rsidRPr="004F0EC4">
        <w:rPr>
          <w:spacing w:val="-4"/>
          <w:rtl/>
        </w:rPr>
        <w:t>؛ و(ط) وحملة "صيف الشمولية" (2016 و2017 و2018)؛</w:t>
      </w:r>
      <w:r w:rsidRPr="004F0EC4">
        <w:rPr>
          <w:rtl/>
        </w:rPr>
        <w:t xml:space="preserve"> و(ي) الذكرى السنوية العاشرة لاتفاقية حقوق الأشخاص ذوي الإعاقة (2016)؛ و(ك) أنشطة التوعية بالخدمات المتاحة والمواضيع المهمة (2022).</w:t>
      </w:r>
    </w:p>
    <w:p w14:paraId="433E4ED6" w14:textId="77777777" w:rsidR="00C00FE8" w:rsidRPr="004F0EC4" w:rsidRDefault="00C00FE8" w:rsidP="00C00FE8">
      <w:pPr>
        <w:pStyle w:val="SingleTxtGA"/>
      </w:pPr>
      <w:r w:rsidRPr="004F0EC4">
        <w:rPr>
          <w:rtl/>
        </w:rPr>
        <w:t>35-</w:t>
      </w:r>
      <w:r w:rsidRPr="004F0EC4">
        <w:rPr>
          <w:rtl/>
        </w:rPr>
        <w:tab/>
        <w:t xml:space="preserve">ونظم مكتب الوزير والأمين العام للحكومة حملة إعلامية لتشجيع الاستخدام اللغوي الصحيح، وهي حملة لا تزال </w:t>
      </w:r>
      <w:proofErr w:type="gramStart"/>
      <w:r w:rsidRPr="004F0EC4">
        <w:rPr>
          <w:rtl/>
        </w:rPr>
        <w:t>مستمرة</w:t>
      </w:r>
      <w:r w:rsidRPr="004F0EC4">
        <w:rPr>
          <w:vertAlign w:val="superscript"/>
          <w:rtl/>
        </w:rPr>
        <w:t>(</w:t>
      </w:r>
      <w:proofErr w:type="gramEnd"/>
      <w:r w:rsidRPr="004F0EC4">
        <w:rPr>
          <w:vertAlign w:val="superscript"/>
          <w:rtl/>
        </w:rPr>
        <w:footnoteReference w:id="48"/>
      </w:r>
      <w:r w:rsidRPr="004F0EC4">
        <w:rPr>
          <w:vertAlign w:val="superscript"/>
          <w:rtl/>
        </w:rPr>
        <w:t>)</w:t>
      </w:r>
      <w:r w:rsidRPr="004F0EC4">
        <w:rPr>
          <w:rtl/>
        </w:rPr>
        <w:t>.</w:t>
      </w:r>
    </w:p>
    <w:p w14:paraId="48634D58" w14:textId="608D1D38" w:rsidR="00C00FE8" w:rsidRPr="004F0EC4" w:rsidRDefault="00C00FE8" w:rsidP="00C00FE8">
      <w:pPr>
        <w:pStyle w:val="SingleTxtGA"/>
        <w:rPr>
          <w:rtl/>
        </w:rPr>
      </w:pPr>
      <w:r w:rsidRPr="004F0EC4">
        <w:rPr>
          <w:rtl/>
        </w:rPr>
        <w:t>36-</w:t>
      </w:r>
      <w:r w:rsidRPr="004F0EC4">
        <w:rPr>
          <w:rtl/>
        </w:rPr>
        <w:tab/>
      </w:r>
      <w:r w:rsidRPr="004F0EC4">
        <w:rPr>
          <w:spacing w:val="-4"/>
          <w:rtl/>
        </w:rPr>
        <w:t>ووضعت الدائرة الوطنية لشؤون الأشخاص ذوي الإعاقة آليات متنوعة للتشاور مع منظمات الأشخاص ذوي الإعاقة والمنظمات العاملة من أجلهم. وشملت هذه الآليات ما يلي: (أ) مشاورات شاملة حول الخطة</w:t>
      </w:r>
      <w:r w:rsidRPr="004F0EC4">
        <w:rPr>
          <w:rtl/>
        </w:rPr>
        <w:t xml:space="preserve"> الوطنية لتصنيف الإعاقة وإصدار الشهادات التي أجريت في الفترة من تشرين الأول/أكتوبر 2019 إلى شباط/فبراير 2020 (مشار إليها في الفقرة 13)؛ و(ب) تشكيل لجان إقليمية للمجتمع المدني واللجنة الاستشارية الوطنية لشؤون الإعاقة</w:t>
      </w:r>
      <w:r w:rsidRPr="004F0EC4">
        <w:rPr>
          <w:vertAlign w:val="superscript"/>
          <w:rtl/>
        </w:rPr>
        <w:t>(</w:t>
      </w:r>
      <w:r w:rsidRPr="004F0EC4">
        <w:rPr>
          <w:vertAlign w:val="superscript"/>
          <w:rtl/>
        </w:rPr>
        <w:footnoteReference w:id="49"/>
      </w:r>
      <w:r w:rsidRPr="004F0EC4">
        <w:rPr>
          <w:vertAlign w:val="superscript"/>
          <w:rtl/>
        </w:rPr>
        <w:t>)</w:t>
      </w:r>
      <w:r w:rsidRPr="004F0EC4">
        <w:rPr>
          <w:rtl/>
        </w:rPr>
        <w:t>؛ و(ج) برنامج المناصرة المعنون "</w:t>
      </w:r>
      <w:proofErr w:type="spellStart"/>
      <w:r w:rsidRPr="004F0EC4">
        <w:rPr>
          <w:rtl/>
        </w:rPr>
        <w:t>باييس</w:t>
      </w:r>
      <w:proofErr w:type="spellEnd"/>
      <w:r w:rsidRPr="004F0EC4">
        <w:rPr>
          <w:rtl/>
        </w:rPr>
        <w:t xml:space="preserve"> دي – شيلي من أجل ذوي </w:t>
      </w:r>
      <w:r w:rsidRPr="004F0EC4">
        <w:rPr>
          <w:spacing w:val="-4"/>
          <w:rtl/>
        </w:rPr>
        <w:t>الإعاقة الذهنية"</w:t>
      </w:r>
      <w:r w:rsidRPr="004F0EC4">
        <w:rPr>
          <w:spacing w:val="-4"/>
          <w:vertAlign w:val="superscript"/>
          <w:rtl/>
        </w:rPr>
        <w:t>(</w:t>
      </w:r>
      <w:r w:rsidRPr="004F0EC4">
        <w:rPr>
          <w:spacing w:val="-4"/>
          <w:vertAlign w:val="superscript"/>
          <w:rtl/>
        </w:rPr>
        <w:footnoteReference w:id="50"/>
      </w:r>
      <w:r w:rsidRPr="004F0EC4">
        <w:rPr>
          <w:spacing w:val="-4"/>
          <w:vertAlign w:val="superscript"/>
          <w:rtl/>
        </w:rPr>
        <w:t>)</w:t>
      </w:r>
      <w:r w:rsidRPr="004F0EC4">
        <w:rPr>
          <w:spacing w:val="-4"/>
          <w:rtl/>
        </w:rPr>
        <w:t>، الذي أُطلق في عام 2019 بدعم من الدائرة الوطنية لشؤون الأشخاص ذوي الإعاقة</w:t>
      </w:r>
      <w:r w:rsidRPr="004F0EC4">
        <w:rPr>
          <w:spacing w:val="-4"/>
          <w:vertAlign w:val="superscript"/>
          <w:rtl/>
        </w:rPr>
        <w:t>(</w:t>
      </w:r>
      <w:r w:rsidRPr="004F0EC4">
        <w:rPr>
          <w:spacing w:val="-4"/>
          <w:vertAlign w:val="superscript"/>
          <w:rtl/>
        </w:rPr>
        <w:footnoteReference w:id="51"/>
      </w:r>
      <w:r w:rsidRPr="004F0EC4">
        <w:rPr>
          <w:spacing w:val="-4"/>
          <w:vertAlign w:val="superscript"/>
          <w:rtl/>
        </w:rPr>
        <w:t>)</w:t>
      </w:r>
      <w:r w:rsidRPr="004F0EC4">
        <w:rPr>
          <w:rtl/>
        </w:rPr>
        <w:t xml:space="preserve"> بهدف تعزيز المشاركة الاجتماعية في شؤون الإعاقة الذهنية، والذي يقوده أشخاص ذوو إعاقات ذهنية </w:t>
      </w:r>
      <w:r w:rsidRPr="004F0EC4">
        <w:rPr>
          <w:rtl/>
        </w:rPr>
        <w:lastRenderedPageBreak/>
        <w:t xml:space="preserve">بالتعاون مع أفراد أسرهم ومهنيين وأكاديميين، والذي أنشئت في إطاره لجان إقليمية ومدارس </w:t>
      </w:r>
      <w:r w:rsidRPr="004F0EC4">
        <w:rPr>
          <w:spacing w:val="-2"/>
          <w:rtl/>
        </w:rPr>
        <w:t xml:space="preserve">في 14 منطقة من مناطق البلد، إلى جانب تأسيس الموقع الشبكي </w:t>
      </w:r>
      <w:hyperlink r:id="rId10" w:history="1">
        <w:r w:rsidRPr="004F0EC4">
          <w:rPr>
            <w:rStyle w:val="Hyperlink"/>
            <w:spacing w:val="-2"/>
          </w:rPr>
          <w:t>https://paisdi.senadis.cl/</w:t>
        </w:r>
      </w:hyperlink>
      <w:r w:rsidRPr="004F0EC4">
        <w:rPr>
          <w:spacing w:val="-2"/>
          <w:rtl/>
        </w:rPr>
        <w:t xml:space="preserve"> للإبلاغ عن الأنشطة المنفذة؛ و(د) برنامج </w:t>
      </w:r>
      <w:r w:rsidR="00E22186" w:rsidRPr="004F0EC4">
        <w:rPr>
          <w:rFonts w:hint="cs"/>
          <w:spacing w:val="-2"/>
          <w:rtl/>
        </w:rPr>
        <w:t>"</w:t>
      </w:r>
      <w:r w:rsidRPr="004F0EC4">
        <w:rPr>
          <w:spacing w:val="-2"/>
          <w:rtl/>
        </w:rPr>
        <w:t>زيادة الإدماج، تعلم كيفية الإدماج</w:t>
      </w:r>
      <w:r w:rsidR="00E22186" w:rsidRPr="004F0EC4">
        <w:rPr>
          <w:rFonts w:hint="cs"/>
          <w:spacing w:val="-2"/>
          <w:rtl/>
        </w:rPr>
        <w:t>"</w:t>
      </w:r>
      <w:r w:rsidRPr="004F0EC4">
        <w:rPr>
          <w:spacing w:val="-2"/>
          <w:rtl/>
        </w:rPr>
        <w:t>، الذي يُنفَّذ بدعم من منظمة العمل الدولية (انظر</w:t>
      </w:r>
      <w:r w:rsidR="00E22186" w:rsidRPr="004F0EC4">
        <w:rPr>
          <w:rFonts w:hint="cs"/>
          <w:spacing w:val="-2"/>
          <w:rtl/>
        </w:rPr>
        <w:t> </w:t>
      </w:r>
      <w:r w:rsidRPr="004F0EC4">
        <w:rPr>
          <w:spacing w:val="-2"/>
          <w:rtl/>
        </w:rPr>
        <w:t>الفقرتين 18 و32)؛ و(ه) عقد ندوة استمرت يوماً كاملاً للتفكير في الاحتجاجات الاجتماعية</w:t>
      </w:r>
      <w:r w:rsidRPr="004F0EC4">
        <w:rPr>
          <w:rtl/>
        </w:rPr>
        <w:t xml:space="preserve"> التي اندلعت في تشرين الأول/أكتوبر 2019 شارك فيها أكثر من 74 ممثلاً لمنظمات اجتماعية تضم </w:t>
      </w:r>
      <w:r w:rsidRPr="004F0EC4">
        <w:rPr>
          <w:spacing w:val="-4"/>
          <w:rtl/>
        </w:rPr>
        <w:t>أشخاصاً ذوي إعاقة أو تعمل من أجلهم، وذلك بهدف تعزيز مشاركة الأشخاص ذوي الإعاقة واستقاء توصياتهم</w:t>
      </w:r>
      <w:r w:rsidRPr="004F0EC4">
        <w:rPr>
          <w:rtl/>
        </w:rPr>
        <w:t xml:space="preserve"> </w:t>
      </w:r>
      <w:r w:rsidRPr="004F0EC4">
        <w:rPr>
          <w:spacing w:val="-4"/>
          <w:rtl/>
        </w:rPr>
        <w:t>بشأن آليات الحوار الشامل</w:t>
      </w:r>
      <w:r w:rsidRPr="004F0EC4">
        <w:rPr>
          <w:spacing w:val="-4"/>
          <w:vertAlign w:val="superscript"/>
          <w:rtl/>
        </w:rPr>
        <w:t>(</w:t>
      </w:r>
      <w:r w:rsidRPr="004F0EC4">
        <w:rPr>
          <w:spacing w:val="-4"/>
          <w:vertAlign w:val="superscript"/>
          <w:rtl/>
        </w:rPr>
        <w:footnoteReference w:id="52"/>
      </w:r>
      <w:r w:rsidRPr="004F0EC4">
        <w:rPr>
          <w:spacing w:val="-4"/>
          <w:vertAlign w:val="superscript"/>
          <w:rtl/>
        </w:rPr>
        <w:t>)</w:t>
      </w:r>
      <w:r w:rsidRPr="004F0EC4">
        <w:rPr>
          <w:spacing w:val="-4"/>
          <w:rtl/>
        </w:rPr>
        <w:t>؛</w:t>
      </w:r>
      <w:r w:rsidRPr="004F0EC4">
        <w:rPr>
          <w:rFonts w:hint="cs"/>
          <w:spacing w:val="-4"/>
          <w:rtl/>
        </w:rPr>
        <w:t xml:space="preserve"> </w:t>
      </w:r>
      <w:r w:rsidRPr="004F0EC4">
        <w:rPr>
          <w:spacing w:val="-4"/>
          <w:rtl/>
        </w:rPr>
        <w:t>و(و) الندوة الوطنية لإدماج الأشخاص ذوي الإعاقة، التي أرشدت استنتاجاتها</w:t>
      </w:r>
      <w:r w:rsidRPr="004F0EC4">
        <w:rPr>
          <w:rtl/>
        </w:rPr>
        <w:t xml:space="preserve"> مبادرة</w:t>
      </w:r>
      <w:r w:rsidR="00E22186" w:rsidRPr="004F0EC4">
        <w:rPr>
          <w:rFonts w:hint="cs"/>
          <w:rtl/>
        </w:rPr>
        <w:t> </w:t>
      </w:r>
      <w:r w:rsidRPr="004F0EC4">
        <w:rPr>
          <w:rtl/>
        </w:rPr>
        <w:t>"شيلي التي نريدها"، والتي شكلت منتدى للحوار والاستماع الاجتماعي بهدف وضع خريطة طريق تدمج اقتراحات المواطنين في الأجندة الاجتماعية الجديدة لما بعد تشرين الأول/أكتوبر 2019</w:t>
      </w:r>
      <w:r w:rsidRPr="004F0EC4">
        <w:rPr>
          <w:vertAlign w:val="superscript"/>
          <w:rtl/>
        </w:rPr>
        <w:t>(</w:t>
      </w:r>
      <w:r w:rsidRPr="004F0EC4">
        <w:rPr>
          <w:vertAlign w:val="superscript"/>
          <w:rtl/>
        </w:rPr>
        <w:footnoteReference w:id="53"/>
      </w:r>
      <w:r w:rsidRPr="004F0EC4">
        <w:rPr>
          <w:vertAlign w:val="superscript"/>
          <w:rtl/>
        </w:rPr>
        <w:t>)</w:t>
      </w:r>
      <w:r w:rsidRPr="004F0EC4">
        <w:rPr>
          <w:rtl/>
        </w:rPr>
        <w:t>؛ و(ز)</w:t>
      </w:r>
      <w:r w:rsidRPr="004F0EC4">
        <w:rPr>
          <w:rFonts w:hint="cs"/>
          <w:rtl/>
        </w:rPr>
        <w:t> </w:t>
      </w:r>
      <w:r w:rsidRPr="004F0EC4">
        <w:rPr>
          <w:rtl/>
        </w:rPr>
        <w:t>المشاورات العامة التي نظمت في عام 2020 لجمع الآراء ووجهات النظر بشأن تنفيذ القانون رقم</w:t>
      </w:r>
      <w:r w:rsidRPr="004F0EC4">
        <w:rPr>
          <w:rFonts w:hint="cs"/>
          <w:rtl/>
        </w:rPr>
        <w:t> </w:t>
      </w:r>
      <w:r w:rsidRPr="004F0EC4">
        <w:rPr>
          <w:rtl/>
        </w:rPr>
        <w:t>21-015 (الفقرة 16)؛ و(ح) تركيز المشاورات الإقليمية الشاملة في عام 2022 على تعزيز منظمات الأشخاص ذوي الإعاقة أو</w:t>
      </w:r>
      <w:r w:rsidRPr="004F0EC4">
        <w:rPr>
          <w:rFonts w:hint="cs"/>
          <w:rtl/>
        </w:rPr>
        <w:t> </w:t>
      </w:r>
      <w:r w:rsidRPr="004F0EC4">
        <w:rPr>
          <w:rtl/>
        </w:rPr>
        <w:t>المنظمات العاملة من أجلهم، وتزويدها بالمعلومات والمهارات اللازمة لتيسير مشاركتها في الآليات التي أنشأتها الحكومة المركزية والمؤسسات العامة المحلية.</w:t>
      </w:r>
    </w:p>
    <w:p w14:paraId="249B0E80" w14:textId="77777777" w:rsidR="00C00FE8" w:rsidRPr="004F0EC4" w:rsidRDefault="00C00FE8" w:rsidP="00C00FE8">
      <w:pPr>
        <w:pStyle w:val="H1GA"/>
        <w:rPr>
          <w:lang w:val="en-US"/>
        </w:rPr>
      </w:pPr>
      <w:r w:rsidRPr="004F0EC4">
        <w:rPr>
          <w:rtl/>
          <w:lang w:val="en-US"/>
        </w:rPr>
        <w:tab/>
      </w:r>
      <w:r w:rsidRPr="004F0EC4">
        <w:rPr>
          <w:rtl/>
          <w:lang w:val="en-US"/>
        </w:rPr>
        <w:tab/>
        <w:t>المادة 9</w:t>
      </w:r>
    </w:p>
    <w:p w14:paraId="6B87FCB2" w14:textId="288E5F70" w:rsidR="00C00FE8" w:rsidRPr="004F0EC4" w:rsidRDefault="00C00FE8" w:rsidP="00C00FE8">
      <w:pPr>
        <w:pStyle w:val="SingleTxtGA"/>
        <w:rPr>
          <w:spacing w:val="2"/>
        </w:rPr>
      </w:pPr>
      <w:r w:rsidRPr="004F0EC4">
        <w:rPr>
          <w:rtl/>
        </w:rPr>
        <w:t>37-</w:t>
      </w:r>
      <w:r w:rsidRPr="004F0EC4">
        <w:rPr>
          <w:rtl/>
        </w:rPr>
        <w:tab/>
      </w:r>
      <w:r w:rsidRPr="004F0EC4">
        <w:rPr>
          <w:spacing w:val="2"/>
          <w:rtl/>
        </w:rPr>
        <w:t xml:space="preserve">تحدد خطة </w:t>
      </w:r>
      <w:r w:rsidR="00E22186" w:rsidRPr="004F0EC4">
        <w:rPr>
          <w:rFonts w:hint="cs"/>
          <w:spacing w:val="2"/>
          <w:rtl/>
        </w:rPr>
        <w:t>"</w:t>
      </w:r>
      <w:r w:rsidRPr="004F0EC4">
        <w:rPr>
          <w:spacing w:val="2"/>
          <w:rtl/>
        </w:rPr>
        <w:t>شيلي الميسرة</w:t>
      </w:r>
      <w:r w:rsidR="00E22186" w:rsidRPr="004F0EC4">
        <w:rPr>
          <w:rFonts w:hint="cs"/>
          <w:spacing w:val="2"/>
          <w:rtl/>
        </w:rPr>
        <w:t>"</w:t>
      </w:r>
      <w:r w:rsidRPr="004F0EC4">
        <w:rPr>
          <w:spacing w:val="2"/>
          <w:rtl/>
        </w:rPr>
        <w:t xml:space="preserve"> التي وضعتها الدائرة الوطنية لشؤون الأشخاص ذوي الإعاقة منهجية أساسية لوضع خطط إقليمية لتيسير الوصول. وفي عام 2017، أصدرت الدائرة، بالتعاون مع وزارة الإسكان والتخطيط الحضري ووزارة الأشغال العامة ووزارة الموارد العامة ووزارة الأشغال العامة والنقل</w:t>
      </w:r>
      <w:r w:rsidR="00E22186" w:rsidRPr="004F0EC4">
        <w:rPr>
          <w:rFonts w:hint="cs"/>
          <w:spacing w:val="2"/>
          <w:rtl/>
        </w:rPr>
        <w:t> </w:t>
      </w:r>
      <w:r w:rsidRPr="004F0EC4">
        <w:rPr>
          <w:spacing w:val="2"/>
          <w:rtl/>
        </w:rPr>
        <w:t xml:space="preserve">والاتصالات السلكية واللاسلكية، دليلاً بعنوان </w:t>
      </w:r>
      <w:r w:rsidR="00E22186" w:rsidRPr="004F0EC4">
        <w:rPr>
          <w:rFonts w:hint="cs"/>
          <w:spacing w:val="2"/>
          <w:rtl/>
        </w:rPr>
        <w:t>"</w:t>
      </w:r>
      <w:r w:rsidRPr="004F0EC4">
        <w:rPr>
          <w:spacing w:val="2"/>
          <w:rtl/>
        </w:rPr>
        <w:t>شيلي الميسرة: الأسس المنهجية لتنفيذ خطة إقليمية لتيسير الوصول</w:t>
      </w:r>
      <w:r w:rsidR="00E22186" w:rsidRPr="004F0EC4">
        <w:rPr>
          <w:rFonts w:hint="cs"/>
          <w:spacing w:val="2"/>
          <w:rtl/>
        </w:rPr>
        <w:t>"</w:t>
      </w:r>
      <w:r w:rsidRPr="004F0EC4">
        <w:rPr>
          <w:spacing w:val="2"/>
          <w:vertAlign w:val="superscript"/>
          <w:rtl/>
        </w:rPr>
        <w:t>(</w:t>
      </w:r>
      <w:r w:rsidRPr="004F0EC4">
        <w:rPr>
          <w:spacing w:val="2"/>
          <w:vertAlign w:val="superscript"/>
          <w:rtl/>
        </w:rPr>
        <w:footnoteReference w:id="54"/>
      </w:r>
      <w:r w:rsidRPr="004F0EC4">
        <w:rPr>
          <w:spacing w:val="2"/>
          <w:vertAlign w:val="superscript"/>
          <w:rtl/>
        </w:rPr>
        <w:t>)</w:t>
      </w:r>
      <w:r w:rsidRPr="004F0EC4">
        <w:rPr>
          <w:spacing w:val="2"/>
          <w:rtl/>
        </w:rPr>
        <w:t>.</w:t>
      </w:r>
    </w:p>
    <w:p w14:paraId="5AF61B58" w14:textId="77777777" w:rsidR="00C00FE8" w:rsidRPr="004F0EC4" w:rsidRDefault="00C00FE8" w:rsidP="00C00FE8">
      <w:pPr>
        <w:pStyle w:val="SingleTxtGA"/>
        <w:rPr>
          <w:rtl/>
        </w:rPr>
      </w:pPr>
      <w:r w:rsidRPr="004F0EC4">
        <w:rPr>
          <w:rtl/>
        </w:rPr>
        <w:t>38-</w:t>
      </w:r>
      <w:r w:rsidRPr="004F0EC4">
        <w:rPr>
          <w:spacing w:val="-4"/>
          <w:rtl/>
        </w:rPr>
        <w:tab/>
        <w:t>وفي تشرين الأول/أكتوبر 2021، أنشأت وزارة التنمية الاجتماعية وخدمات الأسرة، بموجب المرسوم رقم 37</w:t>
      </w:r>
      <w:r w:rsidRPr="004F0EC4">
        <w:rPr>
          <w:spacing w:val="-4"/>
          <w:vertAlign w:val="superscript"/>
          <w:rtl/>
        </w:rPr>
        <w:t>(</w:t>
      </w:r>
      <w:r w:rsidRPr="004F0EC4">
        <w:rPr>
          <w:spacing w:val="-4"/>
          <w:vertAlign w:val="superscript"/>
          <w:rtl/>
        </w:rPr>
        <w:footnoteReference w:id="55"/>
      </w:r>
      <w:r w:rsidRPr="004F0EC4">
        <w:rPr>
          <w:spacing w:val="-4"/>
          <w:vertAlign w:val="superscript"/>
          <w:rtl/>
        </w:rPr>
        <w:t>)</w:t>
      </w:r>
      <w:r w:rsidRPr="004F0EC4">
        <w:rPr>
          <w:spacing w:val="-4"/>
          <w:rtl/>
        </w:rPr>
        <w:t xml:space="preserve">، لجنة استشارية رئاسية جديدة، هي لجنة تيسير الوصول الشامل للأشخاص ذوي </w:t>
      </w:r>
      <w:proofErr w:type="gramStart"/>
      <w:r w:rsidRPr="004F0EC4">
        <w:rPr>
          <w:spacing w:val="-4"/>
          <w:rtl/>
        </w:rPr>
        <w:t>الإعاقة</w:t>
      </w:r>
      <w:r w:rsidRPr="004F0EC4">
        <w:rPr>
          <w:spacing w:val="-4"/>
          <w:vertAlign w:val="superscript"/>
          <w:rtl/>
        </w:rPr>
        <w:t>(</w:t>
      </w:r>
      <w:proofErr w:type="gramEnd"/>
      <w:r w:rsidRPr="004F0EC4">
        <w:rPr>
          <w:spacing w:val="-4"/>
          <w:vertAlign w:val="superscript"/>
          <w:rtl/>
        </w:rPr>
        <w:footnoteReference w:id="56"/>
      </w:r>
      <w:r w:rsidRPr="004F0EC4">
        <w:rPr>
          <w:spacing w:val="-4"/>
          <w:vertAlign w:val="superscript"/>
          <w:rtl/>
        </w:rPr>
        <w:t>)</w:t>
      </w:r>
      <w:r w:rsidRPr="004F0EC4">
        <w:rPr>
          <w:spacing w:val="-4"/>
          <w:rtl/>
        </w:rPr>
        <w:t>، وكُلفت هذه اللجنة بصياغة مقترح خطة وطنية لتيسير الوصول الشامل تنفَّذ أثناء الفترة 2022-2032.</w:t>
      </w:r>
      <w:r w:rsidRPr="004F0EC4">
        <w:rPr>
          <w:rtl/>
        </w:rPr>
        <w:t xml:space="preserve"> وطُرحت الخطة في كانون الأول/ديسمبر 2021 واعتمدت بوصفها التزاماً رئاسياً في حزيران/</w:t>
      </w:r>
      <w:proofErr w:type="gramStart"/>
      <w:r w:rsidRPr="004F0EC4">
        <w:rPr>
          <w:rtl/>
        </w:rPr>
        <w:t>يونيه</w:t>
      </w:r>
      <w:proofErr w:type="gramEnd"/>
      <w:r w:rsidRPr="004F0EC4">
        <w:rPr>
          <w:rtl/>
        </w:rPr>
        <w:t xml:space="preserve"> 2022. </w:t>
      </w:r>
      <w:r w:rsidRPr="004F0EC4">
        <w:rPr>
          <w:rtl/>
        </w:rPr>
        <w:lastRenderedPageBreak/>
        <w:t xml:space="preserve">وتتوخى الخطة الوطنية للوصول </w:t>
      </w:r>
      <w:proofErr w:type="gramStart"/>
      <w:r w:rsidRPr="004F0EC4">
        <w:rPr>
          <w:rtl/>
        </w:rPr>
        <w:t>الشامل</w:t>
      </w:r>
      <w:r w:rsidRPr="004F0EC4">
        <w:rPr>
          <w:vertAlign w:val="superscript"/>
          <w:rtl/>
        </w:rPr>
        <w:t>(</w:t>
      </w:r>
      <w:proofErr w:type="gramEnd"/>
      <w:r w:rsidRPr="004F0EC4">
        <w:rPr>
          <w:vertAlign w:val="superscript"/>
          <w:rtl/>
        </w:rPr>
        <w:footnoteReference w:id="57"/>
      </w:r>
      <w:r w:rsidRPr="004F0EC4">
        <w:rPr>
          <w:vertAlign w:val="superscript"/>
          <w:rtl/>
        </w:rPr>
        <w:t>)</w:t>
      </w:r>
      <w:r w:rsidRPr="004F0EC4">
        <w:rPr>
          <w:rtl/>
        </w:rPr>
        <w:t xml:space="preserve"> تحسين إمكانية الوصول إلى البيئات المادية ووسائل الاتصالات وتكنولوجيا المعلومات والممارسات الخاصة بمقدمي الخدمات للمواطنين، وذلك بتطبيق مبادئ التصميم الشامل.</w:t>
      </w:r>
    </w:p>
    <w:p w14:paraId="2E83E15A" w14:textId="2695B185" w:rsidR="00C00FE8" w:rsidRPr="004F0EC4" w:rsidRDefault="00C00FE8" w:rsidP="00C00FE8">
      <w:pPr>
        <w:pStyle w:val="SingleTxtGA"/>
      </w:pPr>
      <w:r w:rsidRPr="004F0EC4">
        <w:rPr>
          <w:rtl/>
        </w:rPr>
        <w:t>39-</w:t>
      </w:r>
      <w:r w:rsidRPr="004F0EC4">
        <w:rPr>
          <w:rtl/>
        </w:rPr>
        <w:tab/>
        <w:t xml:space="preserve">ونظمت الدائرة الوطنية لشؤون الأشخاص ذوي الإعاقة، في إطار برنامجها المعنون </w:t>
      </w:r>
      <w:r w:rsidR="00E22186" w:rsidRPr="004F0EC4">
        <w:rPr>
          <w:rFonts w:hint="cs"/>
          <w:rtl/>
        </w:rPr>
        <w:t>"</w:t>
      </w:r>
      <w:r w:rsidRPr="004F0EC4">
        <w:rPr>
          <w:rtl/>
        </w:rPr>
        <w:t>إمكانية</w:t>
      </w:r>
      <w:r w:rsidR="00E22186" w:rsidRPr="004F0EC4">
        <w:rPr>
          <w:rFonts w:hint="cs"/>
          <w:rtl/>
        </w:rPr>
        <w:t> </w:t>
      </w:r>
      <w:r w:rsidRPr="004F0EC4">
        <w:rPr>
          <w:rtl/>
        </w:rPr>
        <w:t>الوصول في المؤسسات العامة</w:t>
      </w:r>
      <w:r w:rsidR="00E22186" w:rsidRPr="004F0EC4">
        <w:rPr>
          <w:rFonts w:hint="cs"/>
          <w:rtl/>
        </w:rPr>
        <w:t>"</w:t>
      </w:r>
      <w:r w:rsidRPr="004F0EC4">
        <w:rPr>
          <w:rtl/>
        </w:rPr>
        <w:t>، دورات تدريبية للموظفين العموميين بشأن تيسير دخول المباني والأماكن العامة والوصول إلى المعلومات والاتصالات. كما وفر هذا البرنامج الإطار اللازم لتنفيذ تقييمات وخطط لتيسير الوصول في المباني العامة على الصعيد الوطني. وفي عامي 2021 و2022 معاً، نُشر تقارير حول إمكانية الوصول إلى 180 مبنى عاماً على مستوى البلد. وللاطلاع على تفاصيل تطورات أخرى في مجال تيسير الوصول، انظر المرفق 3.</w:t>
      </w:r>
    </w:p>
    <w:p w14:paraId="14690022" w14:textId="77777777" w:rsidR="00C00FE8" w:rsidRPr="004F0EC4" w:rsidRDefault="00C00FE8" w:rsidP="00C00FE8">
      <w:pPr>
        <w:pStyle w:val="SingleTxtGA"/>
        <w:rPr>
          <w:rtl/>
        </w:rPr>
      </w:pPr>
      <w:r w:rsidRPr="004F0EC4">
        <w:rPr>
          <w:rtl/>
        </w:rPr>
        <w:t>40-</w:t>
      </w:r>
      <w:r w:rsidRPr="004F0EC4">
        <w:rPr>
          <w:rtl/>
        </w:rPr>
        <w:tab/>
        <w:t>وترد إجراءات الإبلاغ عن حالات عدم امتثال متطلبات إمكانية الوصول في المادة 57 من القانون رقم 20-422</w:t>
      </w:r>
      <w:r w:rsidRPr="004F0EC4">
        <w:rPr>
          <w:vertAlign w:val="superscript"/>
          <w:rtl/>
        </w:rPr>
        <w:t>(</w:t>
      </w:r>
      <w:r w:rsidRPr="004F0EC4">
        <w:rPr>
          <w:vertAlign w:val="superscript"/>
          <w:rtl/>
        </w:rPr>
        <w:footnoteReference w:id="58"/>
      </w:r>
      <w:r w:rsidRPr="004F0EC4">
        <w:rPr>
          <w:vertAlign w:val="superscript"/>
          <w:rtl/>
        </w:rPr>
        <w:t>)</w:t>
      </w:r>
      <w:r w:rsidRPr="004F0EC4">
        <w:rPr>
          <w:rtl/>
        </w:rPr>
        <w:t xml:space="preserve">. ويمكن الإبلاغ عن الحالات التي قد يكون فيها عدم الامتثال مرتبطاً بالتمييز، </w:t>
      </w:r>
      <w:r w:rsidRPr="004F0EC4">
        <w:rPr>
          <w:spacing w:val="-2"/>
          <w:rtl/>
        </w:rPr>
        <w:t>وذلك باستخدام إجراء مكافحة التمييز المنصوص عليه في المادة 3 من القانون رقم 20-609</w:t>
      </w:r>
      <w:r w:rsidRPr="004F0EC4">
        <w:rPr>
          <w:spacing w:val="-2"/>
          <w:vertAlign w:val="superscript"/>
          <w:rtl/>
        </w:rPr>
        <w:t>(</w:t>
      </w:r>
      <w:r w:rsidRPr="004F0EC4">
        <w:rPr>
          <w:spacing w:val="-2"/>
          <w:vertAlign w:val="superscript"/>
          <w:rtl/>
        </w:rPr>
        <w:footnoteReference w:id="59"/>
      </w:r>
      <w:r w:rsidRPr="004F0EC4">
        <w:rPr>
          <w:spacing w:val="-2"/>
          <w:vertAlign w:val="superscript"/>
          <w:rtl/>
        </w:rPr>
        <w:t>)</w:t>
      </w:r>
      <w:r w:rsidRPr="004F0EC4">
        <w:rPr>
          <w:spacing w:val="-2"/>
          <w:rtl/>
        </w:rPr>
        <w:t>. وبالإضافة إلى ذلك، تنص المادة 28 من القانون رقم 20-422 على أن إدارة الأشغال البلدية مسؤولة عن إحالة حالات عدم امتثال متطلبات إمكانية الوصول إلى محاكم الشرطة المحلية. وبناءً على طلب إدارة الأشغال البلدية، يجوز للسلطات البلدية إبرام اتفاقيات تعاون مع أفراد أو شركات في مجال مراقبة</w:t>
      </w:r>
      <w:r w:rsidRPr="004F0EC4">
        <w:rPr>
          <w:rFonts w:hint="cs"/>
          <w:spacing w:val="-2"/>
          <w:rtl/>
        </w:rPr>
        <w:t> </w:t>
      </w:r>
      <w:r w:rsidRPr="004F0EC4">
        <w:rPr>
          <w:spacing w:val="-2"/>
          <w:rtl/>
        </w:rPr>
        <w:t>الامتثال.</w:t>
      </w:r>
    </w:p>
    <w:p w14:paraId="1B36C1F0" w14:textId="77777777" w:rsidR="00C00FE8" w:rsidRPr="004F0EC4" w:rsidRDefault="00C00FE8" w:rsidP="00C00FE8">
      <w:pPr>
        <w:pStyle w:val="SingleTxtGA"/>
      </w:pPr>
      <w:r w:rsidRPr="004F0EC4">
        <w:rPr>
          <w:rtl/>
        </w:rPr>
        <w:t>41-</w:t>
      </w:r>
      <w:r w:rsidRPr="004F0EC4">
        <w:rPr>
          <w:rtl/>
        </w:rPr>
        <w:tab/>
        <w:t>ويجيز القانون رقم 20-422 فرض غرامة يتراوح مقدارها بين 10 وحدات و120 وحدة ضريبية شهرية (وهي وحدة مرجعية رسمية مرتبطة بمعدل التضخم). وفي حال تكرار المخالفة، تُضاعف الغرامة، وقد يُصدر أمر بإغلاق المنشأة في بعض الحالات. وستُستخدم الأموال المتحصلة من هذه الغرامات حصرياً لتمويل برامج وأنشطة تعود بالنفع على الأشخاص ذوي الإعاقة. ويتراوح مقدار الغرامة المطبقة بموجب إجراءات مكافحة التمييز بين 5 وحدات و50 وحدة ضريبية شهرية، وتُدفع في هذه الحالة إلى الخزينة. وفي كلتا الحالتين، يجوز للمحكمة أن تأمر باتخاذ تدابير أخرى. ولا تتوفر لدى السلطة القضائية بيانات مصنفة تتعلق تحديداً بهذه الأنواع من الإجراءات القانونية، ومع ذلك فقد رُفع في عام 2021 ما</w:t>
      </w:r>
      <w:r w:rsidRPr="004F0EC4">
        <w:rPr>
          <w:rFonts w:hint="cs"/>
          <w:rtl/>
        </w:rPr>
        <w:t> </w:t>
      </w:r>
      <w:r w:rsidRPr="004F0EC4">
        <w:rPr>
          <w:rtl/>
        </w:rPr>
        <w:t>يساوي 35 دعوى بموجب القانون رقم 20-609. وفي العام نفسه، أغلقت 28 قضية (4 منها بحكم نهائي، و2 بالتسوية، والباقي لأسباب أخرى). ولا تملك محاكم الشرطة المحلية المسؤولة عن النظر في القضايا بموجب القانون رقم 20-422 بيانات مصنفة بطريقة تسمح بتقديم الأرقام المطلوبة.</w:t>
      </w:r>
    </w:p>
    <w:p w14:paraId="1EBAE6C3" w14:textId="2CC22DCC" w:rsidR="00C00FE8" w:rsidRPr="004F0EC4" w:rsidRDefault="00C00FE8" w:rsidP="00C00FE8">
      <w:pPr>
        <w:pStyle w:val="SingleTxtGA"/>
        <w:rPr>
          <w:spacing w:val="4"/>
        </w:rPr>
      </w:pPr>
      <w:r w:rsidRPr="004F0EC4">
        <w:rPr>
          <w:rtl/>
        </w:rPr>
        <w:t>42-</w:t>
      </w:r>
      <w:r w:rsidRPr="004F0EC4">
        <w:rPr>
          <w:rtl/>
        </w:rPr>
        <w:tab/>
        <w:t>وفيما يتعلق بإمكانية الوصول إلى المعلومات والاتصالات، يُلزم القانون رقم 20-422</w:t>
      </w:r>
      <w:r w:rsidR="00A27310" w:rsidRPr="004F0EC4">
        <w:rPr>
          <w:vertAlign w:val="superscript"/>
          <w:rtl/>
        </w:rPr>
        <w:t>(</w:t>
      </w:r>
      <w:r w:rsidR="00A27310" w:rsidRPr="004F0EC4">
        <w:rPr>
          <w:vertAlign w:val="superscript"/>
          <w:rtl/>
        </w:rPr>
        <w:footnoteReference w:id="60"/>
      </w:r>
      <w:r w:rsidR="00A27310" w:rsidRPr="004F0EC4">
        <w:rPr>
          <w:vertAlign w:val="superscript"/>
          <w:rtl/>
        </w:rPr>
        <w:t>)</w:t>
      </w:r>
      <w:r w:rsidRPr="004F0EC4">
        <w:rPr>
          <w:rtl/>
        </w:rPr>
        <w:t xml:space="preserve"> </w:t>
      </w:r>
      <w:r w:rsidRPr="004F0EC4">
        <w:rPr>
          <w:spacing w:val="4"/>
          <w:rtl/>
        </w:rPr>
        <w:t>السلطات العامة بتوفير وسائل اتصال سمعية وبصرية تمكّن الأشخاص ذوي الإعاقة السمعية من الوصول إلى خدماتها عند الحاجة. ويجب بث حملات الخدمات العامة، والبرامج الحزبية السياسية، والمناظرات الرئاسية، وبرامج القنوات التلفزيونية الوطنية، والمعلومات الصادرة عن المكتب الوطني للطوارئ وغيرها من الأخبار التي تُبث استجابةً لحالات الطوارئ العامة أو الكوارث مصحوبةً بترجمة نصية وبلغة الإشارة الشيلية.</w:t>
      </w:r>
    </w:p>
    <w:p w14:paraId="033380C3" w14:textId="79DCE7AD" w:rsidR="00C00FE8" w:rsidRPr="004F0EC4" w:rsidRDefault="00C00FE8" w:rsidP="00C00FE8">
      <w:pPr>
        <w:pStyle w:val="SingleTxtGA"/>
        <w:rPr>
          <w:spacing w:val="-2"/>
          <w:rtl/>
        </w:rPr>
      </w:pPr>
      <w:r w:rsidRPr="004F0EC4">
        <w:rPr>
          <w:rtl/>
        </w:rPr>
        <w:lastRenderedPageBreak/>
        <w:t>43-</w:t>
      </w:r>
      <w:r w:rsidRPr="004F0EC4">
        <w:rPr>
          <w:rtl/>
        </w:rPr>
        <w:tab/>
      </w:r>
      <w:r w:rsidRPr="004F0EC4">
        <w:rPr>
          <w:spacing w:val="-2"/>
          <w:rtl/>
        </w:rPr>
        <w:t>ويعترف القانون رقم 21-303(</w:t>
      </w:r>
      <w:proofErr w:type="gramStart"/>
      <w:r w:rsidRPr="004F0EC4">
        <w:rPr>
          <w:spacing w:val="-2"/>
          <w:rtl/>
        </w:rPr>
        <w:t>2021)</w:t>
      </w:r>
      <w:r w:rsidRPr="004F0EC4">
        <w:rPr>
          <w:spacing w:val="-2"/>
          <w:vertAlign w:val="superscript"/>
          <w:rtl/>
        </w:rPr>
        <w:t>(</w:t>
      </w:r>
      <w:proofErr w:type="gramEnd"/>
      <w:r w:rsidRPr="004F0EC4">
        <w:rPr>
          <w:spacing w:val="-2"/>
          <w:vertAlign w:val="superscript"/>
          <w:rtl/>
        </w:rPr>
        <w:footnoteReference w:id="61"/>
      </w:r>
      <w:r w:rsidRPr="004F0EC4">
        <w:rPr>
          <w:spacing w:val="-2"/>
          <w:vertAlign w:val="superscript"/>
          <w:rtl/>
        </w:rPr>
        <w:t>)</w:t>
      </w:r>
      <w:r w:rsidRPr="004F0EC4">
        <w:rPr>
          <w:spacing w:val="-2"/>
          <w:rtl/>
        </w:rPr>
        <w:t xml:space="preserve"> بلغة الإشارة الشيلية باعتبارها وسيلة التواصل الطبيعية واللغة الأم والتراث غير المادي للأشخاص الصم، وعنصراً أساسياً في ثقافتهم وهويتهم الفردية والجماعية، ويقرها لغة رسمية لهم. وينص القانون على أنه يجب، في تعليم الطلاب الصم، ضمان إتاحة جميع محتويات المنهج الدراسي الموحد بلغة الإشارة الشيلية بوصفها لغة أولى، وباللغة الإسبانية المكتوبة بوصفها لغة ثانية. وينص القانون رقم 21-398</w:t>
      </w:r>
      <w:r w:rsidRPr="004F0EC4">
        <w:rPr>
          <w:spacing w:val="-2"/>
          <w:vertAlign w:val="superscript"/>
          <w:rtl/>
        </w:rPr>
        <w:t>(</w:t>
      </w:r>
      <w:r w:rsidRPr="004F0EC4">
        <w:rPr>
          <w:spacing w:val="-2"/>
          <w:vertAlign w:val="superscript"/>
          <w:rtl/>
        </w:rPr>
        <w:footnoteReference w:id="62"/>
      </w:r>
      <w:r w:rsidRPr="004F0EC4">
        <w:rPr>
          <w:spacing w:val="-2"/>
          <w:vertAlign w:val="superscript"/>
          <w:rtl/>
        </w:rPr>
        <w:t>)</w:t>
      </w:r>
      <w:r w:rsidRPr="004F0EC4">
        <w:rPr>
          <w:spacing w:val="-2"/>
          <w:rtl/>
        </w:rPr>
        <w:t xml:space="preserve"> على وجوب استخدام صيغ ميسرة في العقود الخاضعة لأحكام قانون المستهلك، لضمان أن يكون محتواها مفهوماً للأشخاص ذوي الإعاقة. وينص القانون رقم 21-403</w:t>
      </w:r>
      <w:r w:rsidRPr="004F0EC4">
        <w:rPr>
          <w:spacing w:val="-2"/>
          <w:vertAlign w:val="superscript"/>
          <w:rtl/>
        </w:rPr>
        <w:t>(</w:t>
      </w:r>
      <w:r w:rsidRPr="004F0EC4">
        <w:rPr>
          <w:spacing w:val="-2"/>
          <w:vertAlign w:val="superscript"/>
          <w:rtl/>
        </w:rPr>
        <w:footnoteReference w:id="63"/>
      </w:r>
      <w:r w:rsidRPr="004F0EC4">
        <w:rPr>
          <w:spacing w:val="-2"/>
          <w:vertAlign w:val="superscript"/>
          <w:rtl/>
        </w:rPr>
        <w:t>)</w:t>
      </w:r>
      <w:r w:rsidRPr="004F0EC4">
        <w:rPr>
          <w:spacing w:val="-2"/>
          <w:rtl/>
        </w:rPr>
        <w:t xml:space="preserve"> على أن تعترف الدولة بلغة الإشارة بالأصابع، وطريقة برايل، وتقنيات التوجيه والتنقل، وأنظمة التواصل البديلة الأخرى المعترف بها، باعتبارها أنظمة تواصل رسمية، وفقاً للوائح التي ستصدر.</w:t>
      </w:r>
    </w:p>
    <w:p w14:paraId="69DF7BF9" w14:textId="77777777" w:rsidR="00C00FE8" w:rsidRPr="004F0EC4" w:rsidRDefault="00C00FE8" w:rsidP="00C00FE8">
      <w:pPr>
        <w:pStyle w:val="SingleTxtGA"/>
      </w:pPr>
      <w:r w:rsidRPr="004F0EC4">
        <w:rPr>
          <w:rtl/>
        </w:rPr>
        <w:t>44-</w:t>
      </w:r>
      <w:r w:rsidRPr="004F0EC4">
        <w:rPr>
          <w:rtl/>
        </w:rPr>
        <w:tab/>
        <w:t>وأشرفت لجنة الكونغرس المعنية بكبار السن والإعاقة على إقرار الضوابط التالية: (أ) مشروع قانون يعدل القانون رقم 20-422 بهدف اشتراط تنفيذ تدابير تيسير الوصول في مكتبات مؤسسات التعليم العالي (النشرة رقم 080 11–31)</w:t>
      </w:r>
      <w:r w:rsidRPr="004F0EC4">
        <w:rPr>
          <w:vertAlign w:val="superscript"/>
          <w:rtl/>
        </w:rPr>
        <w:t>(</w:t>
      </w:r>
      <w:r w:rsidRPr="004F0EC4">
        <w:rPr>
          <w:vertAlign w:val="superscript"/>
          <w:rtl/>
        </w:rPr>
        <w:footnoteReference w:id="64"/>
      </w:r>
      <w:r w:rsidRPr="004F0EC4">
        <w:rPr>
          <w:vertAlign w:val="superscript"/>
          <w:rtl/>
        </w:rPr>
        <w:t>)</w:t>
      </w:r>
      <w:r w:rsidRPr="004F0EC4">
        <w:rPr>
          <w:rtl/>
        </w:rPr>
        <w:t>؛ و(ب) مشروع قانون يعدل القانون رقم 18-838 لتمكين المجلس الوطني للتلفزيون من فرض إدراج لغة الإشارة الشيلية في برامج الأطفال، بما فيه مصلحة ذوي الإعاقات السمعية (النشرة رقم 965 13–35)</w:t>
      </w:r>
      <w:r w:rsidRPr="004F0EC4">
        <w:rPr>
          <w:vertAlign w:val="superscript"/>
          <w:rtl/>
        </w:rPr>
        <w:t>(</w:t>
      </w:r>
      <w:r w:rsidRPr="004F0EC4">
        <w:rPr>
          <w:vertAlign w:val="superscript"/>
          <w:rtl/>
        </w:rPr>
        <w:footnoteReference w:id="65"/>
      </w:r>
      <w:r w:rsidRPr="004F0EC4">
        <w:rPr>
          <w:vertAlign w:val="superscript"/>
          <w:rtl/>
        </w:rPr>
        <w:t>)</w:t>
      </w:r>
      <w:r w:rsidRPr="004F0EC4">
        <w:rPr>
          <w:rtl/>
        </w:rPr>
        <w:t xml:space="preserve">؛ و(ج) مشروع قانون لتعديل القانون رقم 20-609 بهدف اشتراط </w:t>
      </w:r>
      <w:r w:rsidRPr="004F0EC4">
        <w:rPr>
          <w:spacing w:val="-2"/>
          <w:rtl/>
        </w:rPr>
        <w:t>ارتداء الموظفين الذين يتعاملون مع الجمهور في مؤسسات القطاعين العام والخاص، في الحالات المحددة</w:t>
      </w:r>
      <w:r w:rsidRPr="004F0EC4">
        <w:rPr>
          <w:rtl/>
        </w:rPr>
        <w:t>، أقنعة وجه شفافة لتسهيل التواصل مع الأشخاص الصم (النشرة رقم 218 14–35)</w:t>
      </w:r>
      <w:r w:rsidRPr="004F0EC4">
        <w:rPr>
          <w:vertAlign w:val="superscript"/>
          <w:rtl/>
        </w:rPr>
        <w:t>(</w:t>
      </w:r>
      <w:r w:rsidRPr="004F0EC4">
        <w:rPr>
          <w:vertAlign w:val="superscript"/>
          <w:rtl/>
        </w:rPr>
        <w:footnoteReference w:id="66"/>
      </w:r>
      <w:r w:rsidRPr="004F0EC4">
        <w:rPr>
          <w:vertAlign w:val="superscript"/>
          <w:rtl/>
        </w:rPr>
        <w:t>)</w:t>
      </w:r>
      <w:r w:rsidRPr="004F0EC4">
        <w:rPr>
          <w:rtl/>
        </w:rPr>
        <w:t>.</w:t>
      </w:r>
    </w:p>
    <w:p w14:paraId="3DA3F612" w14:textId="73283F35" w:rsidR="00C00FE8" w:rsidRPr="004F0EC4" w:rsidRDefault="00C00FE8" w:rsidP="00C00FE8">
      <w:pPr>
        <w:pStyle w:val="SingleTxtGA"/>
      </w:pPr>
      <w:r w:rsidRPr="004F0EC4">
        <w:rPr>
          <w:rtl/>
        </w:rPr>
        <w:t>45-</w:t>
      </w:r>
      <w:r w:rsidRPr="004F0EC4">
        <w:rPr>
          <w:rtl/>
        </w:rPr>
        <w:tab/>
        <w:t>وفي حزيران/</w:t>
      </w:r>
      <w:proofErr w:type="gramStart"/>
      <w:r w:rsidRPr="004F0EC4">
        <w:rPr>
          <w:rtl/>
        </w:rPr>
        <w:t>يونيه</w:t>
      </w:r>
      <w:proofErr w:type="gramEnd"/>
      <w:r w:rsidRPr="004F0EC4">
        <w:rPr>
          <w:rtl/>
        </w:rPr>
        <w:t xml:space="preserve"> 2015، أصدر الوزير والأمين العام لمكتب الرئيس المرسوم رقم 1</w:t>
      </w:r>
      <w:r w:rsidRPr="004F0EC4">
        <w:rPr>
          <w:vertAlign w:val="superscript"/>
          <w:rtl/>
        </w:rPr>
        <w:t>(</w:t>
      </w:r>
      <w:r w:rsidRPr="004F0EC4">
        <w:rPr>
          <w:vertAlign w:val="superscript"/>
          <w:rtl/>
        </w:rPr>
        <w:footnoteReference w:id="67"/>
      </w:r>
      <w:r w:rsidRPr="004F0EC4">
        <w:rPr>
          <w:vertAlign w:val="superscript"/>
          <w:rtl/>
        </w:rPr>
        <w:t>)</w:t>
      </w:r>
      <w:r w:rsidRPr="004F0EC4">
        <w:rPr>
          <w:rtl/>
        </w:rPr>
        <w:t>، الذي</w:t>
      </w:r>
      <w:r w:rsidR="00A27310" w:rsidRPr="004F0EC4">
        <w:rPr>
          <w:rFonts w:hint="cs"/>
          <w:rtl/>
        </w:rPr>
        <w:t> </w:t>
      </w:r>
      <w:r w:rsidRPr="004F0EC4">
        <w:rPr>
          <w:rtl/>
        </w:rPr>
        <w:t xml:space="preserve">أقر المعايير التقنية الخاصة بالأنظمة والمواقع الشبكية التابعة للهيئات الحكومية، ونص على وجوب ضمان توفر المعلومات وإمكانية الوصول إليها. وتماشياً مع هذا المرسوم، أصدرت الحكومة في كانون الثاني/يناير 2019 توجيهات رئاسية بشأن التحول </w:t>
      </w:r>
      <w:proofErr w:type="gramStart"/>
      <w:r w:rsidRPr="004F0EC4">
        <w:rPr>
          <w:rtl/>
        </w:rPr>
        <w:t>الرقمي</w:t>
      </w:r>
      <w:r w:rsidRPr="004F0EC4">
        <w:rPr>
          <w:vertAlign w:val="superscript"/>
          <w:rtl/>
        </w:rPr>
        <w:t>(</w:t>
      </w:r>
      <w:proofErr w:type="gramEnd"/>
      <w:r w:rsidRPr="004F0EC4">
        <w:rPr>
          <w:vertAlign w:val="superscript"/>
          <w:rtl/>
        </w:rPr>
        <w:footnoteReference w:id="68"/>
      </w:r>
      <w:r w:rsidRPr="004F0EC4">
        <w:rPr>
          <w:vertAlign w:val="superscript"/>
          <w:rtl/>
        </w:rPr>
        <w:t>)</w:t>
      </w:r>
      <w:r w:rsidRPr="004F0EC4">
        <w:rPr>
          <w:rtl/>
        </w:rPr>
        <w:t>، وهي تُلزم مقدمي الخدمات العامة بامتثال متطلبات إتاحة الوصول إلى المحتوى الشبكي.</w:t>
      </w:r>
    </w:p>
    <w:p w14:paraId="5623EF9F" w14:textId="77777777" w:rsidR="00C00FE8" w:rsidRPr="004F0EC4" w:rsidRDefault="00C00FE8" w:rsidP="00C00FE8">
      <w:pPr>
        <w:pStyle w:val="SingleTxtGA"/>
        <w:rPr>
          <w:rtl/>
        </w:rPr>
      </w:pPr>
      <w:r w:rsidRPr="004F0EC4">
        <w:rPr>
          <w:rtl/>
        </w:rPr>
        <w:t>46-</w:t>
      </w:r>
      <w:r w:rsidRPr="004F0EC4">
        <w:rPr>
          <w:rtl/>
        </w:rPr>
        <w:tab/>
      </w:r>
      <w:r w:rsidRPr="004F0EC4">
        <w:rPr>
          <w:spacing w:val="-2"/>
          <w:rtl/>
        </w:rPr>
        <w:t>ومنذ عام 2016، تقدم النيابة العامة خدمات الترجمة الشفوية إلى لغة الإشارة الشيلية عبر الفيديو عند تقديم المساعدة للأشخاص الذين يأتون إلى مكاتبها شخصياً. وبسبب الجائحة، وُسع نطاق خدمات الترجمة إلى لغة الإشارة الشيلية في عام 2020 لتشمل الخدمات المقدمة عن بُعد. ولتسهيل تقديم</w:t>
      </w:r>
      <w:r w:rsidRPr="004F0EC4">
        <w:rPr>
          <w:rtl/>
        </w:rPr>
        <w:t xml:space="preserve"> المساعدة لأضعف الضحايا، مُددت منذ عام 2020 ساعات العمل في أيام الأسبوع حتى الساعة 11:59 </w:t>
      </w:r>
      <w:proofErr w:type="gramStart"/>
      <w:r w:rsidRPr="004F0EC4">
        <w:rPr>
          <w:rtl/>
        </w:rPr>
        <w:t>مساءً</w:t>
      </w:r>
      <w:r w:rsidRPr="004F0EC4">
        <w:rPr>
          <w:vertAlign w:val="superscript"/>
          <w:rtl/>
        </w:rPr>
        <w:t>(</w:t>
      </w:r>
      <w:proofErr w:type="gramEnd"/>
      <w:r w:rsidRPr="004F0EC4">
        <w:rPr>
          <w:vertAlign w:val="superscript"/>
          <w:rtl/>
        </w:rPr>
        <w:footnoteReference w:id="69"/>
      </w:r>
      <w:r w:rsidRPr="004F0EC4">
        <w:rPr>
          <w:vertAlign w:val="superscript"/>
          <w:rtl/>
        </w:rPr>
        <w:t>)</w:t>
      </w:r>
      <w:r w:rsidRPr="004F0EC4">
        <w:rPr>
          <w:rtl/>
        </w:rPr>
        <w:t>.</w:t>
      </w:r>
    </w:p>
    <w:p w14:paraId="3BAC93DC" w14:textId="77777777" w:rsidR="00C00FE8" w:rsidRPr="004F0EC4" w:rsidRDefault="00C00FE8" w:rsidP="00C00FE8">
      <w:pPr>
        <w:pStyle w:val="H1GA"/>
        <w:rPr>
          <w:lang w:val="en-US"/>
        </w:rPr>
      </w:pPr>
      <w:r w:rsidRPr="004F0EC4">
        <w:rPr>
          <w:rtl/>
          <w:lang w:val="en-US"/>
        </w:rPr>
        <w:lastRenderedPageBreak/>
        <w:tab/>
      </w:r>
      <w:r w:rsidRPr="004F0EC4">
        <w:rPr>
          <w:rtl/>
          <w:lang w:val="en-US"/>
        </w:rPr>
        <w:tab/>
        <w:t>المادة 11</w:t>
      </w:r>
    </w:p>
    <w:p w14:paraId="66B12461" w14:textId="77777777" w:rsidR="00C00FE8" w:rsidRPr="004F0EC4" w:rsidRDefault="00C00FE8" w:rsidP="00C00FE8">
      <w:pPr>
        <w:pStyle w:val="SingleTxtGA"/>
      </w:pPr>
      <w:r w:rsidRPr="004F0EC4">
        <w:rPr>
          <w:rtl/>
        </w:rPr>
        <w:t>47-</w:t>
      </w:r>
      <w:r w:rsidRPr="004F0EC4">
        <w:rPr>
          <w:rtl/>
        </w:rPr>
        <w:tab/>
        <w:t xml:space="preserve">في عام 2019، وقعت الدائرة الوطنية لشؤون الأشخاص ذوي الإعاقة اتفاقية مع الأكاديمية الوطنية لعناصر الإطفاء لتصميم دورة تدريبية حول الإنقاذ الشامل من منظور الإعاقة، وهي متاحة الآن لمختلف مؤسسات الاستجابة الأولية (عناصر الإطفاء، وخدمات الطوارئ الطبية، وقوات الشرطة، والشرطة الجنائية، الخ). وبالإضافة إلى ذلك، استُحدث تطبيقان للهواتف </w:t>
      </w:r>
      <w:proofErr w:type="gramStart"/>
      <w:r w:rsidRPr="004F0EC4">
        <w:rPr>
          <w:rtl/>
        </w:rPr>
        <w:t>المحمولة</w:t>
      </w:r>
      <w:r w:rsidRPr="004F0EC4">
        <w:rPr>
          <w:vertAlign w:val="superscript"/>
          <w:rtl/>
        </w:rPr>
        <w:t>(</w:t>
      </w:r>
      <w:proofErr w:type="gramEnd"/>
      <w:r w:rsidRPr="004F0EC4">
        <w:rPr>
          <w:vertAlign w:val="superscript"/>
          <w:rtl/>
        </w:rPr>
        <w:footnoteReference w:id="70"/>
      </w:r>
      <w:r w:rsidRPr="004F0EC4">
        <w:rPr>
          <w:vertAlign w:val="superscript"/>
          <w:rtl/>
        </w:rPr>
        <w:t>)</w:t>
      </w:r>
      <w:r w:rsidRPr="004F0EC4">
        <w:rPr>
          <w:rtl/>
        </w:rPr>
        <w:t>.</w:t>
      </w:r>
    </w:p>
    <w:p w14:paraId="34CD85B0" w14:textId="77777777" w:rsidR="00C00FE8" w:rsidRPr="004F0EC4" w:rsidRDefault="00C00FE8" w:rsidP="00C00FE8">
      <w:pPr>
        <w:pStyle w:val="SingleTxtGA"/>
      </w:pPr>
      <w:r w:rsidRPr="004F0EC4">
        <w:rPr>
          <w:rtl/>
        </w:rPr>
        <w:t>48-</w:t>
      </w:r>
      <w:r w:rsidRPr="004F0EC4">
        <w:rPr>
          <w:rtl/>
        </w:rPr>
        <w:tab/>
        <w:t xml:space="preserve">ونُفذ مشروع </w:t>
      </w:r>
      <w:proofErr w:type="gramStart"/>
      <w:r w:rsidRPr="004F0EC4">
        <w:rPr>
          <w:rtl/>
        </w:rPr>
        <w:t>تجريبي</w:t>
      </w:r>
      <w:r w:rsidRPr="004F0EC4">
        <w:rPr>
          <w:vertAlign w:val="superscript"/>
          <w:rtl/>
        </w:rPr>
        <w:t>(</w:t>
      </w:r>
      <w:proofErr w:type="gramEnd"/>
      <w:r w:rsidRPr="004F0EC4">
        <w:rPr>
          <w:vertAlign w:val="superscript"/>
          <w:rtl/>
        </w:rPr>
        <w:footnoteReference w:id="71"/>
      </w:r>
      <w:r w:rsidRPr="004F0EC4">
        <w:rPr>
          <w:vertAlign w:val="superscript"/>
          <w:rtl/>
        </w:rPr>
        <w:t>)</w:t>
      </w:r>
      <w:r w:rsidRPr="004F0EC4">
        <w:rPr>
          <w:rtl/>
        </w:rPr>
        <w:t xml:space="preserve"> لإدماج منظور الإعاقة في سياق إدارة </w:t>
      </w:r>
      <w:proofErr w:type="gramStart"/>
      <w:r w:rsidRPr="004F0EC4">
        <w:rPr>
          <w:rtl/>
        </w:rPr>
        <w:t>مخاطر</w:t>
      </w:r>
      <w:proofErr w:type="gramEnd"/>
      <w:r w:rsidRPr="004F0EC4">
        <w:rPr>
          <w:rtl/>
        </w:rPr>
        <w:t xml:space="preserve"> الكوارث في ثلاثة مستشفيات، بالتعاون مع منظمة الصحة للبلدان </w:t>
      </w:r>
      <w:proofErr w:type="gramStart"/>
      <w:r w:rsidRPr="004F0EC4">
        <w:rPr>
          <w:rtl/>
        </w:rPr>
        <w:t>الأمريكية</w:t>
      </w:r>
      <w:r w:rsidRPr="004F0EC4">
        <w:rPr>
          <w:vertAlign w:val="superscript"/>
          <w:rtl/>
        </w:rPr>
        <w:t>(</w:t>
      </w:r>
      <w:proofErr w:type="gramEnd"/>
      <w:r w:rsidRPr="004F0EC4">
        <w:rPr>
          <w:vertAlign w:val="superscript"/>
          <w:rtl/>
        </w:rPr>
        <w:footnoteReference w:id="72"/>
      </w:r>
      <w:r w:rsidRPr="004F0EC4">
        <w:rPr>
          <w:vertAlign w:val="superscript"/>
          <w:rtl/>
        </w:rPr>
        <w:t>)</w:t>
      </w:r>
      <w:r w:rsidRPr="004F0EC4">
        <w:rPr>
          <w:rtl/>
        </w:rPr>
        <w:t>. ونُظمت حلقة عمل في نهاية عام 2018، ونُفذت الإجراءات التصحيحية اللازمة لإنجاز المشروع أثناء عامي 2019 و2020</w:t>
      </w:r>
      <w:r w:rsidRPr="004F0EC4">
        <w:rPr>
          <w:vertAlign w:val="superscript"/>
          <w:rtl/>
        </w:rPr>
        <w:t>(</w:t>
      </w:r>
      <w:r w:rsidRPr="004F0EC4">
        <w:rPr>
          <w:vertAlign w:val="superscript"/>
          <w:rtl/>
        </w:rPr>
        <w:footnoteReference w:id="73"/>
      </w:r>
      <w:r w:rsidRPr="004F0EC4">
        <w:rPr>
          <w:vertAlign w:val="superscript"/>
          <w:rtl/>
        </w:rPr>
        <w:t>)</w:t>
      </w:r>
      <w:r w:rsidRPr="004F0EC4">
        <w:rPr>
          <w:rtl/>
        </w:rPr>
        <w:t>.</w:t>
      </w:r>
    </w:p>
    <w:p w14:paraId="4B8E92B8" w14:textId="77777777" w:rsidR="00C00FE8" w:rsidRPr="004F0EC4" w:rsidRDefault="00C00FE8" w:rsidP="00C00FE8">
      <w:pPr>
        <w:pStyle w:val="SingleTxtGA"/>
      </w:pPr>
      <w:r w:rsidRPr="004F0EC4">
        <w:rPr>
          <w:rtl/>
        </w:rPr>
        <w:t>49-</w:t>
      </w:r>
      <w:r w:rsidRPr="004F0EC4">
        <w:rPr>
          <w:rtl/>
        </w:rPr>
        <w:tab/>
        <w:t xml:space="preserve">ونشرت الدائرة الوطنية لشؤون الأشخاص ذوي الإعاقة الوثائق التالية: (أ) معلومات تقنية بشأن تيسير الوصول، تتعلق بالمرسوم السامي رقم 50 واللوائح الأخرى ذات </w:t>
      </w:r>
      <w:proofErr w:type="gramStart"/>
      <w:r w:rsidRPr="004F0EC4">
        <w:rPr>
          <w:rtl/>
        </w:rPr>
        <w:t>الصلة</w:t>
      </w:r>
      <w:r w:rsidRPr="004F0EC4">
        <w:rPr>
          <w:vertAlign w:val="superscript"/>
          <w:rtl/>
        </w:rPr>
        <w:t>(</w:t>
      </w:r>
      <w:proofErr w:type="gramEnd"/>
      <w:r w:rsidRPr="004F0EC4">
        <w:rPr>
          <w:vertAlign w:val="superscript"/>
          <w:rtl/>
        </w:rPr>
        <w:footnoteReference w:id="74"/>
      </w:r>
      <w:r w:rsidRPr="004F0EC4">
        <w:rPr>
          <w:vertAlign w:val="superscript"/>
          <w:rtl/>
        </w:rPr>
        <w:t>)</w:t>
      </w:r>
      <w:r w:rsidRPr="004F0EC4">
        <w:rPr>
          <w:rtl/>
        </w:rPr>
        <w:t xml:space="preserve">؛ و(ب) تعليمات لتنفيذ التوصيات العامة المتعلقة بالخدمات الشاملة </w:t>
      </w:r>
      <w:proofErr w:type="gramStart"/>
      <w:r w:rsidRPr="004F0EC4">
        <w:rPr>
          <w:rtl/>
        </w:rPr>
        <w:t>للجميع</w:t>
      </w:r>
      <w:r w:rsidRPr="004F0EC4">
        <w:rPr>
          <w:vertAlign w:val="superscript"/>
          <w:rtl/>
        </w:rPr>
        <w:t>(</w:t>
      </w:r>
      <w:proofErr w:type="gramEnd"/>
      <w:r w:rsidRPr="004F0EC4">
        <w:rPr>
          <w:vertAlign w:val="superscript"/>
          <w:rtl/>
        </w:rPr>
        <w:footnoteReference w:id="75"/>
      </w:r>
      <w:r w:rsidRPr="004F0EC4">
        <w:rPr>
          <w:vertAlign w:val="superscript"/>
          <w:rtl/>
        </w:rPr>
        <w:t>)</w:t>
      </w:r>
      <w:r w:rsidRPr="004F0EC4">
        <w:rPr>
          <w:rtl/>
        </w:rPr>
        <w:t xml:space="preserve">، ودليل يقدم نموذجاً لنظم المعلومات الشاملة والخدمات الشاملة </w:t>
      </w:r>
      <w:proofErr w:type="gramStart"/>
      <w:r w:rsidRPr="004F0EC4">
        <w:rPr>
          <w:rtl/>
        </w:rPr>
        <w:t>للجميع</w:t>
      </w:r>
      <w:r w:rsidRPr="004F0EC4">
        <w:rPr>
          <w:vertAlign w:val="superscript"/>
          <w:rtl/>
        </w:rPr>
        <w:t>(</w:t>
      </w:r>
      <w:proofErr w:type="gramEnd"/>
      <w:r w:rsidRPr="004F0EC4">
        <w:rPr>
          <w:vertAlign w:val="superscript"/>
          <w:rtl/>
        </w:rPr>
        <w:footnoteReference w:id="76"/>
      </w:r>
      <w:r w:rsidRPr="004F0EC4">
        <w:rPr>
          <w:vertAlign w:val="superscript"/>
          <w:rtl/>
        </w:rPr>
        <w:t>)</w:t>
      </w:r>
      <w:r w:rsidRPr="004F0EC4">
        <w:rPr>
          <w:rtl/>
        </w:rPr>
        <w:t xml:space="preserve">. وفي أثناء جائحة كوفيد-19، أجرت الدائرة، بدعم من وزارة الصحة تقييماً </w:t>
      </w:r>
      <w:r w:rsidRPr="004F0EC4">
        <w:rPr>
          <w:spacing w:val="-2"/>
          <w:rtl/>
        </w:rPr>
        <w:t>لإمكانية الوصول إلى مرافق الرعاية الصحية الداخلية بهدف ضمان إحالة الأشخاص ذوي الإعاقة المصابين</w:t>
      </w:r>
      <w:r w:rsidRPr="004F0EC4">
        <w:rPr>
          <w:rtl/>
        </w:rPr>
        <w:t xml:space="preserve"> بفيروس كوفيد-19 إلى المرافق المناسبة.</w:t>
      </w:r>
    </w:p>
    <w:p w14:paraId="379F7842" w14:textId="060122F4" w:rsidR="00C00FE8" w:rsidRPr="004F0EC4" w:rsidRDefault="00C00FE8" w:rsidP="00C00FE8">
      <w:pPr>
        <w:pStyle w:val="SingleTxtGA"/>
      </w:pPr>
      <w:r w:rsidRPr="004F0EC4">
        <w:rPr>
          <w:rtl/>
        </w:rPr>
        <w:t>50-</w:t>
      </w:r>
      <w:r w:rsidRPr="004F0EC4">
        <w:rPr>
          <w:rtl/>
        </w:rPr>
        <w:tab/>
        <w:t xml:space="preserve">وفيما يتعلق بالتدريب، تهدف مبادرة </w:t>
      </w:r>
      <w:r w:rsidR="00E22186" w:rsidRPr="004F0EC4">
        <w:rPr>
          <w:rFonts w:hint="cs"/>
          <w:rtl/>
        </w:rPr>
        <w:t>"</w:t>
      </w:r>
      <w:r w:rsidRPr="004F0EC4">
        <w:rPr>
          <w:rtl/>
        </w:rPr>
        <w:t xml:space="preserve">إدارة </w:t>
      </w:r>
      <w:proofErr w:type="gramStart"/>
      <w:r w:rsidRPr="004F0EC4">
        <w:rPr>
          <w:rtl/>
        </w:rPr>
        <w:t>مخاطر</w:t>
      </w:r>
      <w:proofErr w:type="gramEnd"/>
      <w:r w:rsidRPr="004F0EC4">
        <w:rPr>
          <w:rtl/>
        </w:rPr>
        <w:t xml:space="preserve"> الكوارث في متناول الجميع</w:t>
      </w:r>
      <w:r w:rsidR="00E22186" w:rsidRPr="004F0EC4">
        <w:rPr>
          <w:rFonts w:hint="cs"/>
          <w:rtl/>
        </w:rPr>
        <w:t>"</w:t>
      </w:r>
      <w:r w:rsidRPr="004F0EC4">
        <w:rPr>
          <w:vertAlign w:val="superscript"/>
          <w:rtl/>
        </w:rPr>
        <w:t>(</w:t>
      </w:r>
      <w:r w:rsidRPr="004F0EC4">
        <w:rPr>
          <w:vertAlign w:val="superscript"/>
          <w:rtl/>
        </w:rPr>
        <w:footnoteReference w:id="77"/>
      </w:r>
      <w:r w:rsidRPr="004F0EC4">
        <w:rPr>
          <w:vertAlign w:val="superscript"/>
          <w:rtl/>
        </w:rPr>
        <w:t>)</w:t>
      </w:r>
      <w:r w:rsidRPr="004F0EC4">
        <w:rPr>
          <w:rtl/>
        </w:rPr>
        <w:t xml:space="preserve">، التي وضعها المكتب الوطني للطوارئ بدعم من الدائرة الوطنية لشؤون الأشخاص ذوي الإعاقة، إلى تسهيل </w:t>
      </w:r>
      <w:r w:rsidRPr="004F0EC4">
        <w:rPr>
          <w:spacing w:val="-4"/>
          <w:rtl/>
        </w:rPr>
        <w:t>حصول الأشخاص ذوي الإعاقة على المعلومات المتعلقة بالإجراءات اللازمة للوقاية من الطوارئ والتأهب لها.</w:t>
      </w:r>
      <w:r w:rsidRPr="004F0EC4">
        <w:rPr>
          <w:rtl/>
        </w:rPr>
        <w:t xml:space="preserve"> </w:t>
      </w:r>
      <w:r w:rsidRPr="004F0EC4">
        <w:rPr>
          <w:rtl/>
        </w:rPr>
        <w:lastRenderedPageBreak/>
        <w:t xml:space="preserve">وبالإضافة إلى إدراج لغة الإشارة الشيلية وترجمة نصية في مقاطع الفيديو التي تتناول حالات الطوارئ المختلفة المحتملة، أنتج المكتب ملفاً صوتياً يتضمن توصيات شاملة </w:t>
      </w:r>
      <w:proofErr w:type="gramStart"/>
      <w:r w:rsidRPr="004F0EC4">
        <w:rPr>
          <w:rtl/>
        </w:rPr>
        <w:t>للجميع</w:t>
      </w:r>
      <w:r w:rsidRPr="004F0EC4">
        <w:rPr>
          <w:vertAlign w:val="superscript"/>
          <w:rtl/>
        </w:rPr>
        <w:t>(</w:t>
      </w:r>
      <w:proofErr w:type="gramEnd"/>
      <w:r w:rsidRPr="004F0EC4">
        <w:rPr>
          <w:vertAlign w:val="superscript"/>
          <w:rtl/>
        </w:rPr>
        <w:footnoteReference w:id="78"/>
      </w:r>
      <w:r w:rsidRPr="004F0EC4">
        <w:rPr>
          <w:vertAlign w:val="superscript"/>
          <w:rtl/>
        </w:rPr>
        <w:t>)</w:t>
      </w:r>
      <w:r w:rsidRPr="004F0EC4">
        <w:rPr>
          <w:rtl/>
        </w:rPr>
        <w:t xml:space="preserve">، ومقطع فيديو يحتوي توصيات شاملة للأشخاص ذوي </w:t>
      </w:r>
      <w:proofErr w:type="gramStart"/>
      <w:r w:rsidRPr="004F0EC4">
        <w:rPr>
          <w:rtl/>
        </w:rPr>
        <w:t>الإعاقة</w:t>
      </w:r>
      <w:r w:rsidRPr="004F0EC4">
        <w:rPr>
          <w:vertAlign w:val="superscript"/>
          <w:rtl/>
        </w:rPr>
        <w:t>(</w:t>
      </w:r>
      <w:proofErr w:type="gramEnd"/>
      <w:r w:rsidRPr="004F0EC4">
        <w:rPr>
          <w:vertAlign w:val="superscript"/>
          <w:rtl/>
        </w:rPr>
        <w:footnoteReference w:id="79"/>
      </w:r>
      <w:r w:rsidRPr="004F0EC4">
        <w:rPr>
          <w:vertAlign w:val="superscript"/>
          <w:rtl/>
        </w:rPr>
        <w:t>)</w:t>
      </w:r>
      <w:r w:rsidRPr="004F0EC4">
        <w:rPr>
          <w:rtl/>
        </w:rPr>
        <w:t xml:space="preserve">، ومقطع فيديو يقدم توصيات لمساعدة الأشخاص ذوي الإعاقة في حالات </w:t>
      </w:r>
      <w:proofErr w:type="gramStart"/>
      <w:r w:rsidRPr="004F0EC4">
        <w:rPr>
          <w:rtl/>
        </w:rPr>
        <w:t>الطوارئ</w:t>
      </w:r>
      <w:r w:rsidRPr="004F0EC4">
        <w:rPr>
          <w:vertAlign w:val="superscript"/>
          <w:rtl/>
        </w:rPr>
        <w:t>(</w:t>
      </w:r>
      <w:proofErr w:type="gramEnd"/>
      <w:r w:rsidRPr="004F0EC4">
        <w:rPr>
          <w:vertAlign w:val="superscript"/>
          <w:rtl/>
        </w:rPr>
        <w:footnoteReference w:id="80"/>
      </w:r>
      <w:r w:rsidRPr="004F0EC4">
        <w:rPr>
          <w:vertAlign w:val="superscript"/>
          <w:rtl/>
        </w:rPr>
        <w:t>)</w:t>
      </w:r>
      <w:r w:rsidRPr="004F0EC4">
        <w:rPr>
          <w:rtl/>
        </w:rPr>
        <w:t>. كما أبرم المكتب اتفاقية تعاون لإدراج ترجمة لغة الإشارة الشيلية في بثه الرسمي. وبالإضافة إلى ذلك، تعاونت الدائرة الوطنية لشؤون الأشخاص ذوي الإعاقة مع المكتب الوطني للطوارئ لمراجعة اللوائح المتعلقة بإدارة الملاجئ البلدية، وتقديم تدريب لفرقها الإقليمية فيما يتعلق بوضع خطط الطوارئ الإقليمية. وحُدثت الإرشادات الخاصة بتقييم تمرينات الزلازل والتسونامي الكثيفة في قطاع التعليم لتشمل تدابير التأهب الشاملة للأشخاص ذوي الإعاقة.</w:t>
      </w:r>
    </w:p>
    <w:p w14:paraId="7BD54687" w14:textId="77777777" w:rsidR="00C00FE8" w:rsidRPr="004F0EC4" w:rsidRDefault="00C00FE8" w:rsidP="00C00FE8">
      <w:pPr>
        <w:pStyle w:val="SingleTxtGA"/>
      </w:pPr>
      <w:r w:rsidRPr="004F0EC4">
        <w:rPr>
          <w:rtl/>
        </w:rPr>
        <w:t>51-</w:t>
      </w:r>
      <w:r w:rsidRPr="004F0EC4">
        <w:rPr>
          <w:rtl/>
        </w:rPr>
        <w:tab/>
        <w:t xml:space="preserve">ومنذ عام 2019، يعمل المكتب الوطني للطوارئ على إدماج الاعتبارات الشاملة لمجالات كثيرة مثل النوع الاجتماعي والإعاقة والأطفال والمراهقين وكبار السن في إطار صياغة خطط الطوارئ، سعياً </w:t>
      </w:r>
      <w:r w:rsidRPr="004F0EC4">
        <w:rPr>
          <w:spacing w:val="-2"/>
          <w:rtl/>
        </w:rPr>
        <w:t xml:space="preserve">إلى تعزيز النهج القائم على الحقوق ومدى اندماجه في إدارة </w:t>
      </w:r>
      <w:proofErr w:type="gramStart"/>
      <w:r w:rsidRPr="004F0EC4">
        <w:rPr>
          <w:spacing w:val="-2"/>
          <w:rtl/>
        </w:rPr>
        <w:t>مخاطر</w:t>
      </w:r>
      <w:proofErr w:type="gramEnd"/>
      <w:r w:rsidRPr="004F0EC4">
        <w:rPr>
          <w:spacing w:val="-2"/>
          <w:rtl/>
        </w:rPr>
        <w:t xml:space="preserve"> الكوارث في البلد. وبالإضافة إلى ذلك،</w:t>
      </w:r>
      <w:r w:rsidRPr="004F0EC4">
        <w:rPr>
          <w:rtl/>
        </w:rPr>
        <w:t xml:space="preserve"> أطلق المكتب مبادرة تهدف إلى ضمان إتاحة ثقافة الوقاية </w:t>
      </w:r>
      <w:proofErr w:type="gramStart"/>
      <w:r w:rsidRPr="004F0EC4">
        <w:rPr>
          <w:rtl/>
        </w:rPr>
        <w:t>للجميع</w:t>
      </w:r>
      <w:r w:rsidRPr="004F0EC4">
        <w:rPr>
          <w:vertAlign w:val="superscript"/>
          <w:rtl/>
        </w:rPr>
        <w:t>(</w:t>
      </w:r>
      <w:proofErr w:type="gramEnd"/>
      <w:r w:rsidRPr="004F0EC4">
        <w:rPr>
          <w:vertAlign w:val="superscript"/>
          <w:rtl/>
        </w:rPr>
        <w:footnoteReference w:id="81"/>
      </w:r>
      <w:r w:rsidRPr="004F0EC4">
        <w:rPr>
          <w:vertAlign w:val="superscript"/>
          <w:rtl/>
        </w:rPr>
        <w:t>)</w:t>
      </w:r>
      <w:r w:rsidRPr="004F0EC4">
        <w:rPr>
          <w:rtl/>
        </w:rPr>
        <w:t xml:space="preserve">، مستفيداً من موارد الصندوق الوطني للمبادرات الشاملة، كما أصدر في عام 2020 دليلاً لتنفيذ خطط الحد من </w:t>
      </w:r>
      <w:proofErr w:type="gramStart"/>
      <w:r w:rsidRPr="004F0EC4">
        <w:rPr>
          <w:rtl/>
        </w:rPr>
        <w:t>مخاطر</w:t>
      </w:r>
      <w:proofErr w:type="gramEnd"/>
      <w:r w:rsidRPr="004F0EC4">
        <w:rPr>
          <w:rtl/>
        </w:rPr>
        <w:t xml:space="preserve"> الكوارث في أماكن </w:t>
      </w:r>
      <w:proofErr w:type="gramStart"/>
      <w:r w:rsidRPr="004F0EC4">
        <w:rPr>
          <w:rtl/>
        </w:rPr>
        <w:t>العمل</w:t>
      </w:r>
      <w:r w:rsidRPr="004F0EC4">
        <w:rPr>
          <w:vertAlign w:val="superscript"/>
          <w:rtl/>
        </w:rPr>
        <w:t>(</w:t>
      </w:r>
      <w:proofErr w:type="gramEnd"/>
      <w:r w:rsidRPr="004F0EC4">
        <w:rPr>
          <w:vertAlign w:val="superscript"/>
          <w:rtl/>
        </w:rPr>
        <w:footnoteReference w:id="82"/>
      </w:r>
      <w:r w:rsidRPr="004F0EC4">
        <w:rPr>
          <w:vertAlign w:val="superscript"/>
          <w:rtl/>
        </w:rPr>
        <w:t>)</w:t>
      </w:r>
      <w:r w:rsidRPr="004F0EC4">
        <w:rPr>
          <w:rtl/>
        </w:rPr>
        <w:t>.</w:t>
      </w:r>
    </w:p>
    <w:p w14:paraId="3FFF9EFB" w14:textId="77777777" w:rsidR="00C00FE8" w:rsidRPr="004F0EC4" w:rsidRDefault="00C00FE8" w:rsidP="00C00FE8">
      <w:pPr>
        <w:pStyle w:val="SingleTxtGA"/>
      </w:pPr>
      <w:r w:rsidRPr="004F0EC4">
        <w:rPr>
          <w:rtl/>
        </w:rPr>
        <w:t>52-</w:t>
      </w:r>
      <w:r w:rsidRPr="004F0EC4">
        <w:rPr>
          <w:rtl/>
        </w:rPr>
        <w:tab/>
        <w:t>ويتطلب النهج المتبع في حالات الطوارئ، المنصوص عليه في الخطة الوطنية للوصول الشامل، أن تحدد الوزارات التدابير والخطط والبرامج والتعديلات التنظيمية اللازمة لضمان الوصول الشامل</w:t>
      </w:r>
      <w:r w:rsidRPr="004F0EC4">
        <w:rPr>
          <w:rFonts w:hint="cs"/>
          <w:rtl/>
        </w:rPr>
        <w:t> </w:t>
      </w:r>
      <w:r w:rsidRPr="004F0EC4">
        <w:rPr>
          <w:rtl/>
        </w:rPr>
        <w:t>في المنهجيات والبروتوكولات والمسارات وأنظمة السلامة المعتمدة لمختلف أنواع الكوارث وحالات</w:t>
      </w:r>
      <w:r w:rsidRPr="004F0EC4">
        <w:rPr>
          <w:rFonts w:hint="cs"/>
          <w:rtl/>
        </w:rPr>
        <w:t> </w:t>
      </w:r>
      <w:r w:rsidRPr="004F0EC4">
        <w:rPr>
          <w:rtl/>
        </w:rPr>
        <w:t>الطوارئ.</w:t>
      </w:r>
    </w:p>
    <w:p w14:paraId="4C82D96D" w14:textId="77777777" w:rsidR="00C00FE8" w:rsidRPr="004F0EC4" w:rsidRDefault="00C00FE8" w:rsidP="00C00FE8">
      <w:pPr>
        <w:pStyle w:val="SingleTxtGA"/>
      </w:pPr>
      <w:r w:rsidRPr="004F0EC4">
        <w:rPr>
          <w:rtl/>
        </w:rPr>
        <w:t>53-</w:t>
      </w:r>
      <w:r w:rsidRPr="004F0EC4">
        <w:rPr>
          <w:rtl/>
        </w:rPr>
        <w:tab/>
        <w:t xml:space="preserve">واعتُمدت السياسة الوطنية للحد من </w:t>
      </w:r>
      <w:proofErr w:type="gramStart"/>
      <w:r w:rsidRPr="004F0EC4">
        <w:rPr>
          <w:rtl/>
        </w:rPr>
        <w:t>مخاطر</w:t>
      </w:r>
      <w:proofErr w:type="gramEnd"/>
      <w:r w:rsidRPr="004F0EC4">
        <w:rPr>
          <w:rtl/>
        </w:rPr>
        <w:t xml:space="preserve"> الكوارث للفترة 2020-2030 بموجب المرسوم رقم</w:t>
      </w:r>
      <w:r w:rsidRPr="004F0EC4">
        <w:rPr>
          <w:rFonts w:hint="cs"/>
          <w:rtl/>
        </w:rPr>
        <w:t> </w:t>
      </w:r>
      <w:r w:rsidRPr="004F0EC4">
        <w:rPr>
          <w:rtl/>
        </w:rPr>
        <w:t>434</w:t>
      </w:r>
      <w:r w:rsidRPr="004F0EC4">
        <w:rPr>
          <w:vertAlign w:val="superscript"/>
          <w:rtl/>
        </w:rPr>
        <w:t>(</w:t>
      </w:r>
      <w:r w:rsidRPr="004F0EC4">
        <w:rPr>
          <w:vertAlign w:val="superscript"/>
          <w:rtl/>
        </w:rPr>
        <w:footnoteReference w:id="83"/>
      </w:r>
      <w:r w:rsidRPr="004F0EC4">
        <w:rPr>
          <w:vertAlign w:val="superscript"/>
          <w:rtl/>
        </w:rPr>
        <w:t>)</w:t>
      </w:r>
      <w:r w:rsidRPr="004F0EC4">
        <w:rPr>
          <w:rtl/>
        </w:rPr>
        <w:t xml:space="preserve"> الصادر في آذار/مارس 2021. وبموجب القانون رقم 21-364</w:t>
      </w:r>
      <w:r w:rsidRPr="004F0EC4">
        <w:rPr>
          <w:vertAlign w:val="superscript"/>
          <w:rtl/>
        </w:rPr>
        <w:t>(</w:t>
      </w:r>
      <w:r w:rsidRPr="004F0EC4">
        <w:rPr>
          <w:vertAlign w:val="superscript"/>
          <w:rtl/>
        </w:rPr>
        <w:footnoteReference w:id="84"/>
      </w:r>
      <w:r w:rsidRPr="004F0EC4">
        <w:rPr>
          <w:vertAlign w:val="superscript"/>
          <w:rtl/>
        </w:rPr>
        <w:t>)</w:t>
      </w:r>
      <w:r w:rsidRPr="004F0EC4">
        <w:rPr>
          <w:rtl/>
        </w:rPr>
        <w:t xml:space="preserve">، الصادر في آب/أغسطس 2021، حل النظام الوطني للوقاية من الكوارث والاستجابة لها محل المكتب الوطني للطوارئ. وتعد الشفافية مبدأً أساسياً في إدارة </w:t>
      </w:r>
      <w:proofErr w:type="gramStart"/>
      <w:r w:rsidRPr="004F0EC4">
        <w:rPr>
          <w:rtl/>
        </w:rPr>
        <w:t>مخاطر</w:t>
      </w:r>
      <w:proofErr w:type="gramEnd"/>
      <w:r w:rsidRPr="004F0EC4">
        <w:rPr>
          <w:rtl/>
        </w:rPr>
        <w:t xml:space="preserve"> الكوارث، وهو ما يعني أن نظام الإدارة يجب أن يكون شاملاً ومستنيراً ومتكيفاً مع جميع مراحل دورة إدارة الكوارث، كما يجب أن يضمن تبادل البيانات والمعلومات ونشرها بطريقة محدّثة ومفهومة ويسهل الوصول إليها.</w:t>
      </w:r>
    </w:p>
    <w:p w14:paraId="52DC070F" w14:textId="77777777" w:rsidR="00C00FE8" w:rsidRPr="004F0EC4" w:rsidRDefault="00C00FE8" w:rsidP="00C00FE8">
      <w:pPr>
        <w:pStyle w:val="H23GA"/>
        <w:rPr>
          <w:lang w:val="en-US"/>
        </w:rPr>
      </w:pPr>
      <w:r w:rsidRPr="004F0EC4">
        <w:rPr>
          <w:rtl/>
          <w:lang w:val="en-US"/>
        </w:rPr>
        <w:lastRenderedPageBreak/>
        <w:tab/>
      </w:r>
      <w:r w:rsidRPr="004F0EC4">
        <w:rPr>
          <w:rtl/>
          <w:lang w:val="en-US"/>
        </w:rPr>
        <w:tab/>
        <w:t>معلومات في متناول الجميع عن الجائحة وسبل الوقاية منها</w:t>
      </w:r>
    </w:p>
    <w:p w14:paraId="5E07A9D5" w14:textId="432AE65A" w:rsidR="00C00FE8" w:rsidRPr="004F0EC4" w:rsidRDefault="00C00FE8" w:rsidP="00C00FE8">
      <w:pPr>
        <w:pStyle w:val="SingleTxtGA"/>
      </w:pPr>
      <w:r w:rsidRPr="004F0EC4">
        <w:rPr>
          <w:rtl/>
        </w:rPr>
        <w:t xml:space="preserve">54- أتيحت للجمهور في أثناء فترة الجائحة المعلومات الرسمية عن معدلات الإصابة، والأسرّة المتوفرة، ومرافق الرعاية الصحية الداخلية، ومواضيع أخرى، في الموقع الشبكي الميسّر للجميع </w:t>
      </w:r>
      <w:hyperlink r:id="rId11" w:history="1">
        <w:r w:rsidRPr="004F0EC4">
          <w:rPr>
            <w:rStyle w:val="Hyperlink"/>
          </w:rPr>
          <w:t>https://www.gob.cl/pasoapaso/</w:t>
        </w:r>
      </w:hyperlink>
      <w:r w:rsidRPr="004F0EC4">
        <w:rPr>
          <w:rtl/>
        </w:rPr>
        <w:t>. وعقدت الدائرة الوطنية لشؤون الأشخاص ذوي الإعاقة اجتماع مائدة مستديرة مشترك بين القطاعات لبحث أوضاع الأشخاص ذوي الإعاقة وأسرهم ومقدمي الرعاية لهم في ظل جائحة كوفيد-19</w:t>
      </w:r>
      <w:r w:rsidRPr="004F0EC4">
        <w:rPr>
          <w:vertAlign w:val="superscript"/>
          <w:rtl/>
        </w:rPr>
        <w:t>(</w:t>
      </w:r>
      <w:r w:rsidRPr="004F0EC4">
        <w:rPr>
          <w:vertAlign w:val="superscript"/>
          <w:rtl/>
        </w:rPr>
        <w:footnoteReference w:id="85"/>
      </w:r>
      <w:r w:rsidRPr="004F0EC4">
        <w:rPr>
          <w:vertAlign w:val="superscript"/>
          <w:rtl/>
        </w:rPr>
        <w:t>)</w:t>
      </w:r>
      <w:r w:rsidRPr="004F0EC4">
        <w:rPr>
          <w:rtl/>
        </w:rPr>
        <w:t xml:space="preserve">، وشارك في الاجتماع 21 ممثلاً عن المجتمع المدني والهيئات الحكومية والنقابات والمنظمات الدولية. وعقب المشاورات، أعدَّ شريط </w:t>
      </w:r>
      <w:proofErr w:type="gramStart"/>
      <w:r w:rsidRPr="004F0EC4">
        <w:rPr>
          <w:rtl/>
        </w:rPr>
        <w:t>فيديو</w:t>
      </w:r>
      <w:r w:rsidRPr="004F0EC4">
        <w:rPr>
          <w:vertAlign w:val="superscript"/>
          <w:rtl/>
        </w:rPr>
        <w:t>(</w:t>
      </w:r>
      <w:proofErr w:type="gramEnd"/>
      <w:r w:rsidRPr="004F0EC4">
        <w:rPr>
          <w:vertAlign w:val="superscript"/>
          <w:rtl/>
        </w:rPr>
        <w:footnoteReference w:id="86"/>
      </w:r>
      <w:r w:rsidRPr="004F0EC4">
        <w:rPr>
          <w:vertAlign w:val="superscript"/>
          <w:rtl/>
        </w:rPr>
        <w:t>)</w:t>
      </w:r>
      <w:r w:rsidRPr="004F0EC4">
        <w:rPr>
          <w:rtl/>
        </w:rPr>
        <w:t xml:space="preserve"> يشرح الوضع في ظل الجائحة وحقوق الأشخاص ذوي الإعاقة، واحتوى هذا الشريط على ترجمة نصية وترجمة بلغة الإشارة الشيلية، بالإضافة إلى وثيقة سهلة القراءة بعنوان </w:t>
      </w:r>
      <w:r w:rsidR="00E22186" w:rsidRPr="004F0EC4">
        <w:rPr>
          <w:rFonts w:hint="cs"/>
          <w:rtl/>
        </w:rPr>
        <w:t>"</w:t>
      </w:r>
      <w:r w:rsidRPr="004F0EC4">
        <w:rPr>
          <w:rtl/>
        </w:rPr>
        <w:t>حقوقي أثناء جائحة كوفيد-19</w:t>
      </w:r>
      <w:r w:rsidR="00E22186" w:rsidRPr="004F0EC4">
        <w:rPr>
          <w:rFonts w:hint="cs"/>
          <w:rtl/>
        </w:rPr>
        <w:t>"</w:t>
      </w:r>
      <w:r w:rsidRPr="004F0EC4">
        <w:rPr>
          <w:rtl/>
        </w:rPr>
        <w:t>، ووزع كلاهما على جميع مرافق الرعاية</w:t>
      </w:r>
      <w:r w:rsidRPr="004F0EC4">
        <w:rPr>
          <w:rFonts w:hint="cs"/>
          <w:rtl/>
        </w:rPr>
        <w:t> </w:t>
      </w:r>
      <w:proofErr w:type="gramStart"/>
      <w:r w:rsidRPr="004F0EC4">
        <w:rPr>
          <w:rtl/>
        </w:rPr>
        <w:t>الصحية</w:t>
      </w:r>
      <w:r w:rsidRPr="004F0EC4">
        <w:rPr>
          <w:vertAlign w:val="superscript"/>
          <w:rtl/>
        </w:rPr>
        <w:t>(</w:t>
      </w:r>
      <w:proofErr w:type="gramEnd"/>
      <w:r w:rsidRPr="004F0EC4">
        <w:rPr>
          <w:vertAlign w:val="superscript"/>
          <w:rtl/>
        </w:rPr>
        <w:footnoteReference w:id="87"/>
      </w:r>
      <w:r w:rsidRPr="004F0EC4">
        <w:rPr>
          <w:vertAlign w:val="superscript"/>
          <w:rtl/>
        </w:rPr>
        <w:t>)</w:t>
      </w:r>
      <w:r w:rsidRPr="004F0EC4">
        <w:rPr>
          <w:rtl/>
        </w:rPr>
        <w:t>.</w:t>
      </w:r>
    </w:p>
    <w:p w14:paraId="670B32FC" w14:textId="77777777" w:rsidR="00C00FE8" w:rsidRPr="004F0EC4" w:rsidRDefault="00C00FE8" w:rsidP="00C00FE8">
      <w:pPr>
        <w:pStyle w:val="SingleTxtGA"/>
      </w:pPr>
      <w:r w:rsidRPr="004F0EC4">
        <w:rPr>
          <w:rtl/>
        </w:rPr>
        <w:t>55-</w:t>
      </w:r>
      <w:r w:rsidRPr="004F0EC4">
        <w:rPr>
          <w:rtl/>
        </w:rPr>
        <w:tab/>
        <w:t>وفي عام 2020، بدأ تشغيل الخط الساخن المجاني "موصولون بالرعاية"</w:t>
      </w:r>
      <w:r w:rsidRPr="004F0EC4">
        <w:rPr>
          <w:vertAlign w:val="superscript"/>
          <w:rtl/>
        </w:rPr>
        <w:t>(</w:t>
      </w:r>
      <w:r w:rsidRPr="004F0EC4">
        <w:rPr>
          <w:vertAlign w:val="superscript"/>
          <w:rtl/>
        </w:rPr>
        <w:footnoteReference w:id="88"/>
      </w:r>
      <w:r w:rsidRPr="004F0EC4">
        <w:rPr>
          <w:vertAlign w:val="superscript"/>
          <w:rtl/>
        </w:rPr>
        <w:t>)</w:t>
      </w:r>
      <w:r w:rsidRPr="004F0EC4">
        <w:rPr>
          <w:rtl/>
        </w:rPr>
        <w:t xml:space="preserve"> على </w:t>
      </w:r>
      <w:r w:rsidRPr="004F0EC4">
        <w:rPr>
          <w:rFonts w:hint="cs"/>
          <w:rtl/>
        </w:rPr>
        <w:t xml:space="preserve">              </w:t>
      </w:r>
      <w:r w:rsidRPr="004F0EC4">
        <w:rPr>
          <w:rtl/>
        </w:rPr>
        <w:t xml:space="preserve">الرقم 058 000 800، وهو يقدم الدعم والتوجيه لمقدمي الرعاية غير الرسميين والأشخاص ذوي الإعاقة، لا سيما المعتمدين على </w:t>
      </w:r>
      <w:proofErr w:type="gramStart"/>
      <w:r w:rsidRPr="004F0EC4">
        <w:rPr>
          <w:rtl/>
        </w:rPr>
        <w:t>الغير</w:t>
      </w:r>
      <w:r w:rsidRPr="004F0EC4">
        <w:rPr>
          <w:vertAlign w:val="superscript"/>
          <w:rtl/>
        </w:rPr>
        <w:t>(</w:t>
      </w:r>
      <w:proofErr w:type="gramEnd"/>
      <w:r w:rsidRPr="004F0EC4">
        <w:rPr>
          <w:vertAlign w:val="superscript"/>
          <w:rtl/>
        </w:rPr>
        <w:footnoteReference w:id="89"/>
      </w:r>
      <w:r w:rsidRPr="004F0EC4">
        <w:rPr>
          <w:vertAlign w:val="superscript"/>
          <w:rtl/>
        </w:rPr>
        <w:t>)</w:t>
      </w:r>
      <w:r w:rsidRPr="004F0EC4">
        <w:rPr>
          <w:rtl/>
        </w:rPr>
        <w:t xml:space="preserve">. ويقدم الخط الساخن الدعم والمساعدة للأشخاص الصم بواسطة تطبيق الويب </w:t>
      </w:r>
      <w:r w:rsidRPr="004F0EC4">
        <w:t>Vi-</w:t>
      </w:r>
      <w:proofErr w:type="spellStart"/>
      <w:r w:rsidRPr="004F0EC4">
        <w:t>sor</w:t>
      </w:r>
      <w:proofErr w:type="spellEnd"/>
      <w:r w:rsidRPr="004F0EC4">
        <w:rPr>
          <w:rtl/>
        </w:rPr>
        <w:t xml:space="preserve">، الذي يتيح لهم التواصل بالفيديو مع مترجم للغة الإشارة </w:t>
      </w:r>
      <w:proofErr w:type="gramStart"/>
      <w:r w:rsidRPr="004F0EC4">
        <w:rPr>
          <w:rtl/>
        </w:rPr>
        <w:t>الشيلية</w:t>
      </w:r>
      <w:r w:rsidRPr="004F0EC4">
        <w:rPr>
          <w:vertAlign w:val="superscript"/>
          <w:rtl/>
        </w:rPr>
        <w:t>(</w:t>
      </w:r>
      <w:proofErr w:type="gramEnd"/>
      <w:r w:rsidRPr="004F0EC4">
        <w:rPr>
          <w:vertAlign w:val="superscript"/>
          <w:rtl/>
        </w:rPr>
        <w:footnoteReference w:id="90"/>
      </w:r>
      <w:r w:rsidRPr="004F0EC4">
        <w:rPr>
          <w:vertAlign w:val="superscript"/>
          <w:rtl/>
        </w:rPr>
        <w:t>)</w:t>
      </w:r>
      <w:r w:rsidRPr="004F0EC4">
        <w:rPr>
          <w:rtl/>
        </w:rPr>
        <w:t xml:space="preserve">. وأبرمت الدائرة الوطنية لشؤون الأشخاص ذوي الإعاقة اتفاقية مع تطبيق </w:t>
      </w:r>
      <w:proofErr w:type="spellStart"/>
      <w:r w:rsidRPr="004F0EC4">
        <w:rPr>
          <w:rtl/>
        </w:rPr>
        <w:t>لازاريو</w:t>
      </w:r>
      <w:proofErr w:type="spellEnd"/>
      <w:r w:rsidRPr="004F0EC4">
        <w:rPr>
          <w:rtl/>
        </w:rPr>
        <w:t xml:space="preserve"> (</w:t>
      </w:r>
      <w:r w:rsidRPr="004F0EC4">
        <w:t>Lazarillo</w:t>
      </w:r>
      <w:proofErr w:type="gramStart"/>
      <w:r w:rsidRPr="004F0EC4">
        <w:rPr>
          <w:rtl/>
        </w:rPr>
        <w:t>)</w:t>
      </w:r>
      <w:r w:rsidRPr="004F0EC4">
        <w:rPr>
          <w:vertAlign w:val="superscript"/>
          <w:rtl/>
        </w:rPr>
        <w:t>(</w:t>
      </w:r>
      <w:proofErr w:type="gramEnd"/>
      <w:r w:rsidRPr="004F0EC4">
        <w:rPr>
          <w:vertAlign w:val="superscript"/>
          <w:rtl/>
        </w:rPr>
        <w:footnoteReference w:id="91"/>
      </w:r>
      <w:r w:rsidRPr="004F0EC4">
        <w:rPr>
          <w:vertAlign w:val="superscript"/>
          <w:rtl/>
        </w:rPr>
        <w:t>)</w:t>
      </w:r>
      <w:r w:rsidRPr="004F0EC4">
        <w:rPr>
          <w:rtl/>
        </w:rPr>
        <w:t>، الذي يساعد المكفوفين وضعاف البصر، ويتيح لهم الحصول على المعلومات الأساسية المتعلقة بحالات الطوارئ بإرسال إشعارات إلى هواتفهم الخلوية.</w:t>
      </w:r>
    </w:p>
    <w:p w14:paraId="33AFC8E3" w14:textId="77777777" w:rsidR="00C00FE8" w:rsidRPr="004F0EC4" w:rsidRDefault="00C00FE8" w:rsidP="00C00FE8">
      <w:pPr>
        <w:pStyle w:val="H23GA"/>
        <w:rPr>
          <w:lang w:val="en-US"/>
        </w:rPr>
      </w:pPr>
      <w:r w:rsidRPr="004F0EC4">
        <w:rPr>
          <w:rtl/>
          <w:lang w:val="en-US"/>
        </w:rPr>
        <w:tab/>
      </w:r>
      <w:r w:rsidRPr="004F0EC4">
        <w:rPr>
          <w:rtl/>
          <w:lang w:val="en-US"/>
        </w:rPr>
        <w:tab/>
        <w:t>الوصول المستمر إلى خدمات الدعم والخدمات المجتمعية والرعاية المنزلية</w:t>
      </w:r>
    </w:p>
    <w:p w14:paraId="79BA700C" w14:textId="77777777" w:rsidR="00C00FE8" w:rsidRPr="004F0EC4" w:rsidRDefault="00C00FE8" w:rsidP="00C00FE8">
      <w:pPr>
        <w:pStyle w:val="SingleTxtGA"/>
        <w:spacing w:line="366" w:lineRule="exact"/>
      </w:pPr>
      <w:r w:rsidRPr="004F0EC4">
        <w:rPr>
          <w:rtl/>
        </w:rPr>
        <w:t>56-</w:t>
      </w:r>
      <w:r w:rsidRPr="004F0EC4">
        <w:rPr>
          <w:rtl/>
        </w:rPr>
        <w:tab/>
        <w:t xml:space="preserve">أثناء فترة الجائحة، واصلت الدائرة الوطنية لشؤون الأشخاص ذوي الإعاقة قبول طلبات الحصول على تمويل لوسائل المساعدة </w:t>
      </w:r>
      <w:proofErr w:type="gramStart"/>
      <w:r w:rsidRPr="004F0EC4">
        <w:rPr>
          <w:rtl/>
        </w:rPr>
        <w:t>التقنية</w:t>
      </w:r>
      <w:r w:rsidRPr="004F0EC4">
        <w:rPr>
          <w:vertAlign w:val="superscript"/>
          <w:rtl/>
        </w:rPr>
        <w:t>(</w:t>
      </w:r>
      <w:proofErr w:type="gramEnd"/>
      <w:r w:rsidRPr="004F0EC4">
        <w:rPr>
          <w:vertAlign w:val="superscript"/>
          <w:rtl/>
        </w:rPr>
        <w:footnoteReference w:id="92"/>
      </w:r>
      <w:r w:rsidRPr="004F0EC4">
        <w:rPr>
          <w:vertAlign w:val="superscript"/>
          <w:rtl/>
        </w:rPr>
        <w:t>)</w:t>
      </w:r>
      <w:r w:rsidRPr="004F0EC4">
        <w:rPr>
          <w:rtl/>
        </w:rPr>
        <w:t xml:space="preserve">، وبرنامج الانتقال إلى الحياة </w:t>
      </w:r>
      <w:proofErr w:type="gramStart"/>
      <w:r w:rsidRPr="004F0EC4">
        <w:rPr>
          <w:rtl/>
        </w:rPr>
        <w:t>المستقلة</w:t>
      </w:r>
      <w:r w:rsidRPr="004F0EC4">
        <w:rPr>
          <w:vertAlign w:val="superscript"/>
          <w:rtl/>
        </w:rPr>
        <w:t>(</w:t>
      </w:r>
      <w:proofErr w:type="gramEnd"/>
      <w:r w:rsidRPr="004F0EC4">
        <w:rPr>
          <w:vertAlign w:val="superscript"/>
          <w:rtl/>
        </w:rPr>
        <w:footnoteReference w:id="93"/>
      </w:r>
      <w:r w:rsidRPr="004F0EC4">
        <w:rPr>
          <w:vertAlign w:val="superscript"/>
          <w:rtl/>
        </w:rPr>
        <w:t>)</w:t>
      </w:r>
      <w:r w:rsidRPr="004F0EC4">
        <w:rPr>
          <w:rtl/>
        </w:rPr>
        <w:t xml:space="preserve">، ودعم </w:t>
      </w:r>
      <w:proofErr w:type="gramStart"/>
      <w:r w:rsidRPr="004F0EC4">
        <w:rPr>
          <w:rtl/>
        </w:rPr>
        <w:t>الطلاب</w:t>
      </w:r>
      <w:r w:rsidRPr="004F0EC4">
        <w:rPr>
          <w:vertAlign w:val="superscript"/>
          <w:rtl/>
        </w:rPr>
        <w:t>(</w:t>
      </w:r>
      <w:proofErr w:type="gramEnd"/>
      <w:r w:rsidRPr="004F0EC4">
        <w:rPr>
          <w:vertAlign w:val="superscript"/>
          <w:rtl/>
        </w:rPr>
        <w:footnoteReference w:id="94"/>
      </w:r>
      <w:r w:rsidRPr="004F0EC4">
        <w:rPr>
          <w:vertAlign w:val="superscript"/>
          <w:rtl/>
        </w:rPr>
        <w:t>)</w:t>
      </w:r>
      <w:r w:rsidRPr="004F0EC4">
        <w:rPr>
          <w:rtl/>
        </w:rPr>
        <w:t xml:space="preserve">، </w:t>
      </w:r>
      <w:r w:rsidRPr="004F0EC4">
        <w:rPr>
          <w:spacing w:val="-2"/>
          <w:rtl/>
        </w:rPr>
        <w:t>وبرنامج دور الرعاية السكنية النموذجية للكبار ذوي الإعاقة. واستجابةً لحالات الإصابة بفيروس كوفيد-19</w:t>
      </w:r>
      <w:r w:rsidRPr="004F0EC4">
        <w:rPr>
          <w:rtl/>
        </w:rPr>
        <w:t xml:space="preserve"> في دور الرعاية السكنية، صُرف مبلغ إضافي قدره 410 مليار بيسو شيلي للبرنامج المذكور لتمويل شراء </w:t>
      </w:r>
      <w:r w:rsidRPr="004F0EC4">
        <w:rPr>
          <w:spacing w:val="-2"/>
          <w:rtl/>
        </w:rPr>
        <w:lastRenderedPageBreak/>
        <w:t>المعدات اللازمة لمواجهة هذه الأزمة الصحية. وفي آذار/مارس 2020، صدر بروتوكول يتضمن توصيات</w:t>
      </w:r>
      <w:r w:rsidRPr="004F0EC4">
        <w:rPr>
          <w:rtl/>
        </w:rPr>
        <w:t xml:space="preserve"> للوقاية من كوفيد-19 وتقديم الرعاية في دور الرعاية السكنية للكبار ذوي </w:t>
      </w:r>
      <w:proofErr w:type="gramStart"/>
      <w:r w:rsidRPr="004F0EC4">
        <w:rPr>
          <w:rtl/>
        </w:rPr>
        <w:t>الإعاقة</w:t>
      </w:r>
      <w:r w:rsidRPr="004F0EC4">
        <w:rPr>
          <w:vertAlign w:val="superscript"/>
          <w:rtl/>
        </w:rPr>
        <w:t>(</w:t>
      </w:r>
      <w:proofErr w:type="gramEnd"/>
      <w:r w:rsidRPr="004F0EC4">
        <w:rPr>
          <w:vertAlign w:val="superscript"/>
          <w:rtl/>
        </w:rPr>
        <w:footnoteReference w:id="95"/>
      </w:r>
      <w:r w:rsidRPr="004F0EC4">
        <w:rPr>
          <w:vertAlign w:val="superscript"/>
          <w:rtl/>
        </w:rPr>
        <w:t>)</w:t>
      </w:r>
      <w:r w:rsidRPr="004F0EC4">
        <w:rPr>
          <w:rtl/>
        </w:rPr>
        <w:t>.</w:t>
      </w:r>
    </w:p>
    <w:p w14:paraId="0069766C" w14:textId="6BAF1DF3" w:rsidR="00C00FE8" w:rsidRPr="004F0EC4" w:rsidRDefault="00C00FE8" w:rsidP="00C00FE8">
      <w:pPr>
        <w:pStyle w:val="SingleTxtGA"/>
        <w:spacing w:line="366" w:lineRule="exact"/>
        <w:rPr>
          <w:spacing w:val="-2"/>
          <w:rtl/>
        </w:rPr>
      </w:pPr>
      <w:r w:rsidRPr="004F0EC4">
        <w:rPr>
          <w:rtl/>
        </w:rPr>
        <w:t>57-</w:t>
      </w:r>
      <w:r w:rsidRPr="004F0EC4">
        <w:rPr>
          <w:rtl/>
        </w:rPr>
        <w:tab/>
      </w:r>
      <w:r w:rsidRPr="004F0EC4">
        <w:rPr>
          <w:spacing w:val="-4"/>
          <w:rtl/>
        </w:rPr>
        <w:t xml:space="preserve">وأنشئت مرافق </w:t>
      </w:r>
      <w:r w:rsidR="00E22186" w:rsidRPr="004F0EC4">
        <w:rPr>
          <w:rFonts w:hint="cs"/>
          <w:spacing w:val="-4"/>
          <w:rtl/>
        </w:rPr>
        <w:t>"</w:t>
      </w:r>
      <w:proofErr w:type="spellStart"/>
      <w:r w:rsidRPr="004F0EC4">
        <w:rPr>
          <w:spacing w:val="-4"/>
          <w:rtl/>
        </w:rPr>
        <w:t>ريزيدنسياس</w:t>
      </w:r>
      <w:proofErr w:type="spellEnd"/>
      <w:r w:rsidRPr="004F0EC4">
        <w:rPr>
          <w:spacing w:val="-4"/>
          <w:rtl/>
        </w:rPr>
        <w:t xml:space="preserve"> </w:t>
      </w:r>
      <w:proofErr w:type="spellStart"/>
      <w:r w:rsidRPr="004F0EC4">
        <w:rPr>
          <w:spacing w:val="-4"/>
          <w:rtl/>
        </w:rPr>
        <w:t>إسبيخو</w:t>
      </w:r>
      <w:proofErr w:type="spellEnd"/>
      <w:r w:rsidR="00E22186" w:rsidRPr="004F0EC4">
        <w:rPr>
          <w:rFonts w:hint="cs"/>
          <w:spacing w:val="-4"/>
          <w:rtl/>
        </w:rPr>
        <w:t>"</w:t>
      </w:r>
      <w:r w:rsidRPr="004F0EC4">
        <w:rPr>
          <w:spacing w:val="-4"/>
          <w:rtl/>
        </w:rPr>
        <w:t xml:space="preserve"> للعزل المؤقت، وهي توفر ما مجموعه 251 مكاناً وتقدم</w:t>
      </w:r>
      <w:r w:rsidRPr="004F0EC4">
        <w:rPr>
          <w:rFonts w:hint="cs"/>
          <w:spacing w:val="-4"/>
          <w:rtl/>
        </w:rPr>
        <w:t> </w:t>
      </w:r>
      <w:r w:rsidRPr="004F0EC4">
        <w:rPr>
          <w:spacing w:val="-4"/>
          <w:rtl/>
        </w:rPr>
        <w:t xml:space="preserve">خدمات الرعاية والدعم الأساسية لمواجهة حالات الطوارئ الحرجة الناجمة عن عدوى فيروس كورونا </w:t>
      </w:r>
      <w:r w:rsidRPr="004F0EC4">
        <w:rPr>
          <w:spacing w:val="-2"/>
          <w:rtl/>
        </w:rPr>
        <w:t>(كوفيد-19) في</w:t>
      </w:r>
      <w:r w:rsidR="00A27310" w:rsidRPr="004F0EC4">
        <w:rPr>
          <w:rFonts w:hint="cs"/>
          <w:spacing w:val="-2"/>
          <w:rtl/>
        </w:rPr>
        <w:t> </w:t>
      </w:r>
      <w:r w:rsidRPr="004F0EC4">
        <w:rPr>
          <w:spacing w:val="-2"/>
          <w:rtl/>
        </w:rPr>
        <w:t>دور الرعاية السكنية ولمنع انتشاره. وقد تولت وزارة الصحة تنسيق إجراءات قبول الأشخاص ذوي الإعاقة في مرافق الرعاية الصحية الداخلية، بغض النظر عن درجة احتياجهم إلى الرعاية. وكان يُسمح بوجود مُرافق عند الحاجة، وفي حال عدم توفر هذا السند لأي شخص محتاج، كانت الأمانة العامة الوطنية</w:t>
      </w:r>
      <w:r w:rsidRPr="004F0EC4">
        <w:rPr>
          <w:rFonts w:hint="cs"/>
          <w:spacing w:val="-2"/>
          <w:rtl/>
        </w:rPr>
        <w:t> </w:t>
      </w:r>
      <w:r w:rsidRPr="004F0EC4">
        <w:rPr>
          <w:spacing w:val="-2"/>
          <w:rtl/>
        </w:rPr>
        <w:t xml:space="preserve">لشؤون الأشخاص ذوي الإعاقة توفر له مرافقاً. وأُضيف مكون متعلق بفيروس كورونا (كوفيد-19) إلى استراتيجية الدائرة الوطنية لشؤون الأشخاص ذوي الإعاقة الرامية إلى تعزيز الاستقلالية من خلال الشبكات المحلية والمجتمعية، وذلك بهدف معالجة أوضاع الأشخاص ذوي الإعاقة المعتمدين على الغير إلى حد ما الذين أدخل مقدم الرعاية الرئيسي لهم إلى المستشفى وليس لهم سند </w:t>
      </w:r>
      <w:proofErr w:type="gramStart"/>
      <w:r w:rsidRPr="004F0EC4">
        <w:rPr>
          <w:spacing w:val="-2"/>
          <w:rtl/>
        </w:rPr>
        <w:t>غيره</w:t>
      </w:r>
      <w:r w:rsidRPr="004F0EC4">
        <w:rPr>
          <w:spacing w:val="-2"/>
          <w:vertAlign w:val="superscript"/>
          <w:rtl/>
        </w:rPr>
        <w:t>(</w:t>
      </w:r>
      <w:proofErr w:type="gramEnd"/>
      <w:r w:rsidRPr="004F0EC4">
        <w:rPr>
          <w:spacing w:val="-2"/>
          <w:vertAlign w:val="superscript"/>
          <w:rtl/>
        </w:rPr>
        <w:footnoteReference w:id="96"/>
      </w:r>
      <w:r w:rsidRPr="004F0EC4">
        <w:rPr>
          <w:spacing w:val="-2"/>
          <w:vertAlign w:val="superscript"/>
          <w:rtl/>
        </w:rPr>
        <w:t>)</w:t>
      </w:r>
      <w:r w:rsidRPr="004F0EC4">
        <w:rPr>
          <w:spacing w:val="-2"/>
          <w:rtl/>
        </w:rPr>
        <w:t>.</w:t>
      </w:r>
    </w:p>
    <w:p w14:paraId="68F0BCA9" w14:textId="77777777" w:rsidR="00C00FE8" w:rsidRPr="004F0EC4" w:rsidRDefault="00C00FE8" w:rsidP="00C00FE8">
      <w:pPr>
        <w:pStyle w:val="SingleTxtGA"/>
        <w:spacing w:line="366" w:lineRule="exact"/>
        <w:rPr>
          <w:spacing w:val="-2"/>
        </w:rPr>
      </w:pPr>
      <w:r w:rsidRPr="004F0EC4">
        <w:rPr>
          <w:rtl/>
        </w:rPr>
        <w:t>58-</w:t>
      </w:r>
      <w:r w:rsidRPr="004F0EC4">
        <w:rPr>
          <w:rtl/>
        </w:rPr>
        <w:tab/>
      </w:r>
      <w:r w:rsidRPr="004F0EC4">
        <w:rPr>
          <w:spacing w:val="-2"/>
          <w:rtl/>
        </w:rPr>
        <w:t xml:space="preserve">قام الصندوق الوطني للمبادرات الشاملة، الذي تديره الدائرة الوطنية لشؤون الأشخاص ذوي الإعاقة، بتعديل خطوط تمويله للتركيز على المشاريع الرامية إلى إدارة الجائحة، وشراء معدات الحماية الشخصية، وتطهير </w:t>
      </w:r>
      <w:proofErr w:type="gramStart"/>
      <w:r w:rsidRPr="004F0EC4">
        <w:rPr>
          <w:spacing w:val="-2"/>
          <w:rtl/>
        </w:rPr>
        <w:t>البيئة</w:t>
      </w:r>
      <w:r w:rsidRPr="004F0EC4">
        <w:rPr>
          <w:spacing w:val="-2"/>
          <w:vertAlign w:val="superscript"/>
          <w:rtl/>
        </w:rPr>
        <w:t>(</w:t>
      </w:r>
      <w:proofErr w:type="gramEnd"/>
      <w:r w:rsidRPr="004F0EC4">
        <w:rPr>
          <w:spacing w:val="-2"/>
          <w:vertAlign w:val="superscript"/>
          <w:rtl/>
        </w:rPr>
        <w:footnoteReference w:id="97"/>
      </w:r>
      <w:r w:rsidRPr="004F0EC4">
        <w:rPr>
          <w:spacing w:val="-2"/>
          <w:vertAlign w:val="superscript"/>
          <w:rtl/>
        </w:rPr>
        <w:t>)</w:t>
      </w:r>
      <w:r w:rsidRPr="004F0EC4">
        <w:rPr>
          <w:spacing w:val="-2"/>
          <w:rtl/>
        </w:rPr>
        <w:t>. وشرع برنامج دعم الطلاب ذوي الإعاقة في مؤسسات التعليم العالي في توفير المعدات التقنية وخدمات الدعم لتمكين الطلاب من مواصلة دراستهم عن بُعد. واستفاد أكثر من 200 طالب إضافي من الدعم مقارنة بالمستوى المسجل في عام 2019.</w:t>
      </w:r>
    </w:p>
    <w:p w14:paraId="76829EC5" w14:textId="77777777" w:rsidR="00C00FE8" w:rsidRPr="004F0EC4" w:rsidRDefault="00C00FE8" w:rsidP="00C00FE8">
      <w:pPr>
        <w:pStyle w:val="SingleTxtGA"/>
        <w:spacing w:line="366" w:lineRule="exact"/>
        <w:rPr>
          <w:rtl/>
        </w:rPr>
      </w:pPr>
      <w:r w:rsidRPr="004F0EC4">
        <w:rPr>
          <w:rtl/>
        </w:rPr>
        <w:t>59-</w:t>
      </w:r>
      <w:r w:rsidRPr="004F0EC4">
        <w:rPr>
          <w:rtl/>
        </w:rPr>
        <w:tab/>
        <w:t xml:space="preserve">وأصدر المكتب الوطني للطوارئ دليلاً لإدارة الملاجئ البلدية خلال جائحة كوفيد-19، تضمن المسائل الشاملة لمجالات </w:t>
      </w:r>
      <w:proofErr w:type="gramStart"/>
      <w:r w:rsidRPr="004F0EC4">
        <w:rPr>
          <w:rtl/>
        </w:rPr>
        <w:t>كثيرة</w:t>
      </w:r>
      <w:r w:rsidRPr="004F0EC4">
        <w:rPr>
          <w:vertAlign w:val="superscript"/>
          <w:rtl/>
        </w:rPr>
        <w:t>(</w:t>
      </w:r>
      <w:proofErr w:type="gramEnd"/>
      <w:r w:rsidRPr="004F0EC4">
        <w:rPr>
          <w:vertAlign w:val="superscript"/>
          <w:rtl/>
        </w:rPr>
        <w:footnoteReference w:id="98"/>
      </w:r>
      <w:r w:rsidRPr="004F0EC4">
        <w:rPr>
          <w:vertAlign w:val="superscript"/>
          <w:rtl/>
        </w:rPr>
        <w:t>)</w:t>
      </w:r>
      <w:r w:rsidRPr="004F0EC4">
        <w:rPr>
          <w:rtl/>
        </w:rPr>
        <w:t>.</w:t>
      </w:r>
    </w:p>
    <w:p w14:paraId="0C11F211" w14:textId="77777777" w:rsidR="00C00FE8" w:rsidRPr="004F0EC4" w:rsidRDefault="00C00FE8" w:rsidP="00C00FE8">
      <w:pPr>
        <w:pStyle w:val="H23GA"/>
        <w:rPr>
          <w:lang w:val="en-US"/>
        </w:rPr>
      </w:pPr>
      <w:r w:rsidRPr="004F0EC4">
        <w:rPr>
          <w:rtl/>
          <w:lang w:val="en-US"/>
        </w:rPr>
        <w:tab/>
      </w:r>
      <w:r w:rsidRPr="004F0EC4">
        <w:rPr>
          <w:rtl/>
          <w:lang w:val="en-US"/>
        </w:rPr>
        <w:tab/>
        <w:t>الحصول على الرعاية الصحية والدعم المادي والنفسي</w:t>
      </w:r>
    </w:p>
    <w:p w14:paraId="27802B74" w14:textId="77777777" w:rsidR="00C00FE8" w:rsidRPr="004F0EC4" w:rsidRDefault="00C00FE8" w:rsidP="00C00FE8">
      <w:pPr>
        <w:pStyle w:val="SingleTxtGA"/>
        <w:spacing w:line="366" w:lineRule="exact"/>
        <w:rPr>
          <w:rtl/>
        </w:rPr>
      </w:pPr>
      <w:r w:rsidRPr="004F0EC4">
        <w:rPr>
          <w:rtl/>
        </w:rPr>
        <w:t>60-</w:t>
      </w:r>
      <w:r w:rsidRPr="004F0EC4">
        <w:rPr>
          <w:rtl/>
        </w:rPr>
        <w:tab/>
        <w:t>قامت وزارة الصحة في نيسان/أبريل 2020 بنشر وثيقة تتضمن توصيات موجهة إلى لجان أخلاقيات الرعاية الصحية، بهدف دعم عملية اتخاذ القرارات الأخلاقية من قبل الفرق الصحية خلال جائحة كوفيد-19</w:t>
      </w:r>
      <w:r w:rsidRPr="004F0EC4">
        <w:rPr>
          <w:vertAlign w:val="superscript"/>
          <w:rtl/>
        </w:rPr>
        <w:t>(</w:t>
      </w:r>
      <w:r w:rsidRPr="004F0EC4">
        <w:rPr>
          <w:vertAlign w:val="superscript"/>
          <w:rtl/>
        </w:rPr>
        <w:footnoteReference w:id="99"/>
      </w:r>
      <w:r w:rsidRPr="004F0EC4">
        <w:rPr>
          <w:vertAlign w:val="superscript"/>
          <w:rtl/>
        </w:rPr>
        <w:t>)</w:t>
      </w:r>
      <w:r w:rsidRPr="004F0EC4">
        <w:rPr>
          <w:rtl/>
        </w:rPr>
        <w:t xml:space="preserve"> في جميع أنحاء شبكة الرعاية الصحية. واعتُرف صراحةً في هذه التوصيات بمبدأ عدم التمييز باعتباره عاملاً أساسياً لضمان المساواة في الحصول على أجهزة التهوية الميكانيكية. كما</w:t>
      </w:r>
      <w:r w:rsidRPr="004F0EC4">
        <w:rPr>
          <w:rFonts w:hint="cs"/>
          <w:rtl/>
        </w:rPr>
        <w:t> </w:t>
      </w:r>
      <w:r w:rsidRPr="004F0EC4">
        <w:rPr>
          <w:rtl/>
        </w:rPr>
        <w:t xml:space="preserve">أصدرت وزارة الصحة وثيقة تحدد الاعتبارات الخاصة التي يجب مراعاتها في إدارة وعلاج الأشخاص ذوي الإعاقة أثناء </w:t>
      </w:r>
      <w:proofErr w:type="gramStart"/>
      <w:r w:rsidRPr="004F0EC4">
        <w:rPr>
          <w:rtl/>
        </w:rPr>
        <w:t>الجائحة</w:t>
      </w:r>
      <w:r w:rsidRPr="004F0EC4">
        <w:rPr>
          <w:vertAlign w:val="superscript"/>
          <w:rtl/>
        </w:rPr>
        <w:t>(</w:t>
      </w:r>
      <w:proofErr w:type="gramEnd"/>
      <w:r w:rsidRPr="004F0EC4">
        <w:rPr>
          <w:vertAlign w:val="superscript"/>
          <w:rtl/>
        </w:rPr>
        <w:footnoteReference w:id="100"/>
      </w:r>
      <w:r w:rsidRPr="004F0EC4">
        <w:rPr>
          <w:vertAlign w:val="superscript"/>
          <w:rtl/>
        </w:rPr>
        <w:t>)</w:t>
      </w:r>
      <w:r w:rsidRPr="004F0EC4">
        <w:rPr>
          <w:rtl/>
        </w:rPr>
        <w:t xml:space="preserve">، بهدف ضمان استجابة ملائمة في القطاع الصحي، إلى جانب توجيهات </w:t>
      </w:r>
      <w:r w:rsidRPr="004F0EC4">
        <w:rPr>
          <w:rtl/>
        </w:rPr>
        <w:lastRenderedPageBreak/>
        <w:t xml:space="preserve">استراتيجية لمرافق الرعاية الصحية الداخلية، بما في ذلك توصيات بشأن إدخال الأشخاص ذوي </w:t>
      </w:r>
      <w:proofErr w:type="gramStart"/>
      <w:r w:rsidRPr="004F0EC4">
        <w:rPr>
          <w:rtl/>
        </w:rPr>
        <w:t>الإعاقة</w:t>
      </w:r>
      <w:r w:rsidRPr="004F0EC4">
        <w:rPr>
          <w:vertAlign w:val="superscript"/>
          <w:rtl/>
        </w:rPr>
        <w:t>(</w:t>
      </w:r>
      <w:proofErr w:type="gramEnd"/>
      <w:r w:rsidRPr="004F0EC4">
        <w:rPr>
          <w:vertAlign w:val="superscript"/>
          <w:rtl/>
        </w:rPr>
        <w:footnoteReference w:id="101"/>
      </w:r>
      <w:r w:rsidRPr="004F0EC4">
        <w:rPr>
          <w:vertAlign w:val="superscript"/>
          <w:rtl/>
        </w:rPr>
        <w:t>)</w:t>
      </w:r>
      <w:r w:rsidRPr="004F0EC4">
        <w:rPr>
          <w:rtl/>
        </w:rPr>
        <w:t xml:space="preserve"> الذين لم يتح لهم خيار العزل الذاتي في منازلهم، وتوفير الرعاية المستمرة لهم والسماح بخروجهم.</w:t>
      </w:r>
    </w:p>
    <w:p w14:paraId="7B0FBA3C" w14:textId="77777777" w:rsidR="00C00FE8" w:rsidRPr="004F0EC4" w:rsidRDefault="00C00FE8" w:rsidP="00C00FE8">
      <w:pPr>
        <w:pStyle w:val="SingleTxtGA"/>
      </w:pPr>
      <w:r w:rsidRPr="004F0EC4">
        <w:rPr>
          <w:rtl/>
        </w:rPr>
        <w:t>61-</w:t>
      </w:r>
      <w:r w:rsidRPr="004F0EC4">
        <w:rPr>
          <w:rtl/>
        </w:rPr>
        <w:tab/>
      </w:r>
      <w:r w:rsidRPr="004F0EC4">
        <w:rPr>
          <w:spacing w:val="4"/>
          <w:rtl/>
        </w:rPr>
        <w:t xml:space="preserve">واستمر أثناء فترة الجائحة تقديم خدمات الدعم ووسائل المساعدة التقنية المكفولة بموجب نظام الضمانات الصحية </w:t>
      </w:r>
      <w:proofErr w:type="gramStart"/>
      <w:r w:rsidRPr="004F0EC4">
        <w:rPr>
          <w:spacing w:val="4"/>
          <w:rtl/>
        </w:rPr>
        <w:t>الصريحة</w:t>
      </w:r>
      <w:r w:rsidRPr="004F0EC4">
        <w:rPr>
          <w:spacing w:val="4"/>
          <w:vertAlign w:val="superscript"/>
          <w:rtl/>
        </w:rPr>
        <w:t>(</w:t>
      </w:r>
      <w:proofErr w:type="gramEnd"/>
      <w:r w:rsidRPr="004F0EC4">
        <w:rPr>
          <w:spacing w:val="4"/>
          <w:vertAlign w:val="superscript"/>
          <w:rtl/>
        </w:rPr>
        <w:footnoteReference w:id="102"/>
      </w:r>
      <w:r w:rsidRPr="004F0EC4">
        <w:rPr>
          <w:spacing w:val="4"/>
          <w:vertAlign w:val="superscript"/>
          <w:rtl/>
        </w:rPr>
        <w:t>)</w:t>
      </w:r>
      <w:r w:rsidRPr="004F0EC4">
        <w:rPr>
          <w:spacing w:val="4"/>
          <w:rtl/>
        </w:rPr>
        <w:t>. وشملت الإجراءات المتخذة لتعزيز معرفة الجمهور ووعيه</w:t>
      </w:r>
      <w:r w:rsidRPr="004F0EC4">
        <w:rPr>
          <w:rFonts w:hint="cs"/>
          <w:spacing w:val="4"/>
          <w:rtl/>
        </w:rPr>
        <w:t> </w:t>
      </w:r>
      <w:r w:rsidRPr="004F0EC4">
        <w:rPr>
          <w:spacing w:val="4"/>
          <w:rtl/>
        </w:rPr>
        <w:t xml:space="preserve">بفيروس كوفيد-19 إنتاج مقاطع فيديو قصيرة مصحوبة بترجمة إلى لغة الإشارة الشيلية وترجمة </w:t>
      </w:r>
      <w:proofErr w:type="gramStart"/>
      <w:r w:rsidRPr="004F0EC4">
        <w:rPr>
          <w:spacing w:val="4"/>
          <w:rtl/>
        </w:rPr>
        <w:t>نصية</w:t>
      </w:r>
      <w:r w:rsidRPr="004F0EC4">
        <w:rPr>
          <w:spacing w:val="4"/>
          <w:vertAlign w:val="superscript"/>
          <w:rtl/>
        </w:rPr>
        <w:t>(</w:t>
      </w:r>
      <w:proofErr w:type="gramEnd"/>
      <w:r w:rsidRPr="004F0EC4">
        <w:rPr>
          <w:spacing w:val="4"/>
          <w:vertAlign w:val="superscript"/>
          <w:rtl/>
        </w:rPr>
        <w:footnoteReference w:id="103"/>
      </w:r>
      <w:r w:rsidRPr="004F0EC4">
        <w:rPr>
          <w:spacing w:val="4"/>
          <w:vertAlign w:val="superscript"/>
          <w:rtl/>
        </w:rPr>
        <w:t>)</w:t>
      </w:r>
      <w:r w:rsidRPr="004F0EC4">
        <w:rPr>
          <w:spacing w:val="4"/>
          <w:rtl/>
        </w:rPr>
        <w:t>.</w:t>
      </w:r>
    </w:p>
    <w:p w14:paraId="2568795F" w14:textId="77777777" w:rsidR="00C00FE8" w:rsidRPr="004F0EC4" w:rsidRDefault="00C00FE8" w:rsidP="00C00FE8">
      <w:pPr>
        <w:pStyle w:val="SingleTxtGA"/>
        <w:rPr>
          <w:rtl/>
        </w:rPr>
      </w:pPr>
      <w:r w:rsidRPr="004F0EC4">
        <w:rPr>
          <w:rtl/>
        </w:rPr>
        <w:t>62-</w:t>
      </w:r>
      <w:r w:rsidRPr="004F0EC4">
        <w:rPr>
          <w:rtl/>
        </w:rPr>
        <w:tab/>
        <w:t xml:space="preserve">وأُعطيت الأولوية في عملية التحصين من فيروس كوفيد-19 والإنفلونزا للأشخاص ذوي الإعاقات النفسية والاجتماعية والإعاقات الذهنية شديدة، والأشخاص ذوي الإعاقات النفسية والاجتماعية والذين يعيشون في مرافق إقامة جماعية أو في المستشفيات، والأشخاص المصابين بأمراض عقلية </w:t>
      </w:r>
      <w:proofErr w:type="gramStart"/>
      <w:r w:rsidRPr="004F0EC4">
        <w:rPr>
          <w:rtl/>
        </w:rPr>
        <w:t>شديدة</w:t>
      </w:r>
      <w:r w:rsidRPr="004F0EC4">
        <w:rPr>
          <w:vertAlign w:val="superscript"/>
          <w:rtl/>
        </w:rPr>
        <w:t>(</w:t>
      </w:r>
      <w:proofErr w:type="gramEnd"/>
      <w:r w:rsidRPr="004F0EC4">
        <w:rPr>
          <w:vertAlign w:val="superscript"/>
          <w:rtl/>
        </w:rPr>
        <w:footnoteReference w:id="104"/>
      </w:r>
      <w:r w:rsidRPr="004F0EC4">
        <w:rPr>
          <w:vertAlign w:val="superscript"/>
          <w:rtl/>
        </w:rPr>
        <w:t>)</w:t>
      </w:r>
      <w:r w:rsidRPr="004F0EC4">
        <w:rPr>
          <w:rtl/>
        </w:rPr>
        <w:t xml:space="preserve">. وصدرت إرشادات لمرافق الرعاية الصحية الداخلية فيما يتعلق برعاية الأشخاص ذوي الإعاقة والمصابين باضطرابات الصحة العقلية بتقديم خدمات غير </w:t>
      </w:r>
      <w:proofErr w:type="gramStart"/>
      <w:r w:rsidRPr="004F0EC4">
        <w:rPr>
          <w:rtl/>
        </w:rPr>
        <w:t>منفصلة</w:t>
      </w:r>
      <w:r w:rsidRPr="004F0EC4">
        <w:rPr>
          <w:vertAlign w:val="superscript"/>
          <w:rtl/>
        </w:rPr>
        <w:t>(</w:t>
      </w:r>
      <w:proofErr w:type="gramEnd"/>
      <w:r w:rsidRPr="004F0EC4">
        <w:rPr>
          <w:vertAlign w:val="superscript"/>
          <w:rtl/>
        </w:rPr>
        <w:footnoteReference w:id="105"/>
      </w:r>
      <w:r w:rsidRPr="004F0EC4">
        <w:rPr>
          <w:vertAlign w:val="superscript"/>
          <w:rtl/>
        </w:rPr>
        <w:t>)</w:t>
      </w:r>
      <w:r w:rsidRPr="004F0EC4">
        <w:rPr>
          <w:rtl/>
        </w:rPr>
        <w:t>.</w:t>
      </w:r>
    </w:p>
    <w:p w14:paraId="340508CE" w14:textId="2595721C" w:rsidR="00C00FE8" w:rsidRPr="004F0EC4" w:rsidRDefault="00C00FE8" w:rsidP="00C00FE8">
      <w:pPr>
        <w:pStyle w:val="SingleTxtGA"/>
        <w:rPr>
          <w:rtl/>
        </w:rPr>
      </w:pPr>
      <w:r w:rsidRPr="004F0EC4">
        <w:rPr>
          <w:rtl/>
        </w:rPr>
        <w:t>63-</w:t>
      </w:r>
      <w:r w:rsidRPr="004F0EC4">
        <w:rPr>
          <w:rtl/>
        </w:rPr>
        <w:tab/>
        <w:t>ونظم اجتماع المائدة المستديرة المشترك بين القطاعات المشار إليه في الفقرة 54 دورات تدريبية لموظفي مرافق الرعاية الصحية الداخلية في جميع أنحاء البلد ووزع عليهم مواد إعلامية تتضمن إرشادات بشأن كيفية رعاية الأشخاص ذوي الإعاقة. وشملت هذه المواد توصيات بشأن رعاية الأشخاص ذوي</w:t>
      </w:r>
      <w:r w:rsidR="00A27310" w:rsidRPr="004F0EC4">
        <w:rPr>
          <w:rFonts w:hint="eastAsia"/>
          <w:rtl/>
        </w:rPr>
        <w:t> </w:t>
      </w:r>
      <w:r w:rsidRPr="004F0EC4">
        <w:rPr>
          <w:rtl/>
        </w:rPr>
        <w:t>الإعاقة خلال جائحة كوفيد-19</w:t>
      </w:r>
      <w:r w:rsidRPr="004F0EC4">
        <w:rPr>
          <w:vertAlign w:val="superscript"/>
          <w:rtl/>
        </w:rPr>
        <w:t>(</w:t>
      </w:r>
      <w:r w:rsidRPr="004F0EC4">
        <w:rPr>
          <w:vertAlign w:val="superscript"/>
          <w:rtl/>
        </w:rPr>
        <w:footnoteReference w:id="106"/>
      </w:r>
      <w:r w:rsidRPr="004F0EC4">
        <w:rPr>
          <w:vertAlign w:val="superscript"/>
          <w:rtl/>
        </w:rPr>
        <w:t>)</w:t>
      </w:r>
      <w:r w:rsidRPr="004F0EC4">
        <w:rPr>
          <w:rtl/>
        </w:rPr>
        <w:t>، نُشرت بصيغة سهلة القراءة مصحوبة بملصق تلخيصي، ووثيقة</w:t>
      </w:r>
      <w:r w:rsidR="00A27310" w:rsidRPr="004F0EC4">
        <w:rPr>
          <w:rFonts w:hint="cs"/>
          <w:rtl/>
        </w:rPr>
        <w:t> </w:t>
      </w:r>
      <w:r w:rsidRPr="004F0EC4">
        <w:rPr>
          <w:rtl/>
        </w:rPr>
        <w:t>تبين التوصيات وأفضل الممارسات في مجال الصحة النفسية لمرافق الرعاية الداخلية التي تستوعب أشخاصاً ذوي إعاقة أثناء جائحة كوفيد-19</w:t>
      </w:r>
      <w:r w:rsidRPr="004F0EC4">
        <w:rPr>
          <w:vertAlign w:val="superscript"/>
          <w:rtl/>
        </w:rPr>
        <w:t>(</w:t>
      </w:r>
      <w:r w:rsidRPr="004F0EC4">
        <w:rPr>
          <w:vertAlign w:val="superscript"/>
          <w:rtl/>
        </w:rPr>
        <w:footnoteReference w:id="107"/>
      </w:r>
      <w:r w:rsidRPr="004F0EC4">
        <w:rPr>
          <w:vertAlign w:val="superscript"/>
          <w:rtl/>
        </w:rPr>
        <w:t>)</w:t>
      </w:r>
      <w:r w:rsidRPr="004F0EC4">
        <w:rPr>
          <w:rtl/>
        </w:rPr>
        <w:t xml:space="preserve">، وتقدم إرشادات بشأن كيفية منع العنف، وحماية الصحة النفسية وجودة الحياة، وتنفيذ التدابير الصحية المتعلقة بكوفيد-19 في مرافق الإيواء. ونظمت حلقة دراسية على الإنترنت لإطلاق هذه </w:t>
      </w:r>
      <w:proofErr w:type="gramStart"/>
      <w:r w:rsidRPr="004F0EC4">
        <w:rPr>
          <w:rtl/>
        </w:rPr>
        <w:t>التوصيات</w:t>
      </w:r>
      <w:r w:rsidRPr="004F0EC4">
        <w:rPr>
          <w:vertAlign w:val="superscript"/>
          <w:rtl/>
        </w:rPr>
        <w:t>(</w:t>
      </w:r>
      <w:proofErr w:type="gramEnd"/>
      <w:r w:rsidRPr="004F0EC4">
        <w:rPr>
          <w:vertAlign w:val="superscript"/>
          <w:rtl/>
        </w:rPr>
        <w:footnoteReference w:id="108"/>
      </w:r>
      <w:r w:rsidRPr="004F0EC4">
        <w:rPr>
          <w:vertAlign w:val="superscript"/>
          <w:rtl/>
        </w:rPr>
        <w:t>)</w:t>
      </w:r>
      <w:r w:rsidRPr="004F0EC4">
        <w:rPr>
          <w:rtl/>
        </w:rPr>
        <w:t>.</w:t>
      </w:r>
    </w:p>
    <w:p w14:paraId="402F91C4" w14:textId="77777777" w:rsidR="00C00FE8" w:rsidRPr="004F0EC4" w:rsidRDefault="00C00FE8" w:rsidP="00C00FE8">
      <w:pPr>
        <w:pStyle w:val="SingleTxtGA"/>
        <w:pageBreakBefore/>
      </w:pPr>
      <w:r w:rsidRPr="004F0EC4">
        <w:rPr>
          <w:rtl/>
        </w:rPr>
        <w:lastRenderedPageBreak/>
        <w:t>64-</w:t>
      </w:r>
      <w:r w:rsidRPr="004F0EC4">
        <w:rPr>
          <w:rtl/>
        </w:rPr>
        <w:tab/>
      </w:r>
      <w:r w:rsidRPr="004F0EC4">
        <w:rPr>
          <w:spacing w:val="-6"/>
          <w:rtl/>
        </w:rPr>
        <w:t>وأدرجت وزارة الصحة نموذجاً لحماية الصحة النفسية في بروتوكولاتها الخاصة بإدارة المخاطر والكوارث،</w:t>
      </w:r>
      <w:r w:rsidRPr="004F0EC4">
        <w:rPr>
          <w:rtl/>
        </w:rPr>
        <w:t xml:space="preserve"> </w:t>
      </w:r>
      <w:r w:rsidRPr="004F0EC4">
        <w:rPr>
          <w:spacing w:val="-6"/>
          <w:rtl/>
        </w:rPr>
        <w:t xml:space="preserve">وهو نموذج يقدم توصيات واستراتيجيات لتوفير الدعم المادي </w:t>
      </w:r>
      <w:proofErr w:type="gramStart"/>
      <w:r w:rsidRPr="004F0EC4">
        <w:rPr>
          <w:spacing w:val="-6"/>
          <w:rtl/>
        </w:rPr>
        <w:t>والنفسي</w:t>
      </w:r>
      <w:r w:rsidRPr="004F0EC4">
        <w:rPr>
          <w:spacing w:val="-6"/>
          <w:vertAlign w:val="superscript"/>
          <w:rtl/>
        </w:rPr>
        <w:t>(</w:t>
      </w:r>
      <w:proofErr w:type="gramEnd"/>
      <w:r w:rsidRPr="004F0EC4">
        <w:rPr>
          <w:spacing w:val="-6"/>
          <w:vertAlign w:val="superscript"/>
          <w:rtl/>
        </w:rPr>
        <w:footnoteReference w:id="109"/>
      </w:r>
      <w:r w:rsidRPr="004F0EC4">
        <w:rPr>
          <w:spacing w:val="-6"/>
          <w:vertAlign w:val="superscript"/>
          <w:rtl/>
        </w:rPr>
        <w:t>)</w:t>
      </w:r>
      <w:r w:rsidRPr="004F0EC4">
        <w:rPr>
          <w:spacing w:val="-6"/>
          <w:rtl/>
        </w:rPr>
        <w:t xml:space="preserve"> في حالات الأزمات، بما فيها توصيات</w:t>
      </w:r>
      <w:r w:rsidRPr="004F0EC4">
        <w:rPr>
          <w:rtl/>
        </w:rPr>
        <w:t xml:space="preserve"> خاصة بحالات </w:t>
      </w:r>
      <w:proofErr w:type="gramStart"/>
      <w:r w:rsidRPr="004F0EC4">
        <w:rPr>
          <w:rtl/>
        </w:rPr>
        <w:t>الجائحة</w:t>
      </w:r>
      <w:r w:rsidRPr="004F0EC4">
        <w:rPr>
          <w:vertAlign w:val="superscript"/>
          <w:rtl/>
        </w:rPr>
        <w:t>(</w:t>
      </w:r>
      <w:proofErr w:type="gramEnd"/>
      <w:r w:rsidRPr="004F0EC4">
        <w:rPr>
          <w:vertAlign w:val="superscript"/>
          <w:rtl/>
        </w:rPr>
        <w:footnoteReference w:id="110"/>
      </w:r>
      <w:r w:rsidRPr="004F0EC4">
        <w:rPr>
          <w:vertAlign w:val="superscript"/>
          <w:rtl/>
        </w:rPr>
        <w:t>)</w:t>
      </w:r>
      <w:r w:rsidRPr="004F0EC4">
        <w:rPr>
          <w:rtl/>
        </w:rPr>
        <w:t>. وأنشئ موقعان شبكيان (</w:t>
      </w:r>
      <w:hyperlink r:id="rId12" w:history="1">
        <w:r w:rsidRPr="004F0EC4">
          <w:rPr>
            <w:rStyle w:val="Hyperlink"/>
            <w:spacing w:val="-4"/>
          </w:rPr>
          <w:t>https://www.gob.cl/saludablemente/</w:t>
        </w:r>
      </w:hyperlink>
      <w:r w:rsidRPr="004F0EC4">
        <w:rPr>
          <w:spacing w:val="-4"/>
          <w:rtl/>
        </w:rPr>
        <w:t xml:space="preserve"> و</w:t>
      </w:r>
      <w:hyperlink r:id="rId13" w:history="1">
        <w:r w:rsidRPr="004F0EC4">
          <w:rPr>
            <w:rStyle w:val="Hyperlink"/>
            <w:spacing w:val="-4"/>
          </w:rPr>
          <w:t>https://www.hablemosdesaludmental.cl/</w:t>
        </w:r>
      </w:hyperlink>
      <w:r w:rsidRPr="004F0EC4">
        <w:rPr>
          <w:spacing w:val="-4"/>
          <w:rtl/>
        </w:rPr>
        <w:t>)</w:t>
      </w:r>
      <w:r w:rsidRPr="004F0EC4">
        <w:rPr>
          <w:spacing w:val="-4"/>
          <w:vertAlign w:val="superscript"/>
          <w:rtl/>
        </w:rPr>
        <w:t>(</w:t>
      </w:r>
      <w:r w:rsidRPr="004F0EC4">
        <w:rPr>
          <w:spacing w:val="-4"/>
          <w:vertAlign w:val="superscript"/>
          <w:rtl/>
        </w:rPr>
        <w:footnoteReference w:id="111"/>
      </w:r>
      <w:r w:rsidRPr="004F0EC4">
        <w:rPr>
          <w:spacing w:val="-4"/>
          <w:vertAlign w:val="superscript"/>
          <w:rtl/>
        </w:rPr>
        <w:t>)</w:t>
      </w:r>
      <w:r w:rsidRPr="004F0EC4">
        <w:rPr>
          <w:rFonts w:hint="cs"/>
          <w:rtl/>
        </w:rPr>
        <w:t xml:space="preserve"> </w:t>
      </w:r>
      <w:r w:rsidRPr="004F0EC4">
        <w:rPr>
          <w:rtl/>
        </w:rPr>
        <w:t xml:space="preserve">لتقديم المعلومات والإرشادات في مواضيع متنوعة، لا سيما الصحة النفسية أثناء الجائحة. وتضمن الموقعان مقاطع فيديو مصحوبة بترجمة نصية وترجمة إلى لغة الإشارة الشيلية. كما أنشأت الوزارة منصة </w:t>
      </w:r>
      <w:r w:rsidRPr="004F0EC4">
        <w:t xml:space="preserve">Health </w:t>
      </w:r>
      <w:proofErr w:type="gramStart"/>
      <w:r w:rsidRPr="004F0EC4">
        <w:t>Responds</w:t>
      </w:r>
      <w:r w:rsidRPr="004F0EC4">
        <w:rPr>
          <w:vertAlign w:val="superscript"/>
          <w:rtl/>
        </w:rPr>
        <w:t>(</w:t>
      </w:r>
      <w:proofErr w:type="gramEnd"/>
      <w:r w:rsidRPr="004F0EC4">
        <w:rPr>
          <w:vertAlign w:val="superscript"/>
          <w:rtl/>
        </w:rPr>
        <w:footnoteReference w:id="112"/>
      </w:r>
      <w:r w:rsidRPr="004F0EC4">
        <w:rPr>
          <w:vertAlign w:val="superscript"/>
          <w:rtl/>
        </w:rPr>
        <w:t>)</w:t>
      </w:r>
      <w:r w:rsidRPr="004F0EC4">
        <w:rPr>
          <w:rtl/>
        </w:rPr>
        <w:t xml:space="preserve"> المتعددة القنوات، التي توفر للمستعملين، عن طريق خط ساخن يعمل على مدار الساعة، المعلومات والنصائح والدعم والإرشادات بشأن القضايا المتعلقة بالصحة. وتُقدم المعلومات بلغة الإشارة </w:t>
      </w:r>
      <w:proofErr w:type="gramStart"/>
      <w:r w:rsidRPr="004F0EC4">
        <w:rPr>
          <w:rtl/>
        </w:rPr>
        <w:t>الشيلية</w:t>
      </w:r>
      <w:r w:rsidRPr="004F0EC4">
        <w:rPr>
          <w:vertAlign w:val="superscript"/>
          <w:rtl/>
        </w:rPr>
        <w:t>(</w:t>
      </w:r>
      <w:proofErr w:type="gramEnd"/>
      <w:r w:rsidRPr="004F0EC4">
        <w:rPr>
          <w:vertAlign w:val="superscript"/>
          <w:rtl/>
        </w:rPr>
        <w:footnoteReference w:id="113"/>
      </w:r>
      <w:r w:rsidRPr="004F0EC4">
        <w:rPr>
          <w:vertAlign w:val="superscript"/>
          <w:rtl/>
        </w:rPr>
        <w:t>)</w:t>
      </w:r>
      <w:r w:rsidRPr="004F0EC4">
        <w:rPr>
          <w:rtl/>
        </w:rPr>
        <w:t>، كما تتوفر خدمة الترجمة الفورية عبر الإنترنت</w:t>
      </w:r>
      <w:r w:rsidRPr="004F0EC4">
        <w:rPr>
          <w:rFonts w:hint="cs"/>
          <w:rtl/>
        </w:rPr>
        <w:t>.</w:t>
      </w:r>
    </w:p>
    <w:p w14:paraId="7BF7D841" w14:textId="77777777" w:rsidR="00C00FE8" w:rsidRPr="004F0EC4" w:rsidRDefault="00C00FE8" w:rsidP="00C00FE8">
      <w:pPr>
        <w:pStyle w:val="SingleTxtGA"/>
        <w:rPr>
          <w:rtl/>
        </w:rPr>
      </w:pPr>
      <w:r w:rsidRPr="004F0EC4">
        <w:rPr>
          <w:rtl/>
        </w:rPr>
        <w:t>65-</w:t>
      </w:r>
      <w:r w:rsidRPr="004F0EC4">
        <w:rPr>
          <w:spacing w:val="-5"/>
          <w:rtl/>
        </w:rPr>
        <w:tab/>
        <w:t xml:space="preserve">وخلال الجائحة، صدرت توصيات للعاملين في مستشفيات الطب النفسي بشأن التدابير اللازمة للوقاية </w:t>
      </w:r>
      <w:r w:rsidRPr="004F0EC4">
        <w:rPr>
          <w:spacing w:val="-2"/>
          <w:rtl/>
        </w:rPr>
        <w:t>من فيروس كورونا (كوفيد-19) وعلاجه. وبالإضافة إلى ذلك، قام ممثلون عن وزارة الصحة ومقدمي خدمات</w:t>
      </w:r>
      <w:r w:rsidRPr="004F0EC4">
        <w:rPr>
          <w:rtl/>
        </w:rPr>
        <w:t xml:space="preserve"> الرعاية الصحية بزيارات منتظمة إلى المرافق في جميع أنحاء البلد للتأكد من التزامها باستراتيجية مكافحة العدوى في المستشفيات وتطبيقها على نحو منسق.</w:t>
      </w:r>
    </w:p>
    <w:p w14:paraId="6E301D76" w14:textId="77777777" w:rsidR="00C00FE8" w:rsidRPr="004F0EC4" w:rsidRDefault="00C00FE8" w:rsidP="00C00FE8">
      <w:pPr>
        <w:pStyle w:val="SingleTxtGA"/>
      </w:pPr>
      <w:r w:rsidRPr="004F0EC4">
        <w:rPr>
          <w:rtl/>
        </w:rPr>
        <w:t>66-</w:t>
      </w:r>
      <w:r w:rsidRPr="004F0EC4">
        <w:rPr>
          <w:rtl/>
        </w:rPr>
        <w:tab/>
        <w:t xml:space="preserve">وخلال فترات الإغلاق، كانت الدائرة الوطنية لشؤون الأشخاص ذوي الإعاقة مسؤولة عن منح تصاريح تنقل خاصة للأشخاص المصابين بالتوحد وذوي الإعاقات العقلية والذهنية، فضلاً عن تصاريح </w:t>
      </w:r>
      <w:r w:rsidRPr="004F0EC4">
        <w:rPr>
          <w:spacing w:val="-2"/>
          <w:rtl/>
        </w:rPr>
        <w:t>سفر تسمح للوالدين والأوصياء القانونيين ومقدمي الرعاية للأشخاص ذوي الإعاقة المقيمين في المستشفيات</w:t>
      </w:r>
      <w:r w:rsidRPr="004F0EC4">
        <w:rPr>
          <w:rtl/>
        </w:rPr>
        <w:t xml:space="preserve"> والمعتمدين على الغير بزيارة المرضى ذوي الإعاقة والبقاء معهم في مرافق الرعاية الصحية، وتصاريح لمقدمي الرعاية إلى الأشخاص ذوي الإعاقة الذين يحتاجون إلى المساعدة. وبالإضافة إلى ذلك، وضعت الدائرة الوطنية لشؤون الأشخاص ذوي الإعاقة، بالتشاور مع قوات </w:t>
      </w:r>
      <w:proofErr w:type="spellStart"/>
      <w:r w:rsidRPr="004F0EC4">
        <w:rPr>
          <w:rtl/>
        </w:rPr>
        <w:t>الكرابينيروس</w:t>
      </w:r>
      <w:proofErr w:type="spellEnd"/>
      <w:r w:rsidRPr="004F0EC4">
        <w:rPr>
          <w:rtl/>
        </w:rPr>
        <w:t xml:space="preserve">، مبادئ توجيهية بشأن </w:t>
      </w:r>
      <w:r w:rsidRPr="004F0EC4">
        <w:rPr>
          <w:spacing w:val="-2"/>
          <w:rtl/>
        </w:rPr>
        <w:t>الحالات الخاصة التي تشمل أشخاص ذوي إعاقة خلال الجائحة، ما أتاح تطبيقاً أكثر مرونة لتدابير الحماية</w:t>
      </w:r>
      <w:r w:rsidRPr="004F0EC4">
        <w:rPr>
          <w:rtl/>
        </w:rPr>
        <w:t xml:space="preserve"> من فيروس كوفيد-19، لا سيما فيما يتعلق بارتداء الكمامات من قبل الأشخاص ذوي الإعاقات الذهنية والأشخاص المصابين بمتلازمة داون.</w:t>
      </w:r>
    </w:p>
    <w:p w14:paraId="46E72EC7" w14:textId="77777777" w:rsidR="00C00FE8" w:rsidRPr="004F0EC4" w:rsidRDefault="00C00FE8" w:rsidP="00C00FE8">
      <w:pPr>
        <w:pStyle w:val="H23GA"/>
        <w:rPr>
          <w:rtl/>
          <w:lang w:val="en-US"/>
        </w:rPr>
      </w:pPr>
      <w:r w:rsidRPr="004F0EC4">
        <w:rPr>
          <w:rtl/>
          <w:lang w:val="en-US"/>
        </w:rPr>
        <w:tab/>
      </w:r>
      <w:r w:rsidRPr="004F0EC4">
        <w:rPr>
          <w:rtl/>
          <w:lang w:val="en-US"/>
        </w:rPr>
        <w:tab/>
        <w:t>ضمان معاشات الإعاقة والإعانات الاجتماعية</w:t>
      </w:r>
    </w:p>
    <w:p w14:paraId="2DFA6C53" w14:textId="77777777" w:rsidR="00C00FE8" w:rsidRPr="004F0EC4" w:rsidRDefault="00C00FE8" w:rsidP="00C00FE8">
      <w:pPr>
        <w:pStyle w:val="SingleTxtGA"/>
        <w:rPr>
          <w:rtl/>
        </w:rPr>
      </w:pPr>
      <w:r w:rsidRPr="004F0EC4">
        <w:rPr>
          <w:rtl/>
        </w:rPr>
        <w:t>67-</w:t>
      </w:r>
      <w:r w:rsidRPr="004F0EC4">
        <w:rPr>
          <w:rtl/>
        </w:rPr>
        <w:tab/>
        <w:t>ألغى القانون رقم 21-190</w:t>
      </w:r>
      <w:r w:rsidRPr="004F0EC4">
        <w:rPr>
          <w:vertAlign w:val="superscript"/>
          <w:rtl/>
        </w:rPr>
        <w:t>(</w:t>
      </w:r>
      <w:r w:rsidRPr="004F0EC4">
        <w:rPr>
          <w:vertAlign w:val="superscript"/>
          <w:rtl/>
        </w:rPr>
        <w:footnoteReference w:id="114"/>
      </w:r>
      <w:r w:rsidRPr="004F0EC4">
        <w:rPr>
          <w:vertAlign w:val="superscript"/>
          <w:rtl/>
        </w:rPr>
        <w:t>)</w:t>
      </w:r>
      <w:r w:rsidRPr="004F0EC4">
        <w:rPr>
          <w:rtl/>
        </w:rPr>
        <w:t xml:space="preserve"> المادة 22 من القانون رقم 20-255</w:t>
      </w:r>
      <w:r w:rsidRPr="004F0EC4">
        <w:rPr>
          <w:vertAlign w:val="superscript"/>
          <w:rtl/>
        </w:rPr>
        <w:t>(</w:t>
      </w:r>
      <w:r w:rsidRPr="004F0EC4">
        <w:rPr>
          <w:vertAlign w:val="superscript"/>
          <w:rtl/>
        </w:rPr>
        <w:footnoteReference w:id="115"/>
      </w:r>
      <w:r w:rsidRPr="004F0EC4">
        <w:rPr>
          <w:vertAlign w:val="superscript"/>
          <w:rtl/>
        </w:rPr>
        <w:t>)</w:t>
      </w:r>
      <w:r w:rsidRPr="004F0EC4">
        <w:rPr>
          <w:rtl/>
        </w:rPr>
        <w:t>، التي كانت تنص على تخفيض تدريجي لمعاش الإعاقة الأساسي، بما يتناسب مع دخل المستفيد، وعلى فقدان الحق في المعاش كلياً إذا تجاوز هذا الدخل ما يعادل الحد الأدنى للدخل لشهرين.</w:t>
      </w:r>
    </w:p>
    <w:p w14:paraId="7B1A726F" w14:textId="77777777" w:rsidR="00C00FE8" w:rsidRPr="004F0EC4" w:rsidRDefault="00C00FE8" w:rsidP="00C00FE8">
      <w:pPr>
        <w:pStyle w:val="SingleTxtGA"/>
      </w:pPr>
      <w:r w:rsidRPr="004F0EC4">
        <w:rPr>
          <w:rtl/>
        </w:rPr>
        <w:lastRenderedPageBreak/>
        <w:t>68-</w:t>
      </w:r>
      <w:r w:rsidRPr="004F0EC4">
        <w:rPr>
          <w:rtl/>
        </w:rPr>
        <w:tab/>
        <w:t xml:space="preserve">وبدأت وزارة التنمية الاجتماعية وخدمات الأسرة في توزيع الإعانة العائلية الخاصة </w:t>
      </w:r>
      <w:proofErr w:type="gramStart"/>
      <w:r w:rsidRPr="004F0EC4">
        <w:rPr>
          <w:rtl/>
        </w:rPr>
        <w:t>بالطوارئ</w:t>
      </w:r>
      <w:r w:rsidRPr="004F0EC4">
        <w:rPr>
          <w:vertAlign w:val="superscript"/>
          <w:rtl/>
        </w:rPr>
        <w:t>(</w:t>
      </w:r>
      <w:proofErr w:type="gramEnd"/>
      <w:r w:rsidRPr="004F0EC4">
        <w:rPr>
          <w:vertAlign w:val="superscript"/>
          <w:rtl/>
        </w:rPr>
        <w:footnoteReference w:id="116"/>
      </w:r>
      <w:r w:rsidRPr="004F0EC4">
        <w:rPr>
          <w:vertAlign w:val="superscript"/>
          <w:rtl/>
        </w:rPr>
        <w:t>)</w:t>
      </w:r>
      <w:r w:rsidRPr="004F0EC4">
        <w:rPr>
          <w:rtl/>
        </w:rPr>
        <w:t xml:space="preserve">. وكانت الإعانة العائلية المرتبطة بجائحة كوفيد وإعانة </w:t>
      </w:r>
      <w:proofErr w:type="gramStart"/>
      <w:r w:rsidRPr="004F0EC4">
        <w:rPr>
          <w:rtl/>
        </w:rPr>
        <w:t>كوفيد</w:t>
      </w:r>
      <w:r w:rsidRPr="004F0EC4">
        <w:rPr>
          <w:vertAlign w:val="superscript"/>
          <w:rtl/>
        </w:rPr>
        <w:t>(</w:t>
      </w:r>
      <w:proofErr w:type="gramEnd"/>
      <w:r w:rsidRPr="004F0EC4">
        <w:rPr>
          <w:vertAlign w:val="superscript"/>
          <w:rtl/>
        </w:rPr>
        <w:footnoteReference w:id="117"/>
      </w:r>
      <w:r w:rsidRPr="004F0EC4">
        <w:rPr>
          <w:vertAlign w:val="superscript"/>
          <w:rtl/>
        </w:rPr>
        <w:t>)</w:t>
      </w:r>
      <w:r w:rsidRPr="004F0EC4">
        <w:rPr>
          <w:rtl/>
        </w:rPr>
        <w:t xml:space="preserve">، اللتان وفرتا دعماً مرتبطاً بالتقدم الذي أحرزته البلديات المختلفة في تنفيذ خطة "نعتني بأنفسنا خطوة بخطوة"، قد وزعتا في فترة سابقة، قبل أن يستعاض عنهما بالإعانة العائلية الموسعة الخاصة بالطوارئ في نيسان/أبريل 2021. وتُمنح الإعانة العائلية استناداً إلى السجل الاجتماعي للأسر </w:t>
      </w:r>
      <w:proofErr w:type="gramStart"/>
      <w:r w:rsidRPr="004F0EC4">
        <w:rPr>
          <w:rtl/>
        </w:rPr>
        <w:t>المعيشية</w:t>
      </w:r>
      <w:r w:rsidRPr="004F0EC4">
        <w:rPr>
          <w:vertAlign w:val="superscript"/>
          <w:rtl/>
        </w:rPr>
        <w:t>(</w:t>
      </w:r>
      <w:proofErr w:type="gramEnd"/>
      <w:r w:rsidRPr="004F0EC4">
        <w:rPr>
          <w:vertAlign w:val="superscript"/>
          <w:rtl/>
        </w:rPr>
        <w:footnoteReference w:id="118"/>
      </w:r>
      <w:r w:rsidRPr="004F0EC4">
        <w:rPr>
          <w:vertAlign w:val="superscript"/>
          <w:rtl/>
        </w:rPr>
        <w:t>)</w:t>
      </w:r>
      <w:r w:rsidRPr="004F0EC4">
        <w:rPr>
          <w:rtl/>
        </w:rPr>
        <w:t>، وتراعي القرارات ما إذا كان مقدم الطلب أو أحد أفراد أسرته من ذوي الإعاقة.</w:t>
      </w:r>
    </w:p>
    <w:p w14:paraId="40A4F4B3" w14:textId="3EC1CAED" w:rsidR="00C00FE8" w:rsidRPr="004F0EC4" w:rsidRDefault="00C00FE8" w:rsidP="00C00FE8">
      <w:pPr>
        <w:pStyle w:val="SingleTxtGA"/>
      </w:pPr>
      <w:r w:rsidRPr="004F0EC4">
        <w:rPr>
          <w:rtl/>
        </w:rPr>
        <w:t>69-</w:t>
      </w:r>
      <w:r w:rsidRPr="004F0EC4">
        <w:rPr>
          <w:rtl/>
        </w:rPr>
        <w:tab/>
        <w:t>وبموجب القانون رقم 21</w:t>
      </w:r>
      <w:proofErr w:type="gramStart"/>
      <w:r w:rsidRPr="004F0EC4">
        <w:rPr>
          <w:rtl/>
        </w:rPr>
        <w:t>=</w:t>
      </w:r>
      <w:r w:rsidRPr="004F0EC4">
        <w:rPr>
          <w:vertAlign w:val="superscript"/>
          <w:rtl/>
        </w:rPr>
        <w:t>(</w:t>
      </w:r>
      <w:proofErr w:type="gramEnd"/>
      <w:r w:rsidRPr="004F0EC4">
        <w:rPr>
          <w:vertAlign w:val="superscript"/>
          <w:rtl/>
        </w:rPr>
        <w:footnoteReference w:id="119"/>
      </w:r>
      <w:r w:rsidRPr="004F0EC4">
        <w:rPr>
          <w:vertAlign w:val="superscript"/>
          <w:rtl/>
        </w:rPr>
        <w:t>)</w:t>
      </w:r>
      <w:r w:rsidRPr="004F0EC4">
        <w:rPr>
          <w:rtl/>
        </w:rPr>
        <w:t xml:space="preserve"> 419، وسع نطاق أهلية الحصول على الإعانة التي تُصرف للقُصّر دون سن الثامنة عشرة الذين يعانون من ذوي الإعاقات الذهنية، تطبيقاً للمادة 35 من القانون رقم</w:t>
      </w:r>
      <w:r w:rsidRPr="004F0EC4">
        <w:rPr>
          <w:rFonts w:hint="cs"/>
          <w:rtl/>
        </w:rPr>
        <w:t> </w:t>
      </w:r>
      <w:r w:rsidR="00A27310" w:rsidRPr="004F0EC4">
        <w:rPr>
          <w:rFonts w:hint="cs"/>
          <w:rtl/>
        </w:rPr>
        <w:t>255.20</w:t>
      </w:r>
      <w:r w:rsidRPr="004F0EC4">
        <w:rPr>
          <w:rtl/>
        </w:rPr>
        <w:t xml:space="preserve">، بحيث تشمل الأشخاص ذوي الإعاقات الجسدية والحسية </w:t>
      </w:r>
      <w:proofErr w:type="gramStart"/>
      <w:r w:rsidRPr="004F0EC4">
        <w:rPr>
          <w:rtl/>
        </w:rPr>
        <w:t>الشديدة</w:t>
      </w:r>
      <w:r w:rsidRPr="004F0EC4">
        <w:rPr>
          <w:vertAlign w:val="superscript"/>
          <w:rtl/>
        </w:rPr>
        <w:t>(</w:t>
      </w:r>
      <w:proofErr w:type="gramEnd"/>
      <w:r w:rsidRPr="004F0EC4">
        <w:rPr>
          <w:vertAlign w:val="superscript"/>
          <w:rtl/>
        </w:rPr>
        <w:footnoteReference w:id="120"/>
      </w:r>
      <w:r w:rsidRPr="004F0EC4">
        <w:rPr>
          <w:vertAlign w:val="superscript"/>
          <w:rtl/>
        </w:rPr>
        <w:t>)</w:t>
      </w:r>
      <w:r w:rsidRPr="004F0EC4">
        <w:rPr>
          <w:rtl/>
        </w:rPr>
        <w:t>.</w:t>
      </w:r>
    </w:p>
    <w:p w14:paraId="134C51EB" w14:textId="77777777" w:rsidR="00C00FE8" w:rsidRPr="004F0EC4" w:rsidRDefault="00C00FE8" w:rsidP="00C00FE8">
      <w:pPr>
        <w:pStyle w:val="H1GA"/>
        <w:rPr>
          <w:lang w:val="en-US"/>
        </w:rPr>
      </w:pPr>
      <w:r w:rsidRPr="004F0EC4">
        <w:rPr>
          <w:rtl/>
          <w:lang w:val="en-US"/>
        </w:rPr>
        <w:tab/>
      </w:r>
      <w:r w:rsidRPr="004F0EC4">
        <w:rPr>
          <w:rtl/>
          <w:lang w:val="en-US"/>
        </w:rPr>
        <w:tab/>
        <w:t>المادة 12(د)</w:t>
      </w:r>
    </w:p>
    <w:p w14:paraId="71EF6482" w14:textId="77777777" w:rsidR="00C00FE8" w:rsidRPr="004F0EC4" w:rsidRDefault="00C00FE8" w:rsidP="00C00FE8">
      <w:pPr>
        <w:pStyle w:val="SingleTxtGA"/>
      </w:pPr>
      <w:r w:rsidRPr="004F0EC4">
        <w:rPr>
          <w:rtl/>
        </w:rPr>
        <w:t>70-</w:t>
      </w:r>
      <w:r w:rsidRPr="004F0EC4">
        <w:rPr>
          <w:rtl/>
        </w:rPr>
        <w:tab/>
        <w:t>يُنظر حالياً في عدد من مشاريع القوانين المتعلقة بالأهلية القانونية، ومن بينها: (أ) مشروع القانون رقم 441 12-17</w:t>
      </w:r>
      <w:r w:rsidRPr="004F0EC4">
        <w:rPr>
          <w:vertAlign w:val="superscript"/>
          <w:rtl/>
        </w:rPr>
        <w:t>(</w:t>
      </w:r>
      <w:r w:rsidRPr="004F0EC4">
        <w:rPr>
          <w:vertAlign w:val="superscript"/>
          <w:rtl/>
        </w:rPr>
        <w:footnoteReference w:id="121"/>
      </w:r>
      <w:r w:rsidRPr="004F0EC4">
        <w:rPr>
          <w:vertAlign w:val="superscript"/>
          <w:rtl/>
        </w:rPr>
        <w:t>)</w:t>
      </w:r>
      <w:r w:rsidRPr="004F0EC4">
        <w:rPr>
          <w:rtl/>
        </w:rPr>
        <w:t>، الذي يعدل عدداً من القوانين بهدف القضاء على التمييز ضد الأشخاص ذوي الإعاقات الذهنية والمعرفية والنفسية والاجتماعية، ويقر بحقهم في الاستقلالية؛ و(ب) مشروع القانون رقم 612-12-07</w:t>
      </w:r>
      <w:r w:rsidRPr="004F0EC4">
        <w:rPr>
          <w:vertAlign w:val="superscript"/>
          <w:rtl/>
        </w:rPr>
        <w:t>(</w:t>
      </w:r>
      <w:r w:rsidRPr="004F0EC4">
        <w:rPr>
          <w:vertAlign w:val="superscript"/>
          <w:rtl/>
        </w:rPr>
        <w:footnoteReference w:id="122"/>
      </w:r>
      <w:r w:rsidRPr="004F0EC4">
        <w:rPr>
          <w:vertAlign w:val="superscript"/>
          <w:rtl/>
        </w:rPr>
        <w:t>)</w:t>
      </w:r>
      <w:r w:rsidRPr="004F0EC4">
        <w:rPr>
          <w:rtl/>
        </w:rPr>
        <w:t>، الذي يفرض قيوداً تدريجية على ممارسة الأهلية القانونية لكبار السن الذين يعانون من ضعف في القدرات الإدراكية؛ و(ج) مشروع القانون رقم 240 11-31</w:t>
      </w:r>
      <w:r w:rsidRPr="004F0EC4">
        <w:rPr>
          <w:vertAlign w:val="superscript"/>
          <w:rtl/>
        </w:rPr>
        <w:t>(</w:t>
      </w:r>
      <w:r w:rsidRPr="004F0EC4">
        <w:rPr>
          <w:vertAlign w:val="superscript"/>
          <w:rtl/>
        </w:rPr>
        <w:footnoteReference w:id="123"/>
      </w:r>
      <w:r w:rsidRPr="004F0EC4">
        <w:rPr>
          <w:vertAlign w:val="superscript"/>
          <w:rtl/>
        </w:rPr>
        <w:t>)</w:t>
      </w:r>
      <w:r w:rsidRPr="004F0EC4">
        <w:rPr>
          <w:rtl/>
        </w:rPr>
        <w:t xml:space="preserve">، الذي يحدد تعريفاً للإعاقة الاجتماعية يشمل متلازمة </w:t>
      </w:r>
      <w:proofErr w:type="spellStart"/>
      <w:r w:rsidRPr="004F0EC4">
        <w:rPr>
          <w:rtl/>
        </w:rPr>
        <w:t>أسبرغر</w:t>
      </w:r>
      <w:proofErr w:type="spellEnd"/>
      <w:r w:rsidRPr="004F0EC4">
        <w:rPr>
          <w:rtl/>
        </w:rPr>
        <w:t xml:space="preserve"> واضطرابات طيف التوحد الأخرى.</w:t>
      </w:r>
    </w:p>
    <w:p w14:paraId="07EFBBA7" w14:textId="26486D7E" w:rsidR="00C00FE8" w:rsidRPr="004F0EC4" w:rsidRDefault="00C00FE8" w:rsidP="00C00FE8">
      <w:pPr>
        <w:pStyle w:val="SingleTxtGA"/>
      </w:pPr>
      <w:r w:rsidRPr="004F0EC4">
        <w:rPr>
          <w:rtl/>
        </w:rPr>
        <w:t>71-</w:t>
      </w:r>
      <w:r w:rsidRPr="004F0EC4">
        <w:rPr>
          <w:rtl/>
        </w:rPr>
        <w:tab/>
        <w:t xml:space="preserve">وفي إطار الجهود الرامية إلى تحديث القوانين المتعلقة بالأهلية القانونية، طلبت الدائرة الوطنية لشؤون الأشخاص ذوي الإعاقة في عام 2019 إجراء دراسة لاستعراض نظام الدعم والضمانات المتعلقة بممارسة الأهلية القانونية. وقد جمعت الدراسة، التي أنجزت في عام 2021، معلومات نوعية وكمية عن الأشخاص الذين يحتاجون إلى الدعم لممارسة أهليتهم القانونية، وحددت الدعم المطلوب ومجالات تقديمه، وعرضت إطاراً يتيح تنفيذ أشكال الدعم والضمانات بصورة تدريجية، بما يتماشى مع احتياجات الأشخاص ذوي الإعاقة في ممارسة أهليتهم القانونية. وبالإضافة إلى ذلك، نشرت مؤسسة </w:t>
      </w:r>
      <w:proofErr w:type="spellStart"/>
      <w:r w:rsidRPr="004F0EC4">
        <w:rPr>
          <w:rtl/>
        </w:rPr>
        <w:t>ديغنيتيم</w:t>
      </w:r>
      <w:proofErr w:type="spellEnd"/>
      <w:r w:rsidRPr="004F0EC4">
        <w:rPr>
          <w:rtl/>
        </w:rPr>
        <w:t xml:space="preserve"> في عام 2019 </w:t>
      </w:r>
      <w:r w:rsidRPr="004F0EC4">
        <w:rPr>
          <w:spacing w:val="-2"/>
          <w:rtl/>
        </w:rPr>
        <w:t xml:space="preserve">تقريراً بعنوان </w:t>
      </w:r>
      <w:r w:rsidR="00E22186" w:rsidRPr="004F0EC4">
        <w:rPr>
          <w:rFonts w:hint="cs"/>
          <w:spacing w:val="-2"/>
          <w:rtl/>
        </w:rPr>
        <w:t>"</w:t>
      </w:r>
      <w:r w:rsidRPr="004F0EC4">
        <w:rPr>
          <w:spacing w:val="-2"/>
          <w:rtl/>
        </w:rPr>
        <w:t>دراسة وتحليل الأهلية القانونية</w:t>
      </w:r>
      <w:r w:rsidR="00E22186" w:rsidRPr="004F0EC4">
        <w:rPr>
          <w:rFonts w:hint="cs"/>
          <w:spacing w:val="-2"/>
          <w:rtl/>
        </w:rPr>
        <w:t>"</w:t>
      </w:r>
      <w:r w:rsidRPr="004F0EC4">
        <w:rPr>
          <w:spacing w:val="-2"/>
          <w:rtl/>
        </w:rPr>
        <w:t>، يتعلق بمراجعة مشروع القانون الذي أعدته السلطة التنفيذية</w:t>
      </w:r>
      <w:r w:rsidRPr="004F0EC4">
        <w:rPr>
          <w:rtl/>
        </w:rPr>
        <w:t xml:space="preserve"> </w:t>
      </w:r>
      <w:r w:rsidRPr="004F0EC4">
        <w:rPr>
          <w:spacing w:val="-2"/>
          <w:rtl/>
        </w:rPr>
        <w:t>في عام 2017 ومشروع القانون رقم 441 12-17 لعام 2019</w:t>
      </w:r>
      <w:r w:rsidRPr="004F0EC4">
        <w:rPr>
          <w:spacing w:val="-2"/>
          <w:vertAlign w:val="superscript"/>
          <w:rtl/>
        </w:rPr>
        <w:t>(</w:t>
      </w:r>
      <w:r w:rsidRPr="004F0EC4">
        <w:rPr>
          <w:spacing w:val="-2"/>
          <w:vertAlign w:val="superscript"/>
          <w:rtl/>
        </w:rPr>
        <w:footnoteReference w:id="124"/>
      </w:r>
      <w:r w:rsidRPr="004F0EC4">
        <w:rPr>
          <w:spacing w:val="-2"/>
          <w:vertAlign w:val="superscript"/>
          <w:rtl/>
        </w:rPr>
        <w:t>)</w:t>
      </w:r>
      <w:r w:rsidRPr="004F0EC4">
        <w:rPr>
          <w:spacing w:val="-2"/>
          <w:rtl/>
        </w:rPr>
        <w:t>. وتضمن التقرير ملاحظات وتوصيات.</w:t>
      </w:r>
    </w:p>
    <w:p w14:paraId="12FEA2DA" w14:textId="76FABF10" w:rsidR="00C00FE8" w:rsidRPr="004F0EC4" w:rsidRDefault="00C00FE8" w:rsidP="00C00FE8">
      <w:pPr>
        <w:pStyle w:val="SingleTxtGA"/>
      </w:pPr>
      <w:r w:rsidRPr="004F0EC4">
        <w:rPr>
          <w:rtl/>
        </w:rPr>
        <w:lastRenderedPageBreak/>
        <w:t>72-</w:t>
      </w:r>
      <w:r w:rsidRPr="004F0EC4">
        <w:rPr>
          <w:rtl/>
        </w:rPr>
        <w:tab/>
        <w:t>وأرشدت هذه التقارير الرسالة الرئاسية الصادرة بشأن مشروع القانون رقم 783 14-07</w:t>
      </w:r>
      <w:r w:rsidRPr="004F0EC4">
        <w:rPr>
          <w:vertAlign w:val="superscript"/>
          <w:rtl/>
        </w:rPr>
        <w:t>(</w:t>
      </w:r>
      <w:r w:rsidRPr="004F0EC4">
        <w:rPr>
          <w:vertAlign w:val="superscript"/>
          <w:rtl/>
        </w:rPr>
        <w:footnoteReference w:id="125"/>
      </w:r>
      <w:r w:rsidRPr="004F0EC4">
        <w:rPr>
          <w:vertAlign w:val="superscript"/>
          <w:rtl/>
        </w:rPr>
        <w:t>)</w:t>
      </w:r>
      <w:r w:rsidRPr="004F0EC4">
        <w:rPr>
          <w:rtl/>
        </w:rPr>
        <w:t>، المقدم في كانون الثاني/يناير 2022، الذي سيعدل القانون المدني لإخراج الصم والصم البكم الذين لا</w:t>
      </w:r>
      <w:r w:rsidRPr="004F0EC4">
        <w:rPr>
          <w:rFonts w:hint="cs"/>
          <w:rtl/>
        </w:rPr>
        <w:t> </w:t>
      </w:r>
      <w:r w:rsidRPr="004F0EC4">
        <w:rPr>
          <w:rtl/>
        </w:rPr>
        <w:t xml:space="preserve">يستطيعون التعبير بوضوح من فئة الأشخاص الذين يفتقرون كلياً إلى الأهلية، دون المساس بالإبقاء على الأحكام المتعلقة بالمنع و"الجنون". ويقر الاقتراح بأنه لا ينبغي المساواة بين مصطلحي </w:t>
      </w:r>
      <w:r w:rsidR="00E22186" w:rsidRPr="004F0EC4">
        <w:rPr>
          <w:rFonts w:hint="cs"/>
          <w:rtl/>
        </w:rPr>
        <w:t>"</w:t>
      </w:r>
      <w:r w:rsidRPr="004F0EC4">
        <w:rPr>
          <w:rtl/>
        </w:rPr>
        <w:t>الجنون</w:t>
      </w:r>
      <w:r w:rsidR="00E22186" w:rsidRPr="004F0EC4">
        <w:rPr>
          <w:rFonts w:hint="cs"/>
          <w:rtl/>
        </w:rPr>
        <w:t>"</w:t>
      </w:r>
      <w:r w:rsidRPr="004F0EC4">
        <w:rPr>
          <w:rtl/>
        </w:rPr>
        <w:t xml:space="preserve"> و</w:t>
      </w:r>
      <w:r w:rsidR="00E22186" w:rsidRPr="004F0EC4">
        <w:rPr>
          <w:rFonts w:hint="cs"/>
          <w:rtl/>
        </w:rPr>
        <w:t>"</w:t>
      </w:r>
      <w:r w:rsidRPr="004F0EC4">
        <w:rPr>
          <w:rtl/>
        </w:rPr>
        <w:t>الإعاقة الذهنية</w:t>
      </w:r>
      <w:r w:rsidR="00E22186" w:rsidRPr="004F0EC4">
        <w:rPr>
          <w:rFonts w:hint="cs"/>
          <w:rtl/>
        </w:rPr>
        <w:t>"</w:t>
      </w:r>
      <w:r w:rsidRPr="004F0EC4">
        <w:rPr>
          <w:rtl/>
        </w:rPr>
        <w:t xml:space="preserve">، سواء أ كانت ذات طبيعة نفسية أم فكرية. وبالإضافة إلى ذلك، ينص الاقتراح على إنشاء دورين لدعم الأشخاص ذوي الإعاقة هما: "الميسرون" لدعم ممارسة الأهلية القانونية، و"المساعدون" لمساعدة الأشخاص ذوي الإعاقات الجسدية أو الحسية على </w:t>
      </w:r>
      <w:proofErr w:type="gramStart"/>
      <w:r w:rsidRPr="004F0EC4">
        <w:rPr>
          <w:rtl/>
        </w:rPr>
        <w:t>التواصل</w:t>
      </w:r>
      <w:r w:rsidRPr="004F0EC4">
        <w:rPr>
          <w:vertAlign w:val="superscript"/>
          <w:rtl/>
        </w:rPr>
        <w:t>(</w:t>
      </w:r>
      <w:proofErr w:type="gramEnd"/>
      <w:r w:rsidRPr="004F0EC4">
        <w:rPr>
          <w:vertAlign w:val="superscript"/>
          <w:rtl/>
        </w:rPr>
        <w:footnoteReference w:id="126"/>
      </w:r>
      <w:r w:rsidRPr="004F0EC4">
        <w:rPr>
          <w:vertAlign w:val="superscript"/>
          <w:rtl/>
        </w:rPr>
        <w:t>)</w:t>
      </w:r>
      <w:r w:rsidRPr="004F0EC4">
        <w:rPr>
          <w:rtl/>
        </w:rPr>
        <w:t>.</w:t>
      </w:r>
    </w:p>
    <w:p w14:paraId="4DBA4CFA" w14:textId="13E49E80" w:rsidR="00C00FE8" w:rsidRPr="004F0EC4" w:rsidRDefault="00C00FE8" w:rsidP="00C00FE8">
      <w:pPr>
        <w:pStyle w:val="SingleTxtGA"/>
      </w:pPr>
      <w:r w:rsidRPr="004F0EC4">
        <w:rPr>
          <w:rtl/>
        </w:rPr>
        <w:t>73-</w:t>
      </w:r>
      <w:r w:rsidRPr="004F0EC4">
        <w:rPr>
          <w:rtl/>
        </w:rPr>
        <w:tab/>
      </w:r>
      <w:r w:rsidRPr="004F0EC4">
        <w:rPr>
          <w:spacing w:val="-2"/>
          <w:rtl/>
        </w:rPr>
        <w:t>وفيما يتعلق بالموافقة الحرة والمستنيرة، ينص القانون رقم 20-584</w:t>
      </w:r>
      <w:r w:rsidR="00A27310" w:rsidRPr="004F0EC4">
        <w:rPr>
          <w:spacing w:val="-2"/>
          <w:vertAlign w:val="superscript"/>
          <w:rtl/>
        </w:rPr>
        <w:t>(</w:t>
      </w:r>
      <w:r w:rsidR="00A27310" w:rsidRPr="004F0EC4">
        <w:rPr>
          <w:spacing w:val="-2"/>
          <w:vertAlign w:val="superscript"/>
          <w:rtl/>
        </w:rPr>
        <w:footnoteReference w:id="127"/>
      </w:r>
      <w:r w:rsidR="00A27310" w:rsidRPr="004F0EC4">
        <w:rPr>
          <w:spacing w:val="-2"/>
          <w:vertAlign w:val="superscript"/>
          <w:rtl/>
        </w:rPr>
        <w:t>)</w:t>
      </w:r>
      <w:r w:rsidRPr="004F0EC4">
        <w:rPr>
          <w:spacing w:val="-2"/>
          <w:rtl/>
        </w:rPr>
        <w:t xml:space="preserve"> على أن حق كل شخص</w:t>
      </w:r>
      <w:r w:rsidRPr="004F0EC4">
        <w:rPr>
          <w:rtl/>
        </w:rPr>
        <w:t xml:space="preserve"> في الموافقة على أي إجراء أو علاج متعلق بالرعاية الصحية أو رفضه. وينص القانون رقم 21-331 على أن ممارسة هذا الحق تقتضي تنظيم عملية الدعم في اتخاذ القرار بهدف حماية رغبات الشخص وتفضيلاته، وتطبيق خطة الموافقة الحرة والمستنيرة فور دخول الشخص المعني أول مرة إلى مرفق الصحة </w:t>
      </w:r>
      <w:proofErr w:type="gramStart"/>
      <w:r w:rsidRPr="004F0EC4">
        <w:rPr>
          <w:rtl/>
        </w:rPr>
        <w:t>العقلية</w:t>
      </w:r>
      <w:r w:rsidRPr="004F0EC4">
        <w:rPr>
          <w:vertAlign w:val="superscript"/>
          <w:rtl/>
        </w:rPr>
        <w:t>(</w:t>
      </w:r>
      <w:proofErr w:type="gramEnd"/>
      <w:r w:rsidRPr="004F0EC4">
        <w:rPr>
          <w:vertAlign w:val="superscript"/>
          <w:rtl/>
        </w:rPr>
        <w:footnoteReference w:id="128"/>
      </w:r>
      <w:r w:rsidRPr="004F0EC4">
        <w:rPr>
          <w:vertAlign w:val="superscript"/>
          <w:rtl/>
        </w:rPr>
        <w:t>)</w:t>
      </w:r>
      <w:r w:rsidRPr="004F0EC4">
        <w:rPr>
          <w:rtl/>
        </w:rPr>
        <w:t>. كما يكفل القانون مشاركة الأشخاص ذوي الإعاقات النفسية أو الفكرية مشاركة فعالة في خطة علاجهم.</w:t>
      </w:r>
    </w:p>
    <w:p w14:paraId="7F27ED1B" w14:textId="7B3C8F7B" w:rsidR="00C00FE8" w:rsidRPr="004F0EC4" w:rsidRDefault="00C00FE8" w:rsidP="00C00FE8">
      <w:pPr>
        <w:pStyle w:val="SingleTxtGA"/>
      </w:pPr>
      <w:r w:rsidRPr="004F0EC4">
        <w:rPr>
          <w:rtl/>
        </w:rPr>
        <w:t>74-</w:t>
      </w:r>
      <w:r w:rsidRPr="004F0EC4">
        <w:rPr>
          <w:rtl/>
        </w:rPr>
        <w:tab/>
        <w:t>وبالإضافة إلى ذلك، أدخل القانون رقم 21-331</w:t>
      </w:r>
      <w:r w:rsidRPr="004F0EC4">
        <w:rPr>
          <w:vertAlign w:val="superscript"/>
          <w:rtl/>
        </w:rPr>
        <w:t>(</w:t>
      </w:r>
      <w:r w:rsidRPr="004F0EC4">
        <w:rPr>
          <w:vertAlign w:val="superscript"/>
          <w:rtl/>
        </w:rPr>
        <w:footnoteReference w:id="129"/>
      </w:r>
      <w:r w:rsidRPr="004F0EC4">
        <w:rPr>
          <w:vertAlign w:val="superscript"/>
          <w:rtl/>
        </w:rPr>
        <w:t>)</w:t>
      </w:r>
      <w:r w:rsidR="00A27310" w:rsidRPr="004F0EC4">
        <w:rPr>
          <w:rFonts w:hint="cs"/>
          <w:rtl/>
        </w:rPr>
        <w:t xml:space="preserve"> </w:t>
      </w:r>
      <w:r w:rsidRPr="004F0EC4">
        <w:rPr>
          <w:rtl/>
        </w:rPr>
        <w:t>تعديلات على القانون رقم 20-584 ألغت المواد المتعلقة بالإيداع القسري في المستشفيات، والتدابير الخاصة التي تنطوي على العزل أو التقييد الجسدي أو الدوائي، والعلاج القسري، وهي مسائل أصبحت تخضع بعد ذلك، حسب الانطباق، لأحكام القانون رقم 21-331 مباشرة. كما حدد إجراءات الإيداع القسري في مستشفيات الأمراض العقلية. ونظراً</w:t>
      </w:r>
      <w:r w:rsidRPr="004F0EC4">
        <w:rPr>
          <w:rFonts w:hint="cs"/>
          <w:rtl/>
        </w:rPr>
        <w:t> </w:t>
      </w:r>
      <w:r w:rsidRPr="004F0EC4">
        <w:rPr>
          <w:rtl/>
        </w:rPr>
        <w:t xml:space="preserve">لتأثير هذا الإيداع على الحق في الحرية فلا يُلجأ إلى هذا الإجراء إلا عندما يتعذر العلاج في إطار خدمات الصحة العقلية الخارجية، وعندما يكون هناك خطر حقيقي ومؤكد ووشيك على حياة </w:t>
      </w:r>
      <w:proofErr w:type="gramStart"/>
      <w:r w:rsidRPr="004F0EC4">
        <w:rPr>
          <w:rtl/>
        </w:rPr>
        <w:t>الفرد</w:t>
      </w:r>
      <w:proofErr w:type="gramEnd"/>
      <w:r w:rsidRPr="004F0EC4">
        <w:rPr>
          <w:rtl/>
        </w:rPr>
        <w:t xml:space="preserve"> أو</w:t>
      </w:r>
      <w:r w:rsidRPr="004F0EC4">
        <w:rPr>
          <w:rFonts w:hint="cs"/>
          <w:rtl/>
        </w:rPr>
        <w:t> </w:t>
      </w:r>
      <w:r w:rsidRPr="004F0EC4">
        <w:rPr>
          <w:rtl/>
        </w:rPr>
        <w:t>سلامته الجسدية أو حياة أو سلامة الغير. وينص القانون صراحةً على أنه لا يجوز إدخال أي شخص إلى المستشفى بسبب إعاقته. بالإضافة إلى ذلك، يُحظر إخضاع الشخص الذي أدخل المستشفى قسراً لإجراءات أو علاجات لا رجعة فيها، مثل التعقيم أو الجراحة العقلية.</w:t>
      </w:r>
    </w:p>
    <w:p w14:paraId="39C0204B" w14:textId="77777777" w:rsidR="00C00FE8" w:rsidRPr="004F0EC4" w:rsidRDefault="00C00FE8" w:rsidP="00C00FE8">
      <w:pPr>
        <w:pStyle w:val="H1GA"/>
        <w:rPr>
          <w:lang w:val="en-US"/>
        </w:rPr>
      </w:pPr>
      <w:r w:rsidRPr="004F0EC4">
        <w:rPr>
          <w:rtl/>
          <w:lang w:val="en-US"/>
        </w:rPr>
        <w:tab/>
      </w:r>
      <w:r w:rsidRPr="004F0EC4">
        <w:rPr>
          <w:rtl/>
          <w:lang w:val="en-US"/>
        </w:rPr>
        <w:tab/>
        <w:t>المادة 13</w:t>
      </w:r>
    </w:p>
    <w:p w14:paraId="1AA39DE9" w14:textId="77777777" w:rsidR="00C00FE8" w:rsidRPr="004F0EC4" w:rsidRDefault="00C00FE8" w:rsidP="00C00FE8">
      <w:pPr>
        <w:pStyle w:val="SingleTxtGA"/>
      </w:pPr>
      <w:r w:rsidRPr="004F0EC4">
        <w:rPr>
          <w:rtl/>
        </w:rPr>
        <w:t>75-</w:t>
      </w:r>
      <w:r w:rsidRPr="004F0EC4">
        <w:rPr>
          <w:rtl/>
        </w:rPr>
        <w:tab/>
        <w:t xml:space="preserve">في إطار متابعة اتفاقية التعاون المبرمة عام 2013 بين السلطة القضائية والهيئة الوطنية لشؤون الأشخاص ذوي الإعاقة، قامت الإدارة التنظيمية للسلطة القضائية بتطبيق نظم شاملة لتقديم الخدمات للمستفيدين ولإجراء جلسات الاستماع. كما أدخلت تحسينات على موقعها </w:t>
      </w:r>
      <w:proofErr w:type="gramStart"/>
      <w:r w:rsidRPr="004F0EC4">
        <w:rPr>
          <w:rtl/>
        </w:rPr>
        <w:t>الشبكي</w:t>
      </w:r>
      <w:r w:rsidRPr="004F0EC4">
        <w:rPr>
          <w:vertAlign w:val="superscript"/>
          <w:rtl/>
        </w:rPr>
        <w:t>(</w:t>
      </w:r>
      <w:proofErr w:type="gramEnd"/>
      <w:r w:rsidRPr="004F0EC4">
        <w:rPr>
          <w:vertAlign w:val="superscript"/>
          <w:rtl/>
        </w:rPr>
        <w:footnoteReference w:id="130"/>
      </w:r>
      <w:r w:rsidRPr="004F0EC4">
        <w:rPr>
          <w:vertAlign w:val="superscript"/>
          <w:rtl/>
        </w:rPr>
        <w:t>)</w:t>
      </w:r>
      <w:r w:rsidRPr="004F0EC4">
        <w:rPr>
          <w:rtl/>
        </w:rPr>
        <w:t xml:space="preserve"> سهّلت وصول الأشخاص ذوي الإعاقة إلى المعلومات عن طريق نظام ترجمة إلكتروني مخصص للموقع ولجميع محاكم البلد،</w:t>
      </w:r>
      <w:r w:rsidRPr="004F0EC4">
        <w:rPr>
          <w:spacing w:val="-2"/>
          <w:rtl/>
        </w:rPr>
        <w:t xml:space="preserve"> واستفاد من هذه الخدمة 595 1 مستخدماً في عام 2021. ويتوفر هذا النظام في 213 هيئة قضائية</w:t>
      </w:r>
      <w:r w:rsidRPr="004F0EC4">
        <w:rPr>
          <w:rtl/>
        </w:rPr>
        <w:t xml:space="preserve"> وفي 17 دائرة قضائية بالبلد. وترد لغة الإشارة الشيلية ضمن اللغات المتاحة.</w:t>
      </w:r>
    </w:p>
    <w:p w14:paraId="11EDC41F" w14:textId="77777777" w:rsidR="00C00FE8" w:rsidRPr="004F0EC4" w:rsidRDefault="00C00FE8" w:rsidP="00C00FE8">
      <w:pPr>
        <w:pStyle w:val="SingleTxtGA"/>
      </w:pPr>
      <w:r w:rsidRPr="004F0EC4">
        <w:rPr>
          <w:rtl/>
        </w:rPr>
        <w:lastRenderedPageBreak/>
        <w:t>76-</w:t>
      </w:r>
      <w:r w:rsidRPr="004F0EC4">
        <w:rPr>
          <w:rtl/>
        </w:rPr>
        <w:tab/>
      </w:r>
      <w:r w:rsidRPr="004F0EC4">
        <w:rPr>
          <w:spacing w:val="-4"/>
          <w:rtl/>
        </w:rPr>
        <w:t xml:space="preserve">وقامت بعض المحاكم بتثبيت برامج لتسهيل عمل الأشخاص ذوي الإعاقة (مثل </w:t>
      </w:r>
      <w:r w:rsidRPr="004F0EC4">
        <w:rPr>
          <w:spacing w:val="-4"/>
        </w:rPr>
        <w:t>Dragon Speak</w:t>
      </w:r>
      <w:r w:rsidRPr="004F0EC4">
        <w:rPr>
          <w:spacing w:val="-4"/>
          <w:rtl/>
        </w:rPr>
        <w:t xml:space="preserve"> </w:t>
      </w:r>
      <w:r w:rsidRPr="004F0EC4">
        <w:rPr>
          <w:spacing w:val="-2"/>
          <w:rtl/>
        </w:rPr>
        <w:t>و</w:t>
      </w:r>
      <w:r w:rsidRPr="004F0EC4">
        <w:rPr>
          <w:spacing w:val="-2"/>
        </w:rPr>
        <w:t>JAWS</w:t>
      </w:r>
      <w:r w:rsidRPr="004F0EC4">
        <w:rPr>
          <w:spacing w:val="-2"/>
          <w:rtl/>
        </w:rPr>
        <w:t xml:space="preserve">)، كما أطلق مشروع تجريبي للتوجيه الذكي للمكفوفين وضعاف البصر، باستخدام برنامج </w:t>
      </w:r>
      <w:proofErr w:type="spellStart"/>
      <w:r w:rsidRPr="004F0EC4">
        <w:rPr>
          <w:spacing w:val="-2"/>
          <w:rtl/>
        </w:rPr>
        <w:t>لازاريو</w:t>
      </w:r>
      <w:proofErr w:type="spellEnd"/>
      <w:r w:rsidRPr="004F0EC4">
        <w:rPr>
          <w:spacing w:val="-2"/>
          <w:rtl/>
        </w:rPr>
        <w:t>،</w:t>
      </w:r>
      <w:r w:rsidRPr="004F0EC4">
        <w:rPr>
          <w:rtl/>
        </w:rPr>
        <w:t xml:space="preserve"> </w:t>
      </w:r>
      <w:r w:rsidRPr="004F0EC4">
        <w:rPr>
          <w:spacing w:val="-2"/>
          <w:rtl/>
        </w:rPr>
        <w:t>في مجمع قضائي بمدينة سانتياغو. وبالإضافة إلى ذلك، تم إعداد وتركيب لافتات ملائمة للجميع ومحطات</w:t>
      </w:r>
      <w:r w:rsidRPr="004F0EC4">
        <w:rPr>
          <w:rtl/>
        </w:rPr>
        <w:t xml:space="preserve"> للخدمة الذاتية. كما أدخلت الترجمة الفورية إلى لغة الإشارة الشيلية بصورة دائمة في الخطابات الرسمية التي يلقيها رئيس المحكمة العليا. وأخيراً، أصدرت كتيبات شاملة بكتابة برايل.</w:t>
      </w:r>
    </w:p>
    <w:p w14:paraId="69898FE2" w14:textId="77777777" w:rsidR="00C00FE8" w:rsidRPr="004F0EC4" w:rsidRDefault="00C00FE8" w:rsidP="00C00FE8">
      <w:pPr>
        <w:pStyle w:val="SingleTxtGA"/>
      </w:pPr>
      <w:r w:rsidRPr="004F0EC4">
        <w:rPr>
          <w:rtl/>
        </w:rPr>
        <w:t>77-</w:t>
      </w:r>
      <w:r w:rsidRPr="004F0EC4">
        <w:rPr>
          <w:rtl/>
        </w:rPr>
        <w:tab/>
        <w:t xml:space="preserve">وأعد مقطع فيديو حول حقوق الأفراد </w:t>
      </w:r>
      <w:proofErr w:type="gramStart"/>
      <w:r w:rsidRPr="004F0EC4">
        <w:rPr>
          <w:rtl/>
        </w:rPr>
        <w:t>وواجباتهم</w:t>
      </w:r>
      <w:r w:rsidRPr="004F0EC4">
        <w:rPr>
          <w:vertAlign w:val="superscript"/>
          <w:rtl/>
        </w:rPr>
        <w:t>(</w:t>
      </w:r>
      <w:proofErr w:type="gramEnd"/>
      <w:r w:rsidRPr="004F0EC4">
        <w:rPr>
          <w:vertAlign w:val="superscript"/>
          <w:rtl/>
        </w:rPr>
        <w:footnoteReference w:id="131"/>
      </w:r>
      <w:r w:rsidRPr="004F0EC4">
        <w:rPr>
          <w:vertAlign w:val="superscript"/>
          <w:rtl/>
        </w:rPr>
        <w:t>)</w:t>
      </w:r>
      <w:r w:rsidRPr="004F0EC4">
        <w:rPr>
          <w:rtl/>
        </w:rPr>
        <w:t xml:space="preserve"> أمام القانون باستخدام لغة الإشارة الشيلية. كما أنتجت مقاطع فيديو تشرح القوانين الأكثر </w:t>
      </w:r>
      <w:proofErr w:type="gramStart"/>
      <w:r w:rsidRPr="004F0EC4">
        <w:rPr>
          <w:rtl/>
        </w:rPr>
        <w:t>استخداماً</w:t>
      </w:r>
      <w:r w:rsidRPr="004F0EC4">
        <w:rPr>
          <w:vertAlign w:val="superscript"/>
          <w:rtl/>
        </w:rPr>
        <w:t>(</w:t>
      </w:r>
      <w:proofErr w:type="gramEnd"/>
      <w:r w:rsidRPr="004F0EC4">
        <w:rPr>
          <w:vertAlign w:val="superscript"/>
          <w:rtl/>
        </w:rPr>
        <w:footnoteReference w:id="132"/>
      </w:r>
      <w:r w:rsidRPr="004F0EC4">
        <w:rPr>
          <w:vertAlign w:val="superscript"/>
          <w:rtl/>
        </w:rPr>
        <w:t>)</w:t>
      </w:r>
      <w:r w:rsidRPr="004F0EC4">
        <w:rPr>
          <w:rtl/>
        </w:rPr>
        <w:t>، واستخدمت جميعها لغة الإشارة الشيلية وهي</w:t>
      </w:r>
      <w:r w:rsidRPr="004F0EC4">
        <w:rPr>
          <w:rFonts w:hint="cs"/>
          <w:rtl/>
        </w:rPr>
        <w:t> </w:t>
      </w:r>
      <w:r w:rsidRPr="004F0EC4">
        <w:rPr>
          <w:rtl/>
        </w:rPr>
        <w:t xml:space="preserve">متاحة في موقع </w:t>
      </w:r>
      <w:proofErr w:type="gramStart"/>
      <w:r w:rsidRPr="004F0EC4">
        <w:rPr>
          <w:rtl/>
        </w:rPr>
        <w:t>يوتيوب</w:t>
      </w:r>
      <w:r w:rsidRPr="004F0EC4">
        <w:rPr>
          <w:vertAlign w:val="superscript"/>
          <w:rtl/>
        </w:rPr>
        <w:t>(</w:t>
      </w:r>
      <w:proofErr w:type="gramEnd"/>
      <w:r w:rsidRPr="004F0EC4">
        <w:rPr>
          <w:vertAlign w:val="superscript"/>
          <w:rtl/>
        </w:rPr>
        <w:footnoteReference w:id="133"/>
      </w:r>
      <w:r w:rsidRPr="004F0EC4">
        <w:rPr>
          <w:vertAlign w:val="superscript"/>
          <w:rtl/>
        </w:rPr>
        <w:t>)</w:t>
      </w:r>
      <w:r w:rsidRPr="004F0EC4">
        <w:rPr>
          <w:rtl/>
        </w:rPr>
        <w:t xml:space="preserve">. وتم تركيب جهاز خدمة ذاتية يتيح الوصول إلى النصوص القانونية والسوابق القضائية في مكتبة المحكمة العليا، وذلك خصيصاً لفائدة الأشخاص ذوي الإعاقة </w:t>
      </w:r>
      <w:proofErr w:type="gramStart"/>
      <w:r w:rsidRPr="004F0EC4">
        <w:rPr>
          <w:rtl/>
        </w:rPr>
        <w:t>البصرية</w:t>
      </w:r>
      <w:r w:rsidRPr="004F0EC4">
        <w:rPr>
          <w:vertAlign w:val="superscript"/>
          <w:rtl/>
        </w:rPr>
        <w:t>(</w:t>
      </w:r>
      <w:proofErr w:type="gramEnd"/>
      <w:r w:rsidRPr="004F0EC4">
        <w:rPr>
          <w:vertAlign w:val="superscript"/>
          <w:rtl/>
        </w:rPr>
        <w:footnoteReference w:id="134"/>
      </w:r>
      <w:r w:rsidRPr="004F0EC4">
        <w:rPr>
          <w:vertAlign w:val="superscript"/>
          <w:rtl/>
        </w:rPr>
        <w:t>)</w:t>
      </w:r>
      <w:r w:rsidRPr="004F0EC4">
        <w:rPr>
          <w:rtl/>
        </w:rPr>
        <w:t xml:space="preserve">. وعُمّم البروتوكول </w:t>
      </w:r>
      <w:proofErr w:type="spellStart"/>
      <w:r w:rsidRPr="004F0EC4">
        <w:rPr>
          <w:rtl/>
        </w:rPr>
        <w:t>الأيبيري</w:t>
      </w:r>
      <w:proofErr w:type="spellEnd"/>
      <w:r w:rsidRPr="004F0EC4">
        <w:rPr>
          <w:rtl/>
        </w:rPr>
        <w:t xml:space="preserve"> الأمريكي للإجراءات القضائية الرامية إلى تحسين وصول الشعوب والمجتمعات الأصلية وأفرادها إلى العدالة على جميع الدوائر القضائية فور صدوره، وهو يوفر أدوات عملية لموظفي القضاء عموماً من أجل ضمان الوصول إلى العدالة.</w:t>
      </w:r>
    </w:p>
    <w:p w14:paraId="5D61BAE6" w14:textId="77777777" w:rsidR="00C00FE8" w:rsidRPr="004F0EC4" w:rsidRDefault="00C00FE8" w:rsidP="00C00FE8">
      <w:pPr>
        <w:pStyle w:val="SingleTxtGA"/>
      </w:pPr>
      <w:r w:rsidRPr="004F0EC4">
        <w:rPr>
          <w:rtl/>
        </w:rPr>
        <w:t>78-</w:t>
      </w:r>
      <w:r w:rsidRPr="004F0EC4">
        <w:rPr>
          <w:rtl/>
        </w:rPr>
        <w:tab/>
      </w:r>
      <w:r w:rsidRPr="004F0EC4">
        <w:rPr>
          <w:spacing w:val="-4"/>
          <w:rtl/>
        </w:rPr>
        <w:t>وفي عام 2020، أعدت الجامعة المركزية، بدعم من منظمة المجتمع المدني المكسيكية "</w:t>
      </w:r>
      <w:proofErr w:type="spellStart"/>
      <w:r w:rsidRPr="004F0EC4">
        <w:rPr>
          <w:spacing w:val="-4"/>
          <w:rtl/>
        </w:rPr>
        <w:t>دوكومنتا</w:t>
      </w:r>
      <w:proofErr w:type="spellEnd"/>
      <w:r w:rsidRPr="004F0EC4">
        <w:rPr>
          <w:spacing w:val="-4"/>
          <w:rtl/>
        </w:rPr>
        <w:t>"</w:t>
      </w:r>
      <w:r w:rsidRPr="004F0EC4">
        <w:rPr>
          <w:rtl/>
        </w:rPr>
        <w:t xml:space="preserve"> والدائرة الوطنية لشؤون الأشخاص ذوي الإعاقة، دليلاً حول مبادئ العمل الرامية إلى ضمان وصول الأشخاص ذوي الإعاقة إلى </w:t>
      </w:r>
      <w:proofErr w:type="gramStart"/>
      <w:r w:rsidRPr="004F0EC4">
        <w:rPr>
          <w:rtl/>
        </w:rPr>
        <w:t>العدالة</w:t>
      </w:r>
      <w:r w:rsidRPr="004F0EC4">
        <w:rPr>
          <w:vertAlign w:val="superscript"/>
          <w:rtl/>
        </w:rPr>
        <w:t>(</w:t>
      </w:r>
      <w:proofErr w:type="gramEnd"/>
      <w:r w:rsidRPr="004F0EC4">
        <w:rPr>
          <w:vertAlign w:val="superscript"/>
          <w:rtl/>
        </w:rPr>
        <w:footnoteReference w:id="135"/>
      </w:r>
      <w:r w:rsidRPr="004F0EC4">
        <w:rPr>
          <w:vertAlign w:val="superscript"/>
          <w:rtl/>
        </w:rPr>
        <w:t>)</w:t>
      </w:r>
      <w:r w:rsidRPr="004F0EC4">
        <w:rPr>
          <w:rtl/>
        </w:rPr>
        <w:t xml:space="preserve">. وفي العام نفسه، نظمت المحكمة العليا والدائرة الوطنية لشؤون الأشخاص ذوي الإعاقة وكلية الحقوق بجامعة سنترال ندوة على </w:t>
      </w:r>
      <w:proofErr w:type="gramStart"/>
      <w:r w:rsidRPr="004F0EC4">
        <w:rPr>
          <w:rtl/>
        </w:rPr>
        <w:t>الإنترنت</w:t>
      </w:r>
      <w:r w:rsidRPr="004F0EC4">
        <w:rPr>
          <w:vertAlign w:val="superscript"/>
          <w:rtl/>
        </w:rPr>
        <w:t>(</w:t>
      </w:r>
      <w:proofErr w:type="gramEnd"/>
      <w:r w:rsidRPr="004F0EC4">
        <w:rPr>
          <w:vertAlign w:val="superscript"/>
          <w:rtl/>
        </w:rPr>
        <w:footnoteReference w:id="136"/>
      </w:r>
      <w:r w:rsidRPr="004F0EC4">
        <w:rPr>
          <w:vertAlign w:val="superscript"/>
          <w:rtl/>
        </w:rPr>
        <w:t>)</w:t>
      </w:r>
      <w:r w:rsidRPr="004F0EC4">
        <w:rPr>
          <w:rtl/>
        </w:rPr>
        <w:t xml:space="preserve"> حول الوصول إلى العدالة والإعاقة، حضرها مسؤولون قضائيون وخبراء دوليون.</w:t>
      </w:r>
    </w:p>
    <w:p w14:paraId="094BF5AE" w14:textId="77777777" w:rsidR="00C00FE8" w:rsidRPr="004F0EC4" w:rsidRDefault="00C00FE8" w:rsidP="00C00FE8">
      <w:pPr>
        <w:pStyle w:val="SingleTxtGA"/>
      </w:pPr>
      <w:r w:rsidRPr="004F0EC4">
        <w:rPr>
          <w:rtl/>
        </w:rPr>
        <w:t>79-</w:t>
      </w:r>
      <w:r w:rsidRPr="004F0EC4">
        <w:rPr>
          <w:rtl/>
        </w:rPr>
        <w:tab/>
      </w:r>
      <w:r w:rsidRPr="004F0EC4">
        <w:rPr>
          <w:spacing w:val="-4"/>
          <w:rtl/>
        </w:rPr>
        <w:t xml:space="preserve">ومن أجل تعزيز حقوق الأشخاص ذوي الإعاقة في سياق إنفاذ القانون، تتولى الدائرة الوطنية لشؤون </w:t>
      </w:r>
      <w:r w:rsidRPr="004F0EC4">
        <w:rPr>
          <w:rtl/>
        </w:rPr>
        <w:t xml:space="preserve">الأشخاص ذوي الإعاقة تقديم جزء من الوحدة الخاصة بالإعاقة ضمن دورة </w:t>
      </w:r>
      <w:proofErr w:type="spellStart"/>
      <w:r w:rsidRPr="004F0EC4">
        <w:rPr>
          <w:rtl/>
        </w:rPr>
        <w:t>الكرابينيروس</w:t>
      </w:r>
      <w:proofErr w:type="spellEnd"/>
      <w:r w:rsidRPr="004F0EC4">
        <w:rPr>
          <w:rtl/>
        </w:rPr>
        <w:t xml:space="preserve"> المخصصة لمدربي حقوق </w:t>
      </w:r>
      <w:proofErr w:type="gramStart"/>
      <w:r w:rsidRPr="004F0EC4">
        <w:rPr>
          <w:rtl/>
        </w:rPr>
        <w:t>الإنسان</w:t>
      </w:r>
      <w:r w:rsidRPr="004F0EC4">
        <w:rPr>
          <w:vertAlign w:val="superscript"/>
          <w:rtl/>
        </w:rPr>
        <w:t>(</w:t>
      </w:r>
      <w:proofErr w:type="gramEnd"/>
      <w:r w:rsidRPr="004F0EC4">
        <w:rPr>
          <w:vertAlign w:val="superscript"/>
          <w:rtl/>
        </w:rPr>
        <w:footnoteReference w:id="137"/>
      </w:r>
      <w:r w:rsidRPr="004F0EC4">
        <w:rPr>
          <w:vertAlign w:val="superscript"/>
          <w:rtl/>
        </w:rPr>
        <w:t>)</w:t>
      </w:r>
      <w:r w:rsidRPr="004F0EC4">
        <w:rPr>
          <w:rtl/>
        </w:rPr>
        <w:t xml:space="preserve">. وبالإضافة إلى ذلك، نظمت الشرطة الجنائية ما يلي: (أ) في عام 2020، دورة تدريبية مدتها 60 ساعة على لغة الإشارة الشيلية، قدمها مركز دراسات الإدارة الحكومية التابع لمكتب المراقب المالي للجمهورية لما يعادل 60 موظفاً من مختلف أنحاء البلد؛ و(ب) دورة تدريبية للموظفين </w:t>
      </w:r>
      <w:r w:rsidRPr="004F0EC4">
        <w:rPr>
          <w:spacing w:val="-2"/>
          <w:rtl/>
        </w:rPr>
        <w:t>العموميين بشأن التمييز التعسفي، نظمها مرصد المشاركة المدنية وعدم التمييز التابع لمكتب الوزير والأمين</w:t>
      </w:r>
      <w:r w:rsidRPr="004F0EC4">
        <w:rPr>
          <w:rtl/>
        </w:rPr>
        <w:t xml:space="preserve"> العام للحكومة.</w:t>
      </w:r>
    </w:p>
    <w:p w14:paraId="421CCBCF" w14:textId="580078C2" w:rsidR="00C00FE8" w:rsidRPr="004F0EC4" w:rsidRDefault="00C00FE8" w:rsidP="00C00FE8">
      <w:pPr>
        <w:pStyle w:val="SingleTxtGA"/>
      </w:pPr>
      <w:r w:rsidRPr="004F0EC4">
        <w:rPr>
          <w:rtl/>
        </w:rPr>
        <w:t>80-</w:t>
      </w:r>
      <w:r w:rsidRPr="004F0EC4">
        <w:rPr>
          <w:rtl/>
        </w:rPr>
        <w:tab/>
      </w:r>
      <w:r w:rsidRPr="004F0EC4">
        <w:rPr>
          <w:spacing w:val="-2"/>
          <w:rtl/>
        </w:rPr>
        <w:t>وفيما يتعلق بالجهة المسؤولة عن رعاية الأشخاص المسلوبة حريتهم، نظمت الدائرة الوطنية لشؤون</w:t>
      </w:r>
      <w:r w:rsidRPr="004F0EC4">
        <w:rPr>
          <w:rtl/>
        </w:rPr>
        <w:t xml:space="preserve"> الأشخاص ذوي الإعاقة محاضرات ودورات تدريبية في إطار برامج تدريبية عامة أو مخصصة لموظفي إدارة السجون</w:t>
      </w:r>
      <w:r w:rsidRPr="004F0EC4">
        <w:rPr>
          <w:vertAlign w:val="superscript"/>
          <w:rtl/>
        </w:rPr>
        <w:t>(</w:t>
      </w:r>
      <w:r w:rsidRPr="004F0EC4">
        <w:rPr>
          <w:vertAlign w:val="superscript"/>
          <w:rtl/>
        </w:rPr>
        <w:footnoteReference w:id="138"/>
      </w:r>
      <w:r w:rsidRPr="004F0EC4">
        <w:rPr>
          <w:vertAlign w:val="superscript"/>
          <w:rtl/>
        </w:rPr>
        <w:t>)</w:t>
      </w:r>
      <w:r w:rsidRPr="004F0EC4">
        <w:rPr>
          <w:rtl/>
        </w:rPr>
        <w:t>، ومن بينها: (أ) عرض لدراسة</w:t>
      </w:r>
      <w:r w:rsidRPr="004F0EC4">
        <w:rPr>
          <w:vertAlign w:val="superscript"/>
          <w:rtl/>
        </w:rPr>
        <w:t>(</w:t>
      </w:r>
      <w:r w:rsidRPr="004F0EC4">
        <w:rPr>
          <w:vertAlign w:val="superscript"/>
          <w:rtl/>
        </w:rPr>
        <w:footnoteReference w:id="139"/>
      </w:r>
      <w:r w:rsidRPr="004F0EC4">
        <w:rPr>
          <w:vertAlign w:val="superscript"/>
          <w:rtl/>
        </w:rPr>
        <w:t>)</w:t>
      </w:r>
      <w:r w:rsidRPr="004F0EC4">
        <w:rPr>
          <w:rtl/>
        </w:rPr>
        <w:t xml:space="preserve"> حول الظروف المعيشية للأشخاص ذوي الإعاقة </w:t>
      </w:r>
      <w:r w:rsidRPr="004F0EC4">
        <w:rPr>
          <w:rtl/>
        </w:rPr>
        <w:lastRenderedPageBreak/>
        <w:t>المسلوبة حريتهم في سجون إقليم العاصمة؛ و(ب) الأنشطة الإقليمية المتعلقة بحقوق الإنسان في</w:t>
      </w:r>
      <w:r w:rsidRPr="004F0EC4">
        <w:t> </w:t>
      </w:r>
      <w:r w:rsidRPr="004F0EC4">
        <w:rPr>
          <w:rtl/>
        </w:rPr>
        <w:t>إطار</w:t>
      </w:r>
      <w:r w:rsidRPr="004F0EC4">
        <w:rPr>
          <w:rFonts w:hint="cs"/>
          <w:rtl/>
        </w:rPr>
        <w:t> </w:t>
      </w:r>
      <w:r w:rsidRPr="004F0EC4">
        <w:rPr>
          <w:rtl/>
        </w:rPr>
        <w:t>الخطة السنوية لعام</w:t>
      </w:r>
      <w:r w:rsidRPr="004F0EC4">
        <w:rPr>
          <w:vertAlign w:val="superscript"/>
          <w:rtl/>
        </w:rPr>
        <w:t>(</w:t>
      </w:r>
      <w:r w:rsidRPr="004F0EC4">
        <w:rPr>
          <w:vertAlign w:val="superscript"/>
          <w:rtl/>
        </w:rPr>
        <w:footnoteReference w:id="140"/>
      </w:r>
      <w:r w:rsidRPr="004F0EC4">
        <w:rPr>
          <w:vertAlign w:val="superscript"/>
          <w:rtl/>
        </w:rPr>
        <w:t>)</w:t>
      </w:r>
      <w:r w:rsidRPr="004F0EC4">
        <w:rPr>
          <w:rtl/>
        </w:rPr>
        <w:t xml:space="preserve"> 2021؛ و(ج) تدريب على لغة الإشارة الشيلية في إقليم </w:t>
      </w:r>
      <w:proofErr w:type="spellStart"/>
      <w:r w:rsidRPr="004F0EC4">
        <w:rPr>
          <w:rtl/>
        </w:rPr>
        <w:t>أنتوفاغاستا</w:t>
      </w:r>
      <w:proofErr w:type="spellEnd"/>
      <w:r w:rsidRPr="004F0EC4">
        <w:rPr>
          <w:rtl/>
        </w:rPr>
        <w:t xml:space="preserve">؛ و(د) بناء القدرات التنظيمية في مجال حقوق الإنسان والإعاقة، في عام 2020؛ و(ه) تدريب على لغة الإشارة الشيلية للمسؤولين والموظفين المحليين المعنيين بحقوق الإنسان ومكاتب المعلومات والشكاوى والاقتراحات في منطقة لوس لاغوس؛ و(و) مشروع شامل في إطار بند تمويل </w:t>
      </w:r>
      <w:r w:rsidR="00E22186" w:rsidRPr="004F0EC4">
        <w:rPr>
          <w:rFonts w:hint="cs"/>
          <w:rtl/>
        </w:rPr>
        <w:t>"</w:t>
      </w:r>
      <w:r w:rsidRPr="004F0EC4">
        <w:rPr>
          <w:rtl/>
        </w:rPr>
        <w:t>وسائل الاتصال الشاملة</w:t>
      </w:r>
      <w:r w:rsidR="00E22186" w:rsidRPr="004F0EC4">
        <w:rPr>
          <w:rFonts w:hint="cs"/>
          <w:rtl/>
        </w:rPr>
        <w:t>"</w:t>
      </w:r>
      <w:r w:rsidRPr="004F0EC4">
        <w:rPr>
          <w:rtl/>
        </w:rPr>
        <w:t xml:space="preserve"> التابع للصندوق الوطني للمبادرات الشاملة، بتكليف من المدير الإقليمي لإدارة السجون في </w:t>
      </w:r>
      <w:proofErr w:type="spellStart"/>
      <w:r w:rsidRPr="004F0EC4">
        <w:rPr>
          <w:rtl/>
        </w:rPr>
        <w:t>بيوبيو</w:t>
      </w:r>
      <w:proofErr w:type="spellEnd"/>
      <w:r w:rsidRPr="004F0EC4">
        <w:rPr>
          <w:rtl/>
        </w:rPr>
        <w:t xml:space="preserve">. وبالإضافة إلى ذلك، شُكلت لجنة خبراء معنية بشؤون الإعاقة في إطار الخطة الوطنية لحقوق الإنسان، تحت إشراف وزارة العدل وحقوق </w:t>
      </w:r>
      <w:proofErr w:type="gramStart"/>
      <w:r w:rsidRPr="004F0EC4">
        <w:rPr>
          <w:rtl/>
        </w:rPr>
        <w:t>الإنسان</w:t>
      </w:r>
      <w:r w:rsidRPr="004F0EC4">
        <w:rPr>
          <w:vertAlign w:val="superscript"/>
          <w:rtl/>
        </w:rPr>
        <w:t>(</w:t>
      </w:r>
      <w:proofErr w:type="gramEnd"/>
      <w:r w:rsidRPr="004F0EC4">
        <w:rPr>
          <w:vertAlign w:val="superscript"/>
          <w:rtl/>
        </w:rPr>
        <w:footnoteReference w:id="141"/>
      </w:r>
      <w:r w:rsidRPr="004F0EC4">
        <w:rPr>
          <w:vertAlign w:val="superscript"/>
          <w:rtl/>
        </w:rPr>
        <w:t>)</w:t>
      </w:r>
      <w:r w:rsidRPr="004F0EC4">
        <w:rPr>
          <w:rtl/>
        </w:rPr>
        <w:t>.</w:t>
      </w:r>
    </w:p>
    <w:p w14:paraId="65C3957F" w14:textId="77777777" w:rsidR="00C00FE8" w:rsidRPr="004F0EC4" w:rsidRDefault="00C00FE8" w:rsidP="00C00FE8">
      <w:pPr>
        <w:pStyle w:val="SingleTxtGA"/>
      </w:pPr>
      <w:r w:rsidRPr="004F0EC4">
        <w:rPr>
          <w:rtl/>
        </w:rPr>
        <w:t>81-</w:t>
      </w:r>
      <w:r w:rsidRPr="004F0EC4">
        <w:rPr>
          <w:rtl/>
        </w:rPr>
        <w:tab/>
        <w:t xml:space="preserve">وبدعم من الدائرة الوطنية لشؤون الأشخاص ذوي الإعاقة، أضافت الأكاديمية </w:t>
      </w:r>
      <w:proofErr w:type="gramStart"/>
      <w:r w:rsidRPr="004F0EC4">
        <w:rPr>
          <w:rtl/>
        </w:rPr>
        <w:t>القضائية</w:t>
      </w:r>
      <w:r w:rsidRPr="004F0EC4">
        <w:rPr>
          <w:vertAlign w:val="superscript"/>
          <w:rtl/>
        </w:rPr>
        <w:t>(</w:t>
      </w:r>
      <w:proofErr w:type="gramEnd"/>
      <w:r w:rsidRPr="004F0EC4">
        <w:rPr>
          <w:vertAlign w:val="superscript"/>
          <w:rtl/>
        </w:rPr>
        <w:footnoteReference w:id="142"/>
      </w:r>
      <w:r w:rsidRPr="004F0EC4">
        <w:rPr>
          <w:vertAlign w:val="superscript"/>
          <w:rtl/>
        </w:rPr>
        <w:t>)</w:t>
      </w:r>
      <w:r w:rsidRPr="004F0EC4">
        <w:rPr>
          <w:rtl/>
        </w:rPr>
        <w:t xml:space="preserve"> دورات تدريبية حول وصول الأشخاص ذوي الإعاقة إلى </w:t>
      </w:r>
      <w:proofErr w:type="gramStart"/>
      <w:r w:rsidRPr="004F0EC4">
        <w:rPr>
          <w:rtl/>
        </w:rPr>
        <w:t>العدالة</w:t>
      </w:r>
      <w:r w:rsidRPr="004F0EC4">
        <w:rPr>
          <w:vertAlign w:val="superscript"/>
          <w:rtl/>
        </w:rPr>
        <w:t>(</w:t>
      </w:r>
      <w:proofErr w:type="gramEnd"/>
      <w:r w:rsidRPr="004F0EC4">
        <w:rPr>
          <w:vertAlign w:val="superscript"/>
          <w:rtl/>
        </w:rPr>
        <w:footnoteReference w:id="143"/>
      </w:r>
      <w:r w:rsidRPr="004F0EC4">
        <w:rPr>
          <w:vertAlign w:val="superscript"/>
          <w:rtl/>
        </w:rPr>
        <w:t>)</w:t>
      </w:r>
      <w:r w:rsidRPr="004F0EC4">
        <w:rPr>
          <w:rtl/>
        </w:rPr>
        <w:t xml:space="preserve"> إلى برنامجها التدريبي المخصص </w:t>
      </w:r>
      <w:proofErr w:type="gramStart"/>
      <w:r w:rsidRPr="004F0EC4">
        <w:rPr>
          <w:rtl/>
        </w:rPr>
        <w:t>للقضاة</w:t>
      </w:r>
      <w:r w:rsidRPr="004F0EC4">
        <w:rPr>
          <w:vertAlign w:val="superscript"/>
          <w:rtl/>
        </w:rPr>
        <w:t>(</w:t>
      </w:r>
      <w:proofErr w:type="gramEnd"/>
      <w:r w:rsidRPr="004F0EC4">
        <w:rPr>
          <w:vertAlign w:val="superscript"/>
          <w:rtl/>
        </w:rPr>
        <w:footnoteReference w:id="144"/>
      </w:r>
      <w:r w:rsidRPr="004F0EC4">
        <w:rPr>
          <w:vertAlign w:val="superscript"/>
          <w:rtl/>
        </w:rPr>
        <w:t>)</w:t>
      </w:r>
      <w:r w:rsidRPr="004F0EC4">
        <w:rPr>
          <w:rtl/>
        </w:rPr>
        <w:t>. وأنشئت منصة تدريبية جديدة على الإنترنت، وهي تقدم الآن أكثر من 100 دورة تدريبية، بما</w:t>
      </w:r>
      <w:r w:rsidRPr="004F0EC4">
        <w:rPr>
          <w:rFonts w:hint="cs"/>
          <w:rtl/>
        </w:rPr>
        <w:t> </w:t>
      </w:r>
      <w:r w:rsidRPr="004F0EC4">
        <w:rPr>
          <w:rtl/>
        </w:rPr>
        <w:t>في ذلك دورة في لغة الإشارة الشيلية.</w:t>
      </w:r>
    </w:p>
    <w:p w14:paraId="1B4B060D" w14:textId="77777777" w:rsidR="00C00FE8" w:rsidRPr="004F0EC4" w:rsidRDefault="00C00FE8" w:rsidP="00C00FE8">
      <w:pPr>
        <w:pStyle w:val="SingleTxtGA"/>
      </w:pPr>
      <w:r w:rsidRPr="004F0EC4">
        <w:rPr>
          <w:rtl/>
        </w:rPr>
        <w:t>82-</w:t>
      </w:r>
      <w:r w:rsidRPr="004F0EC4">
        <w:rPr>
          <w:rtl/>
        </w:rPr>
        <w:tab/>
        <w:t>ونظمت السلطة القضائية أنشطة توعية داخلية على مختلف مستويات الجهاز القضائي فيما</w:t>
      </w:r>
      <w:r w:rsidRPr="004F0EC4">
        <w:rPr>
          <w:rFonts w:hint="cs"/>
          <w:rtl/>
        </w:rPr>
        <w:t> </w:t>
      </w:r>
      <w:r w:rsidRPr="004F0EC4">
        <w:rPr>
          <w:rtl/>
        </w:rPr>
        <w:t>يتعلق بكيفية التعامل مع مسائل الإعاقة وضمان الاستخدام الصحيح للغة الشاملة. وأُدخلت تحسينات على إجراءات الاختيار والتوظيف لتسهيل تقديم الطلبات وإتمام الاختبارات النفسية والمعرفية، كما تُعطى الآن</w:t>
      </w:r>
      <w:r w:rsidRPr="004F0EC4">
        <w:rPr>
          <w:rFonts w:hint="cs"/>
          <w:rtl/>
        </w:rPr>
        <w:t> </w:t>
      </w:r>
      <w:r w:rsidRPr="004F0EC4">
        <w:rPr>
          <w:rtl/>
        </w:rPr>
        <w:t xml:space="preserve">الأفضلية للأشخاص ذوي الإعاقة في هذه </w:t>
      </w:r>
      <w:proofErr w:type="gramStart"/>
      <w:r w:rsidRPr="004F0EC4">
        <w:rPr>
          <w:rtl/>
        </w:rPr>
        <w:t>الإجراءات</w:t>
      </w:r>
      <w:r w:rsidRPr="004F0EC4">
        <w:rPr>
          <w:vertAlign w:val="superscript"/>
          <w:rtl/>
        </w:rPr>
        <w:t>(</w:t>
      </w:r>
      <w:proofErr w:type="gramEnd"/>
      <w:r w:rsidRPr="004F0EC4">
        <w:rPr>
          <w:vertAlign w:val="superscript"/>
          <w:rtl/>
        </w:rPr>
        <w:footnoteReference w:id="145"/>
      </w:r>
      <w:r w:rsidRPr="004F0EC4">
        <w:rPr>
          <w:vertAlign w:val="superscript"/>
          <w:rtl/>
        </w:rPr>
        <w:t>)</w:t>
      </w:r>
      <w:r w:rsidRPr="004F0EC4">
        <w:rPr>
          <w:rtl/>
        </w:rPr>
        <w:t>. وبعد إقرار القانون رقم 20-957</w:t>
      </w:r>
      <w:r w:rsidRPr="004F0EC4">
        <w:rPr>
          <w:vertAlign w:val="superscript"/>
          <w:rtl/>
        </w:rPr>
        <w:t>(</w:t>
      </w:r>
      <w:r w:rsidRPr="004F0EC4">
        <w:rPr>
          <w:vertAlign w:val="superscript"/>
          <w:rtl/>
        </w:rPr>
        <w:footnoteReference w:id="146"/>
      </w:r>
      <w:r w:rsidRPr="004F0EC4">
        <w:rPr>
          <w:vertAlign w:val="superscript"/>
          <w:rtl/>
        </w:rPr>
        <w:t>)</w:t>
      </w:r>
      <w:r w:rsidRPr="004F0EC4">
        <w:rPr>
          <w:rtl/>
        </w:rPr>
        <w:t>، أصبح من الممكن تعيين الأشخاص ذوي الإعاقة في مناصب كمنصب القاضي أو كاتب العدل، حيث سُجلت خمس حالات من هذا القبيل في مستويات دنيا من السلك القضائي وأربع حالات بين الموظفين القضائيين المساعدين.</w:t>
      </w:r>
    </w:p>
    <w:p w14:paraId="2833DD31" w14:textId="77777777" w:rsidR="00C00FE8" w:rsidRPr="004F0EC4" w:rsidRDefault="00C00FE8" w:rsidP="00C00FE8">
      <w:pPr>
        <w:pStyle w:val="SingleTxtGA"/>
      </w:pPr>
      <w:r w:rsidRPr="004F0EC4">
        <w:rPr>
          <w:rtl/>
        </w:rPr>
        <w:t>83-</w:t>
      </w:r>
      <w:r w:rsidRPr="004F0EC4">
        <w:rPr>
          <w:rtl/>
        </w:rPr>
        <w:tab/>
        <w:t xml:space="preserve">ومنذ عام 2017، تقوم النيابة العامة بتقديم دورات تدريبية للموظفين حول الشمولية في مكان </w:t>
      </w:r>
      <w:r w:rsidRPr="004F0EC4">
        <w:rPr>
          <w:spacing w:val="-2"/>
          <w:rtl/>
        </w:rPr>
        <w:t>العمل. فقد تلقى موظفو قسم شؤون الموظفين ووحدة التخطيط الاستراتيجي والتنسيق التابعة لمكتب المدعي</w:t>
      </w:r>
      <w:r w:rsidRPr="004F0EC4">
        <w:rPr>
          <w:rtl/>
        </w:rPr>
        <w:t xml:space="preserve"> العام للدولة تدريباً، كما عُقدت حلقة عمل وطنية حول الموارد البشرية. وفي كانون الأول/ديسمبر 2017، اعتمدت لوائح تتضمن المعايير والإجراءات اللازمة لامتثال القانون المتعلق بإدماج الأشخاص ذوي الإعاقة في سوق </w:t>
      </w:r>
      <w:proofErr w:type="gramStart"/>
      <w:r w:rsidRPr="004F0EC4">
        <w:rPr>
          <w:rtl/>
        </w:rPr>
        <w:t>العمل</w:t>
      </w:r>
      <w:r w:rsidRPr="004F0EC4">
        <w:rPr>
          <w:vertAlign w:val="superscript"/>
          <w:rtl/>
        </w:rPr>
        <w:t>(</w:t>
      </w:r>
      <w:proofErr w:type="gramEnd"/>
      <w:r w:rsidRPr="004F0EC4">
        <w:rPr>
          <w:vertAlign w:val="superscript"/>
          <w:rtl/>
        </w:rPr>
        <w:footnoteReference w:id="147"/>
      </w:r>
      <w:r w:rsidRPr="004F0EC4">
        <w:rPr>
          <w:vertAlign w:val="superscript"/>
          <w:rtl/>
        </w:rPr>
        <w:t>)</w:t>
      </w:r>
      <w:r w:rsidRPr="004F0EC4">
        <w:rPr>
          <w:rtl/>
        </w:rPr>
        <w:t>. وأكمل أشخاص من ذوي الإعاقة تدريبات مهنية بعد توفير التسهيلات المعقولة لهم. واستمرت جهود تدريب الموظفين وبناء العلاقات المؤسسية خلال عام 2018، كما أنشئ فريق عمل معني بالاندماج، ونُشر دليل حول اندماج الأشخاص ذوي الإعاقة في مكان العمل.</w:t>
      </w:r>
    </w:p>
    <w:p w14:paraId="68B96AAE" w14:textId="77777777" w:rsidR="00C00FE8" w:rsidRPr="004F0EC4" w:rsidRDefault="00C00FE8" w:rsidP="00C00FE8">
      <w:pPr>
        <w:pStyle w:val="SingleTxtGA"/>
      </w:pPr>
      <w:r w:rsidRPr="004F0EC4">
        <w:rPr>
          <w:rtl/>
        </w:rPr>
        <w:lastRenderedPageBreak/>
        <w:t>84-</w:t>
      </w:r>
      <w:r w:rsidRPr="004F0EC4">
        <w:rPr>
          <w:rtl/>
        </w:rPr>
        <w:tab/>
        <w:t xml:space="preserve">وفي عام 2019، نظمت النيابة العامة 19 حواراً داخلياً حول إشراك الأشخاص ذوي الإعاقة، حضرها 336 من المدعين العامين والموظفين، كما طورت أدواتها التقنية وأجرت مراجعة للوظائف في ضوء المواصفات الوظيفية. واقتنيت المعدات لضمان توفير الترتيبات التيسيرية المعقولة. وخلال أسبوع </w:t>
      </w:r>
      <w:r w:rsidRPr="004F0EC4">
        <w:rPr>
          <w:spacing w:val="-4"/>
          <w:rtl/>
        </w:rPr>
        <w:t>مخصص للإدماج، وُزعت رسوم بيانية وعقدت أربع دورات تدريبية بدعم من الدائرة الوطنية لشؤون الأشخاص</w:t>
      </w:r>
      <w:r w:rsidRPr="004F0EC4">
        <w:rPr>
          <w:rtl/>
        </w:rPr>
        <w:t xml:space="preserve"> ذوي الإعاقة. ونُظمت 15 حلقة عمل للتوعية في مكاتب المدعي العام </w:t>
      </w:r>
      <w:proofErr w:type="gramStart"/>
      <w:r w:rsidRPr="004F0EC4">
        <w:rPr>
          <w:rtl/>
        </w:rPr>
        <w:t>للدولة</w:t>
      </w:r>
      <w:r w:rsidRPr="004F0EC4">
        <w:rPr>
          <w:vertAlign w:val="superscript"/>
          <w:rtl/>
        </w:rPr>
        <w:t>(</w:t>
      </w:r>
      <w:proofErr w:type="gramEnd"/>
      <w:r w:rsidRPr="004F0EC4">
        <w:rPr>
          <w:vertAlign w:val="superscript"/>
          <w:rtl/>
        </w:rPr>
        <w:footnoteReference w:id="148"/>
      </w:r>
      <w:r w:rsidRPr="004F0EC4">
        <w:rPr>
          <w:vertAlign w:val="superscript"/>
          <w:rtl/>
        </w:rPr>
        <w:t>)</w:t>
      </w:r>
      <w:r w:rsidRPr="004F0EC4">
        <w:rPr>
          <w:rtl/>
        </w:rPr>
        <w:t>. وفي عام 2020، عُين</w:t>
      </w:r>
      <w:r w:rsidRPr="004F0EC4">
        <w:rPr>
          <w:rFonts w:hint="cs"/>
          <w:rtl/>
        </w:rPr>
        <w:t> </w:t>
      </w:r>
      <w:r w:rsidRPr="004F0EC4">
        <w:rPr>
          <w:rtl/>
        </w:rPr>
        <w:t>مسؤول إقليمي لشؤون الإدماج في كل مكتب من مكاتب المدعي العام للدولة ليكون بمثابة مرجع</w:t>
      </w:r>
      <w:r w:rsidRPr="004F0EC4">
        <w:rPr>
          <w:rFonts w:hint="cs"/>
          <w:rtl/>
        </w:rPr>
        <w:t> </w:t>
      </w:r>
      <w:r w:rsidRPr="004F0EC4">
        <w:rPr>
          <w:rtl/>
        </w:rPr>
        <w:t xml:space="preserve">متخصص لكل وحدة من وحدات شؤون الموظفين ولتقديم المساعدة في المسائل المتعلقة بالإدماج، فضلاً عن تقديم الدعم للموظفين ذوي الإعاقة. وقُدم تدريب لما مجموعه 176 من المدعين العامين </w:t>
      </w:r>
      <w:proofErr w:type="gramStart"/>
      <w:r w:rsidRPr="004F0EC4">
        <w:rPr>
          <w:rtl/>
        </w:rPr>
        <w:t>والموظفين</w:t>
      </w:r>
      <w:r w:rsidRPr="004F0EC4">
        <w:rPr>
          <w:vertAlign w:val="superscript"/>
          <w:rtl/>
        </w:rPr>
        <w:t>(</w:t>
      </w:r>
      <w:proofErr w:type="gramEnd"/>
      <w:r w:rsidRPr="004F0EC4">
        <w:rPr>
          <w:vertAlign w:val="superscript"/>
          <w:rtl/>
        </w:rPr>
        <w:footnoteReference w:id="149"/>
      </w:r>
      <w:r w:rsidRPr="004F0EC4">
        <w:rPr>
          <w:vertAlign w:val="superscript"/>
          <w:rtl/>
        </w:rPr>
        <w:t>)</w:t>
      </w:r>
      <w:r w:rsidRPr="004F0EC4">
        <w:rPr>
          <w:rtl/>
        </w:rPr>
        <w:t>. وفي عام 2022، اعتمدت النيابة العامة سياستها الخاصة بالإدماج والتنوع.</w:t>
      </w:r>
    </w:p>
    <w:p w14:paraId="2C3E72CC" w14:textId="77777777" w:rsidR="00C00FE8" w:rsidRPr="004F0EC4" w:rsidRDefault="00C00FE8" w:rsidP="00C00FE8">
      <w:pPr>
        <w:pStyle w:val="SingleTxtGA"/>
      </w:pPr>
      <w:r w:rsidRPr="004F0EC4">
        <w:rPr>
          <w:rtl/>
        </w:rPr>
        <w:t>85-</w:t>
      </w:r>
      <w:r w:rsidRPr="004F0EC4">
        <w:rPr>
          <w:rtl/>
        </w:rPr>
        <w:tab/>
        <w:t>وفي إطار برنامج المساعدة القانونية، تقوم وكالات المساعدة القانونية بتنظيم محاضرات وندوات ودورات تدريبية وأنشطة أخرى مماثلة والمشاركة فيها، بهدف التوعية بحقوق الأشخاص ذوي الإعاقة، على النحو المنصوص عليه و/أو المكرس في الاتفاقية وفي القانون رقم 20-422</w:t>
      </w:r>
      <w:r w:rsidRPr="004F0EC4">
        <w:rPr>
          <w:vertAlign w:val="superscript"/>
          <w:rtl/>
        </w:rPr>
        <w:t>(</w:t>
      </w:r>
      <w:r w:rsidRPr="004F0EC4">
        <w:rPr>
          <w:vertAlign w:val="superscript"/>
          <w:rtl/>
        </w:rPr>
        <w:footnoteReference w:id="150"/>
      </w:r>
      <w:r w:rsidRPr="004F0EC4">
        <w:rPr>
          <w:vertAlign w:val="superscript"/>
          <w:rtl/>
        </w:rPr>
        <w:t>)</w:t>
      </w:r>
      <w:r w:rsidRPr="004F0EC4">
        <w:rPr>
          <w:rtl/>
        </w:rPr>
        <w:t xml:space="preserve">. ويجري حالياً وضع </w:t>
      </w:r>
      <w:r w:rsidRPr="004F0EC4">
        <w:rPr>
          <w:spacing w:val="-2"/>
          <w:rtl/>
        </w:rPr>
        <w:t>بروتوكول لمساعدة المستعملين ذوي الإعاقة. وفي وكالات المساعدة القانونية، تُعتبر الإعاقة سبباً للحصول</w:t>
      </w:r>
      <w:r w:rsidRPr="004F0EC4">
        <w:rPr>
          <w:rtl/>
        </w:rPr>
        <w:t xml:space="preserve"> على المساعدة ذات الأولوية والتفضيلية وغير الموجهة.</w:t>
      </w:r>
    </w:p>
    <w:p w14:paraId="72C6D0ED" w14:textId="77777777" w:rsidR="00C00FE8" w:rsidRPr="004F0EC4" w:rsidRDefault="00C00FE8" w:rsidP="00C00FE8">
      <w:pPr>
        <w:pStyle w:val="SingleTxtGA"/>
      </w:pPr>
      <w:r w:rsidRPr="004F0EC4">
        <w:rPr>
          <w:rtl/>
        </w:rPr>
        <w:t>86-</w:t>
      </w:r>
      <w:r w:rsidRPr="004F0EC4">
        <w:rPr>
          <w:rtl/>
        </w:rPr>
        <w:tab/>
        <w:t>وفيما يلي بيانات عن أنشطة وكالات المساعدة القانونية الأربع:</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4400"/>
        <w:gridCol w:w="712"/>
        <w:gridCol w:w="797"/>
        <w:gridCol w:w="773"/>
        <w:gridCol w:w="688"/>
      </w:tblGrid>
      <w:tr w:rsidR="00C00FE8" w:rsidRPr="004F0EC4" w14:paraId="0A84EA00" w14:textId="77777777" w:rsidTr="00D926CD">
        <w:trPr>
          <w:trHeight w:val="240"/>
          <w:tblHeader/>
        </w:trPr>
        <w:tc>
          <w:tcPr>
            <w:tcW w:w="5400" w:type="dxa"/>
            <w:tcBorders>
              <w:top w:val="single" w:sz="4" w:space="0" w:color="auto"/>
              <w:bottom w:val="single" w:sz="12" w:space="0" w:color="auto"/>
            </w:tcBorders>
            <w:tcMar>
              <w:top w:w="0" w:type="dxa"/>
              <w:left w:w="0" w:type="dxa"/>
              <w:bottom w:w="0" w:type="dxa"/>
              <w:right w:w="0" w:type="dxa"/>
            </w:tcMar>
            <w:vAlign w:val="bottom"/>
          </w:tcPr>
          <w:p w14:paraId="504A059D"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i/>
                <w:szCs w:val="20"/>
                <w:lang w:eastAsia="zh-TW"/>
              </w:rPr>
            </w:pPr>
            <w:r w:rsidRPr="004F0EC4">
              <w:rPr>
                <w:rFonts w:hAnsi="Times New Roman"/>
                <w:i/>
                <w:iCs/>
                <w:szCs w:val="20"/>
                <w:rtl/>
              </w:rPr>
              <w:t>العمل في مجال الدفاع عن الحقوق</w:t>
            </w:r>
          </w:p>
        </w:tc>
        <w:tc>
          <w:tcPr>
            <w:tcW w:w="870" w:type="dxa"/>
            <w:tcBorders>
              <w:top w:val="single" w:sz="4" w:space="0" w:color="auto"/>
              <w:bottom w:val="single" w:sz="12" w:space="0" w:color="auto"/>
            </w:tcBorders>
            <w:tcMar>
              <w:top w:w="0" w:type="dxa"/>
              <w:left w:w="0" w:type="dxa"/>
              <w:bottom w:w="0" w:type="dxa"/>
              <w:right w:w="0" w:type="dxa"/>
            </w:tcMar>
            <w:vAlign w:val="bottom"/>
          </w:tcPr>
          <w:p w14:paraId="42C63911"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i/>
                <w:szCs w:val="20"/>
                <w:lang w:eastAsia="zh-TW"/>
              </w:rPr>
            </w:pPr>
            <w:r w:rsidRPr="004F0EC4">
              <w:rPr>
                <w:rFonts w:hAnsi="Times New Roman"/>
                <w:i/>
                <w:iCs/>
                <w:szCs w:val="20"/>
                <w:rtl/>
              </w:rPr>
              <w:t>2018</w:t>
            </w:r>
          </w:p>
        </w:tc>
        <w:tc>
          <w:tcPr>
            <w:tcW w:w="975" w:type="dxa"/>
            <w:tcBorders>
              <w:top w:val="single" w:sz="4" w:space="0" w:color="auto"/>
              <w:bottom w:val="single" w:sz="12" w:space="0" w:color="auto"/>
            </w:tcBorders>
            <w:tcMar>
              <w:top w:w="0" w:type="dxa"/>
              <w:left w:w="0" w:type="dxa"/>
              <w:bottom w:w="0" w:type="dxa"/>
              <w:right w:w="0" w:type="dxa"/>
            </w:tcMar>
            <w:vAlign w:val="bottom"/>
          </w:tcPr>
          <w:p w14:paraId="498823A2"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i/>
                <w:szCs w:val="20"/>
                <w:lang w:eastAsia="zh-TW"/>
              </w:rPr>
            </w:pPr>
            <w:r w:rsidRPr="004F0EC4">
              <w:rPr>
                <w:rFonts w:hAnsi="Times New Roman"/>
                <w:i/>
                <w:iCs/>
                <w:szCs w:val="20"/>
                <w:rtl/>
              </w:rPr>
              <w:t>2019</w:t>
            </w:r>
          </w:p>
        </w:tc>
        <w:tc>
          <w:tcPr>
            <w:tcW w:w="945" w:type="dxa"/>
            <w:tcBorders>
              <w:top w:val="single" w:sz="4" w:space="0" w:color="auto"/>
              <w:bottom w:val="single" w:sz="12" w:space="0" w:color="auto"/>
            </w:tcBorders>
            <w:tcMar>
              <w:top w:w="0" w:type="dxa"/>
              <w:left w:w="0" w:type="dxa"/>
              <w:bottom w:w="0" w:type="dxa"/>
              <w:right w:w="0" w:type="dxa"/>
            </w:tcMar>
            <w:vAlign w:val="bottom"/>
          </w:tcPr>
          <w:p w14:paraId="06CBCB42"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i/>
                <w:szCs w:val="20"/>
                <w:lang w:eastAsia="zh-TW"/>
              </w:rPr>
            </w:pPr>
            <w:r w:rsidRPr="004F0EC4">
              <w:rPr>
                <w:rFonts w:hAnsi="Times New Roman"/>
                <w:i/>
                <w:iCs/>
                <w:szCs w:val="20"/>
                <w:rtl/>
              </w:rPr>
              <w:t>2020</w:t>
            </w:r>
          </w:p>
        </w:tc>
        <w:tc>
          <w:tcPr>
            <w:tcW w:w="840" w:type="dxa"/>
            <w:tcBorders>
              <w:top w:val="single" w:sz="4" w:space="0" w:color="auto"/>
              <w:bottom w:val="single" w:sz="12" w:space="0" w:color="auto"/>
            </w:tcBorders>
            <w:tcMar>
              <w:top w:w="0" w:type="dxa"/>
              <w:left w:w="0" w:type="dxa"/>
              <w:bottom w:w="0" w:type="dxa"/>
              <w:right w:w="0" w:type="dxa"/>
            </w:tcMar>
            <w:vAlign w:val="bottom"/>
          </w:tcPr>
          <w:p w14:paraId="53414871"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i/>
                <w:szCs w:val="20"/>
                <w:lang w:eastAsia="zh-TW"/>
              </w:rPr>
            </w:pPr>
            <w:r w:rsidRPr="004F0EC4">
              <w:rPr>
                <w:rFonts w:hAnsi="Times New Roman"/>
                <w:i/>
                <w:iCs/>
                <w:szCs w:val="20"/>
                <w:rtl/>
              </w:rPr>
              <w:t>2021</w:t>
            </w:r>
          </w:p>
        </w:tc>
      </w:tr>
      <w:tr w:rsidR="00C00FE8" w:rsidRPr="004F0EC4" w14:paraId="5189A02C" w14:textId="77777777" w:rsidTr="00D926CD">
        <w:trPr>
          <w:trHeight w:val="240"/>
        </w:trPr>
        <w:tc>
          <w:tcPr>
            <w:tcW w:w="5400" w:type="dxa"/>
            <w:tcBorders>
              <w:top w:val="single" w:sz="12" w:space="0" w:color="auto"/>
            </w:tcBorders>
            <w:tcMar>
              <w:top w:w="0" w:type="dxa"/>
              <w:left w:w="0" w:type="dxa"/>
              <w:bottom w:w="0" w:type="dxa"/>
              <w:right w:w="0" w:type="dxa"/>
            </w:tcMar>
          </w:tcPr>
          <w:p w14:paraId="2811B866"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الخدمات المقدمة</w:t>
            </w:r>
          </w:p>
        </w:tc>
        <w:tc>
          <w:tcPr>
            <w:tcW w:w="870" w:type="dxa"/>
            <w:tcBorders>
              <w:top w:val="single" w:sz="12" w:space="0" w:color="auto"/>
            </w:tcBorders>
            <w:tcMar>
              <w:top w:w="0" w:type="dxa"/>
              <w:left w:w="0" w:type="dxa"/>
              <w:bottom w:w="0" w:type="dxa"/>
              <w:right w:w="0" w:type="dxa"/>
            </w:tcMar>
            <w:vAlign w:val="bottom"/>
          </w:tcPr>
          <w:p w14:paraId="4ADBF5F3"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760 1</w:t>
            </w:r>
          </w:p>
        </w:tc>
        <w:tc>
          <w:tcPr>
            <w:tcW w:w="975" w:type="dxa"/>
            <w:tcBorders>
              <w:top w:val="single" w:sz="12" w:space="0" w:color="auto"/>
            </w:tcBorders>
            <w:tcMar>
              <w:top w:w="0" w:type="dxa"/>
              <w:left w:w="0" w:type="dxa"/>
              <w:bottom w:w="0" w:type="dxa"/>
              <w:right w:w="0" w:type="dxa"/>
            </w:tcMar>
            <w:vAlign w:val="bottom"/>
          </w:tcPr>
          <w:p w14:paraId="73773D65"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812 1</w:t>
            </w:r>
          </w:p>
        </w:tc>
        <w:tc>
          <w:tcPr>
            <w:tcW w:w="945" w:type="dxa"/>
            <w:tcBorders>
              <w:top w:val="single" w:sz="12" w:space="0" w:color="auto"/>
            </w:tcBorders>
            <w:tcMar>
              <w:top w:w="0" w:type="dxa"/>
              <w:left w:w="0" w:type="dxa"/>
              <w:bottom w:w="0" w:type="dxa"/>
              <w:right w:w="0" w:type="dxa"/>
            </w:tcMar>
            <w:vAlign w:val="bottom"/>
          </w:tcPr>
          <w:p w14:paraId="407B4EE4"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971 1</w:t>
            </w:r>
          </w:p>
        </w:tc>
        <w:tc>
          <w:tcPr>
            <w:tcW w:w="840" w:type="dxa"/>
            <w:tcBorders>
              <w:top w:val="single" w:sz="12" w:space="0" w:color="auto"/>
            </w:tcBorders>
            <w:tcMar>
              <w:top w:w="0" w:type="dxa"/>
              <w:left w:w="0" w:type="dxa"/>
              <w:bottom w:w="0" w:type="dxa"/>
              <w:right w:w="0" w:type="dxa"/>
            </w:tcMar>
            <w:vAlign w:val="bottom"/>
          </w:tcPr>
          <w:p w14:paraId="558E5CC4"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869 1</w:t>
            </w:r>
          </w:p>
        </w:tc>
      </w:tr>
      <w:tr w:rsidR="00C00FE8" w:rsidRPr="004F0EC4" w14:paraId="3ACF4C48" w14:textId="77777777" w:rsidTr="00D926CD">
        <w:trPr>
          <w:trHeight w:val="240"/>
        </w:trPr>
        <w:tc>
          <w:tcPr>
            <w:tcW w:w="5400" w:type="dxa"/>
            <w:tcMar>
              <w:top w:w="0" w:type="dxa"/>
              <w:left w:w="0" w:type="dxa"/>
              <w:bottom w:w="0" w:type="dxa"/>
              <w:right w:w="0" w:type="dxa"/>
            </w:tcMar>
          </w:tcPr>
          <w:p w14:paraId="27D29113"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الأشخاص الذين تلقوا التدريب</w:t>
            </w:r>
          </w:p>
        </w:tc>
        <w:tc>
          <w:tcPr>
            <w:tcW w:w="870" w:type="dxa"/>
            <w:tcMar>
              <w:top w:w="0" w:type="dxa"/>
              <w:left w:w="0" w:type="dxa"/>
              <w:bottom w:w="0" w:type="dxa"/>
              <w:right w:w="0" w:type="dxa"/>
            </w:tcMar>
            <w:vAlign w:val="bottom"/>
          </w:tcPr>
          <w:p w14:paraId="54145E9E"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726 7</w:t>
            </w:r>
          </w:p>
        </w:tc>
        <w:tc>
          <w:tcPr>
            <w:tcW w:w="975" w:type="dxa"/>
            <w:tcMar>
              <w:top w:w="0" w:type="dxa"/>
              <w:left w:w="0" w:type="dxa"/>
              <w:bottom w:w="0" w:type="dxa"/>
              <w:right w:w="0" w:type="dxa"/>
            </w:tcMar>
            <w:vAlign w:val="bottom"/>
          </w:tcPr>
          <w:p w14:paraId="2C7EAFA3"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446 5</w:t>
            </w:r>
          </w:p>
        </w:tc>
        <w:tc>
          <w:tcPr>
            <w:tcW w:w="945" w:type="dxa"/>
            <w:tcMar>
              <w:top w:w="0" w:type="dxa"/>
              <w:left w:w="0" w:type="dxa"/>
              <w:bottom w:w="0" w:type="dxa"/>
              <w:right w:w="0" w:type="dxa"/>
            </w:tcMar>
            <w:vAlign w:val="bottom"/>
          </w:tcPr>
          <w:p w14:paraId="1324CAB2"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648 8</w:t>
            </w:r>
          </w:p>
        </w:tc>
        <w:tc>
          <w:tcPr>
            <w:tcW w:w="840" w:type="dxa"/>
            <w:tcMar>
              <w:top w:w="0" w:type="dxa"/>
              <w:left w:w="0" w:type="dxa"/>
              <w:bottom w:w="0" w:type="dxa"/>
              <w:right w:w="0" w:type="dxa"/>
            </w:tcMar>
            <w:vAlign w:val="bottom"/>
          </w:tcPr>
          <w:p w14:paraId="0580D746"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199 15</w:t>
            </w:r>
          </w:p>
        </w:tc>
      </w:tr>
      <w:tr w:rsidR="00C00FE8" w:rsidRPr="004F0EC4" w14:paraId="0EADB2AD" w14:textId="77777777" w:rsidTr="00D926CD">
        <w:trPr>
          <w:trHeight w:val="240"/>
        </w:trPr>
        <w:tc>
          <w:tcPr>
            <w:tcW w:w="5400" w:type="dxa"/>
            <w:tcMar>
              <w:top w:w="0" w:type="dxa"/>
              <w:left w:w="0" w:type="dxa"/>
              <w:bottom w:w="0" w:type="dxa"/>
              <w:right w:w="0" w:type="dxa"/>
            </w:tcMar>
          </w:tcPr>
          <w:p w14:paraId="3DAE344F"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دورات تدريبية للمجتمع المدني</w:t>
            </w:r>
          </w:p>
        </w:tc>
        <w:tc>
          <w:tcPr>
            <w:tcW w:w="870" w:type="dxa"/>
            <w:tcMar>
              <w:top w:w="0" w:type="dxa"/>
              <w:left w:w="0" w:type="dxa"/>
              <w:bottom w:w="0" w:type="dxa"/>
              <w:right w:w="0" w:type="dxa"/>
            </w:tcMar>
            <w:vAlign w:val="bottom"/>
          </w:tcPr>
          <w:p w14:paraId="5F197F7B"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255</w:t>
            </w:r>
          </w:p>
        </w:tc>
        <w:tc>
          <w:tcPr>
            <w:tcW w:w="975" w:type="dxa"/>
            <w:tcMar>
              <w:top w:w="0" w:type="dxa"/>
              <w:left w:w="0" w:type="dxa"/>
              <w:bottom w:w="0" w:type="dxa"/>
              <w:right w:w="0" w:type="dxa"/>
            </w:tcMar>
            <w:vAlign w:val="bottom"/>
          </w:tcPr>
          <w:p w14:paraId="703C8825"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199</w:t>
            </w:r>
          </w:p>
        </w:tc>
        <w:tc>
          <w:tcPr>
            <w:tcW w:w="945" w:type="dxa"/>
            <w:tcMar>
              <w:top w:w="0" w:type="dxa"/>
              <w:left w:w="0" w:type="dxa"/>
              <w:bottom w:w="0" w:type="dxa"/>
              <w:right w:w="0" w:type="dxa"/>
            </w:tcMar>
            <w:vAlign w:val="bottom"/>
          </w:tcPr>
          <w:p w14:paraId="5D3FD3F3"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175</w:t>
            </w:r>
          </w:p>
        </w:tc>
        <w:tc>
          <w:tcPr>
            <w:tcW w:w="840" w:type="dxa"/>
            <w:tcMar>
              <w:top w:w="0" w:type="dxa"/>
              <w:left w:w="0" w:type="dxa"/>
              <w:bottom w:w="0" w:type="dxa"/>
              <w:right w:w="0" w:type="dxa"/>
            </w:tcMar>
            <w:vAlign w:val="bottom"/>
          </w:tcPr>
          <w:p w14:paraId="74B2E951"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217</w:t>
            </w:r>
          </w:p>
        </w:tc>
      </w:tr>
      <w:tr w:rsidR="00C00FE8" w:rsidRPr="004F0EC4" w14:paraId="0780089B" w14:textId="77777777" w:rsidTr="00D926CD">
        <w:trPr>
          <w:trHeight w:val="240"/>
        </w:trPr>
        <w:tc>
          <w:tcPr>
            <w:tcW w:w="5400" w:type="dxa"/>
            <w:tcMar>
              <w:top w:w="0" w:type="dxa"/>
              <w:left w:w="0" w:type="dxa"/>
              <w:bottom w:w="0" w:type="dxa"/>
              <w:right w:w="0" w:type="dxa"/>
            </w:tcMar>
          </w:tcPr>
          <w:p w14:paraId="38AC6034"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دورات تدريبية لأفراد الوظيفة العامة</w:t>
            </w:r>
          </w:p>
        </w:tc>
        <w:tc>
          <w:tcPr>
            <w:tcW w:w="870" w:type="dxa"/>
            <w:tcMar>
              <w:top w:w="0" w:type="dxa"/>
              <w:left w:w="0" w:type="dxa"/>
              <w:bottom w:w="0" w:type="dxa"/>
              <w:right w:w="0" w:type="dxa"/>
            </w:tcMar>
            <w:vAlign w:val="bottom"/>
          </w:tcPr>
          <w:p w14:paraId="47F37E10"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134</w:t>
            </w:r>
          </w:p>
        </w:tc>
        <w:tc>
          <w:tcPr>
            <w:tcW w:w="975" w:type="dxa"/>
            <w:tcMar>
              <w:top w:w="0" w:type="dxa"/>
              <w:left w:w="0" w:type="dxa"/>
              <w:bottom w:w="0" w:type="dxa"/>
              <w:right w:w="0" w:type="dxa"/>
            </w:tcMar>
            <w:vAlign w:val="bottom"/>
          </w:tcPr>
          <w:p w14:paraId="6337F71D"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108</w:t>
            </w:r>
          </w:p>
        </w:tc>
        <w:tc>
          <w:tcPr>
            <w:tcW w:w="945" w:type="dxa"/>
            <w:tcMar>
              <w:top w:w="0" w:type="dxa"/>
              <w:left w:w="0" w:type="dxa"/>
              <w:bottom w:w="0" w:type="dxa"/>
              <w:right w:w="0" w:type="dxa"/>
            </w:tcMar>
            <w:vAlign w:val="bottom"/>
          </w:tcPr>
          <w:p w14:paraId="7510026D"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102</w:t>
            </w:r>
          </w:p>
        </w:tc>
        <w:tc>
          <w:tcPr>
            <w:tcW w:w="840" w:type="dxa"/>
            <w:tcMar>
              <w:top w:w="0" w:type="dxa"/>
              <w:left w:w="0" w:type="dxa"/>
              <w:bottom w:w="0" w:type="dxa"/>
              <w:right w:w="0" w:type="dxa"/>
            </w:tcMar>
            <w:vAlign w:val="bottom"/>
          </w:tcPr>
          <w:p w14:paraId="023A0936"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151</w:t>
            </w:r>
          </w:p>
        </w:tc>
      </w:tr>
      <w:tr w:rsidR="00C00FE8" w:rsidRPr="004F0EC4" w14:paraId="7D96986D" w14:textId="77777777" w:rsidTr="00D926CD">
        <w:trPr>
          <w:trHeight w:val="240"/>
        </w:trPr>
        <w:tc>
          <w:tcPr>
            <w:tcW w:w="5400" w:type="dxa"/>
            <w:tcMar>
              <w:top w:w="0" w:type="dxa"/>
              <w:left w:w="0" w:type="dxa"/>
              <w:bottom w:w="0" w:type="dxa"/>
              <w:right w:w="0" w:type="dxa"/>
            </w:tcMar>
          </w:tcPr>
          <w:p w14:paraId="55D6C753"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الموظفين العموميين المدربين</w:t>
            </w:r>
          </w:p>
        </w:tc>
        <w:tc>
          <w:tcPr>
            <w:tcW w:w="870" w:type="dxa"/>
            <w:tcMar>
              <w:top w:w="0" w:type="dxa"/>
              <w:left w:w="0" w:type="dxa"/>
              <w:bottom w:w="0" w:type="dxa"/>
              <w:right w:w="0" w:type="dxa"/>
            </w:tcMar>
            <w:vAlign w:val="bottom"/>
          </w:tcPr>
          <w:p w14:paraId="2BA9A1A5"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245 3</w:t>
            </w:r>
          </w:p>
        </w:tc>
        <w:tc>
          <w:tcPr>
            <w:tcW w:w="975" w:type="dxa"/>
            <w:tcMar>
              <w:top w:w="0" w:type="dxa"/>
              <w:left w:w="0" w:type="dxa"/>
              <w:bottom w:w="0" w:type="dxa"/>
              <w:right w:w="0" w:type="dxa"/>
            </w:tcMar>
            <w:vAlign w:val="bottom"/>
          </w:tcPr>
          <w:p w14:paraId="25AB1414"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173 2</w:t>
            </w:r>
          </w:p>
        </w:tc>
        <w:tc>
          <w:tcPr>
            <w:tcW w:w="945" w:type="dxa"/>
            <w:tcMar>
              <w:top w:w="0" w:type="dxa"/>
              <w:left w:w="0" w:type="dxa"/>
              <w:bottom w:w="0" w:type="dxa"/>
              <w:right w:w="0" w:type="dxa"/>
            </w:tcMar>
            <w:vAlign w:val="bottom"/>
          </w:tcPr>
          <w:p w14:paraId="2F2E14A4"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576 1</w:t>
            </w:r>
          </w:p>
        </w:tc>
        <w:tc>
          <w:tcPr>
            <w:tcW w:w="840" w:type="dxa"/>
            <w:tcMar>
              <w:top w:w="0" w:type="dxa"/>
              <w:left w:w="0" w:type="dxa"/>
              <w:bottom w:w="0" w:type="dxa"/>
              <w:right w:w="0" w:type="dxa"/>
            </w:tcMar>
            <w:vAlign w:val="bottom"/>
          </w:tcPr>
          <w:p w14:paraId="15DA9519"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427 3</w:t>
            </w:r>
          </w:p>
        </w:tc>
      </w:tr>
      <w:tr w:rsidR="00C00FE8" w:rsidRPr="004F0EC4" w14:paraId="0829168E" w14:textId="77777777" w:rsidTr="00D926CD">
        <w:trPr>
          <w:trHeight w:val="240"/>
        </w:trPr>
        <w:tc>
          <w:tcPr>
            <w:tcW w:w="5400" w:type="dxa"/>
            <w:tcMar>
              <w:top w:w="0" w:type="dxa"/>
              <w:left w:w="0" w:type="dxa"/>
              <w:bottom w:w="0" w:type="dxa"/>
              <w:right w:w="0" w:type="dxa"/>
            </w:tcMar>
          </w:tcPr>
          <w:p w14:paraId="15627E38"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الدورات التدريبية في وكالات المساعدة القانونية</w:t>
            </w:r>
          </w:p>
        </w:tc>
        <w:tc>
          <w:tcPr>
            <w:tcW w:w="870" w:type="dxa"/>
            <w:tcMar>
              <w:top w:w="0" w:type="dxa"/>
              <w:left w:w="0" w:type="dxa"/>
              <w:bottom w:w="0" w:type="dxa"/>
              <w:right w:w="0" w:type="dxa"/>
            </w:tcMar>
            <w:vAlign w:val="bottom"/>
          </w:tcPr>
          <w:p w14:paraId="7E90DE1E"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54</w:t>
            </w:r>
          </w:p>
        </w:tc>
        <w:tc>
          <w:tcPr>
            <w:tcW w:w="975" w:type="dxa"/>
            <w:tcMar>
              <w:top w:w="0" w:type="dxa"/>
              <w:left w:w="0" w:type="dxa"/>
              <w:bottom w:w="0" w:type="dxa"/>
              <w:right w:w="0" w:type="dxa"/>
            </w:tcMar>
            <w:vAlign w:val="bottom"/>
          </w:tcPr>
          <w:p w14:paraId="16A61272"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59</w:t>
            </w:r>
          </w:p>
        </w:tc>
        <w:tc>
          <w:tcPr>
            <w:tcW w:w="945" w:type="dxa"/>
            <w:tcMar>
              <w:top w:w="0" w:type="dxa"/>
              <w:left w:w="0" w:type="dxa"/>
              <w:bottom w:w="0" w:type="dxa"/>
              <w:right w:w="0" w:type="dxa"/>
            </w:tcMar>
            <w:vAlign w:val="bottom"/>
          </w:tcPr>
          <w:p w14:paraId="7C1E6877"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56</w:t>
            </w:r>
          </w:p>
        </w:tc>
        <w:tc>
          <w:tcPr>
            <w:tcW w:w="840" w:type="dxa"/>
            <w:tcMar>
              <w:top w:w="0" w:type="dxa"/>
              <w:left w:w="0" w:type="dxa"/>
              <w:bottom w:w="0" w:type="dxa"/>
              <w:right w:w="0" w:type="dxa"/>
            </w:tcMar>
            <w:vAlign w:val="bottom"/>
          </w:tcPr>
          <w:p w14:paraId="359AA141"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44</w:t>
            </w:r>
          </w:p>
        </w:tc>
      </w:tr>
      <w:tr w:rsidR="00C00FE8" w:rsidRPr="004F0EC4" w14:paraId="5EFD4BE6" w14:textId="77777777" w:rsidTr="00D926CD">
        <w:trPr>
          <w:trHeight w:val="240"/>
        </w:trPr>
        <w:tc>
          <w:tcPr>
            <w:tcW w:w="5400" w:type="dxa"/>
            <w:tcMar>
              <w:top w:w="0" w:type="dxa"/>
              <w:left w:w="0" w:type="dxa"/>
              <w:bottom w:w="0" w:type="dxa"/>
              <w:right w:w="0" w:type="dxa"/>
            </w:tcMar>
          </w:tcPr>
          <w:p w14:paraId="2B52F431"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772"/>
              <w:jc w:val="lowKashida"/>
              <w:textDirection w:val="tbRlV"/>
              <w:rPr>
                <w:rFonts w:hAnsi="Times New Roman"/>
                <w:szCs w:val="20"/>
                <w:lang w:eastAsia="zh-TW"/>
              </w:rPr>
            </w:pPr>
            <w:r w:rsidRPr="004F0EC4">
              <w:rPr>
                <w:rFonts w:hAnsi="Times New Roman"/>
                <w:szCs w:val="20"/>
                <w:rtl/>
              </w:rPr>
              <w:t>الأشخاص الذين تلقوا تدريباً في وكالات المساعدة القانونية (الموظفون والمتدربون)</w:t>
            </w:r>
          </w:p>
        </w:tc>
        <w:tc>
          <w:tcPr>
            <w:tcW w:w="870" w:type="dxa"/>
            <w:tcMar>
              <w:top w:w="0" w:type="dxa"/>
              <w:left w:w="0" w:type="dxa"/>
              <w:bottom w:w="0" w:type="dxa"/>
              <w:right w:w="0" w:type="dxa"/>
            </w:tcMar>
            <w:vAlign w:val="bottom"/>
          </w:tcPr>
          <w:p w14:paraId="286ED4E4"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606 1</w:t>
            </w:r>
          </w:p>
        </w:tc>
        <w:tc>
          <w:tcPr>
            <w:tcW w:w="975" w:type="dxa"/>
            <w:tcMar>
              <w:top w:w="0" w:type="dxa"/>
              <w:left w:w="0" w:type="dxa"/>
              <w:bottom w:w="0" w:type="dxa"/>
              <w:right w:w="0" w:type="dxa"/>
            </w:tcMar>
            <w:vAlign w:val="bottom"/>
          </w:tcPr>
          <w:p w14:paraId="3EEA078B"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175 1</w:t>
            </w:r>
          </w:p>
        </w:tc>
        <w:tc>
          <w:tcPr>
            <w:tcW w:w="945" w:type="dxa"/>
            <w:tcMar>
              <w:top w:w="0" w:type="dxa"/>
              <w:left w:w="0" w:type="dxa"/>
              <w:bottom w:w="0" w:type="dxa"/>
              <w:right w:w="0" w:type="dxa"/>
            </w:tcMar>
            <w:vAlign w:val="bottom"/>
          </w:tcPr>
          <w:p w14:paraId="33303BBC"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975</w:t>
            </w:r>
          </w:p>
        </w:tc>
        <w:tc>
          <w:tcPr>
            <w:tcW w:w="840" w:type="dxa"/>
            <w:tcMar>
              <w:top w:w="0" w:type="dxa"/>
              <w:left w:w="0" w:type="dxa"/>
              <w:bottom w:w="0" w:type="dxa"/>
              <w:right w:w="0" w:type="dxa"/>
            </w:tcMar>
            <w:vAlign w:val="bottom"/>
          </w:tcPr>
          <w:p w14:paraId="5C7065C6"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956</w:t>
            </w:r>
          </w:p>
        </w:tc>
      </w:tr>
      <w:tr w:rsidR="00C00FE8" w:rsidRPr="004F0EC4" w14:paraId="34421D0B" w14:textId="77777777" w:rsidTr="00D926CD">
        <w:trPr>
          <w:trHeight w:val="240"/>
        </w:trPr>
        <w:tc>
          <w:tcPr>
            <w:tcW w:w="5400" w:type="dxa"/>
            <w:tcMar>
              <w:top w:w="0" w:type="dxa"/>
              <w:left w:w="0" w:type="dxa"/>
              <w:bottom w:w="0" w:type="dxa"/>
              <w:right w:w="0" w:type="dxa"/>
            </w:tcMar>
          </w:tcPr>
          <w:p w14:paraId="365590C5"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772"/>
              <w:jc w:val="lowKashida"/>
              <w:textDirection w:val="tbRlV"/>
              <w:rPr>
                <w:rFonts w:hAnsi="Times New Roman"/>
                <w:szCs w:val="20"/>
                <w:lang w:eastAsia="zh-TW"/>
              </w:rPr>
            </w:pPr>
            <w:r w:rsidRPr="004F0EC4">
              <w:rPr>
                <w:rFonts w:hAnsi="Times New Roman"/>
                <w:szCs w:val="20"/>
                <w:rtl/>
              </w:rPr>
              <w:t>القضايا المعالجة المتعلقة بانتهاكات و/أو تمييز على أساس الإعاقة</w:t>
            </w:r>
          </w:p>
        </w:tc>
        <w:tc>
          <w:tcPr>
            <w:tcW w:w="870" w:type="dxa"/>
            <w:tcMar>
              <w:top w:w="0" w:type="dxa"/>
              <w:left w:w="0" w:type="dxa"/>
              <w:bottom w:w="0" w:type="dxa"/>
              <w:right w:w="0" w:type="dxa"/>
            </w:tcMar>
            <w:vAlign w:val="bottom"/>
          </w:tcPr>
          <w:p w14:paraId="0B9FA3B8" w14:textId="77777777" w:rsidR="00C00FE8" w:rsidRPr="004F0EC4" w:rsidRDefault="00C00FE8" w:rsidP="00A27310">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eastAsia="zh-TW"/>
              </w:rPr>
            </w:pPr>
            <w:r w:rsidRPr="004F0EC4">
              <w:rPr>
                <w:rFonts w:hAnsi="Times New Roman"/>
                <w:szCs w:val="20"/>
                <w:rtl/>
              </w:rPr>
              <w:t>لا توجد بيانات</w:t>
            </w:r>
          </w:p>
        </w:tc>
        <w:tc>
          <w:tcPr>
            <w:tcW w:w="975" w:type="dxa"/>
            <w:tcMar>
              <w:top w:w="0" w:type="dxa"/>
              <w:left w:w="0" w:type="dxa"/>
              <w:bottom w:w="0" w:type="dxa"/>
              <w:right w:w="0" w:type="dxa"/>
            </w:tcMar>
            <w:vAlign w:val="bottom"/>
          </w:tcPr>
          <w:p w14:paraId="06588EA2" w14:textId="77777777" w:rsidR="00C00FE8" w:rsidRPr="004F0EC4" w:rsidRDefault="00C00FE8" w:rsidP="00A27310">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eastAsia="zh-TW"/>
              </w:rPr>
            </w:pPr>
            <w:r w:rsidRPr="004F0EC4">
              <w:rPr>
                <w:rFonts w:hAnsi="Times New Roman"/>
                <w:szCs w:val="20"/>
                <w:rtl/>
              </w:rPr>
              <w:t>لا توجد بيانات</w:t>
            </w:r>
          </w:p>
        </w:tc>
        <w:tc>
          <w:tcPr>
            <w:tcW w:w="945" w:type="dxa"/>
            <w:tcMar>
              <w:top w:w="0" w:type="dxa"/>
              <w:left w:w="0" w:type="dxa"/>
              <w:bottom w:w="0" w:type="dxa"/>
              <w:right w:w="0" w:type="dxa"/>
            </w:tcMar>
            <w:vAlign w:val="bottom"/>
          </w:tcPr>
          <w:p w14:paraId="0E648697"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223</w:t>
            </w:r>
          </w:p>
        </w:tc>
        <w:tc>
          <w:tcPr>
            <w:tcW w:w="840" w:type="dxa"/>
            <w:tcMar>
              <w:top w:w="0" w:type="dxa"/>
              <w:left w:w="0" w:type="dxa"/>
              <w:bottom w:w="0" w:type="dxa"/>
              <w:right w:w="0" w:type="dxa"/>
            </w:tcMar>
            <w:vAlign w:val="bottom"/>
          </w:tcPr>
          <w:p w14:paraId="418C0900"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226</w:t>
            </w:r>
          </w:p>
        </w:tc>
      </w:tr>
      <w:tr w:rsidR="00C00FE8" w:rsidRPr="004F0EC4" w14:paraId="4F17B789" w14:textId="77777777" w:rsidTr="00D926CD">
        <w:trPr>
          <w:trHeight w:val="240"/>
        </w:trPr>
        <w:tc>
          <w:tcPr>
            <w:tcW w:w="5400" w:type="dxa"/>
            <w:tcMar>
              <w:top w:w="0" w:type="dxa"/>
              <w:left w:w="0" w:type="dxa"/>
              <w:bottom w:w="0" w:type="dxa"/>
              <w:right w:w="0" w:type="dxa"/>
            </w:tcMar>
          </w:tcPr>
          <w:p w14:paraId="6760F2E1"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القضايا المرفوعة أمام المحاكم</w:t>
            </w:r>
          </w:p>
        </w:tc>
        <w:tc>
          <w:tcPr>
            <w:tcW w:w="870" w:type="dxa"/>
            <w:tcMar>
              <w:top w:w="0" w:type="dxa"/>
              <w:left w:w="0" w:type="dxa"/>
              <w:bottom w:w="0" w:type="dxa"/>
              <w:right w:w="0" w:type="dxa"/>
            </w:tcMar>
            <w:vAlign w:val="bottom"/>
          </w:tcPr>
          <w:p w14:paraId="0D52914F"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127</w:t>
            </w:r>
          </w:p>
        </w:tc>
        <w:tc>
          <w:tcPr>
            <w:tcW w:w="975" w:type="dxa"/>
            <w:tcMar>
              <w:top w:w="0" w:type="dxa"/>
              <w:left w:w="0" w:type="dxa"/>
              <w:bottom w:w="0" w:type="dxa"/>
              <w:right w:w="0" w:type="dxa"/>
            </w:tcMar>
            <w:vAlign w:val="bottom"/>
          </w:tcPr>
          <w:p w14:paraId="339D48EF"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246</w:t>
            </w:r>
          </w:p>
        </w:tc>
        <w:tc>
          <w:tcPr>
            <w:tcW w:w="945" w:type="dxa"/>
            <w:tcMar>
              <w:top w:w="0" w:type="dxa"/>
              <w:left w:w="0" w:type="dxa"/>
              <w:bottom w:w="0" w:type="dxa"/>
              <w:right w:w="0" w:type="dxa"/>
            </w:tcMar>
            <w:vAlign w:val="bottom"/>
          </w:tcPr>
          <w:p w14:paraId="3403CC5F"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300</w:t>
            </w:r>
          </w:p>
        </w:tc>
        <w:tc>
          <w:tcPr>
            <w:tcW w:w="840" w:type="dxa"/>
            <w:tcMar>
              <w:top w:w="0" w:type="dxa"/>
              <w:left w:w="0" w:type="dxa"/>
              <w:bottom w:w="0" w:type="dxa"/>
              <w:right w:w="0" w:type="dxa"/>
            </w:tcMar>
            <w:vAlign w:val="bottom"/>
          </w:tcPr>
          <w:p w14:paraId="10C4204C" w14:textId="77777777" w:rsidR="00C00FE8" w:rsidRPr="004F0EC4" w:rsidRDefault="00C00FE8" w:rsidP="00D926CD">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477</w:t>
            </w:r>
          </w:p>
        </w:tc>
      </w:tr>
    </w:tbl>
    <w:p w14:paraId="5BE8D7E3" w14:textId="77777777" w:rsidR="00C00FE8" w:rsidRPr="004F0EC4" w:rsidRDefault="00C00FE8" w:rsidP="00C00FE8">
      <w:pPr>
        <w:pStyle w:val="SingleTxtGA"/>
        <w:spacing w:before="120" w:line="300" w:lineRule="exact"/>
        <w:rPr>
          <w:sz w:val="18"/>
          <w:szCs w:val="18"/>
        </w:rPr>
      </w:pPr>
      <w:r w:rsidRPr="004F0EC4">
        <w:rPr>
          <w:i/>
          <w:iCs/>
          <w:sz w:val="18"/>
          <w:szCs w:val="18"/>
          <w:rtl/>
        </w:rPr>
        <w:t>المصدر:</w:t>
      </w:r>
      <w:r w:rsidRPr="004F0EC4">
        <w:rPr>
          <w:sz w:val="18"/>
          <w:szCs w:val="18"/>
          <w:rtl/>
        </w:rPr>
        <w:tab/>
        <w:t>الدائرة الوطنية لشؤون الإعاقة</w:t>
      </w:r>
    </w:p>
    <w:p w14:paraId="0EAF067F" w14:textId="77777777" w:rsidR="00C00FE8" w:rsidRPr="004F0EC4" w:rsidRDefault="00C00FE8" w:rsidP="00C00FE8">
      <w:pPr>
        <w:pStyle w:val="SingleTxtGA"/>
        <w:spacing w:line="350" w:lineRule="exact"/>
        <w:rPr>
          <w:spacing w:val="2"/>
        </w:rPr>
      </w:pPr>
      <w:r w:rsidRPr="004F0EC4">
        <w:rPr>
          <w:rtl/>
        </w:rPr>
        <w:t>87-</w:t>
      </w:r>
      <w:r w:rsidRPr="004F0EC4">
        <w:rPr>
          <w:rtl/>
        </w:rPr>
        <w:tab/>
      </w:r>
      <w:r w:rsidRPr="004F0EC4">
        <w:rPr>
          <w:spacing w:val="-2"/>
          <w:rtl/>
        </w:rPr>
        <w:t>وفيما يتعلق بالتسهيلات الإجرائية، تعمل الدائرة الوطنية لشؤون الأشخاص ذوي الإعاقة ووكالات</w:t>
      </w:r>
      <w:r w:rsidRPr="004F0EC4">
        <w:rPr>
          <w:rtl/>
        </w:rPr>
        <w:t xml:space="preserve"> المساعدة القانونية منذ عام 2015 على تنفيذ برنامج الوصول إلى العدالة تنفيذاً مشتركاً، ويقدم المحامون في إطار هذا البرنامج المشورة والمساعدة القانونية للأشخاص ذوي الإعاقة الذين يقعون ضحايا للتمييز المرتبط بالإعاقة و/أو يتعرضون لانتهاكات لحقوقهم. ويقدم البرنامج مشورة قانونية متخصصة ومجانية </w:t>
      </w:r>
      <w:r w:rsidRPr="004F0EC4">
        <w:rPr>
          <w:rtl/>
        </w:rPr>
        <w:lastRenderedPageBreak/>
        <w:t xml:space="preserve">للأشخاص ذوي الإعاقة، ويضمن احترام حقوقهم، واتباع الإجراءات القانونية السليمة، والاستماع </w:t>
      </w:r>
      <w:r w:rsidRPr="004F0EC4">
        <w:rPr>
          <w:spacing w:val="-2"/>
          <w:rtl/>
        </w:rPr>
        <w:t xml:space="preserve">إلى كلا </w:t>
      </w:r>
      <w:r w:rsidRPr="004F0EC4">
        <w:rPr>
          <w:spacing w:val="2"/>
          <w:rtl/>
        </w:rPr>
        <w:t>الطرفين أثناء جلسات الاستماع، وتوفير الترتيبات التيسيرية المعقولة، وتنفيذ تدابير تيسير الوصول. ويملك برنامج الوصول إلى العدالة الموارد اللازمة لتوظيف مترجمين للغة الإشارة الشيلية لمساعدة الأشخاص الصم في المحاكم وفي الإجراءات غير القضائية على السواء. وبالإضافة إلى ذلك، ينص القانون رقم</w:t>
      </w:r>
      <w:r w:rsidRPr="004F0EC4">
        <w:rPr>
          <w:rFonts w:hint="cs"/>
          <w:spacing w:val="2"/>
          <w:rtl/>
        </w:rPr>
        <w:t> </w:t>
      </w:r>
      <w:r w:rsidRPr="004F0EC4">
        <w:rPr>
          <w:spacing w:val="2"/>
          <w:rtl/>
        </w:rPr>
        <w:t>20-422</w:t>
      </w:r>
      <w:r w:rsidRPr="004F0EC4">
        <w:rPr>
          <w:spacing w:val="2"/>
          <w:vertAlign w:val="superscript"/>
          <w:rtl/>
        </w:rPr>
        <w:t>(</w:t>
      </w:r>
      <w:r w:rsidRPr="004F0EC4">
        <w:rPr>
          <w:spacing w:val="2"/>
          <w:vertAlign w:val="superscript"/>
          <w:rtl/>
        </w:rPr>
        <w:footnoteReference w:id="151"/>
      </w:r>
      <w:r w:rsidRPr="004F0EC4">
        <w:rPr>
          <w:spacing w:val="2"/>
          <w:vertAlign w:val="superscript"/>
          <w:rtl/>
        </w:rPr>
        <w:t>)</w:t>
      </w:r>
      <w:r w:rsidRPr="004F0EC4">
        <w:rPr>
          <w:spacing w:val="2"/>
          <w:rtl/>
        </w:rPr>
        <w:t xml:space="preserve"> على وجوب توفير الترتيبات التيسيرية اللازمة في محاكم الشرطة المحلية.</w:t>
      </w:r>
    </w:p>
    <w:p w14:paraId="6B98E03E" w14:textId="77777777" w:rsidR="00C00FE8" w:rsidRPr="004F0EC4" w:rsidRDefault="00C00FE8" w:rsidP="00C00FE8">
      <w:pPr>
        <w:pStyle w:val="H1GA"/>
        <w:rPr>
          <w:lang w:val="en-US"/>
        </w:rPr>
      </w:pPr>
      <w:r w:rsidRPr="004F0EC4">
        <w:rPr>
          <w:rtl/>
          <w:lang w:val="en-US"/>
        </w:rPr>
        <w:tab/>
      </w:r>
      <w:r w:rsidRPr="004F0EC4">
        <w:rPr>
          <w:rtl/>
          <w:lang w:val="en-US"/>
        </w:rPr>
        <w:tab/>
        <w:t>المادة 14</w:t>
      </w:r>
    </w:p>
    <w:p w14:paraId="62DFADDF" w14:textId="18194DEC" w:rsidR="00C00FE8" w:rsidRPr="004F0EC4" w:rsidRDefault="00C00FE8" w:rsidP="00C00FE8">
      <w:pPr>
        <w:pStyle w:val="SingleTxtGA"/>
        <w:spacing w:line="350" w:lineRule="exact"/>
      </w:pPr>
      <w:r w:rsidRPr="004F0EC4">
        <w:rPr>
          <w:rtl/>
        </w:rPr>
        <w:t>88-</w:t>
      </w:r>
      <w:r w:rsidRPr="004F0EC4">
        <w:rPr>
          <w:rtl/>
        </w:rPr>
        <w:tab/>
        <w:t>بخصوص الإيداع القسري في مؤسسات الرعاية بسبب الإعاقة، ينص القانون رقم 21-331</w:t>
      </w:r>
      <w:r w:rsidRPr="004F0EC4">
        <w:rPr>
          <w:vertAlign w:val="superscript"/>
          <w:rtl/>
        </w:rPr>
        <w:t>(</w:t>
      </w:r>
      <w:r w:rsidRPr="004F0EC4">
        <w:rPr>
          <w:vertAlign w:val="superscript"/>
          <w:rtl/>
        </w:rPr>
        <w:footnoteReference w:id="152"/>
      </w:r>
      <w:r w:rsidRPr="004F0EC4">
        <w:rPr>
          <w:vertAlign w:val="superscript"/>
          <w:rtl/>
        </w:rPr>
        <w:t>)</w:t>
      </w:r>
      <w:r w:rsidRPr="004F0EC4">
        <w:rPr>
          <w:rtl/>
        </w:rPr>
        <w:t xml:space="preserve"> على أن الإيداع في مستشفيات الأمراض العقلية إجراء استثنائي ومؤقت بطبيعته، ولا يجوز اللجوء إليه </w:t>
      </w:r>
      <w:r w:rsidR="00E22186" w:rsidRPr="004F0EC4">
        <w:rPr>
          <w:rFonts w:hint="cs"/>
          <w:rtl/>
        </w:rPr>
        <w:t>"</w:t>
      </w:r>
      <w:r w:rsidRPr="004F0EC4">
        <w:rPr>
          <w:spacing w:val="-2"/>
          <w:rtl/>
        </w:rPr>
        <w:t>لحل مشاكل اجتماعية أو سكنية أو أي مشاكل أخرى لا تتعلق في المقام الأول بالصحة</w:t>
      </w:r>
      <w:r w:rsidR="00E22186" w:rsidRPr="004F0EC4">
        <w:rPr>
          <w:rFonts w:hint="cs"/>
          <w:spacing w:val="-2"/>
          <w:rtl/>
        </w:rPr>
        <w:t>"</w:t>
      </w:r>
      <w:r w:rsidRPr="004F0EC4">
        <w:rPr>
          <w:spacing w:val="-2"/>
          <w:rtl/>
        </w:rPr>
        <w:t>. وينص القانون</w:t>
      </w:r>
      <w:r w:rsidRPr="004F0EC4">
        <w:rPr>
          <w:rtl/>
        </w:rPr>
        <w:t xml:space="preserve"> أيضاًً على أن الإيداع القسري في المستشفى ينتهك حق الشخص في الحرية، ولذا فلا يُسمح به إلا عندما </w:t>
      </w:r>
      <w:r w:rsidRPr="004F0EC4">
        <w:rPr>
          <w:spacing w:val="-4"/>
          <w:rtl/>
        </w:rPr>
        <w:t xml:space="preserve">يتعذر العلاج في عيادة خارجية، وعندما يكون هناك خطر حقيقي ومؤكد ووشيك على حياة </w:t>
      </w:r>
      <w:proofErr w:type="gramStart"/>
      <w:r w:rsidRPr="004F0EC4">
        <w:rPr>
          <w:spacing w:val="-4"/>
          <w:rtl/>
        </w:rPr>
        <w:t>الشخص</w:t>
      </w:r>
      <w:proofErr w:type="gramEnd"/>
      <w:r w:rsidRPr="004F0EC4">
        <w:rPr>
          <w:spacing w:val="-4"/>
          <w:rtl/>
        </w:rPr>
        <w:t xml:space="preserve"> أو سلامته</w:t>
      </w:r>
      <w:r w:rsidRPr="004F0EC4">
        <w:rPr>
          <w:rtl/>
        </w:rPr>
        <w:t xml:space="preserve"> </w:t>
      </w:r>
      <w:r w:rsidRPr="004F0EC4">
        <w:rPr>
          <w:spacing w:val="-4"/>
          <w:rtl/>
        </w:rPr>
        <w:t>الجسدية أو حياة أو سلامة أطراف ثالثة. ولا يجوز بأي حال من الأحوال أن يكون الإيداع القسري في مصحة</w:t>
      </w:r>
      <w:r w:rsidRPr="004F0EC4">
        <w:rPr>
          <w:rtl/>
        </w:rPr>
        <w:t xml:space="preserve"> عقلية مستنداً إلى إعاقة الشخص.</w:t>
      </w:r>
    </w:p>
    <w:p w14:paraId="3A1E2DE3" w14:textId="22566B5C" w:rsidR="00C00FE8" w:rsidRPr="004F0EC4" w:rsidRDefault="00C00FE8" w:rsidP="00C00FE8">
      <w:pPr>
        <w:pStyle w:val="SingleTxtGA"/>
        <w:spacing w:line="350" w:lineRule="exact"/>
      </w:pPr>
      <w:r w:rsidRPr="004F0EC4">
        <w:rPr>
          <w:rtl/>
        </w:rPr>
        <w:t>89-</w:t>
      </w:r>
      <w:r w:rsidRPr="004F0EC4">
        <w:rPr>
          <w:rtl/>
        </w:rPr>
        <w:tab/>
        <w:t>وفيما يتعلق بالمسائل الجنائية، لا توجد حالياً أي مشاريع قوانين تتناول على وجه التحديد ضمانات الإجراءات القانونية السليمة أو تعديل التشريعات التي تنظم التدابير الأمنية المطبقة على الأشخاص ذوي الإعاقات الذهنية. ومع ذلك، تُعد الإعاقة الذهنية عاملاً مهماً في مشاريع القوانين التالية: (أ) مشروع القانون رقم 233 14-07</w:t>
      </w:r>
      <w:r w:rsidRPr="004F0EC4">
        <w:rPr>
          <w:vertAlign w:val="superscript"/>
          <w:rtl/>
        </w:rPr>
        <w:t>(</w:t>
      </w:r>
      <w:r w:rsidRPr="004F0EC4">
        <w:rPr>
          <w:vertAlign w:val="superscript"/>
          <w:rtl/>
        </w:rPr>
        <w:footnoteReference w:id="153"/>
      </w:r>
      <w:r w:rsidRPr="004F0EC4">
        <w:rPr>
          <w:vertAlign w:val="superscript"/>
          <w:rtl/>
        </w:rPr>
        <w:t>)</w:t>
      </w:r>
      <w:r w:rsidRPr="004F0EC4">
        <w:rPr>
          <w:rtl/>
        </w:rPr>
        <w:t xml:space="preserve">، الذي ينص على عدم جواز الاحتجاز السابق للمحاكم </w:t>
      </w:r>
      <w:r w:rsidR="00E22186" w:rsidRPr="004F0EC4">
        <w:rPr>
          <w:rFonts w:hint="cs"/>
          <w:rtl/>
        </w:rPr>
        <w:t>"</w:t>
      </w:r>
      <w:r w:rsidRPr="004F0EC4">
        <w:rPr>
          <w:rtl/>
        </w:rPr>
        <w:t>عندما</w:t>
      </w:r>
      <w:r w:rsidRPr="004F0EC4">
        <w:rPr>
          <w:rFonts w:hint="cs"/>
          <w:rtl/>
        </w:rPr>
        <w:t> </w:t>
      </w:r>
      <w:r w:rsidRPr="004F0EC4">
        <w:rPr>
          <w:rtl/>
        </w:rPr>
        <w:t>يعاني المتهم من مشاكل صحية جسدية أو عقلية خطيرة، أو كلتيهما معاً</w:t>
      </w:r>
      <w:r w:rsidR="00E22186" w:rsidRPr="004F0EC4">
        <w:rPr>
          <w:rFonts w:hint="cs"/>
          <w:rtl/>
        </w:rPr>
        <w:t>"</w:t>
      </w:r>
      <w:r w:rsidRPr="004F0EC4">
        <w:rPr>
          <w:rtl/>
        </w:rPr>
        <w:t>؛ و(ب) مشروع القانون رقم 437 14-07</w:t>
      </w:r>
      <w:r w:rsidR="00572E1D" w:rsidRPr="004F0EC4">
        <w:rPr>
          <w:vertAlign w:val="superscript"/>
          <w:rtl/>
        </w:rPr>
        <w:t>(</w:t>
      </w:r>
      <w:r w:rsidR="00572E1D" w:rsidRPr="004F0EC4">
        <w:rPr>
          <w:vertAlign w:val="superscript"/>
          <w:rtl/>
        </w:rPr>
        <w:footnoteReference w:id="154"/>
      </w:r>
      <w:r w:rsidR="00572E1D" w:rsidRPr="004F0EC4">
        <w:rPr>
          <w:vertAlign w:val="superscript"/>
          <w:rtl/>
        </w:rPr>
        <w:t>)</w:t>
      </w:r>
      <w:r w:rsidRPr="004F0EC4">
        <w:rPr>
          <w:rtl/>
        </w:rPr>
        <w:t>، الذي ينص على تخفيف الأحكام بالسجن إلى الإقامة الجبرية بالنسبة للأشخاص الذين تجاوزوا 75 عاماً وهم يعانون من مرض خطير أو لا يتمتعون بكامل قواهم العقلية؛ و(ج) مشروع القانون رقم 213 12-07</w:t>
      </w:r>
      <w:r w:rsidRPr="004F0EC4">
        <w:rPr>
          <w:vertAlign w:val="superscript"/>
          <w:rtl/>
        </w:rPr>
        <w:t>(</w:t>
      </w:r>
      <w:r w:rsidRPr="004F0EC4">
        <w:rPr>
          <w:vertAlign w:val="superscript"/>
          <w:rtl/>
        </w:rPr>
        <w:footnoteReference w:id="155"/>
      </w:r>
      <w:r w:rsidRPr="004F0EC4">
        <w:rPr>
          <w:vertAlign w:val="superscript"/>
          <w:rtl/>
        </w:rPr>
        <w:t>)</w:t>
      </w:r>
      <w:r w:rsidRPr="004F0EC4">
        <w:rPr>
          <w:rtl/>
        </w:rPr>
        <w:t>، الذي يتناول الإعاقة باعتبارها سبباً للتمييز في تنفيذ الأحكام.</w:t>
      </w:r>
    </w:p>
    <w:p w14:paraId="32D32A31" w14:textId="77777777" w:rsidR="00C00FE8" w:rsidRPr="004F0EC4" w:rsidRDefault="00C00FE8" w:rsidP="00C00FE8">
      <w:pPr>
        <w:pStyle w:val="H1GA"/>
        <w:spacing w:before="200" w:after="200" w:line="380" w:lineRule="exact"/>
        <w:rPr>
          <w:lang w:val="en-US"/>
        </w:rPr>
      </w:pPr>
      <w:r w:rsidRPr="004F0EC4">
        <w:rPr>
          <w:rtl/>
          <w:lang w:val="en-US"/>
        </w:rPr>
        <w:tab/>
      </w:r>
      <w:r w:rsidRPr="004F0EC4">
        <w:rPr>
          <w:rtl/>
          <w:lang w:val="en-US"/>
        </w:rPr>
        <w:tab/>
        <w:t>المادة 15</w:t>
      </w:r>
    </w:p>
    <w:p w14:paraId="6A0673A3" w14:textId="77777777" w:rsidR="00C00FE8" w:rsidRPr="004F0EC4" w:rsidRDefault="00C00FE8" w:rsidP="00C00FE8">
      <w:pPr>
        <w:pStyle w:val="SingleTxtGA"/>
        <w:spacing w:line="350" w:lineRule="exact"/>
      </w:pPr>
      <w:r w:rsidRPr="004F0EC4">
        <w:rPr>
          <w:rtl/>
        </w:rPr>
        <w:t>90-</w:t>
      </w:r>
      <w:r w:rsidRPr="004F0EC4">
        <w:rPr>
          <w:rtl/>
        </w:rPr>
        <w:tab/>
        <w:t>ينص القانون رقم 21-331</w:t>
      </w:r>
      <w:r w:rsidRPr="004F0EC4">
        <w:rPr>
          <w:vertAlign w:val="superscript"/>
          <w:rtl/>
        </w:rPr>
        <w:t>(</w:t>
      </w:r>
      <w:r w:rsidRPr="004F0EC4">
        <w:rPr>
          <w:vertAlign w:val="superscript"/>
          <w:rtl/>
        </w:rPr>
        <w:footnoteReference w:id="156"/>
      </w:r>
      <w:r w:rsidRPr="004F0EC4">
        <w:rPr>
          <w:vertAlign w:val="superscript"/>
          <w:rtl/>
        </w:rPr>
        <w:t>)</w:t>
      </w:r>
      <w:r w:rsidRPr="004F0EC4">
        <w:rPr>
          <w:rtl/>
        </w:rPr>
        <w:t xml:space="preserve"> صراحةً على أنه لا يجوز في أي ظرف من الظروف إخضاع أي شخص أدخل المستشفى قسراً لإجراءات أو علاجات لا رجعة فيها، مثل التعقيم أو الجراحة العقلية. كما ينظم استخدام وسائل التقييد، مع إعطاء الأولوية للضبط العاطفي والأساليب البيئية. ولا يجوز اللجوء إلى وسائل التقييد الجسدية والميكانيكية والدوائية والمراقبة المستمرة في غرف فردية إلا بعد تأكيد الطبيب ضرورة ذلك من الناحية العلاجية، وللمدة اللازمة فقط. ولا يجوز بأي حال من الأحوال أن تنطوي هذه التدابير على </w:t>
      </w:r>
      <w:proofErr w:type="gramStart"/>
      <w:r w:rsidRPr="004F0EC4">
        <w:rPr>
          <w:rtl/>
        </w:rPr>
        <w:t>التعذيب</w:t>
      </w:r>
      <w:proofErr w:type="gramEnd"/>
      <w:r w:rsidRPr="004F0EC4">
        <w:rPr>
          <w:rtl/>
        </w:rPr>
        <w:t xml:space="preserve"> أو الإكراه غير القانوني أو أي معاملة قاسية أو غير إنسانية أو مهينة، وهي أفعال تُعتبر جرائم بموجب القانون رقم 20-968</w:t>
      </w:r>
      <w:r w:rsidRPr="004F0EC4">
        <w:rPr>
          <w:vertAlign w:val="superscript"/>
          <w:rtl/>
        </w:rPr>
        <w:t>(</w:t>
      </w:r>
      <w:r w:rsidRPr="004F0EC4">
        <w:rPr>
          <w:vertAlign w:val="superscript"/>
          <w:rtl/>
        </w:rPr>
        <w:footnoteReference w:id="157"/>
      </w:r>
      <w:r w:rsidRPr="004F0EC4">
        <w:rPr>
          <w:vertAlign w:val="superscript"/>
          <w:rtl/>
        </w:rPr>
        <w:t>)</w:t>
      </w:r>
      <w:r w:rsidRPr="004F0EC4">
        <w:rPr>
          <w:rtl/>
        </w:rPr>
        <w:t>. ويجب إبلاغ محكمة الأسرة باستخدام مثل تدابير من هذا القبيل لتقييد حركة الأشخاص الذين أدخلوا المستشفى قسراً.</w:t>
      </w:r>
    </w:p>
    <w:p w14:paraId="148F2C41" w14:textId="77777777" w:rsidR="00C00FE8" w:rsidRPr="004F0EC4" w:rsidRDefault="00C00FE8" w:rsidP="00C00FE8">
      <w:pPr>
        <w:pStyle w:val="SingleTxtGA"/>
      </w:pPr>
      <w:r w:rsidRPr="004F0EC4">
        <w:rPr>
          <w:rtl/>
        </w:rPr>
        <w:lastRenderedPageBreak/>
        <w:t>91-</w:t>
      </w:r>
      <w:r w:rsidRPr="004F0EC4">
        <w:rPr>
          <w:rtl/>
        </w:rPr>
        <w:tab/>
        <w:t xml:space="preserve">وفيما يتعلق بآليات تقديم الشكاوى، تسري القواعد العامة لقانون الإجراءات الجنائية، ما يعني أنه يجوز لأي شخص تقديم شكوى إلى النيابة </w:t>
      </w:r>
      <w:proofErr w:type="gramStart"/>
      <w:r w:rsidRPr="004F0EC4">
        <w:rPr>
          <w:rtl/>
        </w:rPr>
        <w:t>العامة</w:t>
      </w:r>
      <w:proofErr w:type="gramEnd"/>
      <w:r w:rsidRPr="004F0EC4">
        <w:rPr>
          <w:rtl/>
        </w:rPr>
        <w:t xml:space="preserve"> أو قوات الشرطة أو الشرطة الجنائية أو إدارة السجون أو أي محكمة ذات اختصاص </w:t>
      </w:r>
      <w:proofErr w:type="gramStart"/>
      <w:r w:rsidRPr="004F0EC4">
        <w:rPr>
          <w:rtl/>
        </w:rPr>
        <w:t>جنائي</w:t>
      </w:r>
      <w:r w:rsidRPr="004F0EC4">
        <w:rPr>
          <w:vertAlign w:val="superscript"/>
          <w:rtl/>
        </w:rPr>
        <w:t>(</w:t>
      </w:r>
      <w:proofErr w:type="gramEnd"/>
      <w:r w:rsidRPr="004F0EC4">
        <w:rPr>
          <w:vertAlign w:val="superscript"/>
          <w:rtl/>
        </w:rPr>
        <w:footnoteReference w:id="158"/>
      </w:r>
      <w:r w:rsidRPr="004F0EC4">
        <w:rPr>
          <w:vertAlign w:val="superscript"/>
          <w:rtl/>
        </w:rPr>
        <w:t>)</w:t>
      </w:r>
      <w:r w:rsidRPr="004F0EC4">
        <w:rPr>
          <w:rtl/>
        </w:rPr>
        <w:t>. وبالإضافة إلى ذلك، تلقت الآلية الوطنية لمنع التعذيب وغيره</w:t>
      </w:r>
      <w:r w:rsidRPr="004F0EC4">
        <w:rPr>
          <w:rFonts w:hint="cs"/>
          <w:rtl/>
        </w:rPr>
        <w:t> </w:t>
      </w:r>
      <w:r w:rsidRPr="004F0EC4">
        <w:rPr>
          <w:rtl/>
        </w:rPr>
        <w:t xml:space="preserve">من ضروب </w:t>
      </w:r>
      <w:proofErr w:type="gramStart"/>
      <w:r w:rsidRPr="004F0EC4">
        <w:rPr>
          <w:rtl/>
        </w:rPr>
        <w:t>المعاملة</w:t>
      </w:r>
      <w:proofErr w:type="gramEnd"/>
      <w:r w:rsidRPr="004F0EC4">
        <w:rPr>
          <w:rtl/>
        </w:rPr>
        <w:t xml:space="preserve"> أو العقوبة القاسية أو غير الإنسانية أو المهينة، خلال زياراتها، شكاوى محددة و/أو قامت بصياغتها، وأحيلت هذه الشكاوى إلى النيابة العامة ومعهد حقوق الإنسان، لكنها لم تكن، حتى</w:t>
      </w:r>
      <w:r w:rsidRPr="004F0EC4">
        <w:rPr>
          <w:rFonts w:hint="cs"/>
          <w:rtl/>
        </w:rPr>
        <w:t> </w:t>
      </w:r>
      <w:r w:rsidRPr="004F0EC4">
        <w:rPr>
          <w:rtl/>
        </w:rPr>
        <w:t>الآن، تخص أشخاصاً من ذوي الإعاقة.</w:t>
      </w:r>
    </w:p>
    <w:p w14:paraId="53A16CA3" w14:textId="77777777" w:rsidR="00C00FE8" w:rsidRPr="004F0EC4" w:rsidRDefault="00C00FE8" w:rsidP="00C00FE8">
      <w:pPr>
        <w:pStyle w:val="SingleTxtGA"/>
      </w:pPr>
      <w:r w:rsidRPr="004F0EC4">
        <w:rPr>
          <w:rtl/>
        </w:rPr>
        <w:t>92-</w:t>
      </w:r>
      <w:r w:rsidRPr="004F0EC4">
        <w:rPr>
          <w:rtl/>
        </w:rPr>
        <w:tab/>
      </w:r>
      <w:r w:rsidRPr="004F0EC4">
        <w:rPr>
          <w:spacing w:val="-2"/>
          <w:rtl/>
        </w:rPr>
        <w:t>ورغم أن القرار الاستثنائي رقم 656/2002</w:t>
      </w:r>
      <w:r w:rsidRPr="004F0EC4">
        <w:rPr>
          <w:spacing w:val="-2"/>
          <w:vertAlign w:val="superscript"/>
          <w:rtl/>
        </w:rPr>
        <w:t>(</w:t>
      </w:r>
      <w:r w:rsidRPr="004F0EC4">
        <w:rPr>
          <w:spacing w:val="-2"/>
          <w:vertAlign w:val="superscript"/>
          <w:rtl/>
        </w:rPr>
        <w:footnoteReference w:id="159"/>
      </w:r>
      <w:r w:rsidRPr="004F0EC4">
        <w:rPr>
          <w:spacing w:val="-2"/>
          <w:vertAlign w:val="superscript"/>
          <w:rtl/>
        </w:rPr>
        <w:t>)</w:t>
      </w:r>
      <w:r w:rsidRPr="004F0EC4">
        <w:rPr>
          <w:spacing w:val="-2"/>
          <w:rtl/>
        </w:rPr>
        <w:t xml:space="preserve"> لم يُلغَ صراحةً، فقد ألغي ضمناً بموجب القانون</w:t>
      </w:r>
      <w:r w:rsidRPr="004F0EC4">
        <w:rPr>
          <w:rtl/>
        </w:rPr>
        <w:t xml:space="preserve"> </w:t>
      </w:r>
      <w:r w:rsidRPr="004F0EC4">
        <w:rPr>
          <w:spacing w:val="-2"/>
          <w:rtl/>
        </w:rPr>
        <w:t>رقم 21-331</w:t>
      </w:r>
      <w:r w:rsidRPr="004F0EC4">
        <w:rPr>
          <w:spacing w:val="-2"/>
          <w:vertAlign w:val="superscript"/>
          <w:rtl/>
        </w:rPr>
        <w:t>(</w:t>
      </w:r>
      <w:r w:rsidRPr="004F0EC4">
        <w:rPr>
          <w:spacing w:val="-2"/>
          <w:vertAlign w:val="superscript"/>
          <w:rtl/>
        </w:rPr>
        <w:footnoteReference w:id="160"/>
      </w:r>
      <w:r w:rsidRPr="004F0EC4">
        <w:rPr>
          <w:spacing w:val="-2"/>
          <w:vertAlign w:val="superscript"/>
          <w:rtl/>
        </w:rPr>
        <w:t>)</w:t>
      </w:r>
      <w:r w:rsidRPr="004F0EC4">
        <w:rPr>
          <w:rFonts w:hint="cs"/>
          <w:spacing w:val="-2"/>
          <w:rtl/>
        </w:rPr>
        <w:t xml:space="preserve"> </w:t>
      </w:r>
      <w:r w:rsidRPr="004F0EC4">
        <w:rPr>
          <w:spacing w:val="-2"/>
          <w:rtl/>
        </w:rPr>
        <w:t>فيما يتعلق بأحكام القرار الاستثنائي التي لا تتوافق مع القانون، لا سيما المادة</w:t>
      </w:r>
      <w:r w:rsidRPr="004F0EC4">
        <w:rPr>
          <w:rFonts w:hint="cs"/>
          <w:spacing w:val="-2"/>
          <w:rtl/>
        </w:rPr>
        <w:t> </w:t>
      </w:r>
      <w:r w:rsidRPr="004F0EC4">
        <w:rPr>
          <w:spacing w:val="-2"/>
          <w:rtl/>
        </w:rPr>
        <w:t>9(5) منه،</w:t>
      </w:r>
      <w:r w:rsidRPr="004F0EC4">
        <w:rPr>
          <w:rtl/>
        </w:rPr>
        <w:t xml:space="preserve"> </w:t>
      </w:r>
      <w:r w:rsidRPr="004F0EC4">
        <w:rPr>
          <w:spacing w:val="-2"/>
          <w:rtl/>
        </w:rPr>
        <w:t xml:space="preserve">التي لا تسمح باتخاذ القرار </w:t>
      </w:r>
      <w:proofErr w:type="gramStart"/>
      <w:r w:rsidRPr="004F0EC4">
        <w:rPr>
          <w:spacing w:val="-2"/>
          <w:rtl/>
        </w:rPr>
        <w:t>بالنيابة</w:t>
      </w:r>
      <w:r w:rsidRPr="004F0EC4">
        <w:rPr>
          <w:spacing w:val="-2"/>
          <w:vertAlign w:val="superscript"/>
          <w:rtl/>
        </w:rPr>
        <w:t>(</w:t>
      </w:r>
      <w:proofErr w:type="gramEnd"/>
      <w:r w:rsidRPr="004F0EC4">
        <w:rPr>
          <w:spacing w:val="-2"/>
          <w:vertAlign w:val="superscript"/>
          <w:rtl/>
        </w:rPr>
        <w:footnoteReference w:id="161"/>
      </w:r>
      <w:r w:rsidRPr="004F0EC4">
        <w:rPr>
          <w:spacing w:val="-2"/>
          <w:vertAlign w:val="superscript"/>
          <w:rtl/>
        </w:rPr>
        <w:t>)</w:t>
      </w:r>
      <w:r w:rsidRPr="004F0EC4">
        <w:rPr>
          <w:spacing w:val="-2"/>
          <w:rtl/>
        </w:rPr>
        <w:t xml:space="preserve"> إلا في حالات الطوارئ المنصوص عليها في المادة 15 من القانون</w:t>
      </w:r>
      <w:r w:rsidRPr="004F0EC4">
        <w:rPr>
          <w:rtl/>
        </w:rPr>
        <w:t xml:space="preserve"> رقم 20-584</w:t>
      </w:r>
      <w:r w:rsidRPr="004F0EC4">
        <w:rPr>
          <w:vertAlign w:val="superscript"/>
          <w:rtl/>
        </w:rPr>
        <w:t>(</w:t>
      </w:r>
      <w:r w:rsidRPr="004F0EC4">
        <w:rPr>
          <w:vertAlign w:val="superscript"/>
          <w:rtl/>
        </w:rPr>
        <w:footnoteReference w:id="162"/>
      </w:r>
      <w:r w:rsidRPr="004F0EC4">
        <w:rPr>
          <w:vertAlign w:val="superscript"/>
          <w:rtl/>
        </w:rPr>
        <w:t>)</w:t>
      </w:r>
      <w:r w:rsidRPr="004F0EC4">
        <w:rPr>
          <w:rtl/>
        </w:rPr>
        <w:t>.</w:t>
      </w:r>
    </w:p>
    <w:p w14:paraId="72D19DCD" w14:textId="77777777" w:rsidR="00C00FE8" w:rsidRPr="004F0EC4" w:rsidRDefault="00C00FE8" w:rsidP="00C00FE8">
      <w:pPr>
        <w:pStyle w:val="SingleTxtGA"/>
      </w:pPr>
      <w:r w:rsidRPr="004F0EC4">
        <w:rPr>
          <w:rtl/>
        </w:rPr>
        <w:t>93-</w:t>
      </w:r>
      <w:r w:rsidRPr="004F0EC4">
        <w:rPr>
          <w:rtl/>
        </w:rPr>
        <w:tab/>
        <w:t>ويتمثل أحد الأهداف الاستراتيجية لـلخطة الوطنية للصحة النفسية والطب النفسي</w:t>
      </w:r>
      <w:r w:rsidRPr="004F0EC4">
        <w:rPr>
          <w:rFonts w:hint="cs"/>
          <w:rtl/>
        </w:rPr>
        <w:t xml:space="preserve">            </w:t>
      </w:r>
      <w:r w:rsidRPr="004F0EC4">
        <w:rPr>
          <w:rtl/>
        </w:rPr>
        <w:t xml:space="preserve"> للفترة 2017-2025</w:t>
      </w:r>
      <w:r w:rsidRPr="004F0EC4">
        <w:rPr>
          <w:vertAlign w:val="superscript"/>
          <w:rtl/>
        </w:rPr>
        <w:t>(</w:t>
      </w:r>
      <w:r w:rsidRPr="004F0EC4">
        <w:rPr>
          <w:vertAlign w:val="superscript"/>
          <w:rtl/>
        </w:rPr>
        <w:footnoteReference w:id="163"/>
      </w:r>
      <w:r w:rsidRPr="004F0EC4">
        <w:rPr>
          <w:vertAlign w:val="superscript"/>
          <w:rtl/>
        </w:rPr>
        <w:t>)</w:t>
      </w:r>
      <w:r w:rsidRPr="004F0EC4">
        <w:rPr>
          <w:rtl/>
        </w:rPr>
        <w:t>، في إطار محور العمل المتعلق بحقوق الإنسان، في تعزيز استقلالية اللجنة الوطنية لحماية حقوق الأشخاص المصابين بأمراض عقلية وجعلها هيئة مراجعة فعالة تتماشى مع المعايير الدولية.</w:t>
      </w:r>
    </w:p>
    <w:p w14:paraId="6E9FB396" w14:textId="77777777" w:rsidR="00C00FE8" w:rsidRPr="004F0EC4" w:rsidRDefault="00C00FE8" w:rsidP="00C00FE8">
      <w:pPr>
        <w:pStyle w:val="SingleTxtGA"/>
      </w:pPr>
      <w:r w:rsidRPr="004F0EC4">
        <w:rPr>
          <w:rtl/>
        </w:rPr>
        <w:t>94-</w:t>
      </w:r>
      <w:r w:rsidRPr="004F0EC4">
        <w:rPr>
          <w:rtl/>
        </w:rPr>
        <w:tab/>
        <w:t xml:space="preserve">وتضمن التقرير الأول للآلية الوطنية لمنع التعذيب وغيره من ضروب </w:t>
      </w:r>
      <w:proofErr w:type="gramStart"/>
      <w:r w:rsidRPr="004F0EC4">
        <w:rPr>
          <w:rtl/>
        </w:rPr>
        <w:t>المعاملة</w:t>
      </w:r>
      <w:proofErr w:type="gramEnd"/>
      <w:r w:rsidRPr="004F0EC4">
        <w:rPr>
          <w:rtl/>
        </w:rPr>
        <w:t xml:space="preserve"> أو العقوبة القاسية أو اللاإنسانية أو المهينة، الذي يغطي الفترة 2020-2021، توصية للسلطة التنفيذية بالاستعاضة عن اللجنة الوطنية لحماية حقوق الأشخاص المصابين بأمراض عقلية بهيئة مستقلة للحماية والرقابة من أجل منع الانتهاكات في مرافق الصحة </w:t>
      </w:r>
      <w:proofErr w:type="gramStart"/>
      <w:r w:rsidRPr="004F0EC4">
        <w:rPr>
          <w:rtl/>
        </w:rPr>
        <w:t>العقلية</w:t>
      </w:r>
      <w:r w:rsidRPr="004F0EC4">
        <w:rPr>
          <w:vertAlign w:val="superscript"/>
          <w:rtl/>
        </w:rPr>
        <w:t>(</w:t>
      </w:r>
      <w:proofErr w:type="gramEnd"/>
      <w:r w:rsidRPr="004F0EC4">
        <w:rPr>
          <w:vertAlign w:val="superscript"/>
          <w:rtl/>
        </w:rPr>
        <w:footnoteReference w:id="164"/>
      </w:r>
      <w:r w:rsidRPr="004F0EC4">
        <w:rPr>
          <w:vertAlign w:val="superscript"/>
          <w:rtl/>
        </w:rPr>
        <w:t>)</w:t>
      </w:r>
      <w:r w:rsidRPr="004F0EC4">
        <w:rPr>
          <w:rtl/>
        </w:rPr>
        <w:t xml:space="preserve">. وفي هذا الصدد، تعمل وزارة الصحة على تطوير الإطار التنظيمي </w:t>
      </w:r>
      <w:proofErr w:type="gramStart"/>
      <w:r w:rsidRPr="004F0EC4">
        <w:rPr>
          <w:rtl/>
        </w:rPr>
        <w:t>وتحديثه</w:t>
      </w:r>
      <w:r w:rsidRPr="004F0EC4">
        <w:rPr>
          <w:vertAlign w:val="superscript"/>
          <w:rtl/>
        </w:rPr>
        <w:t>(</w:t>
      </w:r>
      <w:proofErr w:type="gramEnd"/>
      <w:r w:rsidRPr="004F0EC4">
        <w:rPr>
          <w:vertAlign w:val="superscript"/>
          <w:rtl/>
        </w:rPr>
        <w:footnoteReference w:id="165"/>
      </w:r>
      <w:r w:rsidRPr="004F0EC4">
        <w:rPr>
          <w:vertAlign w:val="superscript"/>
          <w:rtl/>
        </w:rPr>
        <w:t>)</w:t>
      </w:r>
      <w:r w:rsidRPr="004F0EC4">
        <w:rPr>
          <w:rtl/>
        </w:rPr>
        <w:t>، بوسائل منها وضع مشروع قانون شامل للصحة العقلية، بحيث يكون الإطار متوافقاً مع المعايير المنصوص عليها في القانون الجديد وصكوك حقوق الإنسان.</w:t>
      </w:r>
    </w:p>
    <w:p w14:paraId="7FB973E7" w14:textId="77777777" w:rsidR="00C00FE8" w:rsidRPr="004F0EC4" w:rsidRDefault="00C00FE8" w:rsidP="00C00FE8">
      <w:pPr>
        <w:pStyle w:val="SingleTxtGA"/>
      </w:pPr>
      <w:r w:rsidRPr="004F0EC4">
        <w:rPr>
          <w:rtl/>
        </w:rPr>
        <w:lastRenderedPageBreak/>
        <w:t>95-</w:t>
      </w:r>
      <w:r w:rsidRPr="004F0EC4">
        <w:rPr>
          <w:rtl/>
        </w:rPr>
        <w:tab/>
        <w:t xml:space="preserve">وبخصوص البروتوكولات المتعلقة بحقوق الأشخاص ذوي الإعاقة، قامت النيابة العامة بإعداد دليل للتحقيق في حالات العنف الجسدي والنفسي القائم على النوع </w:t>
      </w:r>
      <w:proofErr w:type="gramStart"/>
      <w:r w:rsidRPr="004F0EC4">
        <w:rPr>
          <w:rtl/>
        </w:rPr>
        <w:t>الاجتماعي</w:t>
      </w:r>
      <w:r w:rsidRPr="004F0EC4">
        <w:rPr>
          <w:vertAlign w:val="superscript"/>
          <w:rtl/>
        </w:rPr>
        <w:t>(</w:t>
      </w:r>
      <w:proofErr w:type="gramEnd"/>
      <w:r w:rsidRPr="004F0EC4">
        <w:rPr>
          <w:vertAlign w:val="superscript"/>
          <w:rtl/>
        </w:rPr>
        <w:footnoteReference w:id="166"/>
      </w:r>
      <w:r w:rsidRPr="004F0EC4">
        <w:rPr>
          <w:vertAlign w:val="superscript"/>
          <w:rtl/>
        </w:rPr>
        <w:t>)</w:t>
      </w:r>
      <w:r w:rsidRPr="004F0EC4">
        <w:rPr>
          <w:rtl/>
        </w:rPr>
        <w:t xml:space="preserve">. ويشمل هذا الدليل حماية الأشخاص ذوي الإعاقة في إطار مبدأ المساواة وعدم </w:t>
      </w:r>
      <w:proofErr w:type="gramStart"/>
      <w:r w:rsidRPr="004F0EC4">
        <w:rPr>
          <w:rtl/>
        </w:rPr>
        <w:t>التمييز</w:t>
      </w:r>
      <w:r w:rsidRPr="004F0EC4">
        <w:rPr>
          <w:vertAlign w:val="superscript"/>
          <w:rtl/>
        </w:rPr>
        <w:t>(</w:t>
      </w:r>
      <w:proofErr w:type="gramEnd"/>
      <w:r w:rsidRPr="004F0EC4">
        <w:rPr>
          <w:vertAlign w:val="superscript"/>
          <w:rtl/>
        </w:rPr>
        <w:footnoteReference w:id="167"/>
      </w:r>
      <w:r w:rsidRPr="004F0EC4">
        <w:rPr>
          <w:vertAlign w:val="superscript"/>
          <w:rtl/>
        </w:rPr>
        <w:t>)</w:t>
      </w:r>
      <w:r w:rsidRPr="004F0EC4">
        <w:rPr>
          <w:rtl/>
        </w:rPr>
        <w:t>.</w:t>
      </w:r>
    </w:p>
    <w:p w14:paraId="08A07336" w14:textId="77777777" w:rsidR="00C00FE8" w:rsidRPr="004F0EC4" w:rsidRDefault="00C00FE8" w:rsidP="00C00FE8">
      <w:pPr>
        <w:pStyle w:val="SingleTxtGA"/>
      </w:pPr>
      <w:r w:rsidRPr="004F0EC4">
        <w:rPr>
          <w:rtl/>
        </w:rPr>
        <w:t>96-</w:t>
      </w:r>
      <w:r w:rsidRPr="004F0EC4">
        <w:rPr>
          <w:rtl/>
        </w:rPr>
        <w:tab/>
        <w:t xml:space="preserve">وفيما يتعلق بالضحايا أو الشهود المعرضين لخطر كبير أو الضعاف الحال بصورة خاصة، </w:t>
      </w:r>
      <w:r w:rsidRPr="004F0EC4">
        <w:rPr>
          <w:spacing w:val="-2"/>
          <w:rtl/>
        </w:rPr>
        <w:t>تطلب النيابة العامة من الوحدات الإقليمية لدعم الضحايا والشهود أن توفر من بين خدمات أخرى: المساعدة</w:t>
      </w:r>
      <w:r w:rsidRPr="004F0EC4">
        <w:rPr>
          <w:rtl/>
        </w:rPr>
        <w:t xml:space="preserve"> والحماية المتخصصتين (بما في ذلك للأشخاص ذوي الإعاقة)؛ وتقديم التوجيه والدعم لتسهيل مشاركتهم في الإجراءات الجنائية؛ وتقديم الدعم في سياق إجراءات التحقيق كالمقابلات المسجلة بالفيديو</w:t>
      </w:r>
      <w:r w:rsidRPr="004F0EC4">
        <w:rPr>
          <w:vertAlign w:val="superscript"/>
          <w:rtl/>
        </w:rPr>
        <w:t>(</w:t>
      </w:r>
      <w:r w:rsidRPr="004F0EC4">
        <w:rPr>
          <w:vertAlign w:val="superscript"/>
          <w:rtl/>
        </w:rPr>
        <w:footnoteReference w:id="168"/>
      </w:r>
      <w:r w:rsidRPr="004F0EC4">
        <w:rPr>
          <w:vertAlign w:val="superscript"/>
          <w:rtl/>
        </w:rPr>
        <w:t>)</w:t>
      </w:r>
      <w:r w:rsidRPr="004F0EC4">
        <w:rPr>
          <w:rtl/>
        </w:rPr>
        <w:t>، وأخذ</w:t>
      </w:r>
      <w:r w:rsidRPr="004F0EC4">
        <w:rPr>
          <w:rFonts w:hint="cs"/>
          <w:rtl/>
        </w:rPr>
        <w:t> </w:t>
      </w:r>
      <w:r w:rsidRPr="004F0EC4">
        <w:rPr>
          <w:rtl/>
        </w:rPr>
        <w:t>الإفادات، وفحوصات الخبراء؛ والتنسيق والنقل والدعم خلال فترة إقامتهم عندما يتعين عليهم تلقي الرعاية الصحية في منطقة أخرى؛ والتنسيق مع هيئات مثل معهد حقوق الإنسان، ووكالات المساعدة القانونية، والدائرة الوطنية لشؤون الأشخاص ذوي الإعاقة، فيما يتعلق بالتمثيل في الإجراءات الجنائية والمدنية وإجراءات إصدار شهادات الإعاقة؛ وسداد النفقات الطبية المتكبدة نتيجة للجريمة؛ والإحالات إلى العلاج التصحيحي.</w:t>
      </w:r>
    </w:p>
    <w:p w14:paraId="0E708FB3" w14:textId="77777777" w:rsidR="00C00FE8" w:rsidRPr="004F0EC4" w:rsidRDefault="00C00FE8" w:rsidP="00C00FE8">
      <w:pPr>
        <w:pStyle w:val="SingleTxtGA"/>
      </w:pPr>
      <w:r w:rsidRPr="004F0EC4">
        <w:rPr>
          <w:rtl/>
        </w:rPr>
        <w:t>97-</w:t>
      </w:r>
      <w:r w:rsidRPr="004F0EC4">
        <w:rPr>
          <w:rtl/>
        </w:rPr>
        <w:tab/>
        <w:t xml:space="preserve">وفي عام 2021، أعيد النظر، بموجب اتفاق بين </w:t>
      </w:r>
      <w:proofErr w:type="spellStart"/>
      <w:r w:rsidRPr="004F0EC4">
        <w:rPr>
          <w:rtl/>
        </w:rPr>
        <w:t>الكرابينيروس</w:t>
      </w:r>
      <w:proofErr w:type="spellEnd"/>
      <w:r w:rsidRPr="004F0EC4">
        <w:rPr>
          <w:rtl/>
        </w:rPr>
        <w:t xml:space="preserve"> والدائرة الوطنية لشؤون الأشخاص ذوي الإعاقة، في التوجيهات المتعلقة باستعمال </w:t>
      </w:r>
      <w:proofErr w:type="gramStart"/>
      <w:r w:rsidRPr="004F0EC4">
        <w:rPr>
          <w:rtl/>
        </w:rPr>
        <w:t>القوة</w:t>
      </w:r>
      <w:r w:rsidRPr="004F0EC4">
        <w:rPr>
          <w:vertAlign w:val="superscript"/>
          <w:rtl/>
        </w:rPr>
        <w:t>(</w:t>
      </w:r>
      <w:proofErr w:type="gramEnd"/>
      <w:r w:rsidRPr="004F0EC4">
        <w:rPr>
          <w:vertAlign w:val="superscript"/>
          <w:rtl/>
        </w:rPr>
        <w:footnoteReference w:id="169"/>
      </w:r>
      <w:r w:rsidRPr="004F0EC4">
        <w:rPr>
          <w:vertAlign w:val="superscript"/>
          <w:rtl/>
        </w:rPr>
        <w:t>)</w:t>
      </w:r>
      <w:r w:rsidRPr="004F0EC4">
        <w:rPr>
          <w:rtl/>
        </w:rPr>
        <w:t>، وبروتوكول الحفاظ على النظام العام، والمبادئ التوجيهية الخاصة بتدخلات الشرطة التي تشمل الأشخاص ذوي الإعاقة، بهدف تعزيز المنظور الشامل للإعاقة وتحسين معاملة الأشخاص ذوي الإعاقة في مراكز الشرطة ومراكز الاحتجاز.</w:t>
      </w:r>
    </w:p>
    <w:p w14:paraId="0F457888" w14:textId="77777777" w:rsidR="00C00FE8" w:rsidRPr="004F0EC4" w:rsidRDefault="00C00FE8" w:rsidP="00C00FE8">
      <w:pPr>
        <w:pStyle w:val="SingleTxtGA"/>
      </w:pPr>
      <w:r w:rsidRPr="004F0EC4">
        <w:rPr>
          <w:rtl/>
        </w:rPr>
        <w:t>98-</w:t>
      </w:r>
      <w:r w:rsidRPr="004F0EC4">
        <w:rPr>
          <w:rtl/>
        </w:rPr>
        <w:tab/>
        <w:t>وأصدرت الشرطة الجنائية اللوائح التالية المتعلقة بالإعاقة على وجه التحديد: (أ) الأمر رقم 51 المؤرخ 21 حزيران/يونيه 2018، الذي ينص على إنشاء لجنة لتكافؤ الفرص والإدماج الاجتماعي للأشخاص ذوي الإعاقة تتبع الشرطة الجنائية؛ و(ب) الأمر العام رقم 2604</w:t>
      </w:r>
      <w:r w:rsidRPr="004F0EC4">
        <w:rPr>
          <w:vertAlign w:val="superscript"/>
          <w:rtl/>
        </w:rPr>
        <w:t>(</w:t>
      </w:r>
      <w:r w:rsidRPr="004F0EC4">
        <w:rPr>
          <w:vertAlign w:val="superscript"/>
          <w:rtl/>
        </w:rPr>
        <w:footnoteReference w:id="170"/>
      </w:r>
      <w:r w:rsidRPr="004F0EC4">
        <w:rPr>
          <w:vertAlign w:val="superscript"/>
          <w:rtl/>
        </w:rPr>
        <w:t>)</w:t>
      </w:r>
      <w:r w:rsidRPr="004F0EC4">
        <w:rPr>
          <w:rtl/>
        </w:rPr>
        <w:t xml:space="preserve"> لعام 2019، الذي يضع </w:t>
      </w:r>
      <w:r w:rsidRPr="004F0EC4">
        <w:rPr>
          <w:spacing w:val="-2"/>
          <w:rtl/>
        </w:rPr>
        <w:t>سياسة لاحترام حقوق الإنسان وتعزيزها، ويولي اهتماماً خاصاً للاحتياجات المحددة للأشخاص ذوي الإعاقة</w:t>
      </w:r>
      <w:r w:rsidRPr="004F0EC4">
        <w:rPr>
          <w:rtl/>
        </w:rPr>
        <w:t xml:space="preserve"> وقبولهم في سياق التنوع والوضع البشري؛ و(ج) التعميم رقم 01 المؤرخ 7 كانون الثاني/يناير 2020 والصادر عن المفتشية العامة للشرطة الجنائية، الذي يتضمن توجيهات لموظفيها بشأن حقوق الأشخاص ذوي الإعاقة؛ و(د) الأمر العام رقم 638 2 المؤرخ 11 أيار/مايو 2020، الذي اعتمد لوائح تتعلق بتكافؤ الفرص لفائدة الأشخاص ذوي الإعاقة في جهاز الشرطة الجنائية وإدماجهم في مكان العمل.</w:t>
      </w:r>
    </w:p>
    <w:p w14:paraId="772DBD37" w14:textId="77777777" w:rsidR="00C00FE8" w:rsidRPr="004F0EC4" w:rsidRDefault="00C00FE8" w:rsidP="00C00FE8">
      <w:pPr>
        <w:pStyle w:val="SingleTxtGA"/>
      </w:pPr>
      <w:r w:rsidRPr="004F0EC4">
        <w:rPr>
          <w:rtl/>
        </w:rPr>
        <w:t>99-</w:t>
      </w:r>
      <w:r w:rsidRPr="004F0EC4">
        <w:rPr>
          <w:rtl/>
        </w:rPr>
        <w:tab/>
        <w:t xml:space="preserve">ولدى قوات الشرطة عدة آليات متاحة لتقديم البلاغات أو الشكاوى المتعلقة بسوء سلوك أفراد الشرطة. ويمكن تقديم هذه البلاغات والشكاوى عن طريق مركز الشرطة الافتراضي، الذي يتيح الإبلاغ دون الكشف عن الهوية؛ أو على الموقع الشبكي </w:t>
      </w:r>
      <w:proofErr w:type="spellStart"/>
      <w:r w:rsidRPr="004F0EC4">
        <w:rPr>
          <w:rtl/>
        </w:rPr>
        <w:t>للكرابينيروس</w:t>
      </w:r>
      <w:proofErr w:type="spellEnd"/>
      <w:r w:rsidRPr="004F0EC4">
        <w:rPr>
          <w:rtl/>
        </w:rPr>
        <w:t xml:space="preserve">؛ أو عبر الهاتف، حيث يمكن تقديم المعلومات من مجهول وبصفة غير رسمية؛ أو بالتوجه شخصياً إلى أي مركز من مراكز الشرطة. </w:t>
      </w:r>
      <w:r w:rsidRPr="004F0EC4">
        <w:rPr>
          <w:rtl/>
        </w:rPr>
        <w:lastRenderedPageBreak/>
        <w:t xml:space="preserve">وبالإضافة إلى ذلك، تحتفظ قوات </w:t>
      </w:r>
      <w:proofErr w:type="spellStart"/>
      <w:r w:rsidRPr="004F0EC4">
        <w:rPr>
          <w:rtl/>
        </w:rPr>
        <w:t>الكرابينيروس</w:t>
      </w:r>
      <w:proofErr w:type="spellEnd"/>
      <w:r w:rsidRPr="004F0EC4">
        <w:rPr>
          <w:rtl/>
        </w:rPr>
        <w:t xml:space="preserve"> والدائرة الوطنية لشؤون الأشخاص ذوي الإعاقة بقنوات اتصال مباشرة للحصول على المعلومات وتبسيط الإجراءات وتقديم المشورة المتخصصة بشأن هذه الحالات. ووُضع مخطط لمسار الإحالة في القضايا المتعلقة بالشكاوى المرفوعة ضد ضباط الشرطة، ويجري حالياً تحديث هذا المخطط.</w:t>
      </w:r>
    </w:p>
    <w:p w14:paraId="30C0CF95" w14:textId="77777777" w:rsidR="00C00FE8" w:rsidRPr="004F0EC4" w:rsidRDefault="00C00FE8" w:rsidP="00C00FE8">
      <w:pPr>
        <w:pStyle w:val="SingleTxtGA"/>
        <w:rPr>
          <w:rFonts w:hint="cs"/>
          <w:rtl/>
        </w:rPr>
      </w:pPr>
      <w:r w:rsidRPr="004F0EC4">
        <w:rPr>
          <w:rtl/>
        </w:rPr>
        <w:t>100-</w:t>
      </w:r>
      <w:r w:rsidRPr="004F0EC4">
        <w:rPr>
          <w:rtl/>
        </w:rPr>
        <w:tab/>
        <w:t>وفي عام 2019، عُين المعهد الوطني لحقوق الإنسان، بموجب القانون رقم 21-152</w:t>
      </w:r>
      <w:r w:rsidRPr="004F0EC4">
        <w:rPr>
          <w:vertAlign w:val="superscript"/>
          <w:rtl/>
        </w:rPr>
        <w:t>(</w:t>
      </w:r>
      <w:r w:rsidRPr="004F0EC4">
        <w:rPr>
          <w:vertAlign w:val="superscript"/>
          <w:rtl/>
        </w:rPr>
        <w:footnoteReference w:id="171"/>
      </w:r>
      <w:r w:rsidRPr="004F0EC4">
        <w:rPr>
          <w:vertAlign w:val="superscript"/>
          <w:rtl/>
        </w:rPr>
        <w:t>)</w:t>
      </w:r>
      <w:r w:rsidRPr="004F0EC4">
        <w:rPr>
          <w:rtl/>
        </w:rPr>
        <w:t xml:space="preserve"> </w:t>
      </w:r>
      <w:r w:rsidRPr="004F0EC4">
        <w:rPr>
          <w:spacing w:val="-2"/>
          <w:rtl/>
        </w:rPr>
        <w:t xml:space="preserve">للاضطلاع بمهمة الآلية الوطنية لمنع التعذيب وغيره من ضروب </w:t>
      </w:r>
      <w:proofErr w:type="gramStart"/>
      <w:r w:rsidRPr="004F0EC4">
        <w:rPr>
          <w:spacing w:val="-2"/>
          <w:rtl/>
        </w:rPr>
        <w:t>المعاملة</w:t>
      </w:r>
      <w:proofErr w:type="gramEnd"/>
      <w:r w:rsidRPr="004F0EC4">
        <w:rPr>
          <w:spacing w:val="-2"/>
          <w:rtl/>
        </w:rPr>
        <w:t xml:space="preserve"> أو العقوبة القاسية أو اللاإنسانية</w:t>
      </w:r>
      <w:r w:rsidRPr="004F0EC4">
        <w:rPr>
          <w:rtl/>
        </w:rPr>
        <w:t xml:space="preserve"> أو المهينة. وبدأت الآلية عملها في 25 أيار/مايو 2020، بعد سنة كاملة من الجهود الرامية على إنشائها. وحتى تموز/يوليه 2022، أجريت 51 زيارة على مستوى البلد بالتركيز على </w:t>
      </w:r>
      <w:proofErr w:type="gramStart"/>
      <w:r w:rsidRPr="004F0EC4">
        <w:rPr>
          <w:rtl/>
        </w:rPr>
        <w:t>خمسة</w:t>
      </w:r>
      <w:proofErr w:type="gramEnd"/>
      <w:r w:rsidRPr="004F0EC4">
        <w:rPr>
          <w:rtl/>
        </w:rPr>
        <w:t xml:space="preserve"> مجالات رئيسية هي: الصحة النفسية؛ والسجون؛ وحفظ النظام؛ وكبار السن؛ والأطفال والمراهقون. وبالإضافة إلى ذلك، نظم</w:t>
      </w:r>
      <w:r w:rsidRPr="004F0EC4">
        <w:rPr>
          <w:rFonts w:hint="cs"/>
          <w:rtl/>
        </w:rPr>
        <w:t> </w:t>
      </w:r>
      <w:r w:rsidRPr="004F0EC4">
        <w:rPr>
          <w:rtl/>
        </w:rPr>
        <w:t>31 نشاطاً تدريبياً حول منع التعذيب وغيره من ضروب سوء المعاملة، استهدفت أساساً إدارة السجون وقوات الشرطة وقوات الشرطة الجنائية.</w:t>
      </w:r>
    </w:p>
    <w:p w14:paraId="28AD8936" w14:textId="77777777" w:rsidR="00E54512" w:rsidRPr="004F0EC4" w:rsidRDefault="00E54512" w:rsidP="00C00FE8">
      <w:pPr>
        <w:pStyle w:val="H1GA"/>
      </w:pPr>
      <w:r w:rsidRPr="004F0EC4">
        <w:rPr>
          <w:rtl/>
        </w:rPr>
        <w:tab/>
      </w:r>
      <w:r w:rsidRPr="004F0EC4">
        <w:rPr>
          <w:rtl/>
        </w:rPr>
        <w:tab/>
        <w:t>المادة 16</w:t>
      </w:r>
    </w:p>
    <w:p w14:paraId="24759DF5" w14:textId="6BB9A6AA" w:rsidR="00E54512" w:rsidRPr="004F0EC4" w:rsidRDefault="00E54512" w:rsidP="00E54512">
      <w:pPr>
        <w:pStyle w:val="SingleTxtGA"/>
      </w:pPr>
      <w:r w:rsidRPr="004F0EC4">
        <w:rPr>
          <w:rtl/>
        </w:rPr>
        <w:t>101-</w:t>
      </w:r>
      <w:r w:rsidRPr="004F0EC4">
        <w:rPr>
          <w:rtl/>
        </w:rPr>
        <w:tab/>
        <w:t>تدير الدائرة الوطنية لشؤون المرأة والإنصاف بين الجنسين، من أجل مكافحة العنف وفي إطار برنامجها للمساعدة والحماية وجبر الضرر في حالات بالعنف بالمرأة، مرافقَ لمساعدة النساء اللواتي يحتجن إلى حماية خاصة بسبب عوامل أخرى متقاطعة. وتشمل هذه المرافق مراكز الدعم وجبر الضرر المخصصة للنساء ضحايا العنف الجنسي والناجيات منه، وهي آليات متخصصة تقدم الدعم التأهيلي للنساء اللواتي تبلغ أعمارهن 18 عاماً فأكثر.</w:t>
      </w:r>
      <w:r w:rsidR="007F69E1" w:rsidRPr="004F0EC4">
        <w:rPr>
          <w:rFonts w:hint="cs"/>
          <w:rtl/>
        </w:rPr>
        <w:t xml:space="preserve"> </w:t>
      </w:r>
    </w:p>
    <w:p w14:paraId="4F398277" w14:textId="77777777" w:rsidR="00E54512" w:rsidRPr="004F0EC4" w:rsidRDefault="00E54512" w:rsidP="00E54512">
      <w:pPr>
        <w:pStyle w:val="SingleTxtGA"/>
      </w:pPr>
      <w:r w:rsidRPr="004F0EC4">
        <w:rPr>
          <w:rtl/>
        </w:rPr>
        <w:t>102-</w:t>
      </w:r>
      <w:r w:rsidRPr="004F0EC4">
        <w:rPr>
          <w:rtl/>
        </w:rPr>
        <w:tab/>
        <w:t xml:space="preserve">ومنذ عام 2013، يعمل مركز النساء المتنقل المتعدد الثقافات على المستوى المحلي للحد من بالعنف بالمرأة، لا سيما في العلاقات بين القرناء الحميمين، وذلك من خلال تطبيق نموذج تدخلي شامل يركز على الإجراءات الوقائية وعلى التنسيق الشامل لعدة قطاعات وعلى تقديم الدعم المجتمعي والجماعي والفردي للنساء ضحايا العنف اللواتي يعشن في مناطق بعيدة عن مراكز رعاية النساء الأخرى – لا سيما المناطق الريفية والمناطق التي تقطنها نساء </w:t>
      </w:r>
      <w:proofErr w:type="spellStart"/>
      <w:r w:rsidRPr="004F0EC4">
        <w:rPr>
          <w:rtl/>
        </w:rPr>
        <w:t>المابوتشي</w:t>
      </w:r>
      <w:proofErr w:type="spellEnd"/>
      <w:r w:rsidRPr="004F0EC4">
        <w:rPr>
          <w:rtl/>
        </w:rPr>
        <w:t xml:space="preserve"> والتي لا تخدمها مراكز أخرى.</w:t>
      </w:r>
    </w:p>
    <w:p w14:paraId="6C4EED7D" w14:textId="0560261C" w:rsidR="00E54512" w:rsidRPr="004F0EC4" w:rsidRDefault="00E54512" w:rsidP="00E54512">
      <w:pPr>
        <w:pStyle w:val="SingleTxtGA"/>
        <w:rPr>
          <w:rFonts w:hint="cs"/>
          <w:rtl/>
        </w:rPr>
      </w:pPr>
      <w:r w:rsidRPr="004F0EC4">
        <w:rPr>
          <w:rtl/>
        </w:rPr>
        <w:t>103-</w:t>
      </w:r>
      <w:r w:rsidRPr="004F0EC4">
        <w:rPr>
          <w:rtl/>
        </w:rPr>
        <w:tab/>
        <w:t>وفي عام 2020، وقّعت الدائرة الوطنية لشؤون المرأة والإنصاف بين الجنسين اتفاق تعاون مع</w:t>
      </w:r>
      <w:r w:rsidRPr="004F0EC4">
        <w:rPr>
          <w:rFonts w:hint="cs"/>
          <w:rtl/>
        </w:rPr>
        <w:t> </w:t>
      </w:r>
      <w:r w:rsidRPr="004F0EC4">
        <w:rPr>
          <w:rtl/>
        </w:rPr>
        <w:t xml:space="preserve">مؤسسة نيلي </w:t>
      </w:r>
      <w:proofErr w:type="spellStart"/>
      <w:r w:rsidRPr="004F0EC4">
        <w:rPr>
          <w:rtl/>
        </w:rPr>
        <w:t>زابيل</w:t>
      </w:r>
      <w:proofErr w:type="spellEnd"/>
      <w:r w:rsidRPr="004F0EC4">
        <w:rPr>
          <w:rtl/>
        </w:rPr>
        <w:t xml:space="preserve"> لإنشاء مركز للنساء </w:t>
      </w:r>
      <w:proofErr w:type="gramStart"/>
      <w:r w:rsidRPr="004F0EC4">
        <w:rPr>
          <w:rtl/>
        </w:rPr>
        <w:t>الصم</w:t>
      </w:r>
      <w:r w:rsidRPr="004F0EC4">
        <w:rPr>
          <w:vertAlign w:val="superscript"/>
          <w:rtl/>
        </w:rPr>
        <w:t>(</w:t>
      </w:r>
      <w:proofErr w:type="gramEnd"/>
      <w:r w:rsidRPr="004F0EC4">
        <w:rPr>
          <w:vertAlign w:val="superscript"/>
          <w:rtl/>
        </w:rPr>
        <w:footnoteReference w:id="172"/>
      </w:r>
      <w:r w:rsidRPr="004F0EC4">
        <w:rPr>
          <w:vertAlign w:val="superscript"/>
          <w:rtl/>
        </w:rPr>
        <w:t>)</w:t>
      </w:r>
      <w:r w:rsidRPr="004F0EC4">
        <w:rPr>
          <w:rtl/>
        </w:rPr>
        <w:t xml:space="preserve">، وذلك في مبادرة تجريبية على النطاق الوطني. ويجمع النموذج الذي اعتُمد لتطبيقه في هذا المركز بين أنشطة مراكز رعاية المرأة وتجارب مؤسسة نيلي </w:t>
      </w:r>
      <w:proofErr w:type="spellStart"/>
      <w:r w:rsidRPr="004F0EC4">
        <w:rPr>
          <w:rtl/>
        </w:rPr>
        <w:t>زابيل</w:t>
      </w:r>
      <w:proofErr w:type="spellEnd"/>
      <w:r w:rsidRPr="004F0EC4">
        <w:rPr>
          <w:rtl/>
        </w:rPr>
        <w:t xml:space="preserve"> في العمل مع النساء الصم، حيث تقدَّم مساعدة تراعي الاعتبارات الجنسانية وتركز على حقوق الإنسان للنساء من جميع أنحاء البلد، وذلك عبر وسائل الاتصال من بُعد و/أو عبر الإنترنت باستخدام لغة الإشارة الشيلية أو وسائل التواصل البديلة الأخرى، مع أخذ عوامل من قبيل ثقافة الصم والمجتمع المحلي الذي تنتمي إليه هؤلاء النساء في </w:t>
      </w:r>
      <w:proofErr w:type="gramStart"/>
      <w:r w:rsidRPr="004F0EC4">
        <w:rPr>
          <w:rtl/>
        </w:rPr>
        <w:t>الحسبان</w:t>
      </w:r>
      <w:r w:rsidRPr="004F0EC4">
        <w:rPr>
          <w:vertAlign w:val="superscript"/>
          <w:rtl/>
        </w:rPr>
        <w:t>(</w:t>
      </w:r>
      <w:proofErr w:type="gramEnd"/>
      <w:r w:rsidRPr="004F0EC4">
        <w:rPr>
          <w:vertAlign w:val="superscript"/>
          <w:rtl/>
        </w:rPr>
        <w:footnoteReference w:id="173"/>
      </w:r>
      <w:r w:rsidRPr="004F0EC4">
        <w:rPr>
          <w:vertAlign w:val="superscript"/>
          <w:rtl/>
        </w:rPr>
        <w:t>)</w:t>
      </w:r>
      <w:r w:rsidRPr="004F0EC4">
        <w:rPr>
          <w:rtl/>
        </w:rPr>
        <w:t>.</w:t>
      </w:r>
    </w:p>
    <w:p w14:paraId="2AF9C195" w14:textId="77777777" w:rsidR="00E54512" w:rsidRPr="004F0EC4" w:rsidRDefault="00E54512" w:rsidP="00E54512">
      <w:pPr>
        <w:pStyle w:val="SingleTxtGA"/>
      </w:pPr>
      <w:r w:rsidRPr="004F0EC4">
        <w:rPr>
          <w:rtl/>
        </w:rPr>
        <w:lastRenderedPageBreak/>
        <w:t>104-</w:t>
      </w:r>
      <w:r w:rsidRPr="004F0EC4">
        <w:rPr>
          <w:rtl/>
        </w:rPr>
        <w:tab/>
        <w:t xml:space="preserve">واستعرضت المائدة المستديرة الشاملة لعدة قطاعات المشار إليها في الفقرة 54 توصيات وزارة شؤون المرأة والإنصاف بين الجنسين المتعلقة بالنساء ضحايا العنف المنزلي في سياق تدابير الإغلاق الشامل المتصلة بمرض فيروس كورونا (كوفيد-19)، وقدمت اقتراحات لضمان ما يلي: إتاحة المعدات </w:t>
      </w:r>
      <w:r w:rsidRPr="004F0EC4">
        <w:rPr>
          <w:spacing w:val="-3"/>
          <w:rtl/>
        </w:rPr>
        <w:t>والمرافق والمعلومات؛ وتدريب الموظفين على مساعدة النساء والفتيات ذوات الإعاقة؛ ومتابعة الحالات الخاصة</w:t>
      </w:r>
      <w:r w:rsidRPr="004F0EC4">
        <w:rPr>
          <w:rtl/>
        </w:rPr>
        <w:t xml:space="preserve"> بنساء وفتيات ذوات إعاقة؛ وإدراج النساء والفتيات ذوات الإعاقة اللاتي سُلبت حريتهن أو اللاتي </w:t>
      </w:r>
      <w:r w:rsidRPr="004F0EC4">
        <w:rPr>
          <w:spacing w:val="-2"/>
          <w:rtl/>
        </w:rPr>
        <w:t>كنّ يعشن في دور إيواء توفر الرعاية النفسية أو في مساكن محمية، أو في مرافق أخرى، ضمن المنتفعات.</w:t>
      </w:r>
    </w:p>
    <w:p w14:paraId="4A843DA1" w14:textId="71792D89" w:rsidR="00E54512" w:rsidRPr="004F0EC4" w:rsidRDefault="00E54512" w:rsidP="00E54512">
      <w:pPr>
        <w:pStyle w:val="SingleTxtGA"/>
      </w:pPr>
      <w:r w:rsidRPr="004F0EC4">
        <w:rPr>
          <w:rtl/>
        </w:rPr>
        <w:t>105-</w:t>
      </w:r>
      <w:r w:rsidRPr="004F0EC4">
        <w:rPr>
          <w:rtl/>
        </w:rPr>
        <w:tab/>
        <w:t>وفي عام 2020، أُطلق الخط الساخن المسمى "متصل بالرعاية" ورقمه 800 000 058</w:t>
      </w:r>
      <w:r w:rsidRPr="004F0EC4">
        <w:rPr>
          <w:vertAlign w:val="superscript"/>
          <w:rtl/>
        </w:rPr>
        <w:t>(</w:t>
      </w:r>
      <w:r w:rsidRPr="004F0EC4">
        <w:rPr>
          <w:vertAlign w:val="superscript"/>
          <w:rtl/>
        </w:rPr>
        <w:footnoteReference w:id="174"/>
      </w:r>
      <w:r w:rsidRPr="004F0EC4">
        <w:rPr>
          <w:vertAlign w:val="superscript"/>
          <w:rtl/>
        </w:rPr>
        <w:t>)</w:t>
      </w:r>
      <w:r w:rsidRPr="004F0EC4">
        <w:rPr>
          <w:rtl/>
        </w:rPr>
        <w:t xml:space="preserve"> (الفقرة 55).</w:t>
      </w:r>
    </w:p>
    <w:p w14:paraId="4E3D34C9" w14:textId="77777777" w:rsidR="00E54512" w:rsidRPr="004F0EC4" w:rsidRDefault="00E54512" w:rsidP="00E54512">
      <w:pPr>
        <w:pStyle w:val="SingleTxtGA"/>
      </w:pPr>
      <w:r w:rsidRPr="004F0EC4">
        <w:rPr>
          <w:rtl/>
        </w:rPr>
        <w:t>106-</w:t>
      </w:r>
      <w:r w:rsidRPr="004F0EC4">
        <w:rPr>
          <w:rtl/>
        </w:rPr>
        <w:tab/>
      </w:r>
      <w:r w:rsidRPr="004F0EC4">
        <w:rPr>
          <w:spacing w:val="-4"/>
          <w:rtl/>
        </w:rPr>
        <w:t xml:space="preserve">وخلال الأزمة الصحية، وفرت الدائرة الوطنية لشؤون المرأة والإنصاف بين الجنسين الدعم المؤسسي </w:t>
      </w:r>
      <w:r w:rsidRPr="004F0EC4">
        <w:rPr>
          <w:rtl/>
        </w:rPr>
        <w:t>لجميع النساء من خلال آلياتها المخصصة للتصدي للعنف بالمرأة.</w:t>
      </w:r>
    </w:p>
    <w:p w14:paraId="1D1EE10F" w14:textId="7DD75131" w:rsidR="00E54512" w:rsidRPr="004F0EC4" w:rsidRDefault="00E54512" w:rsidP="00E54512">
      <w:pPr>
        <w:pStyle w:val="SingleTxtGA"/>
      </w:pPr>
      <w:r w:rsidRPr="004F0EC4">
        <w:rPr>
          <w:rtl/>
        </w:rPr>
        <w:t>107-</w:t>
      </w:r>
      <w:r w:rsidRPr="004F0EC4">
        <w:rPr>
          <w:rtl/>
        </w:rPr>
        <w:tab/>
        <w:t xml:space="preserve">وتماشياً مع التوصيات الواردة في إحدى </w:t>
      </w:r>
      <w:proofErr w:type="gramStart"/>
      <w:r w:rsidRPr="004F0EC4">
        <w:rPr>
          <w:rtl/>
        </w:rPr>
        <w:t>الدراسات</w:t>
      </w:r>
      <w:r w:rsidRPr="004F0EC4">
        <w:rPr>
          <w:vertAlign w:val="superscript"/>
          <w:rtl/>
        </w:rPr>
        <w:t>(</w:t>
      </w:r>
      <w:proofErr w:type="gramEnd"/>
      <w:r w:rsidRPr="004F0EC4">
        <w:rPr>
          <w:vertAlign w:val="superscript"/>
          <w:rtl/>
        </w:rPr>
        <w:footnoteReference w:id="175"/>
      </w:r>
      <w:r w:rsidRPr="004F0EC4">
        <w:rPr>
          <w:vertAlign w:val="superscript"/>
          <w:rtl/>
        </w:rPr>
        <w:t>)</w:t>
      </w:r>
      <w:r w:rsidRPr="004F0EC4">
        <w:rPr>
          <w:rtl/>
        </w:rPr>
        <w:t>، تدرس دائرة الادعاء العام وضع وتطبيق معايير شاملة تتعلق بمساعدة الضحايا الضعفاء وحمايتهم، بمن فيهم الأشخاص ذوو الإعاقة من ضحايا الجرائم. ومن المتوقع أن ترى هذه المبادرة النور في عام 2023.</w:t>
      </w:r>
    </w:p>
    <w:p w14:paraId="44ACAE5A" w14:textId="10F5ABB9" w:rsidR="00E54512" w:rsidRPr="004F0EC4" w:rsidRDefault="00E54512" w:rsidP="00E54512">
      <w:pPr>
        <w:pStyle w:val="SingleTxtGA"/>
      </w:pPr>
      <w:r w:rsidRPr="004F0EC4">
        <w:rPr>
          <w:rtl/>
        </w:rPr>
        <w:t>108-</w:t>
      </w:r>
      <w:r w:rsidRPr="004F0EC4">
        <w:rPr>
          <w:rtl/>
        </w:rPr>
        <w:tab/>
        <w:t>ويحظر القانون رقم 21-430</w:t>
      </w:r>
      <w:r w:rsidRPr="004F0EC4">
        <w:rPr>
          <w:vertAlign w:val="superscript"/>
          <w:rtl/>
        </w:rPr>
        <w:t>(</w:t>
      </w:r>
      <w:r w:rsidRPr="004F0EC4">
        <w:rPr>
          <w:vertAlign w:val="superscript"/>
          <w:rtl/>
        </w:rPr>
        <w:footnoteReference w:id="176"/>
      </w:r>
      <w:r w:rsidRPr="004F0EC4">
        <w:rPr>
          <w:vertAlign w:val="superscript"/>
          <w:rtl/>
        </w:rPr>
        <w:t>)</w:t>
      </w:r>
      <w:r w:rsidRPr="004F0EC4">
        <w:rPr>
          <w:rtl/>
        </w:rPr>
        <w:t xml:space="preserve"> صراحةً جميع أشكال الإساءة إلى الأطفال والمراهقين، وينص على أنه لا يمكن تبرير هذه المعاملة في أي ظرف من الظروف، ويعرّف الإيذاء البدني والمعاملة المهينة الجسيمين اللذين ينتهكان الكرامة انتهاكاً خطيراً بوصفهما جريمتين جنائيتين. وينص القانون أيضاً على أنه لا يجوز بأي حال من الأحوال استخدام إعاقة الأطفال والمراهقين ذريعةً لحرمانهم من حقوقهم، ويحظر على وجه الخصوص أي ممارسة تهدف إلى تضليلهم بشأن حياتهم الجنسية، أو إلى وقف توفير وسائل منع الحمل، أو إلى تعقيم الأطفال أو المراهقين لأغراض منع الحمل.</w:t>
      </w:r>
    </w:p>
    <w:p w14:paraId="2FA98B7D" w14:textId="12E59CA8" w:rsidR="00E54512" w:rsidRPr="004F0EC4" w:rsidRDefault="00E54512" w:rsidP="00E54512">
      <w:pPr>
        <w:pStyle w:val="SingleTxtGA"/>
      </w:pPr>
      <w:r w:rsidRPr="004F0EC4">
        <w:rPr>
          <w:rtl/>
        </w:rPr>
        <w:t>109-</w:t>
      </w:r>
      <w:r w:rsidRPr="004F0EC4">
        <w:rPr>
          <w:rtl/>
        </w:rPr>
        <w:tab/>
        <w:t>وفي عام 2021، أُطلق برنامج "طفولة أفضل"</w:t>
      </w:r>
      <w:r w:rsidRPr="004F0EC4">
        <w:rPr>
          <w:vertAlign w:val="superscript"/>
          <w:rtl/>
        </w:rPr>
        <w:t>(</w:t>
      </w:r>
      <w:r w:rsidRPr="004F0EC4">
        <w:rPr>
          <w:vertAlign w:val="superscript"/>
          <w:rtl/>
        </w:rPr>
        <w:footnoteReference w:id="177"/>
      </w:r>
      <w:r w:rsidRPr="004F0EC4">
        <w:rPr>
          <w:vertAlign w:val="superscript"/>
          <w:rtl/>
        </w:rPr>
        <w:t>)</w:t>
      </w:r>
      <w:r w:rsidRPr="004F0EC4">
        <w:rPr>
          <w:rtl/>
        </w:rPr>
        <w:t xml:space="preserve"> بهدف ضمان توفير حماية خاصة للأطفال والمراهقين الذين يواجهون خطر التعرض لانتهاكات جسيمة لحقوقهم أو الذين تعرضوا لهذه الانتهاكات، وضمان احترام وإعمال الحقوق الأساسية للأطفال والمراهقين بموجب الدستور واتفاقية حقوق الطفل والمعاهدات الدولية الأخرى لحقوق الإنسان التي صدقت عليها شيلي.</w:t>
      </w:r>
    </w:p>
    <w:p w14:paraId="1658F741" w14:textId="77777777" w:rsidR="00E54512" w:rsidRPr="004F0EC4" w:rsidRDefault="00E54512" w:rsidP="00E54512">
      <w:pPr>
        <w:pStyle w:val="SingleTxtGA"/>
      </w:pPr>
      <w:r w:rsidRPr="004F0EC4">
        <w:rPr>
          <w:rtl/>
        </w:rPr>
        <w:t>110-</w:t>
      </w:r>
      <w:r w:rsidRPr="004F0EC4">
        <w:rPr>
          <w:rtl/>
        </w:rPr>
        <w:tab/>
        <w:t xml:space="preserve">وفي الفترة ما بين عام 2015 وشهر تموز/يوليه 2020، استفاد 104 أطفال ومراهقين من ذوي الإعاقة من خدمات برنامج اللجوء إلى العدالة. وفي عام 2021، قام المجلس الوطني لرياض الأطفال بتحديث بروتوكولاته، وأصبح لديه الآن بروتوكول للتعامل مع حالات الإساءة، سواء أكانت تشكل جريمة أم لا. وقامت الدائرة الوطنية للقاصرين بتعزيز الإجراءات والقواعد التنظيمية والبروتوكولات المعمول بها في مجال تحديد الجرائم المرتكبة ضد الأطفال والمراهقين المودعين دور الرعاية ولدى أسر حاضنة </w:t>
      </w:r>
      <w:r w:rsidRPr="004F0EC4">
        <w:rPr>
          <w:rtl/>
        </w:rPr>
        <w:lastRenderedPageBreak/>
        <w:t>والتصدي لتلك الجرائم. وقد تعاونت الدائرة الوطنية لشؤون الأشخاص ذوي الإعاقة مع الدائرة الوطنية للقاصرين، وبرنامج "محاميّ"، وبرنامج اللجوء إلى العدالة، في معالجة حالات بعينها.</w:t>
      </w:r>
    </w:p>
    <w:p w14:paraId="6E123EF8" w14:textId="335A65EA" w:rsidR="00E54512" w:rsidRPr="004F0EC4" w:rsidRDefault="00E54512" w:rsidP="00E54512">
      <w:pPr>
        <w:pStyle w:val="SingleTxtGA"/>
      </w:pPr>
      <w:r w:rsidRPr="004F0EC4">
        <w:rPr>
          <w:rtl/>
        </w:rPr>
        <w:t>111-</w:t>
      </w:r>
      <w:r w:rsidRPr="004F0EC4">
        <w:rPr>
          <w:rtl/>
        </w:rPr>
        <w:tab/>
        <w:t>وفي السنوات الأخيرة، صدرت قوانين شتى تهدف إلى القضاء على جميع أشكال بالعنف بالمرأة والفتاة، بما في ذلك النساء والفتيات المنتميات إلى مجتمعات السكان الأصليين وذوات الإعاقة، أو إلى مكافحة أشكال العنف هذه. وفي عام 2017، عرّف القانون رقم 21-013</w:t>
      </w:r>
      <w:r w:rsidRPr="004F0EC4">
        <w:rPr>
          <w:vertAlign w:val="superscript"/>
          <w:rtl/>
        </w:rPr>
        <w:t>(</w:t>
      </w:r>
      <w:r w:rsidRPr="004F0EC4">
        <w:rPr>
          <w:vertAlign w:val="superscript"/>
          <w:rtl/>
        </w:rPr>
        <w:footnoteReference w:id="178"/>
      </w:r>
      <w:r w:rsidRPr="004F0EC4">
        <w:rPr>
          <w:vertAlign w:val="superscript"/>
          <w:rtl/>
        </w:rPr>
        <w:t>)</w:t>
      </w:r>
      <w:r w:rsidRPr="004F0EC4">
        <w:rPr>
          <w:rtl/>
        </w:rPr>
        <w:t xml:space="preserve"> جريمة الإساءة الجسيمة، ونص على عقوبات ضد أي شخص يعرض </w:t>
      </w:r>
      <w:proofErr w:type="gramStart"/>
      <w:r w:rsidRPr="004F0EC4">
        <w:rPr>
          <w:rtl/>
        </w:rPr>
        <w:t>طفلاً</w:t>
      </w:r>
      <w:proofErr w:type="gramEnd"/>
      <w:r w:rsidRPr="004F0EC4">
        <w:rPr>
          <w:rtl/>
        </w:rPr>
        <w:t xml:space="preserve"> أو مراهقاً أو شخصاً كبير السن أو شخصاً ذا إعاقة </w:t>
      </w:r>
      <w:r w:rsidRPr="004F0EC4">
        <w:rPr>
          <w:spacing w:val="-2"/>
          <w:rtl/>
        </w:rPr>
        <w:t xml:space="preserve">لإيذاء بدني جسيم، لا سيما إن كان ممن يقع على عاتقهم بوجه خاص واجب العناية أو الحماية تجاه </w:t>
      </w:r>
      <w:proofErr w:type="gramStart"/>
      <w:r w:rsidRPr="004F0EC4">
        <w:rPr>
          <w:spacing w:val="-2"/>
          <w:rtl/>
        </w:rPr>
        <w:t>طفل</w:t>
      </w:r>
      <w:proofErr w:type="gramEnd"/>
      <w:r w:rsidRPr="004F0EC4">
        <w:rPr>
          <w:rtl/>
        </w:rPr>
        <w:t xml:space="preserve"> أو مراهق أو شخص كبير السن أو شخص ذي إعاقة. وفي عام 2019، نُشر القانون رقم 21-160</w:t>
      </w:r>
      <w:r w:rsidRPr="004F0EC4">
        <w:rPr>
          <w:vertAlign w:val="superscript"/>
          <w:rtl/>
        </w:rPr>
        <w:t>(</w:t>
      </w:r>
      <w:r w:rsidRPr="004F0EC4">
        <w:rPr>
          <w:vertAlign w:val="superscript"/>
          <w:rtl/>
        </w:rPr>
        <w:footnoteReference w:id="179"/>
      </w:r>
      <w:r w:rsidRPr="004F0EC4">
        <w:rPr>
          <w:vertAlign w:val="superscript"/>
          <w:rtl/>
        </w:rPr>
        <w:t>)</w:t>
      </w:r>
      <w:r w:rsidRPr="004F0EC4">
        <w:rPr>
          <w:rtl/>
        </w:rPr>
        <w:t xml:space="preserve"> الذي ينص على أن الجرائم الجنسية المرتكبة ضد الأطفال والمراهقين لا تسقط بالتقادم. ويحظر القانون رقم 21-331</w:t>
      </w:r>
      <w:r w:rsidRPr="004F0EC4">
        <w:rPr>
          <w:vertAlign w:val="superscript"/>
          <w:rtl/>
        </w:rPr>
        <w:t>(</w:t>
      </w:r>
      <w:r w:rsidRPr="004F0EC4">
        <w:rPr>
          <w:vertAlign w:val="superscript"/>
          <w:rtl/>
        </w:rPr>
        <w:footnoteReference w:id="180"/>
      </w:r>
      <w:r w:rsidRPr="004F0EC4">
        <w:rPr>
          <w:vertAlign w:val="superscript"/>
          <w:rtl/>
        </w:rPr>
        <w:t>)</w:t>
      </w:r>
      <w:r w:rsidRPr="004F0EC4">
        <w:rPr>
          <w:rtl/>
        </w:rPr>
        <w:t xml:space="preserve"> التدخلات غير القابلة للرجوع عنها التي تقع دون موافقة المريض، مثل الجراحة النفسية والتعقيم القسري للأطفال والمراهقين، ويضمن الحق في الرعاية الصحية الجنسية والإنجابية الشاملة. وفي</w:t>
      </w:r>
      <w:r w:rsidR="00E22186" w:rsidRPr="004F0EC4">
        <w:rPr>
          <w:rFonts w:hint="cs"/>
          <w:rtl/>
        </w:rPr>
        <w:t> </w:t>
      </w:r>
      <w:r w:rsidRPr="004F0EC4">
        <w:rPr>
          <w:rtl/>
        </w:rPr>
        <w:t>عام 2022، نُشر القانون رقم 21-430</w:t>
      </w:r>
      <w:r w:rsidRPr="004F0EC4">
        <w:rPr>
          <w:vertAlign w:val="superscript"/>
          <w:rtl/>
        </w:rPr>
        <w:t>(</w:t>
      </w:r>
      <w:r w:rsidRPr="004F0EC4">
        <w:rPr>
          <w:vertAlign w:val="superscript"/>
          <w:rtl/>
        </w:rPr>
        <w:footnoteReference w:id="181"/>
      </w:r>
      <w:r w:rsidRPr="004F0EC4">
        <w:rPr>
          <w:vertAlign w:val="superscript"/>
          <w:rtl/>
        </w:rPr>
        <w:t>)</w:t>
      </w:r>
      <w:r w:rsidRPr="004F0EC4">
        <w:rPr>
          <w:rtl/>
        </w:rPr>
        <w:t xml:space="preserve"> الذي يتناول الحق في الحماية من العنف.</w:t>
      </w:r>
    </w:p>
    <w:p w14:paraId="4D069F70" w14:textId="77777777" w:rsidR="00E54512" w:rsidRPr="004F0EC4" w:rsidRDefault="00E54512" w:rsidP="00E54512">
      <w:pPr>
        <w:pStyle w:val="SingleTxtGA"/>
      </w:pPr>
      <w:r w:rsidRPr="004F0EC4">
        <w:rPr>
          <w:rtl/>
        </w:rPr>
        <w:t>112-</w:t>
      </w:r>
      <w:r w:rsidRPr="004F0EC4">
        <w:rPr>
          <w:rtl/>
        </w:rPr>
        <w:tab/>
      </w:r>
      <w:r w:rsidRPr="004F0EC4">
        <w:rPr>
          <w:spacing w:val="-2"/>
          <w:rtl/>
        </w:rPr>
        <w:t xml:space="preserve">وبالإضافة إلى ذلك، يُنظر حالياً في مشروع القانون المتعلق بحق المرأة في حياة خالية من العنف </w:t>
      </w:r>
      <w:r w:rsidRPr="004F0EC4">
        <w:rPr>
          <w:rtl/>
        </w:rPr>
        <w:t>(الفقرة 27).</w:t>
      </w:r>
    </w:p>
    <w:p w14:paraId="121F6288" w14:textId="77777777" w:rsidR="00E54512" w:rsidRPr="004F0EC4" w:rsidRDefault="00E54512" w:rsidP="00E54512">
      <w:pPr>
        <w:pStyle w:val="H1GA"/>
        <w:rPr>
          <w:lang w:val="en-US"/>
        </w:rPr>
      </w:pPr>
      <w:r w:rsidRPr="004F0EC4">
        <w:rPr>
          <w:rtl/>
          <w:lang w:val="en-US"/>
        </w:rPr>
        <w:tab/>
      </w:r>
      <w:r w:rsidRPr="004F0EC4">
        <w:rPr>
          <w:rtl/>
          <w:lang w:val="en-US"/>
        </w:rPr>
        <w:tab/>
        <w:t>المادة 17</w:t>
      </w:r>
    </w:p>
    <w:p w14:paraId="5913C2E3" w14:textId="01782436" w:rsidR="00E54512" w:rsidRPr="004F0EC4" w:rsidRDefault="00E54512" w:rsidP="00E54512">
      <w:pPr>
        <w:pStyle w:val="SingleTxtGA"/>
      </w:pPr>
      <w:r w:rsidRPr="004F0EC4">
        <w:rPr>
          <w:rtl/>
        </w:rPr>
        <w:t>113-</w:t>
      </w:r>
      <w:r w:rsidRPr="004F0EC4">
        <w:rPr>
          <w:rtl/>
        </w:rPr>
        <w:tab/>
        <w:t>يعترف القانون رقم 21-331</w:t>
      </w:r>
      <w:r w:rsidRPr="004F0EC4">
        <w:rPr>
          <w:vertAlign w:val="superscript"/>
          <w:rtl/>
        </w:rPr>
        <w:t>(</w:t>
      </w:r>
      <w:r w:rsidRPr="004F0EC4">
        <w:rPr>
          <w:vertAlign w:val="superscript"/>
          <w:rtl/>
        </w:rPr>
        <w:footnoteReference w:id="182"/>
      </w:r>
      <w:r w:rsidRPr="004F0EC4">
        <w:rPr>
          <w:vertAlign w:val="superscript"/>
          <w:rtl/>
        </w:rPr>
        <w:t>)</w:t>
      </w:r>
      <w:r w:rsidRPr="004F0EC4">
        <w:rPr>
          <w:rtl/>
        </w:rPr>
        <w:t xml:space="preserve"> بحق الأشخاص ذوي الإعاقة في عدم التعرض للتعقيم من دون موافقتهم الحرة والمستنيرة، ويحظر تعقيم الأطفال والمراهقين واستخدام التعقيم باعتباره تدبيراً من تدابير تنظيم الخصوبة. وعندما يكون الشخص غير قادر على التعبير عن رغباته، أو يتعذر تحديد تفضيلاته، أو </w:t>
      </w:r>
      <w:r w:rsidRPr="004F0EC4">
        <w:rPr>
          <w:spacing w:val="-2"/>
          <w:rtl/>
        </w:rPr>
        <w:t>يكون طفلاً أو مراهقاً، لا يجوز أن يُستخدم إلا وسائل منع الحمل التي يمكن التراجع عنها. وينص القانون</w:t>
      </w:r>
      <w:r w:rsidRPr="004F0EC4">
        <w:rPr>
          <w:rtl/>
        </w:rPr>
        <w:t xml:space="preserve"> أيضاً على أنه لا يجوز إخضاع أي شخص أُدخل المستشفى بصورة غير طوعية لإجراءات أو علاجات لا </w:t>
      </w:r>
      <w:r w:rsidRPr="004F0EC4">
        <w:rPr>
          <w:spacing w:val="-2"/>
          <w:rtl/>
        </w:rPr>
        <w:t>رجعة فيها، مثل التعقيم أو الجراحة النفسية. ويجري حالياً تعديل القواعد التنظيمية القائمة المتعلقة بالإيداع</w:t>
      </w:r>
      <w:r w:rsidRPr="004F0EC4">
        <w:rPr>
          <w:rtl/>
        </w:rPr>
        <w:t xml:space="preserve"> في المستشفيات النفسية (المرسوم رقم 570</w:t>
      </w:r>
      <w:r w:rsidRPr="004F0EC4">
        <w:rPr>
          <w:vertAlign w:val="superscript"/>
          <w:rtl/>
        </w:rPr>
        <w:t>(</w:t>
      </w:r>
      <w:r w:rsidRPr="004F0EC4">
        <w:rPr>
          <w:vertAlign w:val="superscript"/>
          <w:rtl/>
        </w:rPr>
        <w:footnoteReference w:id="183"/>
      </w:r>
      <w:r w:rsidRPr="004F0EC4">
        <w:rPr>
          <w:vertAlign w:val="superscript"/>
          <w:rtl/>
        </w:rPr>
        <w:t>)</w:t>
      </w:r>
      <w:r w:rsidRPr="004F0EC4">
        <w:rPr>
          <w:rtl/>
        </w:rPr>
        <w:t>، وذلك وفقاً للإطار الذي حدده القانون رقم 21-331. وفي هذا الصدد، تقرَّر إجراء مشاورات في شهري أيلول/سبتمبر وتشرين الأول/أكتوبر 2022. وتقوم وزارة الصحة حالياً بإتمام عملية تحليل المعلومات المستخلصة ودمجها، وستنتقل بعد ذلك إلى مرحلة إضفاء الطابع الرسمي، وهو ما يُتوقع الانتهاء منه في أوائل عام 2023.</w:t>
      </w:r>
    </w:p>
    <w:p w14:paraId="6628633E" w14:textId="16DBF0DF" w:rsidR="00E54512" w:rsidRPr="004F0EC4" w:rsidRDefault="00E54512" w:rsidP="00E54512">
      <w:pPr>
        <w:pStyle w:val="SingleTxtGA"/>
      </w:pPr>
      <w:r w:rsidRPr="004F0EC4">
        <w:rPr>
          <w:rtl/>
        </w:rPr>
        <w:t>114-</w:t>
      </w:r>
      <w:r w:rsidRPr="004F0EC4">
        <w:rPr>
          <w:rtl/>
        </w:rPr>
        <w:tab/>
        <w:t xml:space="preserve">وفي عام 2018، أجرت الدائرة الوطنية لشؤون الأشخاص ذوي الإعاقة دراسة استقصائية على الصعيد الوطني لدور الإيواء المخصصة للأشخاص ذوي الإعاقة والأشخاص الذين يعتمدون على الغير، </w:t>
      </w:r>
      <w:r w:rsidRPr="004F0EC4">
        <w:rPr>
          <w:spacing w:val="-4"/>
          <w:rtl/>
        </w:rPr>
        <w:t>وشملت الدراسة ما مجموعه 221 داراً سكنية مخصصة للأشخاص ذوي الإعاقة. وكشفت الدراسة الاستقصائية</w:t>
      </w:r>
      <w:r w:rsidRPr="004F0EC4">
        <w:rPr>
          <w:rtl/>
        </w:rPr>
        <w:t xml:space="preserve"> عما يلي: (أ) تخدم هذه الدور السكنية ما مجموعه 323 3 طفلاً ومراهقاً وبالغاً، منهم 356 2 شخصاً من الأشخاص ذوي الإعاقة تتراوح أعمارهم بين 18 و59 عاماً ويتلقون رعاية ومساعدة على مدار الساعة </w:t>
      </w:r>
      <w:r w:rsidRPr="004F0EC4">
        <w:rPr>
          <w:rtl/>
        </w:rPr>
        <w:lastRenderedPageBreak/>
        <w:t>أو</w:t>
      </w:r>
      <w:r w:rsidRPr="004F0EC4">
        <w:rPr>
          <w:rFonts w:hint="cs"/>
          <w:rtl/>
        </w:rPr>
        <w:t> </w:t>
      </w:r>
      <w:r w:rsidRPr="004F0EC4">
        <w:rPr>
          <w:rtl/>
        </w:rPr>
        <w:t>في الفترة الليلية في بيئة إقامة</w:t>
      </w:r>
      <w:r w:rsidRPr="004F0EC4">
        <w:rPr>
          <w:vertAlign w:val="superscript"/>
          <w:rtl/>
        </w:rPr>
        <w:t>(</w:t>
      </w:r>
      <w:r w:rsidRPr="004F0EC4">
        <w:rPr>
          <w:vertAlign w:val="superscript"/>
          <w:rtl/>
        </w:rPr>
        <w:footnoteReference w:id="184"/>
      </w:r>
      <w:r w:rsidRPr="004F0EC4">
        <w:rPr>
          <w:vertAlign w:val="superscript"/>
          <w:rtl/>
        </w:rPr>
        <w:t>)</w:t>
      </w:r>
      <w:r w:rsidRPr="004F0EC4">
        <w:rPr>
          <w:rtl/>
        </w:rPr>
        <w:t>؛ و(ب) توجد 160 دار إيواء مختلطًة، و36 مخصصة للرجال فقط، و25 مخصصة للنساء فقط؛ و(ج) تقترن الخدمات التي تقدمها 205 منها بالرعاية النفسية، وتقدم 156 داراً خدماتها للأشخاص ذوي الإعاقات العقلية و/أو الذهنية، إذ ترعى 65 في المائة من دور الإيواء أشخاص</w:t>
      </w:r>
      <w:r w:rsidR="00E22186" w:rsidRPr="004F0EC4">
        <w:rPr>
          <w:rtl/>
        </w:rPr>
        <w:t xml:space="preserve">اً </w:t>
      </w:r>
      <w:r w:rsidRPr="004F0EC4">
        <w:rPr>
          <w:rtl/>
        </w:rPr>
        <w:t>يعانون من ثلاث حالات مزمنة أو أكثر؛ و(د) تخدم 164 داراً أشخاص</w:t>
      </w:r>
      <w:r w:rsidR="00E22186" w:rsidRPr="004F0EC4">
        <w:rPr>
          <w:rtl/>
        </w:rPr>
        <w:t xml:space="preserve">اً </w:t>
      </w:r>
      <w:r w:rsidRPr="004F0EC4">
        <w:rPr>
          <w:rtl/>
        </w:rPr>
        <w:t>معتمدين على أنفسهم. ويشكل المستفيدون الذين يعتمدون على الغير اعتماداً شديداً والمستفيدون غير القادرين على المشي نسبة أقل مقارنة بالمستفيدين ذوي درجات الاعتمادية الأخرى.</w:t>
      </w:r>
    </w:p>
    <w:p w14:paraId="36742721" w14:textId="6BD086E4" w:rsidR="00E54512" w:rsidRPr="004F0EC4" w:rsidRDefault="00E54512" w:rsidP="00E54512">
      <w:pPr>
        <w:pStyle w:val="SingleTxtGA"/>
      </w:pPr>
      <w:r w:rsidRPr="004F0EC4">
        <w:rPr>
          <w:rtl/>
        </w:rPr>
        <w:t>115-</w:t>
      </w:r>
      <w:r w:rsidRPr="004F0EC4">
        <w:rPr>
          <w:rtl/>
        </w:rPr>
        <w:tab/>
        <w:t xml:space="preserve">وفي عام 2018، أجرت الدائرة الوطنية لشؤون الأشخاص ذوي الإعاقة دراسة حول نماذج الإدارة وبروتوكولات ومعايير رعاية النزلاء من الأشخاص ذوي الإعاقة في </w:t>
      </w:r>
      <w:proofErr w:type="gramStart"/>
      <w:r w:rsidRPr="004F0EC4">
        <w:rPr>
          <w:rtl/>
        </w:rPr>
        <w:t>المؤسسات</w:t>
      </w:r>
      <w:r w:rsidRPr="004F0EC4">
        <w:rPr>
          <w:vertAlign w:val="superscript"/>
          <w:rtl/>
        </w:rPr>
        <w:t>(</w:t>
      </w:r>
      <w:proofErr w:type="gramEnd"/>
      <w:r w:rsidRPr="004F0EC4">
        <w:rPr>
          <w:vertAlign w:val="superscript"/>
          <w:rtl/>
        </w:rPr>
        <w:footnoteReference w:id="185"/>
      </w:r>
      <w:r w:rsidRPr="004F0EC4">
        <w:rPr>
          <w:vertAlign w:val="superscript"/>
          <w:rtl/>
        </w:rPr>
        <w:t>)</w:t>
      </w:r>
      <w:r w:rsidRPr="004F0EC4">
        <w:rPr>
          <w:rtl/>
        </w:rPr>
        <w:t>. وقد شملت الدراسة ما مجموعه 420 شخصاً من الأشخاص ذوي الإعاقة تتراوح أعمارهم بين 18 و59 عاماً، وأسفرت</w:t>
      </w:r>
      <w:r w:rsidR="00A27310" w:rsidRPr="004F0EC4">
        <w:rPr>
          <w:rFonts w:hint="cs"/>
          <w:rtl/>
        </w:rPr>
        <w:t> </w:t>
      </w:r>
      <w:r w:rsidRPr="004F0EC4">
        <w:rPr>
          <w:rtl/>
        </w:rPr>
        <w:t>عن البيانات التالية: تراوحت أعمار 73 في المائة من المشاركين في الدراسة بين 30 و59 عاماً؛ وتراوحت أعمار 27 في المائة منهم بين 18 و29 عاماً؛ وشكل الرجال 67,5 في المائة ممن تراوحت أعمارهم بين 18 و29 عاماً، وكذلك 61,6 في المائة ممن تراوحت أعمارهم بين 30 و59 عاماً؛ وكان</w:t>
      </w:r>
      <w:r w:rsidR="00C00FE8" w:rsidRPr="004F0EC4">
        <w:rPr>
          <w:rFonts w:hint="cs"/>
          <w:rtl/>
        </w:rPr>
        <w:t> </w:t>
      </w:r>
      <w:r w:rsidRPr="004F0EC4">
        <w:rPr>
          <w:rtl/>
        </w:rPr>
        <w:t>98,1</w:t>
      </w:r>
      <w:r w:rsidR="00C00FE8" w:rsidRPr="004F0EC4">
        <w:rPr>
          <w:rFonts w:hint="cs"/>
          <w:rtl/>
        </w:rPr>
        <w:t xml:space="preserve"> </w:t>
      </w:r>
      <w:r w:rsidRPr="004F0EC4">
        <w:rPr>
          <w:rtl/>
        </w:rPr>
        <w:t>في المائة عزّاباً؛ وكان 98,1 في المائة مسجلين في السجل الوطني للإعاقة؛ وكان 92 في</w:t>
      </w:r>
      <w:r w:rsidR="00A27310" w:rsidRPr="004F0EC4">
        <w:rPr>
          <w:rFonts w:hint="cs"/>
          <w:rtl/>
        </w:rPr>
        <w:t> </w:t>
      </w:r>
      <w:r w:rsidRPr="004F0EC4">
        <w:rPr>
          <w:rtl/>
        </w:rPr>
        <w:t>المائة من المشاركين لا يعرفون القراءة والكتابة، بعكس 5 في المائة منهم؛ وانتقل 34,3 منهم إلى</w:t>
      </w:r>
      <w:r w:rsidR="00A27310" w:rsidRPr="004F0EC4">
        <w:rPr>
          <w:rFonts w:hint="cs"/>
          <w:rtl/>
        </w:rPr>
        <w:t> </w:t>
      </w:r>
      <w:r w:rsidRPr="004F0EC4">
        <w:rPr>
          <w:rtl/>
        </w:rPr>
        <w:t>دورهم إيوائهم في الفترة ما بين عامي 1990 و1999، و19,5في المائة بين عامي 1980 و1989، و11</w:t>
      </w:r>
      <w:r w:rsidR="00E22186" w:rsidRPr="004F0EC4">
        <w:rPr>
          <w:rFonts w:hint="cs"/>
          <w:rtl/>
        </w:rPr>
        <w:t xml:space="preserve"> </w:t>
      </w:r>
      <w:r w:rsidRPr="004F0EC4">
        <w:rPr>
          <w:rtl/>
        </w:rPr>
        <w:t>في</w:t>
      </w:r>
      <w:r w:rsidR="00E22186" w:rsidRPr="004F0EC4">
        <w:rPr>
          <w:rFonts w:hint="cs"/>
          <w:rtl/>
        </w:rPr>
        <w:t> </w:t>
      </w:r>
      <w:r w:rsidRPr="004F0EC4">
        <w:rPr>
          <w:rtl/>
        </w:rPr>
        <w:t>المائة بين عامي 1970 و1979، و19,3 في المائة بين عامي 2000 و2018؛ وأفاد 41 في المائة بأن قبولهم في المؤسسة كان نتيجةً لعجز الشخص المسؤول عنهم (أو الأشخاص المسؤولين عنهم) عن</w:t>
      </w:r>
      <w:r w:rsidR="00E22186" w:rsidRPr="004F0EC4">
        <w:rPr>
          <w:rFonts w:hint="cs"/>
          <w:rtl/>
        </w:rPr>
        <w:t> </w:t>
      </w:r>
      <w:r w:rsidRPr="004F0EC4">
        <w:rPr>
          <w:rtl/>
        </w:rPr>
        <w:t xml:space="preserve">تلبية احتياجاتهم الجسدية والنفسية الأساسية؛ وذكر 32,8 في المائة أن منظمة أخرى أحالتهم إلى دار الإيواء؛ </w:t>
      </w:r>
      <w:r w:rsidRPr="004F0EC4">
        <w:rPr>
          <w:spacing w:val="-4"/>
          <w:rtl/>
        </w:rPr>
        <w:t>وأفاد 23,9 في المائة بأن سبب قبولهم يعود إلى التخلي عنهم، وجاء قبول أغلب النزلاء في أعقاب أمر صادر</w:t>
      </w:r>
      <w:r w:rsidRPr="004F0EC4">
        <w:rPr>
          <w:rtl/>
        </w:rPr>
        <w:t xml:space="preserve"> عن محكمة؛ ولم يكن سوى 22 في المائة من النزلاء على اتصال منتظم، على الأقل مرة كل شهر، بأسرهم؛ وكان 75,4 في المائة من النزلاء في حالة اعتماد شديد على الغير.</w:t>
      </w:r>
    </w:p>
    <w:p w14:paraId="210DDC28" w14:textId="77777777" w:rsidR="00E54512" w:rsidRPr="004F0EC4" w:rsidRDefault="00E54512" w:rsidP="00E54512">
      <w:pPr>
        <w:pStyle w:val="SingleTxtGA"/>
      </w:pPr>
      <w:r w:rsidRPr="004F0EC4">
        <w:rPr>
          <w:rtl/>
        </w:rPr>
        <w:t>116-</w:t>
      </w:r>
      <w:r w:rsidRPr="004F0EC4">
        <w:rPr>
          <w:rtl/>
        </w:rPr>
        <w:tab/>
        <w:t xml:space="preserve">وحتى عام 2021، كانت الدائرة الوطنية لشؤون الأشخاص ذوي الإعاقة قد أبرمت، في إطار </w:t>
      </w:r>
      <w:r w:rsidRPr="004F0EC4">
        <w:rPr>
          <w:spacing w:val="-2"/>
          <w:rtl/>
        </w:rPr>
        <w:t>برنامجها المتعلق بنماذج إيواء الكبار ذوي الإعاقة، اتفاقات مع 27 دار إيواء، استفاد منها 088 1 شخصاً،</w:t>
      </w:r>
      <w:r w:rsidRPr="004F0EC4">
        <w:rPr>
          <w:rtl/>
        </w:rPr>
        <w:t xml:space="preserve"> منهم 459 امرأة و629 رجلاً تتراوح أعمارهم بين 18 و59 عاماً، وذلك في ثماني مناطق من البلد.</w:t>
      </w:r>
    </w:p>
    <w:p w14:paraId="2BC3A2BB" w14:textId="77777777" w:rsidR="00E54512" w:rsidRPr="004F0EC4" w:rsidRDefault="00E54512" w:rsidP="00E54512">
      <w:pPr>
        <w:pStyle w:val="SingleTxtGA"/>
      </w:pPr>
      <w:r w:rsidRPr="004F0EC4">
        <w:rPr>
          <w:rtl/>
        </w:rPr>
        <w:t>117-</w:t>
      </w:r>
      <w:r w:rsidRPr="004F0EC4">
        <w:rPr>
          <w:rtl/>
        </w:rPr>
        <w:tab/>
        <w:t xml:space="preserve">وتوفر وزارة الصحة المأوى لما مجموعه 840 1 شخصاً في مراكز الرعاية ودور الإيواء السكنية </w:t>
      </w:r>
      <w:r w:rsidRPr="004F0EC4">
        <w:rPr>
          <w:spacing w:val="-2"/>
          <w:rtl/>
        </w:rPr>
        <w:t>المحمية التي تركز على الحياة المجتمعية، ولما يقرب من 650 شخصاً في وحدات للإقامة المتوسطة الأجل</w:t>
      </w:r>
      <w:r w:rsidRPr="004F0EC4">
        <w:rPr>
          <w:rtl/>
        </w:rPr>
        <w:t xml:space="preserve"> ووحدات للإقامة الطويلة الأجل ووحدات لإنفاذ قرارات الطب النفسي في مختلف أنحاء البلد.</w:t>
      </w:r>
    </w:p>
    <w:p w14:paraId="0B469C41" w14:textId="77777777" w:rsidR="00E54512" w:rsidRPr="004F0EC4" w:rsidRDefault="00E54512" w:rsidP="00E54512">
      <w:pPr>
        <w:pStyle w:val="SingleTxtGA"/>
      </w:pPr>
      <w:r w:rsidRPr="004F0EC4">
        <w:rPr>
          <w:rtl/>
        </w:rPr>
        <w:t>118-</w:t>
      </w:r>
      <w:r w:rsidRPr="004F0EC4">
        <w:rPr>
          <w:rtl/>
        </w:rPr>
        <w:tab/>
        <w:t>وترد في الفقرة 54 وما يليها أعلاه التدابير المتخذة للوقاية من كوفيد-19 وعلاجه بين نزلاء المؤسسات من الأشخاص ذوي الإعاقة. وفيما يخص البيانات المتعلقة بالأشخاص ذوي الإعاقة من نزلاء دور الإيواء الذين أصيبوا بكوفيد-19، أفادت الدائرة الوطنية لشؤون الأشخاص ذوي الإعاقة بأنه، خلال الفترة ما بين 29 كانون الأول/ديسمبر 2020 و14 تشرين الثاني/نوفمبر 2021، سُجلت 104 حالات إصابة و5 حالات وفاة. أما بخصوص التطعيم، فقد تلقى 167 1 من النزلاء الجرعة الأولى، و162 1 الجرعة الثانية، و518 الجرعة الثالثة.</w:t>
      </w:r>
    </w:p>
    <w:p w14:paraId="2EE5258F" w14:textId="77777777" w:rsidR="00E54512" w:rsidRPr="004F0EC4" w:rsidRDefault="00E54512" w:rsidP="00E54512">
      <w:pPr>
        <w:pStyle w:val="H1GA"/>
        <w:rPr>
          <w:lang w:val="en-US"/>
        </w:rPr>
      </w:pPr>
      <w:r w:rsidRPr="004F0EC4">
        <w:rPr>
          <w:rtl/>
          <w:lang w:val="en-US"/>
        </w:rPr>
        <w:lastRenderedPageBreak/>
        <w:tab/>
      </w:r>
      <w:r w:rsidRPr="004F0EC4">
        <w:rPr>
          <w:rtl/>
          <w:lang w:val="en-US"/>
        </w:rPr>
        <w:tab/>
        <w:t>المادة 18</w:t>
      </w:r>
    </w:p>
    <w:p w14:paraId="27DE9E6A" w14:textId="3DB10D01" w:rsidR="00E54512" w:rsidRPr="004F0EC4" w:rsidRDefault="00E54512" w:rsidP="00E54512">
      <w:pPr>
        <w:pStyle w:val="SingleTxtGA"/>
      </w:pPr>
      <w:r w:rsidRPr="004F0EC4">
        <w:rPr>
          <w:rtl/>
        </w:rPr>
        <w:t>119-</w:t>
      </w:r>
      <w:r w:rsidRPr="004F0EC4">
        <w:rPr>
          <w:rtl/>
        </w:rPr>
        <w:tab/>
        <w:t>ينص القانون رقم 21-430</w:t>
      </w:r>
      <w:r w:rsidRPr="004F0EC4">
        <w:rPr>
          <w:vertAlign w:val="superscript"/>
          <w:rtl/>
        </w:rPr>
        <w:t>(</w:t>
      </w:r>
      <w:r w:rsidRPr="004F0EC4">
        <w:rPr>
          <w:vertAlign w:val="superscript"/>
          <w:rtl/>
        </w:rPr>
        <w:footnoteReference w:id="186"/>
      </w:r>
      <w:r w:rsidRPr="004F0EC4">
        <w:rPr>
          <w:vertAlign w:val="superscript"/>
          <w:rtl/>
        </w:rPr>
        <w:t>)</w:t>
      </w:r>
      <w:r w:rsidRPr="004F0EC4">
        <w:rPr>
          <w:rtl/>
        </w:rPr>
        <w:t xml:space="preserve"> على أن تضع دائرة السجل المدني والهوية إجراءات سريعة وبسيطة لتسجيل المواليد تتيح تحديد هوية المواليد وجنسيتهم في وقت مناسب، بغض النظر عن وضعهم من حيث الهجرة أو وضع أبيهم و/أو أمهم. وينشئ هذا القانون إطار عمل يخول الدولة اتخاذ التدابير اللازمة للدفاع عن حقوق الأطفال والمراهقين وحمايتها، مع مراعاة الفئات التي تحتاج إلى حماية خاصة، مثل الأطفال والمراهقين ذوي الإعاقة أو المنتمين إلى مجتمعات السكان الأصليين، ويحظر التمييز القائم على هذه الأسس.</w:t>
      </w:r>
    </w:p>
    <w:p w14:paraId="22701C94" w14:textId="363BD3A2" w:rsidR="00E54512" w:rsidRPr="004F0EC4" w:rsidRDefault="00E54512" w:rsidP="00E54512">
      <w:pPr>
        <w:pStyle w:val="SingleTxtGA"/>
      </w:pPr>
      <w:r w:rsidRPr="004F0EC4">
        <w:rPr>
          <w:rtl/>
        </w:rPr>
        <w:t>120-</w:t>
      </w:r>
      <w:r w:rsidRPr="004F0EC4">
        <w:rPr>
          <w:rtl/>
        </w:rPr>
        <w:tab/>
        <w:t>ويسمح القانون رقم 19-477</w:t>
      </w:r>
      <w:r w:rsidRPr="004F0EC4">
        <w:rPr>
          <w:vertAlign w:val="superscript"/>
          <w:rtl/>
        </w:rPr>
        <w:t>(</w:t>
      </w:r>
      <w:r w:rsidRPr="004F0EC4">
        <w:rPr>
          <w:vertAlign w:val="superscript"/>
          <w:rtl/>
        </w:rPr>
        <w:footnoteReference w:id="187"/>
      </w:r>
      <w:r w:rsidRPr="004F0EC4">
        <w:rPr>
          <w:vertAlign w:val="superscript"/>
          <w:rtl/>
        </w:rPr>
        <w:t>)</w:t>
      </w:r>
      <w:r w:rsidRPr="004F0EC4">
        <w:rPr>
          <w:rtl/>
        </w:rPr>
        <w:t xml:space="preserve"> لدائرة السجل المدني والهوية بإنشاء مكاتب فرعية داخل دائرة الطب الشرعي والمستشفيات ومرافق الرعاية الصحية الأخرى. وتتولى المكاتب الفرعية الموجودة في </w:t>
      </w:r>
      <w:r w:rsidRPr="004F0EC4">
        <w:rPr>
          <w:spacing w:val="-4"/>
          <w:rtl/>
        </w:rPr>
        <w:t>المستشفيات مسؤولية تسجيل المواليد الذين يولدون داخل تلك المرافق. وبموجب القانون رقم 19-253</w:t>
      </w:r>
      <w:r w:rsidRPr="004F0EC4">
        <w:rPr>
          <w:spacing w:val="-4"/>
          <w:vertAlign w:val="superscript"/>
          <w:rtl/>
        </w:rPr>
        <w:t>(</w:t>
      </w:r>
      <w:r w:rsidRPr="004F0EC4">
        <w:rPr>
          <w:spacing w:val="-4"/>
          <w:vertAlign w:val="superscript"/>
          <w:rtl/>
        </w:rPr>
        <w:footnoteReference w:id="188"/>
      </w:r>
      <w:r w:rsidRPr="004F0EC4">
        <w:rPr>
          <w:spacing w:val="-4"/>
          <w:vertAlign w:val="superscript"/>
          <w:rtl/>
        </w:rPr>
        <w:t>)</w:t>
      </w:r>
      <w:r w:rsidRPr="004F0EC4">
        <w:rPr>
          <w:spacing w:val="-4"/>
          <w:rtl/>
        </w:rPr>
        <w:t>،</w:t>
      </w:r>
      <w:r w:rsidRPr="004F0EC4">
        <w:rPr>
          <w:rtl/>
        </w:rPr>
        <w:t xml:space="preserve"> يتعين على دائرة السجل المدني والهوية تسجيل الأسماء الأولى لأفراد الشعوب الأصلية وألقابهم بالشكل الذي يحدده آباؤهم وباستخدام قواعد التمثيل الصوتي التي يشيرون إليها.</w:t>
      </w:r>
    </w:p>
    <w:p w14:paraId="42052BF6" w14:textId="7443F12B" w:rsidR="00E54512" w:rsidRPr="004F0EC4" w:rsidRDefault="00E54512" w:rsidP="00E54512">
      <w:pPr>
        <w:pStyle w:val="SingleTxtGA"/>
      </w:pPr>
      <w:r w:rsidRPr="004F0EC4">
        <w:rPr>
          <w:rtl/>
        </w:rPr>
        <w:t>121</w:t>
      </w:r>
      <w:r w:rsidRPr="004F0EC4">
        <w:rPr>
          <w:spacing w:val="-4"/>
          <w:rtl/>
        </w:rPr>
        <w:t>-</w:t>
      </w:r>
      <w:r w:rsidRPr="004F0EC4">
        <w:rPr>
          <w:spacing w:val="-4"/>
          <w:rtl/>
        </w:rPr>
        <w:tab/>
        <w:t>وفي عام 2012، وقّعت وزارة الصحة ودائرة السجل المدني والهوية والمعهد الوطني للإحصاء اتفاقاً</w:t>
      </w:r>
      <w:r w:rsidRPr="004F0EC4">
        <w:rPr>
          <w:rtl/>
        </w:rPr>
        <w:t xml:space="preserve"> بين المؤسسات يهدف إلى تجميع إحصاءات الأحوال المدنية على الصعيد الوطني. واعتُمد في عام</w:t>
      </w:r>
      <w:r w:rsidRPr="004F0EC4">
        <w:rPr>
          <w:rFonts w:hint="cs"/>
          <w:rtl/>
        </w:rPr>
        <w:t> </w:t>
      </w:r>
      <w:r w:rsidRPr="004F0EC4">
        <w:rPr>
          <w:rtl/>
        </w:rPr>
        <w:t>2013 المعيار التقني العام رقم 160</w:t>
      </w:r>
      <w:r w:rsidRPr="004F0EC4">
        <w:rPr>
          <w:vertAlign w:val="superscript"/>
          <w:rtl/>
        </w:rPr>
        <w:t>(</w:t>
      </w:r>
      <w:r w:rsidRPr="004F0EC4">
        <w:rPr>
          <w:vertAlign w:val="superscript"/>
          <w:rtl/>
        </w:rPr>
        <w:footnoteReference w:id="189"/>
      </w:r>
      <w:r w:rsidRPr="004F0EC4">
        <w:rPr>
          <w:vertAlign w:val="superscript"/>
          <w:rtl/>
        </w:rPr>
        <w:t>)</w:t>
      </w:r>
      <w:r w:rsidRPr="004F0EC4">
        <w:rPr>
          <w:rtl/>
        </w:rPr>
        <w:t xml:space="preserve">، وهو معيار يتناول نظام المعلومات المتعلق بفترة ما حول الولادة. </w:t>
      </w:r>
      <w:r w:rsidRPr="004F0EC4">
        <w:rPr>
          <w:spacing w:val="-2"/>
          <w:rtl/>
        </w:rPr>
        <w:t>ويتضمن المعيار التقني رقم 820</w:t>
      </w:r>
      <w:r w:rsidRPr="004F0EC4">
        <w:rPr>
          <w:spacing w:val="-2"/>
          <w:vertAlign w:val="superscript"/>
          <w:rtl/>
        </w:rPr>
        <w:t>(</w:t>
      </w:r>
      <w:r w:rsidRPr="004F0EC4">
        <w:rPr>
          <w:spacing w:val="-2"/>
          <w:vertAlign w:val="superscript"/>
          <w:rtl/>
        </w:rPr>
        <w:footnoteReference w:id="190"/>
      </w:r>
      <w:r w:rsidRPr="004F0EC4">
        <w:rPr>
          <w:spacing w:val="-2"/>
          <w:vertAlign w:val="superscript"/>
          <w:rtl/>
        </w:rPr>
        <w:t>)</w:t>
      </w:r>
      <w:r w:rsidRPr="004F0EC4">
        <w:rPr>
          <w:spacing w:val="-2"/>
          <w:rtl/>
        </w:rPr>
        <w:t>، وهو معيار يتعلق بمعايير المعلومات الصحية نُشر في عام</w:t>
      </w:r>
      <w:r w:rsidRPr="004F0EC4">
        <w:rPr>
          <w:rFonts w:hint="cs"/>
          <w:spacing w:val="-2"/>
          <w:rtl/>
        </w:rPr>
        <w:t> </w:t>
      </w:r>
      <w:r w:rsidRPr="004F0EC4">
        <w:rPr>
          <w:spacing w:val="-2"/>
          <w:rtl/>
        </w:rPr>
        <w:t>2016،</w:t>
      </w:r>
      <w:r w:rsidRPr="004F0EC4">
        <w:rPr>
          <w:rtl/>
        </w:rPr>
        <w:t xml:space="preserve"> معياراً أدنى إلزامياً لمتغير "الشعوب الأصلية".</w:t>
      </w:r>
    </w:p>
    <w:p w14:paraId="5B74602C" w14:textId="77777777" w:rsidR="00E54512" w:rsidRPr="004F0EC4" w:rsidRDefault="00E54512" w:rsidP="00E54512">
      <w:pPr>
        <w:pStyle w:val="H1GA"/>
        <w:rPr>
          <w:lang w:val="en-US"/>
        </w:rPr>
      </w:pPr>
      <w:r w:rsidRPr="004F0EC4">
        <w:rPr>
          <w:rtl/>
          <w:lang w:val="en-US"/>
        </w:rPr>
        <w:tab/>
      </w:r>
      <w:r w:rsidRPr="004F0EC4">
        <w:rPr>
          <w:rtl/>
          <w:lang w:val="en-US"/>
        </w:rPr>
        <w:tab/>
        <w:t>المادة 19</w:t>
      </w:r>
    </w:p>
    <w:p w14:paraId="1A9A4FBA" w14:textId="1584139C" w:rsidR="00E54512" w:rsidRPr="004F0EC4" w:rsidRDefault="00E54512" w:rsidP="00E54512">
      <w:pPr>
        <w:pStyle w:val="SingleTxtGA"/>
      </w:pPr>
      <w:r w:rsidRPr="004F0EC4">
        <w:rPr>
          <w:rtl/>
        </w:rPr>
        <w:t>122-</w:t>
      </w:r>
      <w:r w:rsidRPr="004F0EC4">
        <w:rPr>
          <w:spacing w:val="-2"/>
          <w:rtl/>
        </w:rPr>
        <w:tab/>
        <w:t>قامت الدائرة الوطنية لشؤون الأشخاص ذوي الإعاقة في عام 2019، تماشياً مع الحق في العيش</w:t>
      </w:r>
      <w:r w:rsidRPr="004F0EC4">
        <w:rPr>
          <w:rtl/>
        </w:rPr>
        <w:t xml:space="preserve"> المستقل، بتنفيذ استراتيجية لتعزيز الاعتماد على الذات من خلال شبكات محلية ومجتمعية، وذلك</w:t>
      </w:r>
      <w:r w:rsidRPr="004F0EC4">
        <w:rPr>
          <w:rFonts w:hint="cs"/>
          <w:rtl/>
        </w:rPr>
        <w:t> </w:t>
      </w:r>
      <w:r w:rsidRPr="004F0EC4">
        <w:rPr>
          <w:rtl/>
        </w:rPr>
        <w:t xml:space="preserve">على أساس تجريبي في ثلاث جماعات، منها جماعتان حضريتان وجماعة ريفية. وكان الغرض </w:t>
      </w:r>
      <w:r w:rsidRPr="004F0EC4">
        <w:rPr>
          <w:spacing w:val="-2"/>
          <w:rtl/>
        </w:rPr>
        <w:t>منها تعزيز عمليات تحسين نوعية الحياة والإدماج الاجتماعي للأشخاص ذوي الإعاقة أو من هم في أوضاع</w:t>
      </w:r>
      <w:r w:rsidRPr="004F0EC4">
        <w:rPr>
          <w:rtl/>
        </w:rPr>
        <w:t xml:space="preserve"> اعتمادية أو أوضاع ضعف اجتماعي ممن تبلغ أعمارهم 18 عاماً فأكثر وينتمون إلى الشريحة الأضعف التي تشكل 40 في </w:t>
      </w:r>
      <w:proofErr w:type="gramStart"/>
      <w:r w:rsidRPr="004F0EC4">
        <w:rPr>
          <w:rtl/>
        </w:rPr>
        <w:t>المائة</w:t>
      </w:r>
      <w:proofErr w:type="gramEnd"/>
      <w:r w:rsidRPr="004F0EC4">
        <w:rPr>
          <w:rtl/>
        </w:rPr>
        <w:t xml:space="preserve"> من الفئات المستهدفة، فضلاً عن تحسين نوعية حياة من يقدمون لهم الرعاية وتعزيز </w:t>
      </w:r>
      <w:r w:rsidRPr="004F0EC4">
        <w:rPr>
          <w:spacing w:val="-2"/>
          <w:rtl/>
        </w:rPr>
        <w:t>الروابط الاجتماعية التي تربط هؤلاء الأشخاص بالمجتمع المحيط بهم. ووُسّع بعد ذلك نطاق البرنامج ليشمل</w:t>
      </w:r>
      <w:r w:rsidRPr="004F0EC4">
        <w:rPr>
          <w:rtl/>
        </w:rPr>
        <w:t xml:space="preserve"> ثلاث مناطق أخرى، وأُدمج في استراتيجية التنمية المحلية الشاملة التي تتبناها </w:t>
      </w:r>
      <w:proofErr w:type="gramStart"/>
      <w:r w:rsidRPr="004F0EC4">
        <w:rPr>
          <w:rtl/>
        </w:rPr>
        <w:t>الدائرة</w:t>
      </w:r>
      <w:r w:rsidRPr="004F0EC4">
        <w:rPr>
          <w:vertAlign w:val="superscript"/>
          <w:rtl/>
        </w:rPr>
        <w:t>(</w:t>
      </w:r>
      <w:proofErr w:type="gramEnd"/>
      <w:r w:rsidRPr="004F0EC4">
        <w:rPr>
          <w:vertAlign w:val="superscript"/>
          <w:rtl/>
        </w:rPr>
        <w:footnoteReference w:id="191"/>
      </w:r>
      <w:r w:rsidRPr="004F0EC4">
        <w:rPr>
          <w:vertAlign w:val="superscript"/>
          <w:rtl/>
        </w:rPr>
        <w:t>)</w:t>
      </w:r>
      <w:r w:rsidRPr="004F0EC4">
        <w:rPr>
          <w:rtl/>
        </w:rPr>
        <w:t>.</w:t>
      </w:r>
    </w:p>
    <w:p w14:paraId="2CF160F2" w14:textId="02F0D0B5" w:rsidR="00E54512" w:rsidRPr="004F0EC4" w:rsidRDefault="00E54512" w:rsidP="00E54512">
      <w:pPr>
        <w:pStyle w:val="SingleTxtGA"/>
      </w:pPr>
      <w:r w:rsidRPr="004F0EC4">
        <w:rPr>
          <w:rtl/>
        </w:rPr>
        <w:lastRenderedPageBreak/>
        <w:t>123-</w:t>
      </w:r>
      <w:r w:rsidRPr="004F0EC4">
        <w:rPr>
          <w:rtl/>
        </w:rPr>
        <w:tab/>
        <w:t xml:space="preserve">وأُطلق برنامج التحول إلى العيش المستقل التابع للدائرة الوطنية لشؤون الأشخاص ذوي الإعاقة على الصعيد الوطني، وذلك باستخدام ثلاثة نماذج للتمويل – نموذج فردي ونموذج جماعي وآخر قائم على التدريب – تهدف إلى دعم عملية الانتقال إلى العيش المستقل وتعزيز الدعم المجتمعي للأشخاص ذوي الإعاقة. وفي عام 2021، كان 168 مشروعاً فردياً و44 مشروعاً جماعياً قيد التنفيذ، وهي مشاريع تهدف إلى تنفيذ المكونات الأربعة للبرنامج، ألا وهي: خدمات الدعم والرعاية؛ وخدمات الوساطة؛ وعمليات التكيف البيئي؛ والتدريب. وفي عام 2017، نشرت الدائرة الوطنية لشؤون الأشخاص ذوي الإعاقة وثيقة حول أفضل الممارسات في مجال الخدمات الرامية إلى دعم العيش </w:t>
      </w:r>
      <w:proofErr w:type="gramStart"/>
      <w:r w:rsidRPr="004F0EC4">
        <w:rPr>
          <w:rtl/>
        </w:rPr>
        <w:t>المستقل</w:t>
      </w:r>
      <w:r w:rsidRPr="004F0EC4">
        <w:rPr>
          <w:vertAlign w:val="superscript"/>
          <w:rtl/>
        </w:rPr>
        <w:t>(</w:t>
      </w:r>
      <w:proofErr w:type="gramEnd"/>
      <w:r w:rsidRPr="004F0EC4">
        <w:rPr>
          <w:vertAlign w:val="superscript"/>
          <w:rtl/>
        </w:rPr>
        <w:footnoteReference w:id="192"/>
      </w:r>
      <w:r w:rsidRPr="004F0EC4">
        <w:rPr>
          <w:vertAlign w:val="superscript"/>
          <w:rtl/>
        </w:rPr>
        <w:t>)</w:t>
      </w:r>
      <w:r w:rsidRPr="004F0EC4">
        <w:rPr>
          <w:rtl/>
        </w:rPr>
        <w:t>، وتضمنت هذه الوثيقة عرضاً للتجارب التي جمّعتها الدائرة.</w:t>
      </w:r>
    </w:p>
    <w:p w14:paraId="4320FD9A" w14:textId="25747660" w:rsidR="00E54512" w:rsidRPr="004F0EC4" w:rsidRDefault="00E54512" w:rsidP="00E54512">
      <w:pPr>
        <w:pStyle w:val="SingleTxtGA"/>
      </w:pPr>
      <w:r w:rsidRPr="004F0EC4">
        <w:rPr>
          <w:rtl/>
        </w:rPr>
        <w:t>124-</w:t>
      </w:r>
      <w:r w:rsidRPr="004F0EC4">
        <w:rPr>
          <w:rtl/>
        </w:rPr>
        <w:tab/>
        <w:t>وقد ساهمت مبادرة "شيلي تقدرك"</w:t>
      </w:r>
      <w:r w:rsidRPr="004F0EC4">
        <w:rPr>
          <w:vertAlign w:val="superscript"/>
          <w:rtl/>
        </w:rPr>
        <w:t>(</w:t>
      </w:r>
      <w:r w:rsidRPr="004F0EC4">
        <w:rPr>
          <w:vertAlign w:val="superscript"/>
          <w:rtl/>
        </w:rPr>
        <w:footnoteReference w:id="193"/>
      </w:r>
      <w:r w:rsidRPr="004F0EC4">
        <w:rPr>
          <w:vertAlign w:val="superscript"/>
          <w:rtl/>
        </w:rPr>
        <w:t>)</w:t>
      </w:r>
      <w:r w:rsidRPr="004F0EC4">
        <w:rPr>
          <w:rtl/>
        </w:rPr>
        <w:t xml:space="preserve"> في إبراز دور المساعدين ومقدمي الرعاية للمرضى. فهم يقدمون خدمات الرعاية الأساسية للأشخاص المعتمدين على الغير أو الذين يتعرضون لانتهاك حقوقهم، </w:t>
      </w:r>
      <w:r w:rsidRPr="004F0EC4">
        <w:rPr>
          <w:spacing w:val="-2"/>
          <w:rtl/>
        </w:rPr>
        <w:t>وذلك على نحو يتماشى مع ما يحدَّد من احتياجاتهم وما ينطبق من القواعد التنظيمية. وتقوم الدائرة الوطنية</w:t>
      </w:r>
      <w:r w:rsidRPr="004F0EC4">
        <w:rPr>
          <w:rtl/>
        </w:rPr>
        <w:t xml:space="preserve"> لشؤون الأشخاص ذوي الإعاقة، بموجب اتفاقية مع دائرة السجل المدني والهوية، بتقييم ما إذا كان الأفراد يستوفون الشروط اللازمة لتسجيلهم بوصفهم مقدمين لخدمات الدعم أو مقدمين للمساعدة.</w:t>
      </w:r>
    </w:p>
    <w:p w14:paraId="63ADE70B" w14:textId="6581E3FC" w:rsidR="00E54512" w:rsidRPr="004F0EC4" w:rsidRDefault="00E54512" w:rsidP="00E54512">
      <w:pPr>
        <w:pStyle w:val="SingleTxtGA"/>
      </w:pPr>
      <w:r w:rsidRPr="004F0EC4">
        <w:rPr>
          <w:rtl/>
        </w:rPr>
        <w:t>125-</w:t>
      </w:r>
      <w:r w:rsidRPr="004F0EC4">
        <w:rPr>
          <w:rtl/>
        </w:rPr>
        <w:tab/>
        <w:t xml:space="preserve">وقامت وزارة الإسكان وتخطيط المدن بتطبيق تصميم يكفل الاستخدام الميسر في إطار البرامج </w:t>
      </w:r>
      <w:proofErr w:type="gramStart"/>
      <w:r w:rsidRPr="004F0EC4">
        <w:rPr>
          <w:rtl/>
        </w:rPr>
        <w:t>الحضرية</w:t>
      </w:r>
      <w:r w:rsidRPr="004F0EC4">
        <w:rPr>
          <w:vertAlign w:val="superscript"/>
          <w:rtl/>
        </w:rPr>
        <w:t>(</w:t>
      </w:r>
      <w:proofErr w:type="gramEnd"/>
      <w:r w:rsidRPr="004F0EC4">
        <w:rPr>
          <w:vertAlign w:val="superscript"/>
          <w:rtl/>
        </w:rPr>
        <w:footnoteReference w:id="194"/>
      </w:r>
      <w:r w:rsidRPr="004F0EC4">
        <w:rPr>
          <w:vertAlign w:val="superscript"/>
          <w:rtl/>
        </w:rPr>
        <w:t>)</w:t>
      </w:r>
      <w:r w:rsidRPr="004F0EC4">
        <w:rPr>
          <w:rtl/>
        </w:rPr>
        <w:t xml:space="preserve">. ونُفذت مشاريع تجريبية في إطار خطة "المدينة الشاملة للجميع" الرامية إلى توفير إمكانية </w:t>
      </w:r>
      <w:r w:rsidRPr="004F0EC4">
        <w:rPr>
          <w:spacing w:val="-2"/>
          <w:rtl/>
        </w:rPr>
        <w:t>الوصول للجميع في مدن شتى. وفي عام 2018، نُشر دليل حول الحلول التي تتيح للأشخاص ذوي الإعاقة</w:t>
      </w:r>
      <w:r w:rsidRPr="004F0EC4">
        <w:rPr>
          <w:rtl/>
        </w:rPr>
        <w:t xml:space="preserve"> سهولة الوصول في الأماكن العامة </w:t>
      </w:r>
      <w:proofErr w:type="gramStart"/>
      <w:r w:rsidRPr="004F0EC4">
        <w:rPr>
          <w:rtl/>
        </w:rPr>
        <w:t>والمساكن</w:t>
      </w:r>
      <w:r w:rsidRPr="004F0EC4">
        <w:rPr>
          <w:vertAlign w:val="superscript"/>
          <w:rtl/>
        </w:rPr>
        <w:t>(</w:t>
      </w:r>
      <w:proofErr w:type="gramEnd"/>
      <w:r w:rsidRPr="004F0EC4">
        <w:rPr>
          <w:vertAlign w:val="superscript"/>
          <w:rtl/>
        </w:rPr>
        <w:footnoteReference w:id="195"/>
      </w:r>
      <w:r w:rsidRPr="004F0EC4">
        <w:rPr>
          <w:vertAlign w:val="superscript"/>
          <w:rtl/>
        </w:rPr>
        <w:t>)</w:t>
      </w:r>
      <w:r w:rsidRPr="004F0EC4">
        <w:rPr>
          <w:rtl/>
        </w:rPr>
        <w:t>.</w:t>
      </w:r>
    </w:p>
    <w:p w14:paraId="218572A1" w14:textId="35B15D67" w:rsidR="00E54512" w:rsidRPr="004F0EC4" w:rsidRDefault="00E54512" w:rsidP="00E54512">
      <w:pPr>
        <w:pStyle w:val="SingleTxtGA"/>
      </w:pPr>
      <w:r w:rsidRPr="004F0EC4">
        <w:rPr>
          <w:rtl/>
        </w:rPr>
        <w:t>126-</w:t>
      </w:r>
      <w:r w:rsidRPr="004F0EC4">
        <w:rPr>
          <w:rtl/>
        </w:rPr>
        <w:tab/>
        <w:t xml:space="preserve">وفيما يتعلق بإنهاء الإيداع في مؤسسات الرعاية، تشرف وزارة الصحة على عملية إعادة تصميم </w:t>
      </w:r>
      <w:r w:rsidRPr="004F0EC4">
        <w:rPr>
          <w:spacing w:val="-2"/>
          <w:rtl/>
        </w:rPr>
        <w:t>البرنامج الوطني لمراكز الرعاية ودور الإيواء المحمية، وهي عملية تستدعي إدخال تغييرات كبيرة على القانون</w:t>
      </w:r>
      <w:r w:rsidRPr="004F0EC4">
        <w:rPr>
          <w:rtl/>
        </w:rPr>
        <w:t xml:space="preserve"> </w:t>
      </w:r>
      <w:r w:rsidRPr="004F0EC4">
        <w:rPr>
          <w:spacing w:val="-4"/>
          <w:rtl/>
        </w:rPr>
        <w:t>رقم 21-331</w:t>
      </w:r>
      <w:r w:rsidRPr="004F0EC4">
        <w:rPr>
          <w:spacing w:val="-4"/>
          <w:vertAlign w:val="superscript"/>
          <w:rtl/>
        </w:rPr>
        <w:t>(</w:t>
      </w:r>
      <w:r w:rsidRPr="004F0EC4">
        <w:rPr>
          <w:spacing w:val="-4"/>
          <w:vertAlign w:val="superscript"/>
          <w:rtl/>
        </w:rPr>
        <w:footnoteReference w:id="196"/>
      </w:r>
      <w:r w:rsidRPr="004F0EC4">
        <w:rPr>
          <w:spacing w:val="-4"/>
          <w:vertAlign w:val="superscript"/>
          <w:rtl/>
        </w:rPr>
        <w:t>)</w:t>
      </w:r>
      <w:r w:rsidRPr="004F0EC4">
        <w:rPr>
          <w:spacing w:val="-4"/>
          <w:rtl/>
        </w:rPr>
        <w:t xml:space="preserve">. ومن المتوقع أن يتيح مشروع تجريبي يجري تطويره بالتعاون مع دائرة الصحة في </w:t>
      </w:r>
      <w:proofErr w:type="spellStart"/>
      <w:r w:rsidRPr="004F0EC4">
        <w:rPr>
          <w:spacing w:val="-4"/>
          <w:rtl/>
        </w:rPr>
        <w:t>أكونكاغوا</w:t>
      </w:r>
      <w:proofErr w:type="spellEnd"/>
      <w:r w:rsidRPr="004F0EC4">
        <w:rPr>
          <w:spacing w:val="-4"/>
          <w:rtl/>
        </w:rPr>
        <w:t xml:space="preserve"> إنهاء إيداع حوالي 30 شخصاً، وهم نزلاء في مستشفى فيليب </w:t>
      </w:r>
      <w:proofErr w:type="spellStart"/>
      <w:r w:rsidRPr="004F0EC4">
        <w:rPr>
          <w:spacing w:val="-4"/>
          <w:rtl/>
        </w:rPr>
        <w:t>بينيل</w:t>
      </w:r>
      <w:proofErr w:type="spellEnd"/>
      <w:r w:rsidRPr="004F0EC4">
        <w:rPr>
          <w:spacing w:val="-4"/>
          <w:rtl/>
        </w:rPr>
        <w:t xml:space="preserve"> للصحة النفسية في </w:t>
      </w:r>
      <w:proofErr w:type="spellStart"/>
      <w:r w:rsidRPr="004F0EC4">
        <w:rPr>
          <w:spacing w:val="-4"/>
          <w:rtl/>
        </w:rPr>
        <w:t>بوتيندو</w:t>
      </w:r>
      <w:proofErr w:type="spellEnd"/>
      <w:r w:rsidRPr="004F0EC4">
        <w:rPr>
          <w:rtl/>
        </w:rPr>
        <w:t xml:space="preserve"> </w:t>
      </w:r>
      <w:r w:rsidRPr="004F0EC4">
        <w:rPr>
          <w:spacing w:val="-4"/>
          <w:rtl/>
        </w:rPr>
        <w:t>منذ ما يتراوح بين 30 و40 عاماً. وتتضمن الخطة الوطنية للصحة النفسية وخطة العمل المصاحبة لها تدابير</w:t>
      </w:r>
      <w:r w:rsidRPr="004F0EC4">
        <w:rPr>
          <w:rtl/>
        </w:rPr>
        <w:t xml:space="preserve"> تهدف إلى إنهاء الإيداع في مؤسسات الرعاية، وتحدد غايات ذات صلة للفترة 2022-2025.</w:t>
      </w:r>
    </w:p>
    <w:p w14:paraId="178B57F8" w14:textId="67596BA4" w:rsidR="00E54512" w:rsidRPr="004F0EC4" w:rsidRDefault="00E54512" w:rsidP="00E54512">
      <w:pPr>
        <w:pStyle w:val="SingleTxtGA"/>
      </w:pPr>
      <w:r w:rsidRPr="004F0EC4">
        <w:rPr>
          <w:rtl/>
        </w:rPr>
        <w:t>127-</w:t>
      </w:r>
      <w:r w:rsidRPr="004F0EC4">
        <w:rPr>
          <w:rtl/>
        </w:rPr>
        <w:tab/>
        <w:t>وينص القانون رقم 21-430</w:t>
      </w:r>
      <w:r w:rsidRPr="004F0EC4">
        <w:rPr>
          <w:vertAlign w:val="superscript"/>
          <w:rtl/>
        </w:rPr>
        <w:t>(</w:t>
      </w:r>
      <w:r w:rsidRPr="004F0EC4">
        <w:rPr>
          <w:vertAlign w:val="superscript"/>
          <w:rtl/>
        </w:rPr>
        <w:footnoteReference w:id="197"/>
      </w:r>
      <w:r w:rsidRPr="004F0EC4">
        <w:rPr>
          <w:vertAlign w:val="superscript"/>
          <w:rtl/>
        </w:rPr>
        <w:t>)</w:t>
      </w:r>
      <w:r w:rsidRPr="004F0EC4">
        <w:rPr>
          <w:rtl/>
        </w:rPr>
        <w:t xml:space="preserve"> على أن لجميع الأطفال والمراهقين الحق في ممارسة حريتهم الشخصية واستقلاليتهم بما يتناسب مع أعمارهم ودرجة نضجهم ومستوى نموهم. ومن ثم، لا يجوز اللجوء </w:t>
      </w:r>
      <w:r w:rsidRPr="004F0EC4">
        <w:rPr>
          <w:spacing w:val="-4"/>
          <w:rtl/>
        </w:rPr>
        <w:t>إلى الاحتجاز المؤقت إلا بصفة استثنائية. وعلاوة على ذلك، ينص القانون صراحةً على أنه لا يجوز بأي حال من الأحوال استخدام حالة إعاقة الطفل أو المراهق ذريعةً لحرمانه من الحقوق المكرسة في هذا القانون.</w:t>
      </w:r>
    </w:p>
    <w:p w14:paraId="57BA7186" w14:textId="77777777" w:rsidR="00E54512" w:rsidRPr="004F0EC4" w:rsidRDefault="00E54512" w:rsidP="00E54512">
      <w:pPr>
        <w:pStyle w:val="SingleTxtGA"/>
      </w:pPr>
      <w:r w:rsidRPr="004F0EC4">
        <w:rPr>
          <w:rtl/>
        </w:rPr>
        <w:t>128-</w:t>
      </w:r>
      <w:r w:rsidRPr="004F0EC4">
        <w:rPr>
          <w:rtl/>
        </w:rPr>
        <w:tab/>
        <w:t>وتتناول الفقرتان 90 و91 مسألة الإيداع القسري في المؤسسات بسبب الإعاقة.</w:t>
      </w:r>
    </w:p>
    <w:p w14:paraId="26A216DF" w14:textId="77777777" w:rsidR="00E54512" w:rsidRPr="004F0EC4" w:rsidRDefault="00E54512" w:rsidP="00E54512">
      <w:pPr>
        <w:pStyle w:val="H1GA"/>
        <w:rPr>
          <w:lang w:val="en-US"/>
        </w:rPr>
      </w:pPr>
      <w:r w:rsidRPr="004F0EC4">
        <w:rPr>
          <w:rtl/>
          <w:lang w:val="en-US"/>
        </w:rPr>
        <w:lastRenderedPageBreak/>
        <w:tab/>
      </w:r>
      <w:r w:rsidRPr="004F0EC4">
        <w:rPr>
          <w:rtl/>
          <w:lang w:val="en-US"/>
        </w:rPr>
        <w:tab/>
        <w:t>المادة 21</w:t>
      </w:r>
    </w:p>
    <w:p w14:paraId="33541FC9" w14:textId="77777777" w:rsidR="00E54512" w:rsidRPr="004F0EC4" w:rsidRDefault="00E54512" w:rsidP="00E54512">
      <w:pPr>
        <w:pStyle w:val="SingleTxtGA"/>
      </w:pPr>
      <w:r w:rsidRPr="004F0EC4">
        <w:rPr>
          <w:rtl/>
        </w:rPr>
        <w:t>129-</w:t>
      </w:r>
      <w:r w:rsidRPr="004F0EC4">
        <w:rPr>
          <w:rtl/>
        </w:rPr>
        <w:tab/>
      </w:r>
      <w:r w:rsidRPr="004F0EC4">
        <w:rPr>
          <w:spacing w:val="-4"/>
          <w:rtl/>
        </w:rPr>
        <w:t>تتعهد الدولة، بموجب القانون رقم 21-303، المشار إليه في الفقرة 43، بتعزيز حقوق الأشخاص</w:t>
      </w:r>
      <w:r w:rsidRPr="004F0EC4">
        <w:rPr>
          <w:rtl/>
        </w:rPr>
        <w:t xml:space="preserve"> الصم الثقافية واللغوية وباحترامها وإعمالها، وبضمان أن تتاح لهم الاستفادة من الخدمات العامة والخاصة والخدمات التعليمية وسوق العمل والرعاية الصحية وغيرها من مجالات الحياة الاجتماعية باستخدام لغة الإشارة الشيلية.</w:t>
      </w:r>
    </w:p>
    <w:p w14:paraId="3D543364" w14:textId="77777777" w:rsidR="00E54512" w:rsidRPr="004F0EC4" w:rsidRDefault="00E54512" w:rsidP="00E54512">
      <w:pPr>
        <w:pStyle w:val="SingleTxtGA"/>
      </w:pPr>
      <w:r w:rsidRPr="004F0EC4">
        <w:rPr>
          <w:rtl/>
        </w:rPr>
        <w:t>130-</w:t>
      </w:r>
      <w:r w:rsidRPr="004F0EC4">
        <w:rPr>
          <w:rtl/>
        </w:rPr>
        <w:tab/>
        <w:t>وفيما يتعلق بنُظم الاتصالات وإمكانية الحصول على المعلومات العامة عبر وسائط الإعلام، انظر الفقرة 42.</w:t>
      </w:r>
    </w:p>
    <w:p w14:paraId="62446735" w14:textId="36A93B9C" w:rsidR="00E54512" w:rsidRPr="004F0EC4" w:rsidRDefault="00E54512" w:rsidP="00E54512">
      <w:pPr>
        <w:pStyle w:val="SingleTxtGA"/>
      </w:pPr>
      <w:r w:rsidRPr="004F0EC4">
        <w:rPr>
          <w:rtl/>
        </w:rPr>
        <w:t>131-</w:t>
      </w:r>
      <w:r w:rsidRPr="004F0EC4">
        <w:rPr>
          <w:spacing w:val="-4"/>
          <w:rtl/>
        </w:rPr>
        <w:tab/>
        <w:t>وترد القواعد المتعلقة بإمكانية الوصول إلى المواقع الشبكية الحكومية في قرار الإعفاء رقم 1773</w:t>
      </w:r>
      <w:r w:rsidRPr="004F0EC4">
        <w:rPr>
          <w:vertAlign w:val="superscript"/>
          <w:rtl/>
        </w:rPr>
        <w:t>(</w:t>
      </w:r>
      <w:r w:rsidRPr="004F0EC4">
        <w:rPr>
          <w:vertAlign w:val="superscript"/>
          <w:rtl/>
        </w:rPr>
        <w:footnoteReference w:id="198"/>
      </w:r>
      <w:r w:rsidRPr="004F0EC4">
        <w:rPr>
          <w:vertAlign w:val="superscript"/>
          <w:rtl/>
        </w:rPr>
        <w:t>)</w:t>
      </w:r>
      <w:r w:rsidRPr="004F0EC4">
        <w:rPr>
          <w:rtl/>
        </w:rPr>
        <w:t xml:space="preserve"> لعام 2016 الصادر عن وزارة النقل والاتصالات السلكية واللاسلكية، وهو قرار يتضمن تعليمات بشأن تصميم وتنفيذ خطط تهدف إلى جعل المواقع الإلكترونية ميسرة الاستخدام، وفي المرسوم رقم 1</w:t>
      </w:r>
      <w:r w:rsidRPr="004F0EC4">
        <w:rPr>
          <w:vertAlign w:val="superscript"/>
          <w:rtl/>
        </w:rPr>
        <w:t>(</w:t>
      </w:r>
      <w:r w:rsidRPr="004F0EC4">
        <w:rPr>
          <w:vertAlign w:val="superscript"/>
          <w:rtl/>
        </w:rPr>
        <w:footnoteReference w:id="199"/>
      </w:r>
      <w:r w:rsidRPr="004F0EC4">
        <w:rPr>
          <w:vertAlign w:val="superscript"/>
          <w:rtl/>
        </w:rPr>
        <w:t>)</w:t>
      </w:r>
      <w:r w:rsidRPr="004F0EC4">
        <w:rPr>
          <w:rtl/>
        </w:rPr>
        <w:t xml:space="preserve"> الصادر عن مكتب الوزير والأمين العام لمكتب الرئيس (الفقرة 45).</w:t>
      </w:r>
    </w:p>
    <w:p w14:paraId="75383AF6" w14:textId="26873A6A" w:rsidR="00E54512" w:rsidRPr="004F0EC4" w:rsidRDefault="00E54512" w:rsidP="00E54512">
      <w:pPr>
        <w:pStyle w:val="SingleTxtGA"/>
      </w:pPr>
      <w:r w:rsidRPr="004F0EC4">
        <w:rPr>
          <w:rtl/>
        </w:rPr>
        <w:t>132-</w:t>
      </w:r>
      <w:r w:rsidRPr="004F0EC4">
        <w:rPr>
          <w:rtl/>
        </w:rPr>
        <w:tab/>
        <w:t xml:space="preserve">وقد اتُّخذت تدابير شتى لتطوير الكفاءة المهنية لمترجمي لغة الإشارة الشيلية ولضمان توفرهم في </w:t>
      </w:r>
      <w:r w:rsidRPr="004F0EC4">
        <w:rPr>
          <w:spacing w:val="-2"/>
          <w:rtl/>
        </w:rPr>
        <w:t xml:space="preserve">المدارس وفي مؤسسات التعليم العالي. وفي عام 2018، شُكلت وكالة قطاعية معنية بالمهارات الوظيفية </w:t>
      </w:r>
      <w:r w:rsidRPr="004F0EC4">
        <w:rPr>
          <w:rtl/>
        </w:rPr>
        <w:t xml:space="preserve">في لغة الإشارة </w:t>
      </w:r>
      <w:proofErr w:type="gramStart"/>
      <w:r w:rsidRPr="004F0EC4">
        <w:rPr>
          <w:rtl/>
        </w:rPr>
        <w:t>الشيلية</w:t>
      </w:r>
      <w:r w:rsidRPr="004F0EC4">
        <w:rPr>
          <w:vertAlign w:val="superscript"/>
          <w:rtl/>
        </w:rPr>
        <w:t>(</w:t>
      </w:r>
      <w:proofErr w:type="gramEnd"/>
      <w:r w:rsidRPr="004F0EC4">
        <w:rPr>
          <w:vertAlign w:val="superscript"/>
          <w:rtl/>
        </w:rPr>
        <w:footnoteReference w:id="200"/>
      </w:r>
      <w:r w:rsidRPr="004F0EC4">
        <w:rPr>
          <w:vertAlign w:val="superscript"/>
          <w:rtl/>
        </w:rPr>
        <w:t>)</w:t>
      </w:r>
      <w:r w:rsidRPr="004F0EC4">
        <w:rPr>
          <w:rtl/>
        </w:rPr>
        <w:t xml:space="preserve">، وقامت في وقت لاحق بوضع توصيفين وظيفيين، أحدهما مخصص للمدربين الصم في مجال لغة الإشارة الشيلية وثقافة </w:t>
      </w:r>
      <w:proofErr w:type="gramStart"/>
      <w:r w:rsidRPr="004F0EC4">
        <w:rPr>
          <w:rtl/>
        </w:rPr>
        <w:t>الصم</w:t>
      </w:r>
      <w:r w:rsidRPr="004F0EC4">
        <w:rPr>
          <w:vertAlign w:val="superscript"/>
          <w:rtl/>
        </w:rPr>
        <w:t>(</w:t>
      </w:r>
      <w:proofErr w:type="gramEnd"/>
      <w:r w:rsidRPr="004F0EC4">
        <w:rPr>
          <w:vertAlign w:val="superscript"/>
          <w:rtl/>
        </w:rPr>
        <w:footnoteReference w:id="201"/>
      </w:r>
      <w:r w:rsidRPr="004F0EC4">
        <w:rPr>
          <w:vertAlign w:val="superscript"/>
          <w:rtl/>
        </w:rPr>
        <w:t>)</w:t>
      </w:r>
      <w:r w:rsidRPr="004F0EC4">
        <w:rPr>
          <w:rtl/>
        </w:rPr>
        <w:t xml:space="preserve">، والآخر مخصص للمعلمين المساعدين الصم في مجال لغة الإشارة الشيلية وثقافة </w:t>
      </w:r>
      <w:proofErr w:type="gramStart"/>
      <w:r w:rsidRPr="004F0EC4">
        <w:rPr>
          <w:rtl/>
        </w:rPr>
        <w:t>الصم</w:t>
      </w:r>
      <w:r w:rsidRPr="004F0EC4">
        <w:rPr>
          <w:vertAlign w:val="superscript"/>
          <w:rtl/>
        </w:rPr>
        <w:t>(</w:t>
      </w:r>
      <w:proofErr w:type="gramEnd"/>
      <w:r w:rsidRPr="004F0EC4">
        <w:rPr>
          <w:vertAlign w:val="superscript"/>
          <w:rtl/>
        </w:rPr>
        <w:footnoteReference w:id="202"/>
      </w:r>
      <w:r w:rsidRPr="004F0EC4">
        <w:rPr>
          <w:vertAlign w:val="superscript"/>
          <w:rtl/>
        </w:rPr>
        <w:t>)</w:t>
      </w:r>
      <w:r w:rsidRPr="004F0EC4">
        <w:rPr>
          <w:rtl/>
        </w:rPr>
        <w:t xml:space="preserve">. وبالإضافة إلى ذلك، وُضعت خطتا تدريب استناداً إلى المعايير المحددة في التوصيفين الوظيفيين، إحداهما تتناول الأدوات المنهجية للمدربين الصم في مجال لغة الإشارة الشيلية وثقافة </w:t>
      </w:r>
      <w:proofErr w:type="gramStart"/>
      <w:r w:rsidRPr="004F0EC4">
        <w:rPr>
          <w:rtl/>
        </w:rPr>
        <w:t>الصم</w:t>
      </w:r>
      <w:r w:rsidRPr="004F0EC4">
        <w:rPr>
          <w:vertAlign w:val="superscript"/>
          <w:rtl/>
        </w:rPr>
        <w:t>(</w:t>
      </w:r>
      <w:proofErr w:type="gramEnd"/>
      <w:r w:rsidRPr="004F0EC4">
        <w:rPr>
          <w:vertAlign w:val="superscript"/>
          <w:rtl/>
        </w:rPr>
        <w:footnoteReference w:id="203"/>
      </w:r>
      <w:r w:rsidRPr="004F0EC4">
        <w:rPr>
          <w:vertAlign w:val="superscript"/>
          <w:rtl/>
        </w:rPr>
        <w:t>)</w:t>
      </w:r>
      <w:r w:rsidRPr="004F0EC4">
        <w:rPr>
          <w:rtl/>
        </w:rPr>
        <w:t xml:space="preserve">، والأخرى تتناول الأدوات المنهجية للمعلمين المساعدين الصم في مجال لغة الإشارة </w:t>
      </w:r>
      <w:proofErr w:type="gramStart"/>
      <w:r w:rsidRPr="004F0EC4">
        <w:rPr>
          <w:rtl/>
        </w:rPr>
        <w:t>الشيلية</w:t>
      </w:r>
      <w:r w:rsidRPr="004F0EC4">
        <w:rPr>
          <w:vertAlign w:val="superscript"/>
          <w:rtl/>
        </w:rPr>
        <w:t>(</w:t>
      </w:r>
      <w:proofErr w:type="gramEnd"/>
      <w:r w:rsidRPr="004F0EC4">
        <w:rPr>
          <w:vertAlign w:val="superscript"/>
          <w:rtl/>
        </w:rPr>
        <w:footnoteReference w:id="204"/>
      </w:r>
      <w:r w:rsidRPr="004F0EC4">
        <w:rPr>
          <w:vertAlign w:val="superscript"/>
          <w:rtl/>
        </w:rPr>
        <w:t>)</w:t>
      </w:r>
      <w:r w:rsidRPr="004F0EC4">
        <w:rPr>
          <w:rtl/>
        </w:rPr>
        <w:t>.</w:t>
      </w:r>
    </w:p>
    <w:p w14:paraId="093ADFFD" w14:textId="77777777" w:rsidR="00E54512" w:rsidRPr="004F0EC4" w:rsidRDefault="00E54512" w:rsidP="00E54512">
      <w:pPr>
        <w:pStyle w:val="SingleTxtGA"/>
      </w:pPr>
      <w:r w:rsidRPr="004F0EC4">
        <w:rPr>
          <w:rtl/>
        </w:rPr>
        <w:t>133-</w:t>
      </w:r>
      <w:r w:rsidRPr="004F0EC4">
        <w:rPr>
          <w:rtl/>
        </w:rPr>
        <w:tab/>
        <w:t>وفي عام 2020، عقدت وزارة التعليم سلسلة من الاجتماعات مع الجامعات في مختلف المناطق بهدف وضع مقترح برنامج دراسي للحصول على درجة جامعية في ترجمة لغة الإشارة الشيلية، وتُوجت هذه الجهود بتقديم مقترح أولي في عام 2022 تضمن منهجاً دراسياً لبرنامج مدته ثمانية فصول دراسية للحصول على درجة جامعية أولى.</w:t>
      </w:r>
    </w:p>
    <w:p w14:paraId="32AFA0B0" w14:textId="77777777" w:rsidR="00E54512" w:rsidRPr="004F0EC4" w:rsidRDefault="00E54512" w:rsidP="00E54512">
      <w:pPr>
        <w:pStyle w:val="SingleTxtGA"/>
      </w:pPr>
      <w:r w:rsidRPr="004F0EC4">
        <w:rPr>
          <w:rtl/>
        </w:rPr>
        <w:t>134-</w:t>
      </w:r>
      <w:r w:rsidRPr="004F0EC4">
        <w:rPr>
          <w:rtl/>
        </w:rPr>
        <w:tab/>
        <w:t>ومنذ عام 2014، ارتفع عدد مترجمي لغة الإشارة الشيلية في مدارس البلد.</w:t>
      </w:r>
    </w:p>
    <w:tbl>
      <w:tblPr>
        <w:bidiVisual/>
        <w:tblW w:w="7370" w:type="dxa"/>
        <w:jc w:val="center"/>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128"/>
        <w:gridCol w:w="653"/>
        <w:gridCol w:w="658"/>
        <w:gridCol w:w="673"/>
        <w:gridCol w:w="699"/>
        <w:gridCol w:w="700"/>
        <w:gridCol w:w="630"/>
        <w:gridCol w:w="644"/>
        <w:gridCol w:w="585"/>
      </w:tblGrid>
      <w:tr w:rsidR="00E54512" w:rsidRPr="004F0EC4" w14:paraId="7C72F820" w14:textId="77777777" w:rsidTr="00E54512">
        <w:trPr>
          <w:trHeight w:val="240"/>
          <w:tblHeader/>
          <w:jc w:val="center"/>
        </w:trPr>
        <w:tc>
          <w:tcPr>
            <w:tcW w:w="2128" w:type="dxa"/>
            <w:tcBorders>
              <w:top w:val="single" w:sz="4" w:space="0" w:color="auto"/>
              <w:bottom w:val="single" w:sz="12" w:space="0" w:color="auto"/>
            </w:tcBorders>
            <w:tcMar>
              <w:top w:w="0" w:type="dxa"/>
              <w:left w:w="0" w:type="dxa"/>
              <w:bottom w:w="0" w:type="dxa"/>
              <w:right w:w="0" w:type="dxa"/>
            </w:tcMar>
            <w:vAlign w:val="bottom"/>
          </w:tcPr>
          <w:p w14:paraId="68B5E7CA"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i/>
                <w:szCs w:val="20"/>
                <w:lang w:eastAsia="zh-TW"/>
              </w:rPr>
            </w:pPr>
            <w:r w:rsidRPr="004F0EC4">
              <w:rPr>
                <w:rFonts w:hAnsi="Times New Roman"/>
                <w:i/>
                <w:iCs/>
                <w:szCs w:val="20"/>
                <w:rtl/>
              </w:rPr>
              <w:lastRenderedPageBreak/>
              <w:t>عدد الموظفين</w:t>
            </w:r>
          </w:p>
        </w:tc>
        <w:tc>
          <w:tcPr>
            <w:tcW w:w="653" w:type="dxa"/>
            <w:tcBorders>
              <w:top w:val="single" w:sz="4" w:space="0" w:color="auto"/>
              <w:bottom w:val="single" w:sz="12" w:space="0" w:color="auto"/>
            </w:tcBorders>
            <w:tcMar>
              <w:top w:w="0" w:type="dxa"/>
              <w:left w:w="0" w:type="dxa"/>
              <w:bottom w:w="0" w:type="dxa"/>
              <w:right w:w="0" w:type="dxa"/>
            </w:tcMar>
            <w:vAlign w:val="bottom"/>
          </w:tcPr>
          <w:p w14:paraId="258A128A"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i/>
                <w:szCs w:val="20"/>
                <w:lang w:eastAsia="zh-TW"/>
              </w:rPr>
            </w:pPr>
            <w:r w:rsidRPr="004F0EC4">
              <w:rPr>
                <w:rFonts w:hAnsi="Times New Roman"/>
                <w:i/>
                <w:iCs/>
                <w:szCs w:val="20"/>
                <w:rtl/>
              </w:rPr>
              <w:t>2014</w:t>
            </w:r>
          </w:p>
        </w:tc>
        <w:tc>
          <w:tcPr>
            <w:tcW w:w="658" w:type="dxa"/>
            <w:tcBorders>
              <w:top w:val="single" w:sz="4" w:space="0" w:color="auto"/>
              <w:bottom w:val="single" w:sz="12" w:space="0" w:color="auto"/>
            </w:tcBorders>
            <w:tcMar>
              <w:top w:w="0" w:type="dxa"/>
              <w:left w:w="0" w:type="dxa"/>
              <w:bottom w:w="0" w:type="dxa"/>
              <w:right w:w="0" w:type="dxa"/>
            </w:tcMar>
            <w:vAlign w:val="bottom"/>
          </w:tcPr>
          <w:p w14:paraId="3CF61006"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i/>
                <w:szCs w:val="20"/>
                <w:lang w:eastAsia="zh-TW"/>
              </w:rPr>
            </w:pPr>
            <w:r w:rsidRPr="004F0EC4">
              <w:rPr>
                <w:rFonts w:hAnsi="Times New Roman"/>
                <w:i/>
                <w:iCs/>
                <w:szCs w:val="20"/>
                <w:rtl/>
              </w:rPr>
              <w:t>2015</w:t>
            </w:r>
          </w:p>
        </w:tc>
        <w:tc>
          <w:tcPr>
            <w:tcW w:w="673" w:type="dxa"/>
            <w:tcBorders>
              <w:top w:val="single" w:sz="4" w:space="0" w:color="auto"/>
              <w:bottom w:val="single" w:sz="12" w:space="0" w:color="auto"/>
            </w:tcBorders>
            <w:tcMar>
              <w:top w:w="0" w:type="dxa"/>
              <w:left w:w="0" w:type="dxa"/>
              <w:bottom w:w="0" w:type="dxa"/>
              <w:right w:w="0" w:type="dxa"/>
            </w:tcMar>
            <w:vAlign w:val="bottom"/>
          </w:tcPr>
          <w:p w14:paraId="46D1927E"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i/>
                <w:szCs w:val="20"/>
                <w:lang w:eastAsia="zh-TW"/>
              </w:rPr>
            </w:pPr>
            <w:r w:rsidRPr="004F0EC4">
              <w:rPr>
                <w:rFonts w:hAnsi="Times New Roman"/>
                <w:i/>
                <w:iCs/>
                <w:szCs w:val="20"/>
                <w:rtl/>
              </w:rPr>
              <w:t>2016</w:t>
            </w:r>
          </w:p>
        </w:tc>
        <w:tc>
          <w:tcPr>
            <w:tcW w:w="699" w:type="dxa"/>
            <w:tcBorders>
              <w:top w:val="single" w:sz="4" w:space="0" w:color="auto"/>
              <w:bottom w:val="single" w:sz="12" w:space="0" w:color="auto"/>
            </w:tcBorders>
            <w:tcMar>
              <w:top w:w="0" w:type="dxa"/>
              <w:left w:w="0" w:type="dxa"/>
              <w:bottom w:w="0" w:type="dxa"/>
              <w:right w:w="0" w:type="dxa"/>
            </w:tcMar>
            <w:vAlign w:val="bottom"/>
          </w:tcPr>
          <w:p w14:paraId="70EDBD38"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i/>
                <w:szCs w:val="20"/>
                <w:lang w:eastAsia="zh-TW"/>
              </w:rPr>
            </w:pPr>
            <w:r w:rsidRPr="004F0EC4">
              <w:rPr>
                <w:rFonts w:hAnsi="Times New Roman"/>
                <w:i/>
                <w:iCs/>
                <w:szCs w:val="20"/>
                <w:rtl/>
              </w:rPr>
              <w:t>2017</w:t>
            </w:r>
          </w:p>
        </w:tc>
        <w:tc>
          <w:tcPr>
            <w:tcW w:w="700" w:type="dxa"/>
            <w:tcBorders>
              <w:top w:val="single" w:sz="4" w:space="0" w:color="auto"/>
              <w:bottom w:val="single" w:sz="12" w:space="0" w:color="auto"/>
            </w:tcBorders>
            <w:tcMar>
              <w:top w:w="0" w:type="dxa"/>
              <w:left w:w="0" w:type="dxa"/>
              <w:bottom w:w="0" w:type="dxa"/>
              <w:right w:w="0" w:type="dxa"/>
            </w:tcMar>
            <w:vAlign w:val="bottom"/>
          </w:tcPr>
          <w:p w14:paraId="6B80F830"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i/>
                <w:szCs w:val="20"/>
                <w:lang w:eastAsia="zh-TW"/>
              </w:rPr>
            </w:pPr>
            <w:r w:rsidRPr="004F0EC4">
              <w:rPr>
                <w:rFonts w:hAnsi="Times New Roman"/>
                <w:i/>
                <w:iCs/>
                <w:szCs w:val="20"/>
                <w:rtl/>
              </w:rPr>
              <w:t>2018</w:t>
            </w:r>
          </w:p>
        </w:tc>
        <w:tc>
          <w:tcPr>
            <w:tcW w:w="630" w:type="dxa"/>
            <w:tcBorders>
              <w:top w:val="single" w:sz="4" w:space="0" w:color="auto"/>
              <w:bottom w:val="single" w:sz="12" w:space="0" w:color="auto"/>
            </w:tcBorders>
            <w:tcMar>
              <w:top w:w="0" w:type="dxa"/>
              <w:left w:w="0" w:type="dxa"/>
              <w:bottom w:w="0" w:type="dxa"/>
              <w:right w:w="0" w:type="dxa"/>
            </w:tcMar>
            <w:vAlign w:val="bottom"/>
          </w:tcPr>
          <w:p w14:paraId="4DBE4A8A"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i/>
                <w:szCs w:val="20"/>
                <w:lang w:eastAsia="zh-TW"/>
              </w:rPr>
            </w:pPr>
            <w:r w:rsidRPr="004F0EC4">
              <w:rPr>
                <w:rFonts w:hAnsi="Times New Roman"/>
                <w:i/>
                <w:iCs/>
                <w:szCs w:val="20"/>
                <w:rtl/>
              </w:rPr>
              <w:t>2019</w:t>
            </w:r>
          </w:p>
        </w:tc>
        <w:tc>
          <w:tcPr>
            <w:tcW w:w="644" w:type="dxa"/>
            <w:tcBorders>
              <w:top w:val="single" w:sz="4" w:space="0" w:color="auto"/>
              <w:bottom w:val="single" w:sz="12" w:space="0" w:color="auto"/>
            </w:tcBorders>
            <w:tcMar>
              <w:top w:w="0" w:type="dxa"/>
              <w:left w:w="0" w:type="dxa"/>
              <w:bottom w:w="0" w:type="dxa"/>
              <w:right w:w="0" w:type="dxa"/>
            </w:tcMar>
            <w:vAlign w:val="bottom"/>
          </w:tcPr>
          <w:p w14:paraId="183E68C7"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i/>
                <w:szCs w:val="20"/>
                <w:lang w:eastAsia="zh-TW"/>
              </w:rPr>
            </w:pPr>
            <w:r w:rsidRPr="004F0EC4">
              <w:rPr>
                <w:rFonts w:hAnsi="Times New Roman"/>
                <w:i/>
                <w:iCs/>
                <w:szCs w:val="20"/>
                <w:rtl/>
              </w:rPr>
              <w:t>2020</w:t>
            </w:r>
          </w:p>
        </w:tc>
        <w:tc>
          <w:tcPr>
            <w:tcW w:w="585" w:type="dxa"/>
            <w:tcBorders>
              <w:top w:val="single" w:sz="4" w:space="0" w:color="auto"/>
              <w:bottom w:val="single" w:sz="12" w:space="0" w:color="auto"/>
            </w:tcBorders>
            <w:tcMar>
              <w:top w:w="0" w:type="dxa"/>
              <w:left w:w="0" w:type="dxa"/>
              <w:bottom w:w="0" w:type="dxa"/>
              <w:right w:w="0" w:type="dxa"/>
            </w:tcMar>
            <w:vAlign w:val="bottom"/>
          </w:tcPr>
          <w:p w14:paraId="2D464933"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0"/>
              <w:jc w:val="left"/>
              <w:textDirection w:val="tbRlV"/>
              <w:rPr>
                <w:rFonts w:hAnsi="Times New Roman"/>
                <w:i/>
                <w:szCs w:val="20"/>
                <w:lang w:eastAsia="zh-TW"/>
              </w:rPr>
            </w:pPr>
            <w:r w:rsidRPr="004F0EC4">
              <w:rPr>
                <w:rFonts w:hAnsi="Times New Roman"/>
                <w:i/>
                <w:iCs/>
                <w:szCs w:val="20"/>
                <w:rtl/>
              </w:rPr>
              <w:t>2021</w:t>
            </w:r>
          </w:p>
        </w:tc>
      </w:tr>
      <w:tr w:rsidR="00E54512" w:rsidRPr="004F0EC4" w14:paraId="4DBBBF78" w14:textId="77777777" w:rsidTr="00E54512">
        <w:trPr>
          <w:trHeight w:val="240"/>
          <w:jc w:val="center"/>
        </w:trPr>
        <w:tc>
          <w:tcPr>
            <w:tcW w:w="2128" w:type="dxa"/>
            <w:tcBorders>
              <w:top w:val="single" w:sz="12" w:space="0" w:color="auto"/>
            </w:tcBorders>
            <w:tcMar>
              <w:top w:w="0" w:type="dxa"/>
              <w:left w:w="0" w:type="dxa"/>
              <w:bottom w:w="0" w:type="dxa"/>
              <w:right w:w="0" w:type="dxa"/>
            </w:tcMar>
          </w:tcPr>
          <w:p w14:paraId="61A5D238"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eastAsia="zh-TW"/>
              </w:rPr>
            </w:pPr>
            <w:r w:rsidRPr="004F0EC4">
              <w:rPr>
                <w:rFonts w:hAnsi="Times New Roman"/>
                <w:szCs w:val="20"/>
                <w:rtl/>
              </w:rPr>
              <w:t>مترجمو لغة الإشارة الشيلية</w:t>
            </w:r>
          </w:p>
        </w:tc>
        <w:tc>
          <w:tcPr>
            <w:tcW w:w="653" w:type="dxa"/>
            <w:tcBorders>
              <w:top w:val="single" w:sz="12" w:space="0" w:color="auto"/>
            </w:tcBorders>
            <w:tcMar>
              <w:top w:w="0" w:type="dxa"/>
              <w:left w:w="0" w:type="dxa"/>
              <w:bottom w:w="0" w:type="dxa"/>
              <w:right w:w="0" w:type="dxa"/>
            </w:tcMar>
            <w:vAlign w:val="bottom"/>
          </w:tcPr>
          <w:p w14:paraId="317E8C15"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eastAsia="zh-TW"/>
              </w:rPr>
            </w:pPr>
            <w:r w:rsidRPr="004F0EC4">
              <w:rPr>
                <w:rFonts w:hAnsi="Times New Roman"/>
                <w:szCs w:val="20"/>
                <w:rtl/>
              </w:rPr>
              <w:t>131</w:t>
            </w:r>
          </w:p>
        </w:tc>
        <w:tc>
          <w:tcPr>
            <w:tcW w:w="658" w:type="dxa"/>
            <w:tcBorders>
              <w:top w:val="single" w:sz="12" w:space="0" w:color="auto"/>
            </w:tcBorders>
            <w:tcMar>
              <w:top w:w="0" w:type="dxa"/>
              <w:left w:w="0" w:type="dxa"/>
              <w:bottom w:w="0" w:type="dxa"/>
              <w:right w:w="0" w:type="dxa"/>
            </w:tcMar>
            <w:vAlign w:val="bottom"/>
          </w:tcPr>
          <w:p w14:paraId="5ED0BE05"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eastAsia="zh-TW"/>
              </w:rPr>
            </w:pPr>
            <w:r w:rsidRPr="004F0EC4">
              <w:rPr>
                <w:rFonts w:hAnsi="Times New Roman"/>
                <w:szCs w:val="20"/>
                <w:rtl/>
              </w:rPr>
              <w:t>167</w:t>
            </w:r>
          </w:p>
        </w:tc>
        <w:tc>
          <w:tcPr>
            <w:tcW w:w="673" w:type="dxa"/>
            <w:tcBorders>
              <w:top w:val="single" w:sz="12" w:space="0" w:color="auto"/>
            </w:tcBorders>
            <w:tcMar>
              <w:top w:w="0" w:type="dxa"/>
              <w:left w:w="0" w:type="dxa"/>
              <w:bottom w:w="0" w:type="dxa"/>
              <w:right w:w="0" w:type="dxa"/>
            </w:tcMar>
            <w:vAlign w:val="bottom"/>
          </w:tcPr>
          <w:p w14:paraId="0916AF18"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eastAsia="zh-TW"/>
              </w:rPr>
            </w:pPr>
            <w:r w:rsidRPr="004F0EC4">
              <w:rPr>
                <w:rFonts w:hAnsi="Times New Roman"/>
                <w:szCs w:val="20"/>
                <w:rtl/>
              </w:rPr>
              <w:t>199</w:t>
            </w:r>
          </w:p>
        </w:tc>
        <w:tc>
          <w:tcPr>
            <w:tcW w:w="699" w:type="dxa"/>
            <w:tcBorders>
              <w:top w:val="single" w:sz="12" w:space="0" w:color="auto"/>
            </w:tcBorders>
            <w:tcMar>
              <w:top w:w="0" w:type="dxa"/>
              <w:left w:w="0" w:type="dxa"/>
              <w:bottom w:w="0" w:type="dxa"/>
              <w:right w:w="0" w:type="dxa"/>
            </w:tcMar>
            <w:vAlign w:val="bottom"/>
          </w:tcPr>
          <w:p w14:paraId="4647E710"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eastAsia="zh-TW"/>
              </w:rPr>
            </w:pPr>
            <w:r w:rsidRPr="004F0EC4">
              <w:rPr>
                <w:rFonts w:hAnsi="Times New Roman"/>
                <w:szCs w:val="20"/>
                <w:rtl/>
              </w:rPr>
              <w:t>216</w:t>
            </w:r>
          </w:p>
        </w:tc>
        <w:tc>
          <w:tcPr>
            <w:tcW w:w="700" w:type="dxa"/>
            <w:tcBorders>
              <w:top w:val="single" w:sz="12" w:space="0" w:color="auto"/>
            </w:tcBorders>
            <w:tcMar>
              <w:top w:w="0" w:type="dxa"/>
              <w:left w:w="0" w:type="dxa"/>
              <w:bottom w:w="0" w:type="dxa"/>
              <w:right w:w="0" w:type="dxa"/>
            </w:tcMar>
            <w:vAlign w:val="bottom"/>
          </w:tcPr>
          <w:p w14:paraId="4F782542"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eastAsia="zh-TW"/>
              </w:rPr>
            </w:pPr>
            <w:r w:rsidRPr="004F0EC4">
              <w:rPr>
                <w:rFonts w:hAnsi="Times New Roman"/>
                <w:szCs w:val="20"/>
                <w:rtl/>
              </w:rPr>
              <w:t>227</w:t>
            </w:r>
          </w:p>
        </w:tc>
        <w:tc>
          <w:tcPr>
            <w:tcW w:w="630" w:type="dxa"/>
            <w:tcBorders>
              <w:top w:val="single" w:sz="12" w:space="0" w:color="auto"/>
            </w:tcBorders>
            <w:tcMar>
              <w:top w:w="0" w:type="dxa"/>
              <w:left w:w="0" w:type="dxa"/>
              <w:bottom w:w="0" w:type="dxa"/>
              <w:right w:w="0" w:type="dxa"/>
            </w:tcMar>
            <w:vAlign w:val="bottom"/>
          </w:tcPr>
          <w:p w14:paraId="4F3A23A7"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eastAsia="zh-TW"/>
              </w:rPr>
            </w:pPr>
            <w:r w:rsidRPr="004F0EC4">
              <w:rPr>
                <w:rFonts w:hAnsi="Times New Roman"/>
                <w:szCs w:val="20"/>
                <w:rtl/>
              </w:rPr>
              <w:t>259</w:t>
            </w:r>
          </w:p>
        </w:tc>
        <w:tc>
          <w:tcPr>
            <w:tcW w:w="644" w:type="dxa"/>
            <w:tcBorders>
              <w:top w:val="single" w:sz="12" w:space="0" w:color="auto"/>
            </w:tcBorders>
            <w:tcMar>
              <w:top w:w="0" w:type="dxa"/>
              <w:left w:w="0" w:type="dxa"/>
              <w:bottom w:w="0" w:type="dxa"/>
              <w:right w:w="0" w:type="dxa"/>
            </w:tcMar>
            <w:vAlign w:val="bottom"/>
          </w:tcPr>
          <w:p w14:paraId="04768CDF"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eastAsia="zh-TW"/>
              </w:rPr>
            </w:pPr>
            <w:r w:rsidRPr="004F0EC4">
              <w:rPr>
                <w:rFonts w:hAnsi="Times New Roman"/>
                <w:szCs w:val="20"/>
                <w:rtl/>
              </w:rPr>
              <w:t>237</w:t>
            </w:r>
          </w:p>
        </w:tc>
        <w:tc>
          <w:tcPr>
            <w:tcW w:w="585" w:type="dxa"/>
            <w:tcBorders>
              <w:top w:val="single" w:sz="12" w:space="0" w:color="auto"/>
            </w:tcBorders>
            <w:tcMar>
              <w:top w:w="0" w:type="dxa"/>
              <w:left w:w="0" w:type="dxa"/>
              <w:bottom w:w="0" w:type="dxa"/>
              <w:right w:w="0" w:type="dxa"/>
            </w:tcMar>
            <w:vAlign w:val="bottom"/>
          </w:tcPr>
          <w:p w14:paraId="5306FA43"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0"/>
              <w:jc w:val="left"/>
              <w:textDirection w:val="tbRlV"/>
              <w:rPr>
                <w:rFonts w:hAnsi="Times New Roman"/>
                <w:szCs w:val="20"/>
                <w:lang w:eastAsia="zh-TW"/>
              </w:rPr>
            </w:pPr>
            <w:r w:rsidRPr="004F0EC4">
              <w:rPr>
                <w:rFonts w:hAnsi="Times New Roman"/>
                <w:szCs w:val="20"/>
                <w:rtl/>
              </w:rPr>
              <w:t>235</w:t>
            </w:r>
          </w:p>
        </w:tc>
      </w:tr>
    </w:tbl>
    <w:p w14:paraId="6BB2F658" w14:textId="77777777" w:rsidR="00E54512" w:rsidRPr="004F0EC4" w:rsidRDefault="00E54512" w:rsidP="00E54512">
      <w:pPr>
        <w:pStyle w:val="SingleTxtGA"/>
        <w:spacing w:before="120" w:line="280" w:lineRule="exact"/>
        <w:rPr>
          <w:sz w:val="20"/>
          <w:szCs w:val="20"/>
        </w:rPr>
      </w:pPr>
      <w:r w:rsidRPr="004F0EC4">
        <w:rPr>
          <w:i/>
          <w:iCs/>
          <w:sz w:val="20"/>
          <w:szCs w:val="20"/>
          <w:rtl/>
        </w:rPr>
        <w:t>المصدر:</w:t>
      </w:r>
      <w:r w:rsidRPr="004F0EC4">
        <w:rPr>
          <w:sz w:val="20"/>
          <w:szCs w:val="20"/>
          <w:rtl/>
        </w:rPr>
        <w:t xml:space="preserve"> التقرير التقني لبرنامج الإدماج المدرسي، عمليات برنامج الإدماج المدرسي.</w:t>
      </w:r>
    </w:p>
    <w:p w14:paraId="4BA171FF" w14:textId="6A3E64FB" w:rsidR="00E54512" w:rsidRPr="004F0EC4" w:rsidRDefault="00E54512" w:rsidP="00E54512">
      <w:pPr>
        <w:pStyle w:val="SingleTxtGA"/>
      </w:pPr>
      <w:r w:rsidRPr="004F0EC4">
        <w:rPr>
          <w:rtl/>
        </w:rPr>
        <w:t>135-</w:t>
      </w:r>
      <w:r w:rsidRPr="004F0EC4">
        <w:rPr>
          <w:rtl/>
        </w:rPr>
        <w:tab/>
        <w:t xml:space="preserve">وبالإضافة إلى التدابير المشار إليها في الفقرات من 54 إلى 66، قامت وزارة الصحة والدائرة الوطنية لشؤون الأشخاص ذوي الإعاقة ومنظمات المجتمع المدني بنشر معلومات حول كوفيد-19 وكيفية الوقاية منه، والحجر الصحي، والتصاريح الجمركية والصحية، والتوصيات الموجهة إلى الأشخاص ذوي الإعاقة وأسرهم ومقدمي الرعاية لهم، وذلك بلغة سهلة الفهم. وعلاوة على ذلك، أتيحت مقاطع فيديو تثقيفية </w:t>
      </w:r>
      <w:r w:rsidRPr="004F0EC4">
        <w:rPr>
          <w:spacing w:val="-4"/>
          <w:rtl/>
        </w:rPr>
        <w:t>قصيرة بلغة الإشارة الشيلية مزودة بترجمة نصية، بما في ذلك مقاطع بعنوان "رعاية المرضى في المنزل"</w:t>
      </w:r>
      <w:r w:rsidRPr="004F0EC4">
        <w:rPr>
          <w:spacing w:val="-4"/>
          <w:vertAlign w:val="superscript"/>
          <w:rtl/>
        </w:rPr>
        <w:t>(</w:t>
      </w:r>
      <w:r w:rsidRPr="004F0EC4">
        <w:rPr>
          <w:spacing w:val="-4"/>
          <w:vertAlign w:val="superscript"/>
          <w:rtl/>
        </w:rPr>
        <w:footnoteReference w:id="205"/>
      </w:r>
      <w:r w:rsidRPr="004F0EC4">
        <w:rPr>
          <w:spacing w:val="-4"/>
          <w:vertAlign w:val="superscript"/>
          <w:rtl/>
        </w:rPr>
        <w:t>)</w:t>
      </w:r>
      <w:r w:rsidRPr="004F0EC4">
        <w:rPr>
          <w:spacing w:val="-4"/>
          <w:rtl/>
        </w:rPr>
        <w:t>،</w:t>
      </w:r>
      <w:r w:rsidRPr="004F0EC4">
        <w:rPr>
          <w:rtl/>
        </w:rPr>
        <w:t xml:space="preserve"> </w:t>
      </w:r>
      <w:r w:rsidRPr="004F0EC4">
        <w:rPr>
          <w:spacing w:val="-5"/>
          <w:rtl/>
        </w:rPr>
        <w:t>و"الأعراض"</w:t>
      </w:r>
      <w:r w:rsidRPr="004F0EC4">
        <w:rPr>
          <w:spacing w:val="-5"/>
          <w:vertAlign w:val="superscript"/>
          <w:rtl/>
        </w:rPr>
        <w:t>(</w:t>
      </w:r>
      <w:r w:rsidRPr="004F0EC4">
        <w:rPr>
          <w:spacing w:val="-5"/>
          <w:vertAlign w:val="superscript"/>
          <w:rtl/>
        </w:rPr>
        <w:footnoteReference w:id="206"/>
      </w:r>
      <w:r w:rsidRPr="004F0EC4">
        <w:rPr>
          <w:spacing w:val="-5"/>
          <w:vertAlign w:val="superscript"/>
          <w:rtl/>
        </w:rPr>
        <w:t>)</w:t>
      </w:r>
      <w:r w:rsidRPr="004F0EC4">
        <w:rPr>
          <w:spacing w:val="-5"/>
          <w:rtl/>
        </w:rPr>
        <w:t>، و"كيفية الوقاية"</w:t>
      </w:r>
      <w:r w:rsidRPr="004F0EC4">
        <w:rPr>
          <w:spacing w:val="-5"/>
          <w:vertAlign w:val="superscript"/>
          <w:rtl/>
        </w:rPr>
        <w:t>(</w:t>
      </w:r>
      <w:r w:rsidRPr="004F0EC4">
        <w:rPr>
          <w:spacing w:val="-5"/>
          <w:vertAlign w:val="superscript"/>
          <w:rtl/>
        </w:rPr>
        <w:footnoteReference w:id="207"/>
      </w:r>
      <w:r w:rsidRPr="004F0EC4">
        <w:rPr>
          <w:spacing w:val="-5"/>
          <w:vertAlign w:val="superscript"/>
          <w:rtl/>
        </w:rPr>
        <w:t>)</w:t>
      </w:r>
      <w:r w:rsidRPr="004F0EC4">
        <w:rPr>
          <w:spacing w:val="-5"/>
          <w:rtl/>
        </w:rPr>
        <w:t>، و"الحجر الصحي بسبب فيروس كورونا"</w:t>
      </w:r>
      <w:r w:rsidRPr="004F0EC4">
        <w:rPr>
          <w:spacing w:val="-5"/>
          <w:vertAlign w:val="superscript"/>
          <w:rtl/>
        </w:rPr>
        <w:t>(</w:t>
      </w:r>
      <w:r w:rsidRPr="004F0EC4">
        <w:rPr>
          <w:spacing w:val="-5"/>
          <w:vertAlign w:val="superscript"/>
          <w:rtl/>
        </w:rPr>
        <w:footnoteReference w:id="208"/>
      </w:r>
      <w:r w:rsidRPr="004F0EC4">
        <w:rPr>
          <w:spacing w:val="-5"/>
          <w:vertAlign w:val="superscript"/>
          <w:rtl/>
        </w:rPr>
        <w:t>)</w:t>
      </w:r>
      <w:r w:rsidRPr="004F0EC4">
        <w:rPr>
          <w:spacing w:val="-5"/>
          <w:rtl/>
        </w:rPr>
        <w:t>، و"العزل المنزلي 1"</w:t>
      </w:r>
      <w:r w:rsidRPr="004F0EC4">
        <w:rPr>
          <w:spacing w:val="-5"/>
          <w:vertAlign w:val="superscript"/>
          <w:rtl/>
        </w:rPr>
        <w:t>(</w:t>
      </w:r>
      <w:r w:rsidRPr="004F0EC4">
        <w:rPr>
          <w:spacing w:val="-5"/>
          <w:vertAlign w:val="superscript"/>
          <w:rtl/>
        </w:rPr>
        <w:footnoteReference w:id="209"/>
      </w:r>
      <w:r w:rsidRPr="004F0EC4">
        <w:rPr>
          <w:spacing w:val="-5"/>
          <w:vertAlign w:val="superscript"/>
          <w:rtl/>
        </w:rPr>
        <w:t>)</w:t>
      </w:r>
      <w:r w:rsidRPr="004F0EC4">
        <w:rPr>
          <w:spacing w:val="-5"/>
          <w:rtl/>
        </w:rPr>
        <w:t>،</w:t>
      </w:r>
      <w:r w:rsidRPr="004F0EC4">
        <w:rPr>
          <w:rtl/>
        </w:rPr>
        <w:t xml:space="preserve"> و</w:t>
      </w:r>
      <w:r w:rsidRPr="004F0EC4">
        <w:rPr>
          <w:spacing w:val="-4"/>
          <w:rtl/>
        </w:rPr>
        <w:t>"العزل المنزلي 2"</w:t>
      </w:r>
      <w:r w:rsidRPr="004F0EC4">
        <w:rPr>
          <w:spacing w:val="-4"/>
          <w:vertAlign w:val="superscript"/>
          <w:rtl/>
        </w:rPr>
        <w:t>(</w:t>
      </w:r>
      <w:r w:rsidRPr="004F0EC4">
        <w:rPr>
          <w:spacing w:val="-4"/>
          <w:vertAlign w:val="superscript"/>
          <w:rtl/>
        </w:rPr>
        <w:footnoteReference w:id="210"/>
      </w:r>
      <w:r w:rsidRPr="004F0EC4">
        <w:rPr>
          <w:spacing w:val="-4"/>
          <w:vertAlign w:val="superscript"/>
          <w:rtl/>
        </w:rPr>
        <w:t>)</w:t>
      </w:r>
      <w:r w:rsidRPr="004F0EC4">
        <w:rPr>
          <w:spacing w:val="-4"/>
          <w:rtl/>
        </w:rPr>
        <w:t>، و"كيف يمكننا الوقاية من كوفيد-19"</w:t>
      </w:r>
      <w:r w:rsidRPr="004F0EC4">
        <w:rPr>
          <w:spacing w:val="-4"/>
          <w:vertAlign w:val="superscript"/>
          <w:rtl/>
        </w:rPr>
        <w:t>(</w:t>
      </w:r>
      <w:r w:rsidRPr="004F0EC4">
        <w:rPr>
          <w:spacing w:val="-4"/>
          <w:vertAlign w:val="superscript"/>
          <w:rtl/>
        </w:rPr>
        <w:footnoteReference w:id="211"/>
      </w:r>
      <w:r w:rsidRPr="004F0EC4">
        <w:rPr>
          <w:spacing w:val="-4"/>
          <w:vertAlign w:val="superscript"/>
          <w:rtl/>
        </w:rPr>
        <w:t>)</w:t>
      </w:r>
      <w:r w:rsidRPr="004F0EC4">
        <w:rPr>
          <w:spacing w:val="-4"/>
          <w:rtl/>
        </w:rPr>
        <w:t>، و"تعرف على كوفيد-19</w:t>
      </w:r>
      <w:r w:rsidRPr="004F0EC4">
        <w:rPr>
          <w:rtl/>
        </w:rPr>
        <w:t xml:space="preserve"> وأعراضه"</w:t>
      </w:r>
      <w:r w:rsidRPr="004F0EC4">
        <w:rPr>
          <w:vertAlign w:val="superscript"/>
          <w:rtl/>
        </w:rPr>
        <w:t>(</w:t>
      </w:r>
      <w:r w:rsidRPr="004F0EC4">
        <w:rPr>
          <w:vertAlign w:val="superscript"/>
          <w:rtl/>
        </w:rPr>
        <w:footnoteReference w:id="212"/>
      </w:r>
      <w:r w:rsidRPr="004F0EC4">
        <w:rPr>
          <w:vertAlign w:val="superscript"/>
          <w:rtl/>
        </w:rPr>
        <w:t>)</w:t>
      </w:r>
      <w:r w:rsidRPr="004F0EC4">
        <w:rPr>
          <w:rtl/>
        </w:rPr>
        <w:t>، و"المرافق الصحية السكنية"</w:t>
      </w:r>
      <w:r w:rsidRPr="004F0EC4">
        <w:rPr>
          <w:vertAlign w:val="superscript"/>
          <w:rtl/>
        </w:rPr>
        <w:t>(</w:t>
      </w:r>
      <w:r w:rsidRPr="004F0EC4">
        <w:rPr>
          <w:vertAlign w:val="superscript"/>
          <w:rtl/>
        </w:rPr>
        <w:footnoteReference w:id="213"/>
      </w:r>
      <w:r w:rsidRPr="004F0EC4">
        <w:rPr>
          <w:vertAlign w:val="superscript"/>
          <w:rtl/>
        </w:rPr>
        <w:t>)</w:t>
      </w:r>
      <w:r w:rsidRPr="004F0EC4">
        <w:rPr>
          <w:rtl/>
        </w:rPr>
        <w:t>.</w:t>
      </w:r>
    </w:p>
    <w:p w14:paraId="0B9F305C" w14:textId="77777777" w:rsidR="00E54512" w:rsidRPr="004F0EC4" w:rsidRDefault="00E54512" w:rsidP="00E54512">
      <w:pPr>
        <w:pStyle w:val="H1GA"/>
        <w:rPr>
          <w:lang w:val="en-US"/>
        </w:rPr>
      </w:pPr>
      <w:r w:rsidRPr="004F0EC4">
        <w:rPr>
          <w:rtl/>
          <w:lang w:val="en-US"/>
        </w:rPr>
        <w:tab/>
      </w:r>
      <w:r w:rsidRPr="004F0EC4">
        <w:rPr>
          <w:rtl/>
          <w:lang w:val="en-US"/>
        </w:rPr>
        <w:tab/>
        <w:t>المادة 23</w:t>
      </w:r>
    </w:p>
    <w:p w14:paraId="750F0266" w14:textId="66321B51" w:rsidR="00E54512" w:rsidRPr="004F0EC4" w:rsidRDefault="00E54512" w:rsidP="00E54512">
      <w:pPr>
        <w:pStyle w:val="SingleTxtGA"/>
      </w:pPr>
      <w:r w:rsidRPr="004F0EC4">
        <w:rPr>
          <w:rtl/>
        </w:rPr>
        <w:t>136-</w:t>
      </w:r>
      <w:r w:rsidRPr="004F0EC4">
        <w:rPr>
          <w:rtl/>
        </w:rPr>
        <w:tab/>
        <w:t>رغم عدم إدخال أي تعديلات على القانون المدني حتى الآن، فإن مشاريع قوانين بشأن الأهلية القانونية لا تزال معروضة، بما فيها تلك المشار إليها في الفقرة 70 وما يليها. وعلى سبيل المثال، يقترح</w:t>
      </w:r>
      <w:r w:rsidR="00C00FE8" w:rsidRPr="004F0EC4">
        <w:rPr>
          <w:rFonts w:hint="cs"/>
          <w:rtl/>
        </w:rPr>
        <w:t> </w:t>
      </w:r>
      <w:r w:rsidRPr="004F0EC4">
        <w:rPr>
          <w:rtl/>
        </w:rPr>
        <w:t>مشروع القانون رقم 12-441-17</w:t>
      </w:r>
      <w:r w:rsidRPr="004F0EC4">
        <w:rPr>
          <w:vertAlign w:val="superscript"/>
          <w:rtl/>
        </w:rPr>
        <w:t>(</w:t>
      </w:r>
      <w:r w:rsidRPr="004F0EC4">
        <w:rPr>
          <w:vertAlign w:val="superscript"/>
          <w:rtl/>
        </w:rPr>
        <w:footnoteReference w:id="214"/>
      </w:r>
      <w:r w:rsidRPr="004F0EC4">
        <w:rPr>
          <w:vertAlign w:val="superscript"/>
          <w:rtl/>
        </w:rPr>
        <w:t>)</w:t>
      </w:r>
      <w:r w:rsidRPr="004F0EC4">
        <w:rPr>
          <w:rtl/>
        </w:rPr>
        <w:t xml:space="preserve"> إلغاء عدم الأهلية بممارسة الوصاية أو القوامة من جانب الأشخاص "المكفوفين" أو "البُكم" أو "المختلين عقلي</w:t>
      </w:r>
      <w:r w:rsidR="00E22186" w:rsidRPr="004F0EC4">
        <w:rPr>
          <w:rtl/>
        </w:rPr>
        <w:t xml:space="preserve">اً </w:t>
      </w:r>
      <w:r w:rsidRPr="004F0EC4">
        <w:rPr>
          <w:rtl/>
        </w:rPr>
        <w:t xml:space="preserve">غير الخاضعين للحجر". ويلغي مشروع القانون أيضاً القيود القانونية التي تمنع الأشخاص ذوي الإعاقة من </w:t>
      </w:r>
      <w:proofErr w:type="gramStart"/>
      <w:r w:rsidRPr="004F0EC4">
        <w:rPr>
          <w:rtl/>
        </w:rPr>
        <w:t>الزواج</w:t>
      </w:r>
      <w:r w:rsidRPr="004F0EC4">
        <w:rPr>
          <w:vertAlign w:val="superscript"/>
          <w:rtl/>
        </w:rPr>
        <w:t>(</w:t>
      </w:r>
      <w:proofErr w:type="gramEnd"/>
      <w:r w:rsidRPr="004F0EC4">
        <w:rPr>
          <w:vertAlign w:val="superscript"/>
          <w:rtl/>
        </w:rPr>
        <w:footnoteReference w:id="215"/>
      </w:r>
      <w:r w:rsidRPr="004F0EC4">
        <w:rPr>
          <w:vertAlign w:val="superscript"/>
          <w:rtl/>
        </w:rPr>
        <w:t>)</w:t>
      </w:r>
      <w:r w:rsidRPr="004F0EC4">
        <w:rPr>
          <w:rtl/>
        </w:rPr>
        <w:t>.</w:t>
      </w:r>
    </w:p>
    <w:p w14:paraId="5BDC001C" w14:textId="1571B40A" w:rsidR="00E54512" w:rsidRPr="004F0EC4" w:rsidRDefault="00E54512" w:rsidP="00E54512">
      <w:pPr>
        <w:pStyle w:val="SingleTxtGA"/>
      </w:pPr>
      <w:r w:rsidRPr="004F0EC4">
        <w:rPr>
          <w:rtl/>
        </w:rPr>
        <w:t>137-</w:t>
      </w:r>
      <w:r w:rsidRPr="004F0EC4">
        <w:rPr>
          <w:rtl/>
        </w:rPr>
        <w:tab/>
        <w:t>وينص مشروع القانون الرامي إلى إصلاح نظام التبني في شيلي (مشروع القانون</w:t>
      </w:r>
      <w:r w:rsidRPr="004F0EC4">
        <w:rPr>
          <w:rFonts w:hint="cs"/>
          <w:rtl/>
        </w:rPr>
        <w:t xml:space="preserve">                 </w:t>
      </w:r>
      <w:r w:rsidRPr="004F0EC4">
        <w:rPr>
          <w:rtl/>
        </w:rPr>
        <w:t xml:space="preserve"> رقم 9-119-</w:t>
      </w:r>
      <w:proofErr w:type="gramStart"/>
      <w:r w:rsidRPr="004F0EC4">
        <w:rPr>
          <w:rtl/>
        </w:rPr>
        <w:t>18)</w:t>
      </w:r>
      <w:r w:rsidRPr="004F0EC4">
        <w:rPr>
          <w:vertAlign w:val="superscript"/>
          <w:rtl/>
        </w:rPr>
        <w:t>(</w:t>
      </w:r>
      <w:proofErr w:type="gramEnd"/>
      <w:r w:rsidRPr="004F0EC4">
        <w:rPr>
          <w:vertAlign w:val="superscript"/>
          <w:rtl/>
        </w:rPr>
        <w:footnoteReference w:id="216"/>
      </w:r>
      <w:r w:rsidRPr="004F0EC4">
        <w:rPr>
          <w:vertAlign w:val="superscript"/>
          <w:rtl/>
        </w:rPr>
        <w:t>)</w:t>
      </w:r>
      <w:r w:rsidRPr="004F0EC4">
        <w:rPr>
          <w:rtl/>
        </w:rPr>
        <w:t xml:space="preserve"> على أنه القرار القضائي بشأن الأهلية للتبني لا يجوز أن يستند إلى أسباب تشكل تمييزاً تعسفياً، ويشير صراحةً إلى عدة فئات، من بينها الإعاقة، باعتبارها أسباباً محظورة. وتشمل الشروط التي يجب على الوالدين الراغبين في التبني ي استيفاؤها الحصول على شهادة تثبت استيفاء الشروط العامة لتبني طفل أو مراهق، على ألا تشكل هذه الشروط بأي حال من الأحوال تمييزاً تعسفياً. وقد قُدمت تعديلات على مشروع القانون للإشارة صراحةً إلى الإعاقة.</w:t>
      </w:r>
    </w:p>
    <w:p w14:paraId="21FD1228" w14:textId="442E6965" w:rsidR="00E54512" w:rsidRPr="004F0EC4" w:rsidRDefault="00E54512" w:rsidP="00E54512">
      <w:pPr>
        <w:pStyle w:val="SingleTxtGA"/>
      </w:pPr>
      <w:r w:rsidRPr="004F0EC4">
        <w:rPr>
          <w:rtl/>
        </w:rPr>
        <w:lastRenderedPageBreak/>
        <w:t>138-</w:t>
      </w:r>
      <w:r w:rsidRPr="004F0EC4">
        <w:rPr>
          <w:rtl/>
        </w:rPr>
        <w:tab/>
        <w:t xml:space="preserve">ولا تتوفر لدى السلطة القضائية بيانات مفصلة ومصنفة عن القضايا المرفوعة أمام المحاكم من جانب نساء ذوات إعاقة لاستعادة حضانة أطفالهن. ومع ذلك، فقد بُذلت جهود في هذا الصدد. وتناول اتفاق أبرم في عام 2020 بين الدائرة الوطنية لشؤون الأشخاص ذوي الإعاقة والدائرة الوطنية لشؤون المرأة والإنصاف بين الجنسين ووزارة شؤون المرأة والإنصاف بين الجنسين موضوع الأمومة الشاملة للجميع على وجه التحديد. وبالإضافة إلى ذلك، نظمت الدائرة الوطنية لشؤون المرأة والإنصاف بين الجنسين حلقات </w:t>
      </w:r>
      <w:proofErr w:type="gramStart"/>
      <w:r w:rsidRPr="004F0EC4">
        <w:rPr>
          <w:rtl/>
        </w:rPr>
        <w:t>عمل</w:t>
      </w:r>
      <w:r w:rsidRPr="004F0EC4">
        <w:rPr>
          <w:vertAlign w:val="superscript"/>
          <w:rtl/>
        </w:rPr>
        <w:t>(</w:t>
      </w:r>
      <w:proofErr w:type="gramEnd"/>
      <w:r w:rsidRPr="004F0EC4">
        <w:rPr>
          <w:vertAlign w:val="superscript"/>
          <w:rtl/>
        </w:rPr>
        <w:footnoteReference w:id="217"/>
      </w:r>
      <w:r w:rsidRPr="004F0EC4">
        <w:rPr>
          <w:vertAlign w:val="superscript"/>
          <w:rtl/>
        </w:rPr>
        <w:t>)</w:t>
      </w:r>
      <w:r w:rsidRPr="004F0EC4">
        <w:rPr>
          <w:rtl/>
        </w:rPr>
        <w:t xml:space="preserve"> تناولت مواضيع من قبيل النوع الاجتماعي، والحياة الجنسية، والأمومة، والرعاية الذاتية، واتخاذ القرار، والوقاية بوصفها جزءاً من الرعاية الصحية الكلية، والمسؤولية المشتركة، وانقطاع الطمث، وتقدير </w:t>
      </w:r>
      <w:r w:rsidRPr="004F0EC4">
        <w:rPr>
          <w:spacing w:val="-2"/>
          <w:rtl/>
        </w:rPr>
        <w:t>الذات، والخطط الحياتية، وشبكات الدعم، والتعليم المدرسي. وتناول الاتفاق أيضاً الصحة الجنسية</w:t>
      </w:r>
      <w:r w:rsidRPr="004F0EC4">
        <w:rPr>
          <w:rtl/>
        </w:rPr>
        <w:t xml:space="preserve"> والإنجابية للأشخاص ذوي الإعاقة، وهو ما أفضى إلى عمل مشترك قامت به الدائرة الوطنية لشؤون الأشخاص ذوي الإعاقة وجامعة شيلي لإعداد مواد ترويجية وإعلامية في عامي 2021 و2022</w:t>
      </w:r>
      <w:r w:rsidRPr="004F0EC4">
        <w:rPr>
          <w:vertAlign w:val="superscript"/>
          <w:rtl/>
        </w:rPr>
        <w:t>(</w:t>
      </w:r>
      <w:r w:rsidRPr="004F0EC4">
        <w:rPr>
          <w:vertAlign w:val="superscript"/>
          <w:rtl/>
        </w:rPr>
        <w:footnoteReference w:id="218"/>
      </w:r>
      <w:r w:rsidRPr="004F0EC4">
        <w:rPr>
          <w:vertAlign w:val="superscript"/>
          <w:rtl/>
        </w:rPr>
        <w:t>)</w:t>
      </w:r>
      <w:r w:rsidRPr="004F0EC4">
        <w:rPr>
          <w:rtl/>
        </w:rPr>
        <w:t>.</w:t>
      </w:r>
    </w:p>
    <w:p w14:paraId="04AE5629" w14:textId="5FF2C427" w:rsidR="00E54512" w:rsidRPr="004F0EC4" w:rsidRDefault="00E54512" w:rsidP="00E54512">
      <w:pPr>
        <w:pStyle w:val="SingleTxtGA"/>
      </w:pPr>
      <w:r w:rsidRPr="004F0EC4">
        <w:rPr>
          <w:rtl/>
        </w:rPr>
        <w:t>139-</w:t>
      </w:r>
      <w:r w:rsidRPr="004F0EC4">
        <w:rPr>
          <w:rtl/>
        </w:rPr>
        <w:tab/>
      </w:r>
      <w:r w:rsidRPr="004F0EC4">
        <w:rPr>
          <w:spacing w:val="-2"/>
          <w:rtl/>
        </w:rPr>
        <w:t>ومنذ عام 2017، قدمت الدائرة الوطنية لشؤون الأشخاص ذوي الإعاقة ما قيمته 112 883 131</w:t>
      </w:r>
      <w:r w:rsidRPr="004F0EC4">
        <w:rPr>
          <w:rtl/>
        </w:rPr>
        <w:t xml:space="preserve"> </w:t>
      </w:r>
      <w:r w:rsidRPr="004F0EC4">
        <w:rPr>
          <w:spacing w:val="-4"/>
          <w:rtl/>
        </w:rPr>
        <w:t>بيسو شيلياً لتمويل 13 مشروعاً تعود فوائدها المباشرة على نحو 90 شخصاً من ذوي الإعاقة وأسرهم ومحيطهم</w:t>
      </w:r>
      <w:r w:rsidRPr="004F0EC4">
        <w:rPr>
          <w:rtl/>
        </w:rPr>
        <w:t xml:space="preserve"> ومجتمعاتهم المحلية، لا سيما في الوسط المدرسي. وتشمل الإجراءات المتخذة في إطار هذه المشاريع إنتاج مواد إعلامية وسمعية بصرية تهدف إلى التوعية بالحقوق الجنسية والإنجابية. وفي عام 2019، نشرت الدائرة الوطنية لشؤون الأشخاص ذوي الإعاقة تقريراً حول أفضل الممارسات التي طبقها الصندوق الوطني للمبادرات الشاملة </w:t>
      </w:r>
      <w:proofErr w:type="gramStart"/>
      <w:r w:rsidRPr="004F0EC4">
        <w:rPr>
          <w:rtl/>
        </w:rPr>
        <w:t>للجميع</w:t>
      </w:r>
      <w:r w:rsidRPr="004F0EC4">
        <w:rPr>
          <w:vertAlign w:val="superscript"/>
          <w:rtl/>
        </w:rPr>
        <w:t>(</w:t>
      </w:r>
      <w:proofErr w:type="gramEnd"/>
      <w:r w:rsidRPr="004F0EC4">
        <w:rPr>
          <w:vertAlign w:val="superscript"/>
          <w:rtl/>
        </w:rPr>
        <w:footnoteReference w:id="219"/>
      </w:r>
      <w:r w:rsidRPr="004F0EC4">
        <w:rPr>
          <w:vertAlign w:val="superscript"/>
          <w:rtl/>
        </w:rPr>
        <w:t>)</w:t>
      </w:r>
      <w:r w:rsidRPr="004F0EC4">
        <w:rPr>
          <w:rtl/>
        </w:rPr>
        <w:t xml:space="preserve"> في إطار مسار عمله المتعلق ب</w:t>
      </w:r>
      <w:r w:rsidR="00C00FE8" w:rsidRPr="004F0EC4">
        <w:rPr>
          <w:rFonts w:hint="cs"/>
          <w:rtl/>
        </w:rPr>
        <w:t>‍</w:t>
      </w:r>
      <w:r w:rsidRPr="004F0EC4">
        <w:rPr>
          <w:rtl/>
        </w:rPr>
        <w:t xml:space="preserve"> "الحقوق الجنسية والإنجابية" خلال عام 2018.</w:t>
      </w:r>
    </w:p>
    <w:p w14:paraId="2F2C1D44" w14:textId="04CCFE4E" w:rsidR="00E54512" w:rsidRPr="004F0EC4" w:rsidRDefault="00E54512" w:rsidP="00E54512">
      <w:pPr>
        <w:pStyle w:val="SingleTxtGA"/>
      </w:pPr>
      <w:r w:rsidRPr="004F0EC4">
        <w:rPr>
          <w:rtl/>
        </w:rPr>
        <w:t>140-</w:t>
      </w:r>
      <w:r w:rsidRPr="004F0EC4">
        <w:rPr>
          <w:rtl/>
        </w:rPr>
        <w:tab/>
        <w:t xml:space="preserve">ونشرت وزارة الصحة في عام 2018 السياسة الوطنية للصحة الجنسية </w:t>
      </w:r>
      <w:proofErr w:type="gramStart"/>
      <w:r w:rsidRPr="004F0EC4">
        <w:rPr>
          <w:rtl/>
        </w:rPr>
        <w:t>والإنجابية</w:t>
      </w:r>
      <w:r w:rsidRPr="004F0EC4">
        <w:rPr>
          <w:vertAlign w:val="superscript"/>
          <w:rtl/>
        </w:rPr>
        <w:t>(</w:t>
      </w:r>
      <w:proofErr w:type="gramEnd"/>
      <w:r w:rsidRPr="004F0EC4">
        <w:rPr>
          <w:vertAlign w:val="superscript"/>
          <w:rtl/>
        </w:rPr>
        <w:footnoteReference w:id="220"/>
      </w:r>
      <w:r w:rsidRPr="004F0EC4">
        <w:rPr>
          <w:vertAlign w:val="superscript"/>
          <w:rtl/>
        </w:rPr>
        <w:t>)</w:t>
      </w:r>
      <w:r w:rsidRPr="004F0EC4">
        <w:rPr>
          <w:rtl/>
        </w:rPr>
        <w:t>، وهي</w:t>
      </w:r>
      <w:r w:rsidR="00C00FE8" w:rsidRPr="004F0EC4">
        <w:rPr>
          <w:rFonts w:hint="cs"/>
          <w:rtl/>
        </w:rPr>
        <w:t> </w:t>
      </w:r>
      <w:r w:rsidRPr="004F0EC4">
        <w:rPr>
          <w:rtl/>
        </w:rPr>
        <w:t>سياسة تحدد إطاراً عاماً لنهج قائم على حقوق الإنسان ومراع للاحتياجات المرتبطة بالإعاقة، والأهداف والمبادئ التي يتعين تطبيقها واستراتيجيات العمل، بما في ذلك تعميم مراعاة منظور الإعاقة.</w:t>
      </w:r>
    </w:p>
    <w:p w14:paraId="4A6B8049" w14:textId="32920AF6" w:rsidR="00E54512" w:rsidRPr="004F0EC4" w:rsidRDefault="00E54512" w:rsidP="00E54512">
      <w:pPr>
        <w:pStyle w:val="SingleTxtGA"/>
      </w:pPr>
      <w:r w:rsidRPr="004F0EC4">
        <w:rPr>
          <w:rtl/>
        </w:rPr>
        <w:t>141-</w:t>
      </w:r>
      <w:r w:rsidRPr="004F0EC4">
        <w:rPr>
          <w:rtl/>
        </w:rPr>
        <w:tab/>
        <w:t xml:space="preserve">وتنص المبادئ التوجيهية التقنية لبرنامج المرأة والحياة الجنسية </w:t>
      </w:r>
      <w:proofErr w:type="gramStart"/>
      <w:r w:rsidRPr="004F0EC4">
        <w:rPr>
          <w:rtl/>
        </w:rPr>
        <w:t>والأمومة</w:t>
      </w:r>
      <w:r w:rsidRPr="004F0EC4">
        <w:rPr>
          <w:vertAlign w:val="superscript"/>
          <w:rtl/>
        </w:rPr>
        <w:t>(</w:t>
      </w:r>
      <w:proofErr w:type="gramEnd"/>
      <w:r w:rsidRPr="004F0EC4">
        <w:rPr>
          <w:vertAlign w:val="superscript"/>
          <w:rtl/>
        </w:rPr>
        <w:footnoteReference w:id="221"/>
      </w:r>
      <w:r w:rsidRPr="004F0EC4">
        <w:rPr>
          <w:vertAlign w:val="superscript"/>
          <w:rtl/>
        </w:rPr>
        <w:t>)</w:t>
      </w:r>
      <w:r w:rsidRPr="004F0EC4">
        <w:rPr>
          <w:rtl/>
        </w:rPr>
        <w:t xml:space="preserve"> الذي تديره الدائرة الوطنية لشؤون المرأة والإنصاف بين الجنسين على تطبيق نهج شامل للجميع، وتقدم إرشادات محددة </w:t>
      </w:r>
      <w:r w:rsidRPr="004F0EC4">
        <w:rPr>
          <w:spacing w:val="-2"/>
          <w:rtl/>
        </w:rPr>
        <w:t>بشأن العمل مع الأشخاص ذوي الإعاقة. وبالإضافة إلى ذلك، روجعت الكتيبات التنفيذية من جانب أشخاص</w:t>
      </w:r>
      <w:r w:rsidRPr="004F0EC4">
        <w:rPr>
          <w:rtl/>
        </w:rPr>
        <w:t xml:space="preserve"> من ذوي الإعاقة. وفي عام 2021، نظم البرنامج حلقة عمل للنساء الصم في منطقة </w:t>
      </w:r>
      <w:proofErr w:type="spellStart"/>
      <w:r w:rsidRPr="004F0EC4">
        <w:rPr>
          <w:rtl/>
        </w:rPr>
        <w:t>ماغايانِس</w:t>
      </w:r>
      <w:proofErr w:type="spellEnd"/>
      <w:r w:rsidRPr="004F0EC4">
        <w:rPr>
          <w:rtl/>
        </w:rPr>
        <w:t>.</w:t>
      </w:r>
    </w:p>
    <w:p w14:paraId="19254E68" w14:textId="4BCA916C" w:rsidR="00E54512" w:rsidRPr="004F0EC4" w:rsidRDefault="00E54512" w:rsidP="00E54512">
      <w:pPr>
        <w:pStyle w:val="SingleTxtGA"/>
      </w:pPr>
      <w:r w:rsidRPr="004F0EC4">
        <w:rPr>
          <w:rtl/>
        </w:rPr>
        <w:t>142-</w:t>
      </w:r>
      <w:r w:rsidRPr="004F0EC4">
        <w:rPr>
          <w:rtl/>
        </w:rPr>
        <w:tab/>
      </w:r>
      <w:r w:rsidRPr="004F0EC4">
        <w:rPr>
          <w:spacing w:val="-4"/>
          <w:rtl/>
        </w:rPr>
        <w:t xml:space="preserve">وفي عام 2021، أعدت وزارة التعليم وحدات سمعية بصرية لاستخدامها في المناهج </w:t>
      </w:r>
      <w:proofErr w:type="gramStart"/>
      <w:r w:rsidRPr="004F0EC4">
        <w:rPr>
          <w:spacing w:val="-4"/>
          <w:rtl/>
        </w:rPr>
        <w:t>الدراسية</w:t>
      </w:r>
      <w:r w:rsidRPr="004F0EC4">
        <w:rPr>
          <w:vertAlign w:val="superscript"/>
          <w:rtl/>
        </w:rPr>
        <w:t>(</w:t>
      </w:r>
      <w:proofErr w:type="gramEnd"/>
      <w:r w:rsidRPr="004F0EC4">
        <w:rPr>
          <w:vertAlign w:val="superscript"/>
          <w:rtl/>
        </w:rPr>
        <w:footnoteReference w:id="222"/>
      </w:r>
      <w:r w:rsidRPr="004F0EC4">
        <w:rPr>
          <w:vertAlign w:val="superscript"/>
          <w:rtl/>
        </w:rPr>
        <w:t>)</w:t>
      </w:r>
      <w:r w:rsidRPr="004F0EC4">
        <w:rPr>
          <w:rtl/>
        </w:rPr>
        <w:t xml:space="preserve">. وتضمنت هذه الوحدات 48 مقطع فيديو، مقترنة بصحائف بيانات تقنية مخصصة للمعلمين و/أو الأسر، وتناولت </w:t>
      </w:r>
      <w:proofErr w:type="gramStart"/>
      <w:r w:rsidRPr="004F0EC4">
        <w:rPr>
          <w:rtl/>
        </w:rPr>
        <w:t>ثلاثة</w:t>
      </w:r>
      <w:proofErr w:type="gramEnd"/>
      <w:r w:rsidRPr="004F0EC4">
        <w:rPr>
          <w:rtl/>
        </w:rPr>
        <w:t xml:space="preserve"> مجالات عمل هي: المحاور الأساسية في المنهج الدراسي؛ والعلاقات والحياة الجنسية والنوع الاجتماعي؛ والأسرة والإعاقة. وتعمل وزارة التعليم حالياً على وضع سياسة للتربية الجنسية الشاملة يُنتظر أن تغطي النظام المدرسي بأكمله.</w:t>
      </w:r>
    </w:p>
    <w:p w14:paraId="473DB61C" w14:textId="77777777" w:rsidR="00E54512" w:rsidRPr="004F0EC4" w:rsidRDefault="00E54512" w:rsidP="00E54512">
      <w:pPr>
        <w:pStyle w:val="H1GA"/>
        <w:rPr>
          <w:lang w:val="en-US"/>
        </w:rPr>
      </w:pPr>
      <w:r w:rsidRPr="004F0EC4">
        <w:rPr>
          <w:rtl/>
          <w:lang w:val="en-US"/>
        </w:rPr>
        <w:lastRenderedPageBreak/>
        <w:tab/>
      </w:r>
      <w:r w:rsidRPr="004F0EC4">
        <w:rPr>
          <w:rtl/>
          <w:lang w:val="en-US"/>
        </w:rPr>
        <w:tab/>
        <w:t>المادة 24</w:t>
      </w:r>
    </w:p>
    <w:p w14:paraId="25803135" w14:textId="0756825B" w:rsidR="00E54512" w:rsidRPr="004F0EC4" w:rsidRDefault="00E54512" w:rsidP="00E54512">
      <w:pPr>
        <w:pStyle w:val="SingleTxtGA"/>
      </w:pPr>
      <w:r w:rsidRPr="004F0EC4">
        <w:rPr>
          <w:rtl/>
        </w:rPr>
        <w:t>143-</w:t>
      </w:r>
      <w:r w:rsidRPr="004F0EC4">
        <w:rPr>
          <w:rtl/>
        </w:rPr>
        <w:tab/>
        <w:t>اتُّخذت، في أعقاب صدور المرسوم رقم 83/2015</w:t>
      </w:r>
      <w:r w:rsidRPr="004F0EC4">
        <w:rPr>
          <w:vertAlign w:val="superscript"/>
          <w:rtl/>
        </w:rPr>
        <w:t>(</w:t>
      </w:r>
      <w:r w:rsidRPr="004F0EC4">
        <w:rPr>
          <w:vertAlign w:val="superscript"/>
          <w:rtl/>
        </w:rPr>
        <w:footnoteReference w:id="223"/>
      </w:r>
      <w:r w:rsidRPr="004F0EC4">
        <w:rPr>
          <w:vertAlign w:val="superscript"/>
          <w:rtl/>
        </w:rPr>
        <w:t>)</w:t>
      </w:r>
      <w:r w:rsidRPr="004F0EC4">
        <w:rPr>
          <w:rtl/>
        </w:rPr>
        <w:t xml:space="preserve">، تدابير لدعم المدارس العادية والمدارس الخاصة في تنفيذ أحكام هذا المرسوم. وعلى سبيل المثال، أُعدت رسوم </w:t>
      </w:r>
      <w:proofErr w:type="gramStart"/>
      <w:r w:rsidRPr="004F0EC4">
        <w:rPr>
          <w:rtl/>
        </w:rPr>
        <w:t>بيانية</w:t>
      </w:r>
      <w:r w:rsidRPr="004F0EC4">
        <w:rPr>
          <w:vertAlign w:val="superscript"/>
          <w:rtl/>
        </w:rPr>
        <w:t>(</w:t>
      </w:r>
      <w:proofErr w:type="gramEnd"/>
      <w:r w:rsidRPr="004F0EC4">
        <w:rPr>
          <w:vertAlign w:val="superscript"/>
          <w:rtl/>
        </w:rPr>
        <w:footnoteReference w:id="224"/>
      </w:r>
      <w:r w:rsidRPr="004F0EC4">
        <w:rPr>
          <w:vertAlign w:val="superscript"/>
          <w:rtl/>
        </w:rPr>
        <w:t>)</w:t>
      </w:r>
      <w:r w:rsidRPr="004F0EC4">
        <w:rPr>
          <w:rtl/>
        </w:rPr>
        <w:t xml:space="preserve">، وتلقت 157 مدرسة خاصة، منذ عام 2019، دعماً عبر الإنترنت في عملية تعديل النقاط الإرشادية لمناهجها الدراسية، بالتركيز على استيعاب منهج التعليم الأساسي، وفهم المنهج الحلزوني </w:t>
      </w:r>
      <w:proofErr w:type="gramStart"/>
      <w:r w:rsidRPr="004F0EC4">
        <w:rPr>
          <w:rtl/>
        </w:rPr>
        <w:t>واستخدامه</w:t>
      </w:r>
      <w:r w:rsidRPr="004F0EC4">
        <w:rPr>
          <w:vertAlign w:val="superscript"/>
          <w:rtl/>
        </w:rPr>
        <w:t>(</w:t>
      </w:r>
      <w:proofErr w:type="gramEnd"/>
      <w:r w:rsidRPr="004F0EC4">
        <w:rPr>
          <w:vertAlign w:val="superscript"/>
          <w:rtl/>
        </w:rPr>
        <w:footnoteReference w:id="225"/>
      </w:r>
      <w:r w:rsidRPr="004F0EC4">
        <w:rPr>
          <w:vertAlign w:val="superscript"/>
          <w:rtl/>
        </w:rPr>
        <w:t>)</w:t>
      </w:r>
      <w:r w:rsidRPr="004F0EC4">
        <w:rPr>
          <w:rtl/>
        </w:rPr>
        <w:t xml:space="preserve">، واستراتيجيات </w:t>
      </w:r>
      <w:r w:rsidRPr="004F0EC4">
        <w:rPr>
          <w:spacing w:val="-2"/>
          <w:rtl/>
        </w:rPr>
        <w:t>التنويع في التدريس، والتقييم الموجه نحو التعلم. وفي عام 2021، أُنشئت شبكات إقليمية للمدارس الخاصة</w:t>
      </w:r>
      <w:r w:rsidRPr="004F0EC4">
        <w:rPr>
          <w:rtl/>
        </w:rPr>
        <w:t xml:space="preserve"> لتقديم الدعم والإرشاد والمساعدة في تنفيذ المرسوم.</w:t>
      </w:r>
    </w:p>
    <w:p w14:paraId="3F1D1D71" w14:textId="77777777" w:rsidR="00E54512" w:rsidRPr="004F0EC4" w:rsidRDefault="00E54512" w:rsidP="00E54512">
      <w:pPr>
        <w:pStyle w:val="SingleTxtGA"/>
        <w:rPr>
          <w:rtl/>
        </w:rPr>
      </w:pPr>
      <w:r w:rsidRPr="004F0EC4">
        <w:rPr>
          <w:rtl/>
        </w:rPr>
        <w:t>144-</w:t>
      </w:r>
      <w:r w:rsidRPr="004F0EC4">
        <w:rPr>
          <w:rtl/>
        </w:rPr>
        <w:tab/>
      </w:r>
      <w:r w:rsidRPr="004F0EC4">
        <w:rPr>
          <w:spacing w:val="-4"/>
          <w:rtl/>
        </w:rPr>
        <w:t>ويجسد برنامج الدعم المدرسي لإدماج الطلاب ذوي الإعاقة التابع للدائرة الوطنية لشؤون الأشخاص</w:t>
      </w:r>
      <w:r w:rsidRPr="004F0EC4">
        <w:rPr>
          <w:rtl/>
        </w:rPr>
        <w:t xml:space="preserve"> ذوي الإعاقة أحكام المرسوم رقم 83/2015</w:t>
      </w:r>
      <w:r w:rsidRPr="004F0EC4">
        <w:rPr>
          <w:vertAlign w:val="superscript"/>
          <w:rtl/>
        </w:rPr>
        <w:t>(</w:t>
      </w:r>
      <w:r w:rsidRPr="004F0EC4">
        <w:rPr>
          <w:vertAlign w:val="superscript"/>
          <w:rtl/>
        </w:rPr>
        <w:footnoteReference w:id="226"/>
      </w:r>
      <w:r w:rsidRPr="004F0EC4">
        <w:rPr>
          <w:vertAlign w:val="superscript"/>
          <w:rtl/>
        </w:rPr>
        <w:t>)</w:t>
      </w:r>
      <w:r w:rsidRPr="004F0EC4">
        <w:rPr>
          <w:rtl/>
        </w:rPr>
        <w:t>، وهو مصمم للحد من العقبات السياقية في المدارس التي قد تعوق إدماج الطلاب ذوي الإعاقة. ويوفر البرنامج التمويل اللازم لتوفير وسائل المعونة التقنية، وتدريب المعلمين على التصميم العام فيما يتعلق بالتعلم، وإدخال التعديلات المنهجية، ونشر استراتيجيات الإدماج التعليمي وتعزيزها، وإجراء التغييرات اللازمة لإلقاء الدروس عبر الإنترنت.</w:t>
      </w:r>
    </w:p>
    <w:p w14:paraId="11FDB218" w14:textId="7C866D14" w:rsidR="00E54512" w:rsidRPr="004F0EC4" w:rsidRDefault="00E54512" w:rsidP="00E54512">
      <w:pPr>
        <w:pStyle w:val="SingleTxtGA"/>
        <w:rPr>
          <w:spacing w:val="2"/>
          <w:rtl/>
        </w:rPr>
      </w:pPr>
      <w:r w:rsidRPr="004F0EC4">
        <w:rPr>
          <w:spacing w:val="2"/>
          <w:rtl/>
        </w:rPr>
        <w:t>145-</w:t>
      </w:r>
      <w:r w:rsidRPr="004F0EC4">
        <w:rPr>
          <w:spacing w:val="2"/>
          <w:rtl/>
        </w:rPr>
        <w:tab/>
        <w:t xml:space="preserve">وفيما يتعلق بالمشاريع الخاصة، قامت مؤسسة أبويو </w:t>
      </w:r>
      <w:proofErr w:type="spellStart"/>
      <w:r w:rsidRPr="004F0EC4">
        <w:rPr>
          <w:spacing w:val="2"/>
          <w:rtl/>
        </w:rPr>
        <w:t>أوتيسمو</w:t>
      </w:r>
      <w:proofErr w:type="spellEnd"/>
      <w:r w:rsidRPr="004F0EC4">
        <w:rPr>
          <w:spacing w:val="2"/>
          <w:rtl/>
        </w:rPr>
        <w:t xml:space="preserve"> الشيلية بإعداد دليل يتناول تدابير تيسير الوصول لضمان المشاركة الكاملة للأشخاص المتوحدين، والصيغ السهلة القراءة، وتدابير أخرى لتيسير الوصول. ونظمت دورة تجريبية عبر الإنترنت لتعليم لغة الإشارة الشيلية للأطفال السامعين </w:t>
      </w:r>
      <w:r w:rsidRPr="004F0EC4">
        <w:rPr>
          <w:rtl/>
        </w:rPr>
        <w:t xml:space="preserve">الملتحقين بمدارس عادية أُدمج فيها طلاب صم. وفي عام 2020، نظمت مؤسسة "إن </w:t>
      </w:r>
      <w:proofErr w:type="spellStart"/>
      <w:r w:rsidRPr="004F0EC4">
        <w:rPr>
          <w:rtl/>
        </w:rPr>
        <w:t>سِنياس</w:t>
      </w:r>
      <w:proofErr w:type="spellEnd"/>
      <w:r w:rsidRPr="004F0EC4">
        <w:rPr>
          <w:rtl/>
        </w:rPr>
        <w:t>"</w:t>
      </w:r>
      <w:r w:rsidRPr="004F0EC4">
        <w:rPr>
          <w:spacing w:val="2"/>
          <w:rtl/>
        </w:rPr>
        <w:t xml:space="preserve"> حصصاً تجريبية عبر الإنترنت لتعليم لغة الإشارة الشيلية في المدارس التي اعتمدت برنامج الإدماج التعليمي وتضم طلاب</w:t>
      </w:r>
      <w:r w:rsidR="00E22186" w:rsidRPr="004F0EC4">
        <w:rPr>
          <w:spacing w:val="2"/>
          <w:rtl/>
        </w:rPr>
        <w:t xml:space="preserve">اً </w:t>
      </w:r>
      <w:r w:rsidRPr="004F0EC4">
        <w:rPr>
          <w:spacing w:val="2"/>
          <w:rtl/>
        </w:rPr>
        <w:t>من ذوي الإعاقات السمعية، وذلك بهدف إشراك هؤلاء الطلاب في التفاعلات التعليمية والاجتماعية.</w:t>
      </w:r>
    </w:p>
    <w:p w14:paraId="1904A9C2" w14:textId="20828D00" w:rsidR="00E54512" w:rsidRPr="004F0EC4" w:rsidRDefault="00E54512" w:rsidP="00E54512">
      <w:pPr>
        <w:pStyle w:val="SingleTxtGA"/>
        <w:rPr>
          <w:rtl/>
        </w:rPr>
      </w:pPr>
      <w:r w:rsidRPr="004F0EC4">
        <w:rPr>
          <w:rtl/>
        </w:rPr>
        <w:t>146-</w:t>
      </w:r>
      <w:r w:rsidRPr="004F0EC4">
        <w:rPr>
          <w:rtl/>
        </w:rPr>
        <w:tab/>
        <w:t>وركزت وزارة التعليم جهودها على تزويد المدارس بالأدوات التكنولوجية. وشملت استراتيجياتها ما</w:t>
      </w:r>
      <w:r w:rsidRPr="004F0EC4">
        <w:rPr>
          <w:rFonts w:hint="cs"/>
          <w:rtl/>
        </w:rPr>
        <w:t> </w:t>
      </w:r>
      <w:proofErr w:type="gramStart"/>
      <w:r w:rsidRPr="004F0EC4">
        <w:rPr>
          <w:rtl/>
        </w:rPr>
        <w:t>يلي</w:t>
      </w:r>
      <w:r w:rsidRPr="004F0EC4">
        <w:rPr>
          <w:vertAlign w:val="superscript"/>
          <w:rtl/>
        </w:rPr>
        <w:t>(</w:t>
      </w:r>
      <w:proofErr w:type="gramEnd"/>
      <w:r w:rsidRPr="004F0EC4">
        <w:rPr>
          <w:vertAlign w:val="superscript"/>
          <w:rtl/>
        </w:rPr>
        <w:footnoteReference w:id="227"/>
      </w:r>
      <w:r w:rsidRPr="004F0EC4">
        <w:rPr>
          <w:vertAlign w:val="superscript"/>
          <w:rtl/>
        </w:rPr>
        <w:t>)</w:t>
      </w:r>
      <w:r w:rsidRPr="004F0EC4">
        <w:rPr>
          <w:rtl/>
        </w:rPr>
        <w:t xml:space="preserve">: التكنولوجيا اللازمة لضمان إتاحة الخدمات التعليمية </w:t>
      </w:r>
      <w:proofErr w:type="gramStart"/>
      <w:r w:rsidRPr="004F0EC4">
        <w:rPr>
          <w:rtl/>
        </w:rPr>
        <w:t>للجميع</w:t>
      </w:r>
      <w:r w:rsidRPr="004F0EC4">
        <w:rPr>
          <w:vertAlign w:val="superscript"/>
          <w:rtl/>
        </w:rPr>
        <w:t>(</w:t>
      </w:r>
      <w:proofErr w:type="gramEnd"/>
      <w:r w:rsidRPr="004F0EC4">
        <w:rPr>
          <w:vertAlign w:val="superscript"/>
          <w:rtl/>
        </w:rPr>
        <w:footnoteReference w:id="228"/>
      </w:r>
      <w:r w:rsidRPr="004F0EC4">
        <w:rPr>
          <w:vertAlign w:val="superscript"/>
          <w:rtl/>
        </w:rPr>
        <w:t>)</w:t>
      </w:r>
      <w:r w:rsidRPr="004F0EC4">
        <w:rPr>
          <w:rtl/>
        </w:rPr>
        <w:t xml:space="preserve">؛ ومواجهة التحديات الجديدة؛ وندوة دولية حول تكنولوجيات المعلومات والاتصالات والتحديات </w:t>
      </w:r>
      <w:proofErr w:type="gramStart"/>
      <w:r w:rsidRPr="004F0EC4">
        <w:rPr>
          <w:rtl/>
        </w:rPr>
        <w:t>المتعددة</w:t>
      </w:r>
      <w:r w:rsidRPr="004F0EC4">
        <w:rPr>
          <w:vertAlign w:val="superscript"/>
          <w:rtl/>
        </w:rPr>
        <w:t>(</w:t>
      </w:r>
      <w:proofErr w:type="gramEnd"/>
      <w:r w:rsidRPr="004F0EC4">
        <w:rPr>
          <w:vertAlign w:val="superscript"/>
          <w:rtl/>
        </w:rPr>
        <w:footnoteReference w:id="229"/>
      </w:r>
      <w:r w:rsidRPr="004F0EC4">
        <w:rPr>
          <w:vertAlign w:val="superscript"/>
          <w:rtl/>
        </w:rPr>
        <w:t>)</w:t>
      </w:r>
      <w:r w:rsidRPr="004F0EC4">
        <w:rPr>
          <w:rtl/>
        </w:rPr>
        <w:t>؛ وتوزيع مجموعات أدوات تكنولوجية للتعلم عبر الإنترنت؛ وتعزيز الظروف المواتية لإعادة تنشيط عملية التعلم من خلال الابتكار التربوي في المدارس الخاصة.</w:t>
      </w:r>
    </w:p>
    <w:p w14:paraId="550E9392" w14:textId="4CA60B19" w:rsidR="00E54512" w:rsidRPr="004F0EC4" w:rsidRDefault="00E54512" w:rsidP="00E54512">
      <w:pPr>
        <w:pStyle w:val="SingleTxtGA"/>
      </w:pPr>
      <w:r w:rsidRPr="004F0EC4">
        <w:rPr>
          <w:rtl/>
        </w:rPr>
        <w:t>147-</w:t>
      </w:r>
      <w:r w:rsidRPr="004F0EC4">
        <w:rPr>
          <w:rtl/>
        </w:rPr>
        <w:tab/>
        <w:t xml:space="preserve">وفيما يتعلق ببناء ثقافة التنوع في مجال التعليم، ارتفع، منذ إطلاق برنامج الإدماج التعليمي، عدد الطلاب ذوي الإعاقة المسجلين في التعليم العادي، إذ بلغت نسبة المسجلين في المدارس العادية 70 في </w:t>
      </w:r>
      <w:proofErr w:type="gramStart"/>
      <w:r w:rsidRPr="004F0EC4">
        <w:rPr>
          <w:rtl/>
        </w:rPr>
        <w:t>المائة</w:t>
      </w:r>
      <w:proofErr w:type="gramEnd"/>
      <w:r w:rsidRPr="004F0EC4">
        <w:rPr>
          <w:rtl/>
        </w:rPr>
        <w:t xml:space="preserve"> منهم بالمدارس العادية، بينما يواصل 30 في </w:t>
      </w:r>
      <w:proofErr w:type="gramStart"/>
      <w:r w:rsidRPr="004F0EC4">
        <w:rPr>
          <w:rtl/>
        </w:rPr>
        <w:t>المائة</w:t>
      </w:r>
      <w:proofErr w:type="gramEnd"/>
      <w:r w:rsidRPr="004F0EC4">
        <w:rPr>
          <w:rtl/>
        </w:rPr>
        <w:t xml:space="preserve"> منهم تعليمهم في مدارس خاصة.</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228"/>
        <w:gridCol w:w="4395"/>
        <w:gridCol w:w="1747"/>
      </w:tblGrid>
      <w:tr w:rsidR="00E54512" w:rsidRPr="004F0EC4" w14:paraId="46DA6C2B" w14:textId="77777777" w:rsidTr="00E54512">
        <w:trPr>
          <w:trHeight w:val="240"/>
          <w:tblHeader/>
        </w:trPr>
        <w:tc>
          <w:tcPr>
            <w:tcW w:w="1228" w:type="dxa"/>
            <w:tcBorders>
              <w:top w:val="single" w:sz="4" w:space="0" w:color="auto"/>
              <w:bottom w:val="single" w:sz="12" w:space="0" w:color="auto"/>
            </w:tcBorders>
            <w:vAlign w:val="bottom"/>
          </w:tcPr>
          <w:p w14:paraId="1E4228C5" w14:textId="77777777" w:rsidR="00E54512" w:rsidRPr="004F0EC4" w:rsidRDefault="00E54512" w:rsidP="00C00FE8">
            <w:pPr>
              <w:pStyle w:val="SingleTxtG"/>
              <w:tabs>
                <w:tab w:val="clear" w:pos="1701"/>
                <w:tab w:val="clear" w:pos="2268"/>
              </w:tabs>
              <w:suppressAutoHyphens w:val="0"/>
              <w:bidi/>
              <w:spacing w:after="40" w:line="300" w:lineRule="exact"/>
              <w:ind w:left="57" w:right="113"/>
              <w:jc w:val="left"/>
              <w:textDirection w:val="tbRlV"/>
              <w:rPr>
                <w:rFonts w:hAnsi="Times New Roman"/>
                <w:i/>
                <w:szCs w:val="20"/>
                <w:lang w:eastAsia="zh-TW"/>
              </w:rPr>
            </w:pPr>
            <w:r w:rsidRPr="004F0EC4">
              <w:rPr>
                <w:rFonts w:hAnsi="Times New Roman"/>
                <w:i/>
                <w:iCs/>
                <w:szCs w:val="20"/>
                <w:rtl/>
              </w:rPr>
              <w:lastRenderedPageBreak/>
              <w:t>العام</w:t>
            </w:r>
          </w:p>
        </w:tc>
        <w:tc>
          <w:tcPr>
            <w:tcW w:w="4395" w:type="dxa"/>
            <w:tcBorders>
              <w:top w:val="single" w:sz="4" w:space="0" w:color="auto"/>
              <w:bottom w:val="single" w:sz="12" w:space="0" w:color="auto"/>
            </w:tcBorders>
            <w:vAlign w:val="bottom"/>
          </w:tcPr>
          <w:p w14:paraId="6B22CD07" w14:textId="77777777" w:rsidR="00E54512" w:rsidRPr="004F0EC4" w:rsidRDefault="00E54512" w:rsidP="00C00FE8">
            <w:pPr>
              <w:pStyle w:val="SingleTxtG"/>
              <w:tabs>
                <w:tab w:val="clear" w:pos="1701"/>
                <w:tab w:val="clear" w:pos="2268"/>
              </w:tabs>
              <w:suppressAutoHyphens w:val="0"/>
              <w:bidi/>
              <w:spacing w:after="40" w:line="300" w:lineRule="exact"/>
              <w:ind w:left="57" w:right="113"/>
              <w:jc w:val="left"/>
              <w:textDirection w:val="tbRlV"/>
              <w:rPr>
                <w:rFonts w:hAnsi="Times New Roman"/>
                <w:i/>
                <w:szCs w:val="20"/>
                <w:lang w:eastAsia="zh-TW"/>
              </w:rPr>
            </w:pPr>
            <w:r w:rsidRPr="004F0EC4">
              <w:rPr>
                <w:rFonts w:hAnsi="Times New Roman"/>
                <w:i/>
                <w:iCs/>
                <w:szCs w:val="20"/>
                <w:rtl/>
              </w:rPr>
              <w:t>طلاب المدارس العادية التي تطبق برنامج الإدماج التعليمي</w:t>
            </w:r>
          </w:p>
        </w:tc>
        <w:tc>
          <w:tcPr>
            <w:tcW w:w="1747" w:type="dxa"/>
            <w:tcBorders>
              <w:top w:val="single" w:sz="4" w:space="0" w:color="auto"/>
              <w:bottom w:val="single" w:sz="12" w:space="0" w:color="auto"/>
            </w:tcBorders>
            <w:vAlign w:val="bottom"/>
          </w:tcPr>
          <w:p w14:paraId="31207FFA" w14:textId="77777777" w:rsidR="00E54512" w:rsidRPr="004F0EC4" w:rsidRDefault="00E54512" w:rsidP="00C00FE8">
            <w:pPr>
              <w:pStyle w:val="SingleTxtG"/>
              <w:tabs>
                <w:tab w:val="clear" w:pos="1701"/>
                <w:tab w:val="clear" w:pos="2268"/>
              </w:tabs>
              <w:suppressAutoHyphens w:val="0"/>
              <w:bidi/>
              <w:spacing w:after="40" w:line="300" w:lineRule="exact"/>
              <w:ind w:left="57" w:right="0"/>
              <w:jc w:val="left"/>
              <w:textDirection w:val="tbRlV"/>
              <w:rPr>
                <w:rFonts w:hAnsi="Times New Roman"/>
                <w:i/>
                <w:szCs w:val="20"/>
                <w:lang w:eastAsia="zh-TW"/>
              </w:rPr>
            </w:pPr>
            <w:r w:rsidRPr="004F0EC4">
              <w:rPr>
                <w:rFonts w:hAnsi="Times New Roman"/>
                <w:i/>
                <w:iCs/>
                <w:szCs w:val="20"/>
                <w:rtl/>
              </w:rPr>
              <w:t>طلاب المدارس الخاصة</w:t>
            </w:r>
          </w:p>
        </w:tc>
      </w:tr>
      <w:tr w:rsidR="00E54512" w:rsidRPr="004F0EC4" w14:paraId="680199C5" w14:textId="77777777" w:rsidTr="00E54512">
        <w:trPr>
          <w:trHeight w:val="240"/>
        </w:trPr>
        <w:tc>
          <w:tcPr>
            <w:tcW w:w="1228" w:type="dxa"/>
            <w:tcBorders>
              <w:top w:val="single" w:sz="12" w:space="0" w:color="auto"/>
            </w:tcBorders>
          </w:tcPr>
          <w:p w14:paraId="44747900" w14:textId="77777777" w:rsidR="00E54512" w:rsidRPr="004F0EC4" w:rsidRDefault="00E54512" w:rsidP="00C00FE8">
            <w:pPr>
              <w:pStyle w:val="SingleTxtG"/>
              <w:tabs>
                <w:tab w:val="clear" w:pos="1701"/>
                <w:tab w:val="clear" w:pos="2268"/>
              </w:tabs>
              <w:suppressAutoHyphens w:val="0"/>
              <w:bidi/>
              <w:spacing w:after="40" w:line="300" w:lineRule="exact"/>
              <w:ind w:left="57" w:right="113"/>
              <w:jc w:val="left"/>
              <w:textDirection w:val="tbRlV"/>
              <w:rPr>
                <w:rFonts w:hAnsi="Times New Roman"/>
                <w:szCs w:val="20"/>
                <w:lang w:eastAsia="zh-TW"/>
              </w:rPr>
            </w:pPr>
            <w:r w:rsidRPr="004F0EC4">
              <w:rPr>
                <w:rFonts w:hAnsi="Times New Roman"/>
                <w:szCs w:val="20"/>
                <w:rtl/>
              </w:rPr>
              <w:t>2017</w:t>
            </w:r>
          </w:p>
        </w:tc>
        <w:tc>
          <w:tcPr>
            <w:tcW w:w="4395" w:type="dxa"/>
            <w:tcBorders>
              <w:top w:val="single" w:sz="12" w:space="0" w:color="auto"/>
            </w:tcBorders>
            <w:vAlign w:val="bottom"/>
          </w:tcPr>
          <w:p w14:paraId="4352C480" w14:textId="77777777" w:rsidR="00E54512" w:rsidRPr="004F0EC4" w:rsidRDefault="00E54512" w:rsidP="00C00FE8">
            <w:pPr>
              <w:pStyle w:val="SingleTxtG"/>
              <w:tabs>
                <w:tab w:val="clear" w:pos="1701"/>
                <w:tab w:val="clear" w:pos="2268"/>
              </w:tabs>
              <w:suppressAutoHyphens w:val="0"/>
              <w:bidi/>
              <w:spacing w:after="40" w:line="300" w:lineRule="exact"/>
              <w:ind w:left="57" w:right="113"/>
              <w:jc w:val="left"/>
              <w:textDirection w:val="tbRlV"/>
              <w:rPr>
                <w:rFonts w:hAnsi="Times New Roman"/>
                <w:szCs w:val="20"/>
                <w:lang w:eastAsia="zh-TW"/>
              </w:rPr>
            </w:pPr>
            <w:r w:rsidRPr="004F0EC4">
              <w:rPr>
                <w:rFonts w:hAnsi="Times New Roman"/>
                <w:szCs w:val="20"/>
                <w:rtl/>
              </w:rPr>
              <w:t>717 75</w:t>
            </w:r>
          </w:p>
        </w:tc>
        <w:tc>
          <w:tcPr>
            <w:tcW w:w="1747" w:type="dxa"/>
            <w:tcBorders>
              <w:top w:val="single" w:sz="12" w:space="0" w:color="auto"/>
            </w:tcBorders>
            <w:vAlign w:val="bottom"/>
          </w:tcPr>
          <w:p w14:paraId="594931A0" w14:textId="77777777" w:rsidR="00E54512" w:rsidRPr="004F0EC4" w:rsidRDefault="00E54512" w:rsidP="00C00FE8">
            <w:pPr>
              <w:pStyle w:val="SingleTxtG"/>
              <w:tabs>
                <w:tab w:val="clear" w:pos="1701"/>
                <w:tab w:val="clear" w:pos="2268"/>
              </w:tabs>
              <w:suppressAutoHyphens w:val="0"/>
              <w:bidi/>
              <w:spacing w:after="40" w:line="300" w:lineRule="exact"/>
              <w:ind w:left="57" w:right="0"/>
              <w:jc w:val="left"/>
              <w:textDirection w:val="tbRlV"/>
              <w:rPr>
                <w:rFonts w:hAnsi="Times New Roman"/>
                <w:szCs w:val="20"/>
                <w:lang w:eastAsia="zh-TW"/>
              </w:rPr>
            </w:pPr>
            <w:r w:rsidRPr="004F0EC4">
              <w:rPr>
                <w:rFonts w:hAnsi="Times New Roman"/>
                <w:szCs w:val="20"/>
                <w:rtl/>
              </w:rPr>
              <w:t>977 39</w:t>
            </w:r>
          </w:p>
        </w:tc>
      </w:tr>
      <w:tr w:rsidR="00E54512" w:rsidRPr="004F0EC4" w14:paraId="777B55EC" w14:textId="77777777" w:rsidTr="00E54512">
        <w:trPr>
          <w:trHeight w:val="240"/>
        </w:trPr>
        <w:tc>
          <w:tcPr>
            <w:tcW w:w="1228" w:type="dxa"/>
          </w:tcPr>
          <w:p w14:paraId="207501D2" w14:textId="77777777" w:rsidR="00E54512" w:rsidRPr="004F0EC4" w:rsidRDefault="00E54512" w:rsidP="00C00FE8">
            <w:pPr>
              <w:pStyle w:val="SingleTxtG"/>
              <w:tabs>
                <w:tab w:val="clear" w:pos="1701"/>
                <w:tab w:val="clear" w:pos="2268"/>
              </w:tabs>
              <w:suppressAutoHyphens w:val="0"/>
              <w:bidi/>
              <w:spacing w:after="40" w:line="300" w:lineRule="exact"/>
              <w:ind w:left="57" w:right="113"/>
              <w:jc w:val="left"/>
              <w:textDirection w:val="tbRlV"/>
              <w:rPr>
                <w:rFonts w:hAnsi="Times New Roman"/>
                <w:szCs w:val="20"/>
                <w:lang w:eastAsia="zh-TW"/>
              </w:rPr>
            </w:pPr>
            <w:r w:rsidRPr="004F0EC4">
              <w:rPr>
                <w:rFonts w:hAnsi="Times New Roman"/>
                <w:szCs w:val="20"/>
                <w:rtl/>
              </w:rPr>
              <w:t>2018</w:t>
            </w:r>
          </w:p>
        </w:tc>
        <w:tc>
          <w:tcPr>
            <w:tcW w:w="4395" w:type="dxa"/>
            <w:vAlign w:val="bottom"/>
          </w:tcPr>
          <w:p w14:paraId="43D3944E" w14:textId="77777777" w:rsidR="00E54512" w:rsidRPr="004F0EC4" w:rsidRDefault="00E54512" w:rsidP="00C00FE8">
            <w:pPr>
              <w:pStyle w:val="SingleTxtG"/>
              <w:tabs>
                <w:tab w:val="clear" w:pos="1701"/>
                <w:tab w:val="clear" w:pos="2268"/>
              </w:tabs>
              <w:suppressAutoHyphens w:val="0"/>
              <w:bidi/>
              <w:spacing w:after="40" w:line="300" w:lineRule="exact"/>
              <w:ind w:left="57" w:right="113"/>
              <w:jc w:val="left"/>
              <w:textDirection w:val="tbRlV"/>
              <w:rPr>
                <w:rFonts w:hAnsi="Times New Roman"/>
                <w:szCs w:val="20"/>
                <w:lang w:eastAsia="zh-TW"/>
              </w:rPr>
            </w:pPr>
            <w:r w:rsidRPr="004F0EC4">
              <w:rPr>
                <w:rFonts w:hAnsi="Times New Roman"/>
                <w:szCs w:val="20"/>
                <w:rtl/>
              </w:rPr>
              <w:t>084 83</w:t>
            </w:r>
          </w:p>
        </w:tc>
        <w:tc>
          <w:tcPr>
            <w:tcW w:w="1747" w:type="dxa"/>
            <w:vAlign w:val="bottom"/>
          </w:tcPr>
          <w:p w14:paraId="26ED44F6" w14:textId="77777777" w:rsidR="00E54512" w:rsidRPr="004F0EC4" w:rsidRDefault="00E54512" w:rsidP="00C00FE8">
            <w:pPr>
              <w:pStyle w:val="SingleTxtG"/>
              <w:tabs>
                <w:tab w:val="clear" w:pos="1701"/>
                <w:tab w:val="clear" w:pos="2268"/>
              </w:tabs>
              <w:suppressAutoHyphens w:val="0"/>
              <w:bidi/>
              <w:spacing w:after="40" w:line="300" w:lineRule="exact"/>
              <w:ind w:left="57" w:right="0"/>
              <w:jc w:val="left"/>
              <w:textDirection w:val="tbRlV"/>
              <w:rPr>
                <w:rFonts w:hAnsi="Times New Roman"/>
                <w:szCs w:val="20"/>
                <w:lang w:eastAsia="zh-TW"/>
              </w:rPr>
            </w:pPr>
            <w:r w:rsidRPr="004F0EC4">
              <w:rPr>
                <w:rFonts w:hAnsi="Times New Roman"/>
                <w:szCs w:val="20"/>
                <w:rtl/>
              </w:rPr>
              <w:t>679 39</w:t>
            </w:r>
          </w:p>
        </w:tc>
      </w:tr>
      <w:tr w:rsidR="00E54512" w:rsidRPr="004F0EC4" w14:paraId="4F770F1A" w14:textId="77777777" w:rsidTr="00E54512">
        <w:trPr>
          <w:trHeight w:val="240"/>
        </w:trPr>
        <w:tc>
          <w:tcPr>
            <w:tcW w:w="1228" w:type="dxa"/>
          </w:tcPr>
          <w:p w14:paraId="519C46A7" w14:textId="77777777" w:rsidR="00E54512" w:rsidRPr="004F0EC4" w:rsidRDefault="00E54512" w:rsidP="00C00FE8">
            <w:pPr>
              <w:pStyle w:val="SingleTxtG"/>
              <w:tabs>
                <w:tab w:val="clear" w:pos="1701"/>
                <w:tab w:val="clear" w:pos="2268"/>
              </w:tabs>
              <w:suppressAutoHyphens w:val="0"/>
              <w:bidi/>
              <w:spacing w:after="40" w:line="300" w:lineRule="exact"/>
              <w:ind w:left="57" w:right="113"/>
              <w:jc w:val="left"/>
              <w:textDirection w:val="tbRlV"/>
              <w:rPr>
                <w:rFonts w:hAnsi="Times New Roman"/>
                <w:szCs w:val="20"/>
                <w:lang w:eastAsia="zh-TW"/>
              </w:rPr>
            </w:pPr>
            <w:r w:rsidRPr="004F0EC4">
              <w:rPr>
                <w:rFonts w:hAnsi="Times New Roman"/>
                <w:szCs w:val="20"/>
                <w:rtl/>
              </w:rPr>
              <w:t>2019</w:t>
            </w:r>
          </w:p>
        </w:tc>
        <w:tc>
          <w:tcPr>
            <w:tcW w:w="4395" w:type="dxa"/>
            <w:vAlign w:val="bottom"/>
          </w:tcPr>
          <w:p w14:paraId="734F61B0" w14:textId="77777777" w:rsidR="00E54512" w:rsidRPr="004F0EC4" w:rsidRDefault="00E54512" w:rsidP="00C00FE8">
            <w:pPr>
              <w:pStyle w:val="SingleTxtG"/>
              <w:tabs>
                <w:tab w:val="clear" w:pos="1701"/>
                <w:tab w:val="clear" w:pos="2268"/>
              </w:tabs>
              <w:suppressAutoHyphens w:val="0"/>
              <w:bidi/>
              <w:spacing w:after="40" w:line="300" w:lineRule="exact"/>
              <w:ind w:left="57" w:right="113"/>
              <w:jc w:val="left"/>
              <w:textDirection w:val="tbRlV"/>
              <w:rPr>
                <w:rFonts w:hAnsi="Times New Roman"/>
                <w:szCs w:val="20"/>
                <w:lang w:eastAsia="zh-TW"/>
              </w:rPr>
            </w:pPr>
            <w:r w:rsidRPr="004F0EC4">
              <w:rPr>
                <w:rFonts w:hAnsi="Times New Roman"/>
                <w:szCs w:val="20"/>
                <w:rtl/>
              </w:rPr>
              <w:t>481 90</w:t>
            </w:r>
          </w:p>
        </w:tc>
        <w:tc>
          <w:tcPr>
            <w:tcW w:w="1747" w:type="dxa"/>
            <w:vAlign w:val="bottom"/>
          </w:tcPr>
          <w:p w14:paraId="476381CA" w14:textId="77777777" w:rsidR="00E54512" w:rsidRPr="004F0EC4" w:rsidRDefault="00E54512" w:rsidP="00C00FE8">
            <w:pPr>
              <w:pStyle w:val="SingleTxtG"/>
              <w:tabs>
                <w:tab w:val="clear" w:pos="1701"/>
                <w:tab w:val="clear" w:pos="2268"/>
              </w:tabs>
              <w:suppressAutoHyphens w:val="0"/>
              <w:bidi/>
              <w:spacing w:after="40" w:line="300" w:lineRule="exact"/>
              <w:ind w:left="57" w:right="0"/>
              <w:jc w:val="left"/>
              <w:textDirection w:val="tbRlV"/>
              <w:rPr>
                <w:rFonts w:hAnsi="Times New Roman"/>
                <w:szCs w:val="20"/>
                <w:lang w:eastAsia="zh-TW"/>
              </w:rPr>
            </w:pPr>
            <w:r w:rsidRPr="004F0EC4">
              <w:rPr>
                <w:rFonts w:hAnsi="Times New Roman"/>
                <w:szCs w:val="20"/>
                <w:rtl/>
              </w:rPr>
              <w:t>319 39</w:t>
            </w:r>
          </w:p>
        </w:tc>
      </w:tr>
      <w:tr w:rsidR="00E54512" w:rsidRPr="004F0EC4" w14:paraId="61E72938" w14:textId="77777777" w:rsidTr="00E54512">
        <w:trPr>
          <w:trHeight w:val="240"/>
        </w:trPr>
        <w:tc>
          <w:tcPr>
            <w:tcW w:w="1228" w:type="dxa"/>
          </w:tcPr>
          <w:p w14:paraId="258B47CA" w14:textId="042CEB64" w:rsidR="00E54512" w:rsidRPr="004F0EC4" w:rsidRDefault="00E54512" w:rsidP="00C00FE8">
            <w:pPr>
              <w:pStyle w:val="SingleTxtG"/>
              <w:tabs>
                <w:tab w:val="clear" w:pos="1701"/>
                <w:tab w:val="clear" w:pos="2268"/>
              </w:tabs>
              <w:suppressAutoHyphens w:val="0"/>
              <w:bidi/>
              <w:spacing w:after="40" w:line="300" w:lineRule="exact"/>
              <w:ind w:left="57" w:right="113"/>
              <w:jc w:val="left"/>
              <w:textDirection w:val="tbRlV"/>
              <w:rPr>
                <w:rFonts w:hAnsi="Times New Roman"/>
                <w:szCs w:val="20"/>
                <w:lang w:eastAsia="zh-TW"/>
              </w:rPr>
            </w:pPr>
            <w:r w:rsidRPr="004F0EC4">
              <w:rPr>
                <w:rFonts w:hAnsi="Times New Roman"/>
                <w:szCs w:val="20"/>
                <w:rtl/>
              </w:rPr>
              <w:t>2020</w:t>
            </w:r>
            <w:r w:rsidRPr="004F0EC4">
              <w:rPr>
                <w:rFonts w:hAnsi="Times New Roman"/>
                <w:szCs w:val="20"/>
                <w:vertAlign w:val="superscript"/>
                <w:rtl/>
              </w:rPr>
              <w:t>(</w:t>
            </w:r>
            <w:r w:rsidRPr="004F0EC4">
              <w:rPr>
                <w:rFonts w:hAnsi="Times New Roman"/>
                <w:szCs w:val="20"/>
                <w:vertAlign w:val="superscript"/>
                <w:rtl/>
              </w:rPr>
              <w:footnoteReference w:id="230"/>
            </w:r>
            <w:r w:rsidRPr="004F0EC4">
              <w:rPr>
                <w:rFonts w:hAnsi="Times New Roman"/>
                <w:szCs w:val="20"/>
                <w:vertAlign w:val="superscript"/>
                <w:rtl/>
              </w:rPr>
              <w:t>)</w:t>
            </w:r>
          </w:p>
        </w:tc>
        <w:tc>
          <w:tcPr>
            <w:tcW w:w="4395" w:type="dxa"/>
            <w:vAlign w:val="bottom"/>
          </w:tcPr>
          <w:p w14:paraId="6B4DE713" w14:textId="77777777" w:rsidR="00E54512" w:rsidRPr="004F0EC4" w:rsidRDefault="00E54512" w:rsidP="00C00FE8">
            <w:pPr>
              <w:pStyle w:val="SingleTxtG"/>
              <w:tabs>
                <w:tab w:val="clear" w:pos="1701"/>
                <w:tab w:val="clear" w:pos="2268"/>
              </w:tabs>
              <w:suppressAutoHyphens w:val="0"/>
              <w:bidi/>
              <w:spacing w:after="40" w:line="300" w:lineRule="exact"/>
              <w:ind w:left="57" w:right="113"/>
              <w:jc w:val="left"/>
              <w:textDirection w:val="tbRlV"/>
              <w:rPr>
                <w:rFonts w:hAnsi="Times New Roman"/>
                <w:szCs w:val="20"/>
                <w:lang w:eastAsia="zh-TW"/>
              </w:rPr>
            </w:pPr>
            <w:r w:rsidRPr="004F0EC4">
              <w:rPr>
                <w:rFonts w:hAnsi="Times New Roman"/>
                <w:szCs w:val="20"/>
                <w:rtl/>
              </w:rPr>
              <w:t>169 90</w:t>
            </w:r>
          </w:p>
        </w:tc>
        <w:tc>
          <w:tcPr>
            <w:tcW w:w="1747" w:type="dxa"/>
            <w:vAlign w:val="bottom"/>
          </w:tcPr>
          <w:p w14:paraId="26A6A3D0" w14:textId="77777777" w:rsidR="00E54512" w:rsidRPr="004F0EC4" w:rsidRDefault="00E54512" w:rsidP="00C00FE8">
            <w:pPr>
              <w:pStyle w:val="SingleTxtG"/>
              <w:tabs>
                <w:tab w:val="clear" w:pos="1701"/>
                <w:tab w:val="clear" w:pos="2268"/>
              </w:tabs>
              <w:suppressAutoHyphens w:val="0"/>
              <w:bidi/>
              <w:spacing w:after="40" w:line="300" w:lineRule="exact"/>
              <w:ind w:left="57" w:right="0"/>
              <w:jc w:val="left"/>
              <w:textDirection w:val="tbRlV"/>
              <w:rPr>
                <w:rFonts w:hAnsi="Times New Roman"/>
                <w:szCs w:val="20"/>
                <w:lang w:eastAsia="zh-TW"/>
              </w:rPr>
            </w:pPr>
            <w:r w:rsidRPr="004F0EC4">
              <w:rPr>
                <w:rFonts w:hAnsi="Times New Roman"/>
                <w:szCs w:val="20"/>
                <w:rtl/>
              </w:rPr>
              <w:t>559 38</w:t>
            </w:r>
          </w:p>
        </w:tc>
      </w:tr>
      <w:tr w:rsidR="00E54512" w:rsidRPr="004F0EC4" w14:paraId="5EF59132" w14:textId="77777777" w:rsidTr="00E54512">
        <w:trPr>
          <w:trHeight w:val="240"/>
        </w:trPr>
        <w:tc>
          <w:tcPr>
            <w:tcW w:w="1228" w:type="dxa"/>
          </w:tcPr>
          <w:p w14:paraId="7C252E32" w14:textId="77777777" w:rsidR="00E54512" w:rsidRPr="004F0EC4" w:rsidRDefault="00E54512" w:rsidP="00C00FE8">
            <w:pPr>
              <w:pStyle w:val="SingleTxtG"/>
              <w:tabs>
                <w:tab w:val="clear" w:pos="1701"/>
                <w:tab w:val="clear" w:pos="2268"/>
              </w:tabs>
              <w:suppressAutoHyphens w:val="0"/>
              <w:bidi/>
              <w:spacing w:after="40" w:line="300" w:lineRule="exact"/>
              <w:ind w:left="57" w:right="113"/>
              <w:jc w:val="left"/>
              <w:textDirection w:val="tbRlV"/>
              <w:rPr>
                <w:rFonts w:hAnsi="Times New Roman"/>
                <w:szCs w:val="20"/>
                <w:lang w:eastAsia="zh-TW"/>
              </w:rPr>
            </w:pPr>
            <w:r w:rsidRPr="004F0EC4">
              <w:rPr>
                <w:rFonts w:hAnsi="Times New Roman"/>
                <w:szCs w:val="20"/>
                <w:rtl/>
              </w:rPr>
              <w:t>2021</w:t>
            </w:r>
          </w:p>
        </w:tc>
        <w:tc>
          <w:tcPr>
            <w:tcW w:w="4395" w:type="dxa"/>
            <w:vAlign w:val="bottom"/>
          </w:tcPr>
          <w:p w14:paraId="396A20BC" w14:textId="77777777" w:rsidR="00E54512" w:rsidRPr="004F0EC4" w:rsidRDefault="00E54512" w:rsidP="00C00FE8">
            <w:pPr>
              <w:pStyle w:val="SingleTxtG"/>
              <w:tabs>
                <w:tab w:val="clear" w:pos="1701"/>
                <w:tab w:val="clear" w:pos="2268"/>
              </w:tabs>
              <w:suppressAutoHyphens w:val="0"/>
              <w:bidi/>
              <w:spacing w:after="40" w:line="300" w:lineRule="exact"/>
              <w:ind w:left="57" w:right="113"/>
              <w:jc w:val="left"/>
              <w:textDirection w:val="tbRlV"/>
              <w:rPr>
                <w:rFonts w:hAnsi="Times New Roman"/>
                <w:szCs w:val="20"/>
                <w:lang w:eastAsia="zh-TW"/>
              </w:rPr>
            </w:pPr>
            <w:r w:rsidRPr="004F0EC4">
              <w:rPr>
                <w:rFonts w:hAnsi="Times New Roman"/>
                <w:szCs w:val="20"/>
                <w:rtl/>
              </w:rPr>
              <w:t>796 99</w:t>
            </w:r>
          </w:p>
        </w:tc>
        <w:tc>
          <w:tcPr>
            <w:tcW w:w="1747" w:type="dxa"/>
            <w:vAlign w:val="bottom"/>
          </w:tcPr>
          <w:p w14:paraId="3776ADC8" w14:textId="77777777" w:rsidR="00E54512" w:rsidRPr="004F0EC4" w:rsidRDefault="00E54512" w:rsidP="00C00FE8">
            <w:pPr>
              <w:pStyle w:val="SingleTxtG"/>
              <w:tabs>
                <w:tab w:val="clear" w:pos="1701"/>
                <w:tab w:val="clear" w:pos="2268"/>
              </w:tabs>
              <w:suppressAutoHyphens w:val="0"/>
              <w:bidi/>
              <w:spacing w:after="40" w:line="300" w:lineRule="exact"/>
              <w:ind w:left="57" w:right="0"/>
              <w:jc w:val="left"/>
              <w:textDirection w:val="tbRlV"/>
              <w:rPr>
                <w:rFonts w:hAnsi="Times New Roman"/>
                <w:szCs w:val="20"/>
                <w:lang w:eastAsia="zh-TW"/>
              </w:rPr>
            </w:pPr>
            <w:r w:rsidRPr="004F0EC4">
              <w:rPr>
                <w:rFonts w:hAnsi="Times New Roman"/>
                <w:szCs w:val="20"/>
                <w:rtl/>
              </w:rPr>
              <w:t>468 38</w:t>
            </w:r>
          </w:p>
        </w:tc>
      </w:tr>
      <w:tr w:rsidR="00E54512" w:rsidRPr="004F0EC4" w14:paraId="7FBE1FDD" w14:textId="77777777" w:rsidTr="00E54512">
        <w:trPr>
          <w:trHeight w:val="240"/>
        </w:trPr>
        <w:tc>
          <w:tcPr>
            <w:tcW w:w="1228" w:type="dxa"/>
          </w:tcPr>
          <w:p w14:paraId="0DD00635" w14:textId="77777777" w:rsidR="00E54512" w:rsidRPr="004F0EC4" w:rsidRDefault="00E54512" w:rsidP="00C00FE8">
            <w:pPr>
              <w:pStyle w:val="SingleTxtG"/>
              <w:tabs>
                <w:tab w:val="clear" w:pos="1701"/>
                <w:tab w:val="clear" w:pos="2268"/>
              </w:tabs>
              <w:suppressAutoHyphens w:val="0"/>
              <w:bidi/>
              <w:spacing w:after="40" w:line="300" w:lineRule="exact"/>
              <w:ind w:left="57" w:right="113"/>
              <w:jc w:val="left"/>
              <w:textDirection w:val="tbRlV"/>
              <w:rPr>
                <w:rFonts w:hAnsi="Times New Roman"/>
                <w:szCs w:val="20"/>
                <w:lang w:eastAsia="zh-TW"/>
              </w:rPr>
            </w:pPr>
            <w:r w:rsidRPr="004F0EC4">
              <w:rPr>
                <w:rFonts w:hAnsi="Times New Roman"/>
                <w:szCs w:val="20"/>
                <w:rtl/>
              </w:rPr>
              <w:t>2022</w:t>
            </w:r>
          </w:p>
        </w:tc>
        <w:tc>
          <w:tcPr>
            <w:tcW w:w="4395" w:type="dxa"/>
            <w:vAlign w:val="bottom"/>
          </w:tcPr>
          <w:p w14:paraId="008AC6F8" w14:textId="4A6BF7E3" w:rsidR="00E54512" w:rsidRPr="004F0EC4" w:rsidRDefault="00E54512" w:rsidP="00C00FE8">
            <w:pPr>
              <w:pStyle w:val="SingleTxtG"/>
              <w:tabs>
                <w:tab w:val="clear" w:pos="1701"/>
                <w:tab w:val="clear" w:pos="2268"/>
              </w:tabs>
              <w:suppressAutoHyphens w:val="0"/>
              <w:bidi/>
              <w:spacing w:after="40" w:line="300" w:lineRule="exact"/>
              <w:ind w:left="57" w:right="113"/>
              <w:jc w:val="left"/>
              <w:textDirection w:val="tbRlV"/>
              <w:rPr>
                <w:rFonts w:hAnsi="Times New Roman"/>
                <w:szCs w:val="20"/>
                <w:lang w:eastAsia="zh-TW"/>
              </w:rPr>
            </w:pPr>
            <w:r w:rsidRPr="004F0EC4">
              <w:rPr>
                <w:rFonts w:hAnsi="Times New Roman"/>
                <w:szCs w:val="20"/>
                <w:rtl/>
              </w:rPr>
              <w:t>452 102</w:t>
            </w:r>
            <w:r w:rsidRPr="004F0EC4">
              <w:rPr>
                <w:rFonts w:hAnsi="Times New Roman"/>
                <w:szCs w:val="20"/>
                <w:vertAlign w:val="superscript"/>
                <w:rtl/>
              </w:rPr>
              <w:t>(</w:t>
            </w:r>
            <w:r w:rsidRPr="004F0EC4">
              <w:rPr>
                <w:rFonts w:hAnsi="Times New Roman"/>
                <w:szCs w:val="20"/>
                <w:vertAlign w:val="superscript"/>
                <w:rtl/>
              </w:rPr>
              <w:footnoteReference w:id="231"/>
            </w:r>
            <w:r w:rsidRPr="004F0EC4">
              <w:rPr>
                <w:rFonts w:hAnsi="Times New Roman"/>
                <w:szCs w:val="20"/>
                <w:vertAlign w:val="superscript"/>
                <w:rtl/>
              </w:rPr>
              <w:t>)</w:t>
            </w:r>
          </w:p>
        </w:tc>
        <w:tc>
          <w:tcPr>
            <w:tcW w:w="1747" w:type="dxa"/>
            <w:vAlign w:val="bottom"/>
          </w:tcPr>
          <w:p w14:paraId="66FFD5E8" w14:textId="77777777" w:rsidR="00E54512" w:rsidRPr="004F0EC4" w:rsidRDefault="00E54512" w:rsidP="00C00FE8">
            <w:pPr>
              <w:pStyle w:val="SingleTxtG"/>
              <w:tabs>
                <w:tab w:val="clear" w:pos="1701"/>
                <w:tab w:val="clear" w:pos="2268"/>
              </w:tabs>
              <w:suppressAutoHyphens w:val="0"/>
              <w:bidi/>
              <w:spacing w:after="40" w:line="300" w:lineRule="exact"/>
              <w:ind w:left="57" w:right="0"/>
              <w:jc w:val="left"/>
              <w:textDirection w:val="tbRlV"/>
              <w:rPr>
                <w:rFonts w:hAnsi="Times New Roman"/>
                <w:szCs w:val="20"/>
                <w:lang w:eastAsia="zh-TW"/>
              </w:rPr>
            </w:pPr>
            <w:r w:rsidRPr="004F0EC4">
              <w:rPr>
                <w:rFonts w:hAnsi="Times New Roman"/>
                <w:szCs w:val="20"/>
                <w:rtl/>
              </w:rPr>
              <w:t>701 38</w:t>
            </w:r>
          </w:p>
        </w:tc>
      </w:tr>
    </w:tbl>
    <w:p w14:paraId="198ABBDE" w14:textId="77777777" w:rsidR="00E54512" w:rsidRPr="004F0EC4" w:rsidRDefault="00E54512" w:rsidP="00C00FE8">
      <w:pPr>
        <w:pStyle w:val="SingleTxtGA"/>
        <w:spacing w:before="120" w:line="346" w:lineRule="exact"/>
      </w:pPr>
      <w:r w:rsidRPr="004F0EC4">
        <w:rPr>
          <w:rtl/>
        </w:rPr>
        <w:t>148-</w:t>
      </w:r>
      <w:r w:rsidRPr="004F0EC4">
        <w:rPr>
          <w:rtl/>
        </w:rPr>
        <w:tab/>
        <w:t>ومنذ عام 2018، تقدم إدارة التقييم والقياس والتسجيل التعليمي دعماً إضافياً للأشخاص ذوي الإعاقة الذين يخوضون اختبارات الالتحاق بالتعليم العالي. وأنشئ مجلس شامل لعدة قطاعات بهدف إدراج الإدماج ضمن المؤشرات التي تقيسها وكالة جودة التعليم. والدائرة الوطنية لشؤون الأشخاص ذوي الإعاقة عضو في شبكة الجامعات الحكومية وشبكة التعليم العالي الشامل للجميع.</w:t>
      </w:r>
    </w:p>
    <w:p w14:paraId="7A55ED0A" w14:textId="77777777" w:rsidR="00E54512" w:rsidRPr="004F0EC4" w:rsidRDefault="00E54512" w:rsidP="00C00FE8">
      <w:pPr>
        <w:pStyle w:val="SingleTxtGA"/>
        <w:spacing w:line="346" w:lineRule="exact"/>
      </w:pPr>
      <w:r w:rsidRPr="004F0EC4">
        <w:rPr>
          <w:rtl/>
        </w:rPr>
        <w:t>149-</w:t>
      </w:r>
      <w:r w:rsidRPr="004F0EC4">
        <w:rPr>
          <w:rtl/>
        </w:rPr>
        <w:tab/>
        <w:t>وفيما يتعلق بالانتقال من الإدماج إلى التعليم الشامل للجميع، قام مركز التدريب والتجريب والبحوث التربوية المتقدمة التابع لوزارة التعليم، في عام 2018، بتدريب أكثر من 350 معلماً لتطوير مهاراتهم في مجالات تخطيط التعليم وتنويعه وتقييمه، بالتركيز أساساً على التنوع والإدماج.</w:t>
      </w:r>
    </w:p>
    <w:p w14:paraId="4D739E14" w14:textId="348A3099" w:rsidR="00E54512" w:rsidRPr="004F0EC4" w:rsidRDefault="00E54512" w:rsidP="00C00FE8">
      <w:pPr>
        <w:pStyle w:val="SingleTxtGA"/>
        <w:spacing w:line="346" w:lineRule="exact"/>
        <w:rPr>
          <w:spacing w:val="-2"/>
        </w:rPr>
      </w:pPr>
      <w:r w:rsidRPr="004F0EC4">
        <w:rPr>
          <w:rtl/>
        </w:rPr>
        <w:t>150-</w:t>
      </w:r>
      <w:r w:rsidRPr="004F0EC4">
        <w:rPr>
          <w:rtl/>
        </w:rPr>
        <w:tab/>
        <w:t xml:space="preserve">وخلال جائحة كوفيد-19، قامت الدائرة الوطنية لشؤون الأشخاص ذوي الإعاقة، من خلال برنامجها الرامي إلى الدعم إدماج الطلاب ذوي الإعاقة في المدارس، بتكييف الدعم الذي تقدمه للمؤسسات </w:t>
      </w:r>
      <w:r w:rsidRPr="004F0EC4">
        <w:rPr>
          <w:spacing w:val="-2"/>
          <w:rtl/>
        </w:rPr>
        <w:t>التعليمية ولطلابها ذوي الإعاقة. وفي عام 2020، انصب التركيز على المدارس الخاصة، حيث قُدم التمويل</w:t>
      </w:r>
      <w:r w:rsidRPr="004F0EC4">
        <w:rPr>
          <w:rtl/>
        </w:rPr>
        <w:t xml:space="preserve"> اللازم لتوفير المعونة التقنية والإنترنت الهاتفي للطلاب ذوي الإعاقة. وحظي بالاهتمام أيضاً مطلب إدراج حلقات عمل بشأن الاستجابات الاجتماعية والعاطفية في الوحدات الدراسية المقدمة عبر الإنترنت، وذلك تلبيةً</w:t>
      </w:r>
      <w:r w:rsidRPr="004F0EC4">
        <w:rPr>
          <w:spacing w:val="-2"/>
          <w:rtl/>
        </w:rPr>
        <w:t xml:space="preserve"> لاحتياجات الطلاب وأسر الطلاب التي نتجت عن استمرار تدابير الإغلاق الشامل لفترات طويلة. وقد استمر التركيز على هذا الأمر خلال عام 2021، وأشركت المدارس الابتدائية والثانوية، ووُفر التمويل اللازم لتدريب </w:t>
      </w:r>
      <w:proofErr w:type="gramStart"/>
      <w:r w:rsidRPr="004F0EC4">
        <w:rPr>
          <w:spacing w:val="-2"/>
          <w:rtl/>
        </w:rPr>
        <w:t>المعلمين</w:t>
      </w:r>
      <w:r w:rsidRPr="004F0EC4">
        <w:rPr>
          <w:spacing w:val="-2"/>
          <w:vertAlign w:val="superscript"/>
          <w:rtl/>
        </w:rPr>
        <w:t>(</w:t>
      </w:r>
      <w:proofErr w:type="gramEnd"/>
      <w:r w:rsidRPr="004F0EC4">
        <w:rPr>
          <w:spacing w:val="-2"/>
          <w:vertAlign w:val="superscript"/>
          <w:rtl/>
        </w:rPr>
        <w:footnoteReference w:id="232"/>
      </w:r>
      <w:r w:rsidRPr="004F0EC4">
        <w:rPr>
          <w:spacing w:val="-2"/>
          <w:vertAlign w:val="superscript"/>
          <w:rtl/>
        </w:rPr>
        <w:t>)</w:t>
      </w:r>
      <w:r w:rsidRPr="004F0EC4">
        <w:rPr>
          <w:spacing w:val="-2"/>
          <w:rtl/>
        </w:rPr>
        <w:t>. وأُدخلت تعديلات على برنامج دعم الطلاب ذوي الإعاقة في مؤسسات التعليم العالي التابع للدائرة الوطنية لشؤون الأشخاص ذوي الإعاقة، على النحو المبين في الفقرة 58.</w:t>
      </w:r>
    </w:p>
    <w:p w14:paraId="6784526F" w14:textId="665F72F2" w:rsidR="00E54512" w:rsidRPr="004F0EC4" w:rsidRDefault="00E54512" w:rsidP="00E54512">
      <w:pPr>
        <w:pStyle w:val="H1GA"/>
        <w:rPr>
          <w:lang w:val="en-US"/>
        </w:rPr>
      </w:pPr>
      <w:r w:rsidRPr="004F0EC4">
        <w:rPr>
          <w:rtl/>
          <w:lang w:val="en-US"/>
        </w:rPr>
        <w:tab/>
      </w:r>
      <w:r w:rsidRPr="004F0EC4">
        <w:rPr>
          <w:rtl/>
          <w:lang w:val="en-US"/>
        </w:rPr>
        <w:tab/>
        <w:t>المادة 25</w:t>
      </w:r>
    </w:p>
    <w:p w14:paraId="59238326" w14:textId="77777777" w:rsidR="00E54512" w:rsidRPr="004F0EC4" w:rsidRDefault="00E54512" w:rsidP="00C00FE8">
      <w:pPr>
        <w:pStyle w:val="SingleTxtGA"/>
        <w:spacing w:line="346" w:lineRule="exact"/>
        <w:rPr>
          <w:rtl/>
        </w:rPr>
      </w:pPr>
      <w:r w:rsidRPr="004F0EC4">
        <w:rPr>
          <w:rtl/>
        </w:rPr>
        <w:t>151-</w:t>
      </w:r>
      <w:r w:rsidRPr="004F0EC4">
        <w:rPr>
          <w:rtl/>
        </w:rPr>
        <w:tab/>
        <w:t xml:space="preserve">قدمت وزارة الصحة تدريباً حول حقوق الأشخاص ذوي الإعاقة للعاملين في مجال الرعاية الصحية ولمجموعات شاملة لعدة قطاعات ولعموم الجمهور. وفي مجال تصنيف الإعاقة وإصدار الشهادات المتعلقة بها، قدمت لجنة الطب الوقائي والإعاقة تدريباً للمسؤولين الصحيين، ونظمت دورات تثقيفية حول حقوق الإنسان، والنموذج البيولوجي النفسي الاجتماعي، والتصنيف الدولي للأداء والإعاقة والصحة، لفائدة العاملين في قطاع الرعاية الصحية ولمجموعات شاملة لعدة قطاعات وللمجتمع المدني. وبالإضافة إلى ذلك، نظمت الدائرة الوطنية لشؤون الأشخاص ذوي الإعاقة، بالتنسيق مع قطاع الخدمة المدنية، دورات </w:t>
      </w:r>
      <w:proofErr w:type="gramStart"/>
      <w:r w:rsidRPr="004F0EC4">
        <w:rPr>
          <w:rtl/>
        </w:rPr>
        <w:t>تدريبية</w:t>
      </w:r>
      <w:r w:rsidRPr="004F0EC4">
        <w:rPr>
          <w:vertAlign w:val="superscript"/>
          <w:rtl/>
        </w:rPr>
        <w:t>(</w:t>
      </w:r>
      <w:proofErr w:type="gramEnd"/>
      <w:r w:rsidRPr="004F0EC4">
        <w:rPr>
          <w:vertAlign w:val="superscript"/>
          <w:rtl/>
        </w:rPr>
        <w:footnoteReference w:id="233"/>
      </w:r>
      <w:r w:rsidRPr="004F0EC4">
        <w:rPr>
          <w:vertAlign w:val="superscript"/>
          <w:rtl/>
        </w:rPr>
        <w:t>)</w:t>
      </w:r>
      <w:r w:rsidRPr="004F0EC4">
        <w:rPr>
          <w:rtl/>
        </w:rPr>
        <w:t xml:space="preserve"> لموظفي الخدمة المدنية حول القضايا المتعلقة بحقوق الأشخاص ذوي الإعاقة.</w:t>
      </w:r>
    </w:p>
    <w:p w14:paraId="7E5CBFDC" w14:textId="785096D2" w:rsidR="00E54512" w:rsidRPr="004F0EC4" w:rsidRDefault="00E54512" w:rsidP="00E54512">
      <w:pPr>
        <w:pStyle w:val="SingleTxtGA"/>
        <w:rPr>
          <w:spacing w:val="2"/>
        </w:rPr>
      </w:pPr>
      <w:r w:rsidRPr="004F0EC4">
        <w:rPr>
          <w:rtl/>
        </w:rPr>
        <w:lastRenderedPageBreak/>
        <w:t>152-</w:t>
      </w:r>
      <w:r w:rsidRPr="004F0EC4">
        <w:rPr>
          <w:rtl/>
        </w:rPr>
        <w:tab/>
      </w:r>
      <w:r w:rsidRPr="004F0EC4">
        <w:rPr>
          <w:spacing w:val="2"/>
          <w:rtl/>
        </w:rPr>
        <w:t>وفيما يتعلق بإتاحة المعلومات المتعلقة بالصحة الجنسية والإنجابية، صدر في عام 2018 دليل حول الحياة الجنسية وإدماج الأشخاص ذوي الإعاقة، وتبعته طبعة ثانية في عام 2019</w:t>
      </w:r>
      <w:r w:rsidRPr="004F0EC4">
        <w:rPr>
          <w:spacing w:val="2"/>
          <w:vertAlign w:val="superscript"/>
          <w:rtl/>
        </w:rPr>
        <w:t>(</w:t>
      </w:r>
      <w:r w:rsidRPr="004F0EC4">
        <w:rPr>
          <w:spacing w:val="2"/>
          <w:vertAlign w:val="superscript"/>
          <w:rtl/>
        </w:rPr>
        <w:footnoteReference w:id="234"/>
      </w:r>
      <w:r w:rsidRPr="004F0EC4">
        <w:rPr>
          <w:spacing w:val="2"/>
          <w:vertAlign w:val="superscript"/>
          <w:rtl/>
        </w:rPr>
        <w:t>)</w:t>
      </w:r>
      <w:r w:rsidRPr="004F0EC4">
        <w:rPr>
          <w:spacing w:val="2"/>
          <w:rtl/>
        </w:rPr>
        <w:t>. وقد</w:t>
      </w:r>
      <w:r w:rsidR="00C00FE8" w:rsidRPr="004F0EC4">
        <w:rPr>
          <w:rFonts w:hint="cs"/>
          <w:spacing w:val="2"/>
          <w:rtl/>
        </w:rPr>
        <w:t> </w:t>
      </w:r>
      <w:r w:rsidRPr="004F0EC4">
        <w:rPr>
          <w:spacing w:val="2"/>
          <w:rtl/>
        </w:rPr>
        <w:t>شكّل هذا الدليل الأساس النظري للتدريب المتعلق بالحقوق الجنسية والإنجابية للأشخاص ذوي الإعاقة الذي</w:t>
      </w:r>
      <w:r w:rsidRPr="004F0EC4">
        <w:rPr>
          <w:rFonts w:hint="cs"/>
          <w:spacing w:val="2"/>
          <w:rtl/>
        </w:rPr>
        <w:t> </w:t>
      </w:r>
      <w:r w:rsidRPr="004F0EC4">
        <w:rPr>
          <w:spacing w:val="2"/>
          <w:rtl/>
        </w:rPr>
        <w:t>نُظم</w:t>
      </w:r>
      <w:r w:rsidRPr="004F0EC4">
        <w:rPr>
          <w:rtl/>
        </w:rPr>
        <w:t xml:space="preserve"> </w:t>
      </w:r>
      <w:r w:rsidRPr="004F0EC4">
        <w:rPr>
          <w:spacing w:val="2"/>
          <w:rtl/>
        </w:rPr>
        <w:t xml:space="preserve">في عامي 2018 و2019 للمهنيين من مقدمي الرعاية الصحية </w:t>
      </w:r>
      <w:proofErr w:type="gramStart"/>
      <w:r w:rsidRPr="004F0EC4">
        <w:rPr>
          <w:spacing w:val="2"/>
          <w:rtl/>
        </w:rPr>
        <w:t>الأولية</w:t>
      </w:r>
      <w:r w:rsidRPr="004F0EC4">
        <w:rPr>
          <w:spacing w:val="2"/>
          <w:vertAlign w:val="superscript"/>
          <w:rtl/>
        </w:rPr>
        <w:t>(</w:t>
      </w:r>
      <w:proofErr w:type="gramEnd"/>
      <w:r w:rsidRPr="004F0EC4">
        <w:rPr>
          <w:spacing w:val="2"/>
          <w:vertAlign w:val="superscript"/>
          <w:rtl/>
        </w:rPr>
        <w:footnoteReference w:id="235"/>
      </w:r>
      <w:r w:rsidRPr="004F0EC4">
        <w:rPr>
          <w:spacing w:val="2"/>
          <w:vertAlign w:val="superscript"/>
          <w:rtl/>
        </w:rPr>
        <w:t>)</w:t>
      </w:r>
      <w:r w:rsidRPr="004F0EC4">
        <w:rPr>
          <w:spacing w:val="2"/>
          <w:rtl/>
        </w:rPr>
        <w:t>. وتلقّى</w:t>
      </w:r>
      <w:r w:rsidR="00C00FE8" w:rsidRPr="004F0EC4">
        <w:rPr>
          <w:rFonts w:hint="cs"/>
          <w:spacing w:val="2"/>
          <w:rtl/>
        </w:rPr>
        <w:t> </w:t>
      </w:r>
      <w:r w:rsidRPr="004F0EC4">
        <w:rPr>
          <w:spacing w:val="2"/>
          <w:rtl/>
        </w:rPr>
        <w:t xml:space="preserve">هذا التدريب ما يزيد على 400 مهني متخصص في إعادة </w:t>
      </w:r>
      <w:proofErr w:type="gramStart"/>
      <w:r w:rsidRPr="004F0EC4">
        <w:rPr>
          <w:spacing w:val="2"/>
          <w:rtl/>
        </w:rPr>
        <w:t>التأهيل</w:t>
      </w:r>
      <w:r w:rsidRPr="004F0EC4">
        <w:rPr>
          <w:spacing w:val="2"/>
          <w:vertAlign w:val="superscript"/>
          <w:rtl/>
        </w:rPr>
        <w:t>(</w:t>
      </w:r>
      <w:proofErr w:type="gramEnd"/>
      <w:r w:rsidRPr="004F0EC4">
        <w:rPr>
          <w:spacing w:val="2"/>
          <w:vertAlign w:val="superscript"/>
          <w:rtl/>
        </w:rPr>
        <w:footnoteReference w:id="236"/>
      </w:r>
      <w:r w:rsidRPr="004F0EC4">
        <w:rPr>
          <w:spacing w:val="2"/>
          <w:vertAlign w:val="superscript"/>
          <w:rtl/>
        </w:rPr>
        <w:t>)</w:t>
      </w:r>
      <w:r w:rsidRPr="004F0EC4">
        <w:rPr>
          <w:spacing w:val="2"/>
          <w:rtl/>
        </w:rPr>
        <w:t xml:space="preserve">. وصدرت في عام 2020 صيغة للدليل سهلة </w:t>
      </w:r>
      <w:proofErr w:type="gramStart"/>
      <w:r w:rsidRPr="004F0EC4">
        <w:rPr>
          <w:spacing w:val="2"/>
          <w:rtl/>
        </w:rPr>
        <w:t>القراءة</w:t>
      </w:r>
      <w:r w:rsidRPr="004F0EC4">
        <w:rPr>
          <w:spacing w:val="2"/>
          <w:vertAlign w:val="superscript"/>
          <w:rtl/>
        </w:rPr>
        <w:t>(</w:t>
      </w:r>
      <w:proofErr w:type="gramEnd"/>
      <w:r w:rsidRPr="004F0EC4">
        <w:rPr>
          <w:spacing w:val="2"/>
          <w:vertAlign w:val="superscript"/>
          <w:rtl/>
        </w:rPr>
        <w:footnoteReference w:id="237"/>
      </w:r>
      <w:r w:rsidRPr="004F0EC4">
        <w:rPr>
          <w:spacing w:val="2"/>
          <w:vertAlign w:val="superscript"/>
          <w:rtl/>
        </w:rPr>
        <w:t>)</w:t>
      </w:r>
      <w:r w:rsidRPr="004F0EC4">
        <w:rPr>
          <w:spacing w:val="2"/>
          <w:rtl/>
        </w:rPr>
        <w:t xml:space="preserve">، ووُقّع في عام 2021 اتفاق جديد لإعداد مواد ميسَّرة </w:t>
      </w:r>
      <w:proofErr w:type="gramStart"/>
      <w:r w:rsidRPr="004F0EC4">
        <w:rPr>
          <w:spacing w:val="2"/>
          <w:rtl/>
        </w:rPr>
        <w:t>الاستخدام</w:t>
      </w:r>
      <w:r w:rsidRPr="004F0EC4">
        <w:rPr>
          <w:spacing w:val="2"/>
          <w:vertAlign w:val="superscript"/>
          <w:rtl/>
        </w:rPr>
        <w:t>(</w:t>
      </w:r>
      <w:proofErr w:type="gramEnd"/>
      <w:r w:rsidRPr="004F0EC4">
        <w:rPr>
          <w:spacing w:val="2"/>
          <w:vertAlign w:val="superscript"/>
          <w:rtl/>
        </w:rPr>
        <w:footnoteReference w:id="238"/>
      </w:r>
      <w:r w:rsidRPr="004F0EC4">
        <w:rPr>
          <w:spacing w:val="2"/>
          <w:vertAlign w:val="superscript"/>
          <w:rtl/>
        </w:rPr>
        <w:t>)</w:t>
      </w:r>
      <w:r w:rsidRPr="004F0EC4">
        <w:rPr>
          <w:spacing w:val="2"/>
          <w:rtl/>
        </w:rPr>
        <w:t xml:space="preserve"> بشأن الإعاقة والحقوق الجنسية والإنجابية.</w:t>
      </w:r>
    </w:p>
    <w:p w14:paraId="233C8431" w14:textId="77777777" w:rsidR="00E54512" w:rsidRPr="004F0EC4" w:rsidRDefault="00E54512" w:rsidP="00E54512">
      <w:pPr>
        <w:pStyle w:val="SingleTxtGA"/>
        <w:rPr>
          <w:rtl/>
        </w:rPr>
      </w:pPr>
      <w:r w:rsidRPr="004F0EC4">
        <w:rPr>
          <w:rtl/>
        </w:rPr>
        <w:t>153-</w:t>
      </w:r>
      <w:r w:rsidRPr="004F0EC4">
        <w:rPr>
          <w:spacing w:val="-2"/>
          <w:rtl/>
        </w:rPr>
        <w:tab/>
        <w:t xml:space="preserve">وأُصدرت الاستمارات المتعلقة بالقانون الذي يجيز الإجهاض في ثلاث </w:t>
      </w:r>
      <w:proofErr w:type="gramStart"/>
      <w:r w:rsidRPr="004F0EC4">
        <w:rPr>
          <w:spacing w:val="-2"/>
          <w:rtl/>
        </w:rPr>
        <w:t>حالات</w:t>
      </w:r>
      <w:r w:rsidRPr="004F0EC4">
        <w:rPr>
          <w:spacing w:val="-2"/>
          <w:vertAlign w:val="superscript"/>
          <w:rtl/>
        </w:rPr>
        <w:t>(</w:t>
      </w:r>
      <w:proofErr w:type="gramEnd"/>
      <w:r w:rsidRPr="004F0EC4">
        <w:rPr>
          <w:spacing w:val="-2"/>
          <w:vertAlign w:val="superscript"/>
          <w:rtl/>
        </w:rPr>
        <w:footnoteReference w:id="239"/>
      </w:r>
      <w:r w:rsidRPr="004F0EC4">
        <w:rPr>
          <w:spacing w:val="-2"/>
          <w:vertAlign w:val="superscript"/>
          <w:rtl/>
        </w:rPr>
        <w:t>)</w:t>
      </w:r>
      <w:r w:rsidRPr="004F0EC4">
        <w:rPr>
          <w:spacing w:val="-2"/>
          <w:rtl/>
        </w:rPr>
        <w:t xml:space="preserve"> بطريقة براي، ووُزعت على جميع مؤسسات الدولة التي تشكل جزءاً من الشبكة، وذلك حتى تكون متاحة في حال احتاجت</w:t>
      </w:r>
      <w:r w:rsidRPr="004F0EC4">
        <w:rPr>
          <w:rtl/>
        </w:rPr>
        <w:t xml:space="preserve"> أي امرأة ذات إعاقة بصرية إلى الرعاية.</w:t>
      </w:r>
    </w:p>
    <w:p w14:paraId="439C430E" w14:textId="77777777" w:rsidR="00E54512" w:rsidRPr="004F0EC4" w:rsidRDefault="00E54512" w:rsidP="00E54512">
      <w:pPr>
        <w:pStyle w:val="SingleTxtGA"/>
        <w:rPr>
          <w:rtl/>
        </w:rPr>
      </w:pPr>
      <w:r w:rsidRPr="004F0EC4">
        <w:rPr>
          <w:rtl/>
        </w:rPr>
        <w:t>154-</w:t>
      </w:r>
      <w:r w:rsidRPr="004F0EC4">
        <w:rPr>
          <w:rtl/>
        </w:rPr>
        <w:tab/>
      </w:r>
      <w:r w:rsidRPr="004F0EC4">
        <w:rPr>
          <w:spacing w:val="-2"/>
          <w:rtl/>
        </w:rPr>
        <w:t>ويرسي القانون رقم 21-331</w:t>
      </w:r>
      <w:r w:rsidRPr="004F0EC4">
        <w:rPr>
          <w:spacing w:val="-2"/>
          <w:vertAlign w:val="superscript"/>
          <w:rtl/>
        </w:rPr>
        <w:t>(</w:t>
      </w:r>
      <w:r w:rsidRPr="004F0EC4">
        <w:rPr>
          <w:spacing w:val="-2"/>
          <w:vertAlign w:val="superscript"/>
          <w:rtl/>
        </w:rPr>
        <w:footnoteReference w:id="240"/>
      </w:r>
      <w:r w:rsidRPr="004F0EC4">
        <w:rPr>
          <w:spacing w:val="-2"/>
          <w:vertAlign w:val="superscript"/>
          <w:rtl/>
        </w:rPr>
        <w:t>)</w:t>
      </w:r>
      <w:r w:rsidRPr="004F0EC4">
        <w:rPr>
          <w:spacing w:val="-2"/>
          <w:rtl/>
        </w:rPr>
        <w:t xml:space="preserve"> المبادئ والحقوق التي يتعين مراعاتها في تصميم سياسة للصحة </w:t>
      </w:r>
      <w:r w:rsidRPr="004F0EC4">
        <w:rPr>
          <w:rtl/>
        </w:rPr>
        <w:t>النفسية قائمة على حقوق الإنسان وفي تنفيذها.</w:t>
      </w:r>
    </w:p>
    <w:p w14:paraId="0791629C" w14:textId="63A81E38" w:rsidR="00E54512" w:rsidRPr="004F0EC4" w:rsidRDefault="00E54512" w:rsidP="00E54512">
      <w:pPr>
        <w:pStyle w:val="SingleTxtGA"/>
      </w:pPr>
      <w:r w:rsidRPr="004F0EC4">
        <w:rPr>
          <w:rtl/>
        </w:rPr>
        <w:t>155-</w:t>
      </w:r>
      <w:r w:rsidRPr="004F0EC4">
        <w:rPr>
          <w:rtl/>
        </w:rPr>
        <w:tab/>
      </w:r>
      <w:r w:rsidRPr="004F0EC4">
        <w:rPr>
          <w:spacing w:val="-2"/>
          <w:rtl/>
        </w:rPr>
        <w:t>ووضعت وزارة الصحة الخطة الوطنية للصحة النفسية للفترة 2017-2025</w:t>
      </w:r>
      <w:r w:rsidRPr="004F0EC4">
        <w:rPr>
          <w:spacing w:val="-2"/>
          <w:vertAlign w:val="superscript"/>
          <w:rtl/>
        </w:rPr>
        <w:t>(</w:t>
      </w:r>
      <w:r w:rsidRPr="004F0EC4">
        <w:rPr>
          <w:spacing w:val="-2"/>
          <w:vertAlign w:val="superscript"/>
          <w:rtl/>
        </w:rPr>
        <w:footnoteReference w:id="241"/>
      </w:r>
      <w:r w:rsidRPr="004F0EC4">
        <w:rPr>
          <w:spacing w:val="-2"/>
          <w:vertAlign w:val="superscript"/>
          <w:rtl/>
        </w:rPr>
        <w:t>)</w:t>
      </w:r>
      <w:r w:rsidRPr="004F0EC4">
        <w:rPr>
          <w:spacing w:val="-2"/>
          <w:rtl/>
        </w:rPr>
        <w:t xml:space="preserve">. واقترح المجلس </w:t>
      </w:r>
      <w:r w:rsidRPr="004F0EC4">
        <w:rPr>
          <w:rtl/>
        </w:rPr>
        <w:t xml:space="preserve">الاستشاري المعني بقضايا الصحة النفسية والرفاه في سياق جائحة كوفيد-19 إنشاء مجلس استشاري حكومي دائم معني بالصحة </w:t>
      </w:r>
      <w:proofErr w:type="gramStart"/>
      <w:r w:rsidRPr="004F0EC4">
        <w:rPr>
          <w:rtl/>
        </w:rPr>
        <w:t>النفسية</w:t>
      </w:r>
      <w:r w:rsidRPr="004F0EC4">
        <w:rPr>
          <w:vertAlign w:val="superscript"/>
          <w:rtl/>
        </w:rPr>
        <w:t>(</w:t>
      </w:r>
      <w:proofErr w:type="gramEnd"/>
      <w:r w:rsidRPr="004F0EC4">
        <w:rPr>
          <w:vertAlign w:val="superscript"/>
          <w:rtl/>
        </w:rPr>
        <w:footnoteReference w:id="242"/>
      </w:r>
      <w:r w:rsidRPr="004F0EC4">
        <w:rPr>
          <w:vertAlign w:val="superscript"/>
          <w:rtl/>
        </w:rPr>
        <w:t>)</w:t>
      </w:r>
      <w:r w:rsidRPr="004F0EC4">
        <w:rPr>
          <w:rtl/>
        </w:rPr>
        <w:t xml:space="preserve"> يتألف من أوسع مجموعة ممكنة من الجهات الفاعلة، لا سيما تلك المرتبطة بمجموعات المستفيدين. وعلاوة على ذلك، اقترحت الحكومة طرح مشروع قانون شامل بشأن الصحة النفسية ينص على إنشاء شبكة تنظَّم وفقاً للنموذج المجتمعي للصحة </w:t>
      </w:r>
      <w:proofErr w:type="gramStart"/>
      <w:r w:rsidRPr="004F0EC4">
        <w:rPr>
          <w:rtl/>
        </w:rPr>
        <w:t>النفسية</w:t>
      </w:r>
      <w:r w:rsidRPr="004F0EC4">
        <w:rPr>
          <w:vertAlign w:val="superscript"/>
          <w:rtl/>
        </w:rPr>
        <w:t>(</w:t>
      </w:r>
      <w:proofErr w:type="gramEnd"/>
      <w:r w:rsidRPr="004F0EC4">
        <w:rPr>
          <w:vertAlign w:val="superscript"/>
          <w:rtl/>
        </w:rPr>
        <w:footnoteReference w:id="243"/>
      </w:r>
      <w:r w:rsidRPr="004F0EC4">
        <w:rPr>
          <w:vertAlign w:val="superscript"/>
          <w:rtl/>
        </w:rPr>
        <w:t>)</w:t>
      </w:r>
      <w:r w:rsidRPr="004F0EC4">
        <w:rPr>
          <w:rtl/>
        </w:rPr>
        <w:t xml:space="preserve">، وعلى مضاعفة مخصصات الميزانية، وعلى إنشاء 15 مركزاً مجتمعياً جديداً للصحة النفسية لخدمة جميع المناطق، فضلاً </w:t>
      </w:r>
      <w:r w:rsidRPr="004F0EC4">
        <w:rPr>
          <w:spacing w:val="-2"/>
          <w:rtl/>
        </w:rPr>
        <w:t xml:space="preserve">عن مراكز نهارية للأشخاص ذوي الإعاقات </w:t>
      </w:r>
      <w:proofErr w:type="gramStart"/>
      <w:r w:rsidRPr="004F0EC4">
        <w:rPr>
          <w:spacing w:val="-2"/>
          <w:rtl/>
        </w:rPr>
        <w:t>العقلية</w:t>
      </w:r>
      <w:r w:rsidRPr="004F0EC4">
        <w:rPr>
          <w:spacing w:val="-2"/>
          <w:vertAlign w:val="superscript"/>
          <w:rtl/>
        </w:rPr>
        <w:t>(</w:t>
      </w:r>
      <w:proofErr w:type="gramEnd"/>
      <w:r w:rsidRPr="004F0EC4">
        <w:rPr>
          <w:spacing w:val="-2"/>
          <w:vertAlign w:val="superscript"/>
          <w:rtl/>
        </w:rPr>
        <w:footnoteReference w:id="244"/>
      </w:r>
      <w:r w:rsidRPr="004F0EC4">
        <w:rPr>
          <w:spacing w:val="-2"/>
          <w:vertAlign w:val="superscript"/>
          <w:rtl/>
        </w:rPr>
        <w:t>)</w:t>
      </w:r>
      <w:r w:rsidRPr="004F0EC4">
        <w:rPr>
          <w:spacing w:val="-2"/>
          <w:rtl/>
        </w:rPr>
        <w:t>، وعلى إدراج التركيز على الصحة النفسية للأطفال</w:t>
      </w:r>
      <w:r w:rsidRPr="004F0EC4">
        <w:rPr>
          <w:rtl/>
        </w:rPr>
        <w:t xml:space="preserve"> في برنامج "شيلي تنمو معك"</w:t>
      </w:r>
      <w:r w:rsidRPr="004F0EC4">
        <w:rPr>
          <w:vertAlign w:val="superscript"/>
          <w:rtl/>
        </w:rPr>
        <w:t>(</w:t>
      </w:r>
      <w:r w:rsidRPr="004F0EC4">
        <w:rPr>
          <w:vertAlign w:val="superscript"/>
          <w:rtl/>
        </w:rPr>
        <w:footnoteReference w:id="245"/>
      </w:r>
      <w:r w:rsidRPr="004F0EC4">
        <w:rPr>
          <w:vertAlign w:val="superscript"/>
          <w:rtl/>
        </w:rPr>
        <w:t>)</w:t>
      </w:r>
      <w:r w:rsidRPr="004F0EC4">
        <w:rPr>
          <w:rtl/>
        </w:rPr>
        <w:t>.</w:t>
      </w:r>
    </w:p>
    <w:p w14:paraId="6F809DA9" w14:textId="233BDC57" w:rsidR="00E54512" w:rsidRPr="004F0EC4" w:rsidRDefault="00E54512" w:rsidP="00E54512">
      <w:pPr>
        <w:pStyle w:val="SingleTxtGA"/>
        <w:rPr>
          <w:spacing w:val="4"/>
        </w:rPr>
      </w:pPr>
      <w:r w:rsidRPr="004F0EC4">
        <w:rPr>
          <w:rtl/>
        </w:rPr>
        <w:lastRenderedPageBreak/>
        <w:t>156-</w:t>
      </w:r>
      <w:r w:rsidRPr="004F0EC4">
        <w:rPr>
          <w:rtl/>
        </w:rPr>
        <w:tab/>
        <w:t>وفي عام 2021</w:t>
      </w:r>
      <w:r w:rsidRPr="004F0EC4">
        <w:rPr>
          <w:vertAlign w:val="superscript"/>
          <w:rtl/>
        </w:rPr>
        <w:t>(</w:t>
      </w:r>
      <w:r w:rsidRPr="004F0EC4">
        <w:rPr>
          <w:vertAlign w:val="superscript"/>
          <w:rtl/>
        </w:rPr>
        <w:footnoteReference w:id="246"/>
      </w:r>
      <w:r w:rsidRPr="004F0EC4">
        <w:rPr>
          <w:vertAlign w:val="superscript"/>
          <w:rtl/>
        </w:rPr>
        <w:t>)</w:t>
      </w:r>
      <w:r w:rsidRPr="004F0EC4">
        <w:rPr>
          <w:rtl/>
        </w:rPr>
        <w:t>، قدم برنامج دعم الصحة النفسية للأطفال خدمات لما مجموعه 699 37 طفلاً</w:t>
      </w:r>
      <w:r w:rsidRPr="004F0EC4">
        <w:rPr>
          <w:spacing w:val="4"/>
          <w:rtl/>
        </w:rPr>
        <w:t xml:space="preserve"> من جميع مناطق البلد، بناء على 324 147 استشارة في مجال الصحة النفسية. ووُسع نطاق البرنامج ليشمل 90 بلدية في عام 2022، وبوقع استفادة ما مجموعه 096 45 طفلاً، بيد أنه لا يزال يتعين تنفيذه في 256 بلدية في مختلف أنحاء البلد. واقترح مكتب وكيل الوزارة لشؤون الأطفال تعديل البرنامج بتوسيع دائرة المؤهلين للاستفادة منه لتشمل فئة عمرية أوسع وبإدراج عنصر وقائي للكشف المبكر عن الاضطرابات النفسية أو عوامل الخطورة، وذلك من خلال توفير فحوصات للصحة النفسية للأطفال في سن 7 أشهر و2,5 سنة و4 سنوات و7 سنوات. وبالإضافة إلى ذلك، ستصمَّم حزمة من المزايا المكيَّفة والمستندة إلى الأدلة لصالح الرضع حتى سن السنتين، على أن تنفَّذ اعتباراً من عام 2024.</w:t>
      </w:r>
    </w:p>
    <w:p w14:paraId="342D55EE" w14:textId="059211D7" w:rsidR="00E54512" w:rsidRPr="004F0EC4" w:rsidRDefault="00E54512" w:rsidP="00E54512">
      <w:pPr>
        <w:pStyle w:val="SingleTxtGA"/>
      </w:pPr>
      <w:r w:rsidRPr="004F0EC4">
        <w:rPr>
          <w:rtl/>
        </w:rPr>
        <w:t>157-</w:t>
      </w:r>
      <w:r w:rsidRPr="004F0EC4">
        <w:rPr>
          <w:rtl/>
        </w:rPr>
        <w:tab/>
        <w:t xml:space="preserve">وفي إطار نظام الرعاية الصحية الشامل الذي تديره الحكومة، ستعطَى الأولوية للصحة النفسية، مع اتباع نهج يراعي المنظور الجنساني ويقوم على حقوق </w:t>
      </w:r>
      <w:proofErr w:type="gramStart"/>
      <w:r w:rsidRPr="004F0EC4">
        <w:rPr>
          <w:rtl/>
        </w:rPr>
        <w:t>الإنسان</w:t>
      </w:r>
      <w:r w:rsidRPr="004F0EC4">
        <w:rPr>
          <w:vertAlign w:val="superscript"/>
          <w:rtl/>
        </w:rPr>
        <w:t>(</w:t>
      </w:r>
      <w:proofErr w:type="gramEnd"/>
      <w:r w:rsidRPr="004F0EC4">
        <w:rPr>
          <w:vertAlign w:val="superscript"/>
          <w:rtl/>
        </w:rPr>
        <w:footnoteReference w:id="247"/>
      </w:r>
      <w:r w:rsidRPr="004F0EC4">
        <w:rPr>
          <w:vertAlign w:val="superscript"/>
          <w:rtl/>
        </w:rPr>
        <w:t>)</w:t>
      </w:r>
      <w:r w:rsidRPr="004F0EC4">
        <w:rPr>
          <w:rtl/>
        </w:rPr>
        <w:t>.</w:t>
      </w:r>
    </w:p>
    <w:p w14:paraId="158713BB" w14:textId="72B90523" w:rsidR="00E54512" w:rsidRPr="004F0EC4" w:rsidRDefault="00E54512" w:rsidP="00E54512">
      <w:pPr>
        <w:pStyle w:val="SingleTxtGA"/>
        <w:rPr>
          <w:rtl/>
        </w:rPr>
      </w:pPr>
      <w:r w:rsidRPr="004F0EC4">
        <w:rPr>
          <w:rtl/>
        </w:rPr>
        <w:t>158-</w:t>
      </w:r>
      <w:r w:rsidRPr="004F0EC4">
        <w:rPr>
          <w:rtl/>
        </w:rPr>
        <w:tab/>
        <w:t>وبالإضافة إلى المعلومات الواردة في الفقرات من 54 إلى 69، يُذكر عدم حدوث أي التمييز على أساس الإعاقة في تحديد أولويات استخدام أجهزة التنفس الصناعي. فقد شُكل فريق عمل مؤلف من</w:t>
      </w:r>
      <w:r w:rsidR="004F0EC4" w:rsidRPr="004F0EC4">
        <w:rPr>
          <w:rFonts w:hint="cs"/>
          <w:rtl/>
        </w:rPr>
        <w:t> </w:t>
      </w:r>
      <w:r w:rsidRPr="004F0EC4">
        <w:rPr>
          <w:rtl/>
        </w:rPr>
        <w:t>ممثلين عن وزارة الصحة وعن مرصد المشاركة المدنية وعدم التمييز وعن الدائرة الوطنية لشؤون الأشخاص ذوي الإعاقة لضمان عدم تعرض الأشخاص ذوي الإعاقة للتمييز في مجال الرعاية الصحية وضمان احترام حقوقهم وكرامتهم، وكذلك حقوق وكرامة مقدمي الرعاية لهم وأسرهم، من خلال تقديم الدعم في مجال إدارة الحالات المعقدة.</w:t>
      </w:r>
    </w:p>
    <w:p w14:paraId="55975E18" w14:textId="257CB48C" w:rsidR="00E54512" w:rsidRPr="004F0EC4" w:rsidRDefault="00E54512" w:rsidP="00E54512">
      <w:pPr>
        <w:pStyle w:val="SingleTxtGA"/>
        <w:rPr>
          <w:rtl/>
        </w:rPr>
      </w:pPr>
      <w:r w:rsidRPr="004F0EC4">
        <w:rPr>
          <w:rtl/>
        </w:rPr>
        <w:t>159-</w:t>
      </w:r>
      <w:r w:rsidRPr="004F0EC4">
        <w:rPr>
          <w:rtl/>
        </w:rPr>
        <w:tab/>
      </w:r>
      <w:r w:rsidRPr="004F0EC4">
        <w:rPr>
          <w:spacing w:val="4"/>
          <w:rtl/>
        </w:rPr>
        <w:t>وللاطلاع على البيانات المتعلقة بالأشخاص ذوي الإعاقة من نزلاء مؤسسات الرعاية الذين أصيبوا بكوفيد-19، وكذلك البيانات المتعلقة بالتطعيم، انظر الفقرة 118. ومن الجدير بالذكر أن</w:t>
      </w:r>
      <w:r w:rsidR="00E22186" w:rsidRPr="004F0EC4">
        <w:rPr>
          <w:rFonts w:hint="cs"/>
          <w:spacing w:val="4"/>
          <w:rtl/>
        </w:rPr>
        <w:t> </w:t>
      </w:r>
      <w:r w:rsidRPr="004F0EC4">
        <w:rPr>
          <w:spacing w:val="4"/>
          <w:rtl/>
        </w:rPr>
        <w:t>118 شخصاً من ذوي الإعاقة كانوا قد أصيبوا بكوفيد-19 أو اشتُبه في إصابتهم به أو كانوا على اتصال وثيق بشخص مصاب قد أودعوا مرافق للرعاية الصحية الداخلية، بينما أودع 86 آخرون في</w:t>
      </w:r>
      <w:r w:rsidR="00C00FE8" w:rsidRPr="004F0EC4">
        <w:rPr>
          <w:rFonts w:hint="cs"/>
          <w:spacing w:val="4"/>
          <w:rtl/>
        </w:rPr>
        <w:t> </w:t>
      </w:r>
      <w:r w:rsidRPr="004F0EC4">
        <w:rPr>
          <w:spacing w:val="4"/>
          <w:rtl/>
        </w:rPr>
        <w:t>مرافق إيواء مؤقتة تقدم خدمات الرعاية والمساعدة الأساسية بسبب وقوع حالة طوارئ حرجة في أماكن إقامتهم.</w:t>
      </w:r>
    </w:p>
    <w:p w14:paraId="00878454" w14:textId="7A0CBC0E" w:rsidR="00E54512" w:rsidRPr="004F0EC4" w:rsidRDefault="00E54512" w:rsidP="00E54512">
      <w:pPr>
        <w:pStyle w:val="H1GA"/>
        <w:rPr>
          <w:lang w:val="en-US"/>
        </w:rPr>
      </w:pPr>
      <w:r w:rsidRPr="004F0EC4">
        <w:rPr>
          <w:rtl/>
          <w:lang w:val="en-US"/>
        </w:rPr>
        <w:tab/>
      </w:r>
      <w:r w:rsidRPr="004F0EC4">
        <w:rPr>
          <w:rtl/>
          <w:lang w:val="en-US"/>
        </w:rPr>
        <w:tab/>
        <w:t>المادة 26</w:t>
      </w:r>
    </w:p>
    <w:p w14:paraId="69EC372C" w14:textId="695AFF2A" w:rsidR="00E54512" w:rsidRPr="004F0EC4" w:rsidRDefault="00E54512" w:rsidP="00E54512">
      <w:pPr>
        <w:pStyle w:val="SingleTxtGA"/>
      </w:pPr>
      <w:r w:rsidRPr="004F0EC4">
        <w:rPr>
          <w:rtl/>
        </w:rPr>
        <w:t>160-</w:t>
      </w:r>
      <w:r w:rsidRPr="004F0EC4">
        <w:rPr>
          <w:rtl/>
        </w:rPr>
        <w:tab/>
      </w:r>
      <w:r w:rsidRPr="004F0EC4">
        <w:rPr>
          <w:spacing w:val="-2"/>
          <w:rtl/>
        </w:rPr>
        <w:t xml:space="preserve">دعمت الدائرة الوطنية لشؤون الأشخاص ذوي الإعاقة، منذ عام 2016، إنشاء ما يزيد على 200 مرفق لإعادة التأهيل بمستويات تعقيد متفاوتة في مناطق البلد الستة عشر، وذلك في إطار اتباع نهج إعادة </w:t>
      </w:r>
      <w:r w:rsidRPr="004F0EC4">
        <w:rPr>
          <w:rtl/>
        </w:rPr>
        <w:t>التأهيل المجتمعي وتقريب الخدمات من المجتمعات المحلية التي يعيش فيها الأشخاص ذوو الإعاقة، بما</w:t>
      </w:r>
      <w:r w:rsidRPr="004F0EC4">
        <w:rPr>
          <w:rFonts w:hint="cs"/>
          <w:rtl/>
        </w:rPr>
        <w:t> </w:t>
      </w:r>
      <w:r w:rsidRPr="004F0EC4">
        <w:rPr>
          <w:rtl/>
        </w:rPr>
        <w:t>في ذلك في المناطق النائية والريفية.</w:t>
      </w:r>
    </w:p>
    <w:p w14:paraId="260D76B8" w14:textId="77777777" w:rsidR="00E54512" w:rsidRPr="004F0EC4" w:rsidRDefault="00E54512" w:rsidP="00D55303">
      <w:pPr>
        <w:pStyle w:val="SingleTxtGA"/>
      </w:pPr>
      <w:r w:rsidRPr="004F0EC4">
        <w:rPr>
          <w:rtl/>
        </w:rPr>
        <w:t>161-</w:t>
      </w:r>
      <w:r w:rsidRPr="004F0EC4">
        <w:rPr>
          <w:rtl/>
        </w:rPr>
        <w:tab/>
        <w:t>وللاطلاع على المعلومات المتعلقة بالميزانية التي خصصتها الدائرة الوطنية لشؤون الأشخاص ذوي الإعاقة لأغراض المعونة التقنية، انظر الجدول أدناه:</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4"/>
        <w:gridCol w:w="1746"/>
        <w:gridCol w:w="1890"/>
        <w:gridCol w:w="1890"/>
      </w:tblGrid>
      <w:tr w:rsidR="00E54512" w:rsidRPr="004F0EC4" w14:paraId="05C002AD" w14:textId="77777777" w:rsidTr="00E54512">
        <w:trPr>
          <w:trHeight w:val="240"/>
          <w:tblHeader/>
        </w:trPr>
        <w:tc>
          <w:tcPr>
            <w:tcW w:w="1844" w:type="dxa"/>
            <w:tcBorders>
              <w:top w:val="single" w:sz="4" w:space="0" w:color="auto"/>
              <w:bottom w:val="single" w:sz="12" w:space="0" w:color="auto"/>
            </w:tcBorders>
            <w:tcMar>
              <w:top w:w="0" w:type="dxa"/>
              <w:left w:w="0" w:type="dxa"/>
              <w:bottom w:w="0" w:type="dxa"/>
              <w:right w:w="0" w:type="dxa"/>
            </w:tcMar>
            <w:vAlign w:val="bottom"/>
          </w:tcPr>
          <w:p w14:paraId="0E2F30D7" w14:textId="37A75C8D"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i/>
                <w:szCs w:val="20"/>
                <w:lang w:eastAsia="zh-TW"/>
              </w:rPr>
            </w:pPr>
            <w:r w:rsidRPr="004F0EC4">
              <w:rPr>
                <w:rFonts w:hAnsi="Times New Roman"/>
                <w:i/>
                <w:iCs/>
                <w:szCs w:val="20"/>
                <w:rtl/>
              </w:rPr>
              <w:lastRenderedPageBreak/>
              <w:t>العام (برنامج</w:t>
            </w:r>
            <w:r w:rsidRPr="004F0EC4">
              <w:rPr>
                <w:rFonts w:hAnsi="Times New Roman" w:hint="cs"/>
                <w:i/>
                <w:iCs/>
                <w:szCs w:val="20"/>
                <w:rtl/>
              </w:rPr>
              <w:t> </w:t>
            </w:r>
            <w:r w:rsidRPr="004F0EC4">
              <w:rPr>
                <w:rFonts w:hAnsi="Times New Roman"/>
                <w:i/>
                <w:iCs/>
                <w:szCs w:val="20"/>
                <w:rtl/>
              </w:rPr>
              <w:t>شيلي</w:t>
            </w:r>
            <w:r w:rsidRPr="004F0EC4">
              <w:rPr>
                <w:rFonts w:hAnsi="Times New Roman" w:hint="cs"/>
                <w:i/>
                <w:iCs/>
                <w:szCs w:val="20"/>
                <w:rtl/>
              </w:rPr>
              <w:t> </w:t>
            </w:r>
            <w:proofErr w:type="spellStart"/>
            <w:r w:rsidRPr="004F0EC4">
              <w:rPr>
                <w:rFonts w:hAnsi="Times New Roman"/>
                <w:i/>
                <w:iCs/>
                <w:szCs w:val="20"/>
                <w:rtl/>
              </w:rPr>
              <w:t>سوليداريو</w:t>
            </w:r>
            <w:proofErr w:type="spellEnd"/>
            <w:r w:rsidRPr="004F0EC4">
              <w:rPr>
                <w:rFonts w:hAnsi="Times New Roman"/>
                <w:i/>
                <w:iCs/>
                <w:szCs w:val="20"/>
                <w:rtl/>
              </w:rPr>
              <w:t>)</w:t>
            </w:r>
          </w:p>
        </w:tc>
        <w:tc>
          <w:tcPr>
            <w:tcW w:w="1746" w:type="dxa"/>
            <w:tcBorders>
              <w:top w:val="single" w:sz="4" w:space="0" w:color="auto"/>
              <w:bottom w:val="single" w:sz="12" w:space="0" w:color="auto"/>
            </w:tcBorders>
            <w:tcMar>
              <w:top w:w="0" w:type="dxa"/>
              <w:left w:w="0" w:type="dxa"/>
              <w:bottom w:w="0" w:type="dxa"/>
              <w:right w:w="0" w:type="dxa"/>
            </w:tcMar>
            <w:vAlign w:val="bottom"/>
          </w:tcPr>
          <w:p w14:paraId="43716360" w14:textId="125A2FA8"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i/>
                <w:szCs w:val="20"/>
                <w:lang w:eastAsia="zh-TW"/>
              </w:rPr>
            </w:pPr>
            <w:r w:rsidRPr="004F0EC4">
              <w:rPr>
                <w:rFonts w:hAnsi="Times New Roman"/>
                <w:i/>
                <w:iCs/>
                <w:szCs w:val="20"/>
                <w:rtl/>
              </w:rPr>
              <w:t>الميزانية العادية (بالبيسو</w:t>
            </w:r>
            <w:r w:rsidRPr="004F0EC4">
              <w:rPr>
                <w:rFonts w:hAnsi="Times New Roman" w:hint="cs"/>
                <w:i/>
                <w:iCs/>
                <w:szCs w:val="20"/>
                <w:rtl/>
              </w:rPr>
              <w:t> </w:t>
            </w:r>
            <w:r w:rsidRPr="004F0EC4">
              <w:rPr>
                <w:rFonts w:hAnsi="Times New Roman"/>
                <w:i/>
                <w:iCs/>
                <w:szCs w:val="20"/>
                <w:rtl/>
              </w:rPr>
              <w:t>الشيلي)</w:t>
            </w:r>
            <w:r w:rsidRPr="004F0EC4">
              <w:rPr>
                <w:rFonts w:hAnsi="Times New Roman"/>
                <w:szCs w:val="20"/>
                <w:rtl/>
              </w:rPr>
              <w:t xml:space="preserve"> </w:t>
            </w:r>
          </w:p>
        </w:tc>
        <w:tc>
          <w:tcPr>
            <w:tcW w:w="1890" w:type="dxa"/>
            <w:tcBorders>
              <w:top w:val="single" w:sz="4" w:space="0" w:color="auto"/>
              <w:bottom w:val="single" w:sz="12" w:space="0" w:color="auto"/>
            </w:tcBorders>
            <w:tcMar>
              <w:top w:w="0" w:type="dxa"/>
              <w:left w:w="0" w:type="dxa"/>
              <w:bottom w:w="0" w:type="dxa"/>
              <w:right w:w="0" w:type="dxa"/>
            </w:tcMar>
            <w:vAlign w:val="bottom"/>
          </w:tcPr>
          <w:p w14:paraId="6FFE2759"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eft"/>
              <w:textDirection w:val="tbRlV"/>
              <w:rPr>
                <w:rFonts w:hAnsi="Times New Roman"/>
                <w:i/>
                <w:szCs w:val="20"/>
                <w:lang w:eastAsia="zh-TW"/>
              </w:rPr>
            </w:pPr>
            <w:r w:rsidRPr="004F0EC4">
              <w:rPr>
                <w:rFonts w:hAnsi="Times New Roman"/>
                <w:i/>
                <w:iCs/>
                <w:szCs w:val="20"/>
                <w:rtl/>
              </w:rPr>
              <w:t>ميزانية الأمن والفرص (بالبيسو الشيلي)</w:t>
            </w:r>
            <w:r w:rsidRPr="004F0EC4">
              <w:rPr>
                <w:rFonts w:hAnsi="Times New Roman"/>
                <w:szCs w:val="20"/>
                <w:rtl/>
              </w:rPr>
              <w:t xml:space="preserve"> </w:t>
            </w:r>
          </w:p>
        </w:tc>
        <w:tc>
          <w:tcPr>
            <w:tcW w:w="1890" w:type="dxa"/>
            <w:tcBorders>
              <w:top w:val="single" w:sz="4" w:space="0" w:color="auto"/>
              <w:bottom w:val="single" w:sz="12" w:space="0" w:color="auto"/>
            </w:tcBorders>
            <w:tcMar>
              <w:top w:w="0" w:type="dxa"/>
              <w:left w:w="0" w:type="dxa"/>
              <w:bottom w:w="0" w:type="dxa"/>
              <w:right w:w="0" w:type="dxa"/>
            </w:tcMar>
            <w:vAlign w:val="bottom"/>
          </w:tcPr>
          <w:p w14:paraId="04387A7F"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0"/>
              <w:jc w:val="lowKashida"/>
              <w:textDirection w:val="tbRlV"/>
              <w:rPr>
                <w:rFonts w:hAnsi="Times New Roman"/>
                <w:i/>
                <w:szCs w:val="20"/>
                <w:lang w:eastAsia="zh-TW"/>
              </w:rPr>
            </w:pPr>
            <w:r w:rsidRPr="004F0EC4">
              <w:rPr>
                <w:rFonts w:hAnsi="Times New Roman"/>
                <w:i/>
                <w:iCs/>
                <w:szCs w:val="20"/>
                <w:rtl/>
              </w:rPr>
              <w:t>المجموع (بالبيسو الشيلي)</w:t>
            </w:r>
            <w:r w:rsidRPr="004F0EC4">
              <w:rPr>
                <w:rFonts w:hAnsi="Times New Roman"/>
                <w:szCs w:val="20"/>
                <w:rtl/>
              </w:rPr>
              <w:t xml:space="preserve"> </w:t>
            </w:r>
          </w:p>
        </w:tc>
      </w:tr>
      <w:tr w:rsidR="00E54512" w:rsidRPr="004F0EC4" w14:paraId="0D9172C2" w14:textId="77777777" w:rsidTr="00E54512">
        <w:trPr>
          <w:trHeight w:hRule="exact" w:val="113"/>
          <w:tblHeader/>
        </w:trPr>
        <w:tc>
          <w:tcPr>
            <w:tcW w:w="1844" w:type="dxa"/>
            <w:tcBorders>
              <w:top w:val="single" w:sz="12" w:space="0" w:color="auto"/>
              <w:bottom w:val="nil"/>
            </w:tcBorders>
            <w:tcMar>
              <w:top w:w="0" w:type="dxa"/>
              <w:left w:w="0" w:type="dxa"/>
              <w:bottom w:w="0" w:type="dxa"/>
              <w:right w:w="0" w:type="dxa"/>
            </w:tcMar>
            <w:vAlign w:val="bottom"/>
          </w:tcPr>
          <w:p w14:paraId="32336497"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rPr>
                <w:rFonts w:hAnsi="Times New Roman"/>
                <w:i/>
                <w:szCs w:val="20"/>
              </w:rPr>
            </w:pPr>
          </w:p>
        </w:tc>
        <w:tc>
          <w:tcPr>
            <w:tcW w:w="1746" w:type="dxa"/>
            <w:tcBorders>
              <w:top w:val="single" w:sz="12" w:space="0" w:color="auto"/>
              <w:bottom w:val="nil"/>
            </w:tcBorders>
            <w:tcMar>
              <w:top w:w="0" w:type="dxa"/>
              <w:left w:w="0" w:type="dxa"/>
              <w:bottom w:w="0" w:type="dxa"/>
              <w:right w:w="0" w:type="dxa"/>
            </w:tcMar>
            <w:vAlign w:val="bottom"/>
          </w:tcPr>
          <w:p w14:paraId="78A6C21A"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rPr>
                <w:rFonts w:hAnsi="Times New Roman"/>
                <w:i/>
                <w:szCs w:val="20"/>
              </w:rPr>
            </w:pPr>
          </w:p>
        </w:tc>
        <w:tc>
          <w:tcPr>
            <w:tcW w:w="1890" w:type="dxa"/>
            <w:tcBorders>
              <w:top w:val="single" w:sz="12" w:space="0" w:color="auto"/>
              <w:bottom w:val="nil"/>
            </w:tcBorders>
            <w:tcMar>
              <w:top w:w="0" w:type="dxa"/>
              <w:left w:w="0" w:type="dxa"/>
              <w:bottom w:w="0" w:type="dxa"/>
              <w:right w:w="0" w:type="dxa"/>
            </w:tcMar>
            <w:vAlign w:val="bottom"/>
          </w:tcPr>
          <w:p w14:paraId="30716A10"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rPr>
                <w:rFonts w:hAnsi="Times New Roman"/>
                <w:i/>
                <w:szCs w:val="20"/>
                <w:lang w:eastAsia="en-US"/>
              </w:rPr>
            </w:pPr>
          </w:p>
        </w:tc>
        <w:tc>
          <w:tcPr>
            <w:tcW w:w="1890" w:type="dxa"/>
            <w:tcBorders>
              <w:top w:val="single" w:sz="12" w:space="0" w:color="auto"/>
              <w:bottom w:val="nil"/>
            </w:tcBorders>
            <w:tcMar>
              <w:top w:w="0" w:type="dxa"/>
              <w:left w:w="0" w:type="dxa"/>
              <w:bottom w:w="0" w:type="dxa"/>
              <w:right w:w="0" w:type="dxa"/>
            </w:tcMar>
            <w:vAlign w:val="bottom"/>
          </w:tcPr>
          <w:p w14:paraId="09FEC327"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0"/>
              <w:jc w:val="lowKashida"/>
              <w:rPr>
                <w:rFonts w:hAnsi="Times New Roman"/>
                <w:i/>
                <w:szCs w:val="20"/>
                <w:lang w:eastAsia="en-US"/>
              </w:rPr>
            </w:pPr>
          </w:p>
        </w:tc>
      </w:tr>
      <w:tr w:rsidR="00E54512" w:rsidRPr="004F0EC4" w14:paraId="706DA4CA" w14:textId="77777777" w:rsidTr="00E54512">
        <w:trPr>
          <w:trHeight w:val="240"/>
        </w:trPr>
        <w:tc>
          <w:tcPr>
            <w:tcW w:w="1844" w:type="dxa"/>
            <w:tcBorders>
              <w:top w:val="nil"/>
              <w:bottom w:val="nil"/>
            </w:tcBorders>
            <w:tcMar>
              <w:top w:w="0" w:type="dxa"/>
              <w:left w:w="0" w:type="dxa"/>
              <w:bottom w:w="0" w:type="dxa"/>
              <w:right w:w="0" w:type="dxa"/>
            </w:tcMar>
          </w:tcPr>
          <w:p w14:paraId="1FEC29CF"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2016</w:t>
            </w:r>
          </w:p>
        </w:tc>
        <w:tc>
          <w:tcPr>
            <w:tcW w:w="1746" w:type="dxa"/>
            <w:tcBorders>
              <w:top w:val="nil"/>
              <w:bottom w:val="nil"/>
            </w:tcBorders>
            <w:tcMar>
              <w:top w:w="0" w:type="dxa"/>
              <w:left w:w="0" w:type="dxa"/>
              <w:bottom w:w="0" w:type="dxa"/>
              <w:right w:w="0" w:type="dxa"/>
            </w:tcMar>
            <w:vAlign w:val="bottom"/>
          </w:tcPr>
          <w:p w14:paraId="420CBFEB"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000 329 612 2</w:t>
            </w:r>
          </w:p>
        </w:tc>
        <w:tc>
          <w:tcPr>
            <w:tcW w:w="1890" w:type="dxa"/>
            <w:tcBorders>
              <w:top w:val="nil"/>
              <w:bottom w:val="nil"/>
            </w:tcBorders>
            <w:tcMar>
              <w:top w:w="0" w:type="dxa"/>
              <w:left w:w="0" w:type="dxa"/>
              <w:bottom w:w="0" w:type="dxa"/>
              <w:right w:w="0" w:type="dxa"/>
            </w:tcMar>
            <w:vAlign w:val="bottom"/>
          </w:tcPr>
          <w:p w14:paraId="7E2B6C6A"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000 705 730 1</w:t>
            </w:r>
          </w:p>
        </w:tc>
        <w:tc>
          <w:tcPr>
            <w:tcW w:w="1890" w:type="dxa"/>
            <w:tcBorders>
              <w:top w:val="nil"/>
              <w:bottom w:val="nil"/>
            </w:tcBorders>
            <w:tcMar>
              <w:top w:w="0" w:type="dxa"/>
              <w:left w:w="0" w:type="dxa"/>
              <w:bottom w:w="0" w:type="dxa"/>
              <w:right w:w="0" w:type="dxa"/>
            </w:tcMar>
            <w:vAlign w:val="bottom"/>
          </w:tcPr>
          <w:p w14:paraId="62EB1ABD"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0"/>
              <w:jc w:val="lowKashida"/>
              <w:textDirection w:val="tbRlV"/>
              <w:rPr>
                <w:rFonts w:hAnsi="Times New Roman"/>
                <w:szCs w:val="20"/>
                <w:lang w:eastAsia="zh-TW"/>
              </w:rPr>
            </w:pPr>
            <w:r w:rsidRPr="004F0EC4">
              <w:rPr>
                <w:rFonts w:hAnsi="Times New Roman"/>
                <w:szCs w:val="20"/>
                <w:rtl/>
              </w:rPr>
              <w:t>000 034 343 4</w:t>
            </w:r>
          </w:p>
        </w:tc>
      </w:tr>
      <w:tr w:rsidR="00E54512" w:rsidRPr="004F0EC4" w14:paraId="766A05CA" w14:textId="77777777" w:rsidTr="00E54512">
        <w:trPr>
          <w:trHeight w:val="240"/>
        </w:trPr>
        <w:tc>
          <w:tcPr>
            <w:tcW w:w="1844" w:type="dxa"/>
            <w:tcBorders>
              <w:top w:val="nil"/>
              <w:bottom w:val="nil"/>
            </w:tcBorders>
            <w:tcMar>
              <w:top w:w="0" w:type="dxa"/>
              <w:left w:w="0" w:type="dxa"/>
              <w:bottom w:w="0" w:type="dxa"/>
              <w:right w:w="0" w:type="dxa"/>
            </w:tcMar>
          </w:tcPr>
          <w:p w14:paraId="3957DB4F"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2017</w:t>
            </w:r>
          </w:p>
        </w:tc>
        <w:tc>
          <w:tcPr>
            <w:tcW w:w="1746" w:type="dxa"/>
            <w:tcBorders>
              <w:top w:val="nil"/>
              <w:bottom w:val="nil"/>
            </w:tcBorders>
            <w:tcMar>
              <w:top w:w="0" w:type="dxa"/>
              <w:left w:w="0" w:type="dxa"/>
              <w:bottom w:w="0" w:type="dxa"/>
              <w:right w:w="0" w:type="dxa"/>
            </w:tcMar>
            <w:vAlign w:val="bottom"/>
          </w:tcPr>
          <w:p w14:paraId="7A853E56"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360 878 021 3</w:t>
            </w:r>
          </w:p>
        </w:tc>
        <w:tc>
          <w:tcPr>
            <w:tcW w:w="1890" w:type="dxa"/>
            <w:tcBorders>
              <w:top w:val="nil"/>
              <w:bottom w:val="nil"/>
            </w:tcBorders>
            <w:tcMar>
              <w:top w:w="0" w:type="dxa"/>
              <w:left w:w="0" w:type="dxa"/>
              <w:bottom w:w="0" w:type="dxa"/>
              <w:right w:w="0" w:type="dxa"/>
            </w:tcMar>
            <w:vAlign w:val="bottom"/>
          </w:tcPr>
          <w:p w14:paraId="64B564DF"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000 626 782 1</w:t>
            </w:r>
          </w:p>
        </w:tc>
        <w:tc>
          <w:tcPr>
            <w:tcW w:w="1890" w:type="dxa"/>
            <w:tcBorders>
              <w:top w:val="nil"/>
              <w:bottom w:val="nil"/>
            </w:tcBorders>
            <w:tcMar>
              <w:top w:w="0" w:type="dxa"/>
              <w:left w:w="0" w:type="dxa"/>
              <w:bottom w:w="0" w:type="dxa"/>
              <w:right w:w="0" w:type="dxa"/>
            </w:tcMar>
            <w:vAlign w:val="bottom"/>
          </w:tcPr>
          <w:p w14:paraId="1DEBB421"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0"/>
              <w:jc w:val="lowKashida"/>
              <w:textDirection w:val="tbRlV"/>
              <w:rPr>
                <w:rFonts w:hAnsi="Times New Roman"/>
                <w:szCs w:val="20"/>
                <w:lang w:eastAsia="zh-TW"/>
              </w:rPr>
            </w:pPr>
            <w:r w:rsidRPr="004F0EC4">
              <w:rPr>
                <w:rFonts w:hAnsi="Times New Roman"/>
                <w:szCs w:val="20"/>
                <w:rtl/>
              </w:rPr>
              <w:t>360 504 804 4</w:t>
            </w:r>
          </w:p>
        </w:tc>
      </w:tr>
      <w:tr w:rsidR="00E54512" w:rsidRPr="004F0EC4" w14:paraId="2A159DF6" w14:textId="77777777" w:rsidTr="00E54512">
        <w:trPr>
          <w:trHeight w:val="240"/>
        </w:trPr>
        <w:tc>
          <w:tcPr>
            <w:tcW w:w="1844" w:type="dxa"/>
            <w:tcBorders>
              <w:top w:val="nil"/>
            </w:tcBorders>
            <w:tcMar>
              <w:top w:w="0" w:type="dxa"/>
              <w:left w:w="0" w:type="dxa"/>
              <w:bottom w:w="0" w:type="dxa"/>
              <w:right w:w="0" w:type="dxa"/>
            </w:tcMar>
          </w:tcPr>
          <w:p w14:paraId="5C6D123D"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2018</w:t>
            </w:r>
          </w:p>
        </w:tc>
        <w:tc>
          <w:tcPr>
            <w:tcW w:w="1746" w:type="dxa"/>
            <w:tcBorders>
              <w:top w:val="nil"/>
            </w:tcBorders>
            <w:tcMar>
              <w:top w:w="0" w:type="dxa"/>
              <w:left w:w="0" w:type="dxa"/>
              <w:bottom w:w="0" w:type="dxa"/>
              <w:right w:w="0" w:type="dxa"/>
            </w:tcMar>
            <w:vAlign w:val="bottom"/>
          </w:tcPr>
          <w:p w14:paraId="5F6191BD"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000 696 225 3</w:t>
            </w:r>
          </w:p>
        </w:tc>
        <w:tc>
          <w:tcPr>
            <w:tcW w:w="1890" w:type="dxa"/>
            <w:tcBorders>
              <w:top w:val="nil"/>
            </w:tcBorders>
            <w:tcMar>
              <w:top w:w="0" w:type="dxa"/>
              <w:left w:w="0" w:type="dxa"/>
              <w:bottom w:w="0" w:type="dxa"/>
              <w:right w:w="0" w:type="dxa"/>
            </w:tcMar>
            <w:vAlign w:val="bottom"/>
          </w:tcPr>
          <w:p w14:paraId="3D20E8DC"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000 974 828 1</w:t>
            </w:r>
          </w:p>
        </w:tc>
        <w:tc>
          <w:tcPr>
            <w:tcW w:w="1890" w:type="dxa"/>
            <w:tcBorders>
              <w:top w:val="nil"/>
            </w:tcBorders>
            <w:tcMar>
              <w:top w:w="0" w:type="dxa"/>
              <w:left w:w="0" w:type="dxa"/>
              <w:bottom w:w="0" w:type="dxa"/>
              <w:right w:w="0" w:type="dxa"/>
            </w:tcMar>
            <w:vAlign w:val="bottom"/>
          </w:tcPr>
          <w:p w14:paraId="32921AA9"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0"/>
              <w:jc w:val="lowKashida"/>
              <w:textDirection w:val="tbRlV"/>
              <w:rPr>
                <w:rFonts w:hAnsi="Times New Roman"/>
                <w:szCs w:val="20"/>
                <w:lang w:eastAsia="zh-TW"/>
              </w:rPr>
            </w:pPr>
            <w:r w:rsidRPr="004F0EC4">
              <w:rPr>
                <w:rFonts w:hAnsi="Times New Roman"/>
                <w:szCs w:val="20"/>
                <w:rtl/>
              </w:rPr>
              <w:t>000 670 054 5</w:t>
            </w:r>
          </w:p>
        </w:tc>
      </w:tr>
      <w:tr w:rsidR="00E54512" w:rsidRPr="004F0EC4" w14:paraId="5C50DE03" w14:textId="77777777" w:rsidTr="00E54512">
        <w:trPr>
          <w:trHeight w:val="240"/>
        </w:trPr>
        <w:tc>
          <w:tcPr>
            <w:tcW w:w="1844" w:type="dxa"/>
            <w:tcMar>
              <w:top w:w="0" w:type="dxa"/>
              <w:left w:w="0" w:type="dxa"/>
              <w:bottom w:w="0" w:type="dxa"/>
              <w:right w:w="0" w:type="dxa"/>
            </w:tcMar>
          </w:tcPr>
          <w:p w14:paraId="1A59B4AB"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2019</w:t>
            </w:r>
          </w:p>
        </w:tc>
        <w:tc>
          <w:tcPr>
            <w:tcW w:w="1746" w:type="dxa"/>
            <w:tcMar>
              <w:top w:w="0" w:type="dxa"/>
              <w:left w:w="0" w:type="dxa"/>
              <w:bottom w:w="0" w:type="dxa"/>
              <w:right w:w="0" w:type="dxa"/>
            </w:tcMar>
            <w:vAlign w:val="bottom"/>
          </w:tcPr>
          <w:p w14:paraId="7E74D6D7"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000 142 418 3</w:t>
            </w:r>
          </w:p>
        </w:tc>
        <w:tc>
          <w:tcPr>
            <w:tcW w:w="1890" w:type="dxa"/>
            <w:tcMar>
              <w:top w:w="0" w:type="dxa"/>
              <w:left w:w="0" w:type="dxa"/>
              <w:bottom w:w="0" w:type="dxa"/>
              <w:right w:w="0" w:type="dxa"/>
            </w:tcMar>
            <w:vAlign w:val="bottom"/>
          </w:tcPr>
          <w:p w14:paraId="6362E453"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000 708 871 1</w:t>
            </w:r>
          </w:p>
        </w:tc>
        <w:tc>
          <w:tcPr>
            <w:tcW w:w="1890" w:type="dxa"/>
            <w:tcMar>
              <w:top w:w="0" w:type="dxa"/>
              <w:left w:w="0" w:type="dxa"/>
              <w:bottom w:w="0" w:type="dxa"/>
              <w:right w:w="0" w:type="dxa"/>
            </w:tcMar>
            <w:vAlign w:val="bottom"/>
          </w:tcPr>
          <w:p w14:paraId="63DE257B"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0"/>
              <w:jc w:val="lowKashida"/>
              <w:textDirection w:val="tbRlV"/>
              <w:rPr>
                <w:rFonts w:hAnsi="Times New Roman"/>
                <w:szCs w:val="20"/>
                <w:lang w:eastAsia="zh-TW"/>
              </w:rPr>
            </w:pPr>
            <w:r w:rsidRPr="004F0EC4">
              <w:rPr>
                <w:rFonts w:hAnsi="Times New Roman"/>
                <w:szCs w:val="20"/>
                <w:rtl/>
              </w:rPr>
              <w:t>000 850 289 5</w:t>
            </w:r>
          </w:p>
        </w:tc>
      </w:tr>
      <w:tr w:rsidR="00E54512" w:rsidRPr="004F0EC4" w14:paraId="75F3657E" w14:textId="77777777" w:rsidTr="00E54512">
        <w:trPr>
          <w:trHeight w:val="240"/>
        </w:trPr>
        <w:tc>
          <w:tcPr>
            <w:tcW w:w="1844" w:type="dxa"/>
            <w:tcMar>
              <w:top w:w="0" w:type="dxa"/>
              <w:left w:w="0" w:type="dxa"/>
              <w:bottom w:w="0" w:type="dxa"/>
              <w:right w:w="0" w:type="dxa"/>
            </w:tcMar>
          </w:tcPr>
          <w:p w14:paraId="2561FC5F"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2020</w:t>
            </w:r>
          </w:p>
        </w:tc>
        <w:tc>
          <w:tcPr>
            <w:tcW w:w="1746" w:type="dxa"/>
            <w:tcMar>
              <w:top w:w="0" w:type="dxa"/>
              <w:left w:w="0" w:type="dxa"/>
              <w:bottom w:w="0" w:type="dxa"/>
              <w:right w:w="0" w:type="dxa"/>
            </w:tcMar>
            <w:vAlign w:val="bottom"/>
          </w:tcPr>
          <w:p w14:paraId="3B1B95D7"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126 889 883 4</w:t>
            </w:r>
          </w:p>
        </w:tc>
        <w:tc>
          <w:tcPr>
            <w:tcW w:w="1890" w:type="dxa"/>
            <w:tcMar>
              <w:top w:w="0" w:type="dxa"/>
              <w:left w:w="0" w:type="dxa"/>
              <w:bottom w:w="0" w:type="dxa"/>
              <w:right w:w="0" w:type="dxa"/>
            </w:tcMar>
            <w:vAlign w:val="bottom"/>
          </w:tcPr>
          <w:p w14:paraId="2C501DF7"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000 382 920 1</w:t>
            </w:r>
          </w:p>
        </w:tc>
        <w:tc>
          <w:tcPr>
            <w:tcW w:w="1890" w:type="dxa"/>
            <w:tcMar>
              <w:top w:w="0" w:type="dxa"/>
              <w:left w:w="0" w:type="dxa"/>
              <w:bottom w:w="0" w:type="dxa"/>
              <w:right w:w="0" w:type="dxa"/>
            </w:tcMar>
            <w:vAlign w:val="bottom"/>
          </w:tcPr>
          <w:p w14:paraId="189A63CD" w14:textId="62FBD7FB" w:rsidR="00E54512" w:rsidRPr="004F0EC4" w:rsidRDefault="00E54512" w:rsidP="00E54512">
            <w:pPr>
              <w:pStyle w:val="SingleTxtG"/>
              <w:tabs>
                <w:tab w:val="clear" w:pos="1701"/>
                <w:tab w:val="clear" w:pos="2268"/>
              </w:tabs>
              <w:suppressAutoHyphens w:val="0"/>
              <w:bidi/>
              <w:spacing w:before="40" w:after="40" w:line="320" w:lineRule="exact"/>
              <w:ind w:left="57" w:right="0"/>
              <w:jc w:val="lowKashida"/>
              <w:textDirection w:val="tbRlV"/>
              <w:rPr>
                <w:rFonts w:hAnsi="Times New Roman"/>
                <w:szCs w:val="20"/>
                <w:lang w:eastAsia="zh-TW"/>
              </w:rPr>
            </w:pPr>
            <w:r w:rsidRPr="004F0EC4">
              <w:rPr>
                <w:rFonts w:hAnsi="Times New Roman"/>
                <w:szCs w:val="20"/>
                <w:rtl/>
              </w:rPr>
              <w:t>126 271 804 6</w:t>
            </w:r>
            <w:r w:rsidRPr="004F0EC4">
              <w:rPr>
                <w:rFonts w:hAnsi="Times New Roman"/>
                <w:szCs w:val="20"/>
                <w:vertAlign w:val="superscript"/>
                <w:rtl/>
              </w:rPr>
              <w:t>(</w:t>
            </w:r>
            <w:r w:rsidRPr="004F0EC4">
              <w:rPr>
                <w:rFonts w:hAnsi="Times New Roman"/>
                <w:szCs w:val="20"/>
                <w:vertAlign w:val="superscript"/>
                <w:rtl/>
              </w:rPr>
              <w:footnoteReference w:id="248"/>
            </w:r>
            <w:r w:rsidRPr="004F0EC4">
              <w:rPr>
                <w:rFonts w:hAnsi="Times New Roman"/>
                <w:szCs w:val="20"/>
                <w:vertAlign w:val="superscript"/>
                <w:rtl/>
              </w:rPr>
              <w:t>)</w:t>
            </w:r>
          </w:p>
        </w:tc>
      </w:tr>
      <w:tr w:rsidR="00E54512" w:rsidRPr="004F0EC4" w14:paraId="5E17E6C9" w14:textId="77777777" w:rsidTr="00E54512">
        <w:trPr>
          <w:trHeight w:val="240"/>
        </w:trPr>
        <w:tc>
          <w:tcPr>
            <w:tcW w:w="1844" w:type="dxa"/>
            <w:tcMar>
              <w:top w:w="0" w:type="dxa"/>
              <w:left w:w="0" w:type="dxa"/>
              <w:bottom w:w="0" w:type="dxa"/>
              <w:right w:w="0" w:type="dxa"/>
            </w:tcMar>
          </w:tcPr>
          <w:p w14:paraId="1589918E"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2021</w:t>
            </w:r>
          </w:p>
        </w:tc>
        <w:tc>
          <w:tcPr>
            <w:tcW w:w="1746" w:type="dxa"/>
            <w:tcMar>
              <w:top w:w="0" w:type="dxa"/>
              <w:left w:w="0" w:type="dxa"/>
              <w:bottom w:w="0" w:type="dxa"/>
              <w:right w:w="0" w:type="dxa"/>
            </w:tcMar>
            <w:vAlign w:val="bottom"/>
          </w:tcPr>
          <w:p w14:paraId="59A1B4F3"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427 117 394 3</w:t>
            </w:r>
          </w:p>
        </w:tc>
        <w:tc>
          <w:tcPr>
            <w:tcW w:w="1890" w:type="dxa"/>
            <w:tcMar>
              <w:top w:w="0" w:type="dxa"/>
              <w:left w:w="0" w:type="dxa"/>
              <w:bottom w:w="0" w:type="dxa"/>
              <w:right w:w="0" w:type="dxa"/>
            </w:tcMar>
            <w:vAlign w:val="bottom"/>
          </w:tcPr>
          <w:p w14:paraId="2BA7A93E"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113"/>
              <w:jc w:val="lowKashida"/>
              <w:textDirection w:val="tbRlV"/>
              <w:rPr>
                <w:rFonts w:hAnsi="Times New Roman"/>
                <w:szCs w:val="20"/>
                <w:lang w:eastAsia="zh-TW"/>
              </w:rPr>
            </w:pPr>
            <w:r w:rsidRPr="004F0EC4">
              <w:rPr>
                <w:rFonts w:hAnsi="Times New Roman"/>
                <w:szCs w:val="20"/>
                <w:rtl/>
              </w:rPr>
              <w:t>000 223 767 1</w:t>
            </w:r>
          </w:p>
        </w:tc>
        <w:tc>
          <w:tcPr>
            <w:tcW w:w="1890" w:type="dxa"/>
            <w:tcMar>
              <w:top w:w="0" w:type="dxa"/>
              <w:left w:w="0" w:type="dxa"/>
              <w:bottom w:w="0" w:type="dxa"/>
              <w:right w:w="0" w:type="dxa"/>
            </w:tcMar>
            <w:vAlign w:val="bottom"/>
          </w:tcPr>
          <w:p w14:paraId="5A1476A1" w14:textId="77777777" w:rsidR="00E54512" w:rsidRPr="004F0EC4" w:rsidRDefault="00E54512" w:rsidP="00E54512">
            <w:pPr>
              <w:pStyle w:val="SingleTxtG"/>
              <w:tabs>
                <w:tab w:val="clear" w:pos="1701"/>
                <w:tab w:val="clear" w:pos="2268"/>
              </w:tabs>
              <w:suppressAutoHyphens w:val="0"/>
              <w:bidi/>
              <w:spacing w:before="40" w:after="40" w:line="320" w:lineRule="exact"/>
              <w:ind w:left="57" w:right="0"/>
              <w:jc w:val="lowKashida"/>
              <w:textDirection w:val="tbRlV"/>
              <w:rPr>
                <w:rFonts w:hAnsi="Times New Roman"/>
                <w:szCs w:val="20"/>
                <w:lang w:eastAsia="zh-TW"/>
              </w:rPr>
            </w:pPr>
            <w:r w:rsidRPr="004F0EC4">
              <w:rPr>
                <w:rFonts w:hAnsi="Times New Roman"/>
                <w:szCs w:val="20"/>
                <w:rtl/>
              </w:rPr>
              <w:t>427 340 161 5</w:t>
            </w:r>
          </w:p>
        </w:tc>
      </w:tr>
    </w:tbl>
    <w:p w14:paraId="049F05D7" w14:textId="77777777" w:rsidR="00E54512" w:rsidRPr="004F0EC4" w:rsidRDefault="00E54512" w:rsidP="00E54512">
      <w:pPr>
        <w:pStyle w:val="SingleTxtGA"/>
        <w:spacing w:before="120"/>
      </w:pPr>
      <w:r w:rsidRPr="004F0EC4">
        <w:rPr>
          <w:rtl/>
        </w:rPr>
        <w:t>162-</w:t>
      </w:r>
      <w:r w:rsidRPr="004F0EC4">
        <w:rPr>
          <w:rtl/>
        </w:rPr>
        <w:tab/>
        <w:t>وبلغت ميزانية عامي 2021 و2022 المخصصة لبرنامج وزارة الصحة لتعزيز الرعاية الأولية وإعادة التأهيل 718 009 454 12 بيسو شيلياً.</w:t>
      </w:r>
    </w:p>
    <w:p w14:paraId="794BE057" w14:textId="77777777" w:rsidR="00E54512" w:rsidRPr="004F0EC4" w:rsidRDefault="00E54512" w:rsidP="00E54512">
      <w:pPr>
        <w:pStyle w:val="H1GA"/>
        <w:rPr>
          <w:rtl/>
          <w:lang w:val="en-US"/>
        </w:rPr>
      </w:pPr>
      <w:r w:rsidRPr="004F0EC4">
        <w:rPr>
          <w:rtl/>
          <w:lang w:val="en-US"/>
        </w:rPr>
        <w:tab/>
      </w:r>
      <w:r w:rsidRPr="004F0EC4">
        <w:rPr>
          <w:rtl/>
          <w:lang w:val="en-US"/>
        </w:rPr>
        <w:tab/>
        <w:t>المادة 27</w:t>
      </w:r>
    </w:p>
    <w:p w14:paraId="6510F242" w14:textId="2B01A60C" w:rsidR="00E54512" w:rsidRPr="004F0EC4" w:rsidRDefault="00E54512" w:rsidP="00E54512">
      <w:pPr>
        <w:pStyle w:val="SingleTxtGA"/>
      </w:pPr>
      <w:r w:rsidRPr="004F0EC4">
        <w:rPr>
          <w:rtl/>
        </w:rPr>
        <w:t>163-</w:t>
      </w:r>
      <w:r w:rsidRPr="004F0EC4">
        <w:rPr>
          <w:rtl/>
        </w:rPr>
        <w:tab/>
        <w:t>في حزيران/</w:t>
      </w:r>
      <w:proofErr w:type="gramStart"/>
      <w:r w:rsidRPr="004F0EC4">
        <w:rPr>
          <w:rtl/>
        </w:rPr>
        <w:t>يونيه</w:t>
      </w:r>
      <w:proofErr w:type="gramEnd"/>
      <w:r w:rsidRPr="004F0EC4">
        <w:rPr>
          <w:rtl/>
        </w:rPr>
        <w:t xml:space="preserve"> 2021، أصدرت وزارة العمل والضمان الاجتماعي ووزارة التنمية الاجتماعية وخدمات الأسرة وهيئة الخزانة تقريراً يتضمن تقييماً لتنفيذ القانون رقم 21-015 </w:t>
      </w:r>
      <w:proofErr w:type="gramStart"/>
      <w:r w:rsidRPr="004F0EC4">
        <w:rPr>
          <w:rtl/>
        </w:rPr>
        <w:t>وتطبيقه</w:t>
      </w:r>
      <w:r w:rsidRPr="004F0EC4">
        <w:rPr>
          <w:vertAlign w:val="superscript"/>
          <w:rtl/>
        </w:rPr>
        <w:t>(</w:t>
      </w:r>
      <w:proofErr w:type="gramEnd"/>
      <w:r w:rsidRPr="004F0EC4">
        <w:rPr>
          <w:vertAlign w:val="superscript"/>
          <w:rtl/>
        </w:rPr>
        <w:footnoteReference w:id="249"/>
      </w:r>
      <w:r w:rsidRPr="004F0EC4">
        <w:rPr>
          <w:vertAlign w:val="superscript"/>
          <w:rtl/>
        </w:rPr>
        <w:t>)</w:t>
      </w:r>
      <w:r w:rsidRPr="004F0EC4">
        <w:rPr>
          <w:rtl/>
        </w:rPr>
        <w:t xml:space="preserve"> من جانب القطاعين العام والخاص، ويتناول تحديداً الامتثال لحصة 1 في </w:t>
      </w:r>
      <w:proofErr w:type="gramStart"/>
      <w:r w:rsidRPr="004F0EC4">
        <w:rPr>
          <w:rtl/>
        </w:rPr>
        <w:t>المائة</w:t>
      </w:r>
      <w:proofErr w:type="gramEnd"/>
      <w:r w:rsidRPr="004F0EC4">
        <w:rPr>
          <w:rtl/>
        </w:rPr>
        <w:t xml:space="preserve"> المخصصة للأشخاص ذوي الإعاقة أو المستفيدين من إعانات الإعاقة، والأسباب المقبولة لعدم الامتثال، والاختيار التفضيلي، وتسجيل العقود، </w:t>
      </w:r>
      <w:r w:rsidRPr="004F0EC4">
        <w:rPr>
          <w:spacing w:val="-4"/>
          <w:rtl/>
        </w:rPr>
        <w:t>واستخدام التدابير البديلة. واشتمل التقرير على تحليل من منظور المجتمع المدني وعلى استنتاجات ذات صلة.</w:t>
      </w:r>
    </w:p>
    <w:p w14:paraId="562ACC4E" w14:textId="77777777" w:rsidR="00E54512" w:rsidRPr="004F0EC4" w:rsidRDefault="00E54512" w:rsidP="00E54512">
      <w:pPr>
        <w:pStyle w:val="H23GA"/>
        <w:rPr>
          <w:rtl/>
          <w:lang w:val="en-US"/>
        </w:rPr>
      </w:pPr>
      <w:r w:rsidRPr="004F0EC4">
        <w:rPr>
          <w:rtl/>
          <w:lang w:val="en-US"/>
        </w:rPr>
        <w:tab/>
      </w:r>
      <w:r w:rsidRPr="004F0EC4">
        <w:rPr>
          <w:rtl/>
          <w:lang w:val="en-US"/>
        </w:rPr>
        <w:tab/>
        <w:t>الاختيار التفضيلي، القطاع العام</w:t>
      </w:r>
    </w:p>
    <w:tbl>
      <w:tblPr>
        <w:bidiVisual/>
        <w:tblW w:w="7771"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440"/>
        <w:gridCol w:w="514"/>
        <w:gridCol w:w="620"/>
        <w:gridCol w:w="585"/>
        <w:gridCol w:w="630"/>
        <w:gridCol w:w="575"/>
        <w:gridCol w:w="850"/>
        <w:gridCol w:w="370"/>
        <w:gridCol w:w="584"/>
        <w:gridCol w:w="603"/>
      </w:tblGrid>
      <w:tr w:rsidR="00D55303" w:rsidRPr="004F0EC4" w14:paraId="3029AE3D" w14:textId="77777777" w:rsidTr="00D55303">
        <w:trPr>
          <w:trHeight w:val="240"/>
          <w:tblHeader/>
        </w:trPr>
        <w:tc>
          <w:tcPr>
            <w:tcW w:w="2440" w:type="dxa"/>
            <w:tcBorders>
              <w:top w:val="single" w:sz="4" w:space="0" w:color="auto"/>
              <w:bottom w:val="single" w:sz="12" w:space="0" w:color="auto"/>
            </w:tcBorders>
            <w:tcMar>
              <w:top w:w="0" w:type="dxa"/>
              <w:left w:w="0" w:type="dxa"/>
              <w:bottom w:w="0" w:type="dxa"/>
              <w:right w:w="0" w:type="dxa"/>
            </w:tcMar>
            <w:vAlign w:val="bottom"/>
          </w:tcPr>
          <w:p w14:paraId="3E5998B7" w14:textId="4068A6FF" w:rsidR="00D55303" w:rsidRPr="004F0EC4" w:rsidRDefault="00D55303" w:rsidP="00D55303">
            <w:pPr>
              <w:pStyle w:val="SingleTxtG"/>
              <w:tabs>
                <w:tab w:val="clear" w:pos="1701"/>
                <w:tab w:val="clear" w:pos="2268"/>
              </w:tabs>
              <w:suppressAutoHyphens w:val="0"/>
              <w:bidi/>
              <w:spacing w:before="20" w:after="40" w:line="320" w:lineRule="exact"/>
              <w:ind w:left="57" w:right="113"/>
              <w:jc w:val="left"/>
              <w:rPr>
                <w:rFonts w:hAnsi="Times New Roman"/>
                <w:i/>
                <w:sz w:val="18"/>
                <w:szCs w:val="18"/>
              </w:rPr>
            </w:pPr>
            <w:r w:rsidRPr="004F0EC4">
              <w:rPr>
                <w:rFonts w:hAnsi="Times New Roman"/>
                <w:i/>
                <w:iCs/>
                <w:sz w:val="18"/>
                <w:szCs w:val="18"/>
                <w:rtl/>
              </w:rPr>
              <w:t>الاختيار التفضيلي</w:t>
            </w:r>
          </w:p>
        </w:tc>
        <w:tc>
          <w:tcPr>
            <w:tcW w:w="1134" w:type="dxa"/>
            <w:gridSpan w:val="2"/>
            <w:tcBorders>
              <w:top w:val="single" w:sz="4" w:space="0" w:color="auto"/>
              <w:bottom w:val="single" w:sz="12" w:space="0" w:color="auto"/>
            </w:tcBorders>
            <w:tcMar>
              <w:top w:w="0" w:type="dxa"/>
              <w:left w:w="0" w:type="dxa"/>
              <w:bottom w:w="0" w:type="dxa"/>
              <w:right w:w="0" w:type="dxa"/>
            </w:tcMar>
            <w:vAlign w:val="bottom"/>
          </w:tcPr>
          <w:p w14:paraId="0E446F0A"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center"/>
              <w:rPr>
                <w:rFonts w:hAnsi="Times New Roman"/>
                <w:i/>
                <w:sz w:val="18"/>
                <w:szCs w:val="18"/>
              </w:rPr>
            </w:pPr>
            <w:r w:rsidRPr="004F0EC4">
              <w:rPr>
                <w:rFonts w:hAnsi="Times New Roman"/>
                <w:i/>
                <w:sz w:val="18"/>
                <w:szCs w:val="18"/>
              </w:rPr>
              <w:t>2018</w:t>
            </w:r>
          </w:p>
        </w:tc>
        <w:tc>
          <w:tcPr>
            <w:tcW w:w="1790" w:type="dxa"/>
            <w:gridSpan w:val="3"/>
            <w:tcBorders>
              <w:top w:val="single" w:sz="4" w:space="0" w:color="auto"/>
              <w:bottom w:val="single" w:sz="12" w:space="0" w:color="auto"/>
            </w:tcBorders>
            <w:tcMar>
              <w:top w:w="0" w:type="dxa"/>
              <w:left w:w="0" w:type="dxa"/>
              <w:bottom w:w="0" w:type="dxa"/>
              <w:right w:w="0" w:type="dxa"/>
            </w:tcMar>
            <w:vAlign w:val="bottom"/>
          </w:tcPr>
          <w:p w14:paraId="72647BD7"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center"/>
              <w:rPr>
                <w:rFonts w:hAnsi="Times New Roman"/>
                <w:i/>
                <w:sz w:val="18"/>
                <w:szCs w:val="18"/>
              </w:rPr>
            </w:pPr>
            <w:r w:rsidRPr="004F0EC4">
              <w:rPr>
                <w:rFonts w:hAnsi="Times New Roman"/>
                <w:i/>
                <w:sz w:val="18"/>
                <w:szCs w:val="18"/>
              </w:rPr>
              <w:t>2019</w:t>
            </w:r>
          </w:p>
        </w:tc>
        <w:tc>
          <w:tcPr>
            <w:tcW w:w="850" w:type="dxa"/>
            <w:tcBorders>
              <w:top w:val="single" w:sz="4" w:space="0" w:color="auto"/>
              <w:bottom w:val="single" w:sz="12" w:space="0" w:color="auto"/>
            </w:tcBorders>
            <w:tcMar>
              <w:top w:w="0" w:type="dxa"/>
              <w:left w:w="0" w:type="dxa"/>
              <w:bottom w:w="0" w:type="dxa"/>
              <w:right w:w="0" w:type="dxa"/>
            </w:tcMar>
            <w:vAlign w:val="bottom"/>
          </w:tcPr>
          <w:p w14:paraId="13EFE390"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center"/>
              <w:rPr>
                <w:rFonts w:hAnsi="Times New Roman"/>
                <w:i/>
                <w:sz w:val="18"/>
                <w:szCs w:val="18"/>
              </w:rPr>
            </w:pPr>
            <w:r w:rsidRPr="004F0EC4">
              <w:rPr>
                <w:rFonts w:hAnsi="Times New Roman"/>
                <w:i/>
                <w:sz w:val="18"/>
                <w:szCs w:val="18"/>
              </w:rPr>
              <w:t>2020</w:t>
            </w:r>
          </w:p>
        </w:tc>
        <w:tc>
          <w:tcPr>
            <w:tcW w:w="1557" w:type="dxa"/>
            <w:gridSpan w:val="3"/>
            <w:tcBorders>
              <w:top w:val="single" w:sz="4" w:space="0" w:color="auto"/>
              <w:bottom w:val="single" w:sz="12" w:space="0" w:color="auto"/>
            </w:tcBorders>
            <w:tcMar>
              <w:top w:w="0" w:type="dxa"/>
              <w:left w:w="0" w:type="dxa"/>
              <w:bottom w:w="0" w:type="dxa"/>
              <w:right w:w="0" w:type="dxa"/>
            </w:tcMar>
            <w:vAlign w:val="bottom"/>
          </w:tcPr>
          <w:p w14:paraId="74F9D9E9"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0"/>
              <w:jc w:val="center"/>
              <w:rPr>
                <w:rFonts w:hAnsi="Times New Roman"/>
                <w:i/>
                <w:sz w:val="18"/>
                <w:szCs w:val="18"/>
              </w:rPr>
            </w:pPr>
            <w:r w:rsidRPr="004F0EC4">
              <w:rPr>
                <w:rFonts w:hAnsi="Times New Roman"/>
                <w:i/>
                <w:sz w:val="18"/>
                <w:szCs w:val="18"/>
              </w:rPr>
              <w:t>2021</w:t>
            </w:r>
          </w:p>
        </w:tc>
      </w:tr>
      <w:tr w:rsidR="00D55303" w:rsidRPr="004F0EC4" w14:paraId="6777B023" w14:textId="77777777" w:rsidTr="00D55303">
        <w:trPr>
          <w:trHeight w:val="240"/>
        </w:trPr>
        <w:tc>
          <w:tcPr>
            <w:tcW w:w="2440" w:type="dxa"/>
            <w:tcBorders>
              <w:top w:val="single" w:sz="12" w:space="0" w:color="auto"/>
            </w:tcBorders>
            <w:tcMar>
              <w:top w:w="0" w:type="dxa"/>
              <w:left w:w="0" w:type="dxa"/>
              <w:bottom w:w="0" w:type="dxa"/>
              <w:right w:w="0" w:type="dxa"/>
            </w:tcMar>
          </w:tcPr>
          <w:p w14:paraId="4A0E37E5" w14:textId="0713FE88" w:rsidR="00D55303" w:rsidRPr="004F0EC4" w:rsidRDefault="00D55303" w:rsidP="00D55303">
            <w:pPr>
              <w:pStyle w:val="SingleTxtG"/>
              <w:tabs>
                <w:tab w:val="clear" w:pos="1701"/>
                <w:tab w:val="clear" w:pos="2268"/>
              </w:tabs>
              <w:suppressAutoHyphens w:val="0"/>
              <w:bidi/>
              <w:spacing w:before="20" w:after="40" w:line="320" w:lineRule="exact"/>
              <w:ind w:left="57" w:right="113"/>
              <w:jc w:val="left"/>
              <w:rPr>
                <w:rFonts w:hAnsi="Times New Roman"/>
                <w:sz w:val="18"/>
                <w:szCs w:val="18"/>
                <w:lang w:eastAsia="en-US"/>
              </w:rPr>
            </w:pPr>
            <w:r w:rsidRPr="004F0EC4">
              <w:rPr>
                <w:rFonts w:hAnsi="Times New Roman"/>
                <w:sz w:val="18"/>
                <w:szCs w:val="18"/>
                <w:rtl/>
              </w:rPr>
              <w:t>إجمالي عمليات التوظيف</w:t>
            </w:r>
          </w:p>
        </w:tc>
        <w:tc>
          <w:tcPr>
            <w:tcW w:w="1134" w:type="dxa"/>
            <w:gridSpan w:val="2"/>
            <w:tcBorders>
              <w:top w:val="single" w:sz="12" w:space="0" w:color="auto"/>
            </w:tcBorders>
            <w:tcMar>
              <w:top w:w="0" w:type="dxa"/>
              <w:left w:w="0" w:type="dxa"/>
              <w:bottom w:w="0" w:type="dxa"/>
              <w:right w:w="0" w:type="dxa"/>
            </w:tcMar>
            <w:vAlign w:val="bottom"/>
          </w:tcPr>
          <w:p w14:paraId="1E832EF3"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center"/>
              <w:rPr>
                <w:rFonts w:hAnsi="Times New Roman"/>
                <w:sz w:val="18"/>
                <w:szCs w:val="18"/>
              </w:rPr>
            </w:pPr>
            <w:r w:rsidRPr="004F0EC4">
              <w:rPr>
                <w:rFonts w:hAnsi="Times New Roman"/>
                <w:sz w:val="18"/>
                <w:szCs w:val="18"/>
              </w:rPr>
              <w:t>7 942</w:t>
            </w:r>
          </w:p>
        </w:tc>
        <w:tc>
          <w:tcPr>
            <w:tcW w:w="1790" w:type="dxa"/>
            <w:gridSpan w:val="3"/>
            <w:tcBorders>
              <w:top w:val="single" w:sz="12" w:space="0" w:color="auto"/>
            </w:tcBorders>
            <w:tcMar>
              <w:top w:w="0" w:type="dxa"/>
              <w:left w:w="0" w:type="dxa"/>
              <w:bottom w:w="0" w:type="dxa"/>
              <w:right w:w="0" w:type="dxa"/>
            </w:tcMar>
            <w:vAlign w:val="bottom"/>
          </w:tcPr>
          <w:p w14:paraId="29ACE331"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center"/>
              <w:rPr>
                <w:rFonts w:hAnsi="Times New Roman"/>
                <w:sz w:val="18"/>
                <w:szCs w:val="18"/>
              </w:rPr>
            </w:pPr>
            <w:r w:rsidRPr="004F0EC4">
              <w:rPr>
                <w:rFonts w:hAnsi="Times New Roman"/>
                <w:sz w:val="18"/>
                <w:szCs w:val="18"/>
              </w:rPr>
              <w:t>10 547</w:t>
            </w:r>
          </w:p>
        </w:tc>
        <w:tc>
          <w:tcPr>
            <w:tcW w:w="850" w:type="dxa"/>
            <w:tcBorders>
              <w:top w:val="single" w:sz="12" w:space="0" w:color="auto"/>
            </w:tcBorders>
            <w:tcMar>
              <w:top w:w="0" w:type="dxa"/>
              <w:left w:w="0" w:type="dxa"/>
              <w:bottom w:w="0" w:type="dxa"/>
              <w:right w:w="0" w:type="dxa"/>
            </w:tcMar>
            <w:vAlign w:val="bottom"/>
          </w:tcPr>
          <w:p w14:paraId="68948A24"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center"/>
              <w:rPr>
                <w:rFonts w:hAnsi="Times New Roman"/>
                <w:sz w:val="18"/>
                <w:szCs w:val="18"/>
              </w:rPr>
            </w:pPr>
            <w:r w:rsidRPr="004F0EC4">
              <w:rPr>
                <w:rFonts w:hAnsi="Times New Roman"/>
                <w:sz w:val="18"/>
                <w:szCs w:val="18"/>
              </w:rPr>
              <w:t>10 336</w:t>
            </w:r>
          </w:p>
        </w:tc>
        <w:tc>
          <w:tcPr>
            <w:tcW w:w="1557" w:type="dxa"/>
            <w:gridSpan w:val="3"/>
            <w:tcBorders>
              <w:top w:val="single" w:sz="12" w:space="0" w:color="auto"/>
            </w:tcBorders>
            <w:tcMar>
              <w:top w:w="0" w:type="dxa"/>
              <w:left w:w="0" w:type="dxa"/>
              <w:bottom w:w="0" w:type="dxa"/>
              <w:right w:w="0" w:type="dxa"/>
            </w:tcMar>
            <w:vAlign w:val="bottom"/>
          </w:tcPr>
          <w:p w14:paraId="258481E3"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0"/>
              <w:jc w:val="center"/>
              <w:rPr>
                <w:rFonts w:hAnsi="Times New Roman"/>
                <w:sz w:val="18"/>
                <w:szCs w:val="18"/>
              </w:rPr>
            </w:pPr>
            <w:r w:rsidRPr="004F0EC4">
              <w:rPr>
                <w:rFonts w:hAnsi="Times New Roman"/>
                <w:sz w:val="18"/>
                <w:szCs w:val="18"/>
              </w:rPr>
              <w:t>16 834</w:t>
            </w:r>
          </w:p>
        </w:tc>
      </w:tr>
      <w:tr w:rsidR="00D55303" w:rsidRPr="004F0EC4" w14:paraId="6325DBD9" w14:textId="77777777" w:rsidTr="00D55303">
        <w:trPr>
          <w:trHeight w:val="240"/>
        </w:trPr>
        <w:tc>
          <w:tcPr>
            <w:tcW w:w="2440" w:type="dxa"/>
            <w:tcMar>
              <w:top w:w="0" w:type="dxa"/>
              <w:left w:w="0" w:type="dxa"/>
              <w:bottom w:w="0" w:type="dxa"/>
              <w:right w:w="0" w:type="dxa"/>
            </w:tcMar>
          </w:tcPr>
          <w:p w14:paraId="75AD2446" w14:textId="31791C51" w:rsidR="00D55303" w:rsidRPr="004F0EC4" w:rsidRDefault="00D55303" w:rsidP="00D55303">
            <w:pPr>
              <w:pStyle w:val="SingleTxtG"/>
              <w:tabs>
                <w:tab w:val="clear" w:pos="1701"/>
                <w:tab w:val="clear" w:pos="2268"/>
              </w:tabs>
              <w:suppressAutoHyphens w:val="0"/>
              <w:bidi/>
              <w:spacing w:before="20" w:after="40" w:line="320" w:lineRule="exact"/>
              <w:ind w:left="57" w:right="113"/>
              <w:jc w:val="left"/>
              <w:rPr>
                <w:rFonts w:hAnsi="Times New Roman"/>
                <w:sz w:val="18"/>
                <w:szCs w:val="18"/>
                <w:lang w:eastAsia="en-US"/>
              </w:rPr>
            </w:pPr>
            <w:r w:rsidRPr="004F0EC4">
              <w:rPr>
                <w:rFonts w:hAnsi="Times New Roman"/>
                <w:sz w:val="18"/>
                <w:szCs w:val="18"/>
                <w:rtl/>
              </w:rPr>
              <w:t>الأشخاص ذوو الإعاقة في الدورة النهائية</w:t>
            </w:r>
          </w:p>
        </w:tc>
        <w:tc>
          <w:tcPr>
            <w:tcW w:w="1134" w:type="dxa"/>
            <w:gridSpan w:val="2"/>
            <w:tcMar>
              <w:top w:w="0" w:type="dxa"/>
              <w:left w:w="0" w:type="dxa"/>
              <w:bottom w:w="0" w:type="dxa"/>
              <w:right w:w="0" w:type="dxa"/>
            </w:tcMar>
            <w:vAlign w:val="bottom"/>
          </w:tcPr>
          <w:p w14:paraId="0E559169"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center"/>
              <w:rPr>
                <w:rFonts w:hAnsi="Times New Roman"/>
                <w:sz w:val="18"/>
                <w:szCs w:val="18"/>
              </w:rPr>
            </w:pPr>
            <w:r w:rsidRPr="004F0EC4">
              <w:rPr>
                <w:rFonts w:hAnsi="Times New Roman"/>
                <w:sz w:val="18"/>
                <w:szCs w:val="18"/>
              </w:rPr>
              <w:t>78</w:t>
            </w:r>
          </w:p>
        </w:tc>
        <w:tc>
          <w:tcPr>
            <w:tcW w:w="1790" w:type="dxa"/>
            <w:gridSpan w:val="3"/>
            <w:tcMar>
              <w:top w:w="0" w:type="dxa"/>
              <w:left w:w="0" w:type="dxa"/>
              <w:bottom w:w="0" w:type="dxa"/>
              <w:right w:w="0" w:type="dxa"/>
            </w:tcMar>
            <w:vAlign w:val="bottom"/>
          </w:tcPr>
          <w:p w14:paraId="03B825EA"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center"/>
              <w:rPr>
                <w:rFonts w:hAnsi="Times New Roman"/>
                <w:sz w:val="18"/>
                <w:szCs w:val="18"/>
              </w:rPr>
            </w:pPr>
            <w:r w:rsidRPr="004F0EC4">
              <w:rPr>
                <w:rFonts w:hAnsi="Times New Roman"/>
                <w:sz w:val="18"/>
                <w:szCs w:val="18"/>
              </w:rPr>
              <w:t>326</w:t>
            </w:r>
          </w:p>
        </w:tc>
        <w:tc>
          <w:tcPr>
            <w:tcW w:w="850" w:type="dxa"/>
            <w:tcMar>
              <w:top w:w="0" w:type="dxa"/>
              <w:left w:w="0" w:type="dxa"/>
              <w:bottom w:w="0" w:type="dxa"/>
              <w:right w:w="0" w:type="dxa"/>
            </w:tcMar>
            <w:vAlign w:val="bottom"/>
          </w:tcPr>
          <w:p w14:paraId="4A934166"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center"/>
              <w:rPr>
                <w:rFonts w:hAnsi="Times New Roman"/>
                <w:sz w:val="18"/>
                <w:szCs w:val="18"/>
              </w:rPr>
            </w:pPr>
            <w:r w:rsidRPr="004F0EC4">
              <w:rPr>
                <w:rFonts w:hAnsi="Times New Roman"/>
                <w:sz w:val="18"/>
                <w:szCs w:val="18"/>
              </w:rPr>
              <w:t>218</w:t>
            </w:r>
          </w:p>
        </w:tc>
        <w:tc>
          <w:tcPr>
            <w:tcW w:w="1557" w:type="dxa"/>
            <w:gridSpan w:val="3"/>
            <w:tcMar>
              <w:top w:w="0" w:type="dxa"/>
              <w:left w:w="0" w:type="dxa"/>
              <w:bottom w:w="0" w:type="dxa"/>
              <w:right w:w="0" w:type="dxa"/>
            </w:tcMar>
            <w:vAlign w:val="bottom"/>
          </w:tcPr>
          <w:p w14:paraId="0E40B329"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0"/>
              <w:jc w:val="center"/>
              <w:rPr>
                <w:rFonts w:hAnsi="Times New Roman"/>
                <w:sz w:val="18"/>
                <w:szCs w:val="18"/>
              </w:rPr>
            </w:pPr>
            <w:r w:rsidRPr="004F0EC4">
              <w:rPr>
                <w:rFonts w:hAnsi="Times New Roman"/>
                <w:sz w:val="18"/>
                <w:szCs w:val="18"/>
              </w:rPr>
              <w:t>212</w:t>
            </w:r>
          </w:p>
        </w:tc>
      </w:tr>
      <w:tr w:rsidR="00D55303" w:rsidRPr="004F0EC4" w14:paraId="512DBE96" w14:textId="77777777" w:rsidTr="00D55303">
        <w:trPr>
          <w:trHeight w:val="240"/>
        </w:trPr>
        <w:tc>
          <w:tcPr>
            <w:tcW w:w="2440" w:type="dxa"/>
            <w:tcMar>
              <w:top w:w="0" w:type="dxa"/>
              <w:left w:w="0" w:type="dxa"/>
              <w:bottom w:w="0" w:type="dxa"/>
              <w:right w:w="0" w:type="dxa"/>
            </w:tcMar>
          </w:tcPr>
          <w:p w14:paraId="3E6FF743" w14:textId="4A22097D" w:rsidR="00D55303" w:rsidRPr="004F0EC4" w:rsidRDefault="00D55303" w:rsidP="00D55303">
            <w:pPr>
              <w:pStyle w:val="SingleTxtG"/>
              <w:tabs>
                <w:tab w:val="clear" w:pos="1701"/>
                <w:tab w:val="clear" w:pos="2268"/>
              </w:tabs>
              <w:suppressAutoHyphens w:val="0"/>
              <w:bidi/>
              <w:spacing w:before="20" w:after="40" w:line="320" w:lineRule="exact"/>
              <w:ind w:left="57" w:right="113"/>
              <w:jc w:val="left"/>
              <w:rPr>
                <w:rFonts w:hAnsi="Times New Roman" w:hint="cs"/>
                <w:sz w:val="18"/>
                <w:szCs w:val="18"/>
                <w:rtl/>
                <w:lang w:eastAsia="en-US"/>
              </w:rPr>
            </w:pPr>
            <w:r w:rsidRPr="004F0EC4">
              <w:rPr>
                <w:rFonts w:hAnsi="Times New Roman"/>
                <w:sz w:val="18"/>
                <w:szCs w:val="18"/>
                <w:rtl/>
              </w:rPr>
              <w:t>الأشخاص ذوو الإعاقة الذين وقع عليهم الاختيار</w:t>
            </w:r>
          </w:p>
        </w:tc>
        <w:tc>
          <w:tcPr>
            <w:tcW w:w="514" w:type="dxa"/>
            <w:tcMar>
              <w:top w:w="0" w:type="dxa"/>
              <w:left w:w="0" w:type="dxa"/>
              <w:bottom w:w="0" w:type="dxa"/>
              <w:right w:w="0" w:type="dxa"/>
            </w:tcMar>
            <w:vAlign w:val="bottom"/>
          </w:tcPr>
          <w:p w14:paraId="686DA09A"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lowKashida"/>
              <w:rPr>
                <w:rFonts w:hAnsi="Times New Roman"/>
                <w:sz w:val="18"/>
                <w:szCs w:val="18"/>
              </w:rPr>
            </w:pPr>
            <w:r w:rsidRPr="004F0EC4">
              <w:rPr>
                <w:rFonts w:hAnsi="Times New Roman"/>
                <w:sz w:val="18"/>
                <w:szCs w:val="18"/>
              </w:rPr>
              <w:t>47</w:t>
            </w:r>
          </w:p>
        </w:tc>
        <w:tc>
          <w:tcPr>
            <w:tcW w:w="620" w:type="dxa"/>
            <w:tcMar>
              <w:top w:w="0" w:type="dxa"/>
              <w:left w:w="0" w:type="dxa"/>
              <w:bottom w:w="0" w:type="dxa"/>
              <w:right w:w="0" w:type="dxa"/>
            </w:tcMar>
            <w:vAlign w:val="bottom"/>
          </w:tcPr>
          <w:p w14:paraId="50B716ED" w14:textId="14002C9F" w:rsidR="00D55303" w:rsidRPr="004F0EC4" w:rsidRDefault="00D55303" w:rsidP="00D55303">
            <w:pPr>
              <w:pStyle w:val="SingleTxtG"/>
              <w:tabs>
                <w:tab w:val="clear" w:pos="1701"/>
                <w:tab w:val="clear" w:pos="2268"/>
              </w:tabs>
              <w:suppressAutoHyphens w:val="0"/>
              <w:bidi/>
              <w:spacing w:before="20" w:after="40" w:line="320" w:lineRule="exact"/>
              <w:ind w:left="57" w:right="113"/>
              <w:jc w:val="lowKashida"/>
              <w:rPr>
                <w:rFonts w:hAnsi="Times New Roman"/>
                <w:sz w:val="18"/>
                <w:szCs w:val="18"/>
                <w:lang w:eastAsia="en-US"/>
              </w:rPr>
            </w:pPr>
            <w:r w:rsidRPr="004F0EC4">
              <w:rPr>
                <w:rFonts w:hAnsi="Times New Roman"/>
                <w:sz w:val="18"/>
                <w:szCs w:val="18"/>
                <w:lang w:eastAsia="en-US"/>
              </w:rPr>
              <w:t>60</w:t>
            </w:r>
            <w:r w:rsidRPr="004F0EC4">
              <w:rPr>
                <w:rFonts w:ascii="Simplified Arabic" w:hAnsi="Simplified Arabic" w:hint="cs"/>
                <w:sz w:val="18"/>
                <w:szCs w:val="18"/>
                <w:lang w:eastAsia="en-US"/>
              </w:rPr>
              <w:t>,</w:t>
            </w:r>
            <w:r w:rsidRPr="004F0EC4">
              <w:rPr>
                <w:rFonts w:hAnsi="Times New Roman"/>
                <w:sz w:val="18"/>
                <w:szCs w:val="18"/>
                <w:lang w:eastAsia="en-US"/>
              </w:rPr>
              <w:t>3</w:t>
            </w:r>
            <w:r w:rsidRPr="004F0EC4">
              <w:rPr>
                <w:rFonts w:hAnsi="Times New Roman" w:cs="Times New Roman"/>
                <w:szCs w:val="20"/>
                <w:rtl/>
              </w:rPr>
              <w:t>⁒</w:t>
            </w:r>
          </w:p>
        </w:tc>
        <w:tc>
          <w:tcPr>
            <w:tcW w:w="585" w:type="dxa"/>
            <w:tcMar>
              <w:top w:w="0" w:type="dxa"/>
              <w:left w:w="0" w:type="dxa"/>
              <w:bottom w:w="0" w:type="dxa"/>
              <w:right w:w="0" w:type="dxa"/>
            </w:tcMar>
            <w:vAlign w:val="bottom"/>
          </w:tcPr>
          <w:p w14:paraId="1AF759EB"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lowKashida"/>
              <w:rPr>
                <w:rFonts w:hAnsi="Times New Roman"/>
                <w:sz w:val="18"/>
                <w:szCs w:val="18"/>
              </w:rPr>
            </w:pPr>
            <w:r w:rsidRPr="004F0EC4">
              <w:rPr>
                <w:rFonts w:hAnsi="Times New Roman"/>
                <w:sz w:val="18"/>
                <w:szCs w:val="18"/>
              </w:rPr>
              <w:t>105</w:t>
            </w:r>
          </w:p>
        </w:tc>
        <w:tc>
          <w:tcPr>
            <w:tcW w:w="630" w:type="dxa"/>
            <w:tcMar>
              <w:top w:w="0" w:type="dxa"/>
              <w:left w:w="0" w:type="dxa"/>
              <w:bottom w:w="0" w:type="dxa"/>
              <w:right w:w="0" w:type="dxa"/>
            </w:tcMar>
            <w:vAlign w:val="bottom"/>
          </w:tcPr>
          <w:p w14:paraId="1E413B5B" w14:textId="2C44D376" w:rsidR="00D55303" w:rsidRPr="004F0EC4" w:rsidRDefault="00D55303" w:rsidP="00D55303">
            <w:pPr>
              <w:pStyle w:val="SingleTxtG"/>
              <w:tabs>
                <w:tab w:val="clear" w:pos="1701"/>
                <w:tab w:val="clear" w:pos="2268"/>
              </w:tabs>
              <w:suppressAutoHyphens w:val="0"/>
              <w:bidi/>
              <w:spacing w:before="20" w:after="40" w:line="320" w:lineRule="exact"/>
              <w:ind w:left="57" w:right="113"/>
              <w:jc w:val="lowKashida"/>
              <w:rPr>
                <w:rFonts w:hAnsi="Times New Roman" w:hint="cs"/>
                <w:sz w:val="18"/>
                <w:szCs w:val="18"/>
                <w:rtl/>
                <w:lang w:eastAsia="en-US"/>
              </w:rPr>
            </w:pPr>
            <w:r w:rsidRPr="004F0EC4">
              <w:rPr>
                <w:rFonts w:hAnsi="Times New Roman"/>
                <w:sz w:val="18"/>
                <w:szCs w:val="18"/>
                <w:lang w:eastAsia="en-US"/>
              </w:rPr>
              <w:t>32</w:t>
            </w:r>
            <w:r w:rsidRPr="004F0EC4">
              <w:rPr>
                <w:rFonts w:ascii="Simplified Arabic" w:hAnsi="Simplified Arabic" w:hint="cs"/>
                <w:sz w:val="18"/>
                <w:szCs w:val="18"/>
                <w:lang w:eastAsia="en-US"/>
              </w:rPr>
              <w:t>,</w:t>
            </w:r>
            <w:r w:rsidRPr="004F0EC4">
              <w:rPr>
                <w:rFonts w:hAnsi="Times New Roman"/>
                <w:sz w:val="18"/>
                <w:szCs w:val="18"/>
                <w:lang w:eastAsia="en-US"/>
              </w:rPr>
              <w:t>2</w:t>
            </w:r>
            <w:r w:rsidRPr="004F0EC4">
              <w:rPr>
                <w:rFonts w:hAnsi="Times New Roman" w:cs="Times New Roman"/>
                <w:szCs w:val="20"/>
                <w:rtl/>
              </w:rPr>
              <w:t>⁒</w:t>
            </w:r>
          </w:p>
        </w:tc>
        <w:tc>
          <w:tcPr>
            <w:tcW w:w="575" w:type="dxa"/>
            <w:tcMar>
              <w:top w:w="0" w:type="dxa"/>
              <w:left w:w="0" w:type="dxa"/>
              <w:bottom w:w="0" w:type="dxa"/>
              <w:right w:w="0" w:type="dxa"/>
            </w:tcMar>
            <w:vAlign w:val="bottom"/>
          </w:tcPr>
          <w:p w14:paraId="478EC143"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lowKashida"/>
              <w:rPr>
                <w:rFonts w:hAnsi="Times New Roman"/>
                <w:sz w:val="18"/>
                <w:szCs w:val="18"/>
              </w:rPr>
            </w:pPr>
            <w:r w:rsidRPr="004F0EC4">
              <w:rPr>
                <w:rFonts w:hAnsi="Times New Roman"/>
                <w:sz w:val="18"/>
                <w:szCs w:val="18"/>
              </w:rPr>
              <w:t>46</w:t>
            </w:r>
          </w:p>
        </w:tc>
        <w:tc>
          <w:tcPr>
            <w:tcW w:w="1220" w:type="dxa"/>
            <w:gridSpan w:val="2"/>
            <w:tcMar>
              <w:top w:w="0" w:type="dxa"/>
              <w:left w:w="0" w:type="dxa"/>
              <w:bottom w:w="0" w:type="dxa"/>
              <w:right w:w="0" w:type="dxa"/>
            </w:tcMar>
            <w:vAlign w:val="bottom"/>
          </w:tcPr>
          <w:p w14:paraId="4A9911D0" w14:textId="6DB76C38" w:rsidR="00D55303" w:rsidRPr="004F0EC4" w:rsidRDefault="00D55303" w:rsidP="00D55303">
            <w:pPr>
              <w:pStyle w:val="SingleTxtG"/>
              <w:tabs>
                <w:tab w:val="clear" w:pos="1701"/>
                <w:tab w:val="clear" w:pos="2268"/>
              </w:tabs>
              <w:suppressAutoHyphens w:val="0"/>
              <w:bidi/>
              <w:spacing w:before="20" w:after="40" w:line="320" w:lineRule="exact"/>
              <w:ind w:left="57" w:right="113"/>
              <w:jc w:val="lowKashida"/>
              <w:rPr>
                <w:rFonts w:hAnsi="Times New Roman" w:hint="cs"/>
                <w:sz w:val="18"/>
                <w:szCs w:val="18"/>
                <w:rtl/>
                <w:lang w:eastAsia="en-US"/>
              </w:rPr>
            </w:pPr>
            <w:r w:rsidRPr="004F0EC4">
              <w:rPr>
                <w:rFonts w:hAnsi="Times New Roman"/>
                <w:sz w:val="18"/>
                <w:szCs w:val="18"/>
                <w:lang w:eastAsia="en-US"/>
              </w:rPr>
              <w:t>21</w:t>
            </w:r>
            <w:r w:rsidRPr="004F0EC4">
              <w:rPr>
                <w:rFonts w:ascii="Simplified Arabic" w:hAnsi="Simplified Arabic" w:hint="cs"/>
                <w:sz w:val="18"/>
                <w:szCs w:val="18"/>
                <w:lang w:eastAsia="en-US"/>
              </w:rPr>
              <w:t>,</w:t>
            </w:r>
            <w:r w:rsidRPr="004F0EC4">
              <w:rPr>
                <w:rFonts w:hAnsi="Times New Roman"/>
                <w:sz w:val="18"/>
                <w:szCs w:val="18"/>
                <w:lang w:eastAsia="en-US"/>
              </w:rPr>
              <w:t>1</w:t>
            </w:r>
            <w:r w:rsidR="008B032D" w:rsidRPr="004F0EC4">
              <w:rPr>
                <w:rFonts w:hAnsi="Times New Roman" w:cs="Times New Roman" w:hint="cs"/>
                <w:sz w:val="18"/>
                <w:szCs w:val="18"/>
                <w:rtl/>
                <w:lang w:eastAsia="en-US"/>
              </w:rPr>
              <w:t>⁒</w:t>
            </w:r>
          </w:p>
        </w:tc>
        <w:tc>
          <w:tcPr>
            <w:tcW w:w="584" w:type="dxa"/>
            <w:tcMar>
              <w:top w:w="0" w:type="dxa"/>
              <w:left w:w="0" w:type="dxa"/>
              <w:bottom w:w="0" w:type="dxa"/>
              <w:right w:w="0" w:type="dxa"/>
            </w:tcMar>
            <w:vAlign w:val="bottom"/>
          </w:tcPr>
          <w:p w14:paraId="6D4D36AC"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0"/>
              <w:jc w:val="lowKashida"/>
              <w:rPr>
                <w:rFonts w:hAnsi="Times New Roman"/>
                <w:sz w:val="18"/>
                <w:szCs w:val="18"/>
              </w:rPr>
            </w:pPr>
            <w:r w:rsidRPr="004F0EC4">
              <w:rPr>
                <w:rFonts w:hAnsi="Times New Roman"/>
                <w:sz w:val="18"/>
                <w:szCs w:val="18"/>
              </w:rPr>
              <w:t>76</w:t>
            </w:r>
          </w:p>
        </w:tc>
        <w:tc>
          <w:tcPr>
            <w:tcW w:w="603" w:type="dxa"/>
            <w:tcMar>
              <w:top w:w="0" w:type="dxa"/>
              <w:left w:w="0" w:type="dxa"/>
              <w:bottom w:w="0" w:type="dxa"/>
              <w:right w:w="0" w:type="dxa"/>
            </w:tcMar>
            <w:vAlign w:val="bottom"/>
          </w:tcPr>
          <w:p w14:paraId="463743B8" w14:textId="53A0DE57" w:rsidR="00D55303" w:rsidRPr="004F0EC4" w:rsidRDefault="00D55303" w:rsidP="00D55303">
            <w:pPr>
              <w:pStyle w:val="SingleTxtG"/>
              <w:tabs>
                <w:tab w:val="clear" w:pos="1701"/>
                <w:tab w:val="clear" w:pos="2268"/>
              </w:tabs>
              <w:suppressAutoHyphens w:val="0"/>
              <w:bidi/>
              <w:spacing w:before="20" w:after="40" w:line="320" w:lineRule="exact"/>
              <w:ind w:left="57" w:right="0"/>
              <w:jc w:val="lowKashida"/>
              <w:rPr>
                <w:rFonts w:hAnsi="Times New Roman"/>
                <w:sz w:val="18"/>
                <w:szCs w:val="18"/>
                <w:lang w:eastAsia="en-US"/>
              </w:rPr>
            </w:pPr>
            <w:r w:rsidRPr="004F0EC4">
              <w:rPr>
                <w:rFonts w:hAnsi="Times New Roman"/>
                <w:sz w:val="18"/>
                <w:szCs w:val="18"/>
                <w:lang w:eastAsia="en-US"/>
              </w:rPr>
              <w:t>35</w:t>
            </w:r>
            <w:r w:rsidRPr="004F0EC4">
              <w:rPr>
                <w:rFonts w:ascii="Simplified Arabic" w:hAnsi="Simplified Arabic" w:hint="cs"/>
                <w:sz w:val="18"/>
                <w:szCs w:val="18"/>
                <w:lang w:eastAsia="en-US"/>
              </w:rPr>
              <w:t>,</w:t>
            </w:r>
            <w:r w:rsidRPr="004F0EC4">
              <w:rPr>
                <w:rFonts w:hAnsi="Times New Roman"/>
                <w:sz w:val="18"/>
                <w:szCs w:val="18"/>
                <w:lang w:eastAsia="en-US"/>
              </w:rPr>
              <w:t>8</w:t>
            </w:r>
            <w:r w:rsidRPr="004F0EC4">
              <w:rPr>
                <w:rFonts w:hAnsi="Times New Roman" w:cs="Times New Roman"/>
                <w:szCs w:val="20"/>
                <w:rtl/>
              </w:rPr>
              <w:t>⁒</w:t>
            </w:r>
          </w:p>
        </w:tc>
      </w:tr>
      <w:tr w:rsidR="00D55303" w:rsidRPr="004F0EC4" w14:paraId="34B149D5" w14:textId="77777777" w:rsidTr="00D55303">
        <w:trPr>
          <w:trHeight w:val="240"/>
        </w:trPr>
        <w:tc>
          <w:tcPr>
            <w:tcW w:w="2440" w:type="dxa"/>
            <w:tcMar>
              <w:top w:w="0" w:type="dxa"/>
              <w:left w:w="0" w:type="dxa"/>
              <w:bottom w:w="0" w:type="dxa"/>
              <w:right w:w="0" w:type="dxa"/>
            </w:tcMar>
          </w:tcPr>
          <w:p w14:paraId="62F56B0A" w14:textId="32B3C352" w:rsidR="00D55303" w:rsidRPr="004F0EC4" w:rsidRDefault="00D55303" w:rsidP="00D55303">
            <w:pPr>
              <w:pStyle w:val="SingleTxtG"/>
              <w:tabs>
                <w:tab w:val="clear" w:pos="1701"/>
                <w:tab w:val="clear" w:pos="2268"/>
              </w:tabs>
              <w:suppressAutoHyphens w:val="0"/>
              <w:bidi/>
              <w:spacing w:before="20" w:after="40" w:line="320" w:lineRule="exact"/>
              <w:ind w:left="57" w:right="113"/>
              <w:jc w:val="left"/>
              <w:rPr>
                <w:rFonts w:hAnsi="Times New Roman"/>
                <w:sz w:val="18"/>
                <w:szCs w:val="18"/>
                <w:lang w:eastAsia="en-US"/>
              </w:rPr>
            </w:pPr>
            <w:r w:rsidRPr="004F0EC4">
              <w:rPr>
                <w:rFonts w:hAnsi="Times New Roman"/>
                <w:sz w:val="18"/>
                <w:szCs w:val="18"/>
                <w:rtl/>
              </w:rPr>
              <w:t>المؤسسات العامة</w:t>
            </w:r>
          </w:p>
        </w:tc>
        <w:tc>
          <w:tcPr>
            <w:tcW w:w="1134" w:type="dxa"/>
            <w:gridSpan w:val="2"/>
            <w:tcMar>
              <w:top w:w="0" w:type="dxa"/>
              <w:left w:w="0" w:type="dxa"/>
              <w:bottom w:w="0" w:type="dxa"/>
              <w:right w:w="0" w:type="dxa"/>
            </w:tcMar>
            <w:vAlign w:val="bottom"/>
          </w:tcPr>
          <w:p w14:paraId="7C1843B5"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center"/>
              <w:rPr>
                <w:rFonts w:hAnsi="Times New Roman" w:hint="cs"/>
                <w:sz w:val="18"/>
                <w:szCs w:val="18"/>
                <w:rtl/>
              </w:rPr>
            </w:pPr>
            <w:r w:rsidRPr="004F0EC4">
              <w:rPr>
                <w:rFonts w:hAnsi="Times New Roman"/>
                <w:sz w:val="18"/>
                <w:szCs w:val="18"/>
              </w:rPr>
              <w:t>605</w:t>
            </w:r>
          </w:p>
        </w:tc>
        <w:tc>
          <w:tcPr>
            <w:tcW w:w="1790" w:type="dxa"/>
            <w:gridSpan w:val="3"/>
            <w:tcMar>
              <w:top w:w="0" w:type="dxa"/>
              <w:left w:w="0" w:type="dxa"/>
              <w:bottom w:w="0" w:type="dxa"/>
              <w:right w:w="0" w:type="dxa"/>
            </w:tcMar>
            <w:vAlign w:val="bottom"/>
          </w:tcPr>
          <w:p w14:paraId="49EA783B"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center"/>
              <w:rPr>
                <w:rFonts w:hAnsi="Times New Roman"/>
                <w:sz w:val="18"/>
                <w:szCs w:val="18"/>
              </w:rPr>
            </w:pPr>
            <w:r w:rsidRPr="004F0EC4">
              <w:rPr>
                <w:rFonts w:hAnsi="Times New Roman"/>
                <w:sz w:val="18"/>
                <w:szCs w:val="18"/>
              </w:rPr>
              <w:t>609</w:t>
            </w:r>
          </w:p>
        </w:tc>
        <w:tc>
          <w:tcPr>
            <w:tcW w:w="850" w:type="dxa"/>
            <w:tcMar>
              <w:top w:w="0" w:type="dxa"/>
              <w:left w:w="0" w:type="dxa"/>
              <w:bottom w:w="0" w:type="dxa"/>
              <w:right w:w="0" w:type="dxa"/>
            </w:tcMar>
            <w:vAlign w:val="bottom"/>
          </w:tcPr>
          <w:p w14:paraId="4313447A"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center"/>
              <w:rPr>
                <w:rFonts w:hAnsi="Times New Roman"/>
                <w:sz w:val="18"/>
                <w:szCs w:val="18"/>
              </w:rPr>
            </w:pPr>
            <w:r w:rsidRPr="004F0EC4">
              <w:rPr>
                <w:rFonts w:hAnsi="Times New Roman"/>
                <w:sz w:val="18"/>
                <w:szCs w:val="18"/>
              </w:rPr>
              <w:t>612</w:t>
            </w:r>
          </w:p>
        </w:tc>
        <w:tc>
          <w:tcPr>
            <w:tcW w:w="1557" w:type="dxa"/>
            <w:gridSpan w:val="3"/>
            <w:tcMar>
              <w:top w:w="0" w:type="dxa"/>
              <w:left w:w="0" w:type="dxa"/>
              <w:bottom w:w="0" w:type="dxa"/>
              <w:right w:w="0" w:type="dxa"/>
            </w:tcMar>
            <w:vAlign w:val="bottom"/>
          </w:tcPr>
          <w:p w14:paraId="5536DC61"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0"/>
              <w:jc w:val="center"/>
              <w:rPr>
                <w:rFonts w:hAnsi="Times New Roman"/>
                <w:sz w:val="18"/>
                <w:szCs w:val="18"/>
              </w:rPr>
            </w:pPr>
            <w:r w:rsidRPr="004F0EC4">
              <w:rPr>
                <w:rFonts w:hAnsi="Times New Roman"/>
                <w:sz w:val="18"/>
                <w:szCs w:val="18"/>
              </w:rPr>
              <w:t>617</w:t>
            </w:r>
          </w:p>
        </w:tc>
      </w:tr>
      <w:tr w:rsidR="00D55303" w:rsidRPr="004F0EC4" w14:paraId="4F425F9C" w14:textId="77777777" w:rsidTr="00D55303">
        <w:trPr>
          <w:trHeight w:val="240"/>
        </w:trPr>
        <w:tc>
          <w:tcPr>
            <w:tcW w:w="2440" w:type="dxa"/>
            <w:tcMar>
              <w:top w:w="0" w:type="dxa"/>
              <w:left w:w="0" w:type="dxa"/>
              <w:bottom w:w="0" w:type="dxa"/>
              <w:right w:w="0" w:type="dxa"/>
            </w:tcMar>
          </w:tcPr>
          <w:p w14:paraId="106A4CFE" w14:textId="2F5A9DC5" w:rsidR="00D55303" w:rsidRPr="004F0EC4" w:rsidRDefault="00D55303" w:rsidP="00D55303">
            <w:pPr>
              <w:pStyle w:val="SingleTxtG"/>
              <w:tabs>
                <w:tab w:val="clear" w:pos="1701"/>
                <w:tab w:val="clear" w:pos="2268"/>
              </w:tabs>
              <w:suppressAutoHyphens w:val="0"/>
              <w:bidi/>
              <w:spacing w:before="20" w:after="40" w:line="320" w:lineRule="exact"/>
              <w:ind w:left="57" w:right="113"/>
              <w:jc w:val="left"/>
              <w:rPr>
                <w:rFonts w:hAnsi="Times New Roman" w:hint="cs"/>
                <w:sz w:val="18"/>
                <w:szCs w:val="18"/>
                <w:rtl/>
                <w:lang w:eastAsia="en-US"/>
              </w:rPr>
            </w:pPr>
            <w:r w:rsidRPr="004F0EC4">
              <w:rPr>
                <w:rFonts w:hAnsi="Times New Roman"/>
                <w:sz w:val="18"/>
                <w:szCs w:val="18"/>
                <w:rtl/>
              </w:rPr>
              <w:t>المؤسسات التي تطبق نظام الاختيار التفضيلي</w:t>
            </w:r>
          </w:p>
        </w:tc>
        <w:tc>
          <w:tcPr>
            <w:tcW w:w="514" w:type="dxa"/>
            <w:tcMar>
              <w:top w:w="0" w:type="dxa"/>
              <w:left w:w="0" w:type="dxa"/>
              <w:bottom w:w="0" w:type="dxa"/>
              <w:right w:w="0" w:type="dxa"/>
            </w:tcMar>
            <w:vAlign w:val="bottom"/>
          </w:tcPr>
          <w:p w14:paraId="5918733B"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lowKashida"/>
              <w:rPr>
                <w:rFonts w:hAnsi="Times New Roman"/>
                <w:sz w:val="18"/>
                <w:szCs w:val="18"/>
              </w:rPr>
            </w:pPr>
            <w:r w:rsidRPr="004F0EC4">
              <w:rPr>
                <w:rFonts w:hAnsi="Times New Roman"/>
                <w:sz w:val="18"/>
                <w:szCs w:val="18"/>
              </w:rPr>
              <w:t>19</w:t>
            </w:r>
          </w:p>
        </w:tc>
        <w:tc>
          <w:tcPr>
            <w:tcW w:w="620" w:type="dxa"/>
            <w:tcMar>
              <w:top w:w="0" w:type="dxa"/>
              <w:left w:w="0" w:type="dxa"/>
              <w:bottom w:w="0" w:type="dxa"/>
              <w:right w:w="0" w:type="dxa"/>
            </w:tcMar>
            <w:vAlign w:val="bottom"/>
          </w:tcPr>
          <w:p w14:paraId="1A0978CD" w14:textId="5954D8A1" w:rsidR="00D55303" w:rsidRPr="004F0EC4" w:rsidRDefault="00D55303" w:rsidP="00D55303">
            <w:pPr>
              <w:pStyle w:val="SingleTxtG"/>
              <w:tabs>
                <w:tab w:val="clear" w:pos="1701"/>
                <w:tab w:val="clear" w:pos="2268"/>
              </w:tabs>
              <w:suppressAutoHyphens w:val="0"/>
              <w:bidi/>
              <w:spacing w:before="20" w:after="40" w:line="320" w:lineRule="exact"/>
              <w:ind w:left="57" w:right="113"/>
              <w:jc w:val="lowKashida"/>
              <w:rPr>
                <w:rFonts w:hAnsi="Times New Roman"/>
                <w:sz w:val="18"/>
                <w:szCs w:val="18"/>
                <w:lang w:eastAsia="en-US"/>
              </w:rPr>
            </w:pPr>
            <w:r w:rsidRPr="004F0EC4">
              <w:rPr>
                <w:rFonts w:hAnsi="Times New Roman"/>
                <w:sz w:val="18"/>
                <w:szCs w:val="18"/>
                <w:lang w:eastAsia="en-US"/>
              </w:rPr>
              <w:t>3</w:t>
            </w:r>
            <w:r w:rsidRPr="004F0EC4">
              <w:rPr>
                <w:rFonts w:ascii="Simplified Arabic" w:hAnsi="Simplified Arabic" w:hint="cs"/>
                <w:sz w:val="18"/>
                <w:szCs w:val="18"/>
                <w:lang w:eastAsia="en-US"/>
              </w:rPr>
              <w:t>,</w:t>
            </w:r>
            <w:r w:rsidRPr="004F0EC4">
              <w:rPr>
                <w:rFonts w:hAnsi="Times New Roman"/>
                <w:sz w:val="18"/>
                <w:szCs w:val="18"/>
                <w:lang w:eastAsia="en-US"/>
              </w:rPr>
              <w:t>1</w:t>
            </w:r>
            <w:r w:rsidRPr="004F0EC4">
              <w:rPr>
                <w:rFonts w:hAnsi="Times New Roman" w:cs="Times New Roman"/>
                <w:szCs w:val="20"/>
                <w:rtl/>
              </w:rPr>
              <w:t>⁒</w:t>
            </w:r>
          </w:p>
        </w:tc>
        <w:tc>
          <w:tcPr>
            <w:tcW w:w="585" w:type="dxa"/>
            <w:tcMar>
              <w:top w:w="0" w:type="dxa"/>
              <w:left w:w="0" w:type="dxa"/>
              <w:bottom w:w="0" w:type="dxa"/>
              <w:right w:w="0" w:type="dxa"/>
            </w:tcMar>
            <w:vAlign w:val="bottom"/>
          </w:tcPr>
          <w:p w14:paraId="786C0631"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lowKashida"/>
              <w:rPr>
                <w:rFonts w:hAnsi="Times New Roman"/>
                <w:sz w:val="18"/>
                <w:szCs w:val="18"/>
              </w:rPr>
            </w:pPr>
            <w:r w:rsidRPr="004F0EC4">
              <w:rPr>
                <w:rFonts w:hAnsi="Times New Roman"/>
                <w:sz w:val="18"/>
                <w:szCs w:val="18"/>
              </w:rPr>
              <w:t>40</w:t>
            </w:r>
          </w:p>
        </w:tc>
        <w:tc>
          <w:tcPr>
            <w:tcW w:w="630" w:type="dxa"/>
            <w:tcMar>
              <w:top w:w="0" w:type="dxa"/>
              <w:left w:w="0" w:type="dxa"/>
              <w:bottom w:w="0" w:type="dxa"/>
              <w:right w:w="0" w:type="dxa"/>
            </w:tcMar>
            <w:vAlign w:val="bottom"/>
          </w:tcPr>
          <w:p w14:paraId="63368F11" w14:textId="12081819" w:rsidR="00D55303" w:rsidRPr="004F0EC4" w:rsidRDefault="00D55303" w:rsidP="00D55303">
            <w:pPr>
              <w:pStyle w:val="SingleTxtG"/>
              <w:tabs>
                <w:tab w:val="clear" w:pos="1701"/>
                <w:tab w:val="clear" w:pos="2268"/>
              </w:tabs>
              <w:suppressAutoHyphens w:val="0"/>
              <w:bidi/>
              <w:spacing w:before="20" w:after="40" w:line="320" w:lineRule="exact"/>
              <w:ind w:left="57" w:right="113"/>
              <w:jc w:val="lowKashida"/>
              <w:rPr>
                <w:rFonts w:hAnsi="Times New Roman"/>
                <w:sz w:val="18"/>
                <w:szCs w:val="18"/>
                <w:lang w:eastAsia="en-US"/>
              </w:rPr>
            </w:pPr>
            <w:r w:rsidRPr="004F0EC4">
              <w:rPr>
                <w:rFonts w:hAnsi="Times New Roman"/>
                <w:sz w:val="18"/>
                <w:szCs w:val="18"/>
                <w:lang w:eastAsia="en-US"/>
              </w:rPr>
              <w:t>6</w:t>
            </w:r>
            <w:r w:rsidR="004F0EC4" w:rsidRPr="004F0EC4">
              <w:rPr>
                <w:rFonts w:ascii="Simplified Arabic" w:hAnsi="Simplified Arabic" w:hint="cs"/>
                <w:sz w:val="18"/>
                <w:szCs w:val="18"/>
                <w:lang w:eastAsia="en-US"/>
              </w:rPr>
              <w:t>,</w:t>
            </w:r>
            <w:r w:rsidRPr="004F0EC4">
              <w:rPr>
                <w:rFonts w:hAnsi="Times New Roman"/>
                <w:sz w:val="18"/>
                <w:szCs w:val="18"/>
                <w:lang w:eastAsia="en-US"/>
              </w:rPr>
              <w:t>6</w:t>
            </w:r>
            <w:r w:rsidRPr="004F0EC4">
              <w:rPr>
                <w:rFonts w:hAnsi="Times New Roman" w:cs="Times New Roman"/>
                <w:szCs w:val="20"/>
                <w:rtl/>
              </w:rPr>
              <w:t>⁒</w:t>
            </w:r>
          </w:p>
        </w:tc>
        <w:tc>
          <w:tcPr>
            <w:tcW w:w="575" w:type="dxa"/>
            <w:tcMar>
              <w:top w:w="0" w:type="dxa"/>
              <w:left w:w="0" w:type="dxa"/>
              <w:bottom w:w="0" w:type="dxa"/>
              <w:right w:w="0" w:type="dxa"/>
            </w:tcMar>
            <w:vAlign w:val="bottom"/>
          </w:tcPr>
          <w:p w14:paraId="3F1B7663"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lowKashida"/>
              <w:rPr>
                <w:rFonts w:hAnsi="Times New Roman"/>
                <w:sz w:val="18"/>
                <w:szCs w:val="18"/>
              </w:rPr>
            </w:pPr>
            <w:r w:rsidRPr="004F0EC4">
              <w:rPr>
                <w:rFonts w:hAnsi="Times New Roman"/>
                <w:sz w:val="18"/>
                <w:szCs w:val="18"/>
              </w:rPr>
              <w:t>27</w:t>
            </w:r>
          </w:p>
        </w:tc>
        <w:tc>
          <w:tcPr>
            <w:tcW w:w="1220" w:type="dxa"/>
            <w:gridSpan w:val="2"/>
            <w:tcMar>
              <w:top w:w="0" w:type="dxa"/>
              <w:left w:w="0" w:type="dxa"/>
              <w:bottom w:w="0" w:type="dxa"/>
              <w:right w:w="0" w:type="dxa"/>
            </w:tcMar>
            <w:vAlign w:val="bottom"/>
          </w:tcPr>
          <w:p w14:paraId="1B998D6F" w14:textId="66129728" w:rsidR="00D55303" w:rsidRPr="004F0EC4" w:rsidRDefault="00D55303" w:rsidP="00D55303">
            <w:pPr>
              <w:pStyle w:val="SingleTxtG"/>
              <w:tabs>
                <w:tab w:val="clear" w:pos="1701"/>
                <w:tab w:val="clear" w:pos="2268"/>
              </w:tabs>
              <w:suppressAutoHyphens w:val="0"/>
              <w:bidi/>
              <w:spacing w:before="20" w:after="40" w:line="320" w:lineRule="exact"/>
              <w:ind w:left="57" w:right="113"/>
              <w:jc w:val="lowKashida"/>
              <w:rPr>
                <w:rFonts w:hAnsi="Times New Roman"/>
                <w:sz w:val="18"/>
                <w:szCs w:val="18"/>
                <w:lang w:eastAsia="en-US"/>
              </w:rPr>
            </w:pPr>
            <w:r w:rsidRPr="004F0EC4">
              <w:rPr>
                <w:rFonts w:hAnsi="Times New Roman"/>
                <w:sz w:val="18"/>
                <w:szCs w:val="18"/>
                <w:lang w:eastAsia="en-US"/>
              </w:rPr>
              <w:t>4</w:t>
            </w:r>
            <w:r w:rsidRPr="004F0EC4">
              <w:rPr>
                <w:rFonts w:ascii="Simplified Arabic" w:hAnsi="Simplified Arabic" w:hint="cs"/>
                <w:sz w:val="18"/>
                <w:szCs w:val="18"/>
                <w:lang w:eastAsia="en-US"/>
              </w:rPr>
              <w:t>,</w:t>
            </w:r>
            <w:r w:rsidRPr="004F0EC4">
              <w:rPr>
                <w:rFonts w:hAnsi="Times New Roman"/>
                <w:sz w:val="18"/>
                <w:szCs w:val="18"/>
                <w:lang w:eastAsia="en-US"/>
              </w:rPr>
              <w:t>4</w:t>
            </w:r>
            <w:r w:rsidRPr="004F0EC4">
              <w:rPr>
                <w:rFonts w:hAnsi="Times New Roman" w:cs="Times New Roman"/>
                <w:szCs w:val="20"/>
                <w:rtl/>
              </w:rPr>
              <w:t>⁒</w:t>
            </w:r>
          </w:p>
        </w:tc>
        <w:tc>
          <w:tcPr>
            <w:tcW w:w="584" w:type="dxa"/>
            <w:tcMar>
              <w:top w:w="0" w:type="dxa"/>
              <w:left w:w="0" w:type="dxa"/>
              <w:bottom w:w="0" w:type="dxa"/>
              <w:right w:w="0" w:type="dxa"/>
            </w:tcMar>
            <w:vAlign w:val="bottom"/>
          </w:tcPr>
          <w:p w14:paraId="6CD38A27"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0"/>
              <w:jc w:val="lowKashida"/>
              <w:rPr>
                <w:rFonts w:hAnsi="Times New Roman"/>
                <w:sz w:val="18"/>
                <w:szCs w:val="18"/>
              </w:rPr>
            </w:pPr>
            <w:r w:rsidRPr="004F0EC4">
              <w:rPr>
                <w:rFonts w:hAnsi="Times New Roman"/>
                <w:sz w:val="18"/>
                <w:szCs w:val="18"/>
              </w:rPr>
              <w:t>48</w:t>
            </w:r>
          </w:p>
        </w:tc>
        <w:tc>
          <w:tcPr>
            <w:tcW w:w="603" w:type="dxa"/>
            <w:tcMar>
              <w:top w:w="0" w:type="dxa"/>
              <w:left w:w="0" w:type="dxa"/>
              <w:bottom w:w="0" w:type="dxa"/>
              <w:right w:w="0" w:type="dxa"/>
            </w:tcMar>
            <w:vAlign w:val="bottom"/>
          </w:tcPr>
          <w:p w14:paraId="0A67E82B" w14:textId="472D919E" w:rsidR="00D55303" w:rsidRPr="004F0EC4" w:rsidRDefault="00D55303" w:rsidP="00D55303">
            <w:pPr>
              <w:pStyle w:val="SingleTxtG"/>
              <w:tabs>
                <w:tab w:val="clear" w:pos="1701"/>
                <w:tab w:val="clear" w:pos="2268"/>
              </w:tabs>
              <w:suppressAutoHyphens w:val="0"/>
              <w:bidi/>
              <w:spacing w:before="20" w:after="40" w:line="320" w:lineRule="exact"/>
              <w:ind w:left="57" w:right="0"/>
              <w:jc w:val="lowKashida"/>
              <w:rPr>
                <w:rFonts w:hAnsi="Times New Roman"/>
                <w:sz w:val="18"/>
                <w:szCs w:val="18"/>
                <w:lang w:eastAsia="en-US"/>
              </w:rPr>
            </w:pPr>
            <w:r w:rsidRPr="004F0EC4">
              <w:rPr>
                <w:rFonts w:hAnsi="Times New Roman"/>
                <w:sz w:val="18"/>
                <w:szCs w:val="18"/>
                <w:lang w:eastAsia="en-US"/>
              </w:rPr>
              <w:t>7</w:t>
            </w:r>
            <w:r w:rsidRPr="004F0EC4">
              <w:rPr>
                <w:rFonts w:ascii="Simplified Arabic" w:hAnsi="Simplified Arabic" w:hint="cs"/>
                <w:sz w:val="18"/>
                <w:szCs w:val="18"/>
                <w:lang w:eastAsia="en-US"/>
              </w:rPr>
              <w:t>,</w:t>
            </w:r>
            <w:r w:rsidRPr="004F0EC4">
              <w:rPr>
                <w:rFonts w:hAnsi="Times New Roman"/>
                <w:sz w:val="18"/>
                <w:szCs w:val="18"/>
                <w:lang w:eastAsia="en-US"/>
              </w:rPr>
              <w:t>8</w:t>
            </w:r>
            <w:r w:rsidRPr="004F0EC4">
              <w:rPr>
                <w:rFonts w:hAnsi="Times New Roman" w:cs="Times New Roman"/>
                <w:szCs w:val="20"/>
                <w:rtl/>
              </w:rPr>
              <w:t>⁒</w:t>
            </w:r>
          </w:p>
        </w:tc>
      </w:tr>
      <w:tr w:rsidR="00D55303" w:rsidRPr="004F0EC4" w14:paraId="6BFCB281" w14:textId="77777777" w:rsidTr="00D55303">
        <w:trPr>
          <w:trHeight w:val="240"/>
        </w:trPr>
        <w:tc>
          <w:tcPr>
            <w:tcW w:w="2440" w:type="dxa"/>
            <w:tcMar>
              <w:top w:w="0" w:type="dxa"/>
              <w:left w:w="0" w:type="dxa"/>
              <w:bottom w:w="0" w:type="dxa"/>
              <w:right w:w="0" w:type="dxa"/>
            </w:tcMar>
          </w:tcPr>
          <w:p w14:paraId="405AC108" w14:textId="7664E098" w:rsidR="00D55303" w:rsidRPr="004F0EC4" w:rsidRDefault="00D55303" w:rsidP="00D55303">
            <w:pPr>
              <w:pStyle w:val="SingleTxtG"/>
              <w:tabs>
                <w:tab w:val="clear" w:pos="1701"/>
                <w:tab w:val="clear" w:pos="2268"/>
              </w:tabs>
              <w:suppressAutoHyphens w:val="0"/>
              <w:bidi/>
              <w:spacing w:before="20" w:after="40" w:line="320" w:lineRule="exact"/>
              <w:ind w:left="57" w:right="113"/>
              <w:jc w:val="left"/>
              <w:rPr>
                <w:rFonts w:hAnsi="Times New Roman"/>
                <w:spacing w:val="-4"/>
                <w:sz w:val="18"/>
                <w:szCs w:val="18"/>
                <w:lang w:eastAsia="en-US"/>
              </w:rPr>
            </w:pPr>
            <w:r w:rsidRPr="004F0EC4">
              <w:rPr>
                <w:rFonts w:hAnsi="Times New Roman"/>
                <w:spacing w:val="-4"/>
                <w:sz w:val="18"/>
                <w:szCs w:val="18"/>
                <w:rtl/>
              </w:rPr>
              <w:t>المؤسسات التي لم يصل فيها أي شخص من ذوي الإعاقة إلى مراحل الاختيار النهائية</w:t>
            </w:r>
          </w:p>
        </w:tc>
        <w:tc>
          <w:tcPr>
            <w:tcW w:w="514" w:type="dxa"/>
            <w:tcMar>
              <w:top w:w="0" w:type="dxa"/>
              <w:left w:w="0" w:type="dxa"/>
              <w:bottom w:w="0" w:type="dxa"/>
              <w:right w:w="0" w:type="dxa"/>
            </w:tcMar>
            <w:vAlign w:val="bottom"/>
          </w:tcPr>
          <w:p w14:paraId="74AC362E"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lowKashida"/>
              <w:rPr>
                <w:rFonts w:hAnsi="Times New Roman"/>
                <w:sz w:val="18"/>
                <w:szCs w:val="18"/>
              </w:rPr>
            </w:pPr>
            <w:r w:rsidRPr="004F0EC4">
              <w:rPr>
                <w:rFonts w:hAnsi="Times New Roman"/>
                <w:sz w:val="18"/>
                <w:szCs w:val="18"/>
              </w:rPr>
              <w:t>337</w:t>
            </w:r>
          </w:p>
        </w:tc>
        <w:tc>
          <w:tcPr>
            <w:tcW w:w="620" w:type="dxa"/>
            <w:tcMar>
              <w:top w:w="0" w:type="dxa"/>
              <w:left w:w="0" w:type="dxa"/>
              <w:bottom w:w="0" w:type="dxa"/>
              <w:right w:w="0" w:type="dxa"/>
            </w:tcMar>
            <w:vAlign w:val="bottom"/>
          </w:tcPr>
          <w:p w14:paraId="0DA78098" w14:textId="42ECF76E" w:rsidR="00D55303" w:rsidRPr="004F0EC4" w:rsidRDefault="00D55303" w:rsidP="00D55303">
            <w:pPr>
              <w:pStyle w:val="SingleTxtG"/>
              <w:tabs>
                <w:tab w:val="clear" w:pos="1701"/>
                <w:tab w:val="clear" w:pos="2268"/>
              </w:tabs>
              <w:suppressAutoHyphens w:val="0"/>
              <w:bidi/>
              <w:spacing w:before="20" w:after="40" w:line="320" w:lineRule="exact"/>
              <w:ind w:left="57" w:right="113"/>
              <w:jc w:val="lowKashida"/>
              <w:rPr>
                <w:rFonts w:hAnsi="Times New Roman"/>
                <w:sz w:val="18"/>
                <w:szCs w:val="18"/>
                <w:lang w:eastAsia="en-US"/>
              </w:rPr>
            </w:pPr>
            <w:r w:rsidRPr="004F0EC4">
              <w:rPr>
                <w:rFonts w:hAnsi="Times New Roman"/>
                <w:sz w:val="18"/>
                <w:szCs w:val="18"/>
                <w:lang w:eastAsia="en-US"/>
              </w:rPr>
              <w:t>55</w:t>
            </w:r>
            <w:r w:rsidRPr="004F0EC4">
              <w:rPr>
                <w:rFonts w:ascii="Simplified Arabic" w:hAnsi="Simplified Arabic" w:hint="cs"/>
                <w:sz w:val="18"/>
                <w:szCs w:val="18"/>
                <w:lang w:eastAsia="en-US"/>
              </w:rPr>
              <w:t>,</w:t>
            </w:r>
            <w:r w:rsidRPr="004F0EC4">
              <w:rPr>
                <w:rFonts w:hAnsi="Times New Roman"/>
                <w:sz w:val="18"/>
                <w:szCs w:val="18"/>
                <w:lang w:eastAsia="en-US"/>
              </w:rPr>
              <w:t>7</w:t>
            </w:r>
            <w:r w:rsidRPr="004F0EC4">
              <w:rPr>
                <w:rFonts w:hAnsi="Times New Roman" w:cs="Times New Roman"/>
                <w:szCs w:val="20"/>
                <w:rtl/>
              </w:rPr>
              <w:t>⁒</w:t>
            </w:r>
          </w:p>
        </w:tc>
        <w:tc>
          <w:tcPr>
            <w:tcW w:w="585" w:type="dxa"/>
            <w:tcMar>
              <w:top w:w="0" w:type="dxa"/>
              <w:left w:w="0" w:type="dxa"/>
              <w:bottom w:w="0" w:type="dxa"/>
              <w:right w:w="0" w:type="dxa"/>
            </w:tcMar>
            <w:vAlign w:val="bottom"/>
          </w:tcPr>
          <w:p w14:paraId="6DFD00B0"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lowKashida"/>
              <w:rPr>
                <w:rFonts w:hAnsi="Times New Roman"/>
                <w:sz w:val="18"/>
                <w:szCs w:val="18"/>
              </w:rPr>
            </w:pPr>
            <w:r w:rsidRPr="004F0EC4">
              <w:rPr>
                <w:rFonts w:hAnsi="Times New Roman"/>
                <w:sz w:val="18"/>
                <w:szCs w:val="18"/>
              </w:rPr>
              <w:t>331</w:t>
            </w:r>
          </w:p>
        </w:tc>
        <w:tc>
          <w:tcPr>
            <w:tcW w:w="630" w:type="dxa"/>
            <w:tcMar>
              <w:top w:w="0" w:type="dxa"/>
              <w:left w:w="0" w:type="dxa"/>
              <w:bottom w:w="0" w:type="dxa"/>
              <w:right w:w="0" w:type="dxa"/>
            </w:tcMar>
            <w:vAlign w:val="bottom"/>
          </w:tcPr>
          <w:p w14:paraId="1E1045FE" w14:textId="1BCDFC17" w:rsidR="00D55303" w:rsidRPr="004F0EC4" w:rsidRDefault="00D55303" w:rsidP="00D55303">
            <w:pPr>
              <w:pStyle w:val="SingleTxtG"/>
              <w:tabs>
                <w:tab w:val="clear" w:pos="1701"/>
                <w:tab w:val="clear" w:pos="2268"/>
              </w:tabs>
              <w:suppressAutoHyphens w:val="0"/>
              <w:bidi/>
              <w:spacing w:before="20" w:after="40" w:line="320" w:lineRule="exact"/>
              <w:ind w:left="57" w:right="113"/>
              <w:jc w:val="lowKashida"/>
              <w:rPr>
                <w:rFonts w:hAnsi="Times New Roman"/>
                <w:sz w:val="18"/>
                <w:szCs w:val="18"/>
                <w:lang w:eastAsia="en-US"/>
              </w:rPr>
            </w:pPr>
            <w:r w:rsidRPr="004F0EC4">
              <w:rPr>
                <w:rFonts w:hAnsi="Times New Roman"/>
                <w:sz w:val="18"/>
                <w:szCs w:val="18"/>
                <w:lang w:eastAsia="en-US"/>
              </w:rPr>
              <w:t>54</w:t>
            </w:r>
            <w:r w:rsidRPr="004F0EC4">
              <w:rPr>
                <w:rFonts w:ascii="Simplified Arabic" w:hAnsi="Simplified Arabic" w:hint="cs"/>
                <w:sz w:val="18"/>
                <w:szCs w:val="18"/>
                <w:lang w:eastAsia="en-US"/>
              </w:rPr>
              <w:t>,</w:t>
            </w:r>
            <w:r w:rsidRPr="004F0EC4">
              <w:rPr>
                <w:rFonts w:hAnsi="Times New Roman"/>
                <w:sz w:val="18"/>
                <w:szCs w:val="18"/>
                <w:lang w:eastAsia="en-US"/>
              </w:rPr>
              <w:t>4</w:t>
            </w:r>
            <w:r w:rsidRPr="004F0EC4">
              <w:rPr>
                <w:rFonts w:hAnsi="Times New Roman" w:cs="Times New Roman"/>
                <w:szCs w:val="20"/>
                <w:rtl/>
              </w:rPr>
              <w:t>⁒</w:t>
            </w:r>
          </w:p>
        </w:tc>
        <w:tc>
          <w:tcPr>
            <w:tcW w:w="575" w:type="dxa"/>
            <w:tcMar>
              <w:top w:w="0" w:type="dxa"/>
              <w:left w:w="0" w:type="dxa"/>
              <w:bottom w:w="0" w:type="dxa"/>
              <w:right w:w="0" w:type="dxa"/>
            </w:tcMar>
            <w:vAlign w:val="bottom"/>
          </w:tcPr>
          <w:p w14:paraId="7159E408"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113"/>
              <w:jc w:val="lowKashida"/>
              <w:rPr>
                <w:rFonts w:hAnsi="Times New Roman"/>
                <w:sz w:val="18"/>
                <w:szCs w:val="18"/>
              </w:rPr>
            </w:pPr>
            <w:r w:rsidRPr="004F0EC4">
              <w:rPr>
                <w:rFonts w:hAnsi="Times New Roman"/>
                <w:sz w:val="18"/>
                <w:szCs w:val="18"/>
              </w:rPr>
              <w:t>247</w:t>
            </w:r>
          </w:p>
        </w:tc>
        <w:tc>
          <w:tcPr>
            <w:tcW w:w="1220" w:type="dxa"/>
            <w:gridSpan w:val="2"/>
            <w:tcMar>
              <w:top w:w="0" w:type="dxa"/>
              <w:left w:w="0" w:type="dxa"/>
              <w:bottom w:w="0" w:type="dxa"/>
              <w:right w:w="0" w:type="dxa"/>
            </w:tcMar>
            <w:vAlign w:val="bottom"/>
          </w:tcPr>
          <w:p w14:paraId="208E010B" w14:textId="141739F6" w:rsidR="00D55303" w:rsidRPr="004F0EC4" w:rsidRDefault="00D55303" w:rsidP="00D55303">
            <w:pPr>
              <w:pStyle w:val="SingleTxtG"/>
              <w:tabs>
                <w:tab w:val="clear" w:pos="1701"/>
                <w:tab w:val="clear" w:pos="2268"/>
              </w:tabs>
              <w:suppressAutoHyphens w:val="0"/>
              <w:bidi/>
              <w:spacing w:before="20" w:after="40" w:line="320" w:lineRule="exact"/>
              <w:ind w:left="57" w:right="113"/>
              <w:jc w:val="lowKashida"/>
              <w:rPr>
                <w:rFonts w:hAnsi="Times New Roman"/>
                <w:sz w:val="18"/>
                <w:szCs w:val="18"/>
                <w:lang w:eastAsia="en-US"/>
              </w:rPr>
            </w:pPr>
            <w:r w:rsidRPr="004F0EC4">
              <w:rPr>
                <w:rFonts w:hAnsi="Times New Roman"/>
                <w:sz w:val="18"/>
                <w:szCs w:val="18"/>
                <w:lang w:eastAsia="en-US"/>
              </w:rPr>
              <w:t>88</w:t>
            </w:r>
            <w:r w:rsidRPr="004F0EC4">
              <w:rPr>
                <w:rFonts w:ascii="Simplified Arabic" w:hAnsi="Simplified Arabic" w:hint="cs"/>
                <w:sz w:val="18"/>
                <w:szCs w:val="18"/>
                <w:lang w:eastAsia="en-US"/>
              </w:rPr>
              <w:t>,</w:t>
            </w:r>
            <w:r w:rsidRPr="004F0EC4">
              <w:rPr>
                <w:rFonts w:hAnsi="Times New Roman"/>
                <w:sz w:val="18"/>
                <w:szCs w:val="18"/>
                <w:lang w:eastAsia="en-US"/>
              </w:rPr>
              <w:t>5</w:t>
            </w:r>
            <w:r w:rsidRPr="004F0EC4">
              <w:rPr>
                <w:rFonts w:hAnsi="Times New Roman" w:cs="Times New Roman"/>
                <w:szCs w:val="20"/>
                <w:rtl/>
              </w:rPr>
              <w:t>⁒</w:t>
            </w:r>
            <w:r w:rsidRPr="004F0EC4">
              <w:rPr>
                <w:rFonts w:hAnsi="Times New Roman"/>
                <w:sz w:val="18"/>
                <w:szCs w:val="18"/>
                <w:lang w:eastAsia="en-US"/>
              </w:rPr>
              <w:t>*</w:t>
            </w:r>
          </w:p>
        </w:tc>
        <w:tc>
          <w:tcPr>
            <w:tcW w:w="584" w:type="dxa"/>
            <w:tcMar>
              <w:top w:w="0" w:type="dxa"/>
              <w:left w:w="0" w:type="dxa"/>
              <w:bottom w:w="0" w:type="dxa"/>
              <w:right w:w="0" w:type="dxa"/>
            </w:tcMar>
            <w:vAlign w:val="bottom"/>
          </w:tcPr>
          <w:p w14:paraId="02CAB979" w14:textId="77777777" w:rsidR="00D55303" w:rsidRPr="004F0EC4" w:rsidRDefault="00D55303" w:rsidP="00D55303">
            <w:pPr>
              <w:pStyle w:val="SingleTxtG"/>
              <w:tabs>
                <w:tab w:val="clear" w:pos="1701"/>
                <w:tab w:val="clear" w:pos="2268"/>
              </w:tabs>
              <w:suppressAutoHyphens w:val="0"/>
              <w:bidi/>
              <w:spacing w:before="20" w:after="40" w:line="320" w:lineRule="exact"/>
              <w:ind w:left="57" w:right="0"/>
              <w:jc w:val="lowKashida"/>
              <w:rPr>
                <w:rFonts w:hAnsi="Times New Roman"/>
                <w:sz w:val="18"/>
                <w:szCs w:val="18"/>
              </w:rPr>
            </w:pPr>
            <w:r w:rsidRPr="004F0EC4">
              <w:rPr>
                <w:rFonts w:hAnsi="Times New Roman"/>
                <w:sz w:val="18"/>
                <w:szCs w:val="18"/>
              </w:rPr>
              <w:t>326</w:t>
            </w:r>
          </w:p>
        </w:tc>
        <w:tc>
          <w:tcPr>
            <w:tcW w:w="603" w:type="dxa"/>
            <w:tcMar>
              <w:top w:w="0" w:type="dxa"/>
              <w:left w:w="0" w:type="dxa"/>
              <w:bottom w:w="0" w:type="dxa"/>
              <w:right w:w="0" w:type="dxa"/>
            </w:tcMar>
            <w:vAlign w:val="bottom"/>
          </w:tcPr>
          <w:p w14:paraId="363A0C75" w14:textId="546179D7" w:rsidR="00D55303" w:rsidRPr="004F0EC4" w:rsidRDefault="00D55303" w:rsidP="00D55303">
            <w:pPr>
              <w:pStyle w:val="SingleTxtG"/>
              <w:tabs>
                <w:tab w:val="clear" w:pos="1701"/>
                <w:tab w:val="clear" w:pos="2268"/>
              </w:tabs>
              <w:suppressAutoHyphens w:val="0"/>
              <w:bidi/>
              <w:spacing w:before="20" w:after="40" w:line="320" w:lineRule="exact"/>
              <w:ind w:left="57" w:right="0"/>
              <w:jc w:val="lowKashida"/>
              <w:rPr>
                <w:rFonts w:hAnsi="Times New Roman"/>
                <w:sz w:val="18"/>
                <w:szCs w:val="18"/>
                <w:lang w:eastAsia="en-US"/>
              </w:rPr>
            </w:pPr>
            <w:r w:rsidRPr="004F0EC4">
              <w:rPr>
                <w:rFonts w:hAnsi="Times New Roman"/>
                <w:sz w:val="18"/>
                <w:szCs w:val="18"/>
                <w:lang w:eastAsia="en-US"/>
              </w:rPr>
              <w:t>84</w:t>
            </w:r>
            <w:r w:rsidRPr="004F0EC4">
              <w:rPr>
                <w:rFonts w:hAnsi="Times New Roman" w:cs="Times New Roman"/>
                <w:szCs w:val="20"/>
                <w:rtl/>
              </w:rPr>
              <w:t>⁒</w:t>
            </w:r>
          </w:p>
        </w:tc>
      </w:tr>
    </w:tbl>
    <w:p w14:paraId="1BD8CE69" w14:textId="30BE5D30" w:rsidR="00E54512" w:rsidRPr="004F0EC4" w:rsidRDefault="00E54512" w:rsidP="00D55303">
      <w:pPr>
        <w:pStyle w:val="SingleTxtGA"/>
        <w:spacing w:before="120" w:after="60" w:line="300" w:lineRule="exact"/>
        <w:rPr>
          <w:sz w:val="20"/>
          <w:szCs w:val="20"/>
        </w:rPr>
      </w:pPr>
      <w:r w:rsidRPr="004F0EC4">
        <w:rPr>
          <w:i/>
          <w:iCs/>
          <w:sz w:val="20"/>
          <w:szCs w:val="20"/>
          <w:rtl/>
        </w:rPr>
        <w:t>المصدر:</w:t>
      </w:r>
      <w:r w:rsidRPr="004F0EC4">
        <w:rPr>
          <w:sz w:val="20"/>
          <w:szCs w:val="20"/>
          <w:rtl/>
        </w:rPr>
        <w:tab/>
        <w:t>دائرة الخدمة المدنية والدائرة الوطنية لشؤون الأشخاص ذوي الإعاقة.</w:t>
      </w:r>
    </w:p>
    <w:p w14:paraId="67735940" w14:textId="1282ED3C" w:rsidR="00E54512" w:rsidRPr="004F0EC4" w:rsidRDefault="00E54512" w:rsidP="00D55303">
      <w:pPr>
        <w:pStyle w:val="SingleTxtGA"/>
        <w:spacing w:after="60" w:line="300" w:lineRule="exact"/>
        <w:rPr>
          <w:i/>
          <w:sz w:val="20"/>
          <w:szCs w:val="20"/>
        </w:rPr>
      </w:pPr>
      <w:r w:rsidRPr="004F0EC4">
        <w:rPr>
          <w:i/>
          <w:sz w:val="20"/>
          <w:szCs w:val="20"/>
          <w:rtl/>
        </w:rPr>
        <w:t>*</w:t>
      </w:r>
      <w:r w:rsidRPr="004F0EC4">
        <w:rPr>
          <w:i/>
          <w:sz w:val="20"/>
          <w:szCs w:val="20"/>
          <w:rtl/>
        </w:rPr>
        <w:tab/>
        <w:t>تقدير يستند إلى العدد الإجمالي للمؤسسات التي أجرت عمليات اختيار.</w:t>
      </w:r>
    </w:p>
    <w:p w14:paraId="4F33D48D" w14:textId="77777777" w:rsidR="00E54512" w:rsidRPr="004F0EC4" w:rsidRDefault="00E54512" w:rsidP="00E54512">
      <w:pPr>
        <w:pStyle w:val="H23GA"/>
        <w:rPr>
          <w:lang w:val="en-US"/>
        </w:rPr>
      </w:pPr>
      <w:r w:rsidRPr="004F0EC4">
        <w:rPr>
          <w:rtl/>
          <w:lang w:val="en-US"/>
        </w:rPr>
        <w:lastRenderedPageBreak/>
        <w:tab/>
      </w:r>
      <w:r w:rsidRPr="004F0EC4">
        <w:rPr>
          <w:rtl/>
          <w:lang w:val="en-US"/>
        </w:rPr>
        <w:tab/>
        <w:t xml:space="preserve">امتثال القطاع العام لحصة 1 في </w:t>
      </w:r>
      <w:proofErr w:type="gramStart"/>
      <w:r w:rsidRPr="004F0EC4">
        <w:rPr>
          <w:rtl/>
          <w:lang w:val="en-US"/>
        </w:rPr>
        <w:t>المائة</w:t>
      </w:r>
      <w:proofErr w:type="gramEnd"/>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720"/>
        <w:gridCol w:w="546"/>
        <w:gridCol w:w="588"/>
        <w:gridCol w:w="588"/>
        <w:gridCol w:w="602"/>
        <w:gridCol w:w="588"/>
        <w:gridCol w:w="644"/>
        <w:gridCol w:w="574"/>
        <w:gridCol w:w="520"/>
      </w:tblGrid>
      <w:tr w:rsidR="00E54512" w:rsidRPr="004F0EC4" w14:paraId="746D6807" w14:textId="77777777" w:rsidTr="00D55303">
        <w:trPr>
          <w:trHeight w:val="240"/>
          <w:tblHeader/>
        </w:trPr>
        <w:tc>
          <w:tcPr>
            <w:tcW w:w="2720" w:type="dxa"/>
            <w:tcBorders>
              <w:top w:val="single" w:sz="4" w:space="0" w:color="auto"/>
              <w:bottom w:val="single" w:sz="12" w:space="0" w:color="auto"/>
            </w:tcBorders>
            <w:tcMar>
              <w:top w:w="0" w:type="dxa"/>
              <w:left w:w="0" w:type="dxa"/>
              <w:bottom w:w="0" w:type="dxa"/>
              <w:right w:w="0" w:type="dxa"/>
            </w:tcMar>
            <w:vAlign w:val="bottom"/>
          </w:tcPr>
          <w:p w14:paraId="67CDA114"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i/>
                <w:sz w:val="18"/>
                <w:szCs w:val="18"/>
                <w:lang w:eastAsia="zh-TW"/>
              </w:rPr>
            </w:pPr>
            <w:r w:rsidRPr="004F0EC4">
              <w:rPr>
                <w:rFonts w:hAnsi="Times New Roman"/>
                <w:i/>
                <w:iCs/>
                <w:sz w:val="18"/>
                <w:szCs w:val="18"/>
                <w:rtl/>
              </w:rPr>
              <w:t xml:space="preserve">1 في </w:t>
            </w:r>
            <w:proofErr w:type="gramStart"/>
            <w:r w:rsidRPr="004F0EC4">
              <w:rPr>
                <w:rFonts w:hAnsi="Times New Roman"/>
                <w:i/>
                <w:iCs/>
                <w:sz w:val="18"/>
                <w:szCs w:val="18"/>
                <w:rtl/>
              </w:rPr>
              <w:t>المائة</w:t>
            </w:r>
            <w:proofErr w:type="gramEnd"/>
            <w:r w:rsidRPr="004F0EC4">
              <w:rPr>
                <w:rFonts w:hAnsi="Times New Roman"/>
                <w:i/>
                <w:iCs/>
                <w:sz w:val="18"/>
                <w:szCs w:val="18"/>
                <w:rtl/>
              </w:rPr>
              <w:t>، القطاع العام</w:t>
            </w:r>
            <w:r w:rsidRPr="004F0EC4">
              <w:rPr>
                <w:rFonts w:hAnsi="Times New Roman"/>
                <w:sz w:val="18"/>
                <w:szCs w:val="18"/>
                <w:rtl/>
              </w:rPr>
              <w:t xml:space="preserve"> </w:t>
            </w:r>
          </w:p>
        </w:tc>
        <w:tc>
          <w:tcPr>
            <w:tcW w:w="1134" w:type="dxa"/>
            <w:gridSpan w:val="2"/>
            <w:tcBorders>
              <w:top w:val="single" w:sz="4" w:space="0" w:color="auto"/>
              <w:bottom w:val="single" w:sz="12" w:space="0" w:color="auto"/>
            </w:tcBorders>
            <w:tcMar>
              <w:top w:w="0" w:type="dxa"/>
              <w:left w:w="0" w:type="dxa"/>
              <w:bottom w:w="0" w:type="dxa"/>
              <w:right w:w="0" w:type="dxa"/>
            </w:tcMar>
            <w:vAlign w:val="bottom"/>
          </w:tcPr>
          <w:p w14:paraId="56A96085"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right"/>
              <w:textDirection w:val="tbRlV"/>
              <w:rPr>
                <w:rFonts w:hAnsi="Times New Roman"/>
                <w:i/>
                <w:sz w:val="18"/>
                <w:szCs w:val="18"/>
                <w:lang w:eastAsia="zh-TW"/>
              </w:rPr>
            </w:pPr>
            <w:r w:rsidRPr="004F0EC4">
              <w:rPr>
                <w:rFonts w:hAnsi="Times New Roman"/>
                <w:i/>
                <w:iCs/>
                <w:sz w:val="18"/>
                <w:szCs w:val="18"/>
                <w:rtl/>
              </w:rPr>
              <w:t>2018</w:t>
            </w:r>
          </w:p>
        </w:tc>
        <w:tc>
          <w:tcPr>
            <w:tcW w:w="1190" w:type="dxa"/>
            <w:gridSpan w:val="2"/>
            <w:tcBorders>
              <w:top w:val="single" w:sz="4" w:space="0" w:color="auto"/>
              <w:bottom w:val="single" w:sz="12" w:space="0" w:color="auto"/>
            </w:tcBorders>
            <w:tcMar>
              <w:top w:w="0" w:type="dxa"/>
              <w:left w:w="0" w:type="dxa"/>
              <w:bottom w:w="0" w:type="dxa"/>
              <w:right w:w="0" w:type="dxa"/>
            </w:tcMar>
            <w:vAlign w:val="bottom"/>
          </w:tcPr>
          <w:p w14:paraId="3AE8A981"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right"/>
              <w:textDirection w:val="tbRlV"/>
              <w:rPr>
                <w:rFonts w:hAnsi="Times New Roman"/>
                <w:i/>
                <w:sz w:val="18"/>
                <w:szCs w:val="18"/>
                <w:lang w:eastAsia="zh-TW"/>
              </w:rPr>
            </w:pPr>
            <w:r w:rsidRPr="004F0EC4">
              <w:rPr>
                <w:rFonts w:hAnsi="Times New Roman"/>
                <w:i/>
                <w:iCs/>
                <w:sz w:val="18"/>
                <w:szCs w:val="18"/>
                <w:rtl/>
              </w:rPr>
              <w:t>2019</w:t>
            </w:r>
          </w:p>
        </w:tc>
        <w:tc>
          <w:tcPr>
            <w:tcW w:w="1232" w:type="dxa"/>
            <w:gridSpan w:val="2"/>
            <w:tcBorders>
              <w:top w:val="single" w:sz="4" w:space="0" w:color="auto"/>
              <w:bottom w:val="single" w:sz="12" w:space="0" w:color="auto"/>
            </w:tcBorders>
            <w:tcMar>
              <w:top w:w="0" w:type="dxa"/>
              <w:left w:w="0" w:type="dxa"/>
              <w:bottom w:w="0" w:type="dxa"/>
              <w:right w:w="0" w:type="dxa"/>
            </w:tcMar>
            <w:vAlign w:val="bottom"/>
          </w:tcPr>
          <w:p w14:paraId="0ABB95E1"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right"/>
              <w:textDirection w:val="tbRlV"/>
              <w:rPr>
                <w:rFonts w:hAnsi="Times New Roman" w:hint="cs"/>
                <w:i/>
                <w:sz w:val="18"/>
                <w:szCs w:val="18"/>
                <w:rtl/>
                <w:lang w:eastAsia="zh-TW"/>
              </w:rPr>
            </w:pPr>
            <w:r w:rsidRPr="004F0EC4">
              <w:rPr>
                <w:rFonts w:hAnsi="Times New Roman"/>
                <w:i/>
                <w:iCs/>
                <w:sz w:val="18"/>
                <w:szCs w:val="18"/>
                <w:rtl/>
              </w:rPr>
              <w:t>2020</w:t>
            </w:r>
          </w:p>
        </w:tc>
        <w:tc>
          <w:tcPr>
            <w:tcW w:w="1094" w:type="dxa"/>
            <w:gridSpan w:val="2"/>
            <w:tcBorders>
              <w:top w:val="single" w:sz="4" w:space="0" w:color="auto"/>
              <w:bottom w:val="single" w:sz="12" w:space="0" w:color="auto"/>
            </w:tcBorders>
            <w:tcMar>
              <w:top w:w="0" w:type="dxa"/>
              <w:left w:w="0" w:type="dxa"/>
              <w:bottom w:w="0" w:type="dxa"/>
              <w:right w:w="0" w:type="dxa"/>
            </w:tcMar>
            <w:vAlign w:val="bottom"/>
          </w:tcPr>
          <w:p w14:paraId="59718E50"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0"/>
              <w:jc w:val="right"/>
              <w:textDirection w:val="tbRlV"/>
              <w:rPr>
                <w:rFonts w:hAnsi="Times New Roman"/>
                <w:i/>
                <w:sz w:val="18"/>
                <w:szCs w:val="18"/>
                <w:lang w:eastAsia="zh-TW"/>
              </w:rPr>
            </w:pPr>
            <w:r w:rsidRPr="004F0EC4">
              <w:rPr>
                <w:rFonts w:hAnsi="Times New Roman"/>
                <w:i/>
                <w:iCs/>
                <w:sz w:val="18"/>
                <w:szCs w:val="18"/>
                <w:rtl/>
              </w:rPr>
              <w:t>2021</w:t>
            </w:r>
          </w:p>
        </w:tc>
      </w:tr>
      <w:tr w:rsidR="00E54512" w:rsidRPr="004F0EC4" w14:paraId="615D6822" w14:textId="77777777" w:rsidTr="00D55303">
        <w:trPr>
          <w:trHeight w:hRule="exact" w:val="113"/>
          <w:tblHeader/>
        </w:trPr>
        <w:tc>
          <w:tcPr>
            <w:tcW w:w="2720" w:type="dxa"/>
            <w:tcBorders>
              <w:top w:val="single" w:sz="12" w:space="0" w:color="auto"/>
              <w:bottom w:val="nil"/>
            </w:tcBorders>
            <w:tcMar>
              <w:top w:w="0" w:type="dxa"/>
              <w:left w:w="0" w:type="dxa"/>
              <w:bottom w:w="0" w:type="dxa"/>
              <w:right w:w="0" w:type="dxa"/>
            </w:tcMar>
            <w:vAlign w:val="bottom"/>
          </w:tcPr>
          <w:p w14:paraId="243CD3FF" w14:textId="77777777" w:rsidR="00E54512" w:rsidRPr="004F0EC4" w:rsidRDefault="00E54512" w:rsidP="00C96DE4">
            <w:pPr>
              <w:pStyle w:val="SingleTxtG"/>
              <w:tabs>
                <w:tab w:val="clear" w:pos="1701"/>
                <w:tab w:val="clear" w:pos="2268"/>
              </w:tabs>
              <w:suppressAutoHyphens w:val="0"/>
              <w:spacing w:before="40" w:after="40" w:line="320" w:lineRule="exact"/>
              <w:ind w:left="57" w:right="113"/>
              <w:jc w:val="lowKashida"/>
              <w:rPr>
                <w:rFonts w:hAnsi="Times New Roman"/>
                <w:i/>
                <w:sz w:val="18"/>
                <w:szCs w:val="18"/>
                <w:lang w:eastAsia="en-US"/>
              </w:rPr>
            </w:pPr>
          </w:p>
        </w:tc>
        <w:tc>
          <w:tcPr>
            <w:tcW w:w="1134" w:type="dxa"/>
            <w:gridSpan w:val="2"/>
            <w:tcBorders>
              <w:top w:val="single" w:sz="12" w:space="0" w:color="auto"/>
              <w:bottom w:val="nil"/>
            </w:tcBorders>
            <w:tcMar>
              <w:top w:w="0" w:type="dxa"/>
              <w:left w:w="0" w:type="dxa"/>
              <w:bottom w:w="0" w:type="dxa"/>
              <w:right w:w="0" w:type="dxa"/>
            </w:tcMar>
            <w:vAlign w:val="bottom"/>
          </w:tcPr>
          <w:p w14:paraId="4C9DB66D" w14:textId="77777777" w:rsidR="00E54512" w:rsidRPr="004F0EC4" w:rsidRDefault="00E54512" w:rsidP="00C96DE4">
            <w:pPr>
              <w:pStyle w:val="SingleTxtG"/>
              <w:tabs>
                <w:tab w:val="clear" w:pos="1701"/>
                <w:tab w:val="clear" w:pos="2268"/>
              </w:tabs>
              <w:suppressAutoHyphens w:val="0"/>
              <w:spacing w:before="40" w:after="40" w:line="320" w:lineRule="exact"/>
              <w:ind w:left="57" w:right="113"/>
              <w:jc w:val="lowKashida"/>
              <w:rPr>
                <w:rFonts w:hAnsi="Times New Roman"/>
                <w:i/>
                <w:sz w:val="18"/>
                <w:szCs w:val="18"/>
              </w:rPr>
            </w:pPr>
          </w:p>
        </w:tc>
        <w:tc>
          <w:tcPr>
            <w:tcW w:w="1190" w:type="dxa"/>
            <w:gridSpan w:val="2"/>
            <w:tcBorders>
              <w:top w:val="single" w:sz="12" w:space="0" w:color="auto"/>
              <w:bottom w:val="nil"/>
            </w:tcBorders>
            <w:tcMar>
              <w:top w:w="0" w:type="dxa"/>
              <w:left w:w="0" w:type="dxa"/>
              <w:bottom w:w="0" w:type="dxa"/>
              <w:right w:w="0" w:type="dxa"/>
            </w:tcMar>
            <w:vAlign w:val="bottom"/>
          </w:tcPr>
          <w:p w14:paraId="596C56CD" w14:textId="77777777" w:rsidR="00E54512" w:rsidRPr="004F0EC4" w:rsidRDefault="00E54512" w:rsidP="00C96DE4">
            <w:pPr>
              <w:pStyle w:val="SingleTxtG"/>
              <w:tabs>
                <w:tab w:val="clear" w:pos="1701"/>
                <w:tab w:val="clear" w:pos="2268"/>
              </w:tabs>
              <w:suppressAutoHyphens w:val="0"/>
              <w:spacing w:before="40" w:after="40" w:line="320" w:lineRule="exact"/>
              <w:ind w:left="57" w:right="113"/>
              <w:jc w:val="lowKashida"/>
              <w:rPr>
                <w:rFonts w:hAnsi="Times New Roman"/>
                <w:i/>
                <w:sz w:val="18"/>
                <w:szCs w:val="18"/>
              </w:rPr>
            </w:pPr>
          </w:p>
        </w:tc>
        <w:tc>
          <w:tcPr>
            <w:tcW w:w="1232" w:type="dxa"/>
            <w:gridSpan w:val="2"/>
            <w:tcBorders>
              <w:top w:val="single" w:sz="12" w:space="0" w:color="auto"/>
              <w:bottom w:val="nil"/>
            </w:tcBorders>
            <w:tcMar>
              <w:top w:w="0" w:type="dxa"/>
              <w:left w:w="0" w:type="dxa"/>
              <w:bottom w:w="0" w:type="dxa"/>
              <w:right w:w="0" w:type="dxa"/>
            </w:tcMar>
            <w:vAlign w:val="bottom"/>
          </w:tcPr>
          <w:p w14:paraId="2C4AE332" w14:textId="77777777" w:rsidR="00E54512" w:rsidRPr="004F0EC4" w:rsidRDefault="00E54512" w:rsidP="00C96DE4">
            <w:pPr>
              <w:pStyle w:val="SingleTxtG"/>
              <w:tabs>
                <w:tab w:val="clear" w:pos="1701"/>
                <w:tab w:val="clear" w:pos="2268"/>
              </w:tabs>
              <w:suppressAutoHyphens w:val="0"/>
              <w:spacing w:before="40" w:after="40" w:line="320" w:lineRule="exact"/>
              <w:ind w:left="57" w:right="113"/>
              <w:jc w:val="lowKashida"/>
              <w:rPr>
                <w:rFonts w:hAnsi="Times New Roman"/>
                <w:i/>
                <w:sz w:val="18"/>
                <w:szCs w:val="18"/>
              </w:rPr>
            </w:pPr>
          </w:p>
        </w:tc>
        <w:tc>
          <w:tcPr>
            <w:tcW w:w="1094" w:type="dxa"/>
            <w:gridSpan w:val="2"/>
            <w:tcBorders>
              <w:top w:val="single" w:sz="12" w:space="0" w:color="auto"/>
              <w:bottom w:val="nil"/>
            </w:tcBorders>
            <w:tcMar>
              <w:top w:w="0" w:type="dxa"/>
              <w:left w:w="0" w:type="dxa"/>
              <w:bottom w:w="0" w:type="dxa"/>
              <w:right w:w="0" w:type="dxa"/>
            </w:tcMar>
            <w:vAlign w:val="bottom"/>
          </w:tcPr>
          <w:p w14:paraId="4FFABE25" w14:textId="77777777" w:rsidR="00E54512" w:rsidRPr="004F0EC4" w:rsidRDefault="00E54512" w:rsidP="00C96DE4">
            <w:pPr>
              <w:pStyle w:val="SingleTxtG"/>
              <w:tabs>
                <w:tab w:val="clear" w:pos="1701"/>
                <w:tab w:val="clear" w:pos="2268"/>
              </w:tabs>
              <w:suppressAutoHyphens w:val="0"/>
              <w:spacing w:before="40" w:after="40" w:line="320" w:lineRule="exact"/>
              <w:ind w:left="57" w:right="0"/>
              <w:jc w:val="lowKashida"/>
              <w:rPr>
                <w:rFonts w:hAnsi="Times New Roman"/>
                <w:i/>
                <w:sz w:val="18"/>
                <w:szCs w:val="18"/>
              </w:rPr>
            </w:pPr>
          </w:p>
        </w:tc>
      </w:tr>
      <w:tr w:rsidR="00E54512" w:rsidRPr="004F0EC4" w14:paraId="7FAB332F" w14:textId="77777777" w:rsidTr="00D55303">
        <w:trPr>
          <w:trHeight w:val="240"/>
        </w:trPr>
        <w:tc>
          <w:tcPr>
            <w:tcW w:w="2720" w:type="dxa"/>
            <w:tcBorders>
              <w:top w:val="nil"/>
            </w:tcBorders>
            <w:tcMar>
              <w:top w:w="0" w:type="dxa"/>
              <w:left w:w="0" w:type="dxa"/>
              <w:bottom w:w="0" w:type="dxa"/>
              <w:right w:w="0" w:type="dxa"/>
            </w:tcMar>
          </w:tcPr>
          <w:p w14:paraId="5770C042"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العدد الإجمالي للمؤسسات</w:t>
            </w:r>
          </w:p>
        </w:tc>
        <w:tc>
          <w:tcPr>
            <w:tcW w:w="546" w:type="dxa"/>
            <w:tcBorders>
              <w:top w:val="nil"/>
            </w:tcBorders>
            <w:tcMar>
              <w:top w:w="0" w:type="dxa"/>
              <w:left w:w="0" w:type="dxa"/>
              <w:bottom w:w="0" w:type="dxa"/>
              <w:right w:w="0" w:type="dxa"/>
            </w:tcMar>
            <w:vAlign w:val="bottom"/>
          </w:tcPr>
          <w:p w14:paraId="1B8C9100"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605</w:t>
            </w:r>
          </w:p>
        </w:tc>
        <w:tc>
          <w:tcPr>
            <w:tcW w:w="588" w:type="dxa"/>
            <w:tcBorders>
              <w:top w:val="nil"/>
            </w:tcBorders>
            <w:tcMar>
              <w:top w:w="0" w:type="dxa"/>
              <w:left w:w="0" w:type="dxa"/>
              <w:bottom w:w="0" w:type="dxa"/>
              <w:right w:w="0" w:type="dxa"/>
            </w:tcMar>
            <w:vAlign w:val="bottom"/>
          </w:tcPr>
          <w:p w14:paraId="7AA36B7D" w14:textId="7B88E956"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100</w:t>
            </w:r>
            <w:r w:rsidR="00D55303" w:rsidRPr="004F0EC4">
              <w:rPr>
                <w:rFonts w:hAnsi="Times New Roman" w:cs="Times New Roman" w:hint="cs"/>
                <w:sz w:val="18"/>
                <w:szCs w:val="18"/>
                <w:rtl/>
              </w:rPr>
              <w:t>⁒</w:t>
            </w:r>
          </w:p>
        </w:tc>
        <w:tc>
          <w:tcPr>
            <w:tcW w:w="588" w:type="dxa"/>
            <w:tcBorders>
              <w:top w:val="nil"/>
            </w:tcBorders>
            <w:tcMar>
              <w:top w:w="0" w:type="dxa"/>
              <w:left w:w="0" w:type="dxa"/>
              <w:bottom w:w="0" w:type="dxa"/>
              <w:right w:w="0" w:type="dxa"/>
            </w:tcMar>
            <w:vAlign w:val="bottom"/>
          </w:tcPr>
          <w:p w14:paraId="6A5F86FB"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609</w:t>
            </w:r>
          </w:p>
        </w:tc>
        <w:tc>
          <w:tcPr>
            <w:tcW w:w="602" w:type="dxa"/>
            <w:tcBorders>
              <w:top w:val="nil"/>
            </w:tcBorders>
            <w:tcMar>
              <w:top w:w="0" w:type="dxa"/>
              <w:left w:w="0" w:type="dxa"/>
              <w:bottom w:w="0" w:type="dxa"/>
              <w:right w:w="0" w:type="dxa"/>
            </w:tcMar>
            <w:vAlign w:val="bottom"/>
          </w:tcPr>
          <w:p w14:paraId="6DCA2CAA" w14:textId="33DB1940"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100</w:t>
            </w:r>
            <w:r w:rsidR="00D55303" w:rsidRPr="004F0EC4">
              <w:rPr>
                <w:rFonts w:hAnsi="Times New Roman" w:cs="Times New Roman" w:hint="cs"/>
                <w:sz w:val="18"/>
                <w:szCs w:val="18"/>
                <w:rtl/>
              </w:rPr>
              <w:t>⁒</w:t>
            </w:r>
          </w:p>
        </w:tc>
        <w:tc>
          <w:tcPr>
            <w:tcW w:w="588" w:type="dxa"/>
            <w:tcBorders>
              <w:top w:val="nil"/>
            </w:tcBorders>
            <w:tcMar>
              <w:top w:w="0" w:type="dxa"/>
              <w:left w:w="0" w:type="dxa"/>
              <w:bottom w:w="0" w:type="dxa"/>
              <w:right w:w="0" w:type="dxa"/>
            </w:tcMar>
            <w:vAlign w:val="bottom"/>
          </w:tcPr>
          <w:p w14:paraId="00205BAA"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612</w:t>
            </w:r>
          </w:p>
        </w:tc>
        <w:tc>
          <w:tcPr>
            <w:tcW w:w="644" w:type="dxa"/>
            <w:tcBorders>
              <w:top w:val="nil"/>
            </w:tcBorders>
            <w:tcMar>
              <w:top w:w="0" w:type="dxa"/>
              <w:left w:w="0" w:type="dxa"/>
              <w:bottom w:w="0" w:type="dxa"/>
              <w:right w:w="0" w:type="dxa"/>
            </w:tcMar>
            <w:vAlign w:val="bottom"/>
          </w:tcPr>
          <w:p w14:paraId="74693D6E" w14:textId="63E0EFE6"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100</w:t>
            </w:r>
            <w:r w:rsidR="00D55303" w:rsidRPr="004F0EC4">
              <w:rPr>
                <w:rFonts w:hAnsi="Times New Roman" w:cs="Times New Roman" w:hint="cs"/>
                <w:sz w:val="18"/>
                <w:szCs w:val="18"/>
                <w:rtl/>
              </w:rPr>
              <w:t>⁒</w:t>
            </w:r>
          </w:p>
        </w:tc>
        <w:tc>
          <w:tcPr>
            <w:tcW w:w="574" w:type="dxa"/>
            <w:tcBorders>
              <w:top w:val="nil"/>
            </w:tcBorders>
            <w:tcMar>
              <w:top w:w="0" w:type="dxa"/>
              <w:left w:w="0" w:type="dxa"/>
              <w:bottom w:w="0" w:type="dxa"/>
              <w:right w:w="0" w:type="dxa"/>
            </w:tcMar>
            <w:vAlign w:val="bottom"/>
          </w:tcPr>
          <w:p w14:paraId="04669968"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tl/>
              </w:rPr>
              <w:t>617</w:t>
            </w:r>
          </w:p>
        </w:tc>
        <w:tc>
          <w:tcPr>
            <w:tcW w:w="520" w:type="dxa"/>
            <w:tcBorders>
              <w:top w:val="nil"/>
            </w:tcBorders>
            <w:tcMar>
              <w:top w:w="0" w:type="dxa"/>
              <w:left w:w="0" w:type="dxa"/>
              <w:bottom w:w="0" w:type="dxa"/>
              <w:right w:w="0" w:type="dxa"/>
            </w:tcMar>
            <w:vAlign w:val="bottom"/>
          </w:tcPr>
          <w:p w14:paraId="6F17D09E" w14:textId="53015315"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Pr>
              <w:t>100</w:t>
            </w:r>
            <w:r w:rsidR="00D55303" w:rsidRPr="004F0EC4">
              <w:rPr>
                <w:rFonts w:hAnsi="Times New Roman" w:cs="Times New Roman" w:hint="cs"/>
                <w:sz w:val="18"/>
                <w:szCs w:val="18"/>
                <w:rtl/>
              </w:rPr>
              <w:t>⁒</w:t>
            </w:r>
          </w:p>
        </w:tc>
      </w:tr>
      <w:tr w:rsidR="00E54512" w:rsidRPr="004F0EC4" w14:paraId="41909F26" w14:textId="77777777" w:rsidTr="00D55303">
        <w:trPr>
          <w:trHeight w:val="240"/>
        </w:trPr>
        <w:tc>
          <w:tcPr>
            <w:tcW w:w="2720" w:type="dxa"/>
            <w:tcMar>
              <w:top w:w="0" w:type="dxa"/>
              <w:left w:w="0" w:type="dxa"/>
              <w:bottom w:w="0" w:type="dxa"/>
              <w:right w:w="0" w:type="dxa"/>
            </w:tcMar>
          </w:tcPr>
          <w:p w14:paraId="65D78097"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المؤسسات الممتثلة الخاضعة لنظام الحصص</w:t>
            </w:r>
          </w:p>
        </w:tc>
        <w:tc>
          <w:tcPr>
            <w:tcW w:w="546" w:type="dxa"/>
            <w:tcMar>
              <w:top w:w="0" w:type="dxa"/>
              <w:left w:w="0" w:type="dxa"/>
              <w:bottom w:w="0" w:type="dxa"/>
              <w:right w:w="0" w:type="dxa"/>
            </w:tcMar>
            <w:vAlign w:val="bottom"/>
          </w:tcPr>
          <w:p w14:paraId="176D1E10"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70</w:t>
            </w:r>
          </w:p>
        </w:tc>
        <w:tc>
          <w:tcPr>
            <w:tcW w:w="588" w:type="dxa"/>
            <w:tcMar>
              <w:top w:w="0" w:type="dxa"/>
              <w:left w:w="0" w:type="dxa"/>
              <w:bottom w:w="0" w:type="dxa"/>
              <w:right w:w="0" w:type="dxa"/>
            </w:tcMar>
            <w:vAlign w:val="bottom"/>
          </w:tcPr>
          <w:p w14:paraId="5027134B" w14:textId="618CED1C"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11,6</w:t>
            </w:r>
            <w:r w:rsidR="00D55303" w:rsidRPr="004F0EC4">
              <w:rPr>
                <w:rFonts w:hAnsi="Times New Roman" w:cs="Times New Roman" w:hint="cs"/>
                <w:sz w:val="18"/>
                <w:szCs w:val="18"/>
                <w:rtl/>
              </w:rPr>
              <w:t>⁒</w:t>
            </w:r>
          </w:p>
        </w:tc>
        <w:tc>
          <w:tcPr>
            <w:tcW w:w="588" w:type="dxa"/>
            <w:tcMar>
              <w:top w:w="0" w:type="dxa"/>
              <w:left w:w="0" w:type="dxa"/>
              <w:bottom w:w="0" w:type="dxa"/>
              <w:right w:w="0" w:type="dxa"/>
            </w:tcMar>
            <w:vAlign w:val="bottom"/>
          </w:tcPr>
          <w:p w14:paraId="061C0907"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80</w:t>
            </w:r>
          </w:p>
        </w:tc>
        <w:tc>
          <w:tcPr>
            <w:tcW w:w="602" w:type="dxa"/>
            <w:tcMar>
              <w:top w:w="0" w:type="dxa"/>
              <w:left w:w="0" w:type="dxa"/>
              <w:bottom w:w="0" w:type="dxa"/>
              <w:right w:w="0" w:type="dxa"/>
            </w:tcMar>
            <w:vAlign w:val="bottom"/>
          </w:tcPr>
          <w:p w14:paraId="7C9310C7" w14:textId="72517FF6"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13,1</w:t>
            </w:r>
            <w:r w:rsidR="00D55303" w:rsidRPr="004F0EC4">
              <w:rPr>
                <w:rFonts w:hAnsi="Times New Roman" w:cs="Times New Roman" w:hint="cs"/>
                <w:sz w:val="18"/>
                <w:szCs w:val="18"/>
                <w:rtl/>
              </w:rPr>
              <w:t>⁒</w:t>
            </w:r>
          </w:p>
        </w:tc>
        <w:tc>
          <w:tcPr>
            <w:tcW w:w="588" w:type="dxa"/>
            <w:tcMar>
              <w:top w:w="0" w:type="dxa"/>
              <w:left w:w="0" w:type="dxa"/>
              <w:bottom w:w="0" w:type="dxa"/>
              <w:right w:w="0" w:type="dxa"/>
            </w:tcMar>
            <w:vAlign w:val="bottom"/>
          </w:tcPr>
          <w:p w14:paraId="30F7AE2F"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93</w:t>
            </w:r>
          </w:p>
        </w:tc>
        <w:tc>
          <w:tcPr>
            <w:tcW w:w="644" w:type="dxa"/>
            <w:tcMar>
              <w:top w:w="0" w:type="dxa"/>
              <w:left w:w="0" w:type="dxa"/>
              <w:bottom w:w="0" w:type="dxa"/>
              <w:right w:w="0" w:type="dxa"/>
            </w:tcMar>
            <w:vAlign w:val="bottom"/>
          </w:tcPr>
          <w:p w14:paraId="28E21FB6" w14:textId="0CCE60D4"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15,2</w:t>
            </w:r>
            <w:r w:rsidR="00D55303" w:rsidRPr="004F0EC4">
              <w:rPr>
                <w:rFonts w:hAnsi="Times New Roman" w:cs="Times New Roman" w:hint="cs"/>
                <w:sz w:val="18"/>
                <w:szCs w:val="18"/>
                <w:rtl/>
              </w:rPr>
              <w:t>⁒</w:t>
            </w:r>
          </w:p>
        </w:tc>
        <w:tc>
          <w:tcPr>
            <w:tcW w:w="574" w:type="dxa"/>
            <w:tcMar>
              <w:top w:w="0" w:type="dxa"/>
              <w:left w:w="0" w:type="dxa"/>
              <w:bottom w:w="0" w:type="dxa"/>
              <w:right w:w="0" w:type="dxa"/>
            </w:tcMar>
            <w:vAlign w:val="bottom"/>
          </w:tcPr>
          <w:p w14:paraId="05E74C68"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tl/>
              </w:rPr>
              <w:t>132</w:t>
            </w:r>
          </w:p>
        </w:tc>
        <w:tc>
          <w:tcPr>
            <w:tcW w:w="520" w:type="dxa"/>
            <w:tcMar>
              <w:top w:w="0" w:type="dxa"/>
              <w:left w:w="0" w:type="dxa"/>
              <w:bottom w:w="0" w:type="dxa"/>
              <w:right w:w="0" w:type="dxa"/>
            </w:tcMar>
            <w:vAlign w:val="bottom"/>
          </w:tcPr>
          <w:p w14:paraId="156AE99B" w14:textId="215F3029"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Pr>
              <w:t>21,4</w:t>
            </w:r>
            <w:r w:rsidR="00D55303" w:rsidRPr="004F0EC4">
              <w:rPr>
                <w:rFonts w:hAnsi="Times New Roman" w:cs="Times New Roman" w:hint="cs"/>
                <w:sz w:val="18"/>
                <w:szCs w:val="18"/>
                <w:rtl/>
              </w:rPr>
              <w:t>⁒</w:t>
            </w:r>
          </w:p>
        </w:tc>
      </w:tr>
      <w:tr w:rsidR="00E54512" w:rsidRPr="004F0EC4" w14:paraId="16B4A84B" w14:textId="77777777" w:rsidTr="00D55303">
        <w:trPr>
          <w:trHeight w:val="240"/>
        </w:trPr>
        <w:tc>
          <w:tcPr>
            <w:tcW w:w="2720" w:type="dxa"/>
            <w:tcBorders>
              <w:bottom w:val="nil"/>
            </w:tcBorders>
            <w:tcMar>
              <w:top w:w="0" w:type="dxa"/>
              <w:left w:w="0" w:type="dxa"/>
              <w:bottom w:w="0" w:type="dxa"/>
              <w:right w:w="0" w:type="dxa"/>
            </w:tcMar>
          </w:tcPr>
          <w:p w14:paraId="6436455A"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المؤسسات الممتثلة المعفاة من نظام الحصص</w:t>
            </w:r>
          </w:p>
        </w:tc>
        <w:tc>
          <w:tcPr>
            <w:tcW w:w="546" w:type="dxa"/>
            <w:tcBorders>
              <w:bottom w:val="nil"/>
            </w:tcBorders>
            <w:tcMar>
              <w:top w:w="0" w:type="dxa"/>
              <w:left w:w="0" w:type="dxa"/>
              <w:bottom w:w="0" w:type="dxa"/>
              <w:right w:w="0" w:type="dxa"/>
            </w:tcMar>
            <w:vAlign w:val="bottom"/>
          </w:tcPr>
          <w:p w14:paraId="110F71A7"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30</w:t>
            </w:r>
          </w:p>
        </w:tc>
        <w:tc>
          <w:tcPr>
            <w:tcW w:w="588" w:type="dxa"/>
            <w:tcBorders>
              <w:bottom w:val="nil"/>
            </w:tcBorders>
            <w:tcMar>
              <w:top w:w="0" w:type="dxa"/>
              <w:left w:w="0" w:type="dxa"/>
              <w:bottom w:w="0" w:type="dxa"/>
              <w:right w:w="0" w:type="dxa"/>
            </w:tcMar>
            <w:vAlign w:val="bottom"/>
          </w:tcPr>
          <w:p w14:paraId="1887D2FC" w14:textId="090A80D9"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5</w:t>
            </w:r>
            <w:r w:rsidR="00D55303" w:rsidRPr="004F0EC4">
              <w:rPr>
                <w:rFonts w:hAnsi="Times New Roman" w:cs="Times New Roman" w:hint="cs"/>
                <w:sz w:val="18"/>
                <w:szCs w:val="18"/>
                <w:rtl/>
              </w:rPr>
              <w:t>⁒</w:t>
            </w:r>
          </w:p>
        </w:tc>
        <w:tc>
          <w:tcPr>
            <w:tcW w:w="588" w:type="dxa"/>
            <w:tcBorders>
              <w:bottom w:val="nil"/>
            </w:tcBorders>
            <w:tcMar>
              <w:top w:w="0" w:type="dxa"/>
              <w:left w:w="0" w:type="dxa"/>
              <w:bottom w:w="0" w:type="dxa"/>
              <w:right w:w="0" w:type="dxa"/>
            </w:tcMar>
            <w:vAlign w:val="bottom"/>
          </w:tcPr>
          <w:p w14:paraId="2DB5D3AE"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21</w:t>
            </w:r>
          </w:p>
        </w:tc>
        <w:tc>
          <w:tcPr>
            <w:tcW w:w="602" w:type="dxa"/>
            <w:tcBorders>
              <w:bottom w:val="nil"/>
            </w:tcBorders>
            <w:tcMar>
              <w:top w:w="0" w:type="dxa"/>
              <w:left w:w="0" w:type="dxa"/>
              <w:bottom w:w="0" w:type="dxa"/>
              <w:right w:w="0" w:type="dxa"/>
            </w:tcMar>
            <w:vAlign w:val="bottom"/>
          </w:tcPr>
          <w:p w14:paraId="338694A7" w14:textId="0C188EEA"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3,4</w:t>
            </w:r>
            <w:r w:rsidR="00D55303" w:rsidRPr="004F0EC4">
              <w:rPr>
                <w:rFonts w:hAnsi="Times New Roman" w:cs="Times New Roman" w:hint="cs"/>
                <w:sz w:val="18"/>
                <w:szCs w:val="18"/>
                <w:rtl/>
              </w:rPr>
              <w:t>⁒</w:t>
            </w:r>
          </w:p>
        </w:tc>
        <w:tc>
          <w:tcPr>
            <w:tcW w:w="588" w:type="dxa"/>
            <w:tcBorders>
              <w:bottom w:val="nil"/>
            </w:tcBorders>
            <w:tcMar>
              <w:top w:w="0" w:type="dxa"/>
              <w:left w:w="0" w:type="dxa"/>
              <w:bottom w:w="0" w:type="dxa"/>
              <w:right w:w="0" w:type="dxa"/>
            </w:tcMar>
            <w:vAlign w:val="bottom"/>
          </w:tcPr>
          <w:p w14:paraId="4D01875C"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17</w:t>
            </w:r>
          </w:p>
        </w:tc>
        <w:tc>
          <w:tcPr>
            <w:tcW w:w="644" w:type="dxa"/>
            <w:tcBorders>
              <w:bottom w:val="nil"/>
            </w:tcBorders>
            <w:tcMar>
              <w:top w:w="0" w:type="dxa"/>
              <w:left w:w="0" w:type="dxa"/>
              <w:bottom w:w="0" w:type="dxa"/>
              <w:right w:w="0" w:type="dxa"/>
            </w:tcMar>
            <w:vAlign w:val="bottom"/>
          </w:tcPr>
          <w:p w14:paraId="4EB2B335" w14:textId="277DB864"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2,8</w:t>
            </w:r>
            <w:r w:rsidR="00D55303" w:rsidRPr="004F0EC4">
              <w:rPr>
                <w:rFonts w:hAnsi="Times New Roman" w:cs="Times New Roman" w:hint="cs"/>
                <w:sz w:val="18"/>
                <w:szCs w:val="18"/>
                <w:rtl/>
              </w:rPr>
              <w:t>⁒</w:t>
            </w:r>
          </w:p>
        </w:tc>
        <w:tc>
          <w:tcPr>
            <w:tcW w:w="574" w:type="dxa"/>
            <w:tcBorders>
              <w:bottom w:val="nil"/>
            </w:tcBorders>
            <w:tcMar>
              <w:top w:w="0" w:type="dxa"/>
              <w:left w:w="0" w:type="dxa"/>
              <w:bottom w:w="0" w:type="dxa"/>
              <w:right w:w="0" w:type="dxa"/>
            </w:tcMar>
            <w:vAlign w:val="bottom"/>
          </w:tcPr>
          <w:p w14:paraId="3891C97A"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tl/>
              </w:rPr>
              <w:t>34</w:t>
            </w:r>
          </w:p>
        </w:tc>
        <w:tc>
          <w:tcPr>
            <w:tcW w:w="520" w:type="dxa"/>
            <w:tcBorders>
              <w:bottom w:val="nil"/>
            </w:tcBorders>
            <w:tcMar>
              <w:top w:w="0" w:type="dxa"/>
              <w:left w:w="0" w:type="dxa"/>
              <w:bottom w:w="0" w:type="dxa"/>
              <w:right w:w="0" w:type="dxa"/>
            </w:tcMar>
            <w:vAlign w:val="bottom"/>
          </w:tcPr>
          <w:p w14:paraId="4BEB2343" w14:textId="2B8532B7"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Pr>
              <w:t>5,5</w:t>
            </w:r>
            <w:r w:rsidR="00D55303" w:rsidRPr="004F0EC4">
              <w:rPr>
                <w:rFonts w:hAnsi="Times New Roman" w:cs="Times New Roman" w:hint="cs"/>
                <w:sz w:val="18"/>
                <w:szCs w:val="18"/>
                <w:rtl/>
              </w:rPr>
              <w:t>⁒</w:t>
            </w:r>
          </w:p>
        </w:tc>
      </w:tr>
      <w:tr w:rsidR="00E54512" w:rsidRPr="004F0EC4" w14:paraId="6D6D72C7" w14:textId="77777777" w:rsidTr="00D55303">
        <w:trPr>
          <w:trHeight w:val="240"/>
        </w:trPr>
        <w:tc>
          <w:tcPr>
            <w:tcW w:w="2720" w:type="dxa"/>
            <w:tcBorders>
              <w:top w:val="nil"/>
              <w:bottom w:val="nil"/>
            </w:tcBorders>
            <w:tcMar>
              <w:top w:w="0" w:type="dxa"/>
              <w:left w:w="0" w:type="dxa"/>
              <w:bottom w:w="0" w:type="dxa"/>
              <w:right w:w="0" w:type="dxa"/>
            </w:tcMar>
          </w:tcPr>
          <w:p w14:paraId="2BA90EC1"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المؤسسات غير الممتثلة المعفاة من نظام الحصص</w:t>
            </w:r>
          </w:p>
        </w:tc>
        <w:tc>
          <w:tcPr>
            <w:tcW w:w="546" w:type="dxa"/>
            <w:tcBorders>
              <w:top w:val="nil"/>
              <w:bottom w:val="nil"/>
            </w:tcBorders>
            <w:tcMar>
              <w:top w:w="0" w:type="dxa"/>
              <w:left w:w="0" w:type="dxa"/>
              <w:bottom w:w="0" w:type="dxa"/>
              <w:right w:w="0" w:type="dxa"/>
            </w:tcMar>
            <w:vAlign w:val="bottom"/>
          </w:tcPr>
          <w:p w14:paraId="0FA7BCDC"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57</w:t>
            </w:r>
          </w:p>
        </w:tc>
        <w:tc>
          <w:tcPr>
            <w:tcW w:w="588" w:type="dxa"/>
            <w:tcBorders>
              <w:top w:val="nil"/>
              <w:bottom w:val="nil"/>
            </w:tcBorders>
            <w:tcMar>
              <w:top w:w="0" w:type="dxa"/>
              <w:left w:w="0" w:type="dxa"/>
              <w:bottom w:w="0" w:type="dxa"/>
              <w:right w:w="0" w:type="dxa"/>
            </w:tcMar>
            <w:vAlign w:val="bottom"/>
          </w:tcPr>
          <w:p w14:paraId="310506FC" w14:textId="40CB2069"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9,4</w:t>
            </w:r>
            <w:r w:rsidR="00D55303" w:rsidRPr="004F0EC4">
              <w:rPr>
                <w:rFonts w:hAnsi="Times New Roman" w:cs="Times New Roman" w:hint="cs"/>
                <w:sz w:val="18"/>
                <w:szCs w:val="18"/>
                <w:rtl/>
              </w:rPr>
              <w:t>⁒</w:t>
            </w:r>
          </w:p>
        </w:tc>
        <w:tc>
          <w:tcPr>
            <w:tcW w:w="588" w:type="dxa"/>
            <w:tcBorders>
              <w:top w:val="nil"/>
              <w:bottom w:val="nil"/>
            </w:tcBorders>
            <w:tcMar>
              <w:top w:w="0" w:type="dxa"/>
              <w:left w:w="0" w:type="dxa"/>
              <w:bottom w:w="0" w:type="dxa"/>
              <w:right w:w="0" w:type="dxa"/>
            </w:tcMar>
            <w:vAlign w:val="bottom"/>
          </w:tcPr>
          <w:p w14:paraId="28E9BAD4"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53</w:t>
            </w:r>
          </w:p>
        </w:tc>
        <w:tc>
          <w:tcPr>
            <w:tcW w:w="602" w:type="dxa"/>
            <w:tcBorders>
              <w:top w:val="nil"/>
              <w:bottom w:val="nil"/>
            </w:tcBorders>
            <w:tcMar>
              <w:top w:w="0" w:type="dxa"/>
              <w:left w:w="0" w:type="dxa"/>
              <w:bottom w:w="0" w:type="dxa"/>
              <w:right w:w="0" w:type="dxa"/>
            </w:tcMar>
            <w:vAlign w:val="bottom"/>
          </w:tcPr>
          <w:p w14:paraId="29B12338" w14:textId="6B0DBC5A"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8,7</w:t>
            </w:r>
            <w:r w:rsidR="00D55303" w:rsidRPr="004F0EC4">
              <w:rPr>
                <w:rFonts w:hAnsi="Times New Roman" w:cs="Times New Roman" w:hint="cs"/>
                <w:sz w:val="18"/>
                <w:szCs w:val="18"/>
                <w:rtl/>
              </w:rPr>
              <w:t>⁒</w:t>
            </w:r>
          </w:p>
        </w:tc>
        <w:tc>
          <w:tcPr>
            <w:tcW w:w="588" w:type="dxa"/>
            <w:tcBorders>
              <w:top w:val="nil"/>
              <w:bottom w:val="nil"/>
            </w:tcBorders>
            <w:tcMar>
              <w:top w:w="0" w:type="dxa"/>
              <w:left w:w="0" w:type="dxa"/>
              <w:bottom w:w="0" w:type="dxa"/>
              <w:right w:w="0" w:type="dxa"/>
            </w:tcMar>
            <w:vAlign w:val="bottom"/>
          </w:tcPr>
          <w:p w14:paraId="0BA0EAC5"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49</w:t>
            </w:r>
          </w:p>
        </w:tc>
        <w:tc>
          <w:tcPr>
            <w:tcW w:w="644" w:type="dxa"/>
            <w:tcBorders>
              <w:top w:val="nil"/>
              <w:bottom w:val="nil"/>
            </w:tcBorders>
            <w:tcMar>
              <w:top w:w="0" w:type="dxa"/>
              <w:left w:w="0" w:type="dxa"/>
              <w:bottom w:w="0" w:type="dxa"/>
              <w:right w:w="0" w:type="dxa"/>
            </w:tcMar>
            <w:vAlign w:val="bottom"/>
          </w:tcPr>
          <w:p w14:paraId="375B4FB9" w14:textId="54F0D226"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8</w:t>
            </w:r>
            <w:r w:rsidR="00D55303" w:rsidRPr="004F0EC4">
              <w:rPr>
                <w:rFonts w:hAnsi="Times New Roman" w:cs="Times New Roman" w:hint="cs"/>
                <w:sz w:val="18"/>
                <w:szCs w:val="18"/>
                <w:rtl/>
              </w:rPr>
              <w:t>⁒</w:t>
            </w:r>
          </w:p>
        </w:tc>
        <w:tc>
          <w:tcPr>
            <w:tcW w:w="574" w:type="dxa"/>
            <w:tcBorders>
              <w:top w:val="nil"/>
              <w:bottom w:val="nil"/>
            </w:tcBorders>
            <w:tcMar>
              <w:top w:w="0" w:type="dxa"/>
              <w:left w:w="0" w:type="dxa"/>
              <w:bottom w:w="0" w:type="dxa"/>
              <w:right w:w="0" w:type="dxa"/>
            </w:tcMar>
            <w:vAlign w:val="bottom"/>
          </w:tcPr>
          <w:p w14:paraId="450E42F9"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tl/>
              </w:rPr>
              <w:t>71</w:t>
            </w:r>
          </w:p>
        </w:tc>
        <w:tc>
          <w:tcPr>
            <w:tcW w:w="520" w:type="dxa"/>
            <w:tcBorders>
              <w:top w:val="nil"/>
              <w:bottom w:val="nil"/>
            </w:tcBorders>
            <w:tcMar>
              <w:top w:w="0" w:type="dxa"/>
              <w:left w:w="0" w:type="dxa"/>
              <w:bottom w:w="0" w:type="dxa"/>
              <w:right w:w="0" w:type="dxa"/>
            </w:tcMar>
            <w:vAlign w:val="bottom"/>
          </w:tcPr>
          <w:p w14:paraId="4F2C3155" w14:textId="5E40AE7B"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Pr>
              <w:t>11,5</w:t>
            </w:r>
            <w:r w:rsidR="00D55303" w:rsidRPr="004F0EC4">
              <w:rPr>
                <w:rFonts w:hAnsi="Times New Roman" w:cs="Times New Roman" w:hint="cs"/>
                <w:sz w:val="18"/>
                <w:szCs w:val="18"/>
                <w:rtl/>
              </w:rPr>
              <w:t>⁒</w:t>
            </w:r>
          </w:p>
        </w:tc>
      </w:tr>
      <w:tr w:rsidR="00E54512" w:rsidRPr="004F0EC4" w14:paraId="3116A157" w14:textId="77777777" w:rsidTr="00D55303">
        <w:trPr>
          <w:trHeight w:val="240"/>
        </w:trPr>
        <w:tc>
          <w:tcPr>
            <w:tcW w:w="2720" w:type="dxa"/>
            <w:tcBorders>
              <w:top w:val="nil"/>
            </w:tcBorders>
            <w:tcMar>
              <w:top w:w="0" w:type="dxa"/>
              <w:left w:w="0" w:type="dxa"/>
              <w:bottom w:w="0" w:type="dxa"/>
              <w:right w:w="0" w:type="dxa"/>
            </w:tcMar>
          </w:tcPr>
          <w:p w14:paraId="1AD92186"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المؤسسات غير الممتثلة الخاضعة لنظام الحصص</w:t>
            </w:r>
          </w:p>
        </w:tc>
        <w:tc>
          <w:tcPr>
            <w:tcW w:w="546" w:type="dxa"/>
            <w:tcBorders>
              <w:top w:val="nil"/>
            </w:tcBorders>
            <w:tcMar>
              <w:top w:w="0" w:type="dxa"/>
              <w:left w:w="0" w:type="dxa"/>
              <w:bottom w:w="0" w:type="dxa"/>
              <w:right w:w="0" w:type="dxa"/>
            </w:tcMar>
            <w:vAlign w:val="bottom"/>
          </w:tcPr>
          <w:p w14:paraId="16E7D472"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184</w:t>
            </w:r>
          </w:p>
        </w:tc>
        <w:tc>
          <w:tcPr>
            <w:tcW w:w="588" w:type="dxa"/>
            <w:tcBorders>
              <w:top w:val="nil"/>
            </w:tcBorders>
            <w:tcMar>
              <w:top w:w="0" w:type="dxa"/>
              <w:left w:w="0" w:type="dxa"/>
              <w:bottom w:w="0" w:type="dxa"/>
              <w:right w:w="0" w:type="dxa"/>
            </w:tcMar>
            <w:vAlign w:val="bottom"/>
          </w:tcPr>
          <w:p w14:paraId="56CDC6D2" w14:textId="2D304F12"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30,4</w:t>
            </w:r>
            <w:r w:rsidR="00D55303" w:rsidRPr="004F0EC4">
              <w:rPr>
                <w:rFonts w:hAnsi="Times New Roman" w:cs="Times New Roman" w:hint="cs"/>
                <w:sz w:val="18"/>
                <w:szCs w:val="18"/>
                <w:rtl/>
              </w:rPr>
              <w:t>⁒</w:t>
            </w:r>
          </w:p>
        </w:tc>
        <w:tc>
          <w:tcPr>
            <w:tcW w:w="588" w:type="dxa"/>
            <w:tcBorders>
              <w:top w:val="nil"/>
            </w:tcBorders>
            <w:tcMar>
              <w:top w:w="0" w:type="dxa"/>
              <w:left w:w="0" w:type="dxa"/>
              <w:bottom w:w="0" w:type="dxa"/>
              <w:right w:w="0" w:type="dxa"/>
            </w:tcMar>
            <w:vAlign w:val="bottom"/>
          </w:tcPr>
          <w:p w14:paraId="2F5142FA"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180</w:t>
            </w:r>
          </w:p>
        </w:tc>
        <w:tc>
          <w:tcPr>
            <w:tcW w:w="602" w:type="dxa"/>
            <w:tcBorders>
              <w:top w:val="nil"/>
            </w:tcBorders>
            <w:tcMar>
              <w:top w:w="0" w:type="dxa"/>
              <w:left w:w="0" w:type="dxa"/>
              <w:bottom w:w="0" w:type="dxa"/>
              <w:right w:w="0" w:type="dxa"/>
            </w:tcMar>
            <w:vAlign w:val="bottom"/>
          </w:tcPr>
          <w:p w14:paraId="5B833EBF" w14:textId="5074AFD4"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29,6</w:t>
            </w:r>
            <w:r w:rsidR="00D55303" w:rsidRPr="004F0EC4">
              <w:rPr>
                <w:rFonts w:hAnsi="Times New Roman" w:cs="Times New Roman" w:hint="cs"/>
                <w:sz w:val="18"/>
                <w:szCs w:val="18"/>
                <w:rtl/>
              </w:rPr>
              <w:t>⁒</w:t>
            </w:r>
          </w:p>
        </w:tc>
        <w:tc>
          <w:tcPr>
            <w:tcW w:w="588" w:type="dxa"/>
            <w:tcBorders>
              <w:top w:val="nil"/>
            </w:tcBorders>
            <w:tcMar>
              <w:top w:w="0" w:type="dxa"/>
              <w:left w:w="0" w:type="dxa"/>
              <w:bottom w:w="0" w:type="dxa"/>
              <w:right w:w="0" w:type="dxa"/>
            </w:tcMar>
            <w:vAlign w:val="bottom"/>
          </w:tcPr>
          <w:p w14:paraId="550AFBA1"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206</w:t>
            </w:r>
          </w:p>
        </w:tc>
        <w:tc>
          <w:tcPr>
            <w:tcW w:w="644" w:type="dxa"/>
            <w:tcBorders>
              <w:top w:val="nil"/>
            </w:tcBorders>
            <w:tcMar>
              <w:top w:w="0" w:type="dxa"/>
              <w:left w:w="0" w:type="dxa"/>
              <w:bottom w:w="0" w:type="dxa"/>
              <w:right w:w="0" w:type="dxa"/>
            </w:tcMar>
            <w:vAlign w:val="bottom"/>
          </w:tcPr>
          <w:p w14:paraId="21642BF4" w14:textId="7E425239"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33,7</w:t>
            </w:r>
            <w:r w:rsidR="00D55303" w:rsidRPr="004F0EC4">
              <w:rPr>
                <w:rFonts w:hAnsi="Times New Roman" w:cs="Times New Roman" w:hint="cs"/>
                <w:sz w:val="18"/>
                <w:szCs w:val="18"/>
                <w:rtl/>
              </w:rPr>
              <w:t>⁒</w:t>
            </w:r>
          </w:p>
        </w:tc>
        <w:tc>
          <w:tcPr>
            <w:tcW w:w="574" w:type="dxa"/>
            <w:tcBorders>
              <w:top w:val="nil"/>
            </w:tcBorders>
            <w:tcMar>
              <w:top w:w="0" w:type="dxa"/>
              <w:left w:w="0" w:type="dxa"/>
              <w:bottom w:w="0" w:type="dxa"/>
              <w:right w:w="0" w:type="dxa"/>
            </w:tcMar>
            <w:vAlign w:val="bottom"/>
          </w:tcPr>
          <w:p w14:paraId="1AF6E8AA"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tl/>
              </w:rPr>
              <w:t>258</w:t>
            </w:r>
          </w:p>
        </w:tc>
        <w:tc>
          <w:tcPr>
            <w:tcW w:w="520" w:type="dxa"/>
            <w:tcBorders>
              <w:top w:val="nil"/>
            </w:tcBorders>
            <w:tcMar>
              <w:top w:w="0" w:type="dxa"/>
              <w:left w:w="0" w:type="dxa"/>
              <w:bottom w:w="0" w:type="dxa"/>
              <w:right w:w="0" w:type="dxa"/>
            </w:tcMar>
            <w:vAlign w:val="bottom"/>
          </w:tcPr>
          <w:p w14:paraId="0D487E01" w14:textId="6B7CFBFE"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Pr>
              <w:t>41,8</w:t>
            </w:r>
            <w:r w:rsidR="00D55303" w:rsidRPr="004F0EC4">
              <w:rPr>
                <w:rFonts w:hAnsi="Times New Roman" w:cs="Times New Roman" w:hint="cs"/>
                <w:sz w:val="18"/>
                <w:szCs w:val="18"/>
                <w:rtl/>
              </w:rPr>
              <w:t>⁒</w:t>
            </w:r>
          </w:p>
        </w:tc>
      </w:tr>
      <w:tr w:rsidR="00E54512" w:rsidRPr="004F0EC4" w14:paraId="214EE325" w14:textId="77777777" w:rsidTr="00D55303">
        <w:trPr>
          <w:trHeight w:val="240"/>
        </w:trPr>
        <w:tc>
          <w:tcPr>
            <w:tcW w:w="2720" w:type="dxa"/>
            <w:tcMar>
              <w:top w:w="0" w:type="dxa"/>
              <w:left w:w="0" w:type="dxa"/>
              <w:bottom w:w="0" w:type="dxa"/>
              <w:right w:w="0" w:type="dxa"/>
            </w:tcMar>
          </w:tcPr>
          <w:p w14:paraId="4C384A31"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المؤسسات التي لم تقدم تقريراً كاملاً</w:t>
            </w:r>
          </w:p>
        </w:tc>
        <w:tc>
          <w:tcPr>
            <w:tcW w:w="546" w:type="dxa"/>
            <w:tcMar>
              <w:top w:w="0" w:type="dxa"/>
              <w:left w:w="0" w:type="dxa"/>
              <w:bottom w:w="0" w:type="dxa"/>
              <w:right w:w="0" w:type="dxa"/>
            </w:tcMar>
            <w:vAlign w:val="bottom"/>
          </w:tcPr>
          <w:p w14:paraId="26830D7F"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49</w:t>
            </w:r>
          </w:p>
        </w:tc>
        <w:tc>
          <w:tcPr>
            <w:tcW w:w="588" w:type="dxa"/>
            <w:tcMar>
              <w:top w:w="0" w:type="dxa"/>
              <w:left w:w="0" w:type="dxa"/>
              <w:bottom w:w="0" w:type="dxa"/>
              <w:right w:w="0" w:type="dxa"/>
            </w:tcMar>
            <w:vAlign w:val="bottom"/>
          </w:tcPr>
          <w:p w14:paraId="0CA996DC" w14:textId="7DB5FCEF"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8,1</w:t>
            </w:r>
            <w:r w:rsidR="00D55303" w:rsidRPr="004F0EC4">
              <w:rPr>
                <w:rFonts w:hAnsi="Times New Roman" w:cs="Times New Roman" w:hint="cs"/>
                <w:sz w:val="18"/>
                <w:szCs w:val="18"/>
                <w:rtl/>
              </w:rPr>
              <w:t>⁒</w:t>
            </w:r>
          </w:p>
        </w:tc>
        <w:tc>
          <w:tcPr>
            <w:tcW w:w="588" w:type="dxa"/>
            <w:tcMar>
              <w:top w:w="0" w:type="dxa"/>
              <w:left w:w="0" w:type="dxa"/>
              <w:bottom w:w="0" w:type="dxa"/>
              <w:right w:w="0" w:type="dxa"/>
            </w:tcMar>
            <w:vAlign w:val="bottom"/>
          </w:tcPr>
          <w:p w14:paraId="610D219A"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56</w:t>
            </w:r>
          </w:p>
        </w:tc>
        <w:tc>
          <w:tcPr>
            <w:tcW w:w="602" w:type="dxa"/>
            <w:tcMar>
              <w:top w:w="0" w:type="dxa"/>
              <w:left w:w="0" w:type="dxa"/>
              <w:bottom w:w="0" w:type="dxa"/>
              <w:right w:w="0" w:type="dxa"/>
            </w:tcMar>
            <w:vAlign w:val="bottom"/>
          </w:tcPr>
          <w:p w14:paraId="4FCF0D2D" w14:textId="4AFE670D"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9,2</w:t>
            </w:r>
            <w:r w:rsidR="00D55303" w:rsidRPr="004F0EC4">
              <w:rPr>
                <w:rFonts w:hAnsi="Times New Roman" w:cs="Times New Roman" w:hint="cs"/>
                <w:sz w:val="18"/>
                <w:szCs w:val="18"/>
                <w:rtl/>
              </w:rPr>
              <w:t>⁒</w:t>
            </w:r>
          </w:p>
        </w:tc>
        <w:tc>
          <w:tcPr>
            <w:tcW w:w="588" w:type="dxa"/>
            <w:tcMar>
              <w:top w:w="0" w:type="dxa"/>
              <w:left w:w="0" w:type="dxa"/>
              <w:bottom w:w="0" w:type="dxa"/>
              <w:right w:w="0" w:type="dxa"/>
            </w:tcMar>
            <w:vAlign w:val="bottom"/>
          </w:tcPr>
          <w:p w14:paraId="55395754"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2</w:t>
            </w:r>
          </w:p>
        </w:tc>
        <w:tc>
          <w:tcPr>
            <w:tcW w:w="644" w:type="dxa"/>
            <w:tcMar>
              <w:top w:w="0" w:type="dxa"/>
              <w:left w:w="0" w:type="dxa"/>
              <w:bottom w:w="0" w:type="dxa"/>
              <w:right w:w="0" w:type="dxa"/>
            </w:tcMar>
            <w:vAlign w:val="bottom"/>
          </w:tcPr>
          <w:p w14:paraId="13D82582" w14:textId="2CAE96D8"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0,3</w:t>
            </w:r>
            <w:r w:rsidR="00D55303" w:rsidRPr="004F0EC4">
              <w:rPr>
                <w:rFonts w:hAnsi="Times New Roman" w:cs="Times New Roman" w:hint="cs"/>
                <w:sz w:val="18"/>
                <w:szCs w:val="18"/>
                <w:rtl/>
              </w:rPr>
              <w:t>⁒</w:t>
            </w:r>
          </w:p>
        </w:tc>
        <w:tc>
          <w:tcPr>
            <w:tcW w:w="574" w:type="dxa"/>
            <w:tcMar>
              <w:top w:w="0" w:type="dxa"/>
              <w:left w:w="0" w:type="dxa"/>
              <w:bottom w:w="0" w:type="dxa"/>
              <w:right w:w="0" w:type="dxa"/>
            </w:tcMar>
            <w:vAlign w:val="bottom"/>
          </w:tcPr>
          <w:p w14:paraId="6623A698"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tl/>
              </w:rPr>
              <w:t>35</w:t>
            </w:r>
          </w:p>
        </w:tc>
        <w:tc>
          <w:tcPr>
            <w:tcW w:w="520" w:type="dxa"/>
            <w:tcMar>
              <w:top w:w="0" w:type="dxa"/>
              <w:left w:w="0" w:type="dxa"/>
              <w:bottom w:w="0" w:type="dxa"/>
              <w:right w:w="0" w:type="dxa"/>
            </w:tcMar>
            <w:vAlign w:val="bottom"/>
          </w:tcPr>
          <w:p w14:paraId="00BB022B" w14:textId="0FB9DF26"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Pr>
              <w:t>5,7</w:t>
            </w:r>
            <w:r w:rsidR="00D55303" w:rsidRPr="004F0EC4">
              <w:rPr>
                <w:rFonts w:hAnsi="Times New Roman" w:cs="Times New Roman" w:hint="cs"/>
                <w:sz w:val="18"/>
                <w:szCs w:val="18"/>
                <w:rtl/>
              </w:rPr>
              <w:t>⁒</w:t>
            </w:r>
          </w:p>
        </w:tc>
      </w:tr>
      <w:tr w:rsidR="00E54512" w:rsidRPr="004F0EC4" w14:paraId="75D36E28" w14:textId="77777777" w:rsidTr="00D55303">
        <w:trPr>
          <w:trHeight w:val="240"/>
        </w:trPr>
        <w:tc>
          <w:tcPr>
            <w:tcW w:w="2720" w:type="dxa"/>
            <w:tcMar>
              <w:top w:w="0" w:type="dxa"/>
              <w:left w:w="0" w:type="dxa"/>
              <w:bottom w:w="0" w:type="dxa"/>
              <w:right w:w="0" w:type="dxa"/>
            </w:tcMar>
          </w:tcPr>
          <w:p w14:paraId="6A6CCCC5"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pacing w:val="-4"/>
                <w:sz w:val="18"/>
                <w:szCs w:val="18"/>
                <w:lang w:eastAsia="zh-TW"/>
              </w:rPr>
            </w:pPr>
            <w:r w:rsidRPr="004F0EC4">
              <w:rPr>
                <w:rFonts w:hAnsi="Times New Roman"/>
                <w:spacing w:val="-4"/>
                <w:sz w:val="18"/>
                <w:szCs w:val="18"/>
                <w:rtl/>
              </w:rPr>
              <w:t>المؤسسات التي لم تقدم أية معلومات</w:t>
            </w:r>
          </w:p>
        </w:tc>
        <w:tc>
          <w:tcPr>
            <w:tcW w:w="546" w:type="dxa"/>
            <w:tcMar>
              <w:top w:w="0" w:type="dxa"/>
              <w:left w:w="0" w:type="dxa"/>
              <w:bottom w:w="0" w:type="dxa"/>
              <w:right w:w="0" w:type="dxa"/>
            </w:tcMar>
            <w:vAlign w:val="bottom"/>
          </w:tcPr>
          <w:p w14:paraId="6AF88E19"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215</w:t>
            </w:r>
          </w:p>
        </w:tc>
        <w:tc>
          <w:tcPr>
            <w:tcW w:w="588" w:type="dxa"/>
            <w:tcMar>
              <w:top w:w="0" w:type="dxa"/>
              <w:left w:w="0" w:type="dxa"/>
              <w:bottom w:w="0" w:type="dxa"/>
              <w:right w:w="0" w:type="dxa"/>
            </w:tcMar>
            <w:vAlign w:val="bottom"/>
          </w:tcPr>
          <w:p w14:paraId="5C704639" w14:textId="202EFA22"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35,5</w:t>
            </w:r>
            <w:r w:rsidR="00D55303" w:rsidRPr="004F0EC4">
              <w:rPr>
                <w:rFonts w:hAnsi="Times New Roman" w:cs="Times New Roman" w:hint="cs"/>
                <w:sz w:val="18"/>
                <w:szCs w:val="18"/>
                <w:rtl/>
              </w:rPr>
              <w:t>⁒</w:t>
            </w:r>
          </w:p>
        </w:tc>
        <w:tc>
          <w:tcPr>
            <w:tcW w:w="588" w:type="dxa"/>
            <w:tcMar>
              <w:top w:w="0" w:type="dxa"/>
              <w:left w:w="0" w:type="dxa"/>
              <w:bottom w:w="0" w:type="dxa"/>
              <w:right w:w="0" w:type="dxa"/>
            </w:tcMar>
            <w:vAlign w:val="bottom"/>
          </w:tcPr>
          <w:p w14:paraId="5A42DD56"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219</w:t>
            </w:r>
          </w:p>
        </w:tc>
        <w:tc>
          <w:tcPr>
            <w:tcW w:w="602" w:type="dxa"/>
            <w:tcMar>
              <w:top w:w="0" w:type="dxa"/>
              <w:left w:w="0" w:type="dxa"/>
              <w:bottom w:w="0" w:type="dxa"/>
              <w:right w:w="0" w:type="dxa"/>
            </w:tcMar>
            <w:vAlign w:val="bottom"/>
          </w:tcPr>
          <w:p w14:paraId="523203E8" w14:textId="0DD50438"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36</w:t>
            </w:r>
            <w:r w:rsidR="00D55303" w:rsidRPr="004F0EC4">
              <w:rPr>
                <w:rFonts w:hAnsi="Times New Roman" w:cs="Times New Roman" w:hint="cs"/>
                <w:sz w:val="18"/>
                <w:szCs w:val="18"/>
                <w:rtl/>
              </w:rPr>
              <w:t>⁒</w:t>
            </w:r>
          </w:p>
        </w:tc>
        <w:tc>
          <w:tcPr>
            <w:tcW w:w="588" w:type="dxa"/>
            <w:tcMar>
              <w:top w:w="0" w:type="dxa"/>
              <w:left w:w="0" w:type="dxa"/>
              <w:bottom w:w="0" w:type="dxa"/>
              <w:right w:w="0" w:type="dxa"/>
            </w:tcMar>
            <w:vAlign w:val="bottom"/>
          </w:tcPr>
          <w:p w14:paraId="63CCC90D"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245</w:t>
            </w:r>
          </w:p>
        </w:tc>
        <w:tc>
          <w:tcPr>
            <w:tcW w:w="644" w:type="dxa"/>
            <w:tcMar>
              <w:top w:w="0" w:type="dxa"/>
              <w:left w:w="0" w:type="dxa"/>
              <w:bottom w:w="0" w:type="dxa"/>
              <w:right w:w="0" w:type="dxa"/>
            </w:tcMar>
            <w:vAlign w:val="bottom"/>
          </w:tcPr>
          <w:p w14:paraId="4249D588" w14:textId="21E0A61D"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40</w:t>
            </w:r>
            <w:r w:rsidR="00D55303" w:rsidRPr="004F0EC4">
              <w:rPr>
                <w:rFonts w:hAnsi="Times New Roman" w:cs="Times New Roman" w:hint="cs"/>
                <w:sz w:val="18"/>
                <w:szCs w:val="18"/>
                <w:rtl/>
              </w:rPr>
              <w:t>⁒</w:t>
            </w:r>
          </w:p>
        </w:tc>
        <w:tc>
          <w:tcPr>
            <w:tcW w:w="574" w:type="dxa"/>
            <w:tcMar>
              <w:top w:w="0" w:type="dxa"/>
              <w:left w:w="0" w:type="dxa"/>
              <w:bottom w:w="0" w:type="dxa"/>
              <w:right w:w="0" w:type="dxa"/>
            </w:tcMar>
            <w:vAlign w:val="bottom"/>
          </w:tcPr>
          <w:p w14:paraId="2591AC22"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tl/>
              </w:rPr>
              <w:t>87</w:t>
            </w:r>
          </w:p>
        </w:tc>
        <w:tc>
          <w:tcPr>
            <w:tcW w:w="520" w:type="dxa"/>
            <w:tcMar>
              <w:top w:w="0" w:type="dxa"/>
              <w:left w:w="0" w:type="dxa"/>
              <w:bottom w:w="0" w:type="dxa"/>
              <w:right w:w="0" w:type="dxa"/>
            </w:tcMar>
            <w:vAlign w:val="bottom"/>
          </w:tcPr>
          <w:p w14:paraId="60855324" w14:textId="28589C8C"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Pr>
              <w:t>14,1</w:t>
            </w:r>
            <w:r w:rsidR="00D55303" w:rsidRPr="004F0EC4">
              <w:rPr>
                <w:rFonts w:hAnsi="Times New Roman" w:cs="Times New Roman" w:hint="cs"/>
                <w:sz w:val="18"/>
                <w:szCs w:val="18"/>
                <w:rtl/>
              </w:rPr>
              <w:t>⁒</w:t>
            </w:r>
          </w:p>
        </w:tc>
      </w:tr>
    </w:tbl>
    <w:p w14:paraId="1BFEB5B8" w14:textId="3A2CA63F" w:rsidR="00E54512" w:rsidRPr="004F0EC4" w:rsidRDefault="00E54512" w:rsidP="00E54512">
      <w:pPr>
        <w:pStyle w:val="SingleTxtGA"/>
        <w:spacing w:before="120" w:line="280" w:lineRule="exact"/>
        <w:rPr>
          <w:sz w:val="20"/>
          <w:szCs w:val="20"/>
        </w:rPr>
      </w:pPr>
      <w:r w:rsidRPr="004F0EC4">
        <w:rPr>
          <w:i/>
          <w:iCs/>
          <w:sz w:val="20"/>
          <w:szCs w:val="20"/>
          <w:rtl/>
        </w:rPr>
        <w:t>المصدر:</w:t>
      </w:r>
      <w:r w:rsidRPr="004F0EC4">
        <w:rPr>
          <w:sz w:val="20"/>
          <w:szCs w:val="20"/>
          <w:rtl/>
        </w:rPr>
        <w:tab/>
        <w:t>دائرة الخدمة المدنية والدائرة الوطنية لشؤون الأشخاص ذوي الإعاقة.</w:t>
      </w:r>
    </w:p>
    <w:p w14:paraId="158E15EF" w14:textId="77777777" w:rsidR="00E54512" w:rsidRPr="004F0EC4" w:rsidRDefault="00E54512" w:rsidP="00E54512">
      <w:pPr>
        <w:pStyle w:val="H23GA"/>
        <w:rPr>
          <w:lang w:val="en-US"/>
        </w:rPr>
      </w:pPr>
      <w:r w:rsidRPr="004F0EC4">
        <w:rPr>
          <w:rtl/>
          <w:lang w:val="en-US"/>
        </w:rPr>
        <w:tab/>
      </w:r>
      <w:r w:rsidRPr="004F0EC4">
        <w:rPr>
          <w:rtl/>
          <w:lang w:val="en-US"/>
        </w:rPr>
        <w:tab/>
        <w:t>الأشخاص ذوو الإعاقة المعيّنون، القطاع العام</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3952"/>
        <w:gridCol w:w="1470"/>
        <w:gridCol w:w="670"/>
        <w:gridCol w:w="709"/>
        <w:gridCol w:w="569"/>
      </w:tblGrid>
      <w:tr w:rsidR="00E54512" w:rsidRPr="004F0EC4" w14:paraId="130A76EC" w14:textId="77777777" w:rsidTr="00D55303">
        <w:trPr>
          <w:trHeight w:val="240"/>
          <w:tblHeader/>
        </w:trPr>
        <w:tc>
          <w:tcPr>
            <w:tcW w:w="3952" w:type="dxa"/>
            <w:tcBorders>
              <w:top w:val="single" w:sz="4" w:space="0" w:color="auto"/>
              <w:bottom w:val="single" w:sz="12" w:space="0" w:color="auto"/>
            </w:tcBorders>
            <w:tcMar>
              <w:top w:w="0" w:type="dxa"/>
              <w:left w:w="0" w:type="dxa"/>
              <w:bottom w:w="0" w:type="dxa"/>
              <w:right w:w="0" w:type="dxa"/>
            </w:tcMar>
            <w:vAlign w:val="bottom"/>
          </w:tcPr>
          <w:p w14:paraId="113D43DA"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i/>
                <w:sz w:val="18"/>
                <w:szCs w:val="18"/>
                <w:lang w:eastAsia="zh-TW"/>
              </w:rPr>
            </w:pPr>
            <w:r w:rsidRPr="004F0EC4">
              <w:rPr>
                <w:rFonts w:hAnsi="Times New Roman"/>
                <w:i/>
                <w:iCs/>
                <w:sz w:val="18"/>
                <w:szCs w:val="18"/>
                <w:rtl/>
              </w:rPr>
              <w:t>الأشخاص ذوو الإعاقة المعيّنون</w:t>
            </w:r>
          </w:p>
        </w:tc>
        <w:tc>
          <w:tcPr>
            <w:tcW w:w="1470" w:type="dxa"/>
            <w:tcBorders>
              <w:top w:val="single" w:sz="4" w:space="0" w:color="auto"/>
              <w:bottom w:val="single" w:sz="12" w:space="0" w:color="auto"/>
            </w:tcBorders>
            <w:tcMar>
              <w:top w:w="0" w:type="dxa"/>
              <w:left w:w="0" w:type="dxa"/>
              <w:bottom w:w="0" w:type="dxa"/>
              <w:right w:w="0" w:type="dxa"/>
            </w:tcMar>
            <w:vAlign w:val="bottom"/>
          </w:tcPr>
          <w:p w14:paraId="7660B36C"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i/>
                <w:sz w:val="18"/>
                <w:szCs w:val="18"/>
                <w:lang w:eastAsia="zh-TW"/>
              </w:rPr>
            </w:pPr>
            <w:r w:rsidRPr="004F0EC4">
              <w:rPr>
                <w:rFonts w:hAnsi="Times New Roman"/>
                <w:i/>
                <w:iCs/>
                <w:sz w:val="18"/>
                <w:szCs w:val="18"/>
                <w:rtl/>
              </w:rPr>
              <w:t>2018 (نيسان/أبريل – كانون الأول/ديسمبر)</w:t>
            </w:r>
          </w:p>
        </w:tc>
        <w:tc>
          <w:tcPr>
            <w:tcW w:w="670" w:type="dxa"/>
            <w:tcBorders>
              <w:top w:val="single" w:sz="4" w:space="0" w:color="auto"/>
              <w:bottom w:val="single" w:sz="12" w:space="0" w:color="auto"/>
            </w:tcBorders>
            <w:tcMar>
              <w:top w:w="0" w:type="dxa"/>
              <w:left w:w="0" w:type="dxa"/>
              <w:bottom w:w="0" w:type="dxa"/>
              <w:right w:w="0" w:type="dxa"/>
            </w:tcMar>
            <w:vAlign w:val="bottom"/>
          </w:tcPr>
          <w:p w14:paraId="76D01D08"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i/>
                <w:sz w:val="18"/>
                <w:szCs w:val="18"/>
                <w:lang w:eastAsia="zh-TW"/>
              </w:rPr>
            </w:pPr>
            <w:r w:rsidRPr="004F0EC4">
              <w:rPr>
                <w:rFonts w:hAnsi="Times New Roman"/>
                <w:i/>
                <w:iCs/>
                <w:sz w:val="18"/>
                <w:szCs w:val="18"/>
                <w:rtl/>
              </w:rPr>
              <w:t>2019</w:t>
            </w:r>
          </w:p>
        </w:tc>
        <w:tc>
          <w:tcPr>
            <w:tcW w:w="709" w:type="dxa"/>
            <w:tcBorders>
              <w:top w:val="single" w:sz="4" w:space="0" w:color="auto"/>
              <w:bottom w:val="single" w:sz="12" w:space="0" w:color="auto"/>
            </w:tcBorders>
            <w:tcMar>
              <w:top w:w="0" w:type="dxa"/>
              <w:left w:w="0" w:type="dxa"/>
              <w:bottom w:w="0" w:type="dxa"/>
              <w:right w:w="0" w:type="dxa"/>
            </w:tcMar>
            <w:vAlign w:val="bottom"/>
          </w:tcPr>
          <w:p w14:paraId="28F6C434"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i/>
                <w:sz w:val="18"/>
                <w:szCs w:val="18"/>
                <w:lang w:eastAsia="zh-TW"/>
              </w:rPr>
            </w:pPr>
            <w:r w:rsidRPr="004F0EC4">
              <w:rPr>
                <w:rFonts w:hAnsi="Times New Roman"/>
                <w:i/>
                <w:iCs/>
                <w:sz w:val="18"/>
                <w:szCs w:val="18"/>
                <w:rtl/>
              </w:rPr>
              <w:t>2020</w:t>
            </w:r>
          </w:p>
        </w:tc>
        <w:tc>
          <w:tcPr>
            <w:tcW w:w="569" w:type="dxa"/>
            <w:tcBorders>
              <w:top w:val="single" w:sz="4" w:space="0" w:color="auto"/>
              <w:bottom w:val="single" w:sz="12" w:space="0" w:color="auto"/>
            </w:tcBorders>
            <w:tcMar>
              <w:top w:w="0" w:type="dxa"/>
              <w:left w:w="0" w:type="dxa"/>
              <w:bottom w:w="0" w:type="dxa"/>
              <w:right w:w="0" w:type="dxa"/>
            </w:tcMar>
            <w:vAlign w:val="bottom"/>
          </w:tcPr>
          <w:p w14:paraId="1DD1C1F4"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i/>
                <w:sz w:val="18"/>
                <w:szCs w:val="18"/>
                <w:lang w:eastAsia="zh-TW"/>
              </w:rPr>
            </w:pPr>
            <w:r w:rsidRPr="004F0EC4">
              <w:rPr>
                <w:rFonts w:hAnsi="Times New Roman"/>
                <w:i/>
                <w:iCs/>
                <w:sz w:val="18"/>
                <w:szCs w:val="18"/>
                <w:rtl/>
              </w:rPr>
              <w:t>2021</w:t>
            </w:r>
          </w:p>
        </w:tc>
      </w:tr>
      <w:tr w:rsidR="00E54512" w:rsidRPr="004F0EC4" w14:paraId="3BEB511F" w14:textId="77777777" w:rsidTr="00D55303">
        <w:trPr>
          <w:trHeight w:val="240"/>
        </w:trPr>
        <w:tc>
          <w:tcPr>
            <w:tcW w:w="3952" w:type="dxa"/>
            <w:tcBorders>
              <w:top w:val="single" w:sz="12" w:space="0" w:color="auto"/>
            </w:tcBorders>
            <w:tcMar>
              <w:top w:w="0" w:type="dxa"/>
              <w:left w:w="0" w:type="dxa"/>
              <w:bottom w:w="0" w:type="dxa"/>
              <w:right w:w="0" w:type="dxa"/>
            </w:tcMar>
          </w:tcPr>
          <w:p w14:paraId="138107F1"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pacing w:val="-6"/>
                <w:sz w:val="18"/>
                <w:szCs w:val="18"/>
                <w:lang w:eastAsia="zh-TW"/>
              </w:rPr>
            </w:pPr>
            <w:r w:rsidRPr="004F0EC4">
              <w:rPr>
                <w:rFonts w:hAnsi="Times New Roman"/>
                <w:spacing w:val="-6"/>
                <w:sz w:val="18"/>
                <w:szCs w:val="18"/>
                <w:rtl/>
              </w:rPr>
              <w:t xml:space="preserve">عدد الموظفين من ذوي الإعاقة أو من المستفيدين من إعانات الإعاقة </w:t>
            </w:r>
          </w:p>
        </w:tc>
        <w:tc>
          <w:tcPr>
            <w:tcW w:w="1470" w:type="dxa"/>
            <w:tcBorders>
              <w:top w:val="single" w:sz="12" w:space="0" w:color="auto"/>
            </w:tcBorders>
            <w:tcMar>
              <w:top w:w="0" w:type="dxa"/>
              <w:left w:w="0" w:type="dxa"/>
              <w:bottom w:w="0" w:type="dxa"/>
              <w:right w:w="0" w:type="dxa"/>
            </w:tcMar>
            <w:vAlign w:val="bottom"/>
          </w:tcPr>
          <w:p w14:paraId="581A519C"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311 1</w:t>
            </w:r>
          </w:p>
        </w:tc>
        <w:tc>
          <w:tcPr>
            <w:tcW w:w="670" w:type="dxa"/>
            <w:tcBorders>
              <w:top w:val="single" w:sz="12" w:space="0" w:color="auto"/>
            </w:tcBorders>
            <w:tcMar>
              <w:top w:w="0" w:type="dxa"/>
              <w:left w:w="0" w:type="dxa"/>
              <w:bottom w:w="0" w:type="dxa"/>
              <w:right w:w="0" w:type="dxa"/>
            </w:tcMar>
            <w:vAlign w:val="bottom"/>
          </w:tcPr>
          <w:p w14:paraId="04B9BC32"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262 1</w:t>
            </w:r>
          </w:p>
        </w:tc>
        <w:tc>
          <w:tcPr>
            <w:tcW w:w="709" w:type="dxa"/>
            <w:tcBorders>
              <w:top w:val="single" w:sz="12" w:space="0" w:color="auto"/>
            </w:tcBorders>
            <w:tcMar>
              <w:top w:w="0" w:type="dxa"/>
              <w:left w:w="0" w:type="dxa"/>
              <w:bottom w:w="0" w:type="dxa"/>
              <w:right w:w="0" w:type="dxa"/>
            </w:tcMar>
            <w:vAlign w:val="bottom"/>
          </w:tcPr>
          <w:p w14:paraId="64757A91"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426 1</w:t>
            </w:r>
          </w:p>
        </w:tc>
        <w:tc>
          <w:tcPr>
            <w:tcW w:w="569" w:type="dxa"/>
            <w:tcBorders>
              <w:top w:val="single" w:sz="12" w:space="0" w:color="auto"/>
            </w:tcBorders>
            <w:tcMar>
              <w:top w:w="0" w:type="dxa"/>
              <w:left w:w="0" w:type="dxa"/>
              <w:bottom w:w="0" w:type="dxa"/>
              <w:right w:w="0" w:type="dxa"/>
            </w:tcMar>
            <w:vAlign w:val="bottom"/>
          </w:tcPr>
          <w:p w14:paraId="09EBF38E"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tl/>
              </w:rPr>
              <w:t>916 1</w:t>
            </w:r>
          </w:p>
        </w:tc>
      </w:tr>
      <w:tr w:rsidR="00E54512" w:rsidRPr="004F0EC4" w14:paraId="61145ADA" w14:textId="77777777" w:rsidTr="00D55303">
        <w:trPr>
          <w:trHeight w:val="240"/>
        </w:trPr>
        <w:tc>
          <w:tcPr>
            <w:tcW w:w="3952" w:type="dxa"/>
            <w:tcMar>
              <w:top w:w="0" w:type="dxa"/>
              <w:left w:w="0" w:type="dxa"/>
              <w:bottom w:w="0" w:type="dxa"/>
              <w:right w:w="0" w:type="dxa"/>
            </w:tcMar>
          </w:tcPr>
          <w:p w14:paraId="4D93F77D"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عدد المؤسسات العامة التي تضم أشخاصاً من ذوي الإعاقة ضمن موظفيها</w:t>
            </w:r>
          </w:p>
        </w:tc>
        <w:tc>
          <w:tcPr>
            <w:tcW w:w="1470" w:type="dxa"/>
            <w:tcMar>
              <w:top w:w="0" w:type="dxa"/>
              <w:left w:w="0" w:type="dxa"/>
              <w:bottom w:w="0" w:type="dxa"/>
              <w:right w:w="0" w:type="dxa"/>
            </w:tcMar>
            <w:vAlign w:val="bottom"/>
          </w:tcPr>
          <w:p w14:paraId="408A5F76"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228</w:t>
            </w:r>
          </w:p>
        </w:tc>
        <w:tc>
          <w:tcPr>
            <w:tcW w:w="670" w:type="dxa"/>
            <w:tcMar>
              <w:top w:w="0" w:type="dxa"/>
              <w:left w:w="0" w:type="dxa"/>
              <w:bottom w:w="0" w:type="dxa"/>
              <w:right w:w="0" w:type="dxa"/>
            </w:tcMar>
            <w:vAlign w:val="bottom"/>
          </w:tcPr>
          <w:p w14:paraId="177CFEAC"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241</w:t>
            </w:r>
          </w:p>
        </w:tc>
        <w:tc>
          <w:tcPr>
            <w:tcW w:w="709" w:type="dxa"/>
            <w:tcMar>
              <w:top w:w="0" w:type="dxa"/>
              <w:left w:w="0" w:type="dxa"/>
              <w:bottom w:w="0" w:type="dxa"/>
              <w:right w:w="0" w:type="dxa"/>
            </w:tcMar>
            <w:vAlign w:val="bottom"/>
          </w:tcPr>
          <w:p w14:paraId="3142C6EE"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259</w:t>
            </w:r>
          </w:p>
        </w:tc>
        <w:tc>
          <w:tcPr>
            <w:tcW w:w="569" w:type="dxa"/>
            <w:tcMar>
              <w:top w:w="0" w:type="dxa"/>
              <w:left w:w="0" w:type="dxa"/>
              <w:bottom w:w="0" w:type="dxa"/>
              <w:right w:w="0" w:type="dxa"/>
            </w:tcMar>
            <w:vAlign w:val="bottom"/>
          </w:tcPr>
          <w:p w14:paraId="69D66602"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tl/>
              </w:rPr>
              <w:t>317</w:t>
            </w:r>
          </w:p>
        </w:tc>
      </w:tr>
      <w:tr w:rsidR="00E54512" w:rsidRPr="004F0EC4" w14:paraId="1B428956" w14:textId="77777777" w:rsidTr="00D55303">
        <w:trPr>
          <w:trHeight w:val="240"/>
        </w:trPr>
        <w:tc>
          <w:tcPr>
            <w:tcW w:w="3952" w:type="dxa"/>
            <w:tcMar>
              <w:top w:w="0" w:type="dxa"/>
              <w:left w:w="0" w:type="dxa"/>
              <w:bottom w:w="0" w:type="dxa"/>
              <w:right w:w="0" w:type="dxa"/>
            </w:tcMar>
          </w:tcPr>
          <w:p w14:paraId="64EE4E43"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نسبة النساء*</w:t>
            </w:r>
          </w:p>
        </w:tc>
        <w:tc>
          <w:tcPr>
            <w:tcW w:w="1470" w:type="dxa"/>
            <w:tcMar>
              <w:top w:w="0" w:type="dxa"/>
              <w:left w:w="0" w:type="dxa"/>
              <w:bottom w:w="0" w:type="dxa"/>
              <w:right w:w="0" w:type="dxa"/>
            </w:tcMar>
            <w:vAlign w:val="bottom"/>
          </w:tcPr>
          <w:p w14:paraId="253D3DDA"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لا ينطبق</w:t>
            </w:r>
          </w:p>
        </w:tc>
        <w:tc>
          <w:tcPr>
            <w:tcW w:w="670" w:type="dxa"/>
            <w:tcMar>
              <w:top w:w="0" w:type="dxa"/>
              <w:left w:w="0" w:type="dxa"/>
              <w:bottom w:w="0" w:type="dxa"/>
              <w:right w:w="0" w:type="dxa"/>
            </w:tcMar>
            <w:vAlign w:val="bottom"/>
          </w:tcPr>
          <w:p w14:paraId="397AA20C" w14:textId="75A5C75B"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39,5</w:t>
            </w:r>
            <w:r w:rsidR="00D55303" w:rsidRPr="004F0EC4">
              <w:rPr>
                <w:rFonts w:hAnsi="Times New Roman" w:cs="Times New Roman" w:hint="cs"/>
                <w:sz w:val="18"/>
                <w:szCs w:val="18"/>
                <w:rtl/>
              </w:rPr>
              <w:t>⁒</w:t>
            </w:r>
          </w:p>
        </w:tc>
        <w:tc>
          <w:tcPr>
            <w:tcW w:w="709" w:type="dxa"/>
            <w:tcMar>
              <w:top w:w="0" w:type="dxa"/>
              <w:left w:w="0" w:type="dxa"/>
              <w:bottom w:w="0" w:type="dxa"/>
              <w:right w:w="0" w:type="dxa"/>
            </w:tcMar>
            <w:vAlign w:val="bottom"/>
          </w:tcPr>
          <w:p w14:paraId="30A775A3" w14:textId="22C2A0D5"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41,4</w:t>
            </w:r>
            <w:r w:rsidR="00D55303" w:rsidRPr="004F0EC4">
              <w:rPr>
                <w:rFonts w:hAnsi="Times New Roman" w:cs="Times New Roman" w:hint="cs"/>
                <w:sz w:val="18"/>
                <w:szCs w:val="18"/>
                <w:rtl/>
              </w:rPr>
              <w:t>⁒</w:t>
            </w:r>
          </w:p>
        </w:tc>
        <w:tc>
          <w:tcPr>
            <w:tcW w:w="569" w:type="dxa"/>
            <w:tcMar>
              <w:top w:w="0" w:type="dxa"/>
              <w:left w:w="0" w:type="dxa"/>
              <w:bottom w:w="0" w:type="dxa"/>
              <w:right w:w="0" w:type="dxa"/>
            </w:tcMar>
            <w:vAlign w:val="bottom"/>
          </w:tcPr>
          <w:p w14:paraId="2358A870" w14:textId="772DCD8D"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Pr>
              <w:t>46,4</w:t>
            </w:r>
            <w:r w:rsidR="00D55303" w:rsidRPr="004F0EC4">
              <w:rPr>
                <w:rFonts w:hAnsi="Times New Roman" w:cs="Times New Roman" w:hint="cs"/>
                <w:sz w:val="18"/>
                <w:szCs w:val="18"/>
                <w:rtl/>
              </w:rPr>
              <w:t>⁒</w:t>
            </w:r>
          </w:p>
        </w:tc>
      </w:tr>
      <w:tr w:rsidR="00E54512" w:rsidRPr="004F0EC4" w14:paraId="1D6444E6" w14:textId="77777777" w:rsidTr="00D55303">
        <w:trPr>
          <w:trHeight w:val="240"/>
        </w:trPr>
        <w:tc>
          <w:tcPr>
            <w:tcW w:w="3952" w:type="dxa"/>
            <w:tcMar>
              <w:top w:w="0" w:type="dxa"/>
              <w:left w:w="0" w:type="dxa"/>
              <w:bottom w:w="0" w:type="dxa"/>
              <w:right w:w="0" w:type="dxa"/>
            </w:tcMar>
          </w:tcPr>
          <w:p w14:paraId="629B6801"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نسبة الرجال*</w:t>
            </w:r>
          </w:p>
        </w:tc>
        <w:tc>
          <w:tcPr>
            <w:tcW w:w="1470" w:type="dxa"/>
            <w:tcMar>
              <w:top w:w="0" w:type="dxa"/>
              <w:left w:w="0" w:type="dxa"/>
              <w:bottom w:w="0" w:type="dxa"/>
              <w:right w:w="0" w:type="dxa"/>
            </w:tcMar>
            <w:vAlign w:val="bottom"/>
          </w:tcPr>
          <w:p w14:paraId="7EF1DE4D"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لا ينطبق</w:t>
            </w:r>
          </w:p>
        </w:tc>
        <w:tc>
          <w:tcPr>
            <w:tcW w:w="670" w:type="dxa"/>
            <w:tcMar>
              <w:top w:w="0" w:type="dxa"/>
              <w:left w:w="0" w:type="dxa"/>
              <w:bottom w:w="0" w:type="dxa"/>
              <w:right w:w="0" w:type="dxa"/>
            </w:tcMar>
            <w:vAlign w:val="bottom"/>
          </w:tcPr>
          <w:p w14:paraId="1FEA3E6A" w14:textId="5DB81958"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45,9</w:t>
            </w:r>
            <w:r w:rsidR="00D55303" w:rsidRPr="004F0EC4">
              <w:rPr>
                <w:rFonts w:hAnsi="Times New Roman" w:cs="Times New Roman" w:hint="cs"/>
                <w:sz w:val="18"/>
                <w:szCs w:val="18"/>
                <w:rtl/>
              </w:rPr>
              <w:t>⁒</w:t>
            </w:r>
          </w:p>
        </w:tc>
        <w:tc>
          <w:tcPr>
            <w:tcW w:w="709" w:type="dxa"/>
            <w:tcMar>
              <w:top w:w="0" w:type="dxa"/>
              <w:left w:w="0" w:type="dxa"/>
              <w:bottom w:w="0" w:type="dxa"/>
              <w:right w:w="0" w:type="dxa"/>
            </w:tcMar>
            <w:vAlign w:val="bottom"/>
          </w:tcPr>
          <w:p w14:paraId="78692785" w14:textId="78F1D19E"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54,4</w:t>
            </w:r>
            <w:r w:rsidR="00D55303" w:rsidRPr="004F0EC4">
              <w:rPr>
                <w:rFonts w:hAnsi="Times New Roman" w:cs="Times New Roman" w:hint="cs"/>
                <w:sz w:val="18"/>
                <w:szCs w:val="18"/>
                <w:rtl/>
              </w:rPr>
              <w:t>⁒</w:t>
            </w:r>
          </w:p>
        </w:tc>
        <w:tc>
          <w:tcPr>
            <w:tcW w:w="569" w:type="dxa"/>
            <w:tcMar>
              <w:top w:w="0" w:type="dxa"/>
              <w:left w:w="0" w:type="dxa"/>
              <w:bottom w:w="0" w:type="dxa"/>
              <w:right w:w="0" w:type="dxa"/>
            </w:tcMar>
            <w:vAlign w:val="bottom"/>
          </w:tcPr>
          <w:p w14:paraId="751E104D" w14:textId="5343AF3B"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Pr>
              <w:t>50,6</w:t>
            </w:r>
            <w:r w:rsidR="00D55303" w:rsidRPr="004F0EC4">
              <w:rPr>
                <w:rFonts w:hAnsi="Times New Roman" w:cs="Times New Roman" w:hint="cs"/>
                <w:sz w:val="18"/>
                <w:szCs w:val="18"/>
                <w:rtl/>
              </w:rPr>
              <w:t>⁒</w:t>
            </w:r>
          </w:p>
        </w:tc>
      </w:tr>
      <w:tr w:rsidR="00E54512" w:rsidRPr="004F0EC4" w14:paraId="06A67DAF" w14:textId="77777777" w:rsidTr="00D55303">
        <w:trPr>
          <w:trHeight w:val="240"/>
        </w:trPr>
        <w:tc>
          <w:tcPr>
            <w:tcW w:w="3952" w:type="dxa"/>
            <w:tcMar>
              <w:top w:w="0" w:type="dxa"/>
              <w:left w:w="0" w:type="dxa"/>
              <w:bottom w:w="0" w:type="dxa"/>
              <w:right w:w="0" w:type="dxa"/>
            </w:tcMar>
          </w:tcPr>
          <w:p w14:paraId="2AB3E6D3"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نسبة الأنواع الاجتماعية الأخرى*</w:t>
            </w:r>
          </w:p>
        </w:tc>
        <w:tc>
          <w:tcPr>
            <w:tcW w:w="1470" w:type="dxa"/>
            <w:tcMar>
              <w:top w:w="0" w:type="dxa"/>
              <w:left w:w="0" w:type="dxa"/>
              <w:bottom w:w="0" w:type="dxa"/>
              <w:right w:w="0" w:type="dxa"/>
            </w:tcMar>
            <w:vAlign w:val="bottom"/>
          </w:tcPr>
          <w:p w14:paraId="52AAFA21"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لا ينطبق</w:t>
            </w:r>
          </w:p>
        </w:tc>
        <w:tc>
          <w:tcPr>
            <w:tcW w:w="670" w:type="dxa"/>
            <w:tcMar>
              <w:top w:w="0" w:type="dxa"/>
              <w:left w:w="0" w:type="dxa"/>
              <w:bottom w:w="0" w:type="dxa"/>
              <w:right w:w="0" w:type="dxa"/>
            </w:tcMar>
            <w:vAlign w:val="bottom"/>
          </w:tcPr>
          <w:p w14:paraId="044A96CA" w14:textId="77777777" w:rsidR="00E54512" w:rsidRPr="004F0EC4" w:rsidRDefault="00E54512" w:rsidP="00C96DE4">
            <w:pPr>
              <w:pStyle w:val="SingleTxtG"/>
              <w:tabs>
                <w:tab w:val="clear" w:pos="1701"/>
                <w:tab w:val="clear" w:pos="2268"/>
              </w:tabs>
              <w:suppressAutoHyphens w:val="0"/>
              <w:spacing w:before="40" w:after="40" w:line="320" w:lineRule="exact"/>
              <w:ind w:left="57" w:right="113"/>
              <w:jc w:val="lowKashida"/>
              <w:rPr>
                <w:rFonts w:hAnsi="Times New Roman"/>
                <w:sz w:val="18"/>
                <w:szCs w:val="18"/>
                <w:lang w:eastAsia="en-US"/>
              </w:rPr>
            </w:pPr>
            <w:r w:rsidRPr="004F0EC4">
              <w:rPr>
                <w:rFonts w:hAnsi="Times New Roman"/>
                <w:sz w:val="18"/>
                <w:szCs w:val="18"/>
                <w:lang w:eastAsia="en-US"/>
              </w:rPr>
              <w:t>-</w:t>
            </w:r>
          </w:p>
        </w:tc>
        <w:tc>
          <w:tcPr>
            <w:tcW w:w="709" w:type="dxa"/>
            <w:tcMar>
              <w:top w:w="0" w:type="dxa"/>
              <w:left w:w="0" w:type="dxa"/>
              <w:bottom w:w="0" w:type="dxa"/>
              <w:right w:w="0" w:type="dxa"/>
            </w:tcMar>
            <w:vAlign w:val="bottom"/>
          </w:tcPr>
          <w:p w14:paraId="3C876BD8" w14:textId="77777777" w:rsidR="00E54512" w:rsidRPr="004F0EC4" w:rsidRDefault="00E54512" w:rsidP="00C96DE4">
            <w:pPr>
              <w:pStyle w:val="SingleTxtG"/>
              <w:tabs>
                <w:tab w:val="clear" w:pos="1701"/>
                <w:tab w:val="clear" w:pos="2268"/>
              </w:tabs>
              <w:suppressAutoHyphens w:val="0"/>
              <w:spacing w:before="40" w:after="40" w:line="320" w:lineRule="exact"/>
              <w:ind w:left="57" w:right="113"/>
              <w:jc w:val="lowKashida"/>
              <w:rPr>
                <w:rFonts w:hAnsi="Times New Roman"/>
                <w:sz w:val="18"/>
                <w:szCs w:val="18"/>
                <w:lang w:eastAsia="en-US"/>
              </w:rPr>
            </w:pPr>
            <w:r w:rsidRPr="004F0EC4">
              <w:rPr>
                <w:rFonts w:hAnsi="Times New Roman"/>
                <w:sz w:val="18"/>
                <w:szCs w:val="18"/>
                <w:lang w:eastAsia="en-US"/>
              </w:rPr>
              <w:t>-</w:t>
            </w:r>
          </w:p>
        </w:tc>
        <w:tc>
          <w:tcPr>
            <w:tcW w:w="569" w:type="dxa"/>
            <w:tcMar>
              <w:top w:w="0" w:type="dxa"/>
              <w:left w:w="0" w:type="dxa"/>
              <w:bottom w:w="0" w:type="dxa"/>
              <w:right w:w="0" w:type="dxa"/>
            </w:tcMar>
            <w:vAlign w:val="bottom"/>
          </w:tcPr>
          <w:p w14:paraId="32411A9B" w14:textId="11FDD578"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Pr>
              <w:t>0,1</w:t>
            </w:r>
            <w:r w:rsidR="00D55303" w:rsidRPr="004F0EC4">
              <w:rPr>
                <w:rFonts w:hAnsi="Times New Roman" w:cs="Times New Roman" w:hint="cs"/>
                <w:sz w:val="18"/>
                <w:szCs w:val="18"/>
                <w:rtl/>
              </w:rPr>
              <w:t>⁒</w:t>
            </w:r>
          </w:p>
        </w:tc>
      </w:tr>
      <w:tr w:rsidR="00E54512" w:rsidRPr="004F0EC4" w14:paraId="44AFF03F" w14:textId="77777777" w:rsidTr="00D55303">
        <w:trPr>
          <w:trHeight w:val="240"/>
        </w:trPr>
        <w:tc>
          <w:tcPr>
            <w:tcW w:w="3952" w:type="dxa"/>
            <w:tcMar>
              <w:top w:w="0" w:type="dxa"/>
              <w:left w:w="0" w:type="dxa"/>
              <w:bottom w:w="0" w:type="dxa"/>
              <w:right w:w="0" w:type="dxa"/>
            </w:tcMar>
          </w:tcPr>
          <w:p w14:paraId="3C306017"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نسبة النوع الاجتماعي غير المعروف*</w:t>
            </w:r>
          </w:p>
        </w:tc>
        <w:tc>
          <w:tcPr>
            <w:tcW w:w="1470" w:type="dxa"/>
            <w:tcMar>
              <w:top w:w="0" w:type="dxa"/>
              <w:left w:w="0" w:type="dxa"/>
              <w:bottom w:w="0" w:type="dxa"/>
              <w:right w:w="0" w:type="dxa"/>
            </w:tcMar>
            <w:vAlign w:val="bottom"/>
          </w:tcPr>
          <w:p w14:paraId="26E33111"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لا ينطبق</w:t>
            </w:r>
          </w:p>
        </w:tc>
        <w:tc>
          <w:tcPr>
            <w:tcW w:w="670" w:type="dxa"/>
            <w:tcMar>
              <w:top w:w="0" w:type="dxa"/>
              <w:left w:w="0" w:type="dxa"/>
              <w:bottom w:w="0" w:type="dxa"/>
              <w:right w:w="0" w:type="dxa"/>
            </w:tcMar>
            <w:vAlign w:val="bottom"/>
          </w:tcPr>
          <w:p w14:paraId="74DE236D" w14:textId="7620C42C"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14,6</w:t>
            </w:r>
            <w:r w:rsidR="00D55303" w:rsidRPr="004F0EC4">
              <w:rPr>
                <w:rFonts w:hAnsi="Times New Roman" w:cs="Times New Roman" w:hint="cs"/>
                <w:sz w:val="18"/>
                <w:szCs w:val="18"/>
                <w:rtl/>
              </w:rPr>
              <w:t>⁒</w:t>
            </w:r>
          </w:p>
        </w:tc>
        <w:tc>
          <w:tcPr>
            <w:tcW w:w="709" w:type="dxa"/>
            <w:tcMar>
              <w:top w:w="0" w:type="dxa"/>
              <w:left w:w="0" w:type="dxa"/>
              <w:bottom w:w="0" w:type="dxa"/>
              <w:right w:w="0" w:type="dxa"/>
            </w:tcMar>
            <w:vAlign w:val="bottom"/>
          </w:tcPr>
          <w:p w14:paraId="09020D07" w14:textId="0447752C"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4,2</w:t>
            </w:r>
            <w:r w:rsidR="00D55303" w:rsidRPr="004F0EC4">
              <w:rPr>
                <w:rFonts w:hAnsi="Times New Roman" w:cs="Times New Roman" w:hint="cs"/>
                <w:sz w:val="18"/>
                <w:szCs w:val="18"/>
                <w:rtl/>
              </w:rPr>
              <w:t>⁒</w:t>
            </w:r>
          </w:p>
        </w:tc>
        <w:tc>
          <w:tcPr>
            <w:tcW w:w="569" w:type="dxa"/>
            <w:tcMar>
              <w:top w:w="0" w:type="dxa"/>
              <w:left w:w="0" w:type="dxa"/>
              <w:bottom w:w="0" w:type="dxa"/>
              <w:right w:w="0" w:type="dxa"/>
            </w:tcMar>
            <w:vAlign w:val="bottom"/>
          </w:tcPr>
          <w:p w14:paraId="2EBA85E8" w14:textId="3939DFF5"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Pr>
              <w:t>3</w:t>
            </w:r>
            <w:r w:rsidR="00D55303" w:rsidRPr="004F0EC4">
              <w:rPr>
                <w:rFonts w:hAnsi="Times New Roman" w:cs="Times New Roman" w:hint="cs"/>
                <w:sz w:val="18"/>
                <w:szCs w:val="18"/>
                <w:rtl/>
              </w:rPr>
              <w:t>⁒</w:t>
            </w:r>
          </w:p>
        </w:tc>
      </w:tr>
      <w:tr w:rsidR="00E54512" w:rsidRPr="004F0EC4" w14:paraId="789CD496" w14:textId="77777777" w:rsidTr="00D55303">
        <w:trPr>
          <w:trHeight w:val="240"/>
        </w:trPr>
        <w:tc>
          <w:tcPr>
            <w:tcW w:w="3952" w:type="dxa"/>
            <w:tcMar>
              <w:top w:w="0" w:type="dxa"/>
              <w:left w:w="0" w:type="dxa"/>
              <w:bottom w:w="0" w:type="dxa"/>
              <w:right w:w="0" w:type="dxa"/>
            </w:tcMar>
          </w:tcPr>
          <w:p w14:paraId="2CA067FF"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المستوى الإداري</w:t>
            </w:r>
          </w:p>
        </w:tc>
        <w:tc>
          <w:tcPr>
            <w:tcW w:w="1470" w:type="dxa"/>
            <w:tcMar>
              <w:top w:w="0" w:type="dxa"/>
              <w:left w:w="0" w:type="dxa"/>
              <w:bottom w:w="0" w:type="dxa"/>
              <w:right w:w="0" w:type="dxa"/>
            </w:tcMar>
            <w:vAlign w:val="bottom"/>
          </w:tcPr>
          <w:p w14:paraId="20C26393"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لا ينطبق</w:t>
            </w:r>
          </w:p>
        </w:tc>
        <w:tc>
          <w:tcPr>
            <w:tcW w:w="670" w:type="dxa"/>
            <w:tcMar>
              <w:top w:w="0" w:type="dxa"/>
              <w:left w:w="0" w:type="dxa"/>
              <w:bottom w:w="0" w:type="dxa"/>
              <w:right w:w="0" w:type="dxa"/>
            </w:tcMar>
            <w:vAlign w:val="bottom"/>
          </w:tcPr>
          <w:p w14:paraId="5C72D23F" w14:textId="620EA6B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1,7</w:t>
            </w:r>
            <w:r w:rsidR="00D55303" w:rsidRPr="004F0EC4">
              <w:rPr>
                <w:rFonts w:hAnsi="Times New Roman" w:cs="Times New Roman" w:hint="cs"/>
                <w:sz w:val="18"/>
                <w:szCs w:val="18"/>
                <w:rtl/>
              </w:rPr>
              <w:t>⁒</w:t>
            </w:r>
          </w:p>
        </w:tc>
        <w:tc>
          <w:tcPr>
            <w:tcW w:w="709" w:type="dxa"/>
            <w:tcMar>
              <w:top w:w="0" w:type="dxa"/>
              <w:left w:w="0" w:type="dxa"/>
              <w:bottom w:w="0" w:type="dxa"/>
              <w:right w:w="0" w:type="dxa"/>
            </w:tcMar>
            <w:vAlign w:val="bottom"/>
          </w:tcPr>
          <w:p w14:paraId="3BF89E8B" w14:textId="1D2C8871"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1,6</w:t>
            </w:r>
            <w:r w:rsidR="00D55303" w:rsidRPr="004F0EC4">
              <w:rPr>
                <w:rFonts w:hAnsi="Times New Roman" w:cs="Times New Roman" w:hint="cs"/>
                <w:sz w:val="18"/>
                <w:szCs w:val="18"/>
                <w:rtl/>
              </w:rPr>
              <w:t>⁒</w:t>
            </w:r>
          </w:p>
        </w:tc>
        <w:tc>
          <w:tcPr>
            <w:tcW w:w="569" w:type="dxa"/>
            <w:tcMar>
              <w:top w:w="0" w:type="dxa"/>
              <w:left w:w="0" w:type="dxa"/>
              <w:bottom w:w="0" w:type="dxa"/>
              <w:right w:w="0" w:type="dxa"/>
            </w:tcMar>
            <w:vAlign w:val="bottom"/>
          </w:tcPr>
          <w:p w14:paraId="4BE7044D" w14:textId="204BF54C"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Pr>
              <w:t>1,3</w:t>
            </w:r>
            <w:r w:rsidR="00D55303" w:rsidRPr="004F0EC4">
              <w:rPr>
                <w:rFonts w:hAnsi="Times New Roman" w:cs="Times New Roman" w:hint="cs"/>
                <w:sz w:val="18"/>
                <w:szCs w:val="18"/>
                <w:rtl/>
              </w:rPr>
              <w:t>⁒</w:t>
            </w:r>
          </w:p>
        </w:tc>
      </w:tr>
      <w:tr w:rsidR="00E54512" w:rsidRPr="004F0EC4" w14:paraId="1BB1AC4A" w14:textId="77777777" w:rsidTr="00D55303">
        <w:trPr>
          <w:trHeight w:val="240"/>
        </w:trPr>
        <w:tc>
          <w:tcPr>
            <w:tcW w:w="3952" w:type="dxa"/>
            <w:tcMar>
              <w:top w:w="0" w:type="dxa"/>
              <w:left w:w="0" w:type="dxa"/>
              <w:bottom w:w="0" w:type="dxa"/>
              <w:right w:w="0" w:type="dxa"/>
            </w:tcMar>
          </w:tcPr>
          <w:p w14:paraId="33947DCC"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المستوى المهني</w:t>
            </w:r>
          </w:p>
        </w:tc>
        <w:tc>
          <w:tcPr>
            <w:tcW w:w="1470" w:type="dxa"/>
            <w:tcMar>
              <w:top w:w="0" w:type="dxa"/>
              <w:left w:w="0" w:type="dxa"/>
              <w:bottom w:w="0" w:type="dxa"/>
              <w:right w:w="0" w:type="dxa"/>
            </w:tcMar>
            <w:vAlign w:val="bottom"/>
          </w:tcPr>
          <w:p w14:paraId="62AAC5F6"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لا ينطبق</w:t>
            </w:r>
          </w:p>
        </w:tc>
        <w:tc>
          <w:tcPr>
            <w:tcW w:w="670" w:type="dxa"/>
            <w:tcMar>
              <w:top w:w="0" w:type="dxa"/>
              <w:left w:w="0" w:type="dxa"/>
              <w:bottom w:w="0" w:type="dxa"/>
              <w:right w:w="0" w:type="dxa"/>
            </w:tcMar>
            <w:vAlign w:val="bottom"/>
          </w:tcPr>
          <w:p w14:paraId="4C7959D0" w14:textId="426E0244"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23,8</w:t>
            </w:r>
            <w:r w:rsidR="00D55303" w:rsidRPr="004F0EC4">
              <w:rPr>
                <w:rFonts w:hAnsi="Times New Roman" w:cs="Times New Roman" w:hint="cs"/>
                <w:sz w:val="18"/>
                <w:szCs w:val="18"/>
                <w:rtl/>
              </w:rPr>
              <w:t>⁒</w:t>
            </w:r>
          </w:p>
        </w:tc>
        <w:tc>
          <w:tcPr>
            <w:tcW w:w="709" w:type="dxa"/>
            <w:tcMar>
              <w:top w:w="0" w:type="dxa"/>
              <w:left w:w="0" w:type="dxa"/>
              <w:bottom w:w="0" w:type="dxa"/>
              <w:right w:w="0" w:type="dxa"/>
            </w:tcMar>
            <w:vAlign w:val="bottom"/>
          </w:tcPr>
          <w:p w14:paraId="66776C88" w14:textId="3B1DE272"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26,6</w:t>
            </w:r>
            <w:r w:rsidR="00D55303" w:rsidRPr="004F0EC4">
              <w:rPr>
                <w:rFonts w:hAnsi="Times New Roman" w:cs="Times New Roman" w:hint="cs"/>
                <w:sz w:val="18"/>
                <w:szCs w:val="18"/>
                <w:rtl/>
              </w:rPr>
              <w:t>⁒</w:t>
            </w:r>
          </w:p>
        </w:tc>
        <w:tc>
          <w:tcPr>
            <w:tcW w:w="569" w:type="dxa"/>
            <w:tcMar>
              <w:top w:w="0" w:type="dxa"/>
              <w:left w:w="0" w:type="dxa"/>
              <w:bottom w:w="0" w:type="dxa"/>
              <w:right w:w="0" w:type="dxa"/>
            </w:tcMar>
            <w:vAlign w:val="bottom"/>
          </w:tcPr>
          <w:p w14:paraId="0E8B93CC" w14:textId="7DF79D56"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Pr>
              <w:t>26,7</w:t>
            </w:r>
            <w:r w:rsidR="00D55303" w:rsidRPr="004F0EC4">
              <w:rPr>
                <w:rFonts w:hAnsi="Times New Roman" w:cs="Times New Roman" w:hint="cs"/>
                <w:sz w:val="18"/>
                <w:szCs w:val="18"/>
                <w:rtl/>
              </w:rPr>
              <w:t>⁒</w:t>
            </w:r>
          </w:p>
        </w:tc>
      </w:tr>
      <w:tr w:rsidR="00E54512" w:rsidRPr="004F0EC4" w14:paraId="0201C248" w14:textId="77777777" w:rsidTr="00D55303">
        <w:trPr>
          <w:trHeight w:val="240"/>
        </w:trPr>
        <w:tc>
          <w:tcPr>
            <w:tcW w:w="3952" w:type="dxa"/>
            <w:tcMar>
              <w:top w:w="0" w:type="dxa"/>
              <w:left w:w="0" w:type="dxa"/>
              <w:bottom w:w="0" w:type="dxa"/>
              <w:right w:w="0" w:type="dxa"/>
            </w:tcMar>
          </w:tcPr>
          <w:p w14:paraId="0A2B48AF"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المستوى الإداري</w:t>
            </w:r>
          </w:p>
        </w:tc>
        <w:tc>
          <w:tcPr>
            <w:tcW w:w="1470" w:type="dxa"/>
            <w:tcMar>
              <w:top w:w="0" w:type="dxa"/>
              <w:left w:w="0" w:type="dxa"/>
              <w:bottom w:w="0" w:type="dxa"/>
              <w:right w:w="0" w:type="dxa"/>
            </w:tcMar>
            <w:vAlign w:val="bottom"/>
          </w:tcPr>
          <w:p w14:paraId="39902516"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لا ينطبق</w:t>
            </w:r>
          </w:p>
        </w:tc>
        <w:tc>
          <w:tcPr>
            <w:tcW w:w="670" w:type="dxa"/>
            <w:tcMar>
              <w:top w:w="0" w:type="dxa"/>
              <w:left w:w="0" w:type="dxa"/>
              <w:bottom w:w="0" w:type="dxa"/>
              <w:right w:w="0" w:type="dxa"/>
            </w:tcMar>
            <w:vAlign w:val="bottom"/>
          </w:tcPr>
          <w:p w14:paraId="69EB89B7" w14:textId="21B643C1"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22,8</w:t>
            </w:r>
            <w:r w:rsidR="00D55303" w:rsidRPr="004F0EC4">
              <w:rPr>
                <w:rFonts w:hAnsi="Times New Roman" w:cs="Times New Roman" w:hint="cs"/>
                <w:sz w:val="18"/>
                <w:szCs w:val="18"/>
                <w:rtl/>
              </w:rPr>
              <w:t>⁒</w:t>
            </w:r>
          </w:p>
        </w:tc>
        <w:tc>
          <w:tcPr>
            <w:tcW w:w="709" w:type="dxa"/>
            <w:tcMar>
              <w:top w:w="0" w:type="dxa"/>
              <w:left w:w="0" w:type="dxa"/>
              <w:bottom w:w="0" w:type="dxa"/>
              <w:right w:w="0" w:type="dxa"/>
            </w:tcMar>
            <w:vAlign w:val="bottom"/>
          </w:tcPr>
          <w:p w14:paraId="0C0F31B0" w14:textId="2CCF609F"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28,4</w:t>
            </w:r>
            <w:r w:rsidR="00D55303" w:rsidRPr="004F0EC4">
              <w:rPr>
                <w:rFonts w:hAnsi="Times New Roman" w:cs="Times New Roman" w:hint="cs"/>
                <w:sz w:val="18"/>
                <w:szCs w:val="18"/>
                <w:rtl/>
              </w:rPr>
              <w:t>⁒</w:t>
            </w:r>
          </w:p>
        </w:tc>
        <w:tc>
          <w:tcPr>
            <w:tcW w:w="569" w:type="dxa"/>
            <w:tcMar>
              <w:top w:w="0" w:type="dxa"/>
              <w:left w:w="0" w:type="dxa"/>
              <w:bottom w:w="0" w:type="dxa"/>
              <w:right w:w="0" w:type="dxa"/>
            </w:tcMar>
            <w:vAlign w:val="bottom"/>
          </w:tcPr>
          <w:p w14:paraId="3DF1D83F" w14:textId="508C8D7D"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Pr>
              <w:t>28,4</w:t>
            </w:r>
            <w:r w:rsidR="00D55303" w:rsidRPr="004F0EC4">
              <w:rPr>
                <w:rFonts w:hAnsi="Times New Roman" w:cs="Times New Roman" w:hint="cs"/>
                <w:sz w:val="18"/>
                <w:szCs w:val="18"/>
                <w:rtl/>
              </w:rPr>
              <w:t>⁒</w:t>
            </w:r>
          </w:p>
        </w:tc>
      </w:tr>
      <w:tr w:rsidR="00E54512" w:rsidRPr="004F0EC4" w14:paraId="40DFD9CF" w14:textId="77777777" w:rsidTr="00D55303">
        <w:trPr>
          <w:trHeight w:val="240"/>
        </w:trPr>
        <w:tc>
          <w:tcPr>
            <w:tcW w:w="3952" w:type="dxa"/>
            <w:tcMar>
              <w:top w:w="0" w:type="dxa"/>
              <w:left w:w="0" w:type="dxa"/>
              <w:bottom w:w="0" w:type="dxa"/>
              <w:right w:w="0" w:type="dxa"/>
            </w:tcMar>
          </w:tcPr>
          <w:p w14:paraId="1886EC05"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المستوى التقني</w:t>
            </w:r>
          </w:p>
        </w:tc>
        <w:tc>
          <w:tcPr>
            <w:tcW w:w="1470" w:type="dxa"/>
            <w:tcMar>
              <w:top w:w="0" w:type="dxa"/>
              <w:left w:w="0" w:type="dxa"/>
              <w:bottom w:w="0" w:type="dxa"/>
              <w:right w:w="0" w:type="dxa"/>
            </w:tcMar>
            <w:vAlign w:val="bottom"/>
          </w:tcPr>
          <w:p w14:paraId="0B194793"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لا ينطبق</w:t>
            </w:r>
          </w:p>
        </w:tc>
        <w:tc>
          <w:tcPr>
            <w:tcW w:w="670" w:type="dxa"/>
            <w:tcMar>
              <w:top w:w="0" w:type="dxa"/>
              <w:left w:w="0" w:type="dxa"/>
              <w:bottom w:w="0" w:type="dxa"/>
              <w:right w:w="0" w:type="dxa"/>
            </w:tcMar>
            <w:vAlign w:val="bottom"/>
          </w:tcPr>
          <w:p w14:paraId="63DB8F04" w14:textId="5D18484A"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15,5</w:t>
            </w:r>
            <w:r w:rsidR="00D55303" w:rsidRPr="004F0EC4">
              <w:rPr>
                <w:rFonts w:hAnsi="Times New Roman" w:cs="Times New Roman" w:hint="cs"/>
                <w:sz w:val="18"/>
                <w:szCs w:val="18"/>
                <w:rtl/>
              </w:rPr>
              <w:t>⁒</w:t>
            </w:r>
          </w:p>
        </w:tc>
        <w:tc>
          <w:tcPr>
            <w:tcW w:w="709" w:type="dxa"/>
            <w:tcMar>
              <w:top w:w="0" w:type="dxa"/>
              <w:left w:w="0" w:type="dxa"/>
              <w:bottom w:w="0" w:type="dxa"/>
              <w:right w:w="0" w:type="dxa"/>
            </w:tcMar>
            <w:vAlign w:val="bottom"/>
          </w:tcPr>
          <w:p w14:paraId="790A8AA1" w14:textId="3ECA1656"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14,8</w:t>
            </w:r>
            <w:r w:rsidR="00D55303" w:rsidRPr="004F0EC4">
              <w:rPr>
                <w:rFonts w:hAnsi="Times New Roman" w:cs="Times New Roman" w:hint="cs"/>
                <w:sz w:val="18"/>
                <w:szCs w:val="18"/>
                <w:rtl/>
              </w:rPr>
              <w:t>⁒</w:t>
            </w:r>
          </w:p>
        </w:tc>
        <w:tc>
          <w:tcPr>
            <w:tcW w:w="569" w:type="dxa"/>
            <w:tcMar>
              <w:top w:w="0" w:type="dxa"/>
              <w:left w:w="0" w:type="dxa"/>
              <w:bottom w:w="0" w:type="dxa"/>
              <w:right w:w="0" w:type="dxa"/>
            </w:tcMar>
            <w:vAlign w:val="bottom"/>
          </w:tcPr>
          <w:p w14:paraId="24753E32" w14:textId="2BE5A2E2"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Pr>
              <w:t>17,3</w:t>
            </w:r>
            <w:r w:rsidR="00D55303" w:rsidRPr="004F0EC4">
              <w:rPr>
                <w:rFonts w:hAnsi="Times New Roman" w:cs="Times New Roman" w:hint="cs"/>
                <w:sz w:val="18"/>
                <w:szCs w:val="18"/>
                <w:rtl/>
              </w:rPr>
              <w:t>⁒</w:t>
            </w:r>
          </w:p>
        </w:tc>
      </w:tr>
      <w:tr w:rsidR="00E54512" w:rsidRPr="004F0EC4" w14:paraId="1C0B7DB2" w14:textId="77777777" w:rsidTr="00D55303">
        <w:trPr>
          <w:trHeight w:val="240"/>
        </w:trPr>
        <w:tc>
          <w:tcPr>
            <w:tcW w:w="3952" w:type="dxa"/>
            <w:tcMar>
              <w:top w:w="0" w:type="dxa"/>
              <w:left w:w="0" w:type="dxa"/>
              <w:bottom w:w="0" w:type="dxa"/>
              <w:right w:w="0" w:type="dxa"/>
            </w:tcMar>
          </w:tcPr>
          <w:p w14:paraId="66B3A546"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مستوى الدعم</w:t>
            </w:r>
          </w:p>
        </w:tc>
        <w:tc>
          <w:tcPr>
            <w:tcW w:w="1470" w:type="dxa"/>
            <w:tcMar>
              <w:top w:w="0" w:type="dxa"/>
              <w:left w:w="0" w:type="dxa"/>
              <w:bottom w:w="0" w:type="dxa"/>
              <w:right w:w="0" w:type="dxa"/>
            </w:tcMar>
            <w:vAlign w:val="bottom"/>
          </w:tcPr>
          <w:p w14:paraId="14D86EC9"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لا ينطبق</w:t>
            </w:r>
          </w:p>
        </w:tc>
        <w:tc>
          <w:tcPr>
            <w:tcW w:w="670" w:type="dxa"/>
            <w:tcMar>
              <w:top w:w="0" w:type="dxa"/>
              <w:left w:w="0" w:type="dxa"/>
              <w:bottom w:w="0" w:type="dxa"/>
              <w:right w:w="0" w:type="dxa"/>
            </w:tcMar>
            <w:vAlign w:val="bottom"/>
          </w:tcPr>
          <w:p w14:paraId="4E1ECE44" w14:textId="46AA0E33"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16,2</w:t>
            </w:r>
            <w:r w:rsidR="00D55303" w:rsidRPr="004F0EC4">
              <w:rPr>
                <w:rFonts w:hAnsi="Times New Roman" w:cs="Times New Roman" w:hint="cs"/>
                <w:sz w:val="18"/>
                <w:szCs w:val="18"/>
                <w:rtl/>
              </w:rPr>
              <w:t>⁒</w:t>
            </w:r>
          </w:p>
        </w:tc>
        <w:tc>
          <w:tcPr>
            <w:tcW w:w="709" w:type="dxa"/>
            <w:tcMar>
              <w:top w:w="0" w:type="dxa"/>
              <w:left w:w="0" w:type="dxa"/>
              <w:bottom w:w="0" w:type="dxa"/>
              <w:right w:w="0" w:type="dxa"/>
            </w:tcMar>
            <w:vAlign w:val="bottom"/>
          </w:tcPr>
          <w:p w14:paraId="0EDBD7DB" w14:textId="75A5D11F"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20,6</w:t>
            </w:r>
            <w:r w:rsidR="00D55303" w:rsidRPr="004F0EC4">
              <w:rPr>
                <w:rFonts w:hAnsi="Times New Roman" w:cs="Times New Roman" w:hint="cs"/>
                <w:sz w:val="18"/>
                <w:szCs w:val="18"/>
                <w:rtl/>
              </w:rPr>
              <w:t>⁒</w:t>
            </w:r>
          </w:p>
        </w:tc>
        <w:tc>
          <w:tcPr>
            <w:tcW w:w="569" w:type="dxa"/>
            <w:tcMar>
              <w:top w:w="0" w:type="dxa"/>
              <w:left w:w="0" w:type="dxa"/>
              <w:bottom w:w="0" w:type="dxa"/>
              <w:right w:w="0" w:type="dxa"/>
            </w:tcMar>
            <w:vAlign w:val="bottom"/>
          </w:tcPr>
          <w:p w14:paraId="22F4952C" w14:textId="4505B91F"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Pr>
              <w:t>21,1</w:t>
            </w:r>
            <w:r w:rsidR="00D55303" w:rsidRPr="004F0EC4">
              <w:rPr>
                <w:rFonts w:hAnsi="Times New Roman" w:cs="Times New Roman" w:hint="cs"/>
                <w:sz w:val="18"/>
                <w:szCs w:val="18"/>
                <w:rtl/>
              </w:rPr>
              <w:t>⁒</w:t>
            </w:r>
          </w:p>
        </w:tc>
      </w:tr>
      <w:tr w:rsidR="00E54512" w:rsidRPr="004F0EC4" w14:paraId="2A4F7393" w14:textId="77777777" w:rsidTr="00D55303">
        <w:trPr>
          <w:trHeight w:val="240"/>
        </w:trPr>
        <w:tc>
          <w:tcPr>
            <w:tcW w:w="3952" w:type="dxa"/>
            <w:tcMar>
              <w:top w:w="0" w:type="dxa"/>
              <w:left w:w="0" w:type="dxa"/>
              <w:bottom w:w="0" w:type="dxa"/>
              <w:right w:w="0" w:type="dxa"/>
            </w:tcMar>
          </w:tcPr>
          <w:p w14:paraId="7FE1DECA"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مستوى غير محدد أو مستوى آخر (في المنظمات المستقلة)</w:t>
            </w:r>
          </w:p>
        </w:tc>
        <w:tc>
          <w:tcPr>
            <w:tcW w:w="1470" w:type="dxa"/>
            <w:tcMar>
              <w:top w:w="0" w:type="dxa"/>
              <w:left w:w="0" w:type="dxa"/>
              <w:bottom w:w="0" w:type="dxa"/>
              <w:right w:w="0" w:type="dxa"/>
            </w:tcMar>
            <w:vAlign w:val="bottom"/>
          </w:tcPr>
          <w:p w14:paraId="172CF661"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لا ينطبق</w:t>
            </w:r>
          </w:p>
        </w:tc>
        <w:tc>
          <w:tcPr>
            <w:tcW w:w="670" w:type="dxa"/>
            <w:tcMar>
              <w:top w:w="0" w:type="dxa"/>
              <w:left w:w="0" w:type="dxa"/>
              <w:bottom w:w="0" w:type="dxa"/>
              <w:right w:w="0" w:type="dxa"/>
            </w:tcMar>
            <w:vAlign w:val="bottom"/>
          </w:tcPr>
          <w:p w14:paraId="32F4989E" w14:textId="7DA380BB"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0,9</w:t>
            </w:r>
            <w:r w:rsidR="00D55303" w:rsidRPr="004F0EC4">
              <w:rPr>
                <w:rFonts w:hAnsi="Times New Roman" w:cs="Times New Roman" w:hint="cs"/>
                <w:sz w:val="18"/>
                <w:szCs w:val="18"/>
                <w:rtl/>
              </w:rPr>
              <w:t>⁒</w:t>
            </w:r>
          </w:p>
        </w:tc>
        <w:tc>
          <w:tcPr>
            <w:tcW w:w="709" w:type="dxa"/>
            <w:tcMar>
              <w:top w:w="0" w:type="dxa"/>
              <w:left w:w="0" w:type="dxa"/>
              <w:bottom w:w="0" w:type="dxa"/>
              <w:right w:w="0" w:type="dxa"/>
            </w:tcMar>
            <w:vAlign w:val="bottom"/>
          </w:tcPr>
          <w:p w14:paraId="6C8FB3C5" w14:textId="6B29F98B"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1,4</w:t>
            </w:r>
            <w:r w:rsidR="00D55303" w:rsidRPr="004F0EC4">
              <w:rPr>
                <w:rFonts w:hAnsi="Times New Roman" w:cs="Times New Roman" w:hint="cs"/>
                <w:sz w:val="18"/>
                <w:szCs w:val="18"/>
                <w:rtl/>
              </w:rPr>
              <w:t>⁒</w:t>
            </w:r>
          </w:p>
        </w:tc>
        <w:tc>
          <w:tcPr>
            <w:tcW w:w="569" w:type="dxa"/>
            <w:tcMar>
              <w:top w:w="0" w:type="dxa"/>
              <w:left w:w="0" w:type="dxa"/>
              <w:bottom w:w="0" w:type="dxa"/>
              <w:right w:w="0" w:type="dxa"/>
            </w:tcMar>
            <w:vAlign w:val="bottom"/>
          </w:tcPr>
          <w:p w14:paraId="5FF08C9E" w14:textId="643483E1"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Pr>
              <w:t>1,0</w:t>
            </w:r>
            <w:r w:rsidR="00D55303" w:rsidRPr="004F0EC4">
              <w:rPr>
                <w:rFonts w:hAnsi="Times New Roman" w:cs="Times New Roman" w:hint="cs"/>
                <w:sz w:val="18"/>
                <w:szCs w:val="18"/>
                <w:rtl/>
              </w:rPr>
              <w:t>⁒</w:t>
            </w:r>
          </w:p>
        </w:tc>
      </w:tr>
      <w:tr w:rsidR="00E54512" w:rsidRPr="004F0EC4" w14:paraId="4891EAE0" w14:textId="77777777" w:rsidTr="00D55303">
        <w:trPr>
          <w:trHeight w:val="240"/>
        </w:trPr>
        <w:tc>
          <w:tcPr>
            <w:tcW w:w="3952" w:type="dxa"/>
            <w:tcMar>
              <w:top w:w="0" w:type="dxa"/>
              <w:left w:w="0" w:type="dxa"/>
              <w:bottom w:w="0" w:type="dxa"/>
              <w:right w:w="0" w:type="dxa"/>
            </w:tcMar>
          </w:tcPr>
          <w:p w14:paraId="451190A4" w14:textId="4A8A231D"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لم تقد</w:t>
            </w:r>
            <w:r w:rsidR="00D55303" w:rsidRPr="004F0EC4">
              <w:rPr>
                <w:rFonts w:hAnsi="Times New Roman" w:hint="cs"/>
                <w:sz w:val="18"/>
                <w:szCs w:val="18"/>
                <w:rtl/>
              </w:rPr>
              <w:t>َّ</w:t>
            </w:r>
            <w:r w:rsidRPr="004F0EC4">
              <w:rPr>
                <w:rFonts w:hAnsi="Times New Roman"/>
                <w:sz w:val="18"/>
                <w:szCs w:val="18"/>
                <w:rtl/>
              </w:rPr>
              <w:t xml:space="preserve">م معلومات عن المستوى </w:t>
            </w:r>
          </w:p>
        </w:tc>
        <w:tc>
          <w:tcPr>
            <w:tcW w:w="1470" w:type="dxa"/>
            <w:tcMar>
              <w:top w:w="0" w:type="dxa"/>
              <w:left w:w="0" w:type="dxa"/>
              <w:bottom w:w="0" w:type="dxa"/>
              <w:right w:w="0" w:type="dxa"/>
            </w:tcMar>
            <w:vAlign w:val="bottom"/>
          </w:tcPr>
          <w:p w14:paraId="4DE6ACEF" w14:textId="77777777"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tl/>
              </w:rPr>
              <w:t>لا ينطبق</w:t>
            </w:r>
          </w:p>
        </w:tc>
        <w:tc>
          <w:tcPr>
            <w:tcW w:w="670" w:type="dxa"/>
            <w:tcMar>
              <w:top w:w="0" w:type="dxa"/>
              <w:left w:w="0" w:type="dxa"/>
              <w:bottom w:w="0" w:type="dxa"/>
              <w:right w:w="0" w:type="dxa"/>
            </w:tcMar>
            <w:vAlign w:val="bottom"/>
          </w:tcPr>
          <w:p w14:paraId="25851FFF" w14:textId="14689D39"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19,2</w:t>
            </w:r>
            <w:r w:rsidR="00D55303" w:rsidRPr="004F0EC4">
              <w:rPr>
                <w:rFonts w:hAnsi="Times New Roman" w:cs="Times New Roman" w:hint="cs"/>
                <w:sz w:val="18"/>
                <w:szCs w:val="18"/>
                <w:rtl/>
              </w:rPr>
              <w:t>⁒</w:t>
            </w:r>
          </w:p>
        </w:tc>
        <w:tc>
          <w:tcPr>
            <w:tcW w:w="709" w:type="dxa"/>
            <w:tcMar>
              <w:top w:w="0" w:type="dxa"/>
              <w:left w:w="0" w:type="dxa"/>
              <w:bottom w:w="0" w:type="dxa"/>
              <w:right w:w="0" w:type="dxa"/>
            </w:tcMar>
            <w:vAlign w:val="bottom"/>
          </w:tcPr>
          <w:p w14:paraId="7F2944F0" w14:textId="00EE6683" w:rsidR="00E54512" w:rsidRPr="004F0EC4" w:rsidRDefault="00E54512" w:rsidP="00C96DE4">
            <w:pPr>
              <w:pStyle w:val="SingleTxtG"/>
              <w:tabs>
                <w:tab w:val="clear" w:pos="1701"/>
                <w:tab w:val="clear" w:pos="2268"/>
              </w:tabs>
              <w:suppressAutoHyphens w:val="0"/>
              <w:bidi/>
              <w:spacing w:before="40" w:after="40" w:line="320" w:lineRule="exact"/>
              <w:ind w:left="57" w:right="113"/>
              <w:jc w:val="lowKashida"/>
              <w:textDirection w:val="tbRlV"/>
              <w:rPr>
                <w:rFonts w:hAnsi="Times New Roman"/>
                <w:sz w:val="18"/>
                <w:szCs w:val="18"/>
                <w:lang w:eastAsia="zh-TW"/>
              </w:rPr>
            </w:pPr>
            <w:r w:rsidRPr="004F0EC4">
              <w:rPr>
                <w:rFonts w:hAnsi="Times New Roman"/>
                <w:sz w:val="18"/>
                <w:szCs w:val="18"/>
              </w:rPr>
              <w:t>6,6</w:t>
            </w:r>
            <w:r w:rsidR="00D55303" w:rsidRPr="004F0EC4">
              <w:rPr>
                <w:rFonts w:hAnsi="Times New Roman" w:cs="Times New Roman" w:hint="cs"/>
                <w:sz w:val="18"/>
                <w:szCs w:val="18"/>
                <w:rtl/>
              </w:rPr>
              <w:t>⁒</w:t>
            </w:r>
          </w:p>
        </w:tc>
        <w:tc>
          <w:tcPr>
            <w:tcW w:w="569" w:type="dxa"/>
            <w:tcMar>
              <w:top w:w="0" w:type="dxa"/>
              <w:left w:w="0" w:type="dxa"/>
              <w:bottom w:w="0" w:type="dxa"/>
              <w:right w:w="0" w:type="dxa"/>
            </w:tcMar>
            <w:vAlign w:val="bottom"/>
          </w:tcPr>
          <w:p w14:paraId="6D469A14" w14:textId="1B18DBA2" w:rsidR="00E54512" w:rsidRPr="004F0EC4" w:rsidRDefault="00E54512" w:rsidP="00C96DE4">
            <w:pPr>
              <w:pStyle w:val="SingleTxtG"/>
              <w:tabs>
                <w:tab w:val="clear" w:pos="1701"/>
                <w:tab w:val="clear" w:pos="2268"/>
              </w:tabs>
              <w:suppressAutoHyphens w:val="0"/>
              <w:bidi/>
              <w:spacing w:before="40" w:after="40" w:line="320" w:lineRule="exact"/>
              <w:ind w:left="57" w:right="0"/>
              <w:jc w:val="lowKashida"/>
              <w:textDirection w:val="tbRlV"/>
              <w:rPr>
                <w:rFonts w:hAnsi="Times New Roman"/>
                <w:sz w:val="18"/>
                <w:szCs w:val="18"/>
                <w:lang w:eastAsia="zh-TW"/>
              </w:rPr>
            </w:pPr>
            <w:r w:rsidRPr="004F0EC4">
              <w:rPr>
                <w:rFonts w:hAnsi="Times New Roman"/>
                <w:sz w:val="18"/>
                <w:szCs w:val="18"/>
              </w:rPr>
              <w:t>4,3</w:t>
            </w:r>
            <w:r w:rsidR="00D55303" w:rsidRPr="004F0EC4">
              <w:rPr>
                <w:rFonts w:hAnsi="Times New Roman" w:cs="Times New Roman" w:hint="cs"/>
                <w:sz w:val="18"/>
                <w:szCs w:val="18"/>
                <w:rtl/>
              </w:rPr>
              <w:t>⁒</w:t>
            </w:r>
          </w:p>
        </w:tc>
      </w:tr>
    </w:tbl>
    <w:p w14:paraId="3598B723" w14:textId="1FCBA06E" w:rsidR="00E54512" w:rsidRPr="004F0EC4" w:rsidRDefault="00E54512" w:rsidP="00E54512">
      <w:pPr>
        <w:pStyle w:val="SingleTxtGA"/>
        <w:spacing w:before="120" w:line="280" w:lineRule="exact"/>
        <w:rPr>
          <w:sz w:val="20"/>
          <w:szCs w:val="20"/>
        </w:rPr>
      </w:pPr>
      <w:r w:rsidRPr="004F0EC4">
        <w:rPr>
          <w:i/>
          <w:iCs/>
          <w:sz w:val="20"/>
          <w:szCs w:val="20"/>
          <w:rtl/>
        </w:rPr>
        <w:t>المصدر:</w:t>
      </w:r>
      <w:r w:rsidRPr="004F0EC4">
        <w:rPr>
          <w:sz w:val="20"/>
          <w:szCs w:val="20"/>
          <w:rtl/>
        </w:rPr>
        <w:tab/>
        <w:t>دائرة الخدمة المدنية والدائرة الوطنية لشؤون الأشخاص ذوي الإعاقة.</w:t>
      </w:r>
    </w:p>
    <w:p w14:paraId="3EB68505" w14:textId="425FCB1F" w:rsidR="00E54512" w:rsidRPr="004F0EC4" w:rsidRDefault="00E54512" w:rsidP="00E54512">
      <w:pPr>
        <w:pStyle w:val="SingleTxtGA"/>
        <w:spacing w:before="120" w:line="280" w:lineRule="exact"/>
        <w:rPr>
          <w:sz w:val="20"/>
          <w:szCs w:val="20"/>
        </w:rPr>
      </w:pPr>
      <w:r w:rsidRPr="004F0EC4">
        <w:rPr>
          <w:sz w:val="20"/>
          <w:szCs w:val="20"/>
          <w:rtl/>
        </w:rPr>
        <w:t>*</w:t>
      </w:r>
      <w:r w:rsidRPr="004F0EC4">
        <w:rPr>
          <w:sz w:val="20"/>
          <w:szCs w:val="20"/>
          <w:rtl/>
        </w:rPr>
        <w:tab/>
        <w:t>قُدرت النسب المئوية استناداً إلى العقود التي تتضمن معلومات تفصيلية.</w:t>
      </w:r>
    </w:p>
    <w:p w14:paraId="7B19D958" w14:textId="77777777" w:rsidR="00E54512" w:rsidRPr="004F0EC4" w:rsidRDefault="00E54512" w:rsidP="00E54512">
      <w:pPr>
        <w:pStyle w:val="SingleTxtGA"/>
      </w:pPr>
      <w:r w:rsidRPr="004F0EC4">
        <w:rPr>
          <w:rtl/>
        </w:rPr>
        <w:t>164-</w:t>
      </w:r>
      <w:r w:rsidRPr="004F0EC4">
        <w:rPr>
          <w:rtl/>
        </w:rPr>
        <w:tab/>
        <w:t xml:space="preserve">وفي عام 2019، تبيّن، حسب ما أفادت به المؤسسات المبلِّغة، أن 73 في </w:t>
      </w:r>
      <w:proofErr w:type="gramStart"/>
      <w:r w:rsidRPr="004F0EC4">
        <w:rPr>
          <w:rtl/>
        </w:rPr>
        <w:t>المائة</w:t>
      </w:r>
      <w:proofErr w:type="gramEnd"/>
      <w:r w:rsidRPr="004F0EC4">
        <w:rPr>
          <w:rtl/>
        </w:rPr>
        <w:t xml:space="preserve"> من عمليات التوظيف جرت قبل دخول القانون حيز النفاذ، و4,3 في </w:t>
      </w:r>
      <w:proofErr w:type="gramStart"/>
      <w:r w:rsidRPr="004F0EC4">
        <w:rPr>
          <w:rtl/>
        </w:rPr>
        <w:t>المائة</w:t>
      </w:r>
      <w:proofErr w:type="gramEnd"/>
      <w:r w:rsidRPr="004F0EC4">
        <w:rPr>
          <w:rtl/>
        </w:rPr>
        <w:t xml:space="preserve"> منها في السنة الأولى التي أعقبت دخوله حيز النفاذ، و7,8 في </w:t>
      </w:r>
      <w:proofErr w:type="gramStart"/>
      <w:r w:rsidRPr="004F0EC4">
        <w:rPr>
          <w:rtl/>
        </w:rPr>
        <w:t>المائة</w:t>
      </w:r>
      <w:proofErr w:type="gramEnd"/>
      <w:r w:rsidRPr="004F0EC4">
        <w:rPr>
          <w:rtl/>
        </w:rPr>
        <w:t xml:space="preserve"> في السنة الثانية؛ ولا تتوفر معلومات عن 14,9 في </w:t>
      </w:r>
      <w:proofErr w:type="gramStart"/>
      <w:r w:rsidRPr="004F0EC4">
        <w:rPr>
          <w:rtl/>
        </w:rPr>
        <w:t>المائة</w:t>
      </w:r>
      <w:proofErr w:type="gramEnd"/>
      <w:r w:rsidRPr="004F0EC4">
        <w:rPr>
          <w:rtl/>
        </w:rPr>
        <w:t xml:space="preserve"> من الحالات.</w:t>
      </w:r>
    </w:p>
    <w:p w14:paraId="29B3FE94" w14:textId="77777777" w:rsidR="00E54512" w:rsidRPr="004F0EC4" w:rsidRDefault="00E54512" w:rsidP="00E54512">
      <w:pPr>
        <w:pStyle w:val="SingleTxtGA"/>
      </w:pPr>
      <w:r w:rsidRPr="004F0EC4">
        <w:rPr>
          <w:rtl/>
        </w:rPr>
        <w:lastRenderedPageBreak/>
        <w:t>165-</w:t>
      </w:r>
      <w:r w:rsidRPr="004F0EC4">
        <w:rPr>
          <w:rtl/>
        </w:rPr>
        <w:tab/>
        <w:t>وإجمالاً، يقدَّر مدى امتثال القطاع العام للقانون رقم 21-015 على النحو التالي:</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944"/>
        <w:gridCol w:w="462"/>
        <w:gridCol w:w="644"/>
        <w:gridCol w:w="546"/>
        <w:gridCol w:w="616"/>
        <w:gridCol w:w="560"/>
        <w:gridCol w:w="616"/>
        <w:gridCol w:w="448"/>
        <w:gridCol w:w="534"/>
      </w:tblGrid>
      <w:tr w:rsidR="00E54512" w:rsidRPr="004F0EC4" w14:paraId="32B1C1E1" w14:textId="77777777" w:rsidTr="00C96DE4">
        <w:trPr>
          <w:trHeight w:val="240"/>
          <w:tblHeader/>
        </w:trPr>
        <w:tc>
          <w:tcPr>
            <w:tcW w:w="2944" w:type="dxa"/>
            <w:tcBorders>
              <w:top w:val="single" w:sz="4" w:space="0" w:color="auto"/>
              <w:bottom w:val="single" w:sz="12" w:space="0" w:color="auto"/>
            </w:tcBorders>
            <w:tcMar>
              <w:top w:w="0" w:type="dxa"/>
              <w:left w:w="0" w:type="dxa"/>
              <w:bottom w:w="0" w:type="dxa"/>
              <w:right w:w="0" w:type="dxa"/>
            </w:tcMar>
            <w:vAlign w:val="bottom"/>
          </w:tcPr>
          <w:p w14:paraId="52624E18"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left"/>
              <w:textDirection w:val="tbRlV"/>
              <w:rPr>
                <w:rFonts w:hAnsi="Times New Roman"/>
                <w:i/>
                <w:sz w:val="18"/>
                <w:szCs w:val="18"/>
                <w:lang w:eastAsia="zh-TW"/>
              </w:rPr>
            </w:pPr>
            <w:r w:rsidRPr="004F0EC4">
              <w:rPr>
                <w:rFonts w:hAnsi="Times New Roman"/>
                <w:i/>
                <w:iCs/>
                <w:sz w:val="18"/>
                <w:szCs w:val="18"/>
                <w:rtl/>
              </w:rPr>
              <w:t>الامتثال للقانون رقم 21-015، القطاع العام</w:t>
            </w:r>
          </w:p>
        </w:tc>
        <w:tc>
          <w:tcPr>
            <w:tcW w:w="1106" w:type="dxa"/>
            <w:gridSpan w:val="2"/>
            <w:tcBorders>
              <w:top w:val="single" w:sz="4" w:space="0" w:color="auto"/>
              <w:bottom w:val="single" w:sz="12" w:space="0" w:color="auto"/>
            </w:tcBorders>
            <w:tcMar>
              <w:top w:w="0" w:type="dxa"/>
              <w:left w:w="0" w:type="dxa"/>
              <w:bottom w:w="0" w:type="dxa"/>
              <w:right w:w="0" w:type="dxa"/>
            </w:tcMar>
            <w:vAlign w:val="bottom"/>
          </w:tcPr>
          <w:p w14:paraId="205AD539"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i/>
                <w:sz w:val="18"/>
                <w:szCs w:val="18"/>
                <w:lang w:eastAsia="zh-TW"/>
              </w:rPr>
            </w:pPr>
            <w:r w:rsidRPr="004F0EC4">
              <w:rPr>
                <w:rFonts w:hAnsi="Times New Roman"/>
                <w:i/>
                <w:iCs/>
                <w:sz w:val="18"/>
                <w:szCs w:val="18"/>
                <w:rtl/>
              </w:rPr>
              <w:t>2018</w:t>
            </w:r>
          </w:p>
        </w:tc>
        <w:tc>
          <w:tcPr>
            <w:tcW w:w="1162" w:type="dxa"/>
            <w:gridSpan w:val="2"/>
            <w:tcBorders>
              <w:top w:val="single" w:sz="4" w:space="0" w:color="auto"/>
              <w:bottom w:val="single" w:sz="12" w:space="0" w:color="auto"/>
            </w:tcBorders>
            <w:tcMar>
              <w:top w:w="0" w:type="dxa"/>
              <w:left w:w="0" w:type="dxa"/>
              <w:bottom w:w="0" w:type="dxa"/>
              <w:right w:w="0" w:type="dxa"/>
            </w:tcMar>
            <w:vAlign w:val="bottom"/>
          </w:tcPr>
          <w:p w14:paraId="57B2B1C4"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i/>
                <w:sz w:val="18"/>
                <w:szCs w:val="18"/>
                <w:lang w:eastAsia="zh-TW"/>
              </w:rPr>
            </w:pPr>
            <w:r w:rsidRPr="004F0EC4">
              <w:rPr>
                <w:rFonts w:hAnsi="Times New Roman"/>
                <w:i/>
                <w:iCs/>
                <w:sz w:val="18"/>
                <w:szCs w:val="18"/>
                <w:rtl/>
              </w:rPr>
              <w:t>2019</w:t>
            </w:r>
          </w:p>
        </w:tc>
        <w:tc>
          <w:tcPr>
            <w:tcW w:w="1176" w:type="dxa"/>
            <w:gridSpan w:val="2"/>
            <w:tcBorders>
              <w:top w:val="single" w:sz="4" w:space="0" w:color="auto"/>
              <w:bottom w:val="single" w:sz="12" w:space="0" w:color="auto"/>
            </w:tcBorders>
            <w:tcMar>
              <w:top w:w="0" w:type="dxa"/>
              <w:left w:w="0" w:type="dxa"/>
              <w:bottom w:w="0" w:type="dxa"/>
              <w:right w:w="0" w:type="dxa"/>
            </w:tcMar>
            <w:vAlign w:val="bottom"/>
          </w:tcPr>
          <w:p w14:paraId="7D5A7FAB"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i/>
                <w:sz w:val="18"/>
                <w:szCs w:val="18"/>
                <w:lang w:eastAsia="zh-TW"/>
              </w:rPr>
            </w:pPr>
            <w:r w:rsidRPr="004F0EC4">
              <w:rPr>
                <w:rFonts w:hAnsi="Times New Roman"/>
                <w:i/>
                <w:iCs/>
                <w:sz w:val="18"/>
                <w:szCs w:val="18"/>
                <w:rtl/>
              </w:rPr>
              <w:t>2020</w:t>
            </w:r>
          </w:p>
        </w:tc>
        <w:tc>
          <w:tcPr>
            <w:tcW w:w="982" w:type="dxa"/>
            <w:gridSpan w:val="2"/>
            <w:tcBorders>
              <w:top w:val="single" w:sz="4" w:space="0" w:color="auto"/>
              <w:bottom w:val="single" w:sz="12" w:space="0" w:color="auto"/>
            </w:tcBorders>
            <w:tcMar>
              <w:top w:w="0" w:type="dxa"/>
              <w:left w:w="0" w:type="dxa"/>
              <w:bottom w:w="0" w:type="dxa"/>
              <w:right w:w="0" w:type="dxa"/>
            </w:tcMar>
            <w:vAlign w:val="bottom"/>
          </w:tcPr>
          <w:p w14:paraId="13E0D0AA"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0"/>
              <w:jc w:val="right"/>
              <w:textDirection w:val="tbRlV"/>
              <w:rPr>
                <w:rFonts w:hAnsi="Times New Roman"/>
                <w:i/>
                <w:sz w:val="18"/>
                <w:szCs w:val="18"/>
                <w:lang w:eastAsia="zh-TW"/>
              </w:rPr>
            </w:pPr>
            <w:r w:rsidRPr="004F0EC4">
              <w:rPr>
                <w:rFonts w:hAnsi="Times New Roman"/>
                <w:i/>
                <w:iCs/>
                <w:sz w:val="18"/>
                <w:szCs w:val="18"/>
                <w:rtl/>
              </w:rPr>
              <w:t>2021</w:t>
            </w:r>
          </w:p>
        </w:tc>
      </w:tr>
      <w:tr w:rsidR="00E54512" w:rsidRPr="004F0EC4" w14:paraId="1262EB24" w14:textId="77777777" w:rsidTr="00C96DE4">
        <w:trPr>
          <w:trHeight w:val="240"/>
        </w:trPr>
        <w:tc>
          <w:tcPr>
            <w:tcW w:w="2944" w:type="dxa"/>
            <w:tcBorders>
              <w:top w:val="single" w:sz="12" w:space="0" w:color="auto"/>
            </w:tcBorders>
            <w:tcMar>
              <w:top w:w="0" w:type="dxa"/>
              <w:left w:w="0" w:type="dxa"/>
              <w:bottom w:w="0" w:type="dxa"/>
              <w:right w:w="0" w:type="dxa"/>
            </w:tcMar>
          </w:tcPr>
          <w:p w14:paraId="6867B073"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left"/>
              <w:textDirection w:val="tbRlV"/>
              <w:rPr>
                <w:rFonts w:hAnsi="Times New Roman" w:hint="cs"/>
                <w:spacing w:val="-4"/>
                <w:sz w:val="18"/>
                <w:szCs w:val="18"/>
                <w:rtl/>
                <w:lang w:eastAsia="zh-TW"/>
              </w:rPr>
            </w:pPr>
            <w:r w:rsidRPr="004F0EC4">
              <w:rPr>
                <w:rFonts w:hAnsi="Times New Roman"/>
                <w:spacing w:val="-4"/>
                <w:sz w:val="18"/>
                <w:szCs w:val="18"/>
                <w:rtl/>
              </w:rPr>
              <w:t>الامتثال لنظام الاختيار التفضيلي ونظام الحصص</w:t>
            </w:r>
          </w:p>
        </w:tc>
        <w:tc>
          <w:tcPr>
            <w:tcW w:w="462" w:type="dxa"/>
            <w:tcBorders>
              <w:top w:val="single" w:sz="12" w:space="0" w:color="auto"/>
            </w:tcBorders>
            <w:tcMar>
              <w:top w:w="0" w:type="dxa"/>
              <w:left w:w="0" w:type="dxa"/>
              <w:bottom w:w="0" w:type="dxa"/>
              <w:right w:w="0" w:type="dxa"/>
            </w:tcMar>
            <w:vAlign w:val="bottom"/>
          </w:tcPr>
          <w:p w14:paraId="6CE91234"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146</w:t>
            </w:r>
          </w:p>
        </w:tc>
        <w:tc>
          <w:tcPr>
            <w:tcW w:w="644" w:type="dxa"/>
            <w:tcBorders>
              <w:top w:val="single" w:sz="12" w:space="0" w:color="auto"/>
            </w:tcBorders>
            <w:tcMar>
              <w:top w:w="0" w:type="dxa"/>
              <w:left w:w="0" w:type="dxa"/>
              <w:bottom w:w="0" w:type="dxa"/>
              <w:right w:w="0" w:type="dxa"/>
            </w:tcMar>
            <w:vAlign w:val="bottom"/>
          </w:tcPr>
          <w:p w14:paraId="446C3A58" w14:textId="7BCB56AE"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hint="cs"/>
                <w:sz w:val="18"/>
                <w:szCs w:val="18"/>
                <w:rtl/>
                <w:lang w:eastAsia="zh-TW"/>
              </w:rPr>
            </w:pPr>
            <w:r w:rsidRPr="004F0EC4">
              <w:rPr>
                <w:rFonts w:hAnsi="Times New Roman"/>
                <w:sz w:val="18"/>
                <w:szCs w:val="18"/>
              </w:rPr>
              <w:t>24,1</w:t>
            </w:r>
            <w:r w:rsidR="00D55303" w:rsidRPr="004F0EC4">
              <w:rPr>
                <w:rFonts w:hAnsi="Times New Roman" w:cs="Times New Roman" w:hint="cs"/>
                <w:sz w:val="18"/>
                <w:szCs w:val="18"/>
                <w:rtl/>
              </w:rPr>
              <w:t>⁒</w:t>
            </w:r>
          </w:p>
        </w:tc>
        <w:tc>
          <w:tcPr>
            <w:tcW w:w="546" w:type="dxa"/>
            <w:tcBorders>
              <w:top w:val="single" w:sz="12" w:space="0" w:color="auto"/>
            </w:tcBorders>
            <w:tcMar>
              <w:top w:w="0" w:type="dxa"/>
              <w:left w:w="0" w:type="dxa"/>
              <w:bottom w:w="0" w:type="dxa"/>
              <w:right w:w="0" w:type="dxa"/>
            </w:tcMar>
            <w:vAlign w:val="bottom"/>
          </w:tcPr>
          <w:p w14:paraId="070719B7"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146</w:t>
            </w:r>
          </w:p>
        </w:tc>
        <w:tc>
          <w:tcPr>
            <w:tcW w:w="616" w:type="dxa"/>
            <w:tcBorders>
              <w:top w:val="single" w:sz="12" w:space="0" w:color="auto"/>
            </w:tcBorders>
            <w:tcMar>
              <w:top w:w="0" w:type="dxa"/>
              <w:left w:w="0" w:type="dxa"/>
              <w:bottom w:w="0" w:type="dxa"/>
              <w:right w:w="0" w:type="dxa"/>
            </w:tcMar>
            <w:vAlign w:val="bottom"/>
          </w:tcPr>
          <w:p w14:paraId="3672297E" w14:textId="41FA0D99"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Pr>
              <w:t>24</w:t>
            </w:r>
            <w:r w:rsidR="00D55303" w:rsidRPr="004F0EC4">
              <w:rPr>
                <w:rFonts w:hAnsi="Times New Roman" w:cs="Times New Roman" w:hint="cs"/>
                <w:sz w:val="18"/>
                <w:szCs w:val="18"/>
                <w:rtl/>
              </w:rPr>
              <w:t>⁒</w:t>
            </w:r>
          </w:p>
        </w:tc>
        <w:tc>
          <w:tcPr>
            <w:tcW w:w="560" w:type="dxa"/>
            <w:tcBorders>
              <w:top w:val="single" w:sz="12" w:space="0" w:color="auto"/>
            </w:tcBorders>
            <w:tcMar>
              <w:top w:w="0" w:type="dxa"/>
              <w:left w:w="0" w:type="dxa"/>
              <w:bottom w:w="0" w:type="dxa"/>
              <w:right w:w="0" w:type="dxa"/>
            </w:tcMar>
            <w:vAlign w:val="bottom"/>
          </w:tcPr>
          <w:p w14:paraId="54AEA076"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156</w:t>
            </w:r>
          </w:p>
        </w:tc>
        <w:tc>
          <w:tcPr>
            <w:tcW w:w="616" w:type="dxa"/>
            <w:tcBorders>
              <w:top w:val="single" w:sz="12" w:space="0" w:color="auto"/>
            </w:tcBorders>
            <w:tcMar>
              <w:top w:w="0" w:type="dxa"/>
              <w:left w:w="0" w:type="dxa"/>
              <w:bottom w:w="0" w:type="dxa"/>
              <w:right w:w="0" w:type="dxa"/>
            </w:tcMar>
            <w:vAlign w:val="bottom"/>
          </w:tcPr>
          <w:p w14:paraId="4A4EB8F7" w14:textId="61AAAB61"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Pr>
              <w:t>25,5</w:t>
            </w:r>
            <w:r w:rsidR="00D55303" w:rsidRPr="004F0EC4">
              <w:rPr>
                <w:rFonts w:hAnsi="Times New Roman" w:cs="Times New Roman" w:hint="cs"/>
                <w:sz w:val="18"/>
                <w:szCs w:val="18"/>
                <w:rtl/>
              </w:rPr>
              <w:t>⁒</w:t>
            </w:r>
          </w:p>
        </w:tc>
        <w:tc>
          <w:tcPr>
            <w:tcW w:w="448" w:type="dxa"/>
            <w:tcBorders>
              <w:top w:val="single" w:sz="12" w:space="0" w:color="auto"/>
            </w:tcBorders>
            <w:tcMar>
              <w:top w:w="0" w:type="dxa"/>
              <w:left w:w="0" w:type="dxa"/>
              <w:bottom w:w="0" w:type="dxa"/>
              <w:right w:w="0" w:type="dxa"/>
            </w:tcMar>
            <w:vAlign w:val="bottom"/>
          </w:tcPr>
          <w:p w14:paraId="491ABD5D"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0"/>
              <w:jc w:val="right"/>
              <w:textDirection w:val="tbRlV"/>
              <w:rPr>
                <w:rFonts w:hAnsi="Times New Roman"/>
                <w:sz w:val="18"/>
                <w:szCs w:val="18"/>
                <w:lang w:eastAsia="zh-TW"/>
              </w:rPr>
            </w:pPr>
            <w:r w:rsidRPr="004F0EC4">
              <w:rPr>
                <w:rFonts w:hAnsi="Times New Roman"/>
                <w:sz w:val="18"/>
                <w:szCs w:val="18"/>
                <w:rtl/>
              </w:rPr>
              <w:t>228</w:t>
            </w:r>
          </w:p>
        </w:tc>
        <w:tc>
          <w:tcPr>
            <w:tcW w:w="534" w:type="dxa"/>
            <w:tcBorders>
              <w:top w:val="single" w:sz="12" w:space="0" w:color="auto"/>
            </w:tcBorders>
            <w:tcMar>
              <w:top w:w="0" w:type="dxa"/>
              <w:left w:w="0" w:type="dxa"/>
              <w:bottom w:w="0" w:type="dxa"/>
              <w:right w:w="0" w:type="dxa"/>
            </w:tcMar>
            <w:vAlign w:val="bottom"/>
          </w:tcPr>
          <w:p w14:paraId="21DF6643" w14:textId="4CEABD49" w:rsidR="00E54512" w:rsidRPr="004F0EC4" w:rsidRDefault="00E54512" w:rsidP="00867AED">
            <w:pPr>
              <w:pStyle w:val="SingleTxtG"/>
              <w:tabs>
                <w:tab w:val="clear" w:pos="1701"/>
                <w:tab w:val="clear" w:pos="2268"/>
              </w:tabs>
              <w:suppressAutoHyphens w:val="0"/>
              <w:bidi/>
              <w:spacing w:before="20" w:after="40" w:line="300" w:lineRule="exact"/>
              <w:ind w:left="57" w:right="0"/>
              <w:jc w:val="right"/>
              <w:textDirection w:val="tbRlV"/>
              <w:rPr>
                <w:rFonts w:hAnsi="Times New Roman"/>
                <w:sz w:val="18"/>
                <w:szCs w:val="18"/>
                <w:lang w:eastAsia="zh-TW"/>
              </w:rPr>
            </w:pPr>
            <w:r w:rsidRPr="004F0EC4">
              <w:rPr>
                <w:rFonts w:hAnsi="Times New Roman"/>
                <w:sz w:val="18"/>
                <w:szCs w:val="18"/>
              </w:rPr>
              <w:t>37</w:t>
            </w:r>
            <w:r w:rsidR="00D55303" w:rsidRPr="004F0EC4">
              <w:rPr>
                <w:rFonts w:hAnsi="Times New Roman" w:cs="Times New Roman" w:hint="cs"/>
                <w:sz w:val="18"/>
                <w:szCs w:val="18"/>
                <w:rtl/>
              </w:rPr>
              <w:t>⁒</w:t>
            </w:r>
          </w:p>
        </w:tc>
      </w:tr>
      <w:tr w:rsidR="00E54512" w:rsidRPr="004F0EC4" w14:paraId="61B40834" w14:textId="77777777" w:rsidTr="00C96DE4">
        <w:trPr>
          <w:trHeight w:val="240"/>
        </w:trPr>
        <w:tc>
          <w:tcPr>
            <w:tcW w:w="2944" w:type="dxa"/>
            <w:tcMar>
              <w:top w:w="0" w:type="dxa"/>
              <w:left w:w="0" w:type="dxa"/>
              <w:bottom w:w="0" w:type="dxa"/>
              <w:right w:w="0" w:type="dxa"/>
            </w:tcMar>
          </w:tcPr>
          <w:p w14:paraId="77E36C89"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left"/>
              <w:textDirection w:val="tbRlV"/>
              <w:rPr>
                <w:rFonts w:hAnsi="Times New Roman"/>
                <w:sz w:val="18"/>
                <w:szCs w:val="18"/>
                <w:lang w:eastAsia="zh-TW"/>
              </w:rPr>
            </w:pPr>
            <w:r w:rsidRPr="004F0EC4">
              <w:rPr>
                <w:rFonts w:hAnsi="Times New Roman"/>
                <w:sz w:val="18"/>
                <w:szCs w:val="18"/>
                <w:rtl/>
              </w:rPr>
              <w:t>الامتثال لنظام الاختيار التفضيلي من دون الالتزام بنظام الحصص، مع تقديم أسباب مقبولة</w:t>
            </w:r>
          </w:p>
        </w:tc>
        <w:tc>
          <w:tcPr>
            <w:tcW w:w="462" w:type="dxa"/>
            <w:tcMar>
              <w:top w:w="0" w:type="dxa"/>
              <w:left w:w="0" w:type="dxa"/>
              <w:bottom w:w="0" w:type="dxa"/>
              <w:right w:w="0" w:type="dxa"/>
            </w:tcMar>
            <w:vAlign w:val="bottom"/>
          </w:tcPr>
          <w:p w14:paraId="6AC7C744"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104</w:t>
            </w:r>
          </w:p>
        </w:tc>
        <w:tc>
          <w:tcPr>
            <w:tcW w:w="644" w:type="dxa"/>
            <w:tcMar>
              <w:top w:w="0" w:type="dxa"/>
              <w:left w:w="0" w:type="dxa"/>
              <w:bottom w:w="0" w:type="dxa"/>
              <w:right w:w="0" w:type="dxa"/>
            </w:tcMar>
            <w:vAlign w:val="bottom"/>
          </w:tcPr>
          <w:p w14:paraId="0D347384" w14:textId="2FF9DD70"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Pr>
              <w:t>17,2</w:t>
            </w:r>
            <w:r w:rsidR="00D55303" w:rsidRPr="004F0EC4">
              <w:rPr>
                <w:rFonts w:hAnsi="Times New Roman" w:cs="Times New Roman" w:hint="cs"/>
                <w:sz w:val="18"/>
                <w:szCs w:val="18"/>
                <w:rtl/>
              </w:rPr>
              <w:t>⁒</w:t>
            </w:r>
          </w:p>
        </w:tc>
        <w:tc>
          <w:tcPr>
            <w:tcW w:w="546" w:type="dxa"/>
            <w:tcMar>
              <w:top w:w="0" w:type="dxa"/>
              <w:left w:w="0" w:type="dxa"/>
              <w:bottom w:w="0" w:type="dxa"/>
              <w:right w:w="0" w:type="dxa"/>
            </w:tcMar>
            <w:vAlign w:val="bottom"/>
          </w:tcPr>
          <w:p w14:paraId="30405384"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110</w:t>
            </w:r>
          </w:p>
        </w:tc>
        <w:tc>
          <w:tcPr>
            <w:tcW w:w="616" w:type="dxa"/>
            <w:tcMar>
              <w:top w:w="0" w:type="dxa"/>
              <w:left w:w="0" w:type="dxa"/>
              <w:bottom w:w="0" w:type="dxa"/>
              <w:right w:w="0" w:type="dxa"/>
            </w:tcMar>
            <w:vAlign w:val="bottom"/>
          </w:tcPr>
          <w:p w14:paraId="2ED0AA26" w14:textId="61FAA3B2"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Pr>
              <w:t>18,1</w:t>
            </w:r>
            <w:r w:rsidR="00D55303" w:rsidRPr="004F0EC4">
              <w:rPr>
                <w:rFonts w:hAnsi="Times New Roman" w:cs="Times New Roman" w:hint="cs"/>
                <w:sz w:val="18"/>
                <w:szCs w:val="18"/>
                <w:rtl/>
              </w:rPr>
              <w:t>⁒</w:t>
            </w:r>
          </w:p>
        </w:tc>
        <w:tc>
          <w:tcPr>
            <w:tcW w:w="560" w:type="dxa"/>
            <w:tcMar>
              <w:top w:w="0" w:type="dxa"/>
              <w:left w:w="0" w:type="dxa"/>
              <w:bottom w:w="0" w:type="dxa"/>
              <w:right w:w="0" w:type="dxa"/>
            </w:tcMar>
            <w:vAlign w:val="bottom"/>
          </w:tcPr>
          <w:p w14:paraId="161C3A51"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150</w:t>
            </w:r>
          </w:p>
        </w:tc>
        <w:tc>
          <w:tcPr>
            <w:tcW w:w="616" w:type="dxa"/>
            <w:tcMar>
              <w:top w:w="0" w:type="dxa"/>
              <w:left w:w="0" w:type="dxa"/>
              <w:bottom w:w="0" w:type="dxa"/>
              <w:right w:w="0" w:type="dxa"/>
            </w:tcMar>
            <w:vAlign w:val="bottom"/>
          </w:tcPr>
          <w:p w14:paraId="53F5E5FA" w14:textId="6D63B9CE"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Pr>
              <w:t>24,5</w:t>
            </w:r>
            <w:r w:rsidR="00D55303" w:rsidRPr="004F0EC4">
              <w:rPr>
                <w:rFonts w:hAnsi="Times New Roman" w:cs="Times New Roman" w:hint="cs"/>
                <w:sz w:val="18"/>
                <w:szCs w:val="18"/>
                <w:rtl/>
              </w:rPr>
              <w:t>⁒</w:t>
            </w:r>
          </w:p>
        </w:tc>
        <w:tc>
          <w:tcPr>
            <w:tcW w:w="448" w:type="dxa"/>
            <w:tcMar>
              <w:top w:w="0" w:type="dxa"/>
              <w:left w:w="0" w:type="dxa"/>
              <w:bottom w:w="0" w:type="dxa"/>
              <w:right w:w="0" w:type="dxa"/>
            </w:tcMar>
            <w:vAlign w:val="bottom"/>
          </w:tcPr>
          <w:p w14:paraId="1B849CA3"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0"/>
              <w:jc w:val="right"/>
              <w:textDirection w:val="tbRlV"/>
              <w:rPr>
                <w:rFonts w:hAnsi="Times New Roman"/>
                <w:sz w:val="18"/>
                <w:szCs w:val="18"/>
                <w:lang w:eastAsia="zh-TW"/>
              </w:rPr>
            </w:pPr>
            <w:r w:rsidRPr="004F0EC4">
              <w:rPr>
                <w:rFonts w:hAnsi="Times New Roman"/>
                <w:sz w:val="18"/>
                <w:szCs w:val="18"/>
                <w:rtl/>
              </w:rPr>
              <w:t>176</w:t>
            </w:r>
          </w:p>
        </w:tc>
        <w:tc>
          <w:tcPr>
            <w:tcW w:w="534" w:type="dxa"/>
            <w:tcMar>
              <w:top w:w="0" w:type="dxa"/>
              <w:left w:w="0" w:type="dxa"/>
              <w:bottom w:w="0" w:type="dxa"/>
              <w:right w:w="0" w:type="dxa"/>
            </w:tcMar>
            <w:vAlign w:val="bottom"/>
          </w:tcPr>
          <w:p w14:paraId="4979D382" w14:textId="06A35943" w:rsidR="00E54512" w:rsidRPr="004F0EC4" w:rsidRDefault="00E54512" w:rsidP="00867AED">
            <w:pPr>
              <w:pStyle w:val="SingleTxtG"/>
              <w:tabs>
                <w:tab w:val="clear" w:pos="1701"/>
                <w:tab w:val="clear" w:pos="2268"/>
              </w:tabs>
              <w:suppressAutoHyphens w:val="0"/>
              <w:bidi/>
              <w:spacing w:before="20" w:after="40" w:line="300" w:lineRule="exact"/>
              <w:ind w:left="57" w:right="0"/>
              <w:jc w:val="right"/>
              <w:textDirection w:val="tbRlV"/>
              <w:rPr>
                <w:rFonts w:hAnsi="Times New Roman"/>
                <w:sz w:val="18"/>
                <w:szCs w:val="18"/>
                <w:lang w:eastAsia="zh-TW"/>
              </w:rPr>
            </w:pPr>
            <w:r w:rsidRPr="004F0EC4">
              <w:rPr>
                <w:rFonts w:hAnsi="Times New Roman"/>
                <w:sz w:val="18"/>
                <w:szCs w:val="18"/>
              </w:rPr>
              <w:t>28,5</w:t>
            </w:r>
            <w:r w:rsidR="00D55303" w:rsidRPr="004F0EC4">
              <w:rPr>
                <w:rFonts w:hAnsi="Times New Roman" w:cs="Times New Roman" w:hint="cs"/>
                <w:sz w:val="18"/>
                <w:szCs w:val="18"/>
                <w:rtl/>
              </w:rPr>
              <w:t>⁒</w:t>
            </w:r>
          </w:p>
        </w:tc>
      </w:tr>
      <w:tr w:rsidR="00E54512" w:rsidRPr="004F0EC4" w14:paraId="2FB666B6" w14:textId="77777777" w:rsidTr="00C96DE4">
        <w:trPr>
          <w:trHeight w:val="240"/>
        </w:trPr>
        <w:tc>
          <w:tcPr>
            <w:tcW w:w="2944" w:type="dxa"/>
            <w:tcMar>
              <w:top w:w="0" w:type="dxa"/>
              <w:left w:w="0" w:type="dxa"/>
              <w:bottom w:w="0" w:type="dxa"/>
              <w:right w:w="0" w:type="dxa"/>
            </w:tcMar>
          </w:tcPr>
          <w:p w14:paraId="52AB94E5"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left"/>
              <w:textDirection w:val="tbRlV"/>
              <w:rPr>
                <w:rFonts w:hAnsi="Times New Roman"/>
                <w:sz w:val="18"/>
                <w:szCs w:val="18"/>
                <w:lang w:eastAsia="zh-TW"/>
              </w:rPr>
            </w:pPr>
            <w:r w:rsidRPr="004F0EC4">
              <w:rPr>
                <w:rFonts w:hAnsi="Times New Roman"/>
                <w:sz w:val="18"/>
                <w:szCs w:val="18"/>
                <w:rtl/>
              </w:rPr>
              <w:t>الامتثال لنظام الاختيار التفضيلي من دون الالتزام بنظام الحصص، مع عدم تقديم أسباب مقبولة</w:t>
            </w:r>
          </w:p>
        </w:tc>
        <w:tc>
          <w:tcPr>
            <w:tcW w:w="462" w:type="dxa"/>
            <w:tcMar>
              <w:top w:w="0" w:type="dxa"/>
              <w:left w:w="0" w:type="dxa"/>
              <w:bottom w:w="0" w:type="dxa"/>
              <w:right w:w="0" w:type="dxa"/>
            </w:tcMar>
            <w:vAlign w:val="bottom"/>
          </w:tcPr>
          <w:p w14:paraId="1B7C0583"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73</w:t>
            </w:r>
          </w:p>
        </w:tc>
        <w:tc>
          <w:tcPr>
            <w:tcW w:w="644" w:type="dxa"/>
            <w:tcMar>
              <w:top w:w="0" w:type="dxa"/>
              <w:left w:w="0" w:type="dxa"/>
              <w:bottom w:w="0" w:type="dxa"/>
              <w:right w:w="0" w:type="dxa"/>
            </w:tcMar>
            <w:vAlign w:val="bottom"/>
          </w:tcPr>
          <w:p w14:paraId="7FEC30C7" w14:textId="0AB4739B"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Pr>
              <w:t>12,1</w:t>
            </w:r>
            <w:r w:rsidR="00D55303" w:rsidRPr="004F0EC4">
              <w:rPr>
                <w:rFonts w:hAnsi="Times New Roman" w:cs="Times New Roman" w:hint="cs"/>
                <w:sz w:val="18"/>
                <w:szCs w:val="18"/>
                <w:rtl/>
              </w:rPr>
              <w:t>⁒</w:t>
            </w:r>
          </w:p>
        </w:tc>
        <w:tc>
          <w:tcPr>
            <w:tcW w:w="546" w:type="dxa"/>
            <w:tcMar>
              <w:top w:w="0" w:type="dxa"/>
              <w:left w:w="0" w:type="dxa"/>
              <w:bottom w:w="0" w:type="dxa"/>
              <w:right w:w="0" w:type="dxa"/>
            </w:tcMar>
            <w:vAlign w:val="bottom"/>
          </w:tcPr>
          <w:p w14:paraId="2318395B"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59</w:t>
            </w:r>
          </w:p>
        </w:tc>
        <w:tc>
          <w:tcPr>
            <w:tcW w:w="616" w:type="dxa"/>
            <w:tcMar>
              <w:top w:w="0" w:type="dxa"/>
              <w:left w:w="0" w:type="dxa"/>
              <w:bottom w:w="0" w:type="dxa"/>
              <w:right w:w="0" w:type="dxa"/>
            </w:tcMar>
            <w:vAlign w:val="bottom"/>
          </w:tcPr>
          <w:p w14:paraId="735D23A9" w14:textId="3C42DA70"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Pr>
              <w:t>9,7</w:t>
            </w:r>
            <w:r w:rsidR="00D55303" w:rsidRPr="004F0EC4">
              <w:rPr>
                <w:rFonts w:hAnsi="Times New Roman" w:cs="Times New Roman" w:hint="cs"/>
                <w:sz w:val="18"/>
                <w:szCs w:val="18"/>
                <w:rtl/>
              </w:rPr>
              <w:t>⁒</w:t>
            </w:r>
          </w:p>
        </w:tc>
        <w:tc>
          <w:tcPr>
            <w:tcW w:w="560" w:type="dxa"/>
            <w:tcMar>
              <w:top w:w="0" w:type="dxa"/>
              <w:left w:w="0" w:type="dxa"/>
              <w:bottom w:w="0" w:type="dxa"/>
              <w:right w:w="0" w:type="dxa"/>
            </w:tcMar>
            <w:vAlign w:val="bottom"/>
          </w:tcPr>
          <w:p w14:paraId="572DEECC"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47</w:t>
            </w:r>
          </w:p>
        </w:tc>
        <w:tc>
          <w:tcPr>
            <w:tcW w:w="616" w:type="dxa"/>
            <w:tcMar>
              <w:top w:w="0" w:type="dxa"/>
              <w:left w:w="0" w:type="dxa"/>
              <w:bottom w:w="0" w:type="dxa"/>
              <w:right w:w="0" w:type="dxa"/>
            </w:tcMar>
            <w:vAlign w:val="bottom"/>
          </w:tcPr>
          <w:p w14:paraId="182EF13D" w14:textId="2D6B64B0"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Pr>
              <w:t>7,7</w:t>
            </w:r>
            <w:r w:rsidR="00D55303" w:rsidRPr="004F0EC4">
              <w:rPr>
                <w:rFonts w:hAnsi="Times New Roman" w:cs="Times New Roman" w:hint="cs"/>
                <w:sz w:val="18"/>
                <w:szCs w:val="18"/>
                <w:rtl/>
              </w:rPr>
              <w:t>⁒</w:t>
            </w:r>
          </w:p>
        </w:tc>
        <w:tc>
          <w:tcPr>
            <w:tcW w:w="448" w:type="dxa"/>
            <w:tcMar>
              <w:top w:w="0" w:type="dxa"/>
              <w:left w:w="0" w:type="dxa"/>
              <w:bottom w:w="0" w:type="dxa"/>
              <w:right w:w="0" w:type="dxa"/>
            </w:tcMar>
            <w:vAlign w:val="bottom"/>
          </w:tcPr>
          <w:p w14:paraId="5BE95E91"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0"/>
              <w:jc w:val="right"/>
              <w:textDirection w:val="tbRlV"/>
              <w:rPr>
                <w:rFonts w:hAnsi="Times New Roman"/>
                <w:sz w:val="18"/>
                <w:szCs w:val="18"/>
                <w:lang w:eastAsia="zh-TW"/>
              </w:rPr>
            </w:pPr>
            <w:r w:rsidRPr="004F0EC4">
              <w:rPr>
                <w:rFonts w:hAnsi="Times New Roman"/>
                <w:sz w:val="18"/>
                <w:szCs w:val="18"/>
                <w:rtl/>
              </w:rPr>
              <w:t>47</w:t>
            </w:r>
          </w:p>
        </w:tc>
        <w:tc>
          <w:tcPr>
            <w:tcW w:w="534" w:type="dxa"/>
            <w:tcMar>
              <w:top w:w="0" w:type="dxa"/>
              <w:left w:w="0" w:type="dxa"/>
              <w:bottom w:w="0" w:type="dxa"/>
              <w:right w:w="0" w:type="dxa"/>
            </w:tcMar>
            <w:vAlign w:val="bottom"/>
          </w:tcPr>
          <w:p w14:paraId="22DDBD5D" w14:textId="5905DCF7" w:rsidR="00E54512" w:rsidRPr="004F0EC4" w:rsidRDefault="00E54512" w:rsidP="00867AED">
            <w:pPr>
              <w:pStyle w:val="SingleTxtG"/>
              <w:tabs>
                <w:tab w:val="clear" w:pos="1701"/>
                <w:tab w:val="clear" w:pos="2268"/>
              </w:tabs>
              <w:suppressAutoHyphens w:val="0"/>
              <w:bidi/>
              <w:spacing w:before="20" w:after="40" w:line="300" w:lineRule="exact"/>
              <w:ind w:left="57" w:right="0"/>
              <w:jc w:val="right"/>
              <w:textDirection w:val="tbRlV"/>
              <w:rPr>
                <w:rFonts w:hAnsi="Times New Roman"/>
                <w:sz w:val="18"/>
                <w:szCs w:val="18"/>
                <w:lang w:eastAsia="zh-TW"/>
              </w:rPr>
            </w:pPr>
            <w:r w:rsidRPr="004F0EC4">
              <w:rPr>
                <w:rFonts w:hAnsi="Times New Roman"/>
                <w:sz w:val="18"/>
                <w:szCs w:val="18"/>
              </w:rPr>
              <w:t>7,6</w:t>
            </w:r>
            <w:r w:rsidR="00D55303" w:rsidRPr="004F0EC4">
              <w:rPr>
                <w:rFonts w:hAnsi="Times New Roman" w:cs="Times New Roman" w:hint="cs"/>
                <w:sz w:val="18"/>
                <w:szCs w:val="18"/>
                <w:rtl/>
              </w:rPr>
              <w:t>⁒</w:t>
            </w:r>
          </w:p>
        </w:tc>
      </w:tr>
      <w:tr w:rsidR="00E54512" w:rsidRPr="004F0EC4" w14:paraId="27E614E3" w14:textId="77777777" w:rsidTr="00C96DE4">
        <w:trPr>
          <w:trHeight w:val="240"/>
        </w:trPr>
        <w:tc>
          <w:tcPr>
            <w:tcW w:w="2944" w:type="dxa"/>
            <w:tcMar>
              <w:top w:w="0" w:type="dxa"/>
              <w:left w:w="0" w:type="dxa"/>
              <w:bottom w:w="0" w:type="dxa"/>
              <w:right w:w="0" w:type="dxa"/>
            </w:tcMar>
          </w:tcPr>
          <w:p w14:paraId="038F2A5D"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left"/>
              <w:textDirection w:val="tbRlV"/>
              <w:rPr>
                <w:rFonts w:hAnsi="Times New Roman"/>
                <w:sz w:val="18"/>
                <w:szCs w:val="18"/>
                <w:lang w:eastAsia="zh-TW"/>
              </w:rPr>
            </w:pPr>
            <w:r w:rsidRPr="004F0EC4">
              <w:rPr>
                <w:rFonts w:hAnsi="Times New Roman"/>
                <w:sz w:val="18"/>
                <w:szCs w:val="18"/>
                <w:rtl/>
              </w:rPr>
              <w:t>المعلومات غير متوفرة أو غير كافية</w:t>
            </w:r>
          </w:p>
        </w:tc>
        <w:tc>
          <w:tcPr>
            <w:tcW w:w="462" w:type="dxa"/>
            <w:tcMar>
              <w:top w:w="0" w:type="dxa"/>
              <w:left w:w="0" w:type="dxa"/>
              <w:bottom w:w="0" w:type="dxa"/>
              <w:right w:w="0" w:type="dxa"/>
            </w:tcMar>
            <w:vAlign w:val="bottom"/>
          </w:tcPr>
          <w:p w14:paraId="2658E7E3"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282</w:t>
            </w:r>
          </w:p>
        </w:tc>
        <w:tc>
          <w:tcPr>
            <w:tcW w:w="644" w:type="dxa"/>
            <w:tcMar>
              <w:top w:w="0" w:type="dxa"/>
              <w:left w:w="0" w:type="dxa"/>
              <w:bottom w:w="0" w:type="dxa"/>
              <w:right w:w="0" w:type="dxa"/>
            </w:tcMar>
            <w:vAlign w:val="bottom"/>
          </w:tcPr>
          <w:p w14:paraId="3BC4A87C" w14:textId="4002787D"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Pr>
              <w:t>46,6</w:t>
            </w:r>
            <w:r w:rsidR="00D55303" w:rsidRPr="004F0EC4">
              <w:rPr>
                <w:rFonts w:hAnsi="Times New Roman" w:cs="Times New Roman" w:hint="cs"/>
                <w:sz w:val="18"/>
                <w:szCs w:val="18"/>
                <w:rtl/>
              </w:rPr>
              <w:t>⁒</w:t>
            </w:r>
          </w:p>
        </w:tc>
        <w:tc>
          <w:tcPr>
            <w:tcW w:w="546" w:type="dxa"/>
            <w:tcMar>
              <w:top w:w="0" w:type="dxa"/>
              <w:left w:w="0" w:type="dxa"/>
              <w:bottom w:w="0" w:type="dxa"/>
              <w:right w:w="0" w:type="dxa"/>
            </w:tcMar>
            <w:vAlign w:val="bottom"/>
          </w:tcPr>
          <w:p w14:paraId="02807FA8"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294</w:t>
            </w:r>
          </w:p>
        </w:tc>
        <w:tc>
          <w:tcPr>
            <w:tcW w:w="616" w:type="dxa"/>
            <w:tcMar>
              <w:top w:w="0" w:type="dxa"/>
              <w:left w:w="0" w:type="dxa"/>
              <w:bottom w:w="0" w:type="dxa"/>
              <w:right w:w="0" w:type="dxa"/>
            </w:tcMar>
            <w:vAlign w:val="bottom"/>
          </w:tcPr>
          <w:p w14:paraId="16AE0502" w14:textId="40195A3C"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Pr>
              <w:t>48,3</w:t>
            </w:r>
            <w:r w:rsidR="00D55303" w:rsidRPr="004F0EC4">
              <w:rPr>
                <w:rFonts w:hAnsi="Times New Roman" w:cs="Times New Roman" w:hint="cs"/>
                <w:sz w:val="18"/>
                <w:szCs w:val="18"/>
                <w:rtl/>
              </w:rPr>
              <w:t>⁒</w:t>
            </w:r>
          </w:p>
        </w:tc>
        <w:tc>
          <w:tcPr>
            <w:tcW w:w="560" w:type="dxa"/>
            <w:tcMar>
              <w:top w:w="0" w:type="dxa"/>
              <w:left w:w="0" w:type="dxa"/>
              <w:bottom w:w="0" w:type="dxa"/>
              <w:right w:w="0" w:type="dxa"/>
            </w:tcMar>
            <w:vAlign w:val="bottom"/>
          </w:tcPr>
          <w:p w14:paraId="2D02E151"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259</w:t>
            </w:r>
          </w:p>
        </w:tc>
        <w:tc>
          <w:tcPr>
            <w:tcW w:w="616" w:type="dxa"/>
            <w:tcMar>
              <w:top w:w="0" w:type="dxa"/>
              <w:left w:w="0" w:type="dxa"/>
              <w:bottom w:w="0" w:type="dxa"/>
              <w:right w:w="0" w:type="dxa"/>
            </w:tcMar>
            <w:vAlign w:val="bottom"/>
          </w:tcPr>
          <w:p w14:paraId="628AA4C2" w14:textId="626637BA"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Pr>
              <w:t>42,3</w:t>
            </w:r>
            <w:r w:rsidR="00D55303" w:rsidRPr="004F0EC4">
              <w:rPr>
                <w:rFonts w:hAnsi="Times New Roman" w:cs="Times New Roman" w:hint="cs"/>
                <w:sz w:val="18"/>
                <w:szCs w:val="18"/>
                <w:rtl/>
              </w:rPr>
              <w:t>⁒</w:t>
            </w:r>
          </w:p>
        </w:tc>
        <w:tc>
          <w:tcPr>
            <w:tcW w:w="448" w:type="dxa"/>
            <w:tcMar>
              <w:top w:w="0" w:type="dxa"/>
              <w:left w:w="0" w:type="dxa"/>
              <w:bottom w:w="0" w:type="dxa"/>
              <w:right w:w="0" w:type="dxa"/>
            </w:tcMar>
            <w:vAlign w:val="bottom"/>
          </w:tcPr>
          <w:p w14:paraId="7BDF997D"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0"/>
              <w:jc w:val="right"/>
              <w:textDirection w:val="tbRlV"/>
              <w:rPr>
                <w:rFonts w:hAnsi="Times New Roman"/>
                <w:sz w:val="18"/>
                <w:szCs w:val="18"/>
                <w:lang w:eastAsia="zh-TW"/>
              </w:rPr>
            </w:pPr>
            <w:r w:rsidRPr="004F0EC4">
              <w:rPr>
                <w:rFonts w:hAnsi="Times New Roman"/>
                <w:sz w:val="18"/>
                <w:szCs w:val="18"/>
                <w:rtl/>
              </w:rPr>
              <w:t>166</w:t>
            </w:r>
          </w:p>
        </w:tc>
        <w:tc>
          <w:tcPr>
            <w:tcW w:w="534" w:type="dxa"/>
            <w:tcMar>
              <w:top w:w="0" w:type="dxa"/>
              <w:left w:w="0" w:type="dxa"/>
              <w:bottom w:w="0" w:type="dxa"/>
              <w:right w:w="0" w:type="dxa"/>
            </w:tcMar>
            <w:vAlign w:val="bottom"/>
          </w:tcPr>
          <w:p w14:paraId="4C1049A5" w14:textId="4B58B6D8" w:rsidR="00E54512" w:rsidRPr="004F0EC4" w:rsidRDefault="00E54512" w:rsidP="00867AED">
            <w:pPr>
              <w:pStyle w:val="SingleTxtG"/>
              <w:tabs>
                <w:tab w:val="clear" w:pos="1701"/>
                <w:tab w:val="clear" w:pos="2268"/>
              </w:tabs>
              <w:suppressAutoHyphens w:val="0"/>
              <w:bidi/>
              <w:spacing w:before="20" w:after="40" w:line="300" w:lineRule="exact"/>
              <w:ind w:left="57" w:right="0"/>
              <w:jc w:val="right"/>
              <w:textDirection w:val="tbRlV"/>
              <w:rPr>
                <w:rFonts w:hAnsi="Times New Roman"/>
                <w:sz w:val="18"/>
                <w:szCs w:val="18"/>
                <w:lang w:eastAsia="zh-TW"/>
              </w:rPr>
            </w:pPr>
            <w:r w:rsidRPr="004F0EC4">
              <w:rPr>
                <w:rFonts w:hAnsi="Times New Roman"/>
                <w:sz w:val="18"/>
                <w:szCs w:val="18"/>
              </w:rPr>
              <w:t>26,9</w:t>
            </w:r>
            <w:r w:rsidR="00D55303" w:rsidRPr="004F0EC4">
              <w:rPr>
                <w:rFonts w:hAnsi="Times New Roman" w:cs="Times New Roman" w:hint="cs"/>
                <w:sz w:val="18"/>
                <w:szCs w:val="18"/>
                <w:rtl/>
              </w:rPr>
              <w:t>⁒</w:t>
            </w:r>
          </w:p>
        </w:tc>
      </w:tr>
    </w:tbl>
    <w:p w14:paraId="42541F43" w14:textId="687427B6" w:rsidR="00E54512" w:rsidRPr="004F0EC4" w:rsidRDefault="00E54512" w:rsidP="00E54512">
      <w:pPr>
        <w:pStyle w:val="SingleTxtGA"/>
        <w:spacing w:before="120" w:line="280" w:lineRule="exact"/>
        <w:rPr>
          <w:sz w:val="20"/>
          <w:szCs w:val="20"/>
        </w:rPr>
      </w:pPr>
      <w:r w:rsidRPr="004F0EC4">
        <w:rPr>
          <w:i/>
          <w:iCs/>
          <w:sz w:val="20"/>
          <w:szCs w:val="20"/>
          <w:rtl/>
        </w:rPr>
        <w:t>المصدر:</w:t>
      </w:r>
      <w:r w:rsidRPr="004F0EC4">
        <w:rPr>
          <w:sz w:val="20"/>
          <w:szCs w:val="20"/>
          <w:rtl/>
        </w:rPr>
        <w:tab/>
        <w:t>دائرة الخدمة المدنية والدائرة الوطنية لشؤون الأشخاص ذوي الإعاقة.</w:t>
      </w:r>
    </w:p>
    <w:p w14:paraId="30402BAD" w14:textId="77777777" w:rsidR="00E54512" w:rsidRPr="004F0EC4" w:rsidRDefault="00E54512" w:rsidP="00E54512">
      <w:pPr>
        <w:pStyle w:val="SingleTxtGA"/>
      </w:pPr>
      <w:r w:rsidRPr="004F0EC4">
        <w:rPr>
          <w:rtl/>
        </w:rPr>
        <w:t>166-</w:t>
      </w:r>
      <w:r w:rsidRPr="004F0EC4">
        <w:rPr>
          <w:rtl/>
        </w:rPr>
        <w:tab/>
        <w:t>وفي القطاع الخاص، كانت 235 15 شركة، في 30 حزيران/</w:t>
      </w:r>
      <w:proofErr w:type="gramStart"/>
      <w:r w:rsidRPr="004F0EC4">
        <w:rPr>
          <w:rtl/>
        </w:rPr>
        <w:t>يونيه</w:t>
      </w:r>
      <w:proofErr w:type="gramEnd"/>
      <w:r w:rsidRPr="004F0EC4">
        <w:rPr>
          <w:rtl/>
        </w:rPr>
        <w:t xml:space="preserve"> 2022، قد أبرمت عقوداً تشمل ما مجموعه 438 57 شخصاً من ذوي الإعاقة و/أو المستفيدين من إعانات الإعاقة.</w:t>
      </w:r>
    </w:p>
    <w:p w14:paraId="28D859A0" w14:textId="6F38C426" w:rsidR="00E54512" w:rsidRPr="004F0EC4" w:rsidRDefault="00E54512" w:rsidP="00E54512">
      <w:pPr>
        <w:pStyle w:val="H23GA"/>
        <w:rPr>
          <w:lang w:val="en-US"/>
        </w:rPr>
      </w:pPr>
      <w:r w:rsidRPr="004F0EC4">
        <w:rPr>
          <w:rtl/>
          <w:lang w:val="en-US"/>
        </w:rPr>
        <w:tab/>
      </w:r>
      <w:r w:rsidRPr="004F0EC4">
        <w:rPr>
          <w:rtl/>
          <w:lang w:val="en-US"/>
        </w:rPr>
        <w:tab/>
        <w:t xml:space="preserve">عدد العقود المسجلة، حسب حالة </w:t>
      </w:r>
      <w:proofErr w:type="gramStart"/>
      <w:r w:rsidRPr="004F0EC4">
        <w:rPr>
          <w:rtl/>
          <w:lang w:val="en-US"/>
        </w:rPr>
        <w:t>العقد</w:t>
      </w:r>
      <w:r w:rsidRPr="004F0EC4">
        <w:rPr>
          <w:vertAlign w:val="superscript"/>
          <w:rtl/>
          <w:lang w:val="en-US"/>
        </w:rPr>
        <w:t>(</w:t>
      </w:r>
      <w:proofErr w:type="gramEnd"/>
      <w:r w:rsidRPr="004F0EC4">
        <w:rPr>
          <w:vertAlign w:val="superscript"/>
          <w:rtl/>
          <w:lang w:val="en-US"/>
        </w:rPr>
        <w:footnoteReference w:id="250"/>
      </w:r>
      <w:r w:rsidRPr="004F0EC4">
        <w:rPr>
          <w:vertAlign w:val="superscript"/>
          <w:rtl/>
          <w:lang w:val="en-US"/>
        </w:rPr>
        <w:t>)</w:t>
      </w:r>
      <w:r w:rsidRPr="004F0EC4">
        <w:rPr>
          <w:rtl/>
          <w:lang w:val="en-US"/>
        </w:rPr>
        <w:t xml:space="preserve"> </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850"/>
        <w:gridCol w:w="602"/>
        <w:gridCol w:w="816"/>
        <w:gridCol w:w="637"/>
        <w:gridCol w:w="780"/>
        <w:gridCol w:w="672"/>
        <w:gridCol w:w="887"/>
        <w:gridCol w:w="566"/>
      </w:tblGrid>
      <w:tr w:rsidR="00E54512" w:rsidRPr="004F0EC4" w14:paraId="41D589D4" w14:textId="77777777" w:rsidTr="00D926CD">
        <w:trPr>
          <w:trHeight w:val="240"/>
          <w:tblHeader/>
        </w:trPr>
        <w:tc>
          <w:tcPr>
            <w:tcW w:w="1560" w:type="dxa"/>
            <w:vMerge w:val="restart"/>
            <w:tcBorders>
              <w:top w:val="single" w:sz="4" w:space="0" w:color="auto"/>
              <w:bottom w:val="single" w:sz="12" w:space="0" w:color="auto"/>
            </w:tcBorders>
            <w:vAlign w:val="bottom"/>
          </w:tcPr>
          <w:p w14:paraId="45494853"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left"/>
              <w:textDirection w:val="tbRlV"/>
              <w:rPr>
                <w:rFonts w:hAnsi="Times New Roman" w:hint="cs"/>
                <w:i/>
                <w:sz w:val="18"/>
                <w:szCs w:val="18"/>
                <w:rtl/>
                <w:lang w:eastAsia="zh-TW"/>
              </w:rPr>
            </w:pPr>
            <w:r w:rsidRPr="004F0EC4">
              <w:rPr>
                <w:rFonts w:hAnsi="Times New Roman"/>
                <w:i/>
                <w:iCs/>
                <w:sz w:val="18"/>
                <w:szCs w:val="18"/>
                <w:rtl/>
              </w:rPr>
              <w:t>الحالة</w:t>
            </w:r>
          </w:p>
        </w:tc>
        <w:tc>
          <w:tcPr>
            <w:tcW w:w="1452" w:type="dxa"/>
            <w:gridSpan w:val="2"/>
            <w:tcBorders>
              <w:top w:val="single" w:sz="4" w:space="0" w:color="auto"/>
              <w:bottom w:val="single" w:sz="4" w:space="0" w:color="auto"/>
              <w:right w:val="single" w:sz="24" w:space="0" w:color="FFFFFF" w:themeColor="background1"/>
            </w:tcBorders>
            <w:vAlign w:val="bottom"/>
          </w:tcPr>
          <w:p w14:paraId="27688300"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center"/>
              <w:textDirection w:val="tbRlV"/>
              <w:rPr>
                <w:rFonts w:hAnsi="Times New Roman"/>
                <w:i/>
                <w:sz w:val="18"/>
                <w:szCs w:val="18"/>
                <w:lang w:eastAsia="zh-TW"/>
              </w:rPr>
            </w:pPr>
            <w:r w:rsidRPr="004F0EC4">
              <w:rPr>
                <w:rFonts w:hAnsi="Times New Roman"/>
                <w:i/>
                <w:iCs/>
                <w:sz w:val="18"/>
                <w:szCs w:val="18"/>
                <w:rtl/>
              </w:rPr>
              <w:t>28 شباط/فبراير 2019</w:t>
            </w:r>
          </w:p>
        </w:tc>
        <w:tc>
          <w:tcPr>
            <w:tcW w:w="1453"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6F767196"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center"/>
              <w:textDirection w:val="tbRlV"/>
              <w:rPr>
                <w:rFonts w:hAnsi="Times New Roman"/>
                <w:i/>
                <w:sz w:val="18"/>
                <w:szCs w:val="18"/>
                <w:lang w:eastAsia="zh-TW"/>
              </w:rPr>
            </w:pPr>
            <w:r w:rsidRPr="004F0EC4">
              <w:rPr>
                <w:rFonts w:hAnsi="Times New Roman"/>
                <w:i/>
                <w:iCs/>
                <w:sz w:val="18"/>
                <w:szCs w:val="18"/>
                <w:rtl/>
              </w:rPr>
              <w:t>28 شباط/فبراير 2020</w:t>
            </w:r>
          </w:p>
        </w:tc>
        <w:tc>
          <w:tcPr>
            <w:tcW w:w="1452"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2DF0787C"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center"/>
              <w:textDirection w:val="tbRlV"/>
              <w:rPr>
                <w:rFonts w:hAnsi="Times New Roman"/>
                <w:i/>
                <w:sz w:val="18"/>
                <w:szCs w:val="18"/>
                <w:lang w:eastAsia="zh-TW"/>
              </w:rPr>
            </w:pPr>
            <w:r w:rsidRPr="004F0EC4">
              <w:rPr>
                <w:rFonts w:hAnsi="Times New Roman"/>
                <w:i/>
                <w:iCs/>
                <w:sz w:val="18"/>
                <w:szCs w:val="18"/>
                <w:rtl/>
              </w:rPr>
              <w:t>30 أيلول/سبتمبر 2021</w:t>
            </w:r>
          </w:p>
        </w:tc>
        <w:tc>
          <w:tcPr>
            <w:tcW w:w="1453" w:type="dxa"/>
            <w:gridSpan w:val="2"/>
            <w:tcBorders>
              <w:top w:val="single" w:sz="4" w:space="0" w:color="auto"/>
              <w:left w:val="single" w:sz="24" w:space="0" w:color="FFFFFF" w:themeColor="background1"/>
              <w:bottom w:val="single" w:sz="4" w:space="0" w:color="auto"/>
            </w:tcBorders>
            <w:vAlign w:val="bottom"/>
          </w:tcPr>
          <w:p w14:paraId="7D4B0396"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center"/>
              <w:textDirection w:val="tbRlV"/>
              <w:rPr>
                <w:rFonts w:hAnsi="Times New Roman"/>
                <w:i/>
                <w:sz w:val="18"/>
                <w:szCs w:val="18"/>
                <w:lang w:eastAsia="zh-TW"/>
              </w:rPr>
            </w:pPr>
            <w:r w:rsidRPr="004F0EC4">
              <w:rPr>
                <w:rFonts w:hAnsi="Times New Roman"/>
                <w:i/>
                <w:iCs/>
                <w:sz w:val="18"/>
                <w:szCs w:val="18"/>
                <w:rtl/>
              </w:rPr>
              <w:t>30 حزيران/</w:t>
            </w:r>
            <w:proofErr w:type="gramStart"/>
            <w:r w:rsidRPr="004F0EC4">
              <w:rPr>
                <w:rFonts w:hAnsi="Times New Roman"/>
                <w:i/>
                <w:iCs/>
                <w:sz w:val="18"/>
                <w:szCs w:val="18"/>
                <w:rtl/>
              </w:rPr>
              <w:t>يونيه</w:t>
            </w:r>
            <w:proofErr w:type="gramEnd"/>
            <w:r w:rsidRPr="004F0EC4">
              <w:rPr>
                <w:rFonts w:hAnsi="Times New Roman"/>
                <w:i/>
                <w:iCs/>
                <w:sz w:val="18"/>
                <w:szCs w:val="18"/>
                <w:rtl/>
              </w:rPr>
              <w:t xml:space="preserve"> 2022</w:t>
            </w:r>
          </w:p>
        </w:tc>
      </w:tr>
      <w:tr w:rsidR="00E54512" w:rsidRPr="004F0EC4" w14:paraId="09E01A27" w14:textId="77777777" w:rsidTr="00D926CD">
        <w:trPr>
          <w:trHeight w:val="240"/>
        </w:trPr>
        <w:tc>
          <w:tcPr>
            <w:tcW w:w="1560" w:type="dxa"/>
            <w:vMerge/>
            <w:tcBorders>
              <w:top w:val="single" w:sz="12" w:space="0" w:color="auto"/>
              <w:bottom w:val="single" w:sz="12" w:space="0" w:color="auto"/>
            </w:tcBorders>
            <w:vAlign w:val="bottom"/>
          </w:tcPr>
          <w:p w14:paraId="38155911" w14:textId="77777777" w:rsidR="00E54512" w:rsidRPr="004F0EC4" w:rsidRDefault="00E54512" w:rsidP="00867AED">
            <w:pPr>
              <w:pStyle w:val="SingleTxtG"/>
              <w:tabs>
                <w:tab w:val="clear" w:pos="1701"/>
                <w:tab w:val="clear" w:pos="2268"/>
              </w:tabs>
              <w:suppressAutoHyphens w:val="0"/>
              <w:spacing w:before="20" w:after="40" w:line="300" w:lineRule="exact"/>
              <w:ind w:left="57" w:right="113"/>
              <w:jc w:val="left"/>
              <w:rPr>
                <w:rFonts w:hAnsi="Times New Roman"/>
                <w:sz w:val="18"/>
                <w:szCs w:val="18"/>
                <w:lang w:eastAsia="en-US"/>
              </w:rPr>
            </w:pPr>
          </w:p>
        </w:tc>
        <w:tc>
          <w:tcPr>
            <w:tcW w:w="850" w:type="dxa"/>
            <w:tcBorders>
              <w:top w:val="single" w:sz="4" w:space="0" w:color="auto"/>
              <w:bottom w:val="single" w:sz="12" w:space="0" w:color="auto"/>
            </w:tcBorders>
            <w:vAlign w:val="bottom"/>
          </w:tcPr>
          <w:p w14:paraId="2606ACDB"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i/>
                <w:sz w:val="18"/>
                <w:szCs w:val="18"/>
                <w:lang w:eastAsia="zh-TW"/>
              </w:rPr>
            </w:pPr>
            <w:r w:rsidRPr="004F0EC4">
              <w:rPr>
                <w:rFonts w:hAnsi="Times New Roman"/>
                <w:i/>
                <w:iCs/>
                <w:sz w:val="18"/>
                <w:szCs w:val="18"/>
                <w:rtl/>
              </w:rPr>
              <w:t>العدد</w:t>
            </w:r>
          </w:p>
        </w:tc>
        <w:tc>
          <w:tcPr>
            <w:tcW w:w="602" w:type="dxa"/>
            <w:tcBorders>
              <w:top w:val="single" w:sz="4" w:space="0" w:color="auto"/>
              <w:bottom w:val="single" w:sz="12" w:space="0" w:color="auto"/>
              <w:right w:val="single" w:sz="24" w:space="0" w:color="FFFFFF" w:themeColor="background1"/>
            </w:tcBorders>
            <w:vAlign w:val="bottom"/>
          </w:tcPr>
          <w:p w14:paraId="69221291" w14:textId="5558895A" w:rsidR="00E54512" w:rsidRPr="004F0EC4" w:rsidRDefault="00867AED"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i/>
                <w:sz w:val="18"/>
                <w:szCs w:val="18"/>
                <w:lang w:eastAsia="zh-TW"/>
              </w:rPr>
            </w:pPr>
            <w:r w:rsidRPr="004F0EC4">
              <w:rPr>
                <w:rFonts w:hAnsi="Times New Roman" w:cs="Times New Roman" w:hint="cs"/>
                <w:sz w:val="18"/>
                <w:szCs w:val="18"/>
                <w:rtl/>
              </w:rPr>
              <w:t>⁒</w:t>
            </w:r>
          </w:p>
        </w:tc>
        <w:tc>
          <w:tcPr>
            <w:tcW w:w="816" w:type="dxa"/>
            <w:tcBorders>
              <w:top w:val="single" w:sz="4" w:space="0" w:color="auto"/>
              <w:left w:val="single" w:sz="24" w:space="0" w:color="FFFFFF" w:themeColor="background1"/>
              <w:bottom w:val="single" w:sz="12" w:space="0" w:color="auto"/>
            </w:tcBorders>
            <w:vAlign w:val="bottom"/>
          </w:tcPr>
          <w:p w14:paraId="5B2F29AE"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i/>
                <w:sz w:val="18"/>
                <w:szCs w:val="18"/>
                <w:lang w:eastAsia="zh-TW"/>
              </w:rPr>
            </w:pPr>
            <w:r w:rsidRPr="004F0EC4">
              <w:rPr>
                <w:rFonts w:hAnsi="Times New Roman"/>
                <w:i/>
                <w:iCs/>
                <w:sz w:val="18"/>
                <w:szCs w:val="18"/>
                <w:rtl/>
              </w:rPr>
              <w:t>العدد</w:t>
            </w:r>
          </w:p>
        </w:tc>
        <w:tc>
          <w:tcPr>
            <w:tcW w:w="637" w:type="dxa"/>
            <w:tcBorders>
              <w:top w:val="single" w:sz="4" w:space="0" w:color="auto"/>
              <w:bottom w:val="single" w:sz="12" w:space="0" w:color="auto"/>
              <w:right w:val="single" w:sz="24" w:space="0" w:color="FFFFFF" w:themeColor="background1"/>
            </w:tcBorders>
            <w:vAlign w:val="bottom"/>
          </w:tcPr>
          <w:p w14:paraId="3B5ECC5B" w14:textId="0DEDB92E" w:rsidR="00E54512" w:rsidRPr="004F0EC4" w:rsidRDefault="00867AED"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i/>
                <w:sz w:val="18"/>
                <w:szCs w:val="18"/>
                <w:lang w:eastAsia="zh-TW"/>
              </w:rPr>
            </w:pPr>
            <w:r w:rsidRPr="004F0EC4">
              <w:rPr>
                <w:rFonts w:hAnsi="Times New Roman" w:cs="Times New Roman" w:hint="cs"/>
                <w:sz w:val="18"/>
                <w:szCs w:val="18"/>
                <w:rtl/>
              </w:rPr>
              <w:t>⁒</w:t>
            </w:r>
          </w:p>
        </w:tc>
        <w:tc>
          <w:tcPr>
            <w:tcW w:w="780" w:type="dxa"/>
            <w:tcBorders>
              <w:top w:val="single" w:sz="4" w:space="0" w:color="auto"/>
              <w:left w:val="single" w:sz="24" w:space="0" w:color="FFFFFF" w:themeColor="background1"/>
              <w:bottom w:val="single" w:sz="12" w:space="0" w:color="auto"/>
            </w:tcBorders>
            <w:vAlign w:val="bottom"/>
          </w:tcPr>
          <w:p w14:paraId="3ED29839"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i/>
                <w:sz w:val="18"/>
                <w:szCs w:val="18"/>
                <w:lang w:eastAsia="zh-TW"/>
              </w:rPr>
            </w:pPr>
            <w:r w:rsidRPr="004F0EC4">
              <w:rPr>
                <w:rFonts w:hAnsi="Times New Roman"/>
                <w:i/>
                <w:iCs/>
                <w:sz w:val="18"/>
                <w:szCs w:val="18"/>
                <w:rtl/>
              </w:rPr>
              <w:t>العدد</w:t>
            </w:r>
          </w:p>
        </w:tc>
        <w:tc>
          <w:tcPr>
            <w:tcW w:w="672" w:type="dxa"/>
            <w:tcBorders>
              <w:top w:val="single" w:sz="4" w:space="0" w:color="auto"/>
              <w:bottom w:val="single" w:sz="12" w:space="0" w:color="auto"/>
              <w:right w:val="single" w:sz="24" w:space="0" w:color="FFFFFF" w:themeColor="background1"/>
            </w:tcBorders>
            <w:vAlign w:val="bottom"/>
          </w:tcPr>
          <w:p w14:paraId="3026A264" w14:textId="514E23FF" w:rsidR="00E54512" w:rsidRPr="004F0EC4" w:rsidRDefault="00867AED"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i/>
                <w:sz w:val="18"/>
                <w:szCs w:val="18"/>
                <w:lang w:eastAsia="zh-TW"/>
              </w:rPr>
            </w:pPr>
            <w:r w:rsidRPr="004F0EC4">
              <w:rPr>
                <w:rFonts w:hAnsi="Times New Roman" w:cs="Times New Roman" w:hint="cs"/>
                <w:sz w:val="18"/>
                <w:szCs w:val="18"/>
                <w:rtl/>
              </w:rPr>
              <w:t>⁒</w:t>
            </w:r>
          </w:p>
        </w:tc>
        <w:tc>
          <w:tcPr>
            <w:tcW w:w="887" w:type="dxa"/>
            <w:tcBorders>
              <w:top w:val="single" w:sz="4" w:space="0" w:color="auto"/>
              <w:left w:val="single" w:sz="24" w:space="0" w:color="FFFFFF" w:themeColor="background1"/>
              <w:bottom w:val="single" w:sz="12" w:space="0" w:color="auto"/>
            </w:tcBorders>
            <w:vAlign w:val="bottom"/>
          </w:tcPr>
          <w:p w14:paraId="5530AE71"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i/>
                <w:sz w:val="18"/>
                <w:szCs w:val="18"/>
                <w:lang w:eastAsia="zh-TW"/>
              </w:rPr>
            </w:pPr>
            <w:r w:rsidRPr="004F0EC4">
              <w:rPr>
                <w:rFonts w:hAnsi="Times New Roman"/>
                <w:i/>
                <w:iCs/>
                <w:sz w:val="18"/>
                <w:szCs w:val="18"/>
                <w:rtl/>
              </w:rPr>
              <w:t>العدد</w:t>
            </w:r>
          </w:p>
        </w:tc>
        <w:tc>
          <w:tcPr>
            <w:tcW w:w="566" w:type="dxa"/>
            <w:tcBorders>
              <w:top w:val="single" w:sz="4" w:space="0" w:color="auto"/>
              <w:bottom w:val="single" w:sz="12" w:space="0" w:color="auto"/>
            </w:tcBorders>
            <w:vAlign w:val="bottom"/>
          </w:tcPr>
          <w:p w14:paraId="47A11644" w14:textId="375B810A" w:rsidR="00E54512" w:rsidRPr="004F0EC4" w:rsidRDefault="00867AED"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i/>
                <w:sz w:val="18"/>
                <w:szCs w:val="18"/>
                <w:lang w:eastAsia="zh-TW"/>
              </w:rPr>
            </w:pPr>
            <w:r w:rsidRPr="004F0EC4">
              <w:rPr>
                <w:rFonts w:hAnsi="Times New Roman" w:cs="Times New Roman" w:hint="cs"/>
                <w:sz w:val="18"/>
                <w:szCs w:val="18"/>
                <w:rtl/>
              </w:rPr>
              <w:t>⁒</w:t>
            </w:r>
          </w:p>
        </w:tc>
      </w:tr>
      <w:tr w:rsidR="00E54512" w:rsidRPr="004F0EC4" w14:paraId="7D4D714A" w14:textId="77777777" w:rsidTr="00D926CD">
        <w:trPr>
          <w:trHeight w:val="240"/>
        </w:trPr>
        <w:tc>
          <w:tcPr>
            <w:tcW w:w="1560" w:type="dxa"/>
            <w:tcBorders>
              <w:top w:val="single" w:sz="12" w:space="0" w:color="auto"/>
            </w:tcBorders>
          </w:tcPr>
          <w:p w14:paraId="75580FC6"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left"/>
              <w:textDirection w:val="tbRlV"/>
              <w:rPr>
                <w:rFonts w:hAnsi="Times New Roman"/>
                <w:sz w:val="18"/>
                <w:szCs w:val="18"/>
                <w:lang w:eastAsia="zh-TW"/>
              </w:rPr>
            </w:pPr>
            <w:r w:rsidRPr="004F0EC4">
              <w:rPr>
                <w:rFonts w:hAnsi="Times New Roman"/>
                <w:sz w:val="18"/>
                <w:szCs w:val="18"/>
                <w:rtl/>
              </w:rPr>
              <w:t xml:space="preserve">العقود السارية </w:t>
            </w:r>
          </w:p>
        </w:tc>
        <w:tc>
          <w:tcPr>
            <w:tcW w:w="850" w:type="dxa"/>
            <w:tcBorders>
              <w:top w:val="single" w:sz="12" w:space="0" w:color="auto"/>
            </w:tcBorders>
            <w:vAlign w:val="bottom"/>
          </w:tcPr>
          <w:p w14:paraId="4E621551"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426 11</w:t>
            </w:r>
          </w:p>
        </w:tc>
        <w:tc>
          <w:tcPr>
            <w:tcW w:w="602" w:type="dxa"/>
            <w:tcBorders>
              <w:top w:val="single" w:sz="12" w:space="0" w:color="auto"/>
            </w:tcBorders>
            <w:vAlign w:val="bottom"/>
          </w:tcPr>
          <w:p w14:paraId="23D89DF8"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89,2</w:t>
            </w:r>
          </w:p>
        </w:tc>
        <w:tc>
          <w:tcPr>
            <w:tcW w:w="816" w:type="dxa"/>
            <w:tcBorders>
              <w:top w:val="single" w:sz="12" w:space="0" w:color="auto"/>
            </w:tcBorders>
            <w:vAlign w:val="bottom"/>
          </w:tcPr>
          <w:p w14:paraId="4830E8E4"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071 20</w:t>
            </w:r>
          </w:p>
        </w:tc>
        <w:tc>
          <w:tcPr>
            <w:tcW w:w="637" w:type="dxa"/>
            <w:tcBorders>
              <w:top w:val="single" w:sz="12" w:space="0" w:color="auto"/>
            </w:tcBorders>
            <w:vAlign w:val="bottom"/>
          </w:tcPr>
          <w:p w14:paraId="17635CB4"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79,6</w:t>
            </w:r>
          </w:p>
        </w:tc>
        <w:tc>
          <w:tcPr>
            <w:tcW w:w="780" w:type="dxa"/>
            <w:tcBorders>
              <w:top w:val="single" w:sz="12" w:space="0" w:color="auto"/>
            </w:tcBorders>
            <w:vAlign w:val="bottom"/>
          </w:tcPr>
          <w:p w14:paraId="59E8321E"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745 22</w:t>
            </w:r>
          </w:p>
        </w:tc>
        <w:tc>
          <w:tcPr>
            <w:tcW w:w="672" w:type="dxa"/>
            <w:tcBorders>
              <w:top w:val="single" w:sz="12" w:space="0" w:color="auto"/>
            </w:tcBorders>
            <w:vAlign w:val="bottom"/>
          </w:tcPr>
          <w:p w14:paraId="3BD782BD"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63,38</w:t>
            </w:r>
          </w:p>
        </w:tc>
        <w:tc>
          <w:tcPr>
            <w:tcW w:w="887" w:type="dxa"/>
            <w:tcBorders>
              <w:top w:val="single" w:sz="12" w:space="0" w:color="auto"/>
            </w:tcBorders>
            <w:vAlign w:val="bottom"/>
          </w:tcPr>
          <w:p w14:paraId="55BF5E55"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438 57</w:t>
            </w:r>
          </w:p>
        </w:tc>
        <w:tc>
          <w:tcPr>
            <w:tcW w:w="566" w:type="dxa"/>
            <w:tcBorders>
              <w:top w:val="single" w:sz="12" w:space="0" w:color="auto"/>
            </w:tcBorders>
            <w:vAlign w:val="bottom"/>
          </w:tcPr>
          <w:p w14:paraId="2992BC45"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64,7</w:t>
            </w:r>
          </w:p>
        </w:tc>
      </w:tr>
      <w:tr w:rsidR="00E54512" w:rsidRPr="004F0EC4" w14:paraId="2D049FB6" w14:textId="77777777" w:rsidTr="00D926CD">
        <w:trPr>
          <w:trHeight w:val="240"/>
        </w:trPr>
        <w:tc>
          <w:tcPr>
            <w:tcW w:w="1560" w:type="dxa"/>
            <w:tcBorders>
              <w:bottom w:val="single" w:sz="4" w:space="0" w:color="auto"/>
            </w:tcBorders>
          </w:tcPr>
          <w:p w14:paraId="1F001600"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left"/>
              <w:textDirection w:val="tbRlV"/>
              <w:rPr>
                <w:rFonts w:hAnsi="Times New Roman"/>
                <w:sz w:val="18"/>
                <w:szCs w:val="18"/>
                <w:lang w:eastAsia="zh-TW"/>
              </w:rPr>
            </w:pPr>
            <w:r w:rsidRPr="004F0EC4">
              <w:rPr>
                <w:rFonts w:hAnsi="Times New Roman"/>
                <w:sz w:val="18"/>
                <w:szCs w:val="18"/>
                <w:rtl/>
              </w:rPr>
              <w:t xml:space="preserve">العقود المنتهية </w:t>
            </w:r>
          </w:p>
        </w:tc>
        <w:tc>
          <w:tcPr>
            <w:tcW w:w="850" w:type="dxa"/>
            <w:tcBorders>
              <w:bottom w:val="single" w:sz="4" w:space="0" w:color="auto"/>
            </w:tcBorders>
            <w:vAlign w:val="bottom"/>
          </w:tcPr>
          <w:p w14:paraId="6158CA0D"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377 1</w:t>
            </w:r>
          </w:p>
        </w:tc>
        <w:tc>
          <w:tcPr>
            <w:tcW w:w="602" w:type="dxa"/>
            <w:tcBorders>
              <w:bottom w:val="single" w:sz="4" w:space="0" w:color="auto"/>
            </w:tcBorders>
            <w:vAlign w:val="bottom"/>
          </w:tcPr>
          <w:p w14:paraId="264C3C93"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10,8</w:t>
            </w:r>
          </w:p>
        </w:tc>
        <w:tc>
          <w:tcPr>
            <w:tcW w:w="816" w:type="dxa"/>
            <w:tcBorders>
              <w:bottom w:val="single" w:sz="4" w:space="0" w:color="auto"/>
            </w:tcBorders>
            <w:vAlign w:val="bottom"/>
          </w:tcPr>
          <w:p w14:paraId="55BCA3CD"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138 5</w:t>
            </w:r>
          </w:p>
        </w:tc>
        <w:tc>
          <w:tcPr>
            <w:tcW w:w="637" w:type="dxa"/>
            <w:tcBorders>
              <w:bottom w:val="single" w:sz="4" w:space="0" w:color="auto"/>
            </w:tcBorders>
            <w:vAlign w:val="bottom"/>
          </w:tcPr>
          <w:p w14:paraId="40E4C57E"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20,4</w:t>
            </w:r>
          </w:p>
        </w:tc>
        <w:tc>
          <w:tcPr>
            <w:tcW w:w="780" w:type="dxa"/>
            <w:tcBorders>
              <w:bottom w:val="single" w:sz="4" w:space="0" w:color="auto"/>
            </w:tcBorders>
            <w:vAlign w:val="bottom"/>
          </w:tcPr>
          <w:p w14:paraId="23793A55"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138 13</w:t>
            </w:r>
          </w:p>
        </w:tc>
        <w:tc>
          <w:tcPr>
            <w:tcW w:w="672" w:type="dxa"/>
            <w:tcBorders>
              <w:bottom w:val="single" w:sz="4" w:space="0" w:color="auto"/>
            </w:tcBorders>
            <w:vAlign w:val="bottom"/>
          </w:tcPr>
          <w:p w14:paraId="7CBF9442"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36,61</w:t>
            </w:r>
          </w:p>
        </w:tc>
        <w:tc>
          <w:tcPr>
            <w:tcW w:w="887" w:type="dxa"/>
            <w:tcBorders>
              <w:bottom w:val="single" w:sz="4" w:space="0" w:color="auto"/>
            </w:tcBorders>
            <w:vAlign w:val="bottom"/>
          </w:tcPr>
          <w:p w14:paraId="5CA7AFD2"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189 31</w:t>
            </w:r>
          </w:p>
        </w:tc>
        <w:tc>
          <w:tcPr>
            <w:tcW w:w="566" w:type="dxa"/>
            <w:tcBorders>
              <w:bottom w:val="single" w:sz="4" w:space="0" w:color="auto"/>
            </w:tcBorders>
            <w:vAlign w:val="bottom"/>
          </w:tcPr>
          <w:p w14:paraId="2810F145"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sz w:val="18"/>
                <w:szCs w:val="18"/>
                <w:lang w:eastAsia="zh-TW"/>
              </w:rPr>
            </w:pPr>
            <w:r w:rsidRPr="004F0EC4">
              <w:rPr>
                <w:rFonts w:hAnsi="Times New Roman"/>
                <w:sz w:val="18"/>
                <w:szCs w:val="18"/>
                <w:rtl/>
              </w:rPr>
              <w:t>35,2</w:t>
            </w:r>
          </w:p>
        </w:tc>
      </w:tr>
      <w:tr w:rsidR="00E54512" w:rsidRPr="004F0EC4" w14:paraId="37C34985" w14:textId="77777777" w:rsidTr="00D926CD">
        <w:trPr>
          <w:trHeight w:val="240"/>
        </w:trPr>
        <w:tc>
          <w:tcPr>
            <w:tcW w:w="1560" w:type="dxa"/>
            <w:tcBorders>
              <w:top w:val="single" w:sz="4" w:space="0" w:color="auto"/>
              <w:bottom w:val="single" w:sz="12" w:space="0" w:color="auto"/>
            </w:tcBorders>
          </w:tcPr>
          <w:p w14:paraId="256FD313"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left"/>
              <w:textDirection w:val="tbRlV"/>
              <w:rPr>
                <w:rFonts w:hAnsi="Times New Roman"/>
                <w:b/>
                <w:sz w:val="18"/>
                <w:szCs w:val="18"/>
                <w:lang w:eastAsia="zh-TW"/>
              </w:rPr>
            </w:pPr>
            <w:r w:rsidRPr="004F0EC4">
              <w:rPr>
                <w:rFonts w:hAnsi="Times New Roman"/>
                <w:b/>
                <w:bCs/>
                <w:sz w:val="18"/>
                <w:szCs w:val="18"/>
                <w:rtl/>
              </w:rPr>
              <w:t>إجمالي العقود المسجلة</w:t>
            </w:r>
            <w:r w:rsidRPr="004F0EC4">
              <w:rPr>
                <w:rFonts w:hAnsi="Times New Roman"/>
                <w:bCs/>
                <w:sz w:val="18"/>
                <w:szCs w:val="18"/>
                <w:rtl/>
              </w:rPr>
              <w:t xml:space="preserve"> </w:t>
            </w:r>
          </w:p>
        </w:tc>
        <w:tc>
          <w:tcPr>
            <w:tcW w:w="850" w:type="dxa"/>
            <w:tcBorders>
              <w:top w:val="single" w:sz="4" w:space="0" w:color="auto"/>
              <w:bottom w:val="single" w:sz="12" w:space="0" w:color="auto"/>
            </w:tcBorders>
            <w:vAlign w:val="bottom"/>
          </w:tcPr>
          <w:p w14:paraId="4E013E18"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b/>
                <w:sz w:val="18"/>
                <w:szCs w:val="18"/>
                <w:lang w:eastAsia="zh-TW"/>
              </w:rPr>
            </w:pPr>
            <w:r w:rsidRPr="004F0EC4">
              <w:rPr>
                <w:rFonts w:hAnsi="Times New Roman"/>
                <w:b/>
                <w:bCs/>
                <w:sz w:val="18"/>
                <w:szCs w:val="18"/>
                <w:rtl/>
              </w:rPr>
              <w:t>803 12</w:t>
            </w:r>
          </w:p>
        </w:tc>
        <w:tc>
          <w:tcPr>
            <w:tcW w:w="602" w:type="dxa"/>
            <w:tcBorders>
              <w:top w:val="single" w:sz="4" w:space="0" w:color="auto"/>
              <w:bottom w:val="single" w:sz="12" w:space="0" w:color="auto"/>
            </w:tcBorders>
            <w:vAlign w:val="bottom"/>
          </w:tcPr>
          <w:p w14:paraId="20B7EF6B"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b/>
                <w:sz w:val="18"/>
                <w:szCs w:val="18"/>
                <w:lang w:eastAsia="zh-TW"/>
              </w:rPr>
            </w:pPr>
            <w:r w:rsidRPr="004F0EC4">
              <w:rPr>
                <w:rFonts w:hAnsi="Times New Roman"/>
                <w:b/>
                <w:bCs/>
                <w:sz w:val="18"/>
                <w:szCs w:val="18"/>
                <w:rtl/>
              </w:rPr>
              <w:t>100</w:t>
            </w:r>
          </w:p>
        </w:tc>
        <w:tc>
          <w:tcPr>
            <w:tcW w:w="816" w:type="dxa"/>
            <w:tcBorders>
              <w:top w:val="single" w:sz="4" w:space="0" w:color="auto"/>
              <w:bottom w:val="single" w:sz="12" w:space="0" w:color="auto"/>
            </w:tcBorders>
            <w:vAlign w:val="bottom"/>
          </w:tcPr>
          <w:p w14:paraId="4B68A766"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b/>
                <w:sz w:val="18"/>
                <w:szCs w:val="18"/>
                <w:lang w:eastAsia="zh-TW"/>
              </w:rPr>
            </w:pPr>
            <w:r w:rsidRPr="004F0EC4">
              <w:rPr>
                <w:rFonts w:hAnsi="Times New Roman"/>
                <w:b/>
                <w:bCs/>
                <w:sz w:val="18"/>
                <w:szCs w:val="18"/>
                <w:rtl/>
              </w:rPr>
              <w:t>209 25</w:t>
            </w:r>
          </w:p>
        </w:tc>
        <w:tc>
          <w:tcPr>
            <w:tcW w:w="637" w:type="dxa"/>
            <w:tcBorders>
              <w:top w:val="single" w:sz="4" w:space="0" w:color="auto"/>
              <w:bottom w:val="single" w:sz="12" w:space="0" w:color="auto"/>
            </w:tcBorders>
            <w:vAlign w:val="bottom"/>
          </w:tcPr>
          <w:p w14:paraId="08EAD17E"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b/>
                <w:sz w:val="18"/>
                <w:szCs w:val="18"/>
                <w:lang w:eastAsia="zh-TW"/>
              </w:rPr>
            </w:pPr>
            <w:r w:rsidRPr="004F0EC4">
              <w:rPr>
                <w:rFonts w:hAnsi="Times New Roman"/>
                <w:b/>
                <w:bCs/>
                <w:sz w:val="18"/>
                <w:szCs w:val="18"/>
                <w:rtl/>
              </w:rPr>
              <w:t>100</w:t>
            </w:r>
          </w:p>
        </w:tc>
        <w:tc>
          <w:tcPr>
            <w:tcW w:w="780" w:type="dxa"/>
            <w:tcBorders>
              <w:top w:val="single" w:sz="4" w:space="0" w:color="auto"/>
              <w:bottom w:val="single" w:sz="12" w:space="0" w:color="auto"/>
            </w:tcBorders>
            <w:vAlign w:val="bottom"/>
          </w:tcPr>
          <w:p w14:paraId="337395A8"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b/>
                <w:sz w:val="18"/>
                <w:szCs w:val="18"/>
                <w:lang w:eastAsia="zh-TW"/>
              </w:rPr>
            </w:pPr>
            <w:r w:rsidRPr="004F0EC4">
              <w:rPr>
                <w:rFonts w:hAnsi="Times New Roman"/>
                <w:b/>
                <w:bCs/>
                <w:sz w:val="18"/>
                <w:szCs w:val="18"/>
                <w:rtl/>
              </w:rPr>
              <w:t>883 35</w:t>
            </w:r>
          </w:p>
        </w:tc>
        <w:tc>
          <w:tcPr>
            <w:tcW w:w="672" w:type="dxa"/>
            <w:tcBorders>
              <w:top w:val="single" w:sz="4" w:space="0" w:color="auto"/>
              <w:bottom w:val="single" w:sz="12" w:space="0" w:color="auto"/>
            </w:tcBorders>
            <w:vAlign w:val="bottom"/>
          </w:tcPr>
          <w:p w14:paraId="7441216C"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b/>
                <w:sz w:val="18"/>
                <w:szCs w:val="18"/>
                <w:lang w:eastAsia="zh-TW"/>
              </w:rPr>
            </w:pPr>
            <w:r w:rsidRPr="004F0EC4">
              <w:rPr>
                <w:rFonts w:hAnsi="Times New Roman"/>
                <w:b/>
                <w:bCs/>
                <w:sz w:val="18"/>
                <w:szCs w:val="18"/>
                <w:rtl/>
              </w:rPr>
              <w:t>100</w:t>
            </w:r>
          </w:p>
        </w:tc>
        <w:tc>
          <w:tcPr>
            <w:tcW w:w="887" w:type="dxa"/>
            <w:tcBorders>
              <w:top w:val="single" w:sz="4" w:space="0" w:color="auto"/>
              <w:bottom w:val="single" w:sz="12" w:space="0" w:color="auto"/>
            </w:tcBorders>
            <w:vAlign w:val="bottom"/>
          </w:tcPr>
          <w:p w14:paraId="01AC32CF"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b/>
                <w:sz w:val="18"/>
                <w:szCs w:val="18"/>
                <w:lang w:eastAsia="zh-TW"/>
              </w:rPr>
            </w:pPr>
            <w:r w:rsidRPr="004F0EC4">
              <w:rPr>
                <w:rFonts w:hAnsi="Times New Roman"/>
                <w:b/>
                <w:bCs/>
                <w:sz w:val="18"/>
                <w:szCs w:val="18"/>
                <w:rtl/>
              </w:rPr>
              <w:t>627 88</w:t>
            </w:r>
          </w:p>
        </w:tc>
        <w:tc>
          <w:tcPr>
            <w:tcW w:w="566" w:type="dxa"/>
            <w:tcBorders>
              <w:top w:val="single" w:sz="4" w:space="0" w:color="auto"/>
              <w:bottom w:val="single" w:sz="12" w:space="0" w:color="auto"/>
            </w:tcBorders>
            <w:vAlign w:val="bottom"/>
          </w:tcPr>
          <w:p w14:paraId="4625EB5E" w14:textId="77777777" w:rsidR="00E54512" w:rsidRPr="004F0EC4" w:rsidRDefault="00E54512" w:rsidP="00867AED">
            <w:pPr>
              <w:pStyle w:val="SingleTxtG"/>
              <w:tabs>
                <w:tab w:val="clear" w:pos="1701"/>
                <w:tab w:val="clear" w:pos="2268"/>
              </w:tabs>
              <w:suppressAutoHyphens w:val="0"/>
              <w:bidi/>
              <w:spacing w:before="20" w:after="40" w:line="300" w:lineRule="exact"/>
              <w:ind w:left="57" w:right="113"/>
              <w:jc w:val="right"/>
              <w:textDirection w:val="tbRlV"/>
              <w:rPr>
                <w:rFonts w:hAnsi="Times New Roman"/>
                <w:b/>
                <w:sz w:val="18"/>
                <w:szCs w:val="18"/>
                <w:lang w:eastAsia="zh-TW"/>
              </w:rPr>
            </w:pPr>
            <w:r w:rsidRPr="004F0EC4">
              <w:rPr>
                <w:rFonts w:hAnsi="Times New Roman"/>
                <w:b/>
                <w:bCs/>
                <w:sz w:val="18"/>
                <w:szCs w:val="18"/>
                <w:rtl/>
              </w:rPr>
              <w:t>100</w:t>
            </w:r>
          </w:p>
        </w:tc>
      </w:tr>
    </w:tbl>
    <w:p w14:paraId="27F71DA4" w14:textId="36DD23C1" w:rsidR="00E54512" w:rsidRPr="004F0EC4" w:rsidRDefault="00E54512" w:rsidP="00E54512">
      <w:pPr>
        <w:pStyle w:val="SingleTxtGA"/>
        <w:spacing w:before="120" w:line="280" w:lineRule="exact"/>
        <w:rPr>
          <w:sz w:val="20"/>
          <w:szCs w:val="20"/>
        </w:rPr>
      </w:pPr>
      <w:r w:rsidRPr="004F0EC4">
        <w:rPr>
          <w:i/>
          <w:iCs/>
          <w:sz w:val="20"/>
          <w:szCs w:val="20"/>
          <w:rtl/>
        </w:rPr>
        <w:t>المصدر:</w:t>
      </w:r>
      <w:r w:rsidRPr="004F0EC4">
        <w:rPr>
          <w:sz w:val="20"/>
          <w:szCs w:val="20"/>
          <w:rtl/>
        </w:rPr>
        <w:tab/>
        <w:t>مديرية العمل (في 30 حزيران/</w:t>
      </w:r>
      <w:proofErr w:type="gramStart"/>
      <w:r w:rsidRPr="004F0EC4">
        <w:rPr>
          <w:sz w:val="20"/>
          <w:szCs w:val="20"/>
          <w:rtl/>
        </w:rPr>
        <w:t>يونيه</w:t>
      </w:r>
      <w:proofErr w:type="gramEnd"/>
      <w:r w:rsidRPr="004F0EC4">
        <w:rPr>
          <w:sz w:val="20"/>
          <w:szCs w:val="20"/>
          <w:rtl/>
        </w:rPr>
        <w:t xml:space="preserve"> 2022).</w:t>
      </w:r>
    </w:p>
    <w:p w14:paraId="4E38F418" w14:textId="7A887F24" w:rsidR="00E54512" w:rsidRPr="004F0EC4" w:rsidRDefault="00E54512" w:rsidP="00867AED">
      <w:pPr>
        <w:pStyle w:val="SingleTxtGA"/>
        <w:spacing w:line="346" w:lineRule="exact"/>
      </w:pPr>
      <w:r w:rsidRPr="004F0EC4">
        <w:rPr>
          <w:rtl/>
        </w:rPr>
        <w:t>167-</w:t>
      </w:r>
      <w:r w:rsidRPr="004F0EC4">
        <w:rPr>
          <w:rtl/>
        </w:rPr>
        <w:tab/>
        <w:t>وعلى إثر هذا التقرير، قدمت السلطة التنفيذية في حزيران/</w:t>
      </w:r>
      <w:proofErr w:type="gramStart"/>
      <w:r w:rsidRPr="004F0EC4">
        <w:rPr>
          <w:rtl/>
        </w:rPr>
        <w:t>يونيه</w:t>
      </w:r>
      <w:proofErr w:type="gramEnd"/>
      <w:r w:rsidRPr="004F0EC4">
        <w:rPr>
          <w:rtl/>
        </w:rPr>
        <w:t xml:space="preserve"> 2021 مشروع قانون لتعديل قانون العمل والأحكام القانونية الأخرى التي تنظم إدماج الأشخاص ذوي الإعاقة والمستفيدين من إعانات الإعاقة في سوق العمل (مشروع القانون رقم 14-445-</w:t>
      </w:r>
      <w:proofErr w:type="gramStart"/>
      <w:r w:rsidRPr="004F0EC4">
        <w:rPr>
          <w:rtl/>
        </w:rPr>
        <w:t>13)</w:t>
      </w:r>
      <w:r w:rsidRPr="004F0EC4">
        <w:rPr>
          <w:vertAlign w:val="superscript"/>
          <w:rtl/>
        </w:rPr>
        <w:t>(</w:t>
      </w:r>
      <w:proofErr w:type="gramEnd"/>
      <w:r w:rsidRPr="004F0EC4">
        <w:rPr>
          <w:vertAlign w:val="superscript"/>
          <w:rtl/>
        </w:rPr>
        <w:footnoteReference w:id="251"/>
      </w:r>
      <w:r w:rsidRPr="004F0EC4">
        <w:rPr>
          <w:vertAlign w:val="superscript"/>
          <w:rtl/>
        </w:rPr>
        <w:t>)</w:t>
      </w:r>
      <w:r w:rsidRPr="004F0EC4">
        <w:rPr>
          <w:rtl/>
        </w:rPr>
        <w:t>. ويُعزز مشروع القانون صلاحيات مديرية العمل ومكتب المراقب العام.</w:t>
      </w:r>
    </w:p>
    <w:p w14:paraId="79F91C8C" w14:textId="0146DA74" w:rsidR="00E54512" w:rsidRPr="004F0EC4" w:rsidRDefault="00E54512" w:rsidP="00867AED">
      <w:pPr>
        <w:pStyle w:val="SingleTxtGA"/>
        <w:spacing w:line="346" w:lineRule="exact"/>
      </w:pPr>
      <w:r w:rsidRPr="004F0EC4">
        <w:rPr>
          <w:rtl/>
        </w:rPr>
        <w:t>168-</w:t>
      </w:r>
      <w:r w:rsidRPr="004F0EC4">
        <w:rPr>
          <w:rtl/>
        </w:rPr>
        <w:tab/>
        <w:t>وفي الفترة من 1 كانون الثاني/يناير 2016 إلى 30 حزيران/</w:t>
      </w:r>
      <w:proofErr w:type="gramStart"/>
      <w:r w:rsidRPr="004F0EC4">
        <w:rPr>
          <w:rtl/>
        </w:rPr>
        <w:t>يونيه</w:t>
      </w:r>
      <w:proofErr w:type="gramEnd"/>
      <w:r w:rsidRPr="004F0EC4">
        <w:rPr>
          <w:rtl/>
        </w:rPr>
        <w:t xml:space="preserve"> 2021، نظمت مديرية العمل دورات تدريبية شارك فيها 300 2 شخص. وشُكلت أفرقة عمل ولجان إقليمية ثلاثية تضم الجهات المعنية بغية تشجيع الحوار الاجتماعي. وشاركت وزارة العمل والضمان الاجتماعي في صياغة وإصدار دليل للممارسات الجيدة المتعلقة بإدماج الأشخاص ذوي الإعاقة في سوق </w:t>
      </w:r>
      <w:proofErr w:type="gramStart"/>
      <w:r w:rsidRPr="004F0EC4">
        <w:rPr>
          <w:rtl/>
        </w:rPr>
        <w:t>العمل</w:t>
      </w:r>
      <w:r w:rsidRPr="004F0EC4">
        <w:rPr>
          <w:vertAlign w:val="superscript"/>
          <w:rtl/>
        </w:rPr>
        <w:t>(</w:t>
      </w:r>
      <w:proofErr w:type="gramEnd"/>
      <w:r w:rsidRPr="004F0EC4">
        <w:rPr>
          <w:vertAlign w:val="superscript"/>
          <w:rtl/>
        </w:rPr>
        <w:footnoteReference w:id="252"/>
      </w:r>
      <w:r w:rsidRPr="004F0EC4">
        <w:rPr>
          <w:vertAlign w:val="superscript"/>
          <w:rtl/>
        </w:rPr>
        <w:t>)</w:t>
      </w:r>
      <w:r w:rsidRPr="004F0EC4">
        <w:rPr>
          <w:rtl/>
        </w:rPr>
        <w:t>، وهو موجه إلى أصحاب العمل في القطاع الخاص. وأقامت الوزارة أيضاً شراكات متنوعة بين القطاعين العام والخاص لتعزيز معالجة القضايا المتعلقة بالإدماج في سوق العمل، بما في ذلك المجلس الاستشاري ل</w:t>
      </w:r>
      <w:r w:rsidRPr="004F0EC4">
        <w:rPr>
          <w:rFonts w:hint="cs"/>
          <w:rtl/>
        </w:rPr>
        <w:t>‍</w:t>
      </w:r>
      <w:r w:rsidRPr="004F0EC4">
        <w:rPr>
          <w:rtl/>
        </w:rPr>
        <w:t xml:space="preserve"> "ميثاق الإنتاجية"، والبرنامج المؤسسي لتعزيز توظيف الأشخاص ذوي </w:t>
      </w:r>
      <w:proofErr w:type="gramStart"/>
      <w:r w:rsidRPr="004F0EC4">
        <w:rPr>
          <w:rtl/>
        </w:rPr>
        <w:t>الإعاقة</w:t>
      </w:r>
      <w:r w:rsidRPr="004F0EC4">
        <w:rPr>
          <w:vertAlign w:val="superscript"/>
          <w:rtl/>
        </w:rPr>
        <w:t>(</w:t>
      </w:r>
      <w:proofErr w:type="gramEnd"/>
      <w:r w:rsidRPr="004F0EC4">
        <w:rPr>
          <w:vertAlign w:val="superscript"/>
          <w:rtl/>
        </w:rPr>
        <w:footnoteReference w:id="253"/>
      </w:r>
      <w:r w:rsidRPr="004F0EC4">
        <w:rPr>
          <w:vertAlign w:val="superscript"/>
          <w:rtl/>
        </w:rPr>
        <w:t>)</w:t>
      </w:r>
      <w:r w:rsidRPr="004F0EC4">
        <w:rPr>
          <w:rtl/>
        </w:rPr>
        <w:t xml:space="preserve">، ولجنة الإدماج في سوق العمل التابعة لجمعية الصانعين </w:t>
      </w:r>
      <w:proofErr w:type="gramStart"/>
      <w:r w:rsidRPr="004F0EC4">
        <w:rPr>
          <w:rtl/>
        </w:rPr>
        <w:t>الشيليين</w:t>
      </w:r>
      <w:r w:rsidRPr="004F0EC4">
        <w:rPr>
          <w:vertAlign w:val="superscript"/>
          <w:rtl/>
        </w:rPr>
        <w:t>(</w:t>
      </w:r>
      <w:proofErr w:type="gramEnd"/>
      <w:r w:rsidRPr="004F0EC4">
        <w:rPr>
          <w:vertAlign w:val="superscript"/>
          <w:rtl/>
        </w:rPr>
        <w:footnoteReference w:id="254"/>
      </w:r>
      <w:r w:rsidRPr="004F0EC4">
        <w:rPr>
          <w:vertAlign w:val="superscript"/>
          <w:rtl/>
        </w:rPr>
        <w:t>)</w:t>
      </w:r>
      <w:r w:rsidRPr="004F0EC4">
        <w:rPr>
          <w:rtl/>
        </w:rPr>
        <w:t>.</w:t>
      </w:r>
    </w:p>
    <w:p w14:paraId="2FEA52F8" w14:textId="77777777" w:rsidR="00E54512" w:rsidRPr="004F0EC4" w:rsidRDefault="00E54512" w:rsidP="00E54512">
      <w:pPr>
        <w:pStyle w:val="SingleTxtGA"/>
        <w:rPr>
          <w:rtl/>
        </w:rPr>
      </w:pPr>
      <w:r w:rsidRPr="004F0EC4">
        <w:rPr>
          <w:rtl/>
        </w:rPr>
        <w:lastRenderedPageBreak/>
        <w:t>169-</w:t>
      </w:r>
      <w:r w:rsidRPr="004F0EC4">
        <w:rPr>
          <w:rtl/>
        </w:rPr>
        <w:tab/>
        <w:t>وقد بينت مديرية العمل موقفها بشأن إدماج الأشخاص ذوي الإعاقة في أماكن العمل في القرار العادي رقم 3376/35 لعام 2020</w:t>
      </w:r>
      <w:r w:rsidRPr="004F0EC4">
        <w:rPr>
          <w:vertAlign w:val="superscript"/>
          <w:rtl/>
        </w:rPr>
        <w:t>(</w:t>
      </w:r>
      <w:r w:rsidRPr="004F0EC4">
        <w:rPr>
          <w:vertAlign w:val="superscript"/>
          <w:rtl/>
        </w:rPr>
        <w:footnoteReference w:id="255"/>
      </w:r>
      <w:r w:rsidRPr="004F0EC4">
        <w:rPr>
          <w:vertAlign w:val="superscript"/>
          <w:rtl/>
        </w:rPr>
        <w:t>)</w:t>
      </w:r>
      <w:r w:rsidRPr="004F0EC4">
        <w:rPr>
          <w:rtl/>
        </w:rPr>
        <w:t xml:space="preserve">، وهو قرار يعيد النظر في المبدأ السابق المتعلق بجدوى امتثال الشركات التي تضم 100 موظف أو أكثر للالتزام بتوظيف أشخاص من ذوي الإعاقة أو من المستفيدين من إعانات الإعاقة لشغل ما لا يقل عن 1 في </w:t>
      </w:r>
      <w:proofErr w:type="gramStart"/>
      <w:r w:rsidRPr="004F0EC4">
        <w:rPr>
          <w:rtl/>
        </w:rPr>
        <w:t>المائة</w:t>
      </w:r>
      <w:proofErr w:type="gramEnd"/>
      <w:r w:rsidRPr="004F0EC4">
        <w:rPr>
          <w:rtl/>
        </w:rPr>
        <w:t xml:space="preserve"> من الوظائف، وفي القرار العادي رقم 2930/60 لعام 2021</w:t>
      </w:r>
      <w:r w:rsidRPr="004F0EC4">
        <w:rPr>
          <w:vertAlign w:val="superscript"/>
          <w:rtl/>
        </w:rPr>
        <w:t>(</w:t>
      </w:r>
      <w:r w:rsidRPr="004F0EC4">
        <w:rPr>
          <w:vertAlign w:val="superscript"/>
          <w:rtl/>
        </w:rPr>
        <w:footnoteReference w:id="256"/>
      </w:r>
      <w:r w:rsidRPr="004F0EC4">
        <w:rPr>
          <w:vertAlign w:val="superscript"/>
          <w:rtl/>
        </w:rPr>
        <w:t>)</w:t>
      </w:r>
      <w:r w:rsidRPr="004F0EC4">
        <w:rPr>
          <w:rtl/>
        </w:rPr>
        <w:t xml:space="preserve"> الذي يكمل القرار السابق.</w:t>
      </w:r>
    </w:p>
    <w:p w14:paraId="30418A50" w14:textId="77777777" w:rsidR="00E54512" w:rsidRPr="004F0EC4" w:rsidRDefault="00E54512" w:rsidP="00E54512">
      <w:pPr>
        <w:pStyle w:val="SingleTxtGA"/>
        <w:rPr>
          <w:rtl/>
        </w:rPr>
      </w:pPr>
      <w:r w:rsidRPr="004F0EC4">
        <w:rPr>
          <w:rtl/>
        </w:rPr>
        <w:t>170-</w:t>
      </w:r>
      <w:r w:rsidRPr="004F0EC4">
        <w:rPr>
          <w:rtl/>
        </w:rPr>
        <w:tab/>
        <w:t xml:space="preserve">وتقوم الدائرة الوطنية للتدريب والتوظيف بتنفيذ برنامج "التدريب من أجل التوظيف"، وهو برنامج يهدف إلى تزويد الأشخاص الضعفاء بالمهارات اللازمة من خلال التدريب أثناء العمل. وتشكل الإعاقة أحد مكونات </w:t>
      </w:r>
      <w:proofErr w:type="gramStart"/>
      <w:r w:rsidRPr="004F0EC4">
        <w:rPr>
          <w:rtl/>
        </w:rPr>
        <w:t>البرنامج</w:t>
      </w:r>
      <w:r w:rsidRPr="004F0EC4">
        <w:rPr>
          <w:vertAlign w:val="superscript"/>
          <w:rtl/>
        </w:rPr>
        <w:t>(</w:t>
      </w:r>
      <w:proofErr w:type="gramEnd"/>
      <w:r w:rsidRPr="004F0EC4">
        <w:rPr>
          <w:vertAlign w:val="superscript"/>
          <w:rtl/>
        </w:rPr>
        <w:footnoteReference w:id="257"/>
      </w:r>
      <w:r w:rsidRPr="004F0EC4">
        <w:rPr>
          <w:vertAlign w:val="superscript"/>
          <w:rtl/>
        </w:rPr>
        <w:t>)</w:t>
      </w:r>
      <w:r w:rsidRPr="004F0EC4">
        <w:rPr>
          <w:rtl/>
        </w:rPr>
        <w:t xml:space="preserve">، وقد شارك فيه 706 2 </w:t>
      </w:r>
      <w:proofErr w:type="gramStart"/>
      <w:r w:rsidRPr="004F0EC4">
        <w:rPr>
          <w:rtl/>
        </w:rPr>
        <w:t>أشخاص</w:t>
      </w:r>
      <w:r w:rsidRPr="004F0EC4">
        <w:rPr>
          <w:vertAlign w:val="superscript"/>
          <w:rtl/>
        </w:rPr>
        <w:t>(</w:t>
      </w:r>
      <w:proofErr w:type="gramEnd"/>
      <w:r w:rsidRPr="004F0EC4">
        <w:rPr>
          <w:vertAlign w:val="superscript"/>
          <w:rtl/>
        </w:rPr>
        <w:footnoteReference w:id="258"/>
      </w:r>
      <w:r w:rsidRPr="004F0EC4">
        <w:rPr>
          <w:vertAlign w:val="superscript"/>
          <w:rtl/>
        </w:rPr>
        <w:t>)</w:t>
      </w:r>
      <w:r w:rsidRPr="004F0EC4">
        <w:rPr>
          <w:rtl/>
        </w:rPr>
        <w:t>. ومن بين 140 دورة تدريبية نُظمت حتى الآن، قدمت 81 دورة عبر الإنترنت.</w:t>
      </w:r>
    </w:p>
    <w:p w14:paraId="2566345C" w14:textId="5A2A7CFE" w:rsidR="00E54512" w:rsidRPr="004F0EC4" w:rsidRDefault="00E54512" w:rsidP="00E54512">
      <w:pPr>
        <w:pStyle w:val="SingleTxtGA"/>
        <w:rPr>
          <w:spacing w:val="2"/>
        </w:rPr>
      </w:pPr>
      <w:r w:rsidRPr="004F0EC4">
        <w:rPr>
          <w:rtl/>
        </w:rPr>
        <w:t>171-</w:t>
      </w:r>
      <w:r w:rsidRPr="004F0EC4">
        <w:rPr>
          <w:rtl/>
        </w:rPr>
        <w:tab/>
      </w:r>
      <w:r w:rsidRPr="004F0EC4">
        <w:rPr>
          <w:spacing w:val="2"/>
          <w:rtl/>
        </w:rPr>
        <w:t xml:space="preserve">ومنذ عام 2019، تطبق الدائرة الوطنية لشؤون الأشخاص ذوي الإعاقة برنامجاً لدعم الامتثال </w:t>
      </w:r>
      <w:r w:rsidRPr="004F0EC4">
        <w:rPr>
          <w:rtl/>
        </w:rPr>
        <w:t>لقانون الإدماج في سوق العمل فيما يتعلق بالأشخاص ذوي الإعاقة، وذلك بهدف التحقق من أن الكيانات</w:t>
      </w:r>
      <w:r w:rsidRPr="004F0EC4">
        <w:rPr>
          <w:spacing w:val="2"/>
          <w:rtl/>
        </w:rPr>
        <w:t xml:space="preserve"> العامة والخاصة الخاضعة لهذا القانون تتبنى إجراءات شاملة للجميع من أجل توظيف الأشخاص ذوي الإعاقة. ويتألف البرنامج من مكونين هما: (أ) تعزيز حق الأشخاص ذوي الإعاقة في </w:t>
      </w:r>
      <w:proofErr w:type="gramStart"/>
      <w:r w:rsidRPr="004F0EC4">
        <w:rPr>
          <w:spacing w:val="2"/>
          <w:rtl/>
        </w:rPr>
        <w:t>العمل</w:t>
      </w:r>
      <w:r w:rsidRPr="004F0EC4">
        <w:rPr>
          <w:spacing w:val="2"/>
          <w:vertAlign w:val="superscript"/>
          <w:rtl/>
        </w:rPr>
        <w:t>(</w:t>
      </w:r>
      <w:proofErr w:type="gramEnd"/>
      <w:r w:rsidRPr="004F0EC4">
        <w:rPr>
          <w:spacing w:val="2"/>
          <w:vertAlign w:val="superscript"/>
          <w:rtl/>
        </w:rPr>
        <w:footnoteReference w:id="259"/>
      </w:r>
      <w:r w:rsidRPr="004F0EC4">
        <w:rPr>
          <w:spacing w:val="2"/>
          <w:vertAlign w:val="superscript"/>
          <w:rtl/>
        </w:rPr>
        <w:t>)</w:t>
      </w:r>
      <w:r w:rsidRPr="004F0EC4">
        <w:rPr>
          <w:spacing w:val="2"/>
          <w:rtl/>
        </w:rPr>
        <w:t>، وذلك</w:t>
      </w:r>
      <w:r w:rsidR="00375F3D" w:rsidRPr="004F0EC4">
        <w:rPr>
          <w:rFonts w:hint="cs"/>
          <w:spacing w:val="2"/>
          <w:rtl/>
        </w:rPr>
        <w:t> </w:t>
      </w:r>
      <w:r w:rsidRPr="004F0EC4">
        <w:rPr>
          <w:spacing w:val="2"/>
          <w:rtl/>
        </w:rPr>
        <w:t xml:space="preserve">بهدف إحداث تغيير ثقافي في الكيانات العامة والخاصة من خلال الندوات، والعروض التقديمية، وتبادل أفضل الممارسات، ووسائل النشر الأخرى؛ و(ب) بناء القدرات من أجل إدماج الأشخاص ذوي الإعاقة في سوق </w:t>
      </w:r>
      <w:proofErr w:type="gramStart"/>
      <w:r w:rsidRPr="004F0EC4">
        <w:rPr>
          <w:spacing w:val="2"/>
          <w:rtl/>
        </w:rPr>
        <w:t>العمل</w:t>
      </w:r>
      <w:r w:rsidRPr="004F0EC4">
        <w:rPr>
          <w:spacing w:val="2"/>
          <w:vertAlign w:val="superscript"/>
          <w:rtl/>
        </w:rPr>
        <w:t>(</w:t>
      </w:r>
      <w:proofErr w:type="gramEnd"/>
      <w:r w:rsidRPr="004F0EC4">
        <w:rPr>
          <w:spacing w:val="2"/>
          <w:vertAlign w:val="superscript"/>
          <w:rtl/>
        </w:rPr>
        <w:footnoteReference w:id="260"/>
      </w:r>
      <w:r w:rsidRPr="004F0EC4">
        <w:rPr>
          <w:spacing w:val="2"/>
          <w:vertAlign w:val="superscript"/>
          <w:rtl/>
        </w:rPr>
        <w:t>)</w:t>
      </w:r>
      <w:r w:rsidRPr="004F0EC4">
        <w:rPr>
          <w:spacing w:val="2"/>
          <w:rtl/>
        </w:rPr>
        <w:t xml:space="preserve">. ويقدم البرنامج دورات تدريبية تستلزم الحضور الشخصي وأخرى عبر الإنترنت في مجال إدارة الموارد البشرية إدارةً شاملة للجميع. وقد استُحدثت خمس دورات تدريبية </w:t>
      </w:r>
      <w:r w:rsidRPr="004F0EC4">
        <w:rPr>
          <w:rtl/>
        </w:rPr>
        <w:t xml:space="preserve">متخصصة عبر الإنترنت حول الإدماج في سوق </w:t>
      </w:r>
      <w:proofErr w:type="gramStart"/>
      <w:r w:rsidRPr="004F0EC4">
        <w:rPr>
          <w:rtl/>
        </w:rPr>
        <w:t>العمل</w:t>
      </w:r>
      <w:r w:rsidRPr="004F0EC4">
        <w:rPr>
          <w:vertAlign w:val="superscript"/>
          <w:rtl/>
        </w:rPr>
        <w:t>(</w:t>
      </w:r>
      <w:proofErr w:type="gramEnd"/>
      <w:r w:rsidRPr="004F0EC4">
        <w:rPr>
          <w:vertAlign w:val="superscript"/>
          <w:rtl/>
        </w:rPr>
        <w:footnoteReference w:id="261"/>
      </w:r>
      <w:r w:rsidRPr="004F0EC4">
        <w:rPr>
          <w:vertAlign w:val="superscript"/>
          <w:rtl/>
        </w:rPr>
        <w:t>)</w:t>
      </w:r>
      <w:r w:rsidRPr="004F0EC4">
        <w:rPr>
          <w:rtl/>
        </w:rPr>
        <w:t>. ويتوفر دليل حول الإدماج في سوق العمل</w:t>
      </w:r>
      <w:r w:rsidRPr="004F0EC4">
        <w:rPr>
          <w:spacing w:val="2"/>
          <w:rtl/>
        </w:rPr>
        <w:t xml:space="preserve">، وتجري حالياً صياغة مبادئ توجيهية بشأن المهارات المطلوب توافرها لدى المديرين المعنيين بالإدماج. وينسَّق حالياً على الصعيد الوطني تشكيل لجان محلية تهدف إلى الربط بين مختلف الجهات الفاعلة </w:t>
      </w:r>
      <w:r w:rsidRPr="004F0EC4">
        <w:rPr>
          <w:rtl/>
        </w:rPr>
        <w:t>لتمكينها من وضع خطط عمل قصيرة الأجل ومتوسطة الأجل لتفعيل التدابير الرامية إلى إدماج الأشخاص</w:t>
      </w:r>
      <w:r w:rsidRPr="004F0EC4">
        <w:rPr>
          <w:spacing w:val="2"/>
          <w:rtl/>
        </w:rPr>
        <w:t xml:space="preserve"> ذوي الإعاقة.</w:t>
      </w:r>
    </w:p>
    <w:p w14:paraId="5CF363BE" w14:textId="4823FE99" w:rsidR="00E54512" w:rsidRPr="004F0EC4" w:rsidRDefault="00E54512" w:rsidP="00E54512">
      <w:pPr>
        <w:pStyle w:val="SingleTxtGA"/>
      </w:pPr>
      <w:r w:rsidRPr="004F0EC4">
        <w:rPr>
          <w:rtl/>
        </w:rPr>
        <w:lastRenderedPageBreak/>
        <w:t>172-</w:t>
      </w:r>
      <w:r w:rsidRPr="004F0EC4">
        <w:rPr>
          <w:rtl/>
        </w:rPr>
        <w:tab/>
        <w:t xml:space="preserve">وفي عام 2020، صدر القانون رقم 21-275 المعدِّل لقانون </w:t>
      </w:r>
      <w:proofErr w:type="gramStart"/>
      <w:r w:rsidRPr="004F0EC4">
        <w:rPr>
          <w:rtl/>
        </w:rPr>
        <w:t>العمل</w:t>
      </w:r>
      <w:r w:rsidRPr="004F0EC4">
        <w:rPr>
          <w:vertAlign w:val="superscript"/>
          <w:rtl/>
        </w:rPr>
        <w:t>(</w:t>
      </w:r>
      <w:proofErr w:type="gramEnd"/>
      <w:r w:rsidRPr="004F0EC4">
        <w:rPr>
          <w:vertAlign w:val="superscript"/>
          <w:rtl/>
        </w:rPr>
        <w:footnoteReference w:id="262"/>
      </w:r>
      <w:r w:rsidRPr="004F0EC4">
        <w:rPr>
          <w:vertAlign w:val="superscript"/>
          <w:rtl/>
        </w:rPr>
        <w:t>)</w:t>
      </w:r>
      <w:r w:rsidRPr="004F0EC4">
        <w:rPr>
          <w:rtl/>
        </w:rPr>
        <w:t>، وجاء فيه اشتراط يفرض على الشركات المعنية اتخاذ خطوات لتيسير إدماج العمال ذوي الإعاقة. وأصبح يُشترط الآن أن يكون لدى موظف واحد على الأقل من موظفي الموارد البشرية معرفة محددة بالتدابير الرامية إلى إدماج الأشخاص ذوي الإعاقة في سوق العمل.</w:t>
      </w:r>
    </w:p>
    <w:p w14:paraId="00466451" w14:textId="649F2872" w:rsidR="00E54512" w:rsidRPr="004F0EC4" w:rsidRDefault="00E54512" w:rsidP="00E54512">
      <w:pPr>
        <w:pStyle w:val="SingleTxtGA"/>
      </w:pPr>
      <w:r w:rsidRPr="004F0EC4">
        <w:rPr>
          <w:rtl/>
        </w:rPr>
        <w:t>173-</w:t>
      </w:r>
      <w:r w:rsidRPr="004F0EC4">
        <w:rPr>
          <w:rtl/>
        </w:rPr>
        <w:tab/>
        <w:t>وفيما يتعلق بالجزاءات في حالات عدم الامتثال، فُرضت 205 غرامات بلغ</w:t>
      </w:r>
      <w:r w:rsidRPr="004F0EC4">
        <w:rPr>
          <w:rFonts w:hint="cs"/>
          <w:rtl/>
        </w:rPr>
        <w:t xml:space="preserve"> </w:t>
      </w:r>
      <w:r w:rsidRPr="004F0EC4">
        <w:rPr>
          <w:rtl/>
        </w:rPr>
        <w:t xml:space="preserve"> </w:t>
      </w:r>
      <w:r w:rsidRPr="004F0EC4">
        <w:rPr>
          <w:rFonts w:hint="cs"/>
          <w:rtl/>
        </w:rPr>
        <w:t xml:space="preserve">               </w:t>
      </w:r>
      <w:r w:rsidRPr="004F0EC4">
        <w:rPr>
          <w:rtl/>
        </w:rPr>
        <w:t xml:space="preserve">مجموعها 320 244 625 بيسو شيلياً في القطاع الخاص في عام 2019، و201 غرامة مالية بلغ مجموعها 980 289 615 بيسو شيلياً في عام 2020. وفي عام 2021، فُرضت 337 غرامة بلغت قيمتها الإجمالية 450 285 035 1 بيسو شيلياً، وفي نيسان/أبريل 2022، كانت غرامتان تبلغ قيمتهما </w:t>
      </w:r>
      <w:r w:rsidRPr="004F0EC4">
        <w:rPr>
          <w:spacing w:val="-4"/>
          <w:rtl/>
        </w:rPr>
        <w:t>الإجمالية 768 101 22 بيسو شيلياً قد فرضتا. وفي القطاع العام، يتولى مكتب المراقب العام وحده</w:t>
      </w:r>
      <w:r w:rsidRPr="004F0EC4">
        <w:rPr>
          <w:rtl/>
        </w:rPr>
        <w:t xml:space="preserve"> مسؤولية الإبلاغ عن المسائل المتعلقة بالوضع الإداري وبسير العمل في الكيانات العامة الخاضعة لإشرافه.</w:t>
      </w:r>
    </w:p>
    <w:p w14:paraId="2783274F" w14:textId="77777777" w:rsidR="00E54512" w:rsidRPr="004F0EC4" w:rsidRDefault="00E54512" w:rsidP="00E54512">
      <w:pPr>
        <w:pStyle w:val="H1GA"/>
        <w:rPr>
          <w:lang w:val="en-US"/>
        </w:rPr>
      </w:pPr>
      <w:r w:rsidRPr="004F0EC4">
        <w:rPr>
          <w:rtl/>
          <w:lang w:val="en-US"/>
        </w:rPr>
        <w:tab/>
      </w:r>
      <w:r w:rsidRPr="004F0EC4">
        <w:rPr>
          <w:rtl/>
          <w:lang w:val="en-US"/>
        </w:rPr>
        <w:tab/>
        <w:t>المادة 28</w:t>
      </w:r>
    </w:p>
    <w:p w14:paraId="6D87B7CC" w14:textId="47412200" w:rsidR="00E54512" w:rsidRPr="004F0EC4" w:rsidRDefault="00E54512" w:rsidP="00E54512">
      <w:pPr>
        <w:pStyle w:val="SingleTxtGA"/>
      </w:pPr>
      <w:r w:rsidRPr="004F0EC4">
        <w:rPr>
          <w:rtl/>
        </w:rPr>
        <w:t>174-</w:t>
      </w:r>
      <w:r w:rsidRPr="004F0EC4">
        <w:rPr>
          <w:rtl/>
        </w:rPr>
        <w:tab/>
        <w:t>يعمل مكتب وكيل الوزارة للتقييم الاجتماعي منذ عام 2016، ساعي</w:t>
      </w:r>
      <w:r w:rsidR="00E22186" w:rsidRPr="004F0EC4">
        <w:rPr>
          <w:rtl/>
        </w:rPr>
        <w:t xml:space="preserve">اً </w:t>
      </w:r>
      <w:r w:rsidRPr="004F0EC4">
        <w:rPr>
          <w:rtl/>
        </w:rPr>
        <w:t>إلى تحسين حياة الأشخاص ذوي الإعاقة، على إدماج نهج قائم على حقوق الإنسان في تصميم البرامج الاجتماعية وتنفيذها، وذلك من أجل تعزيز السياسات العامة الداعمة للإجراءات الإيجابية التي تفضي إلى إعمال الحقوق إعمالاً تاماً. وينطبق النهج القائم على حقوق الإنسان على واجبات الإبلاغ التي تقع على عاتق مختلف الإدارات التي تدير البرامج الاجتماعية، والتي يتعين عليها الإبلاغ عن كيفية تطبيق منظور حقوق الإنسان وعن المراحل التي يطبَّق فيها.</w:t>
      </w:r>
    </w:p>
    <w:p w14:paraId="0AA2FAE2" w14:textId="48DF88DC" w:rsidR="00E54512" w:rsidRPr="004F0EC4" w:rsidRDefault="00E54512" w:rsidP="00E54512">
      <w:pPr>
        <w:pStyle w:val="H23GA"/>
        <w:rPr>
          <w:lang w:val="en-US"/>
        </w:rPr>
      </w:pPr>
      <w:r w:rsidRPr="004F0EC4">
        <w:rPr>
          <w:rtl/>
          <w:lang w:val="en-US"/>
        </w:rPr>
        <w:tab/>
      </w:r>
      <w:r w:rsidRPr="004F0EC4">
        <w:rPr>
          <w:rtl/>
          <w:lang w:val="en-US"/>
        </w:rPr>
        <w:tab/>
        <w:t xml:space="preserve">البرامج الاجتماعية التي تراعي منظور </w:t>
      </w:r>
      <w:proofErr w:type="gramStart"/>
      <w:r w:rsidRPr="004F0EC4">
        <w:rPr>
          <w:rtl/>
          <w:lang w:val="en-US"/>
        </w:rPr>
        <w:t>الإعاقة</w:t>
      </w:r>
      <w:r w:rsidRPr="004F0EC4">
        <w:rPr>
          <w:vertAlign w:val="superscript"/>
          <w:rtl/>
          <w:lang w:val="en-US"/>
        </w:rPr>
        <w:t>(</w:t>
      </w:r>
      <w:proofErr w:type="gramEnd"/>
      <w:r w:rsidRPr="004F0EC4">
        <w:rPr>
          <w:vertAlign w:val="superscript"/>
          <w:rtl/>
          <w:lang w:val="en-US"/>
        </w:rPr>
        <w:footnoteReference w:id="263"/>
      </w:r>
      <w:r w:rsidRPr="004F0EC4">
        <w:rPr>
          <w:vertAlign w:val="superscript"/>
          <w:rtl/>
          <w:lang w:val="en-US"/>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066"/>
        <w:gridCol w:w="2980"/>
        <w:gridCol w:w="3324"/>
      </w:tblGrid>
      <w:tr w:rsidR="00E54512" w:rsidRPr="004F0EC4" w14:paraId="035C5771" w14:textId="77777777" w:rsidTr="00E54512">
        <w:trPr>
          <w:tblHeader/>
        </w:trPr>
        <w:tc>
          <w:tcPr>
            <w:tcW w:w="723" w:type="pct"/>
            <w:tcBorders>
              <w:top w:val="single" w:sz="4" w:space="0" w:color="auto"/>
              <w:bottom w:val="single" w:sz="12" w:space="0" w:color="auto"/>
            </w:tcBorders>
            <w:tcMar>
              <w:top w:w="0" w:type="dxa"/>
              <w:left w:w="0" w:type="dxa"/>
              <w:bottom w:w="0" w:type="dxa"/>
              <w:right w:w="0" w:type="dxa"/>
            </w:tcMar>
            <w:vAlign w:val="center"/>
          </w:tcPr>
          <w:p w14:paraId="32D57BDA"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rtl/>
                <w:lang w:eastAsia="zh-TW"/>
              </w:rPr>
            </w:pPr>
            <w:r w:rsidRPr="004F0EC4">
              <w:rPr>
                <w:rFonts w:hAnsi="Times New Roman"/>
                <w:i/>
                <w:iCs/>
                <w:szCs w:val="20"/>
                <w:rtl/>
              </w:rPr>
              <w:t>العام</w:t>
            </w:r>
          </w:p>
        </w:tc>
        <w:tc>
          <w:tcPr>
            <w:tcW w:w="2022" w:type="pct"/>
            <w:tcBorders>
              <w:top w:val="single" w:sz="4" w:space="0" w:color="auto"/>
              <w:bottom w:val="single" w:sz="12" w:space="0" w:color="auto"/>
            </w:tcBorders>
            <w:tcMar>
              <w:top w:w="0" w:type="dxa"/>
              <w:left w:w="0" w:type="dxa"/>
              <w:bottom w:w="0" w:type="dxa"/>
              <w:right w:w="0" w:type="dxa"/>
            </w:tcMar>
            <w:vAlign w:val="center"/>
          </w:tcPr>
          <w:p w14:paraId="42FD2CD7"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eastAsia="zh-TW"/>
              </w:rPr>
            </w:pPr>
            <w:r w:rsidRPr="004F0EC4">
              <w:rPr>
                <w:rFonts w:hAnsi="Times New Roman"/>
                <w:i/>
                <w:iCs/>
                <w:szCs w:val="20"/>
                <w:rtl/>
              </w:rPr>
              <w:t>عدد البرامج الاجتماعية</w:t>
            </w:r>
          </w:p>
        </w:tc>
        <w:tc>
          <w:tcPr>
            <w:tcW w:w="2256" w:type="pct"/>
            <w:tcBorders>
              <w:top w:val="single" w:sz="4" w:space="0" w:color="auto"/>
              <w:bottom w:val="single" w:sz="12" w:space="0" w:color="auto"/>
            </w:tcBorders>
            <w:tcMar>
              <w:top w:w="0" w:type="dxa"/>
              <w:left w:w="0" w:type="dxa"/>
              <w:bottom w:w="0" w:type="dxa"/>
              <w:right w:w="0" w:type="dxa"/>
            </w:tcMar>
            <w:vAlign w:val="center"/>
          </w:tcPr>
          <w:p w14:paraId="05AE1B5C"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eastAsia="zh-TW"/>
              </w:rPr>
            </w:pPr>
            <w:r w:rsidRPr="004F0EC4">
              <w:rPr>
                <w:rFonts w:hAnsi="Times New Roman"/>
                <w:i/>
                <w:iCs/>
                <w:szCs w:val="20"/>
                <w:rtl/>
              </w:rPr>
              <w:t>عدد البرامج التي تراعي منظور الإعاقة</w:t>
            </w:r>
          </w:p>
        </w:tc>
      </w:tr>
      <w:tr w:rsidR="00E54512" w:rsidRPr="004F0EC4" w14:paraId="4FF8CCF0" w14:textId="77777777" w:rsidTr="00E54512">
        <w:tc>
          <w:tcPr>
            <w:tcW w:w="723" w:type="pct"/>
            <w:tcBorders>
              <w:top w:val="nil"/>
            </w:tcBorders>
            <w:tcMar>
              <w:top w:w="0" w:type="dxa"/>
              <w:left w:w="0" w:type="dxa"/>
              <w:bottom w:w="0" w:type="dxa"/>
              <w:right w:w="0" w:type="dxa"/>
            </w:tcMar>
            <w:vAlign w:val="center"/>
          </w:tcPr>
          <w:p w14:paraId="4B636087"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2016</w:t>
            </w:r>
          </w:p>
        </w:tc>
        <w:tc>
          <w:tcPr>
            <w:tcW w:w="2022" w:type="pct"/>
            <w:tcBorders>
              <w:top w:val="nil"/>
            </w:tcBorders>
            <w:tcMar>
              <w:top w:w="0" w:type="dxa"/>
              <w:left w:w="0" w:type="dxa"/>
              <w:bottom w:w="0" w:type="dxa"/>
              <w:right w:w="0" w:type="dxa"/>
            </w:tcMar>
            <w:vAlign w:val="center"/>
          </w:tcPr>
          <w:p w14:paraId="3E7AE97E"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444</w:t>
            </w:r>
          </w:p>
        </w:tc>
        <w:tc>
          <w:tcPr>
            <w:tcW w:w="2256" w:type="pct"/>
            <w:tcBorders>
              <w:top w:val="nil"/>
            </w:tcBorders>
            <w:tcMar>
              <w:top w:w="0" w:type="dxa"/>
              <w:left w:w="0" w:type="dxa"/>
              <w:bottom w:w="0" w:type="dxa"/>
              <w:right w:w="0" w:type="dxa"/>
            </w:tcMar>
            <w:vAlign w:val="center"/>
          </w:tcPr>
          <w:p w14:paraId="0C5C676F"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58</w:t>
            </w:r>
          </w:p>
        </w:tc>
      </w:tr>
      <w:tr w:rsidR="00E54512" w:rsidRPr="004F0EC4" w14:paraId="69E47AD6" w14:textId="77777777" w:rsidTr="00E54512">
        <w:tc>
          <w:tcPr>
            <w:tcW w:w="723" w:type="pct"/>
            <w:tcBorders>
              <w:bottom w:val="nil"/>
            </w:tcBorders>
            <w:tcMar>
              <w:top w:w="0" w:type="dxa"/>
              <w:left w:w="0" w:type="dxa"/>
              <w:bottom w:w="0" w:type="dxa"/>
              <w:right w:w="0" w:type="dxa"/>
            </w:tcMar>
            <w:vAlign w:val="center"/>
          </w:tcPr>
          <w:p w14:paraId="16DAF532"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2017</w:t>
            </w:r>
          </w:p>
        </w:tc>
        <w:tc>
          <w:tcPr>
            <w:tcW w:w="2022" w:type="pct"/>
            <w:tcBorders>
              <w:bottom w:val="nil"/>
            </w:tcBorders>
            <w:tcMar>
              <w:top w:w="0" w:type="dxa"/>
              <w:left w:w="0" w:type="dxa"/>
              <w:bottom w:w="0" w:type="dxa"/>
              <w:right w:w="0" w:type="dxa"/>
            </w:tcMar>
            <w:vAlign w:val="center"/>
          </w:tcPr>
          <w:p w14:paraId="68FD491E"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459</w:t>
            </w:r>
          </w:p>
        </w:tc>
        <w:tc>
          <w:tcPr>
            <w:tcW w:w="2256" w:type="pct"/>
            <w:tcBorders>
              <w:bottom w:val="nil"/>
            </w:tcBorders>
            <w:tcMar>
              <w:top w:w="0" w:type="dxa"/>
              <w:left w:w="0" w:type="dxa"/>
              <w:bottom w:w="0" w:type="dxa"/>
              <w:right w:w="0" w:type="dxa"/>
            </w:tcMar>
            <w:vAlign w:val="center"/>
          </w:tcPr>
          <w:p w14:paraId="57EAE873"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161</w:t>
            </w:r>
          </w:p>
        </w:tc>
      </w:tr>
      <w:tr w:rsidR="00E54512" w:rsidRPr="004F0EC4" w14:paraId="613A4878" w14:textId="77777777" w:rsidTr="00E54512">
        <w:tc>
          <w:tcPr>
            <w:tcW w:w="723" w:type="pct"/>
            <w:tcBorders>
              <w:top w:val="nil"/>
              <w:bottom w:val="nil"/>
            </w:tcBorders>
            <w:tcMar>
              <w:top w:w="0" w:type="dxa"/>
              <w:left w:w="0" w:type="dxa"/>
              <w:bottom w:w="0" w:type="dxa"/>
              <w:right w:w="0" w:type="dxa"/>
            </w:tcMar>
            <w:vAlign w:val="center"/>
          </w:tcPr>
          <w:p w14:paraId="7D4955A1"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2018</w:t>
            </w:r>
          </w:p>
        </w:tc>
        <w:tc>
          <w:tcPr>
            <w:tcW w:w="2022" w:type="pct"/>
            <w:tcBorders>
              <w:top w:val="nil"/>
              <w:bottom w:val="nil"/>
            </w:tcBorders>
            <w:tcMar>
              <w:top w:w="0" w:type="dxa"/>
              <w:left w:w="0" w:type="dxa"/>
              <w:bottom w:w="0" w:type="dxa"/>
              <w:right w:w="0" w:type="dxa"/>
            </w:tcMar>
            <w:vAlign w:val="center"/>
          </w:tcPr>
          <w:p w14:paraId="0167054B"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448</w:t>
            </w:r>
          </w:p>
        </w:tc>
        <w:tc>
          <w:tcPr>
            <w:tcW w:w="2256" w:type="pct"/>
            <w:tcBorders>
              <w:top w:val="nil"/>
              <w:bottom w:val="nil"/>
            </w:tcBorders>
            <w:tcMar>
              <w:top w:w="0" w:type="dxa"/>
              <w:left w:w="0" w:type="dxa"/>
              <w:bottom w:w="0" w:type="dxa"/>
              <w:right w:w="0" w:type="dxa"/>
            </w:tcMar>
            <w:vAlign w:val="center"/>
          </w:tcPr>
          <w:p w14:paraId="6842AED6"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172</w:t>
            </w:r>
          </w:p>
        </w:tc>
      </w:tr>
      <w:tr w:rsidR="00E54512" w:rsidRPr="004F0EC4" w14:paraId="421D3BE0" w14:textId="77777777" w:rsidTr="00E54512">
        <w:tc>
          <w:tcPr>
            <w:tcW w:w="723" w:type="pct"/>
            <w:tcBorders>
              <w:top w:val="nil"/>
            </w:tcBorders>
            <w:tcMar>
              <w:top w:w="0" w:type="dxa"/>
              <w:left w:w="0" w:type="dxa"/>
              <w:bottom w:w="0" w:type="dxa"/>
              <w:right w:w="0" w:type="dxa"/>
            </w:tcMar>
            <w:vAlign w:val="center"/>
          </w:tcPr>
          <w:p w14:paraId="13FB0B26"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2019</w:t>
            </w:r>
          </w:p>
        </w:tc>
        <w:tc>
          <w:tcPr>
            <w:tcW w:w="2022" w:type="pct"/>
            <w:tcBorders>
              <w:top w:val="nil"/>
            </w:tcBorders>
            <w:tcMar>
              <w:top w:w="0" w:type="dxa"/>
              <w:left w:w="0" w:type="dxa"/>
              <w:bottom w:w="0" w:type="dxa"/>
              <w:right w:w="0" w:type="dxa"/>
            </w:tcMar>
            <w:vAlign w:val="center"/>
          </w:tcPr>
          <w:p w14:paraId="20E76555"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470</w:t>
            </w:r>
          </w:p>
        </w:tc>
        <w:tc>
          <w:tcPr>
            <w:tcW w:w="2256" w:type="pct"/>
            <w:tcBorders>
              <w:top w:val="nil"/>
            </w:tcBorders>
            <w:tcMar>
              <w:top w:w="0" w:type="dxa"/>
              <w:left w:w="0" w:type="dxa"/>
              <w:bottom w:w="0" w:type="dxa"/>
              <w:right w:w="0" w:type="dxa"/>
            </w:tcMar>
            <w:vAlign w:val="center"/>
          </w:tcPr>
          <w:p w14:paraId="68272E04"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196</w:t>
            </w:r>
          </w:p>
        </w:tc>
      </w:tr>
      <w:tr w:rsidR="00E54512" w:rsidRPr="004F0EC4" w14:paraId="1873B550" w14:textId="77777777" w:rsidTr="00E54512">
        <w:tc>
          <w:tcPr>
            <w:tcW w:w="723" w:type="pct"/>
            <w:tcMar>
              <w:top w:w="0" w:type="dxa"/>
              <w:left w:w="0" w:type="dxa"/>
              <w:bottom w:w="0" w:type="dxa"/>
              <w:right w:w="0" w:type="dxa"/>
            </w:tcMar>
            <w:vAlign w:val="center"/>
          </w:tcPr>
          <w:p w14:paraId="768ED3D8"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2020</w:t>
            </w:r>
          </w:p>
        </w:tc>
        <w:tc>
          <w:tcPr>
            <w:tcW w:w="2022" w:type="pct"/>
            <w:tcMar>
              <w:top w:w="0" w:type="dxa"/>
              <w:left w:w="0" w:type="dxa"/>
              <w:bottom w:w="0" w:type="dxa"/>
              <w:right w:w="0" w:type="dxa"/>
            </w:tcMar>
            <w:vAlign w:val="center"/>
          </w:tcPr>
          <w:p w14:paraId="6061ECA5"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469</w:t>
            </w:r>
          </w:p>
        </w:tc>
        <w:tc>
          <w:tcPr>
            <w:tcW w:w="2256" w:type="pct"/>
            <w:tcMar>
              <w:top w:w="0" w:type="dxa"/>
              <w:left w:w="0" w:type="dxa"/>
              <w:bottom w:w="0" w:type="dxa"/>
              <w:right w:w="0" w:type="dxa"/>
            </w:tcMar>
            <w:vAlign w:val="center"/>
          </w:tcPr>
          <w:p w14:paraId="27C0546E"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196</w:t>
            </w:r>
          </w:p>
        </w:tc>
      </w:tr>
    </w:tbl>
    <w:p w14:paraId="646C7E64" w14:textId="10D8602D" w:rsidR="00E54512" w:rsidRPr="004F0EC4" w:rsidRDefault="00E54512" w:rsidP="00E54512">
      <w:pPr>
        <w:pStyle w:val="H23GA"/>
        <w:rPr>
          <w:rtl/>
          <w:lang w:val="en-US"/>
        </w:rPr>
      </w:pPr>
      <w:r w:rsidRPr="004F0EC4">
        <w:rPr>
          <w:rtl/>
          <w:lang w:val="en-US"/>
        </w:rPr>
        <w:tab/>
      </w:r>
      <w:r w:rsidRPr="004F0EC4">
        <w:rPr>
          <w:rtl/>
          <w:lang w:val="en-US"/>
        </w:rPr>
        <w:tab/>
        <w:t xml:space="preserve">منظور النوع الاجتماعي </w:t>
      </w:r>
      <w:proofErr w:type="gramStart"/>
      <w:r w:rsidRPr="004F0EC4">
        <w:rPr>
          <w:rtl/>
          <w:lang w:val="en-US"/>
        </w:rPr>
        <w:t>والإعاقة</w:t>
      </w:r>
      <w:r w:rsidRPr="004F0EC4">
        <w:rPr>
          <w:vertAlign w:val="superscript"/>
          <w:rtl/>
          <w:lang w:val="en-US"/>
        </w:rPr>
        <w:t>(</w:t>
      </w:r>
      <w:proofErr w:type="gramEnd"/>
      <w:r w:rsidRPr="004F0EC4">
        <w:rPr>
          <w:vertAlign w:val="superscript"/>
          <w:rtl/>
          <w:lang w:val="en-US"/>
        </w:rPr>
        <w:footnoteReference w:id="264"/>
      </w:r>
      <w:r w:rsidRPr="004F0EC4">
        <w:rPr>
          <w:vertAlign w:val="superscript"/>
          <w:rtl/>
          <w:lang w:val="en-US"/>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998"/>
        <w:gridCol w:w="2970"/>
        <w:gridCol w:w="3402"/>
      </w:tblGrid>
      <w:tr w:rsidR="00E54512" w:rsidRPr="004F0EC4" w14:paraId="1F138077" w14:textId="77777777" w:rsidTr="003D23B7">
        <w:trPr>
          <w:tblHeader/>
        </w:trPr>
        <w:tc>
          <w:tcPr>
            <w:tcW w:w="677" w:type="pct"/>
            <w:tcBorders>
              <w:top w:val="single" w:sz="4" w:space="0" w:color="auto"/>
              <w:bottom w:val="single" w:sz="12" w:space="0" w:color="auto"/>
            </w:tcBorders>
            <w:tcMar>
              <w:top w:w="0" w:type="dxa"/>
              <w:left w:w="0" w:type="dxa"/>
              <w:bottom w:w="0" w:type="dxa"/>
              <w:right w:w="0" w:type="dxa"/>
            </w:tcMar>
            <w:vAlign w:val="center"/>
          </w:tcPr>
          <w:p w14:paraId="2364699D" w14:textId="25329AEA"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rtl/>
                <w:lang w:eastAsia="zh-TW"/>
              </w:rPr>
            </w:pPr>
            <w:r w:rsidRPr="004F0EC4">
              <w:rPr>
                <w:rFonts w:hAnsi="Times New Roman"/>
                <w:i/>
                <w:iCs/>
                <w:szCs w:val="20"/>
                <w:rtl/>
              </w:rPr>
              <w:t>العام</w:t>
            </w:r>
          </w:p>
        </w:tc>
        <w:tc>
          <w:tcPr>
            <w:tcW w:w="2015" w:type="pct"/>
            <w:tcBorders>
              <w:top w:val="single" w:sz="4" w:space="0" w:color="auto"/>
              <w:bottom w:val="single" w:sz="12" w:space="0" w:color="auto"/>
            </w:tcBorders>
            <w:tcMar>
              <w:top w:w="0" w:type="dxa"/>
              <w:left w:w="0" w:type="dxa"/>
              <w:bottom w:w="0" w:type="dxa"/>
              <w:right w:w="0" w:type="dxa"/>
            </w:tcMar>
            <w:vAlign w:val="center"/>
          </w:tcPr>
          <w:p w14:paraId="5E347E88" w14:textId="0CE6D7B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eastAsia="zh-TW"/>
              </w:rPr>
            </w:pPr>
            <w:r w:rsidRPr="004F0EC4">
              <w:rPr>
                <w:rFonts w:hAnsi="Times New Roman"/>
                <w:i/>
                <w:iCs/>
                <w:szCs w:val="20"/>
                <w:rtl/>
              </w:rPr>
              <w:t>عدد البرامج التي تراعي منظور الإعاقة</w:t>
            </w:r>
          </w:p>
        </w:tc>
        <w:tc>
          <w:tcPr>
            <w:tcW w:w="2308" w:type="pct"/>
            <w:tcBorders>
              <w:top w:val="single" w:sz="4" w:space="0" w:color="auto"/>
              <w:bottom w:val="single" w:sz="12" w:space="0" w:color="auto"/>
            </w:tcBorders>
            <w:tcMar>
              <w:top w:w="0" w:type="dxa"/>
              <w:left w:w="0" w:type="dxa"/>
              <w:bottom w:w="0" w:type="dxa"/>
              <w:right w:w="0" w:type="dxa"/>
            </w:tcMar>
            <w:vAlign w:val="center"/>
          </w:tcPr>
          <w:p w14:paraId="1EE700B9" w14:textId="67D3B295"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eastAsia="zh-TW"/>
              </w:rPr>
            </w:pPr>
            <w:r w:rsidRPr="004F0EC4">
              <w:rPr>
                <w:rFonts w:hAnsi="Times New Roman"/>
                <w:i/>
                <w:iCs/>
                <w:szCs w:val="20"/>
                <w:rtl/>
              </w:rPr>
              <w:t>عدد البرامج التي تراعي منظور النوع الاجتماعي</w:t>
            </w:r>
          </w:p>
        </w:tc>
      </w:tr>
      <w:tr w:rsidR="00E54512" w:rsidRPr="004F0EC4" w14:paraId="7B288BFB" w14:textId="77777777" w:rsidTr="003D23B7">
        <w:tc>
          <w:tcPr>
            <w:tcW w:w="677" w:type="pct"/>
            <w:tcBorders>
              <w:top w:val="nil"/>
            </w:tcBorders>
            <w:tcMar>
              <w:top w:w="0" w:type="dxa"/>
              <w:left w:w="0" w:type="dxa"/>
              <w:bottom w:w="0" w:type="dxa"/>
              <w:right w:w="0" w:type="dxa"/>
            </w:tcMar>
            <w:vAlign w:val="center"/>
          </w:tcPr>
          <w:p w14:paraId="4A34251B" w14:textId="513BE93E"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2016</w:t>
            </w:r>
          </w:p>
        </w:tc>
        <w:tc>
          <w:tcPr>
            <w:tcW w:w="2015" w:type="pct"/>
            <w:tcBorders>
              <w:top w:val="nil"/>
            </w:tcBorders>
            <w:tcMar>
              <w:top w:w="0" w:type="dxa"/>
              <w:left w:w="0" w:type="dxa"/>
              <w:bottom w:w="0" w:type="dxa"/>
              <w:right w:w="0" w:type="dxa"/>
            </w:tcMar>
            <w:vAlign w:val="center"/>
          </w:tcPr>
          <w:p w14:paraId="4D804869" w14:textId="168F7AD2"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eastAsia="zh-TW"/>
              </w:rPr>
            </w:pPr>
            <w:r w:rsidRPr="004F0EC4">
              <w:rPr>
                <w:rFonts w:hAnsi="Times New Roman"/>
                <w:szCs w:val="20"/>
                <w:rtl/>
              </w:rPr>
              <w:t>58</w:t>
            </w:r>
          </w:p>
        </w:tc>
        <w:tc>
          <w:tcPr>
            <w:tcW w:w="2308" w:type="pct"/>
            <w:tcBorders>
              <w:top w:val="nil"/>
            </w:tcBorders>
            <w:tcMar>
              <w:top w:w="0" w:type="dxa"/>
              <w:left w:w="0" w:type="dxa"/>
              <w:bottom w:w="0" w:type="dxa"/>
              <w:right w:w="0" w:type="dxa"/>
            </w:tcMar>
            <w:vAlign w:val="center"/>
          </w:tcPr>
          <w:p w14:paraId="4D66C88C" w14:textId="34281BAB"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32</w:t>
            </w:r>
          </w:p>
        </w:tc>
      </w:tr>
      <w:tr w:rsidR="00E54512" w:rsidRPr="004F0EC4" w14:paraId="532694E4" w14:textId="77777777" w:rsidTr="003D23B7">
        <w:tc>
          <w:tcPr>
            <w:tcW w:w="677" w:type="pct"/>
            <w:tcBorders>
              <w:bottom w:val="nil"/>
            </w:tcBorders>
            <w:tcMar>
              <w:top w:w="0" w:type="dxa"/>
              <w:left w:w="0" w:type="dxa"/>
              <w:bottom w:w="0" w:type="dxa"/>
              <w:right w:w="0" w:type="dxa"/>
            </w:tcMar>
            <w:vAlign w:val="center"/>
          </w:tcPr>
          <w:p w14:paraId="5D8F1651" w14:textId="63542E1D"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2017</w:t>
            </w:r>
          </w:p>
        </w:tc>
        <w:tc>
          <w:tcPr>
            <w:tcW w:w="2015" w:type="pct"/>
            <w:tcBorders>
              <w:bottom w:val="nil"/>
            </w:tcBorders>
            <w:tcMar>
              <w:top w:w="0" w:type="dxa"/>
              <w:left w:w="0" w:type="dxa"/>
              <w:bottom w:w="0" w:type="dxa"/>
              <w:right w:w="0" w:type="dxa"/>
            </w:tcMar>
            <w:vAlign w:val="center"/>
          </w:tcPr>
          <w:p w14:paraId="5557FE43" w14:textId="76248D65"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161</w:t>
            </w:r>
          </w:p>
        </w:tc>
        <w:tc>
          <w:tcPr>
            <w:tcW w:w="2308" w:type="pct"/>
            <w:tcBorders>
              <w:bottom w:val="nil"/>
            </w:tcBorders>
            <w:tcMar>
              <w:top w:w="0" w:type="dxa"/>
              <w:left w:w="0" w:type="dxa"/>
              <w:bottom w:w="0" w:type="dxa"/>
              <w:right w:w="0" w:type="dxa"/>
            </w:tcMar>
            <w:vAlign w:val="center"/>
          </w:tcPr>
          <w:p w14:paraId="2BC22C34" w14:textId="139B2DCE"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126</w:t>
            </w:r>
          </w:p>
        </w:tc>
      </w:tr>
      <w:tr w:rsidR="00E54512" w:rsidRPr="004F0EC4" w14:paraId="7323D810" w14:textId="77777777" w:rsidTr="003D23B7">
        <w:tc>
          <w:tcPr>
            <w:tcW w:w="677" w:type="pct"/>
            <w:tcBorders>
              <w:top w:val="nil"/>
              <w:bottom w:val="nil"/>
            </w:tcBorders>
            <w:tcMar>
              <w:top w:w="0" w:type="dxa"/>
              <w:left w:w="0" w:type="dxa"/>
              <w:bottom w:w="0" w:type="dxa"/>
              <w:right w:w="0" w:type="dxa"/>
            </w:tcMar>
            <w:vAlign w:val="center"/>
          </w:tcPr>
          <w:p w14:paraId="0A2ACC0B" w14:textId="78213F52"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2018</w:t>
            </w:r>
          </w:p>
        </w:tc>
        <w:tc>
          <w:tcPr>
            <w:tcW w:w="2015" w:type="pct"/>
            <w:tcBorders>
              <w:top w:val="nil"/>
              <w:bottom w:val="nil"/>
            </w:tcBorders>
            <w:tcMar>
              <w:top w:w="0" w:type="dxa"/>
              <w:left w:w="0" w:type="dxa"/>
              <w:bottom w:w="0" w:type="dxa"/>
              <w:right w:w="0" w:type="dxa"/>
            </w:tcMar>
            <w:vAlign w:val="center"/>
          </w:tcPr>
          <w:p w14:paraId="26E273FA" w14:textId="1085B8AA"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172</w:t>
            </w:r>
          </w:p>
        </w:tc>
        <w:tc>
          <w:tcPr>
            <w:tcW w:w="2308" w:type="pct"/>
            <w:tcBorders>
              <w:top w:val="nil"/>
              <w:bottom w:val="nil"/>
            </w:tcBorders>
            <w:tcMar>
              <w:top w:w="0" w:type="dxa"/>
              <w:left w:w="0" w:type="dxa"/>
              <w:bottom w:w="0" w:type="dxa"/>
              <w:right w:w="0" w:type="dxa"/>
            </w:tcMar>
            <w:vAlign w:val="center"/>
          </w:tcPr>
          <w:p w14:paraId="5887F737" w14:textId="1E2F6CAF"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133</w:t>
            </w:r>
          </w:p>
        </w:tc>
      </w:tr>
      <w:tr w:rsidR="00E54512" w:rsidRPr="004F0EC4" w14:paraId="4DA0CDF9" w14:textId="77777777" w:rsidTr="003D23B7">
        <w:tc>
          <w:tcPr>
            <w:tcW w:w="677" w:type="pct"/>
            <w:tcBorders>
              <w:top w:val="nil"/>
            </w:tcBorders>
            <w:tcMar>
              <w:top w:w="0" w:type="dxa"/>
              <w:left w:w="0" w:type="dxa"/>
              <w:bottom w:w="0" w:type="dxa"/>
              <w:right w:w="0" w:type="dxa"/>
            </w:tcMar>
            <w:vAlign w:val="center"/>
          </w:tcPr>
          <w:p w14:paraId="4124CAE9" w14:textId="0C8904AB"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2019</w:t>
            </w:r>
          </w:p>
        </w:tc>
        <w:tc>
          <w:tcPr>
            <w:tcW w:w="2015" w:type="pct"/>
            <w:tcBorders>
              <w:top w:val="nil"/>
            </w:tcBorders>
            <w:tcMar>
              <w:top w:w="0" w:type="dxa"/>
              <w:left w:w="0" w:type="dxa"/>
              <w:bottom w:w="0" w:type="dxa"/>
              <w:right w:w="0" w:type="dxa"/>
            </w:tcMar>
            <w:vAlign w:val="center"/>
          </w:tcPr>
          <w:p w14:paraId="3B89121B" w14:textId="26AD2A71"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196</w:t>
            </w:r>
          </w:p>
        </w:tc>
        <w:tc>
          <w:tcPr>
            <w:tcW w:w="2308" w:type="pct"/>
            <w:tcBorders>
              <w:top w:val="nil"/>
            </w:tcBorders>
            <w:tcMar>
              <w:top w:w="0" w:type="dxa"/>
              <w:left w:w="0" w:type="dxa"/>
              <w:bottom w:w="0" w:type="dxa"/>
              <w:right w:w="0" w:type="dxa"/>
            </w:tcMar>
            <w:vAlign w:val="center"/>
          </w:tcPr>
          <w:p w14:paraId="148857E6" w14:textId="6A24BB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153</w:t>
            </w:r>
          </w:p>
        </w:tc>
      </w:tr>
      <w:tr w:rsidR="00E54512" w:rsidRPr="004F0EC4" w14:paraId="73DC6057" w14:textId="77777777" w:rsidTr="003D23B7">
        <w:tc>
          <w:tcPr>
            <w:tcW w:w="677" w:type="pct"/>
            <w:tcMar>
              <w:top w:w="0" w:type="dxa"/>
              <w:left w:w="0" w:type="dxa"/>
              <w:bottom w:w="0" w:type="dxa"/>
              <w:right w:w="0" w:type="dxa"/>
            </w:tcMar>
            <w:vAlign w:val="center"/>
          </w:tcPr>
          <w:p w14:paraId="2D0AA4DF" w14:textId="031F64A3"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2020</w:t>
            </w:r>
          </w:p>
        </w:tc>
        <w:tc>
          <w:tcPr>
            <w:tcW w:w="2015" w:type="pct"/>
            <w:tcMar>
              <w:top w:w="0" w:type="dxa"/>
              <w:left w:w="0" w:type="dxa"/>
              <w:bottom w:w="0" w:type="dxa"/>
              <w:right w:w="0" w:type="dxa"/>
            </w:tcMar>
            <w:vAlign w:val="center"/>
          </w:tcPr>
          <w:p w14:paraId="0C63C992" w14:textId="37FCEF0B"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196</w:t>
            </w:r>
          </w:p>
        </w:tc>
        <w:tc>
          <w:tcPr>
            <w:tcW w:w="2308" w:type="pct"/>
            <w:tcMar>
              <w:top w:w="0" w:type="dxa"/>
              <w:left w:w="0" w:type="dxa"/>
              <w:bottom w:w="0" w:type="dxa"/>
              <w:right w:w="0" w:type="dxa"/>
            </w:tcMar>
            <w:vAlign w:val="center"/>
          </w:tcPr>
          <w:p w14:paraId="6B388F3F" w14:textId="187297A2"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153</w:t>
            </w:r>
          </w:p>
        </w:tc>
      </w:tr>
    </w:tbl>
    <w:p w14:paraId="7A60D11C" w14:textId="62A21604" w:rsidR="00E54512" w:rsidRPr="004F0EC4" w:rsidRDefault="00E54512" w:rsidP="00E54512">
      <w:pPr>
        <w:pStyle w:val="H23GA"/>
        <w:rPr>
          <w:lang w:val="en-US"/>
        </w:rPr>
      </w:pPr>
      <w:r w:rsidRPr="004F0EC4">
        <w:rPr>
          <w:rtl/>
          <w:lang w:val="en-US"/>
        </w:rPr>
        <w:lastRenderedPageBreak/>
        <w:tab/>
      </w:r>
      <w:r w:rsidRPr="004F0EC4">
        <w:rPr>
          <w:rtl/>
          <w:lang w:val="en-US"/>
        </w:rPr>
        <w:tab/>
        <w:t xml:space="preserve">منظور الإعاقة </w:t>
      </w:r>
      <w:proofErr w:type="gramStart"/>
      <w:r w:rsidRPr="004F0EC4">
        <w:rPr>
          <w:rtl/>
          <w:lang w:val="en-US"/>
        </w:rPr>
        <w:t>والطفولة</w:t>
      </w:r>
      <w:r w:rsidRPr="004F0EC4">
        <w:rPr>
          <w:vertAlign w:val="superscript"/>
          <w:rtl/>
          <w:lang w:val="en-US"/>
        </w:rPr>
        <w:t>(</w:t>
      </w:r>
      <w:proofErr w:type="gramEnd"/>
      <w:r w:rsidRPr="004F0EC4">
        <w:rPr>
          <w:vertAlign w:val="superscript"/>
          <w:rtl/>
          <w:lang w:val="en-US"/>
        </w:rPr>
        <w:footnoteReference w:id="265"/>
      </w:r>
      <w:r w:rsidRPr="004F0EC4">
        <w:rPr>
          <w:vertAlign w:val="superscript"/>
          <w:rtl/>
          <w:lang w:val="en-US"/>
        </w:rPr>
        <w:t>)</w:t>
      </w:r>
      <w:r w:rsidRPr="004F0EC4">
        <w:rPr>
          <w:rtl/>
          <w:lang w:val="en-US"/>
        </w:rPr>
        <w:t xml:space="preserve"> </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106"/>
        <w:gridCol w:w="2939"/>
        <w:gridCol w:w="3325"/>
      </w:tblGrid>
      <w:tr w:rsidR="00E54512" w:rsidRPr="004F0EC4" w14:paraId="4338F43D" w14:textId="77777777" w:rsidTr="003D23B7">
        <w:trPr>
          <w:trHeight w:val="240"/>
          <w:tblHeader/>
        </w:trPr>
        <w:tc>
          <w:tcPr>
            <w:tcW w:w="750" w:type="pct"/>
            <w:tcBorders>
              <w:top w:val="single" w:sz="4" w:space="0" w:color="auto"/>
              <w:bottom w:val="single" w:sz="12" w:space="0" w:color="auto"/>
            </w:tcBorders>
            <w:tcMar>
              <w:top w:w="0" w:type="dxa"/>
              <w:left w:w="0" w:type="dxa"/>
              <w:bottom w:w="0" w:type="dxa"/>
              <w:right w:w="0" w:type="dxa"/>
            </w:tcMar>
            <w:vAlign w:val="center"/>
          </w:tcPr>
          <w:p w14:paraId="61447CDE"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eastAsia="zh-TW"/>
              </w:rPr>
            </w:pPr>
            <w:r w:rsidRPr="004F0EC4">
              <w:rPr>
                <w:rFonts w:hAnsi="Times New Roman"/>
                <w:i/>
                <w:iCs/>
                <w:szCs w:val="20"/>
                <w:rtl/>
              </w:rPr>
              <w:t>العام</w:t>
            </w:r>
          </w:p>
        </w:tc>
        <w:tc>
          <w:tcPr>
            <w:tcW w:w="1994" w:type="pct"/>
            <w:tcBorders>
              <w:top w:val="single" w:sz="4" w:space="0" w:color="auto"/>
              <w:bottom w:val="single" w:sz="12" w:space="0" w:color="auto"/>
            </w:tcBorders>
            <w:tcMar>
              <w:top w:w="0" w:type="dxa"/>
              <w:left w:w="0" w:type="dxa"/>
              <w:bottom w:w="0" w:type="dxa"/>
              <w:right w:w="0" w:type="dxa"/>
            </w:tcMar>
            <w:vAlign w:val="center"/>
          </w:tcPr>
          <w:p w14:paraId="1B774B3C"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eastAsia="zh-TW"/>
              </w:rPr>
            </w:pPr>
            <w:r w:rsidRPr="004F0EC4">
              <w:rPr>
                <w:rFonts w:hAnsi="Times New Roman"/>
                <w:i/>
                <w:iCs/>
                <w:szCs w:val="20"/>
                <w:rtl/>
              </w:rPr>
              <w:t>عدد البرامج التي تراعي منظور الإعاقة</w:t>
            </w:r>
          </w:p>
        </w:tc>
        <w:tc>
          <w:tcPr>
            <w:tcW w:w="2256" w:type="pct"/>
            <w:tcBorders>
              <w:top w:val="single" w:sz="4" w:space="0" w:color="auto"/>
              <w:bottom w:val="single" w:sz="12" w:space="0" w:color="auto"/>
            </w:tcBorders>
            <w:tcMar>
              <w:top w:w="0" w:type="dxa"/>
              <w:left w:w="0" w:type="dxa"/>
              <w:bottom w:w="0" w:type="dxa"/>
              <w:right w:w="0" w:type="dxa"/>
            </w:tcMar>
            <w:vAlign w:val="center"/>
          </w:tcPr>
          <w:p w14:paraId="4A8DF691"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eastAsia="zh-TW"/>
              </w:rPr>
            </w:pPr>
            <w:r w:rsidRPr="004F0EC4">
              <w:rPr>
                <w:rFonts w:hAnsi="Times New Roman"/>
                <w:i/>
                <w:iCs/>
                <w:szCs w:val="20"/>
                <w:rtl/>
              </w:rPr>
              <w:t>عدد البرامج التي تراعي منظور الطفولة</w:t>
            </w:r>
          </w:p>
        </w:tc>
      </w:tr>
      <w:tr w:rsidR="00E54512" w:rsidRPr="004F0EC4" w14:paraId="7658C1F3" w14:textId="77777777" w:rsidTr="003D23B7">
        <w:trPr>
          <w:trHeight w:val="240"/>
        </w:trPr>
        <w:tc>
          <w:tcPr>
            <w:tcW w:w="750" w:type="pct"/>
            <w:tcBorders>
              <w:top w:val="single" w:sz="12" w:space="0" w:color="auto"/>
            </w:tcBorders>
            <w:tcMar>
              <w:top w:w="0" w:type="dxa"/>
              <w:left w:w="0" w:type="dxa"/>
              <w:bottom w:w="0" w:type="dxa"/>
              <w:right w:w="0" w:type="dxa"/>
            </w:tcMar>
            <w:vAlign w:val="center"/>
          </w:tcPr>
          <w:p w14:paraId="7AFEA0A6"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2016</w:t>
            </w:r>
          </w:p>
        </w:tc>
        <w:tc>
          <w:tcPr>
            <w:tcW w:w="1994" w:type="pct"/>
            <w:tcBorders>
              <w:top w:val="single" w:sz="12" w:space="0" w:color="auto"/>
            </w:tcBorders>
            <w:tcMar>
              <w:top w:w="0" w:type="dxa"/>
              <w:left w:w="0" w:type="dxa"/>
              <w:bottom w:w="0" w:type="dxa"/>
              <w:right w:w="0" w:type="dxa"/>
            </w:tcMar>
            <w:vAlign w:val="center"/>
          </w:tcPr>
          <w:p w14:paraId="1565EE01"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58</w:t>
            </w:r>
          </w:p>
        </w:tc>
        <w:tc>
          <w:tcPr>
            <w:tcW w:w="2256" w:type="pct"/>
            <w:tcBorders>
              <w:top w:val="single" w:sz="12" w:space="0" w:color="auto"/>
            </w:tcBorders>
            <w:tcMar>
              <w:top w:w="0" w:type="dxa"/>
              <w:left w:w="0" w:type="dxa"/>
              <w:bottom w:w="0" w:type="dxa"/>
              <w:right w:w="0" w:type="dxa"/>
            </w:tcMar>
            <w:vAlign w:val="center"/>
          </w:tcPr>
          <w:p w14:paraId="02684CD9"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25</w:t>
            </w:r>
          </w:p>
        </w:tc>
      </w:tr>
      <w:tr w:rsidR="00E54512" w:rsidRPr="004F0EC4" w14:paraId="7C284B38" w14:textId="77777777" w:rsidTr="003D23B7">
        <w:trPr>
          <w:trHeight w:val="240"/>
        </w:trPr>
        <w:tc>
          <w:tcPr>
            <w:tcW w:w="750" w:type="pct"/>
            <w:tcMar>
              <w:top w:w="0" w:type="dxa"/>
              <w:left w:w="0" w:type="dxa"/>
              <w:bottom w:w="0" w:type="dxa"/>
              <w:right w:w="0" w:type="dxa"/>
            </w:tcMar>
            <w:vAlign w:val="center"/>
          </w:tcPr>
          <w:p w14:paraId="46156C0F"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2017</w:t>
            </w:r>
          </w:p>
        </w:tc>
        <w:tc>
          <w:tcPr>
            <w:tcW w:w="1994" w:type="pct"/>
            <w:tcMar>
              <w:top w:w="0" w:type="dxa"/>
              <w:left w:w="0" w:type="dxa"/>
              <w:bottom w:w="0" w:type="dxa"/>
              <w:right w:w="0" w:type="dxa"/>
            </w:tcMar>
            <w:vAlign w:val="center"/>
          </w:tcPr>
          <w:p w14:paraId="3EDF51B1"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161</w:t>
            </w:r>
          </w:p>
        </w:tc>
        <w:tc>
          <w:tcPr>
            <w:tcW w:w="2256" w:type="pct"/>
            <w:tcMar>
              <w:top w:w="0" w:type="dxa"/>
              <w:left w:w="0" w:type="dxa"/>
              <w:bottom w:w="0" w:type="dxa"/>
              <w:right w:w="0" w:type="dxa"/>
            </w:tcMar>
            <w:vAlign w:val="center"/>
          </w:tcPr>
          <w:p w14:paraId="184DCFC4"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104</w:t>
            </w:r>
          </w:p>
        </w:tc>
      </w:tr>
      <w:tr w:rsidR="00E54512" w:rsidRPr="004F0EC4" w14:paraId="787C750E" w14:textId="77777777" w:rsidTr="003D23B7">
        <w:trPr>
          <w:trHeight w:val="240"/>
        </w:trPr>
        <w:tc>
          <w:tcPr>
            <w:tcW w:w="750" w:type="pct"/>
            <w:tcMar>
              <w:top w:w="0" w:type="dxa"/>
              <w:left w:w="0" w:type="dxa"/>
              <w:bottom w:w="0" w:type="dxa"/>
              <w:right w:w="0" w:type="dxa"/>
            </w:tcMar>
            <w:vAlign w:val="center"/>
          </w:tcPr>
          <w:p w14:paraId="30DAAC50"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2018</w:t>
            </w:r>
          </w:p>
        </w:tc>
        <w:tc>
          <w:tcPr>
            <w:tcW w:w="1994" w:type="pct"/>
            <w:tcMar>
              <w:top w:w="0" w:type="dxa"/>
              <w:left w:w="0" w:type="dxa"/>
              <w:bottom w:w="0" w:type="dxa"/>
              <w:right w:w="0" w:type="dxa"/>
            </w:tcMar>
            <w:vAlign w:val="center"/>
          </w:tcPr>
          <w:p w14:paraId="50115466"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172</w:t>
            </w:r>
          </w:p>
        </w:tc>
        <w:tc>
          <w:tcPr>
            <w:tcW w:w="2256" w:type="pct"/>
            <w:tcMar>
              <w:top w:w="0" w:type="dxa"/>
              <w:left w:w="0" w:type="dxa"/>
              <w:bottom w:w="0" w:type="dxa"/>
              <w:right w:w="0" w:type="dxa"/>
            </w:tcMar>
            <w:vAlign w:val="center"/>
          </w:tcPr>
          <w:p w14:paraId="43DFB701"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115</w:t>
            </w:r>
          </w:p>
        </w:tc>
      </w:tr>
      <w:tr w:rsidR="00E54512" w:rsidRPr="004F0EC4" w14:paraId="5481D40B" w14:textId="77777777" w:rsidTr="003D23B7">
        <w:trPr>
          <w:trHeight w:val="240"/>
        </w:trPr>
        <w:tc>
          <w:tcPr>
            <w:tcW w:w="750" w:type="pct"/>
            <w:tcMar>
              <w:top w:w="0" w:type="dxa"/>
              <w:left w:w="0" w:type="dxa"/>
              <w:bottom w:w="0" w:type="dxa"/>
              <w:right w:w="0" w:type="dxa"/>
            </w:tcMar>
            <w:vAlign w:val="center"/>
          </w:tcPr>
          <w:p w14:paraId="59A3962A"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2019</w:t>
            </w:r>
          </w:p>
        </w:tc>
        <w:tc>
          <w:tcPr>
            <w:tcW w:w="1994" w:type="pct"/>
            <w:tcMar>
              <w:top w:w="0" w:type="dxa"/>
              <w:left w:w="0" w:type="dxa"/>
              <w:bottom w:w="0" w:type="dxa"/>
              <w:right w:w="0" w:type="dxa"/>
            </w:tcMar>
            <w:vAlign w:val="center"/>
          </w:tcPr>
          <w:p w14:paraId="73C4C1AA"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196</w:t>
            </w:r>
          </w:p>
        </w:tc>
        <w:tc>
          <w:tcPr>
            <w:tcW w:w="2256" w:type="pct"/>
            <w:tcMar>
              <w:top w:w="0" w:type="dxa"/>
              <w:left w:w="0" w:type="dxa"/>
              <w:bottom w:w="0" w:type="dxa"/>
              <w:right w:w="0" w:type="dxa"/>
            </w:tcMar>
            <w:vAlign w:val="center"/>
          </w:tcPr>
          <w:p w14:paraId="5E4692FD"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131</w:t>
            </w:r>
          </w:p>
        </w:tc>
      </w:tr>
      <w:tr w:rsidR="00E54512" w:rsidRPr="004F0EC4" w14:paraId="1CDC3372" w14:textId="77777777" w:rsidTr="003D23B7">
        <w:trPr>
          <w:trHeight w:val="240"/>
        </w:trPr>
        <w:tc>
          <w:tcPr>
            <w:tcW w:w="750" w:type="pct"/>
            <w:tcMar>
              <w:top w:w="0" w:type="dxa"/>
              <w:left w:w="0" w:type="dxa"/>
              <w:bottom w:w="0" w:type="dxa"/>
              <w:right w:w="0" w:type="dxa"/>
            </w:tcMar>
            <w:vAlign w:val="center"/>
          </w:tcPr>
          <w:p w14:paraId="13B08590"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2020</w:t>
            </w:r>
          </w:p>
        </w:tc>
        <w:tc>
          <w:tcPr>
            <w:tcW w:w="1994" w:type="pct"/>
            <w:tcMar>
              <w:top w:w="0" w:type="dxa"/>
              <w:left w:w="0" w:type="dxa"/>
              <w:bottom w:w="0" w:type="dxa"/>
              <w:right w:w="0" w:type="dxa"/>
            </w:tcMar>
            <w:vAlign w:val="center"/>
          </w:tcPr>
          <w:p w14:paraId="76009770"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196</w:t>
            </w:r>
          </w:p>
        </w:tc>
        <w:tc>
          <w:tcPr>
            <w:tcW w:w="2256" w:type="pct"/>
            <w:tcMar>
              <w:top w:w="0" w:type="dxa"/>
              <w:left w:w="0" w:type="dxa"/>
              <w:bottom w:w="0" w:type="dxa"/>
              <w:right w:w="0" w:type="dxa"/>
            </w:tcMar>
            <w:vAlign w:val="center"/>
          </w:tcPr>
          <w:p w14:paraId="0FBE9163"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eastAsia="zh-TW"/>
              </w:rPr>
            </w:pPr>
            <w:r w:rsidRPr="004F0EC4">
              <w:rPr>
                <w:rFonts w:hAnsi="Times New Roman"/>
                <w:szCs w:val="20"/>
                <w:rtl/>
                <w:lang w:eastAsia="zh-TW"/>
              </w:rPr>
              <w:t>غير متاح</w:t>
            </w:r>
          </w:p>
        </w:tc>
      </w:tr>
    </w:tbl>
    <w:p w14:paraId="775E10FF" w14:textId="2E8B548D" w:rsidR="00E54512" w:rsidRPr="004F0EC4" w:rsidRDefault="00E54512" w:rsidP="00E54512">
      <w:pPr>
        <w:pStyle w:val="H23GA"/>
        <w:rPr>
          <w:lang w:val="en-US"/>
        </w:rPr>
      </w:pPr>
      <w:r w:rsidRPr="004F0EC4">
        <w:rPr>
          <w:rtl/>
          <w:lang w:val="en-US"/>
        </w:rPr>
        <w:tab/>
      </w:r>
      <w:r w:rsidRPr="004F0EC4">
        <w:rPr>
          <w:rtl/>
          <w:lang w:val="en-US"/>
        </w:rPr>
        <w:tab/>
        <w:t xml:space="preserve">منظور الإعاقة وكبر </w:t>
      </w:r>
      <w:proofErr w:type="gramStart"/>
      <w:r w:rsidRPr="004F0EC4">
        <w:rPr>
          <w:rtl/>
          <w:lang w:val="en-US"/>
        </w:rPr>
        <w:t>السن</w:t>
      </w:r>
      <w:r w:rsidRPr="004F0EC4">
        <w:rPr>
          <w:vertAlign w:val="superscript"/>
          <w:rtl/>
          <w:lang w:val="en-US"/>
        </w:rPr>
        <w:t>(</w:t>
      </w:r>
      <w:proofErr w:type="gramEnd"/>
      <w:r w:rsidRPr="004F0EC4">
        <w:rPr>
          <w:vertAlign w:val="superscript"/>
          <w:rtl/>
          <w:lang w:val="en-US"/>
        </w:rPr>
        <w:footnoteReference w:id="266"/>
      </w:r>
      <w:r w:rsidRPr="004F0EC4">
        <w:rPr>
          <w:vertAlign w:val="superscript"/>
          <w:rtl/>
          <w:lang w:val="en-US"/>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135"/>
        <w:gridCol w:w="2966"/>
        <w:gridCol w:w="3269"/>
      </w:tblGrid>
      <w:tr w:rsidR="00E54512" w:rsidRPr="004F0EC4" w14:paraId="26D431CE" w14:textId="77777777" w:rsidTr="003D23B7">
        <w:trPr>
          <w:trHeight w:val="240"/>
          <w:tblHeader/>
        </w:trPr>
        <w:tc>
          <w:tcPr>
            <w:tcW w:w="770" w:type="pct"/>
            <w:tcBorders>
              <w:top w:val="single" w:sz="4" w:space="0" w:color="auto"/>
              <w:bottom w:val="single" w:sz="12" w:space="0" w:color="auto"/>
            </w:tcBorders>
            <w:tcMar>
              <w:top w:w="0" w:type="dxa"/>
              <w:left w:w="0" w:type="dxa"/>
              <w:bottom w:w="0" w:type="dxa"/>
              <w:right w:w="0" w:type="dxa"/>
            </w:tcMar>
            <w:vAlign w:val="center"/>
          </w:tcPr>
          <w:p w14:paraId="26C437B7"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eastAsia="zh-TW"/>
              </w:rPr>
            </w:pPr>
            <w:r w:rsidRPr="004F0EC4">
              <w:rPr>
                <w:rFonts w:hAnsi="Times New Roman"/>
                <w:i/>
                <w:iCs/>
                <w:szCs w:val="20"/>
                <w:rtl/>
              </w:rPr>
              <w:t>العام</w:t>
            </w:r>
          </w:p>
        </w:tc>
        <w:tc>
          <w:tcPr>
            <w:tcW w:w="2012" w:type="pct"/>
            <w:tcBorders>
              <w:top w:val="single" w:sz="4" w:space="0" w:color="auto"/>
              <w:bottom w:val="single" w:sz="12" w:space="0" w:color="auto"/>
            </w:tcBorders>
            <w:tcMar>
              <w:top w:w="0" w:type="dxa"/>
              <w:left w:w="0" w:type="dxa"/>
              <w:bottom w:w="0" w:type="dxa"/>
              <w:right w:w="0" w:type="dxa"/>
            </w:tcMar>
            <w:vAlign w:val="center"/>
          </w:tcPr>
          <w:p w14:paraId="509A24D9"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eastAsia="zh-TW"/>
              </w:rPr>
            </w:pPr>
            <w:r w:rsidRPr="004F0EC4">
              <w:rPr>
                <w:rFonts w:hAnsi="Times New Roman"/>
                <w:i/>
                <w:iCs/>
                <w:szCs w:val="20"/>
                <w:rtl/>
              </w:rPr>
              <w:t>عدد البرامج التي تراعي منظور الإعاقة</w:t>
            </w:r>
          </w:p>
        </w:tc>
        <w:tc>
          <w:tcPr>
            <w:tcW w:w="2218" w:type="pct"/>
            <w:tcBorders>
              <w:top w:val="single" w:sz="4" w:space="0" w:color="auto"/>
              <w:bottom w:val="single" w:sz="12" w:space="0" w:color="auto"/>
            </w:tcBorders>
            <w:tcMar>
              <w:top w:w="0" w:type="dxa"/>
              <w:left w:w="0" w:type="dxa"/>
              <w:bottom w:w="0" w:type="dxa"/>
              <w:right w:w="0" w:type="dxa"/>
            </w:tcMar>
            <w:vAlign w:val="center"/>
          </w:tcPr>
          <w:p w14:paraId="4484699B"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eastAsia="zh-TW"/>
              </w:rPr>
            </w:pPr>
            <w:r w:rsidRPr="004F0EC4">
              <w:rPr>
                <w:rFonts w:hAnsi="Times New Roman"/>
                <w:i/>
                <w:iCs/>
                <w:szCs w:val="20"/>
                <w:rtl/>
              </w:rPr>
              <w:t>عدد البرامج التي تراعي منظور كبر السن</w:t>
            </w:r>
          </w:p>
        </w:tc>
      </w:tr>
      <w:tr w:rsidR="00E54512" w:rsidRPr="004F0EC4" w14:paraId="74C2CE8F" w14:textId="77777777" w:rsidTr="003D23B7">
        <w:trPr>
          <w:trHeight w:val="240"/>
        </w:trPr>
        <w:tc>
          <w:tcPr>
            <w:tcW w:w="770" w:type="pct"/>
            <w:tcBorders>
              <w:top w:val="single" w:sz="12" w:space="0" w:color="auto"/>
            </w:tcBorders>
            <w:tcMar>
              <w:top w:w="0" w:type="dxa"/>
              <w:left w:w="0" w:type="dxa"/>
              <w:bottom w:w="0" w:type="dxa"/>
              <w:right w:w="0" w:type="dxa"/>
            </w:tcMar>
            <w:vAlign w:val="center"/>
          </w:tcPr>
          <w:p w14:paraId="35878527"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2016</w:t>
            </w:r>
          </w:p>
        </w:tc>
        <w:tc>
          <w:tcPr>
            <w:tcW w:w="2012" w:type="pct"/>
            <w:tcBorders>
              <w:top w:val="single" w:sz="12" w:space="0" w:color="auto"/>
            </w:tcBorders>
            <w:tcMar>
              <w:top w:w="0" w:type="dxa"/>
              <w:left w:w="0" w:type="dxa"/>
              <w:bottom w:w="0" w:type="dxa"/>
              <w:right w:w="0" w:type="dxa"/>
            </w:tcMar>
            <w:vAlign w:val="center"/>
          </w:tcPr>
          <w:p w14:paraId="2B0BF06D"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58</w:t>
            </w:r>
          </w:p>
        </w:tc>
        <w:tc>
          <w:tcPr>
            <w:tcW w:w="2218" w:type="pct"/>
            <w:tcBorders>
              <w:top w:val="single" w:sz="12" w:space="0" w:color="auto"/>
            </w:tcBorders>
            <w:tcMar>
              <w:top w:w="0" w:type="dxa"/>
              <w:left w:w="0" w:type="dxa"/>
              <w:bottom w:w="0" w:type="dxa"/>
              <w:right w:w="0" w:type="dxa"/>
            </w:tcMar>
            <w:vAlign w:val="center"/>
          </w:tcPr>
          <w:p w14:paraId="0413557A"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غير متاح</w:t>
            </w:r>
          </w:p>
        </w:tc>
      </w:tr>
      <w:tr w:rsidR="00E54512" w:rsidRPr="004F0EC4" w14:paraId="0E63AD02" w14:textId="77777777" w:rsidTr="003D23B7">
        <w:trPr>
          <w:trHeight w:val="240"/>
        </w:trPr>
        <w:tc>
          <w:tcPr>
            <w:tcW w:w="770" w:type="pct"/>
            <w:tcMar>
              <w:top w:w="0" w:type="dxa"/>
              <w:left w:w="0" w:type="dxa"/>
              <w:bottom w:w="0" w:type="dxa"/>
              <w:right w:w="0" w:type="dxa"/>
            </w:tcMar>
            <w:vAlign w:val="center"/>
          </w:tcPr>
          <w:p w14:paraId="707B285A"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2017</w:t>
            </w:r>
          </w:p>
        </w:tc>
        <w:tc>
          <w:tcPr>
            <w:tcW w:w="2012" w:type="pct"/>
            <w:tcMar>
              <w:top w:w="0" w:type="dxa"/>
              <w:left w:w="0" w:type="dxa"/>
              <w:bottom w:w="0" w:type="dxa"/>
              <w:right w:w="0" w:type="dxa"/>
            </w:tcMar>
            <w:vAlign w:val="center"/>
          </w:tcPr>
          <w:p w14:paraId="3FC7EDD2"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161</w:t>
            </w:r>
          </w:p>
        </w:tc>
        <w:tc>
          <w:tcPr>
            <w:tcW w:w="2218" w:type="pct"/>
            <w:tcMar>
              <w:top w:w="0" w:type="dxa"/>
              <w:left w:w="0" w:type="dxa"/>
              <w:bottom w:w="0" w:type="dxa"/>
              <w:right w:w="0" w:type="dxa"/>
            </w:tcMar>
            <w:vAlign w:val="center"/>
          </w:tcPr>
          <w:p w14:paraId="73FB6522"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22</w:t>
            </w:r>
          </w:p>
        </w:tc>
      </w:tr>
      <w:tr w:rsidR="00E54512" w:rsidRPr="004F0EC4" w14:paraId="77DC1671" w14:textId="77777777" w:rsidTr="003D23B7">
        <w:trPr>
          <w:trHeight w:val="240"/>
        </w:trPr>
        <w:tc>
          <w:tcPr>
            <w:tcW w:w="770" w:type="pct"/>
            <w:tcMar>
              <w:top w:w="0" w:type="dxa"/>
              <w:left w:w="0" w:type="dxa"/>
              <w:bottom w:w="0" w:type="dxa"/>
              <w:right w:w="0" w:type="dxa"/>
            </w:tcMar>
            <w:vAlign w:val="center"/>
          </w:tcPr>
          <w:p w14:paraId="20F0EFAF"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2018</w:t>
            </w:r>
          </w:p>
        </w:tc>
        <w:tc>
          <w:tcPr>
            <w:tcW w:w="2012" w:type="pct"/>
            <w:tcMar>
              <w:top w:w="0" w:type="dxa"/>
              <w:left w:w="0" w:type="dxa"/>
              <w:bottom w:w="0" w:type="dxa"/>
              <w:right w:w="0" w:type="dxa"/>
            </w:tcMar>
            <w:vAlign w:val="center"/>
          </w:tcPr>
          <w:p w14:paraId="5627CAC4"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172</w:t>
            </w:r>
          </w:p>
        </w:tc>
        <w:tc>
          <w:tcPr>
            <w:tcW w:w="2218" w:type="pct"/>
            <w:tcMar>
              <w:top w:w="0" w:type="dxa"/>
              <w:left w:w="0" w:type="dxa"/>
              <w:bottom w:w="0" w:type="dxa"/>
              <w:right w:w="0" w:type="dxa"/>
            </w:tcMar>
            <w:vAlign w:val="center"/>
          </w:tcPr>
          <w:p w14:paraId="4F9A91E6"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22</w:t>
            </w:r>
          </w:p>
        </w:tc>
      </w:tr>
      <w:tr w:rsidR="00E54512" w:rsidRPr="004F0EC4" w14:paraId="335E197F" w14:textId="77777777" w:rsidTr="003D23B7">
        <w:trPr>
          <w:trHeight w:val="240"/>
        </w:trPr>
        <w:tc>
          <w:tcPr>
            <w:tcW w:w="770" w:type="pct"/>
            <w:tcMar>
              <w:top w:w="0" w:type="dxa"/>
              <w:left w:w="0" w:type="dxa"/>
              <w:bottom w:w="0" w:type="dxa"/>
              <w:right w:w="0" w:type="dxa"/>
            </w:tcMar>
            <w:vAlign w:val="center"/>
          </w:tcPr>
          <w:p w14:paraId="5155F0D9"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2019</w:t>
            </w:r>
          </w:p>
        </w:tc>
        <w:tc>
          <w:tcPr>
            <w:tcW w:w="2012" w:type="pct"/>
            <w:tcMar>
              <w:top w:w="0" w:type="dxa"/>
              <w:left w:w="0" w:type="dxa"/>
              <w:bottom w:w="0" w:type="dxa"/>
              <w:right w:w="0" w:type="dxa"/>
            </w:tcMar>
            <w:vAlign w:val="center"/>
          </w:tcPr>
          <w:p w14:paraId="6905A226"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196</w:t>
            </w:r>
          </w:p>
        </w:tc>
        <w:tc>
          <w:tcPr>
            <w:tcW w:w="2218" w:type="pct"/>
            <w:tcMar>
              <w:top w:w="0" w:type="dxa"/>
              <w:left w:w="0" w:type="dxa"/>
              <w:bottom w:w="0" w:type="dxa"/>
              <w:right w:w="0" w:type="dxa"/>
            </w:tcMar>
            <w:vAlign w:val="center"/>
          </w:tcPr>
          <w:p w14:paraId="182A8C89"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13</w:t>
            </w:r>
          </w:p>
        </w:tc>
      </w:tr>
      <w:tr w:rsidR="00E54512" w:rsidRPr="004F0EC4" w14:paraId="21B8DF34" w14:textId="77777777" w:rsidTr="003D23B7">
        <w:trPr>
          <w:trHeight w:val="240"/>
        </w:trPr>
        <w:tc>
          <w:tcPr>
            <w:tcW w:w="770" w:type="pct"/>
            <w:tcMar>
              <w:top w:w="0" w:type="dxa"/>
              <w:left w:w="0" w:type="dxa"/>
              <w:bottom w:w="0" w:type="dxa"/>
              <w:right w:w="0" w:type="dxa"/>
            </w:tcMar>
            <w:vAlign w:val="center"/>
          </w:tcPr>
          <w:p w14:paraId="3C04D9AE"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2020</w:t>
            </w:r>
          </w:p>
        </w:tc>
        <w:tc>
          <w:tcPr>
            <w:tcW w:w="2012" w:type="pct"/>
            <w:tcMar>
              <w:top w:w="0" w:type="dxa"/>
              <w:left w:w="0" w:type="dxa"/>
              <w:bottom w:w="0" w:type="dxa"/>
              <w:right w:w="0" w:type="dxa"/>
            </w:tcMar>
            <w:vAlign w:val="center"/>
          </w:tcPr>
          <w:p w14:paraId="211FB910"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196</w:t>
            </w:r>
          </w:p>
        </w:tc>
        <w:tc>
          <w:tcPr>
            <w:tcW w:w="2218" w:type="pct"/>
            <w:tcMar>
              <w:top w:w="0" w:type="dxa"/>
              <w:left w:w="0" w:type="dxa"/>
              <w:bottom w:w="0" w:type="dxa"/>
              <w:right w:w="0" w:type="dxa"/>
            </w:tcMar>
            <w:vAlign w:val="center"/>
          </w:tcPr>
          <w:p w14:paraId="590B4DEA" w14:textId="77777777" w:rsidR="00E54512" w:rsidRPr="004F0EC4" w:rsidRDefault="00E54512" w:rsidP="00375F3D">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eastAsia="zh-TW"/>
              </w:rPr>
            </w:pPr>
            <w:r w:rsidRPr="004F0EC4">
              <w:rPr>
                <w:rFonts w:hAnsi="Times New Roman"/>
                <w:szCs w:val="20"/>
                <w:rtl/>
              </w:rPr>
              <w:t>13</w:t>
            </w:r>
          </w:p>
        </w:tc>
      </w:tr>
    </w:tbl>
    <w:p w14:paraId="5E988FDD" w14:textId="7D661DFE" w:rsidR="00E54512" w:rsidRPr="004F0EC4" w:rsidRDefault="00E54512" w:rsidP="003D23B7">
      <w:pPr>
        <w:pStyle w:val="SingleTxtGA"/>
        <w:spacing w:before="120"/>
        <w:rPr>
          <w:rtl/>
        </w:rPr>
      </w:pPr>
      <w:r w:rsidRPr="004F0EC4">
        <w:rPr>
          <w:rtl/>
        </w:rPr>
        <w:t>175-</w:t>
      </w:r>
      <w:r w:rsidRPr="004F0EC4">
        <w:rPr>
          <w:rtl/>
        </w:rPr>
        <w:tab/>
        <w:t xml:space="preserve">وتقوم الدائرة الوطنية لشؤون الأشخاص ذوي الإعاقة، منذ عام 2016، بتطبيق برنامج الانتقال إلى العيش </w:t>
      </w:r>
      <w:proofErr w:type="gramStart"/>
      <w:r w:rsidRPr="004F0EC4">
        <w:rPr>
          <w:rtl/>
        </w:rPr>
        <w:t>المستقل</w:t>
      </w:r>
      <w:r w:rsidRPr="004F0EC4">
        <w:rPr>
          <w:vertAlign w:val="superscript"/>
          <w:rtl/>
        </w:rPr>
        <w:t>(</w:t>
      </w:r>
      <w:proofErr w:type="gramEnd"/>
      <w:r w:rsidRPr="004F0EC4">
        <w:rPr>
          <w:vertAlign w:val="superscript"/>
          <w:rtl/>
        </w:rPr>
        <w:footnoteReference w:id="267"/>
      </w:r>
      <w:r w:rsidRPr="004F0EC4">
        <w:rPr>
          <w:vertAlign w:val="superscript"/>
          <w:rtl/>
        </w:rPr>
        <w:t>)</w:t>
      </w:r>
      <w:r w:rsidRPr="004F0EC4">
        <w:rPr>
          <w:rtl/>
        </w:rPr>
        <w:t xml:space="preserve">، وهو برنامج مخصص للأشخاص ذوي الإعاقة الذين تتراوح أعمارهم بين 18 و59 عاماً ويندرجون ضمن فئة أضعف الأشخاص البالغة نسبتهم 70 في </w:t>
      </w:r>
      <w:proofErr w:type="gramStart"/>
      <w:r w:rsidRPr="004F0EC4">
        <w:rPr>
          <w:rtl/>
        </w:rPr>
        <w:t>المائة</w:t>
      </w:r>
      <w:proofErr w:type="gramEnd"/>
      <w:r w:rsidRPr="004F0EC4">
        <w:rPr>
          <w:rtl/>
        </w:rPr>
        <w:t xml:space="preserve"> وفقاً للسجل الاجتماعي للأسر المعيشية. وينفَّذ البرنامج من خلال المديريات الإقليمية والموقع الشبكي للدائرة </w:t>
      </w:r>
      <w:proofErr w:type="gramStart"/>
      <w:r w:rsidRPr="004F0EC4">
        <w:rPr>
          <w:rtl/>
        </w:rPr>
        <w:t>الوطنية</w:t>
      </w:r>
      <w:r w:rsidRPr="004F0EC4">
        <w:rPr>
          <w:vertAlign w:val="superscript"/>
          <w:rtl/>
        </w:rPr>
        <w:t>(</w:t>
      </w:r>
      <w:proofErr w:type="gramEnd"/>
      <w:r w:rsidRPr="004F0EC4">
        <w:rPr>
          <w:vertAlign w:val="superscript"/>
          <w:rtl/>
        </w:rPr>
        <w:footnoteReference w:id="268"/>
      </w:r>
      <w:r w:rsidRPr="004F0EC4">
        <w:rPr>
          <w:vertAlign w:val="superscript"/>
          <w:rtl/>
        </w:rPr>
        <w:t>)</w:t>
      </w:r>
      <w:r w:rsidRPr="004F0EC4">
        <w:rPr>
          <w:rtl/>
        </w:rPr>
        <w:t>. ويمكن</w:t>
      </w:r>
      <w:r w:rsidR="00375F3D" w:rsidRPr="004F0EC4">
        <w:rPr>
          <w:rFonts w:hint="cs"/>
          <w:rtl/>
        </w:rPr>
        <w:t> </w:t>
      </w:r>
      <w:r w:rsidRPr="004F0EC4">
        <w:rPr>
          <w:rtl/>
        </w:rPr>
        <w:t>لمقدمي الطلبات تقديم مقترحات، بصورة فردية أو جماعية، لطلب خدمات الدعم والرعاية والوساطة و/أو إدخال تعديلات على بيئتهم المنزلية و/أو تلقّي تدريب من أجل الانتقال إلى العيش المستقل.</w:t>
      </w:r>
    </w:p>
    <w:p w14:paraId="6AE68322" w14:textId="77777777" w:rsidR="00E54512" w:rsidRPr="004F0EC4" w:rsidRDefault="00E54512" w:rsidP="00E54512">
      <w:pPr>
        <w:pStyle w:val="SingleTxtGA"/>
        <w:rPr>
          <w:rtl/>
        </w:rPr>
      </w:pPr>
      <w:r w:rsidRPr="004F0EC4">
        <w:rPr>
          <w:rtl/>
        </w:rPr>
        <w:lastRenderedPageBreak/>
        <w:t>176-</w:t>
      </w:r>
      <w:r w:rsidRPr="004F0EC4">
        <w:rPr>
          <w:rtl/>
        </w:rPr>
        <w:tab/>
        <w:t xml:space="preserve">وفي إطار برنامج الانتقال إلى العيش المستقل، يوفَّر التدريب أيضاً للأشخاص ذوي الإعاقة </w:t>
      </w:r>
      <w:r w:rsidRPr="004F0EC4">
        <w:rPr>
          <w:spacing w:val="-2"/>
          <w:rtl/>
        </w:rPr>
        <w:t>وللوكالات المستفيدة وللمساعدين الشخصيين ولأفراد الأسرة ولأفرقة الرعاية وغيرهم من الأشخاص المعنيين،</w:t>
      </w:r>
      <w:r w:rsidRPr="004F0EC4">
        <w:rPr>
          <w:rtl/>
        </w:rPr>
        <w:t xml:space="preserve"> على نحو يتماشى مع فهم مفاده أن تحقيق العيش المستقل يتطلب تغييراً ثقافياً يجب أن يحظى بدعم المجتمع ككل.</w:t>
      </w:r>
    </w:p>
    <w:p w14:paraId="1CC5356C" w14:textId="31CF1C77" w:rsidR="00E54512" w:rsidRPr="004F0EC4" w:rsidRDefault="00E54512" w:rsidP="00E54512">
      <w:pPr>
        <w:pStyle w:val="SingleTxtGA"/>
      </w:pPr>
      <w:r w:rsidRPr="004F0EC4">
        <w:rPr>
          <w:rtl/>
        </w:rPr>
        <w:t>177-</w:t>
      </w:r>
      <w:r w:rsidRPr="004F0EC4">
        <w:rPr>
          <w:rtl/>
        </w:rPr>
        <w:tab/>
        <w:t>وفيما يتعلق بالبرامج المخصصة للأشخاص ذوي الإعاقة الذين يعيشون تحت وطأة الفقر، فقد</w:t>
      </w:r>
      <w:r w:rsidR="008B032D" w:rsidRPr="004F0EC4">
        <w:rPr>
          <w:rFonts w:hint="cs"/>
          <w:rtl/>
        </w:rPr>
        <w:t> </w:t>
      </w:r>
      <w:r w:rsidRPr="004F0EC4">
        <w:rPr>
          <w:rtl/>
        </w:rPr>
        <w:t xml:space="preserve">سُجل 32 برنامجاً في عامي 2017 و2018، وهي برامج استفاد منها أفراد أو أسر معيشية من ضعاف الحال. وفي عام 2019، ارتفع هذا العدد إلى 38 </w:t>
      </w:r>
      <w:proofErr w:type="gramStart"/>
      <w:r w:rsidRPr="004F0EC4">
        <w:rPr>
          <w:rtl/>
        </w:rPr>
        <w:t>برنامجا</w:t>
      </w:r>
      <w:r w:rsidR="00110A15" w:rsidRPr="004F0EC4">
        <w:rPr>
          <w:rFonts w:hint="cs"/>
          <w:rtl/>
        </w:rPr>
        <w:t>ً</w:t>
      </w:r>
      <w:r w:rsidRPr="004F0EC4">
        <w:rPr>
          <w:vertAlign w:val="superscript"/>
          <w:rtl/>
        </w:rPr>
        <w:t>(</w:t>
      </w:r>
      <w:proofErr w:type="gramEnd"/>
      <w:r w:rsidRPr="004F0EC4">
        <w:rPr>
          <w:vertAlign w:val="superscript"/>
          <w:rtl/>
        </w:rPr>
        <w:footnoteReference w:id="269"/>
      </w:r>
      <w:r w:rsidRPr="004F0EC4">
        <w:rPr>
          <w:vertAlign w:val="superscript"/>
          <w:rtl/>
        </w:rPr>
        <w:t>)</w:t>
      </w:r>
      <w:r w:rsidRPr="004F0EC4">
        <w:rPr>
          <w:rtl/>
        </w:rPr>
        <w:t>. وتغطي هذه البرامج واحدة على</w:t>
      </w:r>
      <w:r w:rsidR="008B032D" w:rsidRPr="004F0EC4">
        <w:rPr>
          <w:rFonts w:hint="cs"/>
          <w:rtl/>
        </w:rPr>
        <w:t> </w:t>
      </w:r>
      <w:r w:rsidRPr="004F0EC4">
        <w:rPr>
          <w:rtl/>
        </w:rPr>
        <w:t>الأقل من النفقات المرتبطة بالإعاقة، مثل المعونة التقنية، والاستشارات الثنائية، والتحويلات النقدية، وتوفير خدمات الرعاية. وفي عام 2021، شمل 20 برنامجاً من البرامج التي يطبَّق فيها منظور الإعاقة أسراً معيشية أو</w:t>
      </w:r>
      <w:r w:rsidR="00110A15" w:rsidRPr="004F0EC4">
        <w:rPr>
          <w:rFonts w:hint="cs"/>
          <w:rtl/>
        </w:rPr>
        <w:t> </w:t>
      </w:r>
      <w:r w:rsidRPr="004F0EC4">
        <w:rPr>
          <w:rtl/>
        </w:rPr>
        <w:t>أفراداً من ضعاف الحال.</w:t>
      </w:r>
    </w:p>
    <w:p w14:paraId="78244CEB" w14:textId="77777777" w:rsidR="00E54512" w:rsidRPr="004F0EC4" w:rsidRDefault="00E54512" w:rsidP="00E54512">
      <w:pPr>
        <w:pStyle w:val="SingleTxtGA"/>
        <w:rPr>
          <w:rtl/>
        </w:rPr>
      </w:pPr>
      <w:r w:rsidRPr="004F0EC4">
        <w:rPr>
          <w:rtl/>
        </w:rPr>
        <w:t>178-</w:t>
      </w:r>
      <w:r w:rsidRPr="004F0EC4">
        <w:rPr>
          <w:rtl/>
        </w:rPr>
        <w:tab/>
        <w:t xml:space="preserve">وفيما يتعلق بخدمات الرعاية، صُمم برنامج شبكة الدعم والرعاية المحلية بوصفه نموذجاً إدارياً محلياً يستند إلى مفهوم الحماية الشاملة ويهدف إلى توفير الإرشاد والدعم والمؤازرة للأفراد المعتمدين على الغير ولشبكات دعمهم. وتتألف الفئة المستهدفة من الأسر المعيشية التي تضم أفراداً يتراوح مستوى اعتماديتهم بين المتوسط والشديد، بمن في ذلك الأشخاص الذين تجاوزت أعمارهم الستين عاماً وهم يعتمدون على الغير والأشخاص ذوو الإعاقة من جميع الأعمار الذين يعتمدون على الغير ومقدمو الرعاية غير المأجورين و/أو شبكة من هؤلاء. والهدف المبتغى هو تنفيذ خطة عمل تتمحور حول العناصر التالية: خطة الرعاية، وخدمات الرعاية المنزلية، والخدمات المتخصصة. ومن أجل إحراز تقدم في سد الفجوات بين الجنسين فيما يتعلق بالاستقلال الاقتصادي وتلبية احتياجات فئات النساء المتنوعة في شيلي، </w:t>
      </w:r>
      <w:r w:rsidRPr="004F0EC4">
        <w:rPr>
          <w:spacing w:val="-4"/>
          <w:rtl/>
        </w:rPr>
        <w:t xml:space="preserve">اقترحت وزارة شؤون المرأة والإنصاف بين الجنسين إدراج عنصرين جديدين في البرنامج، وهما: (أ) </w:t>
      </w:r>
      <w:proofErr w:type="gramStart"/>
      <w:r w:rsidRPr="004F0EC4">
        <w:rPr>
          <w:spacing w:val="-4"/>
          <w:rtl/>
        </w:rPr>
        <w:t>التمكين</w:t>
      </w:r>
      <w:r w:rsidRPr="004F0EC4">
        <w:rPr>
          <w:spacing w:val="-4"/>
          <w:vertAlign w:val="superscript"/>
          <w:rtl/>
        </w:rPr>
        <w:t>(</w:t>
      </w:r>
      <w:proofErr w:type="gramEnd"/>
      <w:r w:rsidRPr="004F0EC4">
        <w:rPr>
          <w:spacing w:val="-4"/>
          <w:vertAlign w:val="superscript"/>
          <w:rtl/>
        </w:rPr>
        <w:footnoteReference w:id="270"/>
      </w:r>
      <w:r w:rsidRPr="004F0EC4">
        <w:rPr>
          <w:spacing w:val="-4"/>
          <w:vertAlign w:val="superscript"/>
          <w:rtl/>
        </w:rPr>
        <w:t>)</w:t>
      </w:r>
      <w:r w:rsidRPr="004F0EC4">
        <w:rPr>
          <w:spacing w:val="-4"/>
          <w:rtl/>
        </w:rPr>
        <w:t>؛</w:t>
      </w:r>
      <w:r w:rsidRPr="004F0EC4">
        <w:rPr>
          <w:rtl/>
        </w:rPr>
        <w:t xml:space="preserve"> و(ب) مجموعة مقدمي </w:t>
      </w:r>
      <w:proofErr w:type="gramStart"/>
      <w:r w:rsidRPr="004F0EC4">
        <w:rPr>
          <w:rtl/>
        </w:rPr>
        <w:t>الرعاية</w:t>
      </w:r>
      <w:r w:rsidRPr="004F0EC4">
        <w:rPr>
          <w:vertAlign w:val="superscript"/>
          <w:rtl/>
        </w:rPr>
        <w:t>(</w:t>
      </w:r>
      <w:proofErr w:type="gramEnd"/>
      <w:r w:rsidRPr="004F0EC4">
        <w:rPr>
          <w:vertAlign w:val="superscript"/>
          <w:rtl/>
        </w:rPr>
        <w:footnoteReference w:id="271"/>
      </w:r>
      <w:r w:rsidRPr="004F0EC4">
        <w:rPr>
          <w:vertAlign w:val="superscript"/>
          <w:rtl/>
        </w:rPr>
        <w:t>)</w:t>
      </w:r>
      <w:r w:rsidRPr="004F0EC4">
        <w:rPr>
          <w:rtl/>
        </w:rPr>
        <w:t>.</w:t>
      </w:r>
    </w:p>
    <w:p w14:paraId="77D95268" w14:textId="28419CAC" w:rsidR="00E54512" w:rsidRPr="004F0EC4" w:rsidRDefault="00E54512" w:rsidP="00E54512">
      <w:pPr>
        <w:pStyle w:val="SingleTxtGA"/>
      </w:pPr>
      <w:r w:rsidRPr="004F0EC4">
        <w:rPr>
          <w:rtl/>
        </w:rPr>
        <w:t>179-</w:t>
      </w:r>
      <w:r w:rsidRPr="004F0EC4">
        <w:rPr>
          <w:rtl/>
        </w:rPr>
        <w:tab/>
        <w:t xml:space="preserve">وفيما يتعلق بالتدريب الذي تقدمه الدائرة الوطنية لشؤون الأشخاص ذوي الإعاقة، يرجى الاطلاع على المبادرات التي سُلط عليها الضوء في الفقرتين 18 و32. ولتوفير إمكانية تلقّي النصح والتوجيه، أطلقت الدائرة الخط الساخن المسمى "متصل بالرعاية" في عام 2020 (انظر الفقرة </w:t>
      </w:r>
      <w:proofErr w:type="gramStart"/>
      <w:r w:rsidRPr="004F0EC4">
        <w:rPr>
          <w:rtl/>
        </w:rPr>
        <w:t>55)</w:t>
      </w:r>
      <w:r w:rsidRPr="004F0EC4">
        <w:rPr>
          <w:vertAlign w:val="superscript"/>
          <w:rtl/>
        </w:rPr>
        <w:t>(</w:t>
      </w:r>
      <w:proofErr w:type="gramEnd"/>
      <w:r w:rsidRPr="004F0EC4">
        <w:rPr>
          <w:vertAlign w:val="superscript"/>
          <w:rtl/>
        </w:rPr>
        <w:footnoteReference w:id="272"/>
      </w:r>
      <w:r w:rsidRPr="004F0EC4">
        <w:rPr>
          <w:vertAlign w:val="superscript"/>
          <w:rtl/>
        </w:rPr>
        <w:t>)</w:t>
      </w:r>
      <w:r w:rsidRPr="004F0EC4">
        <w:rPr>
          <w:rtl/>
        </w:rPr>
        <w:t>.</w:t>
      </w:r>
    </w:p>
    <w:p w14:paraId="673B5FD5" w14:textId="3F8D56C8" w:rsidR="00E54512" w:rsidRPr="004F0EC4" w:rsidRDefault="00E54512" w:rsidP="00E54512">
      <w:pPr>
        <w:pStyle w:val="SingleTxtGA"/>
        <w:rPr>
          <w:rFonts w:hint="cs"/>
          <w:rtl/>
        </w:rPr>
      </w:pPr>
      <w:r w:rsidRPr="004F0EC4">
        <w:rPr>
          <w:rtl/>
        </w:rPr>
        <w:t>180-</w:t>
      </w:r>
      <w:r w:rsidRPr="004F0EC4">
        <w:rPr>
          <w:rtl/>
        </w:rPr>
        <w:tab/>
      </w:r>
      <w:r w:rsidRPr="004F0EC4">
        <w:rPr>
          <w:spacing w:val="-4"/>
          <w:rtl/>
        </w:rPr>
        <w:t>وفيما يتعلق بإمكانية الاستفادة من البرامج، أفيد بأن 311 برنامجاً اجتماعياً، من أصل 469 برنامجاً</w:t>
      </w:r>
      <w:r w:rsidRPr="004F0EC4">
        <w:rPr>
          <w:rtl/>
        </w:rPr>
        <w:t xml:space="preserve"> </w:t>
      </w:r>
      <w:r w:rsidRPr="004F0EC4">
        <w:rPr>
          <w:spacing w:val="2"/>
          <w:rtl/>
        </w:rPr>
        <w:t>مطبق</w:t>
      </w:r>
      <w:r w:rsidR="00E22186" w:rsidRPr="004F0EC4">
        <w:rPr>
          <w:spacing w:val="2"/>
          <w:rtl/>
        </w:rPr>
        <w:t xml:space="preserve">اً </w:t>
      </w:r>
      <w:r w:rsidRPr="004F0EC4">
        <w:rPr>
          <w:spacing w:val="2"/>
          <w:rtl/>
        </w:rPr>
        <w:t>في عام 2020، تأثر كفاءته و/أو فعاليته و/أو مجال تركيزه و/أو استراتيجيته بسبب كوفيد-19،</w:t>
      </w:r>
      <w:r w:rsidRPr="004F0EC4">
        <w:rPr>
          <w:rtl/>
        </w:rPr>
        <w:t xml:space="preserve"> بينما أفيد بأن 132 برنامجاً طبق منظور الإعاقة.</w:t>
      </w:r>
    </w:p>
    <w:p w14:paraId="6BD8588D" w14:textId="3F982F8E" w:rsidR="00E54512" w:rsidRPr="004F0EC4" w:rsidRDefault="00E54512" w:rsidP="00E54512">
      <w:pPr>
        <w:pStyle w:val="SingleTxtGA"/>
      </w:pPr>
      <w:r w:rsidRPr="004F0EC4">
        <w:rPr>
          <w:rtl/>
        </w:rPr>
        <w:t>181-</w:t>
      </w:r>
      <w:r w:rsidRPr="004F0EC4">
        <w:rPr>
          <w:rtl/>
        </w:rPr>
        <w:tab/>
        <w:t xml:space="preserve">وكُيّفت الجهود المبذولة في إطار برنامج شبكة الدعم والرعاية المحلية، وهو برنامج أُنشئ استجابةً لجائحة كوفيد-19، على نحو يجعل الخدمات المقدمة للمستفيدين منه، والبالغ عددهم 810 1 مستفيداً، خدمات تستند إلى ثلاثة مستويات من الأولوية هي المستوى الحرج، والمتوسط، والمنخفض. وشمل بروتوكول البرنامج توفير معدات الحماية الشخصية، والتدريب على استخدامها الصحيح، والحصول على الموافقة على الزيارات المنزلية، وتخطيط الزيارات، وإجراءات دخول المنازل والخروج منها، </w:t>
      </w:r>
      <w:r w:rsidRPr="004F0EC4">
        <w:rPr>
          <w:rtl/>
        </w:rPr>
        <w:lastRenderedPageBreak/>
        <w:t>ونظام</w:t>
      </w:r>
      <w:r w:rsidR="008B032D" w:rsidRPr="004F0EC4">
        <w:rPr>
          <w:rFonts w:hint="cs"/>
          <w:rtl/>
        </w:rPr>
        <w:t> </w:t>
      </w:r>
      <w:r w:rsidRPr="004F0EC4">
        <w:rPr>
          <w:rtl/>
        </w:rPr>
        <w:t xml:space="preserve">النوبات لأفرقة العمل، والتدخل عن بُعد حيثما أمكن ذلك. وفي عام 2021، طُبق البروتوكول </w:t>
      </w:r>
      <w:r w:rsidRPr="004F0EC4">
        <w:rPr>
          <w:spacing w:val="-2"/>
          <w:rtl/>
        </w:rPr>
        <w:t>في</w:t>
      </w:r>
      <w:r w:rsidR="008B032D" w:rsidRPr="004F0EC4">
        <w:rPr>
          <w:rFonts w:hint="cs"/>
          <w:spacing w:val="-2"/>
          <w:rtl/>
        </w:rPr>
        <w:t> </w:t>
      </w:r>
      <w:r w:rsidRPr="004F0EC4">
        <w:rPr>
          <w:spacing w:val="-2"/>
          <w:rtl/>
        </w:rPr>
        <w:t>62 بلدية موزعة على مناطق البلد الستة عشر، ليشمل 766 3 ثنائي رعاية يتألف كل منها من شخص</w:t>
      </w:r>
      <w:r w:rsidRPr="004F0EC4">
        <w:rPr>
          <w:rtl/>
        </w:rPr>
        <w:t xml:space="preserve"> يعاني من اعتمادية متوسطة إلى شديدة ومقدم الرعاية الأساسي. وفي عام 2022، أضيفت 28 بلدية، وهو ما أدى إلى توسيع نطاق التغطية ليشمل 340 1 ثنائياً آخر، بمن فيهم 540 مستفيداً من خدمة </w:t>
      </w:r>
      <w:r w:rsidRPr="004F0EC4">
        <w:rPr>
          <w:spacing w:val="-2"/>
          <w:rtl/>
        </w:rPr>
        <w:t>الرعاية المنزلية، وذلك بميزانية بلغت 745 753 316 2 بيسو شيلياً. وبذلك، يكون البرنامج مطبق</w:t>
      </w:r>
      <w:r w:rsidR="00E22186" w:rsidRPr="004F0EC4">
        <w:rPr>
          <w:spacing w:val="-2"/>
          <w:rtl/>
        </w:rPr>
        <w:t xml:space="preserve">اً </w:t>
      </w:r>
      <w:r w:rsidRPr="004F0EC4">
        <w:rPr>
          <w:spacing w:val="-2"/>
          <w:rtl/>
        </w:rPr>
        <w:t>في 90</w:t>
      </w:r>
      <w:r w:rsidRPr="004F0EC4">
        <w:rPr>
          <w:rtl/>
        </w:rPr>
        <w:t xml:space="preserve"> بلدية ويشمل 335 5 ثنائي رعاية، بمن فيهم 380 2 شخصاً سيستفيدون من خدمة الرعاية المنزلية، وذلك</w:t>
      </w:r>
      <w:r w:rsidR="008B032D" w:rsidRPr="004F0EC4">
        <w:rPr>
          <w:rFonts w:hint="cs"/>
          <w:rtl/>
        </w:rPr>
        <w:t> </w:t>
      </w:r>
      <w:r w:rsidRPr="004F0EC4">
        <w:rPr>
          <w:rtl/>
        </w:rPr>
        <w:t>بميزانية سنوية تبلغ 020 253 976 9 بيسو شيلياً.</w:t>
      </w:r>
    </w:p>
    <w:p w14:paraId="65CA01D2" w14:textId="65EB28FF" w:rsidR="00E54512" w:rsidRPr="004F0EC4" w:rsidRDefault="00E54512" w:rsidP="00E54512">
      <w:pPr>
        <w:pStyle w:val="SingleTxtGA"/>
      </w:pPr>
      <w:r w:rsidRPr="004F0EC4">
        <w:rPr>
          <w:rtl/>
        </w:rPr>
        <w:t>182-</w:t>
      </w:r>
      <w:r w:rsidRPr="004F0EC4">
        <w:rPr>
          <w:rtl/>
        </w:rPr>
        <w:tab/>
        <w:t>ويمكن للأسر التي تتلقى إعانات تكميلية لاستحقاقات الشيخوخة الأساسية القائمة على الاشتراكات، أو التي تضم فرداً يتلقى إعانات تكميلية لاستحقاقات الإعاقة الأساسية القائمة على الاشتراكات، أن تكون مؤهلة للحصول على الإعانة العائلية الطارئة، شريطة ألا يتجاوز المبلغ الإجمالي المعاش الأساسي الشامل. ووفقاً للمعلومات التي قدمها السجل الاجتماعي للأسر المعيشية، بلغ عدد الأشخاص الذين يعانون من اعتمادية متوسطة إلى شديدة في مختلف أنحاء البلد 211 185 شخصاً في تموز/يوليه 2021. وفي حزيران/</w:t>
      </w:r>
      <w:proofErr w:type="gramStart"/>
      <w:r w:rsidRPr="004F0EC4">
        <w:rPr>
          <w:rtl/>
        </w:rPr>
        <w:t>يونيه</w:t>
      </w:r>
      <w:proofErr w:type="gramEnd"/>
      <w:r w:rsidRPr="004F0EC4">
        <w:rPr>
          <w:rtl/>
        </w:rPr>
        <w:t xml:space="preserve"> 2021، كان 549 182 </w:t>
      </w:r>
      <w:proofErr w:type="gramStart"/>
      <w:r w:rsidRPr="004F0EC4">
        <w:rPr>
          <w:rtl/>
        </w:rPr>
        <w:t>شخصاً</w:t>
      </w:r>
      <w:r w:rsidRPr="004F0EC4">
        <w:rPr>
          <w:vertAlign w:val="superscript"/>
          <w:rtl/>
        </w:rPr>
        <w:t>(</w:t>
      </w:r>
      <w:proofErr w:type="gramEnd"/>
      <w:r w:rsidRPr="004F0EC4">
        <w:rPr>
          <w:vertAlign w:val="superscript"/>
          <w:rtl/>
        </w:rPr>
        <w:footnoteReference w:id="273"/>
      </w:r>
      <w:r w:rsidRPr="004F0EC4">
        <w:rPr>
          <w:vertAlign w:val="superscript"/>
          <w:rtl/>
        </w:rPr>
        <w:t>)</w:t>
      </w:r>
      <w:r w:rsidRPr="004F0EC4">
        <w:rPr>
          <w:rtl/>
        </w:rPr>
        <w:t xml:space="preserve"> من هؤلاء قد تلقوا الإعانة العائلية الطارئة.</w:t>
      </w:r>
    </w:p>
    <w:p w14:paraId="79CE1050" w14:textId="77777777" w:rsidR="00E54512" w:rsidRPr="004F0EC4" w:rsidRDefault="00E54512" w:rsidP="00E54512">
      <w:pPr>
        <w:pStyle w:val="SingleTxtGA"/>
        <w:rPr>
          <w:rtl/>
        </w:rPr>
      </w:pPr>
      <w:r w:rsidRPr="004F0EC4">
        <w:rPr>
          <w:rtl/>
        </w:rPr>
        <w:t>183-</w:t>
      </w:r>
      <w:r w:rsidRPr="004F0EC4">
        <w:rPr>
          <w:rtl/>
        </w:rPr>
        <w:tab/>
        <w:t xml:space="preserve">وتتألف إعانة التوظيف من مسارين هما: "العودة" و"التعيين". وقد صُمم المسار الأخير بهدف إلحاق المزيد من الموظفين بشركات من مختلف الأحجام، حيث تساهم الدولة بمبلغ يعادل نصف الأجر الشهري الإجمالي، وذلك بحد أقصى يبلغ 000 250 بيسو شيليّ لكل شخص جديد </w:t>
      </w:r>
      <w:proofErr w:type="gramStart"/>
      <w:r w:rsidRPr="004F0EC4">
        <w:rPr>
          <w:rtl/>
        </w:rPr>
        <w:t>يعيَّن</w:t>
      </w:r>
      <w:r w:rsidRPr="004F0EC4">
        <w:rPr>
          <w:vertAlign w:val="superscript"/>
          <w:rtl/>
        </w:rPr>
        <w:t>(</w:t>
      </w:r>
      <w:proofErr w:type="gramEnd"/>
      <w:r w:rsidRPr="004F0EC4">
        <w:rPr>
          <w:vertAlign w:val="superscript"/>
          <w:rtl/>
        </w:rPr>
        <w:footnoteReference w:id="274"/>
      </w:r>
      <w:r w:rsidRPr="004F0EC4">
        <w:rPr>
          <w:vertAlign w:val="superscript"/>
          <w:rtl/>
        </w:rPr>
        <w:t>)</w:t>
      </w:r>
      <w:r w:rsidRPr="004F0EC4">
        <w:rPr>
          <w:rtl/>
        </w:rPr>
        <w:t>.</w:t>
      </w:r>
    </w:p>
    <w:p w14:paraId="5EF6B0E5" w14:textId="23A7DCCB" w:rsidR="00E54512" w:rsidRPr="004F0EC4" w:rsidRDefault="00E54512" w:rsidP="00E54512">
      <w:pPr>
        <w:pStyle w:val="H1GA"/>
        <w:rPr>
          <w:lang w:val="en-US"/>
        </w:rPr>
      </w:pPr>
      <w:r w:rsidRPr="004F0EC4">
        <w:rPr>
          <w:rtl/>
          <w:lang w:val="en-US"/>
        </w:rPr>
        <w:tab/>
      </w:r>
      <w:r w:rsidRPr="004F0EC4">
        <w:rPr>
          <w:rtl/>
          <w:lang w:val="en-US"/>
        </w:rPr>
        <w:tab/>
        <w:t>المادة 29</w:t>
      </w:r>
    </w:p>
    <w:p w14:paraId="5E1F9257" w14:textId="77777777" w:rsidR="00E54512" w:rsidRPr="004F0EC4" w:rsidRDefault="00E54512" w:rsidP="00E54512">
      <w:pPr>
        <w:pStyle w:val="SingleTxtGA"/>
        <w:rPr>
          <w:rtl/>
        </w:rPr>
      </w:pPr>
      <w:r w:rsidRPr="004F0EC4">
        <w:rPr>
          <w:rtl/>
        </w:rPr>
        <w:t>184-</w:t>
      </w:r>
      <w:r w:rsidRPr="004F0EC4">
        <w:rPr>
          <w:rtl/>
        </w:rPr>
        <w:tab/>
        <w:t xml:space="preserve">يجري العمل حالياً على إدخال تعديلين على </w:t>
      </w:r>
      <w:proofErr w:type="gramStart"/>
      <w:r w:rsidRPr="004F0EC4">
        <w:rPr>
          <w:rtl/>
        </w:rPr>
        <w:t>الدستور</w:t>
      </w:r>
      <w:r w:rsidRPr="004F0EC4">
        <w:rPr>
          <w:vertAlign w:val="superscript"/>
          <w:rtl/>
        </w:rPr>
        <w:t>(</w:t>
      </w:r>
      <w:proofErr w:type="gramEnd"/>
      <w:r w:rsidRPr="004F0EC4">
        <w:rPr>
          <w:vertAlign w:val="superscript"/>
          <w:rtl/>
        </w:rPr>
        <w:footnoteReference w:id="275"/>
      </w:r>
      <w:r w:rsidRPr="004F0EC4">
        <w:rPr>
          <w:vertAlign w:val="superscript"/>
          <w:rtl/>
        </w:rPr>
        <w:t>)</w:t>
      </w:r>
      <w:r w:rsidRPr="004F0EC4">
        <w:rPr>
          <w:rtl/>
        </w:rPr>
        <w:t xml:space="preserve"> من شأنهما إلغاء إمكانية تعليق حق الشخص في التصويت بسبب اختلال قواه العقلية، على النحو المنصوص عليه حالياً في الدستور.</w:t>
      </w:r>
    </w:p>
    <w:p w14:paraId="72F84FF9" w14:textId="77777777" w:rsidR="00E54512" w:rsidRPr="004F0EC4" w:rsidRDefault="00E54512" w:rsidP="00E54512">
      <w:pPr>
        <w:pStyle w:val="SingleTxtGA"/>
        <w:rPr>
          <w:rtl/>
        </w:rPr>
      </w:pPr>
      <w:r w:rsidRPr="004F0EC4">
        <w:rPr>
          <w:rtl/>
        </w:rPr>
        <w:t>185-</w:t>
      </w:r>
      <w:r w:rsidRPr="004F0EC4">
        <w:rPr>
          <w:rtl/>
        </w:rPr>
        <w:tab/>
        <w:t>وينص القانون رقم 18-700</w:t>
      </w:r>
      <w:r w:rsidRPr="004F0EC4">
        <w:rPr>
          <w:vertAlign w:val="superscript"/>
          <w:rtl/>
        </w:rPr>
        <w:t>(</w:t>
      </w:r>
      <w:r w:rsidRPr="004F0EC4">
        <w:rPr>
          <w:vertAlign w:val="superscript"/>
          <w:rtl/>
        </w:rPr>
        <w:footnoteReference w:id="276"/>
      </w:r>
      <w:r w:rsidRPr="004F0EC4">
        <w:rPr>
          <w:vertAlign w:val="superscript"/>
          <w:rtl/>
        </w:rPr>
        <w:t>)</w:t>
      </w:r>
      <w:r w:rsidRPr="004F0EC4">
        <w:rPr>
          <w:rtl/>
        </w:rPr>
        <w:t xml:space="preserve"> على الحق في التصويت بمساعدة الغير، بما في ذلك من خلال بطاقات الاقتراع المكتوبة بطريقة براي للأشخاص المكفوفين، وذلك لمساعدة الأشخاص ذوي الإعاقة على ممارسة حقهم في التصويت. وفي حالة تعذر دخول الأشخاص إلى مقصورة الاقتراع لأي سبب من </w:t>
      </w:r>
      <w:r w:rsidRPr="004F0EC4">
        <w:rPr>
          <w:spacing w:val="-2"/>
          <w:rtl/>
        </w:rPr>
        <w:t>الأسباب، يجب اتخاذ جميع التدابير اللازمة لتمكينهم من الاقتراع السري خارج المقصورة. وعلاوة على ذلك،</w:t>
      </w:r>
      <w:r w:rsidRPr="004F0EC4">
        <w:rPr>
          <w:rtl/>
        </w:rPr>
        <w:t xml:space="preserve"> </w:t>
      </w:r>
      <w:r w:rsidRPr="004F0EC4">
        <w:rPr>
          <w:spacing w:val="-2"/>
          <w:rtl/>
        </w:rPr>
        <w:t>ينص القانون رقم 21-385</w:t>
      </w:r>
      <w:r w:rsidRPr="004F0EC4">
        <w:rPr>
          <w:spacing w:val="-2"/>
          <w:vertAlign w:val="superscript"/>
          <w:rtl/>
        </w:rPr>
        <w:t>(</w:t>
      </w:r>
      <w:r w:rsidRPr="004F0EC4">
        <w:rPr>
          <w:spacing w:val="-2"/>
          <w:vertAlign w:val="superscript"/>
          <w:rtl/>
        </w:rPr>
        <w:footnoteReference w:id="277"/>
      </w:r>
      <w:r w:rsidRPr="004F0EC4">
        <w:rPr>
          <w:spacing w:val="-2"/>
          <w:vertAlign w:val="superscript"/>
          <w:rtl/>
        </w:rPr>
        <w:t>)</w:t>
      </w:r>
      <w:r w:rsidRPr="004F0EC4">
        <w:rPr>
          <w:spacing w:val="-2"/>
          <w:rtl/>
        </w:rPr>
        <w:t>، الصادر في عام 2021، على أن يكون مركز الاقتراع أقرب ما يمكن من</w:t>
      </w:r>
      <w:r w:rsidRPr="004F0EC4">
        <w:rPr>
          <w:rtl/>
        </w:rPr>
        <w:t xml:space="preserve"> العنوان الانتخابي للشخص.</w:t>
      </w:r>
    </w:p>
    <w:p w14:paraId="7CC43A12" w14:textId="77777777" w:rsidR="00E54512" w:rsidRPr="004F0EC4" w:rsidRDefault="00E54512" w:rsidP="00E54512">
      <w:pPr>
        <w:pStyle w:val="SingleTxtGA"/>
        <w:rPr>
          <w:rtl/>
        </w:rPr>
      </w:pPr>
      <w:r w:rsidRPr="004F0EC4">
        <w:rPr>
          <w:rtl/>
        </w:rPr>
        <w:lastRenderedPageBreak/>
        <w:t>186-</w:t>
      </w:r>
      <w:r w:rsidRPr="004F0EC4">
        <w:rPr>
          <w:rtl/>
        </w:rPr>
        <w:tab/>
        <w:t>وفيما يتعلق بانتخاب أعضاء المؤتمر الدستوري، تنص التعديلات الدستورية التي أُجريت بموجب القانون رقم 21-298</w:t>
      </w:r>
      <w:r w:rsidRPr="004F0EC4">
        <w:rPr>
          <w:vertAlign w:val="superscript"/>
          <w:rtl/>
        </w:rPr>
        <w:t>(</w:t>
      </w:r>
      <w:r w:rsidRPr="004F0EC4">
        <w:rPr>
          <w:vertAlign w:val="superscript"/>
          <w:rtl/>
        </w:rPr>
        <w:footnoteReference w:id="278"/>
      </w:r>
      <w:r w:rsidRPr="004F0EC4">
        <w:rPr>
          <w:vertAlign w:val="superscript"/>
          <w:rtl/>
        </w:rPr>
        <w:t>)</w:t>
      </w:r>
      <w:r w:rsidRPr="004F0EC4">
        <w:rPr>
          <w:rtl/>
        </w:rPr>
        <w:t xml:space="preserve"> على وجوب أن يكون 5 في </w:t>
      </w:r>
      <w:proofErr w:type="gramStart"/>
      <w:r w:rsidRPr="004F0EC4">
        <w:rPr>
          <w:rtl/>
        </w:rPr>
        <w:t>المائة</w:t>
      </w:r>
      <w:proofErr w:type="gramEnd"/>
      <w:r w:rsidRPr="004F0EC4">
        <w:rPr>
          <w:rtl/>
        </w:rPr>
        <w:t xml:space="preserve"> من المرشحين المدرجين في قوائم الأحزاب السياسية أو التحالفات الانتخابية من الأشخاص ذوي الإعاقة.</w:t>
      </w:r>
    </w:p>
    <w:p w14:paraId="5C04C32F" w14:textId="77777777" w:rsidR="00E54512" w:rsidRPr="004F0EC4" w:rsidRDefault="00E54512" w:rsidP="00E54512">
      <w:pPr>
        <w:pStyle w:val="SingleTxtGA"/>
        <w:rPr>
          <w:spacing w:val="2"/>
          <w:rtl/>
        </w:rPr>
      </w:pPr>
      <w:r w:rsidRPr="004F0EC4">
        <w:rPr>
          <w:rtl/>
        </w:rPr>
        <w:t>187-</w:t>
      </w:r>
      <w:r w:rsidRPr="004F0EC4">
        <w:rPr>
          <w:rtl/>
        </w:rPr>
        <w:tab/>
      </w:r>
      <w:r w:rsidRPr="004F0EC4">
        <w:rPr>
          <w:spacing w:val="2"/>
          <w:rtl/>
        </w:rPr>
        <w:t>وتشجع الدائرة الوطنية لشؤون الأشخاص ذوي الإعاقة مشاركة الأشخاص ذوي الإعاقة بسبل منها إتاحة التصويت بمساعدة الغير واستخدام بطاقات الاقتراع المكتوبة بطريقة براي. وفي الفترة التي سبقت استفتاء عام 2020، أُعدت، من خلال برنامج "</w:t>
      </w:r>
      <w:proofErr w:type="spellStart"/>
      <w:r w:rsidRPr="004F0EC4">
        <w:rPr>
          <w:spacing w:val="2"/>
          <w:rtl/>
        </w:rPr>
        <w:t>باييس</w:t>
      </w:r>
      <w:proofErr w:type="spellEnd"/>
      <w:r w:rsidRPr="004F0EC4">
        <w:rPr>
          <w:spacing w:val="2"/>
          <w:rtl/>
        </w:rPr>
        <w:t xml:space="preserve"> دي – شيلي من أجل ذوي الإعاقات الذهنية"</w:t>
      </w:r>
      <w:r w:rsidRPr="004F0EC4">
        <w:rPr>
          <w:spacing w:val="2"/>
          <w:vertAlign w:val="superscript"/>
          <w:rtl/>
        </w:rPr>
        <w:t>(</w:t>
      </w:r>
      <w:r w:rsidRPr="004F0EC4">
        <w:rPr>
          <w:spacing w:val="2"/>
          <w:vertAlign w:val="superscript"/>
          <w:rtl/>
        </w:rPr>
        <w:footnoteReference w:id="279"/>
      </w:r>
      <w:r w:rsidRPr="004F0EC4">
        <w:rPr>
          <w:spacing w:val="2"/>
          <w:vertAlign w:val="superscript"/>
          <w:rtl/>
        </w:rPr>
        <w:t>)</w:t>
      </w:r>
      <w:r w:rsidRPr="004F0EC4">
        <w:rPr>
          <w:spacing w:val="2"/>
          <w:rtl/>
        </w:rPr>
        <w:t xml:space="preserve">، مواد للتربية المدنية بصيغة سهلة القراءة، واشتملت هذه المواد على إجابات على الأسئلة التي يطرحها الأشخاص ذوو الإعاقة وعلى مقاطع فيديو داعمة. وفي عام 2021، نُظمت حملات </w:t>
      </w:r>
      <w:proofErr w:type="gramStart"/>
      <w:r w:rsidRPr="004F0EC4">
        <w:rPr>
          <w:spacing w:val="2"/>
          <w:rtl/>
        </w:rPr>
        <w:t>تواصل</w:t>
      </w:r>
      <w:r w:rsidRPr="004F0EC4">
        <w:rPr>
          <w:spacing w:val="2"/>
          <w:vertAlign w:val="superscript"/>
          <w:rtl/>
        </w:rPr>
        <w:t>(</w:t>
      </w:r>
      <w:proofErr w:type="gramEnd"/>
      <w:r w:rsidRPr="004F0EC4">
        <w:rPr>
          <w:spacing w:val="2"/>
          <w:vertAlign w:val="superscript"/>
          <w:rtl/>
        </w:rPr>
        <w:footnoteReference w:id="280"/>
      </w:r>
      <w:r w:rsidRPr="004F0EC4">
        <w:rPr>
          <w:spacing w:val="2"/>
          <w:vertAlign w:val="superscript"/>
          <w:rtl/>
        </w:rPr>
        <w:t>)</w:t>
      </w:r>
      <w:r w:rsidRPr="004F0EC4">
        <w:rPr>
          <w:spacing w:val="2"/>
          <w:rtl/>
        </w:rPr>
        <w:t xml:space="preserve"> لتشجيع التصويت بمساعدة الغير ومشاركة الأشخاص ذوي الإعاقة في الانتخابات البلدية والإقليمية والرئاسية والبرلمانية وانتخابات المجالس الإقليمية والمؤتمر الدستوري.</w:t>
      </w:r>
    </w:p>
    <w:p w14:paraId="6095FF70" w14:textId="0EF4AFB1" w:rsidR="00E54512" w:rsidRPr="004F0EC4" w:rsidRDefault="00E54512" w:rsidP="00E54512">
      <w:pPr>
        <w:pStyle w:val="H1GA"/>
        <w:rPr>
          <w:lang w:val="en-US"/>
        </w:rPr>
      </w:pPr>
      <w:r w:rsidRPr="004F0EC4">
        <w:rPr>
          <w:rtl/>
          <w:lang w:val="en-US"/>
        </w:rPr>
        <w:tab/>
      </w:r>
      <w:r w:rsidRPr="004F0EC4">
        <w:rPr>
          <w:rtl/>
          <w:lang w:val="en-US"/>
        </w:rPr>
        <w:tab/>
        <w:t>المادة 30</w:t>
      </w:r>
    </w:p>
    <w:p w14:paraId="757561B2" w14:textId="77777777" w:rsidR="00E54512" w:rsidRPr="004F0EC4" w:rsidRDefault="00E54512" w:rsidP="00E54512">
      <w:pPr>
        <w:pStyle w:val="H23GA"/>
        <w:rPr>
          <w:lang w:val="en-US"/>
        </w:rPr>
      </w:pPr>
      <w:r w:rsidRPr="004F0EC4">
        <w:rPr>
          <w:rtl/>
          <w:lang w:val="en-US"/>
        </w:rPr>
        <w:tab/>
      </w:r>
      <w:r w:rsidRPr="004F0EC4">
        <w:rPr>
          <w:rtl/>
          <w:lang w:val="en-US"/>
        </w:rPr>
        <w:tab/>
        <w:t>الرياضة</w:t>
      </w:r>
    </w:p>
    <w:p w14:paraId="290C4E1E" w14:textId="77777777" w:rsidR="00E54512" w:rsidRPr="004F0EC4" w:rsidRDefault="00E54512" w:rsidP="00E54512">
      <w:pPr>
        <w:pStyle w:val="SingleTxtGA"/>
        <w:rPr>
          <w:rtl/>
        </w:rPr>
      </w:pPr>
      <w:r w:rsidRPr="004F0EC4">
        <w:rPr>
          <w:rtl/>
        </w:rPr>
        <w:t>188-</w:t>
      </w:r>
      <w:r w:rsidRPr="004F0EC4">
        <w:rPr>
          <w:rtl/>
        </w:rPr>
        <w:tab/>
        <w:t>اعتُرف بالرياضات المكيَّفة والرياضات الأولمبية للأشخاص ذوي الإعاقة في عام 2016 بموجب القانون رقم 20-978</w:t>
      </w:r>
      <w:r w:rsidRPr="004F0EC4">
        <w:rPr>
          <w:vertAlign w:val="superscript"/>
          <w:rtl/>
        </w:rPr>
        <w:t>(</w:t>
      </w:r>
      <w:r w:rsidRPr="004F0EC4">
        <w:rPr>
          <w:vertAlign w:val="superscript"/>
          <w:rtl/>
        </w:rPr>
        <w:footnoteReference w:id="281"/>
      </w:r>
      <w:r w:rsidRPr="004F0EC4">
        <w:rPr>
          <w:vertAlign w:val="superscript"/>
          <w:rtl/>
        </w:rPr>
        <w:t>)</w:t>
      </w:r>
      <w:r w:rsidRPr="004F0EC4">
        <w:rPr>
          <w:rtl/>
        </w:rPr>
        <w:t xml:space="preserve"> الذي ينص على أن السياسة الرياضية الوطنية يجب أن تضمن حق جميع الأشخاص ذوي الإعاقة في التربية البدنية، والرياضة، والصحة والرفاه البدنيين والنفسيين، والاندماج، والترويح عن النفس، والتمتع بالفرص التي توفرها الرياضة.</w:t>
      </w:r>
    </w:p>
    <w:p w14:paraId="0297DEEF" w14:textId="77777777" w:rsidR="00E54512" w:rsidRPr="004F0EC4" w:rsidRDefault="00E54512" w:rsidP="008B032D">
      <w:pPr>
        <w:pStyle w:val="SingleTxtGA"/>
        <w:spacing w:line="370" w:lineRule="exact"/>
        <w:rPr>
          <w:rtl/>
        </w:rPr>
      </w:pPr>
      <w:r w:rsidRPr="004F0EC4">
        <w:rPr>
          <w:rtl/>
        </w:rPr>
        <w:lastRenderedPageBreak/>
        <w:t>189-</w:t>
      </w:r>
      <w:r w:rsidRPr="004F0EC4">
        <w:rPr>
          <w:rtl/>
        </w:rPr>
        <w:tab/>
        <w:t xml:space="preserve">وقد أصبح من الممكن أن يشارك الأشخاص ذوو الإعاقة في الأنشطة البدنية والرياضية وأن يدمَجوا فيها بفضل جهود وزارة الرياضة والمعهد الوطني للرياضة ومن خلال السياسة الوطنية المتعلقة بالنشاط البدني </w:t>
      </w:r>
      <w:proofErr w:type="gramStart"/>
      <w:r w:rsidRPr="004F0EC4">
        <w:rPr>
          <w:rtl/>
        </w:rPr>
        <w:t>والرياضة</w:t>
      </w:r>
      <w:r w:rsidRPr="004F0EC4">
        <w:rPr>
          <w:vertAlign w:val="superscript"/>
          <w:rtl/>
        </w:rPr>
        <w:t>(</w:t>
      </w:r>
      <w:proofErr w:type="gramEnd"/>
      <w:r w:rsidRPr="004F0EC4">
        <w:rPr>
          <w:vertAlign w:val="superscript"/>
          <w:rtl/>
        </w:rPr>
        <w:footnoteReference w:id="282"/>
      </w:r>
      <w:r w:rsidRPr="004F0EC4">
        <w:rPr>
          <w:vertAlign w:val="superscript"/>
          <w:rtl/>
        </w:rPr>
        <w:t>)</w:t>
      </w:r>
      <w:r w:rsidRPr="004F0EC4">
        <w:rPr>
          <w:rtl/>
        </w:rPr>
        <w:t xml:space="preserve">. وتتضمن المبادئ التوجيهية الوزارية معلومات ميسرة تهدف إلى تشجيع الأنشطة البدنية والرياضية الشاملة للجميع والتوعية بها، ومشاركة الأشخاص ذوي الإعاقة في البرامج والأنشطة المختلطة والمنفصلة التي ينظمها المعهد الوطني للرياضة، وتعزيز الرياضات الأولمبية للأشخاص ذوي الإعاقة، وتوفير التدريب للمهنيين العاملين مع الأشخاص ذوي الإعاقة، وإنشاء أماكن يسهل الوصول </w:t>
      </w:r>
      <w:proofErr w:type="gramStart"/>
      <w:r w:rsidRPr="004F0EC4">
        <w:rPr>
          <w:rtl/>
        </w:rPr>
        <w:t>إليها</w:t>
      </w:r>
      <w:r w:rsidRPr="004F0EC4">
        <w:rPr>
          <w:vertAlign w:val="superscript"/>
          <w:rtl/>
        </w:rPr>
        <w:t>(</w:t>
      </w:r>
      <w:proofErr w:type="gramEnd"/>
      <w:r w:rsidRPr="004F0EC4">
        <w:rPr>
          <w:vertAlign w:val="superscript"/>
          <w:rtl/>
        </w:rPr>
        <w:footnoteReference w:id="283"/>
      </w:r>
      <w:r w:rsidRPr="004F0EC4">
        <w:rPr>
          <w:vertAlign w:val="superscript"/>
          <w:rtl/>
        </w:rPr>
        <w:t>)</w:t>
      </w:r>
      <w:r w:rsidRPr="004F0EC4">
        <w:rPr>
          <w:rtl/>
        </w:rPr>
        <w:t>.</w:t>
      </w:r>
    </w:p>
    <w:p w14:paraId="7BAFA3E8" w14:textId="77777777" w:rsidR="00E54512" w:rsidRPr="004F0EC4" w:rsidRDefault="00E54512" w:rsidP="008B032D">
      <w:pPr>
        <w:pStyle w:val="SingleTxtGA"/>
        <w:spacing w:line="370" w:lineRule="exact"/>
        <w:rPr>
          <w:rtl/>
        </w:rPr>
      </w:pPr>
      <w:r w:rsidRPr="004F0EC4">
        <w:rPr>
          <w:rtl/>
        </w:rPr>
        <w:t>190-</w:t>
      </w:r>
      <w:r w:rsidRPr="004F0EC4">
        <w:rPr>
          <w:rtl/>
        </w:rPr>
        <w:tab/>
        <w:t>وفيما يتعلق بمشاركة الأشخاص ذوي الإعاقة، قامت وزارة الرياضة، في إطار نهجها الشامل لعدة قطاعات، بتشكيل لجان في جميع المناطق، تشارك فيها منظمات للأشخاص ذوي الإعاقة ومنظمات تعمل لصالحهم، بهدف توفير المزيد من الفرص لإدماجهم في الأنشطة البدنية والرياضية.</w:t>
      </w:r>
    </w:p>
    <w:p w14:paraId="6934896F" w14:textId="17503937" w:rsidR="00E54512" w:rsidRPr="004F0EC4" w:rsidRDefault="00E54512" w:rsidP="008B032D">
      <w:pPr>
        <w:pStyle w:val="SingleTxtGA"/>
        <w:spacing w:line="370" w:lineRule="exact"/>
      </w:pPr>
      <w:r w:rsidRPr="004F0EC4">
        <w:rPr>
          <w:rtl/>
        </w:rPr>
        <w:t>191-</w:t>
      </w:r>
      <w:r w:rsidRPr="004F0EC4">
        <w:rPr>
          <w:rtl/>
        </w:rPr>
        <w:tab/>
        <w:t xml:space="preserve">أما على صعيد التدريب، فقد أطلق المعهد الوطني للرياضة برنامج "لنَنمُ ونحن نتحرك" الذي يقدم أنشطة شاملة للجميع ويتيح اختيار رياضة أولمبية للأشخاص ذوي الإعاقة، إلى جانب حلقات عمل مخصصة حصراً للأطفال والمراهقين ذوي </w:t>
      </w:r>
      <w:proofErr w:type="gramStart"/>
      <w:r w:rsidRPr="004F0EC4">
        <w:rPr>
          <w:rtl/>
        </w:rPr>
        <w:t>الإعاقة</w:t>
      </w:r>
      <w:r w:rsidRPr="004F0EC4">
        <w:rPr>
          <w:vertAlign w:val="superscript"/>
          <w:rtl/>
        </w:rPr>
        <w:t>(</w:t>
      </w:r>
      <w:proofErr w:type="gramEnd"/>
      <w:r w:rsidRPr="004F0EC4">
        <w:rPr>
          <w:vertAlign w:val="superscript"/>
          <w:rtl/>
        </w:rPr>
        <w:footnoteReference w:id="284"/>
      </w:r>
      <w:r w:rsidRPr="004F0EC4">
        <w:rPr>
          <w:vertAlign w:val="superscript"/>
          <w:rtl/>
        </w:rPr>
        <w:t>)</w:t>
      </w:r>
      <w:r w:rsidRPr="004F0EC4">
        <w:rPr>
          <w:rtl/>
        </w:rPr>
        <w:t>. وهو يدير أيضاً برنامجاً للمشاركة الرياضية والاجتماعية يهدف إلى تحسين نوعية حياة السكان، لا سيما الأشخاص الضعاف اجتماعياً، بمن فيهم الأشخاص ذوو الإعاقة، من خلال غرس عادة ممارسة النشاط البدني عن طريق حلقات عمل مختلطة وأخرى خاصة.</w:t>
      </w:r>
    </w:p>
    <w:p w14:paraId="1F895C37" w14:textId="62A45F3E" w:rsidR="00E54512" w:rsidRPr="004F0EC4" w:rsidRDefault="00E54512" w:rsidP="008B032D">
      <w:pPr>
        <w:pStyle w:val="SingleTxtGA"/>
        <w:spacing w:line="370" w:lineRule="exact"/>
      </w:pPr>
      <w:r w:rsidRPr="004F0EC4">
        <w:rPr>
          <w:rtl/>
        </w:rPr>
        <w:t>192-</w:t>
      </w:r>
      <w:r w:rsidRPr="004F0EC4">
        <w:rPr>
          <w:rtl/>
        </w:rPr>
        <w:tab/>
        <w:t xml:space="preserve">وبالإضافة إلى ذلك، يدير المعهد الوطني للرياضة ما يلي: (أ) نظاماً للمسابقات على الصعيد الوطني؛ و(ب) الألعاب الأولمبية الوطنية للأشخاص ذوي الإعاقة؛ و(ج) الألعاب المدرسية، وهي ألعاب شارك فيها الأطفال ذوو الإعاقة الذهنية في أحداث رياضية مكيَّفة؛ و(د) الاتحادات الوطنية لتخصصات أولمبية محددة للأشخاص ذوي الإعاقة. وعلى الصعيد الدولي، قدم المعهد الدعم لدورة الألعاب المدرسية لأمريكا الجنوبية لعام 2019 التي شارك فيها ستة رياضيين من ذوي الإعاقة الذهنية، ولدورة ألعاب </w:t>
      </w:r>
      <w:proofErr w:type="spellStart"/>
      <w:r w:rsidRPr="004F0EC4">
        <w:rPr>
          <w:rtl/>
        </w:rPr>
        <w:t>أراوكانيا</w:t>
      </w:r>
      <w:proofErr w:type="spellEnd"/>
      <w:r w:rsidRPr="004F0EC4">
        <w:rPr>
          <w:rtl/>
        </w:rPr>
        <w:t xml:space="preserve"> المشتركة بين بلدين التي تشهد، منذ عام 2019، مشاركة رياضيين من ذوي الإعاقة في رياضتي ألعاب القوى لذوي الإعاقة والسباحة لذوي الإعاقة، حيث بلغ عدد المشاركين، على التوالي، 52 مشارك</w:t>
      </w:r>
      <w:r w:rsidR="00E22186" w:rsidRPr="004F0EC4">
        <w:rPr>
          <w:rtl/>
        </w:rPr>
        <w:t xml:space="preserve">اً </w:t>
      </w:r>
      <w:r w:rsidRPr="004F0EC4">
        <w:rPr>
          <w:rtl/>
        </w:rPr>
        <w:t>و36 مشاركاً.</w:t>
      </w:r>
    </w:p>
    <w:p w14:paraId="73A36B3D" w14:textId="18DB80AB" w:rsidR="00E54512" w:rsidRPr="004F0EC4" w:rsidRDefault="00E54512" w:rsidP="008B032D">
      <w:pPr>
        <w:pStyle w:val="SingleTxtGA"/>
        <w:spacing w:line="370" w:lineRule="exact"/>
      </w:pPr>
      <w:r w:rsidRPr="004F0EC4">
        <w:rPr>
          <w:rtl/>
        </w:rPr>
        <w:t>193-</w:t>
      </w:r>
      <w:r w:rsidRPr="004F0EC4">
        <w:rPr>
          <w:rtl/>
        </w:rPr>
        <w:tab/>
      </w:r>
      <w:r w:rsidRPr="004F0EC4">
        <w:rPr>
          <w:spacing w:val="-6"/>
          <w:rtl/>
        </w:rPr>
        <w:t>وعلى مستوى النخبة، بدأ تنفيذ خطة الألعاب الأولمبية للأشخاص ذوي الإعاقة منذ نيسان/أبريل 2021،</w:t>
      </w:r>
      <w:r w:rsidRPr="004F0EC4">
        <w:rPr>
          <w:rtl/>
        </w:rPr>
        <w:t xml:space="preserve"> وهي تشمل جميع التخصصات وتتيح للجنة الأولمبية الشيلية للأشخاص ذوي الإعاقة والاتحادات الرياضية المشاركة على نحو أكثر فاعلية في عملية صنع القرار وفي وضع خطط الألعاب الأولمبية للأشخاص </w:t>
      </w:r>
      <w:r w:rsidRPr="004F0EC4">
        <w:rPr>
          <w:rtl/>
        </w:rPr>
        <w:lastRenderedPageBreak/>
        <w:t>ذوي الإعاقة على مستوى النخبة. ويتّبع المعهد الوطني للرياضة سياسة تكافؤ المعاملة بين سائر الرياضيين والرياضيين من ذوي الإعاقة. ومن خلال برنامج إعداد رياضيي النخبة، خُصصت منح دراسية ل</w:t>
      </w:r>
      <w:r w:rsidR="004F0EC4" w:rsidRPr="004F0EC4">
        <w:rPr>
          <w:rFonts w:hint="cs"/>
          <w:rtl/>
        </w:rPr>
        <w:t>‍ </w:t>
      </w:r>
      <w:r w:rsidRPr="004F0EC4">
        <w:rPr>
          <w:spacing w:val="-4"/>
          <w:rtl/>
        </w:rPr>
        <w:t>48 رياضياً أولمبياً من ذوي الإعاقة في عام 2018، و44 رياضياً أولمبياً من ذوي الإعاقة في عام 2019،</w:t>
      </w:r>
      <w:r w:rsidRPr="004F0EC4">
        <w:rPr>
          <w:rtl/>
        </w:rPr>
        <w:t xml:space="preserve"> و46 رياضياً أولمبياً من ذوي الإعاقة في عامي 2020 و2021.</w:t>
      </w:r>
    </w:p>
    <w:p w14:paraId="5F560B61" w14:textId="12F31FFB" w:rsidR="00E54512" w:rsidRPr="004F0EC4" w:rsidRDefault="00E54512" w:rsidP="008B032D">
      <w:pPr>
        <w:pStyle w:val="SingleTxtGA"/>
        <w:spacing w:line="370" w:lineRule="exact"/>
      </w:pPr>
      <w:r w:rsidRPr="004F0EC4">
        <w:rPr>
          <w:rtl/>
        </w:rPr>
        <w:t>194-</w:t>
      </w:r>
      <w:r w:rsidRPr="004F0EC4">
        <w:rPr>
          <w:rtl/>
        </w:rPr>
        <w:tab/>
        <w:t>ويمول الصندوق الوطني للمبادرات الشاملة للجميع المبادرات التالية المتعلقة بالرياضة: (أ)</w:t>
      </w:r>
      <w:r w:rsidR="008B032D" w:rsidRPr="004F0EC4">
        <w:rPr>
          <w:rFonts w:hint="cs"/>
          <w:rtl/>
        </w:rPr>
        <w:t> </w:t>
      </w:r>
      <w:r w:rsidRPr="004F0EC4">
        <w:rPr>
          <w:rtl/>
        </w:rPr>
        <w:t>حلقات عمل حول الأنشطة البدنية والرياضية والترفيهية الشاملة للجميع تهدف إلى تعزيز انخراط الأشخاص ذوي الإعاقة في ممارسة الأنشطة البدنية؛ و(ب) الرياضات المكيَّفة من خلال الأنشطة المجتمعية والأحداث الرياضية، بهدف تشجيع الأشخاص ذوي الإعاقة على ممارسة الرياضات المكيَّفة؛ و(ج) تنفيذ الأنشطة الرياضية وممارستها لتعزيز المشاركة في الأنشطة الرياضية المكيَّفة من خلال تشكيل الفرق وشراء وسائل المعونة التقنية.</w:t>
      </w:r>
    </w:p>
    <w:p w14:paraId="02FF6AC6" w14:textId="6745C73F" w:rsidR="00E54512" w:rsidRPr="004F0EC4" w:rsidRDefault="00E54512" w:rsidP="008B032D">
      <w:pPr>
        <w:pStyle w:val="SingleTxtGA"/>
        <w:spacing w:line="370" w:lineRule="exact"/>
      </w:pPr>
      <w:r w:rsidRPr="004F0EC4">
        <w:rPr>
          <w:rtl/>
        </w:rPr>
        <w:t>195-</w:t>
      </w:r>
      <w:r w:rsidRPr="004F0EC4">
        <w:rPr>
          <w:rtl/>
        </w:rPr>
        <w:tab/>
        <w:t>وفيما يتعلق بالبنية التحتية، تتمثل الأولوية في إدماج مفهوم الاستخدام الميسر للجميع في تصميم جميع المرافق الرياضية التي ينظر وزارة الرياضة والمعهد الوطني للرياضة في إقامتها في إطار خططهما. ويوجد حالياً 31 مشروعاً في 8 مناطق يراعي تصميمها مفهوم الاستخدام الميسر للجميع، منها</w:t>
      </w:r>
      <w:r w:rsidR="008B032D" w:rsidRPr="004F0EC4">
        <w:rPr>
          <w:rFonts w:hint="cs"/>
          <w:rtl/>
        </w:rPr>
        <w:t> </w:t>
      </w:r>
      <w:r w:rsidRPr="004F0EC4">
        <w:rPr>
          <w:rtl/>
        </w:rPr>
        <w:t>12 مشروعاً مرتبطاً بدورة ألعاب البلدان الأمريكية ودورة ألعاب البلدان الأمريكية للأشخاص ذوي الإعاقة المقرر إقامتهما في سانتياغو في عام 2023. وعلى سبيل المثال، يجري حالياً بناء مركز تدريب أولمبي للأشخاص ذوي الإعاقة داخل المجمع الرياضي بالملعب الوطني. وبالإضافة إلى ذلك، تقوم الدائرة الوطنية لشؤون الأشخاص ذوي الإعاقة، عملاً باتفاق تحويل قيمته 000 000 49 بيسو شيلي، بتمويل منصبي خبيرين في مجال الوصول الميسر للجميع لتقديم المشورة لمؤسسة سانتياغو 2023 بشأن وضع خطة للوصول الميسر للجميع.</w:t>
      </w:r>
    </w:p>
    <w:p w14:paraId="1BAFDBF0" w14:textId="77777777" w:rsidR="00E54512" w:rsidRPr="004F0EC4" w:rsidRDefault="00E54512" w:rsidP="00E54512">
      <w:pPr>
        <w:pStyle w:val="H23GA"/>
        <w:rPr>
          <w:lang w:val="en-US"/>
        </w:rPr>
      </w:pPr>
      <w:r w:rsidRPr="004F0EC4">
        <w:rPr>
          <w:rtl/>
          <w:lang w:val="en-US"/>
        </w:rPr>
        <w:tab/>
      </w:r>
      <w:r w:rsidRPr="004F0EC4">
        <w:rPr>
          <w:rtl/>
          <w:lang w:val="en-US"/>
        </w:rPr>
        <w:tab/>
        <w:t>الثقافة والترفيه</w:t>
      </w:r>
    </w:p>
    <w:p w14:paraId="44954DE5" w14:textId="7B08BBDE" w:rsidR="00E54512" w:rsidRPr="004F0EC4" w:rsidRDefault="00E54512" w:rsidP="008B032D">
      <w:pPr>
        <w:pStyle w:val="SingleTxtGA"/>
        <w:spacing w:line="370" w:lineRule="exact"/>
      </w:pPr>
      <w:r w:rsidRPr="004F0EC4">
        <w:rPr>
          <w:rtl/>
        </w:rPr>
        <w:t>196-</w:t>
      </w:r>
      <w:r w:rsidRPr="004F0EC4">
        <w:rPr>
          <w:rtl/>
        </w:rPr>
        <w:tab/>
      </w:r>
      <w:r w:rsidRPr="004F0EC4">
        <w:rPr>
          <w:spacing w:val="2"/>
          <w:rtl/>
        </w:rPr>
        <w:t xml:space="preserve">تنفذ وزارة الثقافة والفنون والتراث برامج ومبادرات تركز على الإدماج، فضلاً عن قيامها بإصدار مبادئ توجيهية تهدف إلى تحسين مستوى امتثال المؤسسات الأخرى. ومن البرامج الجديرة بالإشارة برنامج "تعزيز الفن في مجال التعليم" الذي يهدف إلى تشجيع مشاركة الطلاب ذوي الإعاقة. وقد عُمم مفهوم الإدماج في أعمال صناديق الثقافة من خلال دليل يهدف إلى إدماج الأشخاص ذوي الإعاقة في المشاريع الثقافية </w:t>
      </w:r>
      <w:proofErr w:type="gramStart"/>
      <w:r w:rsidRPr="004F0EC4">
        <w:rPr>
          <w:spacing w:val="2"/>
          <w:rtl/>
        </w:rPr>
        <w:t>والفنية</w:t>
      </w:r>
      <w:r w:rsidRPr="004F0EC4">
        <w:rPr>
          <w:spacing w:val="2"/>
          <w:vertAlign w:val="superscript"/>
          <w:rtl/>
        </w:rPr>
        <w:t>(</w:t>
      </w:r>
      <w:proofErr w:type="gramEnd"/>
      <w:r w:rsidRPr="004F0EC4">
        <w:rPr>
          <w:spacing w:val="2"/>
          <w:vertAlign w:val="superscript"/>
          <w:rtl/>
        </w:rPr>
        <w:footnoteReference w:id="285"/>
      </w:r>
      <w:r w:rsidRPr="004F0EC4">
        <w:rPr>
          <w:spacing w:val="2"/>
          <w:vertAlign w:val="superscript"/>
          <w:rtl/>
        </w:rPr>
        <w:t>)</w:t>
      </w:r>
      <w:r w:rsidRPr="004F0EC4">
        <w:rPr>
          <w:spacing w:val="2"/>
          <w:rtl/>
        </w:rPr>
        <w:t>. ويعمل الصندوق الوطني للتنمية الثقافية والفنون أيضاً على تعزيز الأنشطة والمشاريع المخصصة للأشخاص ذوي الإعاقة. وأدخل الصندوق الوطني لتعزيز نشر الكتب والقراءة، في إطار مسار تشجيع صناعة النشر، الفئة الفرعية المعنونة "كتاب واحد بصيغ ميسرة للأشخاص ذوي الإعاقة"، وفي إطار مسار تشجيع القراءة والكتابة، الفئة الفرعية المعنون "تحسين أو</w:t>
      </w:r>
      <w:r w:rsidR="008B032D" w:rsidRPr="004F0EC4">
        <w:rPr>
          <w:rFonts w:hint="cs"/>
          <w:spacing w:val="2"/>
          <w:rtl/>
        </w:rPr>
        <w:t> </w:t>
      </w:r>
      <w:r w:rsidRPr="004F0EC4">
        <w:rPr>
          <w:spacing w:val="2"/>
          <w:rtl/>
        </w:rPr>
        <w:t>تجهيز أماكن القراءة في المراكز التعليمية والثقافية والصحية التي تخدم الأشخاص ذوي الإعاقة". وفي عام 2019، بدأ مركز التوعية التابع للوزارة في استخدام لغة الإشارة الشيلية، وتنظيم جولات للأشخاص المكفوفين، وتحسين الوصول الميسر لمستعملي الكراسي المتحركة، وذلك في إطار أنشطته في مجال الوساطة.</w:t>
      </w:r>
    </w:p>
    <w:p w14:paraId="2EDA3484" w14:textId="093FDB23" w:rsidR="00E54512" w:rsidRPr="004F0EC4" w:rsidRDefault="00E54512" w:rsidP="008B032D">
      <w:pPr>
        <w:pStyle w:val="SingleTxtGA"/>
        <w:pageBreakBefore/>
      </w:pPr>
      <w:r w:rsidRPr="004F0EC4">
        <w:rPr>
          <w:rtl/>
        </w:rPr>
        <w:lastRenderedPageBreak/>
        <w:t>197-</w:t>
      </w:r>
      <w:r w:rsidRPr="004F0EC4">
        <w:rPr>
          <w:rtl/>
        </w:rPr>
        <w:tab/>
        <w:t>ويقدم الصندوق الوطني للمبادرات الشاملة للجميع التمويل للمبادرات الثقافية، بما في ذلك: (أ)</w:t>
      </w:r>
      <w:r w:rsidR="008B032D" w:rsidRPr="004F0EC4">
        <w:rPr>
          <w:rFonts w:hint="cs"/>
          <w:rtl/>
        </w:rPr>
        <w:t> </w:t>
      </w:r>
      <w:r w:rsidRPr="004F0EC4">
        <w:rPr>
          <w:rtl/>
        </w:rPr>
        <w:t xml:space="preserve">حلقات العمل الثقافية والفنية التي تهدف إلى تشجيع مشاركة الأشخاص ذوي الإعاقة والمجتمع المحلي </w:t>
      </w:r>
      <w:r w:rsidRPr="004F0EC4">
        <w:rPr>
          <w:spacing w:val="-4"/>
          <w:rtl/>
        </w:rPr>
        <w:t>معاً من خلال الفن، وتعزيز التنمية الشخصية، وتقوية المشاركة؛ و(ب) الأحداث الثقافية والفنية التي يخطِّط لها</w:t>
      </w:r>
      <w:r w:rsidRPr="004F0EC4">
        <w:rPr>
          <w:rtl/>
        </w:rPr>
        <w:t xml:space="preserve"> وينفذها الأشخاص ذوو الإعاقة بالتعاون مع المجتمع المحلي؛ و(ج) المحتوى الثقافي الميسر، </w:t>
      </w:r>
      <w:r w:rsidRPr="004F0EC4">
        <w:rPr>
          <w:spacing w:val="-5"/>
          <w:rtl/>
        </w:rPr>
        <w:t>وذلك بهدف إنتاج المحتوى، وتحويله إلى صيغة ميسرة، وإتاحة المحتوى الثقافي عبر الإنترنت في صيغة ميسرة.</w:t>
      </w:r>
    </w:p>
    <w:p w14:paraId="790607D3" w14:textId="77777777" w:rsidR="00E54512" w:rsidRPr="004F0EC4" w:rsidRDefault="00E54512" w:rsidP="00E54512">
      <w:pPr>
        <w:pStyle w:val="SingleTxtGA"/>
        <w:rPr>
          <w:rtl/>
        </w:rPr>
      </w:pPr>
      <w:r w:rsidRPr="004F0EC4">
        <w:rPr>
          <w:rtl/>
        </w:rPr>
        <w:t>198-</w:t>
      </w:r>
      <w:r w:rsidRPr="004F0EC4">
        <w:rPr>
          <w:rtl/>
        </w:rPr>
        <w:tab/>
        <w:t xml:space="preserve">وأدرج مكتب وكيل وزارة التراث الثقافي الترجمة إلى لغة الإشارة الشيلية في المحتوى السمعي البصري وفيما يُبث من برامج تنتجها إدارة الدراسات التابعة له ومركز التوعية في </w:t>
      </w:r>
      <w:proofErr w:type="spellStart"/>
      <w:r w:rsidRPr="004F0EC4">
        <w:rPr>
          <w:rtl/>
        </w:rPr>
        <w:t>بالاسيو</w:t>
      </w:r>
      <w:proofErr w:type="spellEnd"/>
      <w:r w:rsidRPr="004F0EC4">
        <w:rPr>
          <w:rtl/>
        </w:rPr>
        <w:t xml:space="preserve"> </w:t>
      </w:r>
      <w:proofErr w:type="spellStart"/>
      <w:r w:rsidRPr="004F0EC4">
        <w:rPr>
          <w:rtl/>
        </w:rPr>
        <w:t>بيريرا</w:t>
      </w:r>
      <w:proofErr w:type="spellEnd"/>
      <w:r w:rsidRPr="004F0EC4">
        <w:rPr>
          <w:rtl/>
        </w:rPr>
        <w:t>.</w:t>
      </w:r>
    </w:p>
    <w:p w14:paraId="7A2FBF19" w14:textId="1C300394" w:rsidR="00E54512" w:rsidRPr="004F0EC4" w:rsidRDefault="00E54512" w:rsidP="00E54512">
      <w:pPr>
        <w:pStyle w:val="SingleTxtGA"/>
      </w:pPr>
      <w:r w:rsidRPr="004F0EC4">
        <w:rPr>
          <w:rtl/>
        </w:rPr>
        <w:t>199-</w:t>
      </w:r>
      <w:r w:rsidRPr="004F0EC4">
        <w:rPr>
          <w:rtl/>
        </w:rPr>
        <w:tab/>
      </w:r>
      <w:r w:rsidRPr="004F0EC4">
        <w:rPr>
          <w:spacing w:val="-2"/>
          <w:rtl/>
        </w:rPr>
        <w:t xml:space="preserve">وقامت دائرة التراث الثقافي الوطني بتطبيق القواعد التنظيمية للاستخدام الميسر المنصوص عليها </w:t>
      </w:r>
      <w:r w:rsidRPr="004F0EC4">
        <w:rPr>
          <w:rtl/>
        </w:rPr>
        <w:t xml:space="preserve">في القانون العام للتخطيط والتشييد </w:t>
      </w:r>
      <w:proofErr w:type="gramStart"/>
      <w:r w:rsidRPr="004F0EC4">
        <w:rPr>
          <w:rtl/>
        </w:rPr>
        <w:t>الحضريين</w:t>
      </w:r>
      <w:r w:rsidRPr="004F0EC4">
        <w:rPr>
          <w:vertAlign w:val="superscript"/>
          <w:rtl/>
        </w:rPr>
        <w:t>(</w:t>
      </w:r>
      <w:proofErr w:type="gramEnd"/>
      <w:r w:rsidRPr="004F0EC4">
        <w:rPr>
          <w:vertAlign w:val="superscript"/>
          <w:rtl/>
        </w:rPr>
        <w:footnoteReference w:id="286"/>
      </w:r>
      <w:r w:rsidRPr="004F0EC4">
        <w:rPr>
          <w:vertAlign w:val="superscript"/>
          <w:rtl/>
        </w:rPr>
        <w:t>)</w:t>
      </w:r>
      <w:r w:rsidRPr="004F0EC4">
        <w:rPr>
          <w:rtl/>
        </w:rPr>
        <w:t xml:space="preserve"> والمرسوم ذي </w:t>
      </w:r>
      <w:proofErr w:type="gramStart"/>
      <w:r w:rsidRPr="004F0EC4">
        <w:rPr>
          <w:rtl/>
        </w:rPr>
        <w:t>الصلة</w:t>
      </w:r>
      <w:r w:rsidRPr="004F0EC4">
        <w:rPr>
          <w:vertAlign w:val="superscript"/>
          <w:rtl/>
        </w:rPr>
        <w:t>(</w:t>
      </w:r>
      <w:proofErr w:type="gramEnd"/>
      <w:r w:rsidRPr="004F0EC4">
        <w:rPr>
          <w:vertAlign w:val="superscript"/>
          <w:rtl/>
        </w:rPr>
        <w:footnoteReference w:id="287"/>
      </w:r>
      <w:r w:rsidRPr="004F0EC4">
        <w:rPr>
          <w:vertAlign w:val="superscript"/>
          <w:rtl/>
        </w:rPr>
        <w:t>)</w:t>
      </w:r>
      <w:r w:rsidRPr="004F0EC4">
        <w:rPr>
          <w:rtl/>
        </w:rPr>
        <w:t xml:space="preserve">، وفي القانون رقم 20-422، </w:t>
      </w:r>
      <w:r w:rsidRPr="004F0EC4">
        <w:rPr>
          <w:spacing w:val="-3"/>
          <w:rtl/>
        </w:rPr>
        <w:t>وفي القوانين الأخرى ذات الصلة، فضلاً عن دليل الوصول الميسر للجميع من أجل مدن يسهل فيها الوصول،</w:t>
      </w:r>
      <w:r w:rsidRPr="004F0EC4">
        <w:rPr>
          <w:rtl/>
        </w:rPr>
        <w:t xml:space="preserve"> وذلك في جميع التصاميم المنجزة وقيد </w:t>
      </w:r>
      <w:proofErr w:type="gramStart"/>
      <w:r w:rsidRPr="004F0EC4">
        <w:rPr>
          <w:rtl/>
        </w:rPr>
        <w:t>الإنجاز</w:t>
      </w:r>
      <w:r w:rsidRPr="004F0EC4">
        <w:rPr>
          <w:vertAlign w:val="superscript"/>
          <w:rtl/>
        </w:rPr>
        <w:t>(</w:t>
      </w:r>
      <w:proofErr w:type="gramEnd"/>
      <w:r w:rsidRPr="004F0EC4">
        <w:rPr>
          <w:vertAlign w:val="superscript"/>
          <w:rtl/>
        </w:rPr>
        <w:footnoteReference w:id="288"/>
      </w:r>
      <w:r w:rsidRPr="004F0EC4">
        <w:rPr>
          <w:vertAlign w:val="superscript"/>
          <w:rtl/>
        </w:rPr>
        <w:t>)</w:t>
      </w:r>
      <w:r w:rsidRPr="004F0EC4">
        <w:rPr>
          <w:rtl/>
        </w:rPr>
        <w:t>.</w:t>
      </w:r>
    </w:p>
    <w:p w14:paraId="494244F6" w14:textId="77777777" w:rsidR="00E54512" w:rsidRPr="004F0EC4" w:rsidRDefault="00E54512" w:rsidP="00E54512">
      <w:pPr>
        <w:pStyle w:val="SingleTxtGA"/>
        <w:rPr>
          <w:rtl/>
        </w:rPr>
      </w:pPr>
      <w:r w:rsidRPr="004F0EC4">
        <w:rPr>
          <w:rtl/>
        </w:rPr>
        <w:t>200-</w:t>
      </w:r>
      <w:r w:rsidRPr="004F0EC4">
        <w:rPr>
          <w:rtl/>
        </w:rPr>
        <w:tab/>
        <w:t xml:space="preserve">ومنذ عام 2019، تعمل وزارة الثقافة والفنون والتراث، من خلال صندوق تعزيز الإنتاج السمعي البصري، على تعزيز البرامج المتعلقة بتمكين الأشخاص ذوي الإعاقة من استخدام الإنتاج السمعي البصري وعلى توسيع نطاق تلك البرامج. والهدف هو ضمان استمرار نموذج التمويل الذي يرمي إلى توزيع أفلام روائية طويلة للأشخاص ذوي الإعاقات البصرية والسمعية. وتقوم منصة </w:t>
      </w:r>
      <w:proofErr w:type="spellStart"/>
      <w:r w:rsidRPr="004F0EC4">
        <w:rPr>
          <w:rtl/>
        </w:rPr>
        <w:t>أونداميديا</w:t>
      </w:r>
      <w:proofErr w:type="spellEnd"/>
      <w:r w:rsidRPr="004F0EC4">
        <w:rPr>
          <w:rtl/>
        </w:rPr>
        <w:t xml:space="preserve"> السينمائية </w:t>
      </w:r>
      <w:proofErr w:type="gramStart"/>
      <w:r w:rsidRPr="004F0EC4">
        <w:rPr>
          <w:rtl/>
        </w:rPr>
        <w:t>الشيلية</w:t>
      </w:r>
      <w:r w:rsidRPr="004F0EC4">
        <w:rPr>
          <w:vertAlign w:val="superscript"/>
          <w:rtl/>
        </w:rPr>
        <w:t>(</w:t>
      </w:r>
      <w:proofErr w:type="gramEnd"/>
      <w:r w:rsidRPr="004F0EC4">
        <w:rPr>
          <w:vertAlign w:val="superscript"/>
          <w:rtl/>
        </w:rPr>
        <w:footnoteReference w:id="289"/>
      </w:r>
      <w:r w:rsidRPr="004F0EC4">
        <w:rPr>
          <w:vertAlign w:val="superscript"/>
          <w:rtl/>
        </w:rPr>
        <w:t>)</w:t>
      </w:r>
      <w:r w:rsidRPr="004F0EC4">
        <w:rPr>
          <w:rtl/>
        </w:rPr>
        <w:t>، منذ عام 2019، بإضافة ترجمة وصفية مخصصة للأشخاص ذوي الإعاقة السمعية إلى الأفلام التي تعرضها.</w:t>
      </w:r>
    </w:p>
    <w:p w14:paraId="0B139BB9" w14:textId="05C9D838" w:rsidR="00E54512" w:rsidRPr="004F0EC4" w:rsidRDefault="00E54512" w:rsidP="00E54512">
      <w:pPr>
        <w:pStyle w:val="SingleTxtGA"/>
        <w:rPr>
          <w:spacing w:val="4"/>
          <w:rtl/>
        </w:rPr>
      </w:pPr>
      <w:r w:rsidRPr="004F0EC4">
        <w:rPr>
          <w:rtl/>
        </w:rPr>
        <w:t>201-</w:t>
      </w:r>
      <w:r w:rsidRPr="004F0EC4">
        <w:rPr>
          <w:rtl/>
        </w:rPr>
        <w:tab/>
      </w:r>
      <w:r w:rsidRPr="004F0EC4">
        <w:rPr>
          <w:spacing w:val="4"/>
          <w:rtl/>
        </w:rPr>
        <w:t>وفيما يتعلق بالاستراتيجيات الرامية إلى إعمال حق الأطفال الصم من الشعوب الأصلية في</w:t>
      </w:r>
      <w:r w:rsidR="00E22186" w:rsidRPr="004F0EC4">
        <w:rPr>
          <w:rFonts w:hint="cs"/>
          <w:spacing w:val="4"/>
          <w:rtl/>
        </w:rPr>
        <w:t> </w:t>
      </w:r>
      <w:r w:rsidRPr="004F0EC4">
        <w:rPr>
          <w:spacing w:val="4"/>
          <w:rtl/>
        </w:rPr>
        <w:t>التمتع بثقافتهم ولغتهم، ينبغي الإشارة في هذا الصدد إلى القانون رقم 21-303</w:t>
      </w:r>
      <w:r w:rsidRPr="004F0EC4">
        <w:rPr>
          <w:spacing w:val="4"/>
          <w:vertAlign w:val="superscript"/>
          <w:rtl/>
        </w:rPr>
        <w:t>(</w:t>
      </w:r>
      <w:r w:rsidRPr="004F0EC4">
        <w:rPr>
          <w:spacing w:val="4"/>
          <w:vertAlign w:val="superscript"/>
          <w:rtl/>
        </w:rPr>
        <w:footnoteReference w:id="290"/>
      </w:r>
      <w:r w:rsidRPr="004F0EC4">
        <w:rPr>
          <w:spacing w:val="4"/>
          <w:vertAlign w:val="superscript"/>
          <w:rtl/>
        </w:rPr>
        <w:t>)</w:t>
      </w:r>
      <w:r w:rsidRPr="004F0EC4">
        <w:rPr>
          <w:spacing w:val="4"/>
          <w:rtl/>
        </w:rPr>
        <w:t xml:space="preserve"> والقانون رقم</w:t>
      </w:r>
      <w:r w:rsidR="00E22186" w:rsidRPr="004F0EC4">
        <w:rPr>
          <w:rFonts w:hint="cs"/>
          <w:spacing w:val="4"/>
          <w:rtl/>
        </w:rPr>
        <w:t> </w:t>
      </w:r>
      <w:r w:rsidRPr="004F0EC4">
        <w:rPr>
          <w:spacing w:val="4"/>
          <w:rtl/>
        </w:rPr>
        <w:t>19-253</w:t>
      </w:r>
      <w:r w:rsidRPr="004F0EC4">
        <w:rPr>
          <w:spacing w:val="4"/>
          <w:vertAlign w:val="superscript"/>
          <w:rtl/>
        </w:rPr>
        <w:t>(</w:t>
      </w:r>
      <w:r w:rsidRPr="004F0EC4">
        <w:rPr>
          <w:spacing w:val="4"/>
          <w:vertAlign w:val="superscript"/>
          <w:rtl/>
        </w:rPr>
        <w:footnoteReference w:id="291"/>
      </w:r>
      <w:r w:rsidRPr="004F0EC4">
        <w:rPr>
          <w:spacing w:val="4"/>
          <w:vertAlign w:val="superscript"/>
          <w:rtl/>
        </w:rPr>
        <w:t>)</w:t>
      </w:r>
      <w:r w:rsidRPr="004F0EC4">
        <w:rPr>
          <w:spacing w:val="4"/>
          <w:rtl/>
        </w:rPr>
        <w:t xml:space="preserve">. وكلاهما يكرس حق جميع الشعوب الأصلية في احترام ثقافتها ولغتها وتقديرهما. </w:t>
      </w:r>
      <w:r w:rsidRPr="004F0EC4">
        <w:rPr>
          <w:rtl/>
        </w:rPr>
        <w:t>وفي مجال الثقافة والتعليم، من المقرر أن يضع نظام التعليم الوطني وحدة دراسية تتيح للطلاب اكتساب</w:t>
      </w:r>
      <w:r w:rsidRPr="004F0EC4">
        <w:rPr>
          <w:spacing w:val="4"/>
          <w:rtl/>
        </w:rPr>
        <w:t xml:space="preserve"> معرفة ملائمة بثقافات ولغات السكان الأصليين والنظر إليها من منظور إيجابي.</w:t>
      </w:r>
    </w:p>
    <w:p w14:paraId="48BAC55E" w14:textId="168EE8E0" w:rsidR="00E54512" w:rsidRPr="004F0EC4" w:rsidRDefault="00E54512" w:rsidP="00E54512">
      <w:pPr>
        <w:pStyle w:val="SingleTxtGA"/>
        <w:rPr>
          <w:rtl/>
        </w:rPr>
      </w:pPr>
      <w:r w:rsidRPr="004F0EC4">
        <w:rPr>
          <w:rtl/>
        </w:rPr>
        <w:t>202-</w:t>
      </w:r>
      <w:r w:rsidRPr="004F0EC4">
        <w:rPr>
          <w:rtl/>
        </w:rPr>
        <w:tab/>
        <w:t>ويتناول القانون رقم 21-430</w:t>
      </w:r>
      <w:r w:rsidRPr="004F0EC4">
        <w:rPr>
          <w:vertAlign w:val="superscript"/>
          <w:rtl/>
        </w:rPr>
        <w:t>(</w:t>
      </w:r>
      <w:r w:rsidRPr="004F0EC4">
        <w:rPr>
          <w:vertAlign w:val="superscript"/>
          <w:rtl/>
        </w:rPr>
        <w:footnoteReference w:id="292"/>
      </w:r>
      <w:r w:rsidRPr="004F0EC4">
        <w:rPr>
          <w:vertAlign w:val="superscript"/>
          <w:rtl/>
        </w:rPr>
        <w:t>)</w:t>
      </w:r>
      <w:r w:rsidRPr="004F0EC4">
        <w:rPr>
          <w:rtl/>
        </w:rPr>
        <w:t xml:space="preserve"> الحق في الهوية الذي يتمتع جميع الأطفال والمراهقين بمقتضاه بالحق، في جملة أمور، في لغة أصلية وفي المحافظة على هويتهم وخصوصياتهم وتطويرها، بما</w:t>
      </w:r>
      <w:r w:rsidR="0086687C" w:rsidRPr="004F0EC4">
        <w:rPr>
          <w:rFonts w:hint="cs"/>
          <w:rtl/>
        </w:rPr>
        <w:t> </w:t>
      </w:r>
      <w:r w:rsidRPr="004F0EC4">
        <w:rPr>
          <w:rtl/>
        </w:rPr>
        <w:t>في ذلك هويتهم الجنسانية. وفي حين يطبق برنامج التعليم الثنائي اللغة المشترك بين الثقافات ووحدة التربية الخاصة التابعان لوزارة التعليم سياسات تعليمية تتعلق بكل من الطلاب المنتمين إلى الشعوب الأصلية والطلاب الصم، فإن الاستراتيجيات والتدابير المتخذة لإعمال حق الأطفال الصم في التمتع بثقافتهم ولغتهم مصممة عموماً لمجتمع الصم من دون تمييز بين الطلاب الصم المنتمين إلى الشعوب الأصلية وغير المنتمين إليها.</w:t>
      </w:r>
    </w:p>
    <w:p w14:paraId="6DD8AC94" w14:textId="77777777" w:rsidR="00E54512" w:rsidRPr="004F0EC4" w:rsidRDefault="00E54512" w:rsidP="00E54512">
      <w:pPr>
        <w:pStyle w:val="HChGA"/>
        <w:rPr>
          <w:rtl/>
          <w:lang w:val="en-US"/>
        </w:rPr>
      </w:pPr>
      <w:r w:rsidRPr="004F0EC4">
        <w:rPr>
          <w:rtl/>
          <w:lang w:val="en-US"/>
        </w:rPr>
        <w:lastRenderedPageBreak/>
        <w:tab/>
        <w:t>رابعاً-</w:t>
      </w:r>
      <w:r w:rsidRPr="004F0EC4">
        <w:rPr>
          <w:rtl/>
          <w:lang w:val="en-US"/>
        </w:rPr>
        <w:tab/>
        <w:t>الالتزامات القانونية المحددة</w:t>
      </w:r>
    </w:p>
    <w:p w14:paraId="506C3525" w14:textId="403289AE" w:rsidR="00E54512" w:rsidRPr="004F0EC4" w:rsidRDefault="00E54512" w:rsidP="00E54512">
      <w:pPr>
        <w:pStyle w:val="H1GA"/>
        <w:rPr>
          <w:lang w:val="en-US"/>
        </w:rPr>
      </w:pPr>
      <w:r w:rsidRPr="004F0EC4">
        <w:rPr>
          <w:rtl/>
          <w:lang w:val="en-US"/>
        </w:rPr>
        <w:tab/>
      </w:r>
      <w:r w:rsidRPr="004F0EC4">
        <w:rPr>
          <w:rtl/>
          <w:lang w:val="en-US"/>
        </w:rPr>
        <w:tab/>
        <w:t>المادة 31</w:t>
      </w:r>
    </w:p>
    <w:p w14:paraId="370AC023" w14:textId="57B5679C" w:rsidR="00E54512" w:rsidRPr="004F0EC4" w:rsidRDefault="00E54512" w:rsidP="00E54512">
      <w:pPr>
        <w:pStyle w:val="SingleTxtGA"/>
        <w:rPr>
          <w:rtl/>
        </w:rPr>
      </w:pPr>
      <w:r w:rsidRPr="004F0EC4">
        <w:rPr>
          <w:rtl/>
        </w:rPr>
        <w:t>203-</w:t>
      </w:r>
      <w:r w:rsidRPr="004F0EC4">
        <w:rPr>
          <w:rtl/>
        </w:rPr>
        <w:tab/>
        <w:t xml:space="preserve">فيما يتعلق بجمع البيانات، يجري حالياً تجميع نتائج الدراسة الاستقصائية الوطنية لعام 2022 بشأن الإعاقة والاعتمادية. والهدف من هذه الدراسة الاستقصائية، التي صممتها وزارة التنمية الاجتماعية وخدمات الأسرة بدعم من الدائرة الوطنية لشؤون كبار السن والدائرة الوطنية لشؤون الأشخاص ذوي الإعاقة، هو تقييم مدى انتشار الإعاقة والاعتمادية في شيلي ووصف مستوى أداء الأشخاص ذوي الإعاقة وظروفهم المعيشية. وتناول </w:t>
      </w:r>
      <w:proofErr w:type="gramStart"/>
      <w:r w:rsidRPr="004F0EC4">
        <w:rPr>
          <w:rtl/>
        </w:rPr>
        <w:t>الاستبيان</w:t>
      </w:r>
      <w:proofErr w:type="gramEnd"/>
      <w:r w:rsidRPr="004F0EC4">
        <w:rPr>
          <w:rtl/>
        </w:rPr>
        <w:t xml:space="preserve"> الذي اشتملت عليه الدراسة مسألتي الإعاقة والاعتمادية من منظور </w:t>
      </w:r>
      <w:r w:rsidRPr="004F0EC4">
        <w:rPr>
          <w:spacing w:val="-2"/>
          <w:rtl/>
        </w:rPr>
        <w:t>شامل، استناداً إلى التصنيف الدولي للأداء، وخضع لمشاورات في منتديات تشاركية. وتشمل المجالات التي</w:t>
      </w:r>
      <w:r w:rsidRPr="004F0EC4">
        <w:rPr>
          <w:rtl/>
        </w:rPr>
        <w:t xml:space="preserve"> تناولتها الاستبيانات الأربعة (الأسر المعيشية، والكبار، ومقدمو الرعاية، والأطفال والمراهقون) ما</w:t>
      </w:r>
      <w:r w:rsidR="008B032D" w:rsidRPr="004F0EC4">
        <w:rPr>
          <w:rFonts w:hint="cs"/>
          <w:rtl/>
        </w:rPr>
        <w:t> </w:t>
      </w:r>
      <w:r w:rsidRPr="004F0EC4">
        <w:rPr>
          <w:rtl/>
        </w:rPr>
        <w:t xml:space="preserve">يلي: وصف أفراد الأسرة </w:t>
      </w:r>
      <w:proofErr w:type="gramStart"/>
      <w:r w:rsidRPr="004F0EC4">
        <w:rPr>
          <w:rtl/>
        </w:rPr>
        <w:t>المعيشية</w:t>
      </w:r>
      <w:r w:rsidRPr="004F0EC4">
        <w:rPr>
          <w:vertAlign w:val="superscript"/>
          <w:rtl/>
        </w:rPr>
        <w:t>(</w:t>
      </w:r>
      <w:proofErr w:type="gramEnd"/>
      <w:r w:rsidRPr="004F0EC4">
        <w:rPr>
          <w:vertAlign w:val="superscript"/>
          <w:rtl/>
        </w:rPr>
        <w:footnoteReference w:id="293"/>
      </w:r>
      <w:r w:rsidRPr="004F0EC4">
        <w:rPr>
          <w:vertAlign w:val="superscript"/>
          <w:rtl/>
        </w:rPr>
        <w:t>)</w:t>
      </w:r>
      <w:r w:rsidRPr="004F0EC4">
        <w:rPr>
          <w:rtl/>
        </w:rPr>
        <w:t>؛ والتعليم؛ والوضع الوظيفي؛ ودخل الأسرة المعيشية؛ والسكن؛ والمهنة؛ والعوامل البيئية (تحديد العقبات)؛ والظروف الصحية؛ والمتطلبات المتعلقة بالمساعدة؛ والهوايات والأنشطة الترفيهية؛ ومستوى المشاركة؛ ونوع الرعاية؛ والحِمل الزائد؛ والصحة النفسية.</w:t>
      </w:r>
      <w:r w:rsidR="00A32D90" w:rsidRPr="004F0EC4">
        <w:rPr>
          <w:rFonts w:hint="cs"/>
          <w:rtl/>
        </w:rPr>
        <w:t xml:space="preserve"> </w:t>
      </w:r>
    </w:p>
    <w:p w14:paraId="3F42652C" w14:textId="2C6197D6" w:rsidR="00E54512" w:rsidRPr="004F0EC4" w:rsidRDefault="00E54512" w:rsidP="00E54512">
      <w:pPr>
        <w:pStyle w:val="SingleTxtGA"/>
      </w:pPr>
      <w:r w:rsidRPr="004F0EC4">
        <w:rPr>
          <w:rtl/>
        </w:rPr>
        <w:t>204-</w:t>
      </w:r>
      <w:r w:rsidRPr="004F0EC4">
        <w:rPr>
          <w:rtl/>
        </w:rPr>
        <w:tab/>
        <w:t>ووفقاً للقانون رقم 21-403</w:t>
      </w:r>
      <w:r w:rsidRPr="004F0EC4">
        <w:rPr>
          <w:vertAlign w:val="superscript"/>
          <w:rtl/>
        </w:rPr>
        <w:t>(</w:t>
      </w:r>
      <w:r w:rsidRPr="004F0EC4">
        <w:rPr>
          <w:vertAlign w:val="superscript"/>
          <w:rtl/>
        </w:rPr>
        <w:footnoteReference w:id="294"/>
      </w:r>
      <w:r w:rsidRPr="004F0EC4">
        <w:rPr>
          <w:vertAlign w:val="superscript"/>
          <w:rtl/>
        </w:rPr>
        <w:t>)</w:t>
      </w:r>
      <w:r w:rsidRPr="004F0EC4">
        <w:rPr>
          <w:rtl/>
        </w:rPr>
        <w:t>، تشمل مهام الدائرة الوطنية لشؤون الأشخاص ذوي الإعاقة التحقق من أن الدراسات تشمل مختلف أنواع الإعاقة وتعامل الصمم والعمى المجتمعين بوصفهما إعاقة واحدة، وذلك من أجل الحصول على معلومات أساسية كافية تمكن من تصميم السياسات والخطط والبرامج وتنفيذها وتقييمها على نحو ملائم.</w:t>
      </w:r>
    </w:p>
    <w:p w14:paraId="71302777" w14:textId="77777777" w:rsidR="00E54512" w:rsidRPr="004F0EC4" w:rsidRDefault="00E54512" w:rsidP="00E54512">
      <w:pPr>
        <w:pStyle w:val="SingleTxtGA"/>
      </w:pPr>
      <w:r w:rsidRPr="004F0EC4">
        <w:rPr>
          <w:rtl/>
        </w:rPr>
        <w:t>205-</w:t>
      </w:r>
      <w:r w:rsidRPr="004F0EC4">
        <w:rPr>
          <w:rtl/>
        </w:rPr>
        <w:tab/>
      </w:r>
      <w:r w:rsidRPr="004F0EC4">
        <w:rPr>
          <w:spacing w:val="-2"/>
          <w:rtl/>
        </w:rPr>
        <w:t>ووفقاً لما أفاد به المعهد الوطني لحقوق الإنسان، فقد قُدم، في سياق الاحتجاجات الاجتماعية التي اندلعت</w:t>
      </w:r>
      <w:r w:rsidRPr="004F0EC4">
        <w:rPr>
          <w:rtl/>
        </w:rPr>
        <w:t xml:space="preserve"> في تشرين الأول/أكتوبر 2019، ما يعادل 146 3 شكوى بالنيابة عن الضحايا فيما يتعلق بأفعال تشكل انتهاكات لحقوق شتى من حقوق الإنسان ارتُكبت في الفترة ما بين 17 تشرين الأول/أكتوبر 2019 و18 آذار/مارس 2020. ومن بين هذه الشكاوى، قُدمت 20 شكوى بالنيابة عن 21 ضحية من ذوي الإعاقة، وهو ما يعادل 0,64 في </w:t>
      </w:r>
      <w:proofErr w:type="gramStart"/>
      <w:r w:rsidRPr="004F0EC4">
        <w:rPr>
          <w:rtl/>
        </w:rPr>
        <w:t>المائة</w:t>
      </w:r>
      <w:proofErr w:type="gramEnd"/>
      <w:r w:rsidRPr="004F0EC4">
        <w:rPr>
          <w:rtl/>
        </w:rPr>
        <w:t xml:space="preserve"> من إجمالي الشكاوى التي قدمها المعهد الوطني. ويمثل المعهد الوطني سبع ضحايا من ذوي الإعاقة في إجراءات الحماية القضائية الدستورية. ويوجد ضمن الضحايا ذوي الإعاقة البالغ عددهم 28 شخصاً يمثلهم المعهد الوطني في شكاوى أو في إجراءات الحماية القضائية الدستورية ثلاث نساء وولدان ورجل واحد من السكان الأصليين.</w:t>
      </w:r>
    </w:p>
    <w:p w14:paraId="0869E645" w14:textId="7EB41DD9" w:rsidR="00E54512" w:rsidRPr="004F0EC4" w:rsidRDefault="00E54512" w:rsidP="00E54512">
      <w:pPr>
        <w:pStyle w:val="SingleTxtGA"/>
        <w:rPr>
          <w:rtl/>
        </w:rPr>
      </w:pPr>
      <w:r w:rsidRPr="004F0EC4">
        <w:rPr>
          <w:rtl/>
        </w:rPr>
        <w:t>206-</w:t>
      </w:r>
      <w:r w:rsidRPr="004F0EC4">
        <w:rPr>
          <w:rtl/>
        </w:rPr>
        <w:tab/>
        <w:t>ولا توجد بيانات محددة عن الأشخاص ذوي الإعاقة الذين توفوا بعد إصابتهم بكوفيد-19، وإن</w:t>
      </w:r>
      <w:r w:rsidR="008B032D" w:rsidRPr="004F0EC4">
        <w:rPr>
          <w:rFonts w:hint="cs"/>
          <w:rtl/>
        </w:rPr>
        <w:t> </w:t>
      </w:r>
      <w:r w:rsidRPr="004F0EC4">
        <w:rPr>
          <w:rtl/>
        </w:rPr>
        <w:t xml:space="preserve">كانت وزارة الصحة تحتفظ ببيانات عامة عن هذه </w:t>
      </w:r>
      <w:proofErr w:type="gramStart"/>
      <w:r w:rsidRPr="004F0EC4">
        <w:rPr>
          <w:rtl/>
        </w:rPr>
        <w:t>الوفيات</w:t>
      </w:r>
      <w:r w:rsidRPr="004F0EC4">
        <w:rPr>
          <w:vertAlign w:val="superscript"/>
          <w:rtl/>
        </w:rPr>
        <w:t>(</w:t>
      </w:r>
      <w:proofErr w:type="gramEnd"/>
      <w:r w:rsidRPr="004F0EC4">
        <w:rPr>
          <w:vertAlign w:val="superscript"/>
          <w:rtl/>
        </w:rPr>
        <w:footnoteReference w:id="295"/>
      </w:r>
      <w:r w:rsidRPr="004F0EC4">
        <w:rPr>
          <w:vertAlign w:val="superscript"/>
          <w:rtl/>
        </w:rPr>
        <w:t>)</w:t>
      </w:r>
      <w:r w:rsidRPr="004F0EC4">
        <w:rPr>
          <w:rtl/>
        </w:rPr>
        <w:t>.</w:t>
      </w:r>
    </w:p>
    <w:p w14:paraId="0DD050C4" w14:textId="0C664BB7" w:rsidR="00E54512" w:rsidRPr="004F0EC4" w:rsidRDefault="00E54512" w:rsidP="00E54512">
      <w:pPr>
        <w:pStyle w:val="SingleTxtGA"/>
      </w:pPr>
      <w:r w:rsidRPr="004F0EC4">
        <w:rPr>
          <w:rtl/>
        </w:rPr>
        <w:t>207-</w:t>
      </w:r>
      <w:r w:rsidRPr="004F0EC4">
        <w:rPr>
          <w:rtl/>
        </w:rPr>
        <w:tab/>
        <w:t>وتنشر الدائرة الوطنية لشؤون الأشخاص ذوي الإعاقة على موقعها الإلكتروني وثائق تهم الأشخاص ذوي الإعاقة</w:t>
      </w:r>
      <w:r w:rsidRPr="004F0EC4">
        <w:rPr>
          <w:vertAlign w:val="superscript"/>
          <w:rtl/>
        </w:rPr>
        <w:t>(</w:t>
      </w:r>
      <w:r w:rsidRPr="004F0EC4">
        <w:rPr>
          <w:vertAlign w:val="superscript"/>
          <w:rtl/>
        </w:rPr>
        <w:footnoteReference w:id="296"/>
      </w:r>
      <w:r w:rsidRPr="004F0EC4">
        <w:rPr>
          <w:vertAlign w:val="superscript"/>
          <w:rtl/>
        </w:rPr>
        <w:t>)</w:t>
      </w:r>
      <w:r w:rsidRPr="004F0EC4">
        <w:rPr>
          <w:rtl/>
        </w:rPr>
        <w:t>، ومن بينها: الدراسة الوطنية الثانية حول الإعاقة</w:t>
      </w:r>
      <w:r w:rsidRPr="004F0EC4">
        <w:rPr>
          <w:vertAlign w:val="superscript"/>
          <w:rtl/>
        </w:rPr>
        <w:t>(</w:t>
      </w:r>
      <w:r w:rsidRPr="004F0EC4">
        <w:rPr>
          <w:vertAlign w:val="superscript"/>
          <w:rtl/>
        </w:rPr>
        <w:footnoteReference w:id="297"/>
      </w:r>
      <w:r w:rsidRPr="004F0EC4">
        <w:rPr>
          <w:vertAlign w:val="superscript"/>
          <w:rtl/>
        </w:rPr>
        <w:t>)</w:t>
      </w:r>
      <w:r w:rsidRPr="004F0EC4">
        <w:rPr>
          <w:rtl/>
        </w:rPr>
        <w:t xml:space="preserve">؛ والإعاقة والتوظيف: </w:t>
      </w:r>
      <w:r w:rsidRPr="004F0EC4">
        <w:rPr>
          <w:rtl/>
        </w:rPr>
        <w:lastRenderedPageBreak/>
        <w:t xml:space="preserve">سياق </w:t>
      </w:r>
      <w:r w:rsidRPr="004F0EC4">
        <w:rPr>
          <w:spacing w:val="2"/>
          <w:rtl/>
        </w:rPr>
        <w:t>القانون الجديد رقم 21-015 بشأن الإدماج في سوق العمل في شيلي</w:t>
      </w:r>
      <w:r w:rsidRPr="004F0EC4">
        <w:rPr>
          <w:spacing w:val="2"/>
          <w:vertAlign w:val="superscript"/>
          <w:rtl/>
        </w:rPr>
        <w:t>(</w:t>
      </w:r>
      <w:r w:rsidRPr="004F0EC4">
        <w:rPr>
          <w:spacing w:val="2"/>
          <w:vertAlign w:val="superscript"/>
          <w:rtl/>
        </w:rPr>
        <w:footnoteReference w:id="298"/>
      </w:r>
      <w:r w:rsidRPr="004F0EC4">
        <w:rPr>
          <w:spacing w:val="2"/>
          <w:vertAlign w:val="superscript"/>
          <w:rtl/>
        </w:rPr>
        <w:t>)</w:t>
      </w:r>
      <w:r w:rsidRPr="004F0EC4">
        <w:rPr>
          <w:spacing w:val="2"/>
          <w:rtl/>
        </w:rPr>
        <w:t>؛ والدراسة الاستقصائية الوطنية الاجتماعية والاقتصادية بشأن الإعاقة لعام 2017</w:t>
      </w:r>
      <w:r w:rsidRPr="004F0EC4">
        <w:rPr>
          <w:spacing w:val="2"/>
          <w:vertAlign w:val="superscript"/>
          <w:rtl/>
        </w:rPr>
        <w:t>(</w:t>
      </w:r>
      <w:r w:rsidRPr="004F0EC4">
        <w:rPr>
          <w:spacing w:val="2"/>
          <w:vertAlign w:val="superscript"/>
          <w:rtl/>
        </w:rPr>
        <w:footnoteReference w:id="299"/>
      </w:r>
      <w:r w:rsidRPr="004F0EC4">
        <w:rPr>
          <w:spacing w:val="2"/>
          <w:vertAlign w:val="superscript"/>
          <w:rtl/>
        </w:rPr>
        <w:t>)</w:t>
      </w:r>
      <w:r w:rsidRPr="004F0EC4">
        <w:rPr>
          <w:spacing w:val="2"/>
          <w:rtl/>
        </w:rPr>
        <w:t>؛ ودليل التعامل مع النساء ذوات الإعاقة من ضحايا العنف</w:t>
      </w:r>
      <w:r w:rsidRPr="004F0EC4">
        <w:rPr>
          <w:spacing w:val="2"/>
          <w:vertAlign w:val="superscript"/>
          <w:rtl/>
        </w:rPr>
        <w:t>(</w:t>
      </w:r>
      <w:r w:rsidRPr="004F0EC4">
        <w:rPr>
          <w:spacing w:val="2"/>
          <w:vertAlign w:val="superscript"/>
          <w:rtl/>
        </w:rPr>
        <w:footnoteReference w:id="300"/>
      </w:r>
      <w:r w:rsidRPr="004F0EC4">
        <w:rPr>
          <w:spacing w:val="2"/>
          <w:vertAlign w:val="superscript"/>
          <w:rtl/>
        </w:rPr>
        <w:t>)</w:t>
      </w:r>
      <w:r w:rsidRPr="004F0EC4">
        <w:rPr>
          <w:spacing w:val="2"/>
          <w:rtl/>
        </w:rPr>
        <w:t>؛ ودليل إدماج الطلاب المصابين بالتوحد في المدارس</w:t>
      </w:r>
      <w:r w:rsidRPr="004F0EC4">
        <w:rPr>
          <w:spacing w:val="2"/>
          <w:vertAlign w:val="superscript"/>
          <w:rtl/>
        </w:rPr>
        <w:t>(</w:t>
      </w:r>
      <w:r w:rsidRPr="004F0EC4">
        <w:rPr>
          <w:spacing w:val="2"/>
          <w:vertAlign w:val="superscript"/>
          <w:rtl/>
        </w:rPr>
        <w:footnoteReference w:id="301"/>
      </w:r>
      <w:r w:rsidRPr="004F0EC4">
        <w:rPr>
          <w:spacing w:val="2"/>
          <w:vertAlign w:val="superscript"/>
          <w:rtl/>
        </w:rPr>
        <w:t>)</w:t>
      </w:r>
      <w:r w:rsidRPr="004F0EC4">
        <w:rPr>
          <w:spacing w:val="2"/>
          <w:rtl/>
        </w:rPr>
        <w:t>؛ والحياة الجنسية وإدماج الأشخاص ذوي الإعاقة</w:t>
      </w:r>
      <w:r w:rsidRPr="004F0EC4">
        <w:rPr>
          <w:spacing w:val="2"/>
          <w:vertAlign w:val="superscript"/>
          <w:rtl/>
        </w:rPr>
        <w:t>(</w:t>
      </w:r>
      <w:r w:rsidRPr="004F0EC4">
        <w:rPr>
          <w:spacing w:val="2"/>
          <w:vertAlign w:val="superscript"/>
          <w:rtl/>
        </w:rPr>
        <w:footnoteReference w:id="302"/>
      </w:r>
      <w:r w:rsidRPr="004F0EC4">
        <w:rPr>
          <w:spacing w:val="2"/>
          <w:vertAlign w:val="superscript"/>
          <w:rtl/>
        </w:rPr>
        <w:t>)</w:t>
      </w:r>
      <w:r w:rsidRPr="004F0EC4">
        <w:rPr>
          <w:spacing w:val="2"/>
          <w:rtl/>
        </w:rPr>
        <w:t>، وهي وثائق متاحة أيضاً بصيغة سهلة القراءة</w:t>
      </w:r>
      <w:r w:rsidRPr="004F0EC4">
        <w:rPr>
          <w:spacing w:val="2"/>
          <w:vertAlign w:val="superscript"/>
          <w:rtl/>
        </w:rPr>
        <w:t>(</w:t>
      </w:r>
      <w:r w:rsidRPr="004F0EC4">
        <w:rPr>
          <w:spacing w:val="2"/>
          <w:vertAlign w:val="superscript"/>
          <w:rtl/>
        </w:rPr>
        <w:footnoteReference w:id="303"/>
      </w:r>
      <w:r w:rsidRPr="004F0EC4">
        <w:rPr>
          <w:spacing w:val="2"/>
          <w:vertAlign w:val="superscript"/>
          <w:rtl/>
        </w:rPr>
        <w:t>)</w:t>
      </w:r>
      <w:r w:rsidRPr="004F0EC4">
        <w:rPr>
          <w:spacing w:val="2"/>
          <w:rtl/>
        </w:rPr>
        <w:t>؛ والتقارير التشخيصية التشاركية المتعلقة بنظام تصنيف الإعاقة وإصدار الشهادات المتعلقة بها</w:t>
      </w:r>
      <w:r w:rsidRPr="004F0EC4">
        <w:rPr>
          <w:spacing w:val="2"/>
          <w:vertAlign w:val="superscript"/>
          <w:rtl/>
        </w:rPr>
        <w:t>(</w:t>
      </w:r>
      <w:r w:rsidRPr="004F0EC4">
        <w:rPr>
          <w:spacing w:val="2"/>
          <w:vertAlign w:val="superscript"/>
          <w:rtl/>
        </w:rPr>
        <w:footnoteReference w:id="304"/>
      </w:r>
      <w:r w:rsidRPr="004F0EC4">
        <w:rPr>
          <w:spacing w:val="2"/>
          <w:vertAlign w:val="superscript"/>
          <w:rtl/>
        </w:rPr>
        <w:t>)</w:t>
      </w:r>
      <w:r w:rsidRPr="004F0EC4">
        <w:rPr>
          <w:spacing w:val="2"/>
          <w:rtl/>
        </w:rPr>
        <w:t xml:space="preserve">. وصدرت أيضاً سلسلة من </w:t>
      </w:r>
      <w:proofErr w:type="gramStart"/>
      <w:r w:rsidRPr="004F0EC4">
        <w:rPr>
          <w:spacing w:val="2"/>
          <w:rtl/>
        </w:rPr>
        <w:t>الوثائق</w:t>
      </w:r>
      <w:r w:rsidRPr="004F0EC4">
        <w:rPr>
          <w:spacing w:val="2"/>
          <w:vertAlign w:val="superscript"/>
          <w:rtl/>
        </w:rPr>
        <w:t>(</w:t>
      </w:r>
      <w:proofErr w:type="gramEnd"/>
      <w:r w:rsidRPr="004F0EC4">
        <w:rPr>
          <w:spacing w:val="2"/>
          <w:vertAlign w:val="superscript"/>
          <w:rtl/>
        </w:rPr>
        <w:footnoteReference w:id="305"/>
      </w:r>
      <w:r w:rsidRPr="004F0EC4">
        <w:rPr>
          <w:spacing w:val="2"/>
          <w:vertAlign w:val="superscript"/>
          <w:rtl/>
        </w:rPr>
        <w:t>)</w:t>
      </w:r>
      <w:r w:rsidRPr="004F0EC4">
        <w:rPr>
          <w:spacing w:val="2"/>
          <w:rtl/>
        </w:rPr>
        <w:t xml:space="preserve"> بشأن التوصيات والمبادئ التوجيهية المتعلقة بتوفير المعلومات في صيغة ميسرة الاستخدام.</w:t>
      </w:r>
      <w:r w:rsidR="00F453B3" w:rsidRPr="004F0EC4">
        <w:rPr>
          <w:rFonts w:hint="cs"/>
          <w:spacing w:val="2"/>
          <w:rtl/>
        </w:rPr>
        <w:t xml:space="preserve"> </w:t>
      </w:r>
    </w:p>
    <w:p w14:paraId="0BB72E4C" w14:textId="75D7AF82" w:rsidR="00E54512" w:rsidRPr="004F0EC4" w:rsidRDefault="00E54512" w:rsidP="00E54512">
      <w:pPr>
        <w:pStyle w:val="SingleTxtGA"/>
      </w:pPr>
      <w:r w:rsidRPr="004F0EC4">
        <w:rPr>
          <w:rtl/>
        </w:rPr>
        <w:t>208-</w:t>
      </w:r>
      <w:r w:rsidRPr="004F0EC4">
        <w:rPr>
          <w:rtl/>
        </w:rPr>
        <w:tab/>
        <w:t xml:space="preserve">ويقوم معهد الضمان الاجتماعي، من خلال برنامج "شيلي مهتمة"، بتجميع المعلومات المتعلقة بالإجراءات الحكومية وبالمزايا التي تقدمها الحكومة عبر قنوات خدمية شتى تتيح للأشخاص ذوي الإعاقة إمكانية الاستفادة منها. وفيما يتعلق بقناة الخدمة المباشرة بالحضور الشخصي، كُيفت البنية التحتية على نحو تدريجي لتضمينها خصائص الوصول الميسر وبروتوكولاً للخدمة. ومنذ عام 2022، لم تعد الأجهزة الخاصة للترجمة المرئية مطلوبة، إذ أصبح موظف معتمد في لغة الإشارة الشيلية يقوم بالمهمة عبر القناة الافتراضية، وهو ما أدى إلى توسيع نطاق التغطية ليشمل جميع الفروع البالغ عددها 190 </w:t>
      </w:r>
      <w:proofErr w:type="gramStart"/>
      <w:r w:rsidRPr="004F0EC4">
        <w:rPr>
          <w:rtl/>
        </w:rPr>
        <w:t>فرعاً</w:t>
      </w:r>
      <w:r w:rsidRPr="004F0EC4">
        <w:rPr>
          <w:vertAlign w:val="superscript"/>
          <w:rtl/>
        </w:rPr>
        <w:t>(</w:t>
      </w:r>
      <w:proofErr w:type="gramEnd"/>
      <w:r w:rsidRPr="004F0EC4">
        <w:rPr>
          <w:vertAlign w:val="superscript"/>
          <w:rtl/>
        </w:rPr>
        <w:footnoteReference w:id="306"/>
      </w:r>
      <w:r w:rsidRPr="004F0EC4">
        <w:rPr>
          <w:vertAlign w:val="superscript"/>
          <w:rtl/>
        </w:rPr>
        <w:t>)</w:t>
      </w:r>
      <w:r w:rsidRPr="004F0EC4">
        <w:rPr>
          <w:rtl/>
        </w:rPr>
        <w:t>. واتُّخذت تدابير لتيسير استخدام الموقع الإلكتروني للبرنامج (</w:t>
      </w:r>
      <w:hyperlink r:id="rId14" w:history="1">
        <w:r w:rsidRPr="004F0EC4">
          <w:rPr>
            <w:rStyle w:val="Hyperlink"/>
          </w:rPr>
          <w:t>www.chileatiende.cl</w:t>
        </w:r>
      </w:hyperlink>
      <w:r w:rsidRPr="004F0EC4">
        <w:rPr>
          <w:rtl/>
        </w:rPr>
        <w:t>).</w:t>
      </w:r>
    </w:p>
    <w:p w14:paraId="0D77CAD7" w14:textId="77777777" w:rsidR="00E54512" w:rsidRPr="004F0EC4" w:rsidRDefault="00E54512" w:rsidP="00E54512">
      <w:pPr>
        <w:pStyle w:val="H1GA"/>
        <w:rPr>
          <w:lang w:val="en-US"/>
        </w:rPr>
      </w:pPr>
      <w:r w:rsidRPr="004F0EC4">
        <w:rPr>
          <w:rtl/>
          <w:lang w:val="en-US"/>
        </w:rPr>
        <w:tab/>
      </w:r>
      <w:r w:rsidRPr="004F0EC4">
        <w:rPr>
          <w:rtl/>
          <w:lang w:val="en-US"/>
        </w:rPr>
        <w:tab/>
        <w:t>المادة 32</w:t>
      </w:r>
    </w:p>
    <w:p w14:paraId="411E079C" w14:textId="77777777" w:rsidR="00E54512" w:rsidRPr="004F0EC4" w:rsidRDefault="00E54512" w:rsidP="00E54512">
      <w:pPr>
        <w:pStyle w:val="SingleTxtGA"/>
        <w:rPr>
          <w:rtl/>
        </w:rPr>
      </w:pPr>
      <w:r w:rsidRPr="004F0EC4">
        <w:rPr>
          <w:rtl/>
        </w:rPr>
        <w:t>209-</w:t>
      </w:r>
      <w:r w:rsidRPr="004F0EC4">
        <w:rPr>
          <w:rtl/>
        </w:rPr>
        <w:tab/>
        <w:t>لا تتلقى شيلي حالياً، نظراً لحجم ناتجها المحلي الإجمالي، مساعدات إنمائية رسمية. وهي تصنَّف، بسبب دورها المزدوج في مجال التعاون، بلداً يمر بمرحلة انتقالية نحو التنمية. ومع ذلك، لا تزال شيلي تُعتبر، فيما يتعلق بالتعاون الإنمائي الدولي، شريكاً ومستفيداً، لا سيما في مجالات البيئة والطاقة وتغير المناخ.</w:t>
      </w:r>
    </w:p>
    <w:p w14:paraId="6077686D" w14:textId="71F9F511" w:rsidR="00E54512" w:rsidRPr="004F0EC4" w:rsidRDefault="00E54512" w:rsidP="00E54512">
      <w:pPr>
        <w:pStyle w:val="SingleTxtGA"/>
      </w:pPr>
      <w:r w:rsidRPr="004F0EC4">
        <w:rPr>
          <w:rtl/>
        </w:rPr>
        <w:t>210-</w:t>
      </w:r>
      <w:r w:rsidRPr="004F0EC4">
        <w:rPr>
          <w:rtl/>
        </w:rPr>
        <w:tab/>
        <w:t xml:space="preserve">وتتوافق المشاريع التي تقودها الوكالة الشيلية للتعاون الإنمائي الدولي والتي تعود بالفائدة على </w:t>
      </w:r>
      <w:r w:rsidRPr="004F0EC4">
        <w:rPr>
          <w:spacing w:val="-2"/>
          <w:rtl/>
        </w:rPr>
        <w:t>الأشخاص ذوي الإعاقة مع خطة التنمية المستدامة لعام 2030 ومع أهداف التنمية المستدامة. وقد تعاونت</w:t>
      </w:r>
      <w:r w:rsidRPr="004F0EC4">
        <w:rPr>
          <w:rtl/>
        </w:rPr>
        <w:t xml:space="preserve"> الوكالة مع الدائرة الوطنية لشؤون الأشخاص ذوي الإعاقة لتنفيذ برنامج التدريب للفترة 2015-2017 بشأن وضع خطط إعادة التأهيل الشاملة للجميع في بلدان أمريكا اللاتينية ومنطقة البحر الكاريبي، وهو</w:t>
      </w:r>
      <w:r w:rsidR="0086687C" w:rsidRPr="004F0EC4">
        <w:rPr>
          <w:rFonts w:hint="cs"/>
          <w:rtl/>
        </w:rPr>
        <w:t> </w:t>
      </w:r>
      <w:r w:rsidRPr="004F0EC4">
        <w:rPr>
          <w:rtl/>
        </w:rPr>
        <w:t xml:space="preserve">برنامج موّله صندوق </w:t>
      </w:r>
      <w:proofErr w:type="spellStart"/>
      <w:r w:rsidRPr="004F0EC4">
        <w:rPr>
          <w:rtl/>
        </w:rPr>
        <w:t>فوندو</w:t>
      </w:r>
      <w:proofErr w:type="spellEnd"/>
      <w:r w:rsidRPr="004F0EC4">
        <w:rPr>
          <w:rtl/>
        </w:rPr>
        <w:t xml:space="preserve"> الشيلي وصُمم للمساهمة في إدماج الأشخاص ذوي الإعاقة من خلال تعزيز برامج إعادة التأهيل الشاملة للجميع في </w:t>
      </w:r>
      <w:proofErr w:type="gramStart"/>
      <w:r w:rsidRPr="004F0EC4">
        <w:rPr>
          <w:rtl/>
        </w:rPr>
        <w:t>باراغواي</w:t>
      </w:r>
      <w:proofErr w:type="gramEnd"/>
      <w:r w:rsidRPr="004F0EC4">
        <w:rPr>
          <w:rtl/>
        </w:rPr>
        <w:t xml:space="preserve"> وكوستاريكا والسلفادور وغواتيمالا.</w:t>
      </w:r>
    </w:p>
    <w:p w14:paraId="5FEE06F2" w14:textId="4CA090A8" w:rsidR="00E54512" w:rsidRPr="004F0EC4" w:rsidRDefault="00E54512" w:rsidP="008B032D">
      <w:pPr>
        <w:pStyle w:val="SingleTxtGA"/>
        <w:pageBreakBefore/>
      </w:pPr>
      <w:r w:rsidRPr="004F0EC4">
        <w:rPr>
          <w:rtl/>
        </w:rPr>
        <w:lastRenderedPageBreak/>
        <w:t>211-</w:t>
      </w:r>
      <w:r w:rsidRPr="004F0EC4">
        <w:rPr>
          <w:rtl/>
        </w:rPr>
        <w:tab/>
        <w:t xml:space="preserve">وفي عام 2019، انضمت الدائرة الوطنية لشؤون الأشخاص ذوي الإعاقة إلى البرنامج </w:t>
      </w:r>
      <w:proofErr w:type="spellStart"/>
      <w:r w:rsidRPr="004F0EC4">
        <w:rPr>
          <w:rtl/>
        </w:rPr>
        <w:t>الأيبيري</w:t>
      </w:r>
      <w:proofErr w:type="spellEnd"/>
      <w:r w:rsidR="00DB6836" w:rsidRPr="004F0EC4">
        <w:rPr>
          <w:rFonts w:hint="eastAsia"/>
          <w:rtl/>
        </w:rPr>
        <w:t> </w:t>
      </w:r>
      <w:r w:rsidRPr="004F0EC4">
        <w:rPr>
          <w:rtl/>
        </w:rPr>
        <w:t>-</w:t>
      </w:r>
      <w:r w:rsidR="00DB6836" w:rsidRPr="004F0EC4">
        <w:rPr>
          <w:rFonts w:hint="cs"/>
          <w:rtl/>
        </w:rPr>
        <w:t xml:space="preserve"> </w:t>
      </w:r>
      <w:r w:rsidRPr="004F0EC4">
        <w:rPr>
          <w:rtl/>
        </w:rPr>
        <w:t>الأمريكي لحقوق الأشخاص ذوي الإعاقة، وهو برنامج يهدف إلى تعزيز إدماج الأشخاص ذوي الإعاقة في الحياة السياسية والاقتصادية والاجتماعية من خلال سياسات تضمن تمتعهم بحقوقهم التي تكفلها الاتفاقية وممارستهم تلك الحقوق على أتم وجه، وإلى تحقيق أهداف التنمية المستدامة.</w:t>
      </w:r>
    </w:p>
    <w:p w14:paraId="498D5A97" w14:textId="77777777" w:rsidR="00E54512" w:rsidRPr="004F0EC4" w:rsidRDefault="00E54512" w:rsidP="00E54512">
      <w:pPr>
        <w:pStyle w:val="H1GA"/>
        <w:rPr>
          <w:lang w:val="en-US"/>
        </w:rPr>
      </w:pPr>
      <w:r w:rsidRPr="004F0EC4">
        <w:rPr>
          <w:rtl/>
          <w:lang w:val="en-US"/>
        </w:rPr>
        <w:tab/>
      </w:r>
      <w:r w:rsidRPr="004F0EC4">
        <w:rPr>
          <w:rtl/>
          <w:lang w:val="en-US"/>
        </w:rPr>
        <w:tab/>
        <w:t>المادة 33</w:t>
      </w:r>
    </w:p>
    <w:p w14:paraId="4ED9232E" w14:textId="28C57625" w:rsidR="00E54512" w:rsidRPr="004F0EC4" w:rsidRDefault="00E54512" w:rsidP="00E54512">
      <w:pPr>
        <w:pStyle w:val="SingleTxtGA"/>
      </w:pPr>
      <w:r w:rsidRPr="004F0EC4">
        <w:rPr>
          <w:rtl/>
        </w:rPr>
        <w:t>212-</w:t>
      </w:r>
      <w:r w:rsidRPr="004F0EC4">
        <w:rPr>
          <w:rtl/>
        </w:rPr>
        <w:tab/>
        <w:t xml:space="preserve">في إطار الخطة الوطنية الثانية لحقوق الإنسان، التزمت الدائرة الوطنية لشؤون الأشخاص ذوي الإعاقة بوضع وتنفيذ آلية لتتبُّع التقدم الذي تحرزه الدولة في الوفاء بالتزاماتها الدولية في مجال حقوق الإنسان بموجب الاتفاقية واتفاقية البلدان الأمريكية للقضاء على جميع أشكال التمييز ضد الأشخاص ذوي الإعاقة ولرصد هذا التقدم والإبلاغ </w:t>
      </w:r>
      <w:proofErr w:type="gramStart"/>
      <w:r w:rsidRPr="004F0EC4">
        <w:rPr>
          <w:rtl/>
        </w:rPr>
        <w:t>عنه</w:t>
      </w:r>
      <w:r w:rsidRPr="004F0EC4">
        <w:rPr>
          <w:vertAlign w:val="superscript"/>
          <w:rtl/>
        </w:rPr>
        <w:t>(</w:t>
      </w:r>
      <w:proofErr w:type="gramEnd"/>
      <w:r w:rsidRPr="004F0EC4">
        <w:rPr>
          <w:vertAlign w:val="superscript"/>
          <w:rtl/>
        </w:rPr>
        <w:footnoteReference w:id="307"/>
      </w:r>
      <w:r w:rsidRPr="004F0EC4">
        <w:rPr>
          <w:vertAlign w:val="superscript"/>
          <w:rtl/>
        </w:rPr>
        <w:t>)</w:t>
      </w:r>
      <w:r w:rsidRPr="004F0EC4">
        <w:rPr>
          <w:rtl/>
        </w:rPr>
        <w:t>.</w:t>
      </w:r>
      <w:r w:rsidR="001E395C" w:rsidRPr="004F0EC4">
        <w:rPr>
          <w:rFonts w:hint="cs"/>
          <w:rtl/>
        </w:rPr>
        <w:t xml:space="preserve"> </w:t>
      </w:r>
    </w:p>
    <w:p w14:paraId="5DC4CA4C" w14:textId="6191AAC3" w:rsidR="003D23B7" w:rsidRPr="004F0EC4" w:rsidRDefault="003D23B7" w:rsidP="003D23B7">
      <w:pPr>
        <w:pStyle w:val="SingleTxtGA"/>
        <w:jc w:val="center"/>
        <w:rPr>
          <w:u w:val="single"/>
          <w:rtl/>
        </w:rPr>
      </w:pPr>
      <w:r w:rsidRPr="004F0EC4">
        <w:rPr>
          <w:u w:val="single"/>
          <w:rtl/>
        </w:rPr>
        <w:tab/>
      </w:r>
      <w:r w:rsidRPr="004F0EC4">
        <w:rPr>
          <w:u w:val="single"/>
          <w:rtl/>
        </w:rPr>
        <w:tab/>
      </w:r>
      <w:r w:rsidRPr="004F0EC4">
        <w:rPr>
          <w:u w:val="single"/>
          <w:rtl/>
        </w:rPr>
        <w:tab/>
      </w:r>
    </w:p>
    <w:sectPr w:rsidR="003D23B7" w:rsidRPr="004F0EC4" w:rsidSect="00FA26A0">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78C50" w14:textId="77777777" w:rsidR="00A7472A" w:rsidRPr="002901D9" w:rsidRDefault="00A7472A" w:rsidP="006A5EE7">
      <w:pPr>
        <w:spacing w:after="60" w:line="240" w:lineRule="auto"/>
        <w:ind w:left="57"/>
        <w:rPr>
          <w:i/>
          <w:iCs/>
        </w:rPr>
      </w:pPr>
      <w:r>
        <w:rPr>
          <w:rFonts w:hint="cs"/>
          <w:i/>
          <w:iCs/>
          <w:rtl/>
        </w:rPr>
        <w:t>الحواشي</w:t>
      </w:r>
    </w:p>
  </w:endnote>
  <w:endnote w:type="continuationSeparator" w:id="0">
    <w:p w14:paraId="0E37DDA9" w14:textId="77777777" w:rsidR="00A7472A" w:rsidRDefault="00A7472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F4D73" w14:textId="1803E2C5" w:rsidR="00B90484" w:rsidRPr="00B90484" w:rsidRDefault="00B90484" w:rsidP="00B90484">
    <w:pPr>
      <w:pStyle w:val="Footer"/>
      <w:tabs>
        <w:tab w:val="right" w:pos="9638"/>
      </w:tabs>
      <w:rPr>
        <w:b/>
        <w:sz w:val="18"/>
        <w:lang w:val="en-US"/>
      </w:rPr>
    </w:pPr>
    <w:r>
      <w:rPr>
        <w:lang w:val="en-US"/>
      </w:rPr>
      <w:t>GE.26-00864</w:t>
    </w:r>
    <w:r>
      <w:rPr>
        <w:lang w:val="en-US"/>
      </w:rPr>
      <w:tab/>
    </w:r>
    <w:r w:rsidRPr="00B90484">
      <w:rPr>
        <w:b/>
        <w:sz w:val="18"/>
        <w:lang w:val="en-US"/>
      </w:rPr>
      <w:fldChar w:fldCharType="begin"/>
    </w:r>
    <w:r w:rsidRPr="00B90484">
      <w:rPr>
        <w:b/>
        <w:sz w:val="18"/>
        <w:lang w:val="en-US"/>
      </w:rPr>
      <w:instrText xml:space="preserve"> PAGE  \* MERGEFORMAT </w:instrText>
    </w:r>
    <w:r w:rsidRPr="00B90484">
      <w:rPr>
        <w:b/>
        <w:sz w:val="18"/>
        <w:lang w:val="en-US"/>
      </w:rPr>
      <w:fldChar w:fldCharType="separate"/>
    </w:r>
    <w:r w:rsidRPr="00B90484">
      <w:rPr>
        <w:b/>
        <w:noProof/>
        <w:sz w:val="18"/>
        <w:lang w:val="en-US"/>
      </w:rPr>
      <w:t>2</w:t>
    </w:r>
    <w:r w:rsidRPr="00B9048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A01BE" w14:textId="5A086CF3" w:rsidR="006959B0" w:rsidRPr="00B90484" w:rsidRDefault="00B90484" w:rsidP="00B9048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GE.26-00864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F860F" w14:textId="7023D2F3" w:rsidR="00114439" w:rsidRPr="00B90484" w:rsidRDefault="00B90484" w:rsidP="00B90484">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3D2811E" wp14:editId="7D74095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26-00864 </w:t>
    </w:r>
    <w:r w:rsidR="00E13BB5">
      <w:rPr>
        <w:sz w:val="20"/>
        <w:lang w:val="en-US"/>
      </w:rPr>
      <w:t>(</w:t>
    </w:r>
    <w:proofErr w:type="gramStart"/>
    <w:r w:rsidR="00E13BB5">
      <w:rPr>
        <w:sz w:val="20"/>
        <w:lang w:val="en-US"/>
      </w:rPr>
      <w:t xml:space="preserve">A)   </w:t>
    </w:r>
    <w:proofErr w:type="gramEnd"/>
    <w:r w:rsidR="00E13BB5">
      <w:rPr>
        <w:sz w:val="20"/>
        <w:lang w:val="en-US"/>
      </w:rPr>
      <w:t xml:space="preserve"> 160626    180626</w:t>
    </w:r>
    <w:r>
      <w:rPr>
        <w:noProof/>
        <w:sz w:val="20"/>
        <w:lang w:val="en-US"/>
      </w:rPr>
      <w:drawing>
        <wp:anchor distT="0" distB="0" distL="114300" distR="114300" simplePos="0" relativeHeight="251659264" behindDoc="0" locked="0" layoutInCell="1" allowOverlap="1" wp14:anchorId="61E68D93" wp14:editId="6C40EC4B">
          <wp:simplePos x="0" y="0"/>
          <wp:positionH relativeFrom="margin">
            <wp:posOffset>0</wp:posOffset>
          </wp:positionH>
          <wp:positionV relativeFrom="margin">
            <wp:posOffset>8891905</wp:posOffset>
          </wp:positionV>
          <wp:extent cx="628650" cy="628650"/>
          <wp:effectExtent l="0" t="0" r="0" b="0"/>
          <wp:wrapNone/>
          <wp:docPr id="172515128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15128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D2C77" w14:textId="77777777" w:rsidR="00A7472A" w:rsidRPr="00801A14" w:rsidRDefault="00A7472A"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D6D08D4" w14:textId="77777777" w:rsidR="00A7472A" w:rsidRDefault="00A7472A" w:rsidP="00656392">
      <w:pPr>
        <w:spacing w:line="240" w:lineRule="auto"/>
      </w:pPr>
      <w:r>
        <w:continuationSeparator/>
      </w:r>
    </w:p>
  </w:footnote>
  <w:footnote w:id="1">
    <w:p w14:paraId="3E647838" w14:textId="77777777" w:rsidR="00C00FE8" w:rsidRPr="004F0EC4" w:rsidRDefault="00C00FE8" w:rsidP="00C00FE8">
      <w:pPr>
        <w:pStyle w:val="FootnoteText1"/>
      </w:pPr>
      <w:r w:rsidRPr="004F0EC4">
        <w:rPr>
          <w:rtl/>
        </w:rPr>
        <w:t>*</w:t>
      </w:r>
      <w:r w:rsidRPr="004F0EC4">
        <w:tab/>
      </w:r>
      <w:r w:rsidRPr="004F0EC4">
        <w:rPr>
          <w:rtl/>
        </w:rPr>
        <w:t>تصدر هذه الوثيقة من دون تحرير رسمي</w:t>
      </w:r>
      <w:r w:rsidRPr="004F0EC4">
        <w:t>.</w:t>
      </w:r>
    </w:p>
  </w:footnote>
  <w:footnote w:id="2">
    <w:p w14:paraId="2F64C7CC" w14:textId="77777777" w:rsidR="00C00FE8" w:rsidRPr="004F0EC4" w:rsidRDefault="00C00FE8" w:rsidP="00C00FE8">
      <w:pPr>
        <w:pStyle w:val="FootnoteText1"/>
      </w:pPr>
      <w:r w:rsidRPr="004F0EC4">
        <w:rPr>
          <w:rtl/>
        </w:rPr>
        <w:t>**</w:t>
      </w:r>
      <w:r w:rsidRPr="004F0EC4">
        <w:rPr>
          <w:rtl/>
        </w:rPr>
        <w:tab/>
        <w:t>قُدمت هذه الوثيقة عملاً بالإجراء المبسَّط لتقديم التقارير. وهي تتضمن ردود الدولة الطرف على قائمة المسائل التي وضعتها اللجنة قبل تقديم التقرير (</w:t>
      </w:r>
      <w:hyperlink r:id="rId1" w:history="1">
        <w:r w:rsidRPr="004F0EC4">
          <w:rPr>
            <w:rStyle w:val="Hyperlink"/>
          </w:rPr>
          <w:t>CRPD/C/CHL/QPR/2-4</w:t>
        </w:r>
      </w:hyperlink>
      <w:r w:rsidRPr="004F0EC4">
        <w:rPr>
          <w:rtl/>
        </w:rPr>
        <w:t>).</w:t>
      </w:r>
    </w:p>
  </w:footnote>
  <w:footnote w:id="3">
    <w:p w14:paraId="4851B394" w14:textId="77777777" w:rsidR="00C00FE8" w:rsidRPr="004F0EC4" w:rsidRDefault="00C00FE8" w:rsidP="00C00FE8">
      <w:pPr>
        <w:pStyle w:val="FootnoteText1"/>
      </w:pPr>
      <w:r w:rsidRPr="004F0EC4">
        <w:rPr>
          <w:rtl/>
        </w:rPr>
        <w:t>***</w:t>
      </w:r>
      <w:r w:rsidRPr="004F0EC4">
        <w:rPr>
          <w:rtl/>
        </w:rPr>
        <w:tab/>
        <w:t>يمكن الاطلاع على مرفقات هذه الوثيقة في الصفحة الشبكية للجنة.</w:t>
      </w:r>
    </w:p>
  </w:footnote>
  <w:footnote w:id="4">
    <w:p w14:paraId="0162FFC6" w14:textId="77777777" w:rsidR="00C00FE8" w:rsidRPr="004F0EC4" w:rsidRDefault="00C00FE8" w:rsidP="00C00FE8">
      <w:pPr>
        <w:pStyle w:val="FootnoteText1"/>
        <w:rPr>
          <w:spacing w:val="-2"/>
        </w:rPr>
      </w:pPr>
      <w:r w:rsidRPr="004F0EC4">
        <w:rPr>
          <w:rtl/>
        </w:rPr>
        <w:t>(</w:t>
      </w:r>
      <w:r w:rsidRPr="004F0EC4">
        <w:footnoteRef/>
      </w:r>
      <w:r w:rsidRPr="004F0EC4">
        <w:rPr>
          <w:rtl/>
        </w:rPr>
        <w:t>)</w:t>
      </w:r>
      <w:r w:rsidRPr="004F0EC4">
        <w:rPr>
          <w:rtl/>
        </w:rPr>
        <w:tab/>
      </w:r>
      <w:hyperlink r:id="rId2" w:history="1">
        <w:r w:rsidRPr="004F0EC4">
          <w:rPr>
            <w:rStyle w:val="Hyperlink"/>
            <w:spacing w:val="-2"/>
          </w:rPr>
          <w:t>https://www.senadis.gob.cl/sala_prensa/d/noticias/8846/senadis-invita-a-participar-del-reporte-del-estado-de-chile-al-comite-de-naciones-unidas-sobre-los-derechos-de-las-personas-con-discapacidad</w:t>
        </w:r>
      </w:hyperlink>
      <w:r w:rsidRPr="004F0EC4">
        <w:rPr>
          <w:spacing w:val="-2"/>
          <w:rtl/>
        </w:rPr>
        <w:t>.</w:t>
      </w:r>
    </w:p>
  </w:footnote>
  <w:footnote w:id="5">
    <w:p w14:paraId="4DFAFB96" w14:textId="77777777" w:rsidR="00C00FE8" w:rsidRPr="004F0EC4" w:rsidRDefault="00C00FE8" w:rsidP="00C00FE8">
      <w:pPr>
        <w:pStyle w:val="FootnoteText1"/>
        <w:rPr>
          <w:rFonts w:hint="cs"/>
          <w:spacing w:val="-5"/>
          <w:rtl/>
        </w:rPr>
      </w:pPr>
      <w:r w:rsidRPr="004F0EC4">
        <w:rPr>
          <w:rtl/>
        </w:rPr>
        <w:t>(</w:t>
      </w:r>
      <w:r w:rsidRPr="004F0EC4">
        <w:footnoteRef/>
      </w:r>
      <w:r w:rsidRPr="004F0EC4">
        <w:rPr>
          <w:rtl/>
        </w:rPr>
        <w:t>)</w:t>
      </w:r>
      <w:r w:rsidRPr="004F0EC4">
        <w:rPr>
          <w:rtl/>
        </w:rPr>
        <w:tab/>
      </w:r>
      <w:hyperlink r:id="rId3" w:history="1">
        <w:r w:rsidRPr="004F0EC4">
          <w:rPr>
            <w:rStyle w:val="Hyperlink"/>
            <w:spacing w:val="-5"/>
          </w:rPr>
          <w:t>https://senadis.gob.cl/sala_prensa/d/noticias/8850/senadis-desarrolla-encuentros-sobre-reporte-del-estado-de-chile-ante-el-comite-sobre-lo-derechos-de-las-personas-con-discapacidad-con-cosoc-regionales</w:t>
        </w:r>
      </w:hyperlink>
      <w:r w:rsidRPr="004F0EC4">
        <w:rPr>
          <w:spacing w:val="-5"/>
          <w:rtl/>
        </w:rPr>
        <w:t>.</w:t>
      </w:r>
    </w:p>
  </w:footnote>
  <w:footnote w:id="6">
    <w:p w14:paraId="30928D39"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4" w:history="1">
        <w:r w:rsidRPr="004F0EC4">
          <w:rPr>
            <w:rStyle w:val="Hyperlink"/>
          </w:rPr>
          <w:t>https://www.diariooficial.interior.gob.cl/publicaciones/2020/08/25/42739/01/1804456.pdf</w:t>
        </w:r>
      </w:hyperlink>
      <w:r w:rsidRPr="004F0EC4">
        <w:rPr>
          <w:rtl/>
        </w:rPr>
        <w:t>.</w:t>
      </w:r>
    </w:p>
  </w:footnote>
  <w:footnote w:id="7">
    <w:p w14:paraId="01409FF3"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r w:rsidRPr="004F0EC4">
        <w:rPr>
          <w:rFonts w:hint="cs"/>
          <w:rtl/>
        </w:rPr>
        <w:t>المرفق 5.</w:t>
      </w:r>
    </w:p>
  </w:footnote>
  <w:footnote w:id="8">
    <w:p w14:paraId="2744D165"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المرفق 1.</w:t>
      </w:r>
    </w:p>
  </w:footnote>
  <w:footnote w:id="9">
    <w:p w14:paraId="1621D84D"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5" w:history="1">
        <w:r w:rsidRPr="004F0EC4">
          <w:rPr>
            <w:rStyle w:val="Hyperlink"/>
          </w:rPr>
          <w:t>https://www.senadis.gob.cl/sala_prensa/d/noticias/8815</w:t>
        </w:r>
      </w:hyperlink>
      <w:r w:rsidRPr="004F0EC4">
        <w:rPr>
          <w:rtl/>
        </w:rPr>
        <w:t>.</w:t>
      </w:r>
    </w:p>
  </w:footnote>
  <w:footnote w:id="10">
    <w:p w14:paraId="2B73C153"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6" w:history="1">
        <w:r w:rsidRPr="004F0EC4">
          <w:rPr>
            <w:rStyle w:val="Hyperlink"/>
          </w:rPr>
          <w:t>https://compin.cerofilas.gob.cl/</w:t>
        </w:r>
      </w:hyperlink>
      <w:hyperlink r:id="rId7" w:history="1"/>
      <w:r w:rsidRPr="004F0EC4">
        <w:rPr>
          <w:rtl/>
        </w:rPr>
        <w:t>.</w:t>
      </w:r>
    </w:p>
  </w:footnote>
  <w:footnote w:id="11">
    <w:p w14:paraId="12CC69F4" w14:textId="77777777" w:rsidR="00C00FE8" w:rsidRPr="004F0EC4" w:rsidRDefault="00C00FE8" w:rsidP="00C00FE8">
      <w:pPr>
        <w:pStyle w:val="FootnoteText1"/>
        <w:rPr>
          <w:spacing w:val="-6"/>
        </w:rPr>
      </w:pPr>
      <w:r w:rsidRPr="004F0EC4">
        <w:rPr>
          <w:spacing w:val="-6"/>
          <w:rtl/>
        </w:rPr>
        <w:t>(</w:t>
      </w:r>
      <w:r w:rsidRPr="004F0EC4">
        <w:rPr>
          <w:spacing w:val="-6"/>
        </w:rPr>
        <w:footnoteRef/>
      </w:r>
      <w:r w:rsidRPr="004F0EC4">
        <w:rPr>
          <w:spacing w:val="-6"/>
          <w:rtl/>
        </w:rPr>
        <w:t>)</w:t>
      </w:r>
      <w:r w:rsidRPr="004F0EC4">
        <w:rPr>
          <w:spacing w:val="-6"/>
          <w:rtl/>
        </w:rPr>
        <w:tab/>
      </w:r>
      <w:hyperlink r:id="rId8" w:history="1">
        <w:r w:rsidRPr="004F0EC4">
          <w:rPr>
            <w:rStyle w:val="Hyperlink"/>
            <w:spacing w:val="-6"/>
          </w:rPr>
          <w:t>https://www.senadis.gob.cl/pag/579/1901/diagnostico_del_plan_nacional_de_calificacion_y_certificacion</w:t>
        </w:r>
      </w:hyperlink>
      <w:r w:rsidRPr="004F0EC4">
        <w:rPr>
          <w:spacing w:val="-6"/>
          <w:rtl/>
        </w:rPr>
        <w:t>.</w:t>
      </w:r>
    </w:p>
  </w:footnote>
  <w:footnote w:id="12">
    <w:p w14:paraId="47097AD6"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9" w:history="1">
        <w:r w:rsidRPr="004F0EC4">
          <w:rPr>
            <w:rStyle w:val="Hyperlink"/>
          </w:rPr>
          <w:t>https://milicenciamedica.cl/assets/pdf/MANUAL_CALIFICACION_Y_</w:t>
        </w:r>
        <w:r w:rsidRPr="004F0EC4">
          <w:rPr>
            <w:rStyle w:val="Hyperlink"/>
          </w:rPr>
          <w:br/>
          <w:t>CERTIFICACION_DISCAPACIDAD_2022.pdf</w:t>
        </w:r>
      </w:hyperlink>
      <w:r w:rsidRPr="004F0EC4">
        <w:rPr>
          <w:rtl/>
        </w:rPr>
        <w:t>.</w:t>
      </w:r>
    </w:p>
  </w:footnote>
  <w:footnote w:id="13">
    <w:p w14:paraId="51BA46FC"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0" w:history="1">
        <w:r w:rsidRPr="004F0EC4">
          <w:rPr>
            <w:rStyle w:val="Hyperlink"/>
          </w:rPr>
          <w:t>http://bcn.cl/2irkh</w:t>
        </w:r>
      </w:hyperlink>
      <w:r w:rsidRPr="004F0EC4">
        <w:rPr>
          <w:rtl/>
        </w:rPr>
        <w:t>.</w:t>
      </w:r>
    </w:p>
  </w:footnote>
  <w:footnote w:id="14">
    <w:p w14:paraId="72420E9B"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1" w:history="1">
        <w:r w:rsidRPr="004F0EC4">
          <w:rPr>
            <w:rStyle w:val="Hyperlink"/>
          </w:rPr>
          <w:t>http://bcn.cl/2ltmx</w:t>
        </w:r>
      </w:hyperlink>
      <w:r w:rsidRPr="004F0EC4">
        <w:rPr>
          <w:rtl/>
        </w:rPr>
        <w:t>.</w:t>
      </w:r>
    </w:p>
  </w:footnote>
  <w:footnote w:id="15">
    <w:p w14:paraId="6B374113" w14:textId="77777777" w:rsidR="00C00FE8" w:rsidRPr="004F0EC4" w:rsidRDefault="00C00FE8" w:rsidP="00C00FE8">
      <w:pPr>
        <w:pStyle w:val="FootnoteText1"/>
        <w:rPr>
          <w:rFonts w:hint="cs"/>
        </w:rPr>
      </w:pPr>
      <w:r w:rsidRPr="004F0EC4">
        <w:rPr>
          <w:rtl/>
        </w:rPr>
        <w:t>(</w:t>
      </w:r>
      <w:r w:rsidRPr="004F0EC4">
        <w:footnoteRef/>
      </w:r>
      <w:r w:rsidRPr="004F0EC4">
        <w:rPr>
          <w:rtl/>
        </w:rPr>
        <w:t>)</w:t>
      </w:r>
      <w:r w:rsidRPr="004F0EC4">
        <w:rPr>
          <w:rtl/>
        </w:rPr>
        <w:tab/>
      </w:r>
      <w:hyperlink r:id="rId12" w:history="1">
        <w:r w:rsidRPr="004F0EC4">
          <w:rPr>
            <w:rStyle w:val="Hyperlink"/>
          </w:rPr>
          <w:t>https://www.senadis.gob.cl/pag/637/1945/campana_mi_decision_mi_credencial</w:t>
        </w:r>
      </w:hyperlink>
      <w:r w:rsidRPr="004F0EC4">
        <w:rPr>
          <w:rtl/>
        </w:rPr>
        <w:t>.</w:t>
      </w:r>
    </w:p>
  </w:footnote>
  <w:footnote w:id="16">
    <w:p w14:paraId="41C85DFA"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3" w:history="1">
        <w:r w:rsidRPr="004F0EC4">
          <w:rPr>
            <w:rStyle w:val="Hyperlink"/>
          </w:rPr>
          <w:t>http://bcn.cl/2f9hw</w:t>
        </w:r>
      </w:hyperlink>
      <w:r w:rsidRPr="004F0EC4">
        <w:rPr>
          <w:rtl/>
        </w:rPr>
        <w:t>.</w:t>
      </w:r>
    </w:p>
  </w:footnote>
  <w:footnote w:id="17">
    <w:p w14:paraId="3ECA2533"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4" w:history="1">
        <w:r w:rsidRPr="004F0EC4">
          <w:rPr>
            <w:rStyle w:val="Hyperlink"/>
          </w:rPr>
          <w:t>https://www.bcn.cl/leychile/consulta/vinculaciones/reglamento?idNorma=1103997</w:t>
        </w:r>
        <w:r w:rsidRPr="004F0EC4">
          <w:rPr>
            <w:rStyle w:val="Hyperlink"/>
          </w:rPr>
          <w:br/>
          <w:t>&amp;</w:t>
        </w:r>
        <w:proofErr w:type="spellStart"/>
        <w:r w:rsidRPr="004F0EC4">
          <w:rPr>
            <w:rStyle w:val="Hyperlink"/>
          </w:rPr>
          <w:t>fechaVigencia</w:t>
        </w:r>
        <w:proofErr w:type="spellEnd"/>
        <w:r w:rsidRPr="004F0EC4">
          <w:rPr>
            <w:rStyle w:val="Hyperlink"/>
          </w:rPr>
          <w:t>=2018-04-01&amp;clase_vinculacion=REGLAMENTO</w:t>
        </w:r>
      </w:hyperlink>
      <w:r w:rsidRPr="004F0EC4">
        <w:rPr>
          <w:rtl/>
        </w:rPr>
        <w:t>.</w:t>
      </w:r>
    </w:p>
  </w:footnote>
  <w:footnote w:id="18">
    <w:p w14:paraId="6C01E626"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5" w:history="1">
        <w:r w:rsidRPr="004F0EC4">
          <w:rPr>
            <w:rStyle w:val="Hyperlink"/>
          </w:rPr>
          <w:t>https://www.senadis.gob.cl/pag/459/1740/consulta_ciudadana_ano_2017_proceso_cerrado</w:t>
        </w:r>
      </w:hyperlink>
      <w:r w:rsidRPr="004F0EC4">
        <w:rPr>
          <w:rtl/>
        </w:rPr>
        <w:t>.</w:t>
      </w:r>
    </w:p>
  </w:footnote>
  <w:footnote w:id="19">
    <w:p w14:paraId="1FE72ABB"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6" w:history="1">
        <w:r w:rsidRPr="004F0EC4">
          <w:rPr>
            <w:rStyle w:val="Hyperlink"/>
          </w:rPr>
          <w:t>https://www.senadis.gob.cl/sala_prensa/d/noticias/6885</w:t>
        </w:r>
      </w:hyperlink>
      <w:r w:rsidRPr="004F0EC4">
        <w:rPr>
          <w:rtl/>
        </w:rPr>
        <w:t>.</w:t>
      </w:r>
    </w:p>
  </w:footnote>
  <w:footnote w:id="20">
    <w:p w14:paraId="025F0335"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7" w:history="1">
        <w:r w:rsidRPr="004F0EC4">
          <w:rPr>
            <w:rStyle w:val="Hyperlink"/>
          </w:rPr>
          <w:t>https://www.senadis.gob.cl/sala_prensa/d/noticias/6727</w:t>
        </w:r>
      </w:hyperlink>
      <w:r w:rsidRPr="004F0EC4">
        <w:rPr>
          <w:rtl/>
        </w:rPr>
        <w:t>.</w:t>
      </w:r>
    </w:p>
  </w:footnote>
  <w:footnote w:id="21">
    <w:p w14:paraId="120AAF5F" w14:textId="064B1E83" w:rsidR="00C00FE8" w:rsidRPr="004F0EC4" w:rsidRDefault="00C00FE8" w:rsidP="00C00FE8">
      <w:pPr>
        <w:pStyle w:val="FootnoteText1"/>
        <w:rPr>
          <w:rFonts w:hint="cs"/>
          <w:rtl/>
        </w:rPr>
      </w:pPr>
      <w:r w:rsidRPr="004F0EC4">
        <w:rPr>
          <w:rtl/>
        </w:rPr>
        <w:t>(</w:t>
      </w:r>
      <w:r w:rsidRPr="004F0EC4">
        <w:footnoteRef/>
      </w:r>
      <w:r w:rsidRPr="004F0EC4">
        <w:rPr>
          <w:rtl/>
        </w:rPr>
        <w:t>)</w:t>
      </w:r>
      <w:r w:rsidRPr="004F0EC4">
        <w:rPr>
          <w:rtl/>
        </w:rPr>
        <w:tab/>
        <w:t xml:space="preserve">كان الهدف من هذه المشاورات استطلاع رأي الجمهور في مدى ملاءمة مجموعة الوسائل التقنية التي توفرها </w:t>
      </w:r>
      <w:r w:rsidR="00A27310" w:rsidRPr="004F0EC4">
        <w:rPr>
          <w:rtl/>
        </w:rPr>
        <w:t xml:space="preserve">الدائرة </w:t>
      </w:r>
      <w:r w:rsidRPr="004F0EC4">
        <w:rPr>
          <w:rtl/>
        </w:rPr>
        <w:t>الوطنية لشؤون الأشخاص ذوي الإعاقة، وفي المنتجات الجديدة التي تعزز إدماج الأشخاص ذوي الإعاقة.</w:t>
      </w:r>
    </w:p>
  </w:footnote>
  <w:footnote w:id="22">
    <w:p w14:paraId="3EF67BF2"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كان الهدف جمع آراء الأشخاص ذوي الإعاقة وأفراد أسرهم وأصدقائهم ومقدمي الرعاية والمساعدين الشخصيين والخبراء والمهنيين المعنيين بقضايا الإدماج الاجتماعي فيما يتعلق بخدمات الدعم والتدريب التي تركز على الانتقال إلى الحياة المستقلة.</w:t>
      </w:r>
      <w:r w:rsidRPr="004F0EC4">
        <w:rPr>
          <w:color w:val="0000FF"/>
        </w:rPr>
        <w:t xml:space="preserve"> </w:t>
      </w:r>
      <w:hyperlink r:id="rId18" w:history="1">
        <w:r w:rsidRPr="004F0EC4">
          <w:rPr>
            <w:rStyle w:val="Hyperlink"/>
          </w:rPr>
          <w:t>https://www.senadis.gob.cl/pag/507/1796/consulta_ciudadana_ano_2018_proceso_cerrado</w:t>
        </w:r>
      </w:hyperlink>
      <w:r w:rsidRPr="004F0EC4">
        <w:rPr>
          <w:rtl/>
        </w:rPr>
        <w:t>.</w:t>
      </w:r>
    </w:p>
  </w:footnote>
  <w:footnote w:id="23">
    <w:p w14:paraId="10FDD8BF" w14:textId="77777777" w:rsidR="00C00FE8" w:rsidRPr="004F0EC4" w:rsidRDefault="00C00FE8" w:rsidP="00C00FE8">
      <w:pPr>
        <w:pStyle w:val="FootnoteText1"/>
        <w:rPr>
          <w:spacing w:val="-2"/>
        </w:rPr>
      </w:pPr>
      <w:r w:rsidRPr="004F0EC4">
        <w:rPr>
          <w:rtl/>
        </w:rPr>
        <w:t>(</w:t>
      </w:r>
      <w:r w:rsidRPr="004F0EC4">
        <w:footnoteRef/>
      </w:r>
      <w:r w:rsidRPr="004F0EC4">
        <w:rPr>
          <w:rtl/>
        </w:rPr>
        <w:t>)</w:t>
      </w:r>
      <w:r w:rsidRPr="004F0EC4">
        <w:rPr>
          <w:rtl/>
        </w:rPr>
        <w:tab/>
      </w:r>
      <w:r w:rsidRPr="004F0EC4">
        <w:rPr>
          <w:spacing w:val="-2"/>
          <w:rtl/>
        </w:rPr>
        <w:t>شارك في الاستطلاع ما مجموعه 608 أشخاص، وحُددت عدة مجالات تحتاج إلى تحسين، بما في ذلك توفير مزيد من المعلومات حول التوظيف وتوسيع نطاق خدمات الدعم، مع تأكيد أهمية خدمات التوظيف والمتابعة المستمرة لضمان امتثال القانون.</w:t>
      </w:r>
    </w:p>
  </w:footnote>
  <w:footnote w:id="24">
    <w:p w14:paraId="7570C517"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9" w:history="1">
        <w:r w:rsidRPr="004F0EC4">
          <w:rPr>
            <w:rStyle w:val="Hyperlink"/>
          </w:rPr>
          <w:t>https://www.mintrab.gob.cl/wp-content/uploads/2021/06/INFORME-LEY-N-21.015-PDF.pdf</w:t>
        </w:r>
      </w:hyperlink>
      <w:r w:rsidRPr="004F0EC4">
        <w:rPr>
          <w:rtl/>
        </w:rPr>
        <w:t>.</w:t>
      </w:r>
    </w:p>
  </w:footnote>
  <w:footnote w:id="25">
    <w:p w14:paraId="0245FBEB" w14:textId="77777777" w:rsidR="00C00FE8" w:rsidRPr="004F0EC4" w:rsidRDefault="00C00FE8" w:rsidP="00C00FE8">
      <w:pPr>
        <w:pStyle w:val="FootnoteText1"/>
        <w:rPr>
          <w:rFonts w:hint="cs"/>
          <w:spacing w:val="-2"/>
          <w:rtl/>
        </w:rPr>
      </w:pPr>
      <w:r w:rsidRPr="004F0EC4">
        <w:rPr>
          <w:rtl/>
        </w:rPr>
        <w:t>(</w:t>
      </w:r>
      <w:r w:rsidRPr="004F0EC4">
        <w:footnoteRef/>
      </w:r>
      <w:r w:rsidRPr="004F0EC4">
        <w:rPr>
          <w:rtl/>
        </w:rPr>
        <w:t>)</w:t>
      </w:r>
      <w:r w:rsidRPr="004F0EC4">
        <w:rPr>
          <w:rtl/>
        </w:rPr>
        <w:tab/>
      </w:r>
      <w:hyperlink r:id="rId20" w:history="1">
        <w:r w:rsidRPr="004F0EC4">
          <w:rPr>
            <w:rStyle w:val="Hyperlink"/>
          </w:rPr>
          <w:t>https://masinclusion.org/</w:t>
        </w:r>
      </w:hyperlink>
      <w:hyperlink r:id="rId21" w:history="1">
        <w:r w:rsidRPr="004F0EC4">
          <w:rPr>
            <w:rFonts w:hint="cs"/>
            <w:spacing w:val="-2"/>
            <w:rtl/>
          </w:rPr>
          <w:t>.</w:t>
        </w:r>
      </w:hyperlink>
    </w:p>
  </w:footnote>
  <w:footnote w:id="26">
    <w:p w14:paraId="51DE23E3"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22" w:history="1">
        <w:r w:rsidRPr="004F0EC4">
          <w:rPr>
            <w:rStyle w:val="Hyperlink"/>
          </w:rPr>
          <w:t>http://bcn.cl/2g7mr</w:t>
        </w:r>
      </w:hyperlink>
      <w:r w:rsidRPr="004F0EC4">
        <w:rPr>
          <w:rtl/>
        </w:rPr>
        <w:t>.</w:t>
      </w:r>
    </w:p>
  </w:footnote>
  <w:footnote w:id="27">
    <w:p w14:paraId="52139A2D"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23" w:history="1">
        <w:r w:rsidRPr="004F0EC4">
          <w:rPr>
            <w:rStyle w:val="Hyperlink"/>
          </w:rPr>
          <w:t>http://bcn.cl/33fh9</w:t>
        </w:r>
      </w:hyperlink>
      <w:r w:rsidRPr="004F0EC4">
        <w:rPr>
          <w:rtl/>
        </w:rPr>
        <w:t>.</w:t>
      </w:r>
    </w:p>
  </w:footnote>
  <w:footnote w:id="28">
    <w:p w14:paraId="550E919B"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24" w:history="1">
        <w:r w:rsidRPr="004F0EC4">
          <w:rPr>
            <w:rStyle w:val="Hyperlink"/>
          </w:rPr>
          <w:t>http://bcn.cl/2j5hn</w:t>
        </w:r>
      </w:hyperlink>
      <w:r w:rsidRPr="004F0EC4">
        <w:rPr>
          <w:rtl/>
        </w:rPr>
        <w:t>.</w:t>
      </w:r>
    </w:p>
  </w:footnote>
  <w:footnote w:id="29">
    <w:p w14:paraId="2AF4B84F"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25" w:history="1">
        <w:r w:rsidRPr="004F0EC4">
          <w:rPr>
            <w:rStyle w:val="Hyperlink"/>
          </w:rPr>
          <w:t>http://bcn.cl/3129i</w:t>
        </w:r>
      </w:hyperlink>
      <w:r w:rsidRPr="004F0EC4">
        <w:rPr>
          <w:rtl/>
        </w:rPr>
        <w:t>.</w:t>
      </w:r>
    </w:p>
  </w:footnote>
  <w:footnote w:id="30">
    <w:p w14:paraId="094F6FBE"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26" w:history="1">
        <w:r w:rsidRPr="004F0EC4">
          <w:rPr>
            <w:rStyle w:val="Hyperlink"/>
          </w:rPr>
          <w:t>http://bcn.cl/32rls</w:t>
        </w:r>
      </w:hyperlink>
      <w:r w:rsidRPr="004F0EC4">
        <w:rPr>
          <w:rtl/>
        </w:rPr>
        <w:t>.</w:t>
      </w:r>
    </w:p>
  </w:footnote>
  <w:footnote w:id="31">
    <w:p w14:paraId="477E729D"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27" w:history="1">
        <w:r w:rsidRPr="004F0EC4">
          <w:rPr>
            <w:rStyle w:val="Hyperlink"/>
          </w:rPr>
          <w:t>http://bcn.cl/307il</w:t>
        </w:r>
      </w:hyperlink>
      <w:r w:rsidRPr="004F0EC4">
        <w:rPr>
          <w:rtl/>
        </w:rPr>
        <w:t>.</w:t>
      </w:r>
    </w:p>
  </w:footnote>
  <w:footnote w:id="32">
    <w:p w14:paraId="58FFB96A"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28" w:history="1">
        <w:r w:rsidRPr="004F0EC4">
          <w:rPr>
            <w:rStyle w:val="Hyperlink"/>
          </w:rPr>
          <w:t>http://bcn.cl/2m4k0</w:t>
        </w:r>
      </w:hyperlink>
      <w:r w:rsidRPr="004F0EC4">
        <w:rPr>
          <w:rtl/>
        </w:rPr>
        <w:t>.</w:t>
      </w:r>
    </w:p>
  </w:footnote>
  <w:footnote w:id="33">
    <w:p w14:paraId="6579032E"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29" w:history="1">
        <w:r w:rsidRPr="004F0EC4">
          <w:rPr>
            <w:rStyle w:val="Hyperlink"/>
          </w:rPr>
          <w:t>https://www.camara.cl/legislacion/ProyectosDeLey/tramitacion.aspx?prmID=13286&amp;</w:t>
        </w:r>
        <w:r w:rsidRPr="004F0EC4">
          <w:rPr>
            <w:rStyle w:val="Hyperlink"/>
          </w:rPr>
          <w:br/>
        </w:r>
        <w:proofErr w:type="spellStart"/>
        <w:r w:rsidRPr="004F0EC4">
          <w:rPr>
            <w:rStyle w:val="Hyperlink"/>
          </w:rPr>
          <w:t>amp;prmBOLETIN</w:t>
        </w:r>
        <w:proofErr w:type="spellEnd"/>
        <w:r w:rsidRPr="004F0EC4">
          <w:rPr>
            <w:rStyle w:val="Hyperlink"/>
          </w:rPr>
          <w:t>=12748-17</w:t>
        </w:r>
      </w:hyperlink>
      <w:r w:rsidRPr="004F0EC4">
        <w:rPr>
          <w:rtl/>
        </w:rPr>
        <w:t>.</w:t>
      </w:r>
    </w:p>
  </w:footnote>
  <w:footnote w:id="34">
    <w:p w14:paraId="6E7BD639"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تستحق المادة 2 مكررا</w:t>
      </w:r>
      <w:r w:rsidRPr="004F0EC4">
        <w:rPr>
          <w:rFonts w:hint="cs"/>
          <w:rtl/>
        </w:rPr>
        <w:t>ً</w:t>
      </w:r>
      <w:r w:rsidRPr="004F0EC4">
        <w:rPr>
          <w:rtl/>
        </w:rPr>
        <w:t xml:space="preserve"> من النص التشريعي المقترح اهتماماً خاصاً، حيث إنها توسع نطاق مفهوم التمييز وأشكاله المختلفة، وتفرق بين التمييز المباشر والتمييز غير المباشر، والتمييز الهيكلي، والتمييز المتعدد أو المشدد.</w:t>
      </w:r>
    </w:p>
  </w:footnote>
  <w:footnote w:id="35">
    <w:p w14:paraId="1FD632BC"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30" w:history="1">
        <w:r w:rsidRPr="004F0EC4">
          <w:rPr>
            <w:rStyle w:val="Hyperlink"/>
          </w:rPr>
          <w:t>https://www.senadis.gob.cl/descarga/i/6034/documento</w:t>
        </w:r>
      </w:hyperlink>
      <w:r w:rsidRPr="004F0EC4">
        <w:rPr>
          <w:rtl/>
        </w:rPr>
        <w:t>.</w:t>
      </w:r>
    </w:p>
  </w:footnote>
  <w:footnote w:id="36">
    <w:p w14:paraId="77650AAB" w14:textId="4E4F23BA" w:rsidR="00C00FE8" w:rsidRPr="004F0EC4" w:rsidRDefault="00C00FE8" w:rsidP="00C00FE8">
      <w:pPr>
        <w:pStyle w:val="FootnoteText1"/>
      </w:pPr>
      <w:r w:rsidRPr="004F0EC4">
        <w:rPr>
          <w:rtl/>
        </w:rPr>
        <w:t>(</w:t>
      </w:r>
      <w:r w:rsidRPr="004F0EC4">
        <w:footnoteRef/>
      </w:r>
      <w:r w:rsidRPr="004F0EC4">
        <w:rPr>
          <w:rtl/>
        </w:rPr>
        <w:t>)</w:t>
      </w:r>
      <w:r w:rsidRPr="004F0EC4">
        <w:rPr>
          <w:rtl/>
        </w:rPr>
        <w:tab/>
        <w:t xml:space="preserve">وقد تم توفير تدريب على استخدام هذا الدليل على الصعيدين الوطني والإقليمي لمؤسسات </w:t>
      </w:r>
      <w:r w:rsidR="00E22186" w:rsidRPr="004F0EC4">
        <w:rPr>
          <w:rFonts w:hint="cs"/>
          <w:rtl/>
        </w:rPr>
        <w:t>"</w:t>
      </w:r>
      <w:r w:rsidRPr="004F0EC4">
        <w:rPr>
          <w:rtl/>
        </w:rPr>
        <w:t>شبكة دعم الضحايا</w:t>
      </w:r>
      <w:r w:rsidR="00E22186" w:rsidRPr="004F0EC4">
        <w:rPr>
          <w:rFonts w:hint="cs"/>
          <w:rtl/>
        </w:rPr>
        <w:t>"</w:t>
      </w:r>
      <w:r w:rsidRPr="004F0EC4">
        <w:rPr>
          <w:rtl/>
        </w:rPr>
        <w:t xml:space="preserve">، وهي: النيابة العامة، والسلطة القضائية، والهيئة الوطنية لشؤون المرأة والمساواة بين الجنسين، والدائرة الوطنية للقاصرين، ووزارة العدل وحقوق الإنسان. في تشرين الثاني/نوفمبر 2020، قامت </w:t>
      </w:r>
      <w:r w:rsidR="00E22186" w:rsidRPr="004F0EC4">
        <w:rPr>
          <w:rFonts w:hint="cs"/>
          <w:rtl/>
        </w:rPr>
        <w:t>"</w:t>
      </w:r>
      <w:r w:rsidRPr="004F0EC4">
        <w:rPr>
          <w:rtl/>
        </w:rPr>
        <w:t>الخدمة الوطنية للأشخاص ذوي الإعاقة</w:t>
      </w:r>
      <w:r w:rsidR="00E22186" w:rsidRPr="004F0EC4">
        <w:rPr>
          <w:rFonts w:hint="cs"/>
          <w:rtl/>
        </w:rPr>
        <w:t>"</w:t>
      </w:r>
      <w:r w:rsidRPr="004F0EC4">
        <w:rPr>
          <w:rtl/>
        </w:rPr>
        <w:t xml:space="preserve"> بتوزيع الدليل على المحامين العاملين في </w:t>
      </w:r>
      <w:r w:rsidR="00E22186" w:rsidRPr="004F0EC4">
        <w:rPr>
          <w:rFonts w:hint="cs"/>
          <w:rtl/>
        </w:rPr>
        <w:t>"</w:t>
      </w:r>
      <w:r w:rsidRPr="004F0EC4">
        <w:rPr>
          <w:rtl/>
        </w:rPr>
        <w:t>برنامج الوصول إلى العدالة</w:t>
      </w:r>
      <w:r w:rsidR="00E22186" w:rsidRPr="004F0EC4">
        <w:rPr>
          <w:rFonts w:hint="cs"/>
          <w:rtl/>
        </w:rPr>
        <w:t>"</w:t>
      </w:r>
      <w:r w:rsidRPr="004F0EC4">
        <w:rPr>
          <w:rtl/>
        </w:rPr>
        <w:t xml:space="preserve"> المخصص للأشخاص ذوي الإعاقة.</w:t>
      </w:r>
    </w:p>
  </w:footnote>
  <w:footnote w:id="37">
    <w:p w14:paraId="7A57410C"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31" w:history="1">
        <w:r w:rsidRPr="004F0EC4">
          <w:rPr>
            <w:rStyle w:val="Hyperlink"/>
          </w:rPr>
          <w:t>http://www.senado.cl/appsenado/templates/tramitacion/index.php?boletin_ini=11077-07</w:t>
        </w:r>
      </w:hyperlink>
      <w:r w:rsidRPr="004F0EC4">
        <w:rPr>
          <w:rtl/>
        </w:rPr>
        <w:t>.</w:t>
      </w:r>
    </w:p>
  </w:footnote>
  <w:footnote w:id="38">
    <w:p w14:paraId="00675E2D"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r w:rsidRPr="004F0EC4">
        <w:rPr>
          <w:spacing w:val="-2"/>
          <w:rtl/>
        </w:rPr>
        <w:t>على الرغم من أن مسودة النص التي تم الاتفاق عليها في القراءة الأولى لا تتضمن صراحةً مفهوم التقاطعية، إلا أن هناك إشارات</w:t>
      </w:r>
      <w:r w:rsidRPr="004F0EC4">
        <w:rPr>
          <w:rtl/>
        </w:rPr>
        <w:t xml:space="preserve"> غير مباشرة إليه.</w:t>
      </w:r>
    </w:p>
  </w:footnote>
  <w:footnote w:id="39">
    <w:p w14:paraId="18949EB8"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32" w:history="1">
        <w:r w:rsidRPr="004F0EC4">
          <w:rPr>
            <w:rStyle w:val="Hyperlink"/>
          </w:rPr>
          <w:t>http://bcn.cl/2yieq</w:t>
        </w:r>
      </w:hyperlink>
      <w:r w:rsidRPr="004F0EC4">
        <w:rPr>
          <w:rtl/>
        </w:rPr>
        <w:t>.</w:t>
      </w:r>
    </w:p>
  </w:footnote>
  <w:footnote w:id="40">
    <w:p w14:paraId="1899BF6E"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33" w:history="1">
        <w:r w:rsidRPr="004F0EC4">
          <w:rPr>
            <w:rStyle w:val="Hyperlink"/>
          </w:rPr>
          <w:t>https://www.senadis.gob.cl/sala_prensa/d/noticias/8268/senadis-y-servicio-civil-lanzan-cursos-sobre-inclusion-de-personas-con-discapacidad-para-funcionarios-publicos</w:t>
        </w:r>
      </w:hyperlink>
      <w:r w:rsidRPr="004F0EC4">
        <w:rPr>
          <w:rtl/>
        </w:rPr>
        <w:t>.</w:t>
      </w:r>
    </w:p>
  </w:footnote>
  <w:footnote w:id="41">
    <w:p w14:paraId="5D51A4D9"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34" w:history="1">
        <w:r w:rsidRPr="004F0EC4">
          <w:rPr>
            <w:rStyle w:val="Hyperlink"/>
          </w:rPr>
          <w:t>https://academia.senadis.cl/?utm_source=serviciocivil&amp;utm_medium=tarjeta&amp;utm_</w:t>
        </w:r>
        <w:r w:rsidRPr="004F0EC4">
          <w:rPr>
            <w:rStyle w:val="Hyperlink"/>
          </w:rPr>
          <w:br/>
          <w:t>campaign=campus</w:t>
        </w:r>
      </w:hyperlink>
      <w:r w:rsidRPr="004F0EC4">
        <w:rPr>
          <w:rtl/>
        </w:rPr>
        <w:t>.</w:t>
      </w:r>
    </w:p>
  </w:footnote>
  <w:footnote w:id="42">
    <w:p w14:paraId="202E0C94"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35" w:history="1">
        <w:r w:rsidRPr="004F0EC4">
          <w:rPr>
            <w:rStyle w:val="Hyperlink"/>
          </w:rPr>
          <w:t>https://masinclusion.org/</w:t>
        </w:r>
      </w:hyperlink>
      <w:hyperlink r:id="rId36" w:history="1"/>
      <w:r w:rsidRPr="004F0EC4">
        <w:rPr>
          <w:rtl/>
        </w:rPr>
        <w:t>.</w:t>
      </w:r>
    </w:p>
  </w:footnote>
  <w:footnote w:id="43">
    <w:p w14:paraId="21A55D76"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37" w:history="1">
        <w:r w:rsidRPr="004F0EC4">
          <w:rPr>
            <w:rStyle w:val="Hyperlink"/>
          </w:rPr>
          <w:t>https://incluyendo.senadis.cl/</w:t>
        </w:r>
      </w:hyperlink>
      <w:hyperlink r:id="rId38" w:history="1"/>
      <w:r w:rsidRPr="004F0EC4">
        <w:rPr>
          <w:rtl/>
        </w:rPr>
        <w:t>.</w:t>
      </w:r>
    </w:p>
  </w:footnote>
  <w:footnote w:id="44">
    <w:p w14:paraId="5FFF4D95"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r w:rsidRPr="004F0EC4">
        <w:rPr>
          <w:spacing w:val="-2"/>
          <w:rtl/>
        </w:rPr>
        <w:t xml:space="preserve">منصة إلكترونية أنشأها أشخاص من ذوي الإعاقة وغير ذوي الإعاقة بهدف بناء مجموعة لتبادل الأخبار ومقاطع الفيديو والشهادات </w:t>
      </w:r>
      <w:r w:rsidRPr="004F0EC4">
        <w:rPr>
          <w:rtl/>
        </w:rPr>
        <w:t>والتقارير والمعلومات المتعلقة بعالم الإعاقة.</w:t>
      </w:r>
    </w:p>
  </w:footnote>
  <w:footnote w:id="45">
    <w:p w14:paraId="60504589"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39" w:history="1">
        <w:r w:rsidRPr="004F0EC4">
          <w:rPr>
            <w:rStyle w:val="Hyperlink"/>
          </w:rPr>
          <w:t>http://bcn.cl/2irkh</w:t>
        </w:r>
      </w:hyperlink>
      <w:r w:rsidRPr="004F0EC4">
        <w:rPr>
          <w:rtl/>
        </w:rPr>
        <w:t>.</w:t>
      </w:r>
    </w:p>
  </w:footnote>
  <w:footnote w:id="46">
    <w:p w14:paraId="02889501" w14:textId="7116C9DF" w:rsidR="00C00FE8" w:rsidRPr="004F0EC4" w:rsidRDefault="00C00FE8" w:rsidP="00C00FE8">
      <w:pPr>
        <w:pStyle w:val="FootnoteText1"/>
      </w:pPr>
      <w:r w:rsidRPr="004F0EC4">
        <w:rPr>
          <w:rtl/>
        </w:rPr>
        <w:t>(</w:t>
      </w:r>
      <w:r w:rsidRPr="004F0EC4">
        <w:footnoteRef/>
      </w:r>
      <w:r w:rsidRPr="004F0EC4">
        <w:rPr>
          <w:rtl/>
        </w:rPr>
        <w:t>)</w:t>
      </w:r>
      <w:r w:rsidRPr="004F0EC4">
        <w:rPr>
          <w:rtl/>
        </w:rPr>
        <w:tab/>
        <w:t>المرفق 2</w:t>
      </w:r>
      <w:r w:rsidR="00A27310" w:rsidRPr="004F0EC4">
        <w:rPr>
          <w:rFonts w:hint="cs"/>
          <w:rtl/>
        </w:rPr>
        <w:t>.</w:t>
      </w:r>
    </w:p>
  </w:footnote>
  <w:footnote w:id="47">
    <w:p w14:paraId="4077359D" w14:textId="5426D719" w:rsidR="00A27310" w:rsidRPr="004F0EC4" w:rsidRDefault="00A27310" w:rsidP="00A27310">
      <w:pPr>
        <w:pStyle w:val="FootnoteText1"/>
      </w:pPr>
      <w:r w:rsidRPr="004F0EC4">
        <w:rPr>
          <w:rtl/>
        </w:rPr>
        <w:t>(</w:t>
      </w:r>
      <w:r w:rsidRPr="004F0EC4">
        <w:footnoteRef/>
      </w:r>
      <w:r w:rsidRPr="004F0EC4">
        <w:rPr>
          <w:rtl/>
        </w:rPr>
        <w:t>)</w:t>
      </w:r>
      <w:r w:rsidRPr="004F0EC4">
        <w:rPr>
          <w:rtl/>
        </w:rPr>
        <w:tab/>
      </w:r>
      <w:hyperlink r:id="rId40" w:history="1">
        <w:r w:rsidRPr="004F0EC4">
          <w:rPr>
            <w:rStyle w:val="Hyperlink"/>
          </w:rPr>
          <w:t>https://www.senadis.gob.cl/pag/509/1798/campana_buen_trato_de_ninas_</w:t>
        </w:r>
        <w:r w:rsidRPr="004F0EC4">
          <w:rPr>
            <w:rStyle w:val="Hyperlink"/>
          </w:rPr>
          <w:br/>
        </w:r>
        <w:proofErr w:type="spellStart"/>
        <w:r w:rsidRPr="004F0EC4">
          <w:rPr>
            <w:rStyle w:val="Hyperlink"/>
          </w:rPr>
          <w:t>ninos_y_adolescentes_con_discapacidad_en_el_mundo</w:t>
        </w:r>
        <w:proofErr w:type="spellEnd"/>
      </w:hyperlink>
      <w:r w:rsidRPr="004F0EC4">
        <w:rPr>
          <w:rtl/>
        </w:rPr>
        <w:t>.</w:t>
      </w:r>
    </w:p>
  </w:footnote>
  <w:footnote w:id="48">
    <w:p w14:paraId="5637912D"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41" w:history="1">
        <w:r w:rsidRPr="004F0EC4">
          <w:rPr>
            <w:rStyle w:val="Hyperlink"/>
          </w:rPr>
          <w:t>https://observatorio.msgg.gob.cl/las-palabras-correctas-hacen-la-diferencia/</w:t>
        </w:r>
      </w:hyperlink>
      <w:hyperlink r:id="rId42" w:history="1"/>
      <w:r w:rsidRPr="004F0EC4">
        <w:rPr>
          <w:rtl/>
        </w:rPr>
        <w:t>.</w:t>
      </w:r>
    </w:p>
  </w:footnote>
  <w:footnote w:id="49">
    <w:p w14:paraId="2CC93CB9"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 xml:space="preserve">تعمل هذه اللجان على جمع آراء أعضائها وممثلي منظمات الأشخاص ذوي الإعاقة أو المنظمات العاملة من أجلهم </w:t>
      </w:r>
      <w:r w:rsidRPr="004F0EC4">
        <w:rPr>
          <w:rFonts w:hint="cs"/>
          <w:rtl/>
        </w:rPr>
        <w:t xml:space="preserve">            </w:t>
      </w:r>
      <w:r w:rsidRPr="004F0EC4">
        <w:rPr>
          <w:rtl/>
        </w:rPr>
        <w:t xml:space="preserve">فيما يتعلق بتصميم وتنفيذ برامج الخدمات والسياسات. ويمكن الاطلاع على محاضر الجلسات في </w:t>
      </w:r>
      <w:hyperlink r:id="rId43" w:history="1">
        <w:r w:rsidRPr="004F0EC4">
          <w:rPr>
            <w:rStyle w:val="Hyperlink"/>
          </w:rPr>
          <w:t>https://www.senadis.gob.cl/pag/390/1654/actas_de_sesiones_ano_2015_2019</w:t>
        </w:r>
      </w:hyperlink>
      <w:r w:rsidRPr="004F0EC4">
        <w:rPr>
          <w:rFonts w:hint="cs"/>
          <w:color w:val="0000FF"/>
          <w:rtl/>
        </w:rPr>
        <w:t xml:space="preserve"> و</w:t>
      </w:r>
      <w:hyperlink r:id="rId44" w:history="1">
        <w:r w:rsidRPr="004F0EC4">
          <w:rPr>
            <w:rStyle w:val="Hyperlink"/>
          </w:rPr>
          <w:t>https://www.senadis.gob.cl/pag/629/1971/actas_de_sesiones_ano_2021_2024</w:t>
        </w:r>
      </w:hyperlink>
      <w:r w:rsidRPr="004F0EC4">
        <w:rPr>
          <w:rtl/>
        </w:rPr>
        <w:t xml:space="preserve">. ويمكن الاطلاع على محاضر اجتماعات اللجان في </w:t>
      </w:r>
      <w:hyperlink r:id="rId45" w:history="1">
        <w:r w:rsidRPr="004F0EC4">
          <w:rPr>
            <w:rStyle w:val="Hyperlink"/>
          </w:rPr>
          <w:t>https://www.senadis.gob.cl/pag/194/1427/descripcion</w:t>
        </w:r>
      </w:hyperlink>
      <w:r w:rsidRPr="004F0EC4">
        <w:rPr>
          <w:rtl/>
        </w:rPr>
        <w:t>. دعوة لتقديم المرشحين للانضمام إلى لجان المجتمع المدني الإقليمية متاحة في</w:t>
      </w:r>
      <w:r w:rsidRPr="004F0EC4">
        <w:rPr>
          <w:rFonts w:hint="cs"/>
          <w:rtl/>
        </w:rPr>
        <w:t xml:space="preserve"> </w:t>
      </w:r>
      <w:hyperlink r:id="rId46" w:history="1">
        <w:r w:rsidRPr="004F0EC4">
          <w:rPr>
            <w:rStyle w:val="Hyperlink"/>
          </w:rPr>
          <w:t>https://www.senadis.gob.cl/pag/603/1903/convocatoria_2021_consejos_regionales_de_la_sociedad_civil</w:t>
        </w:r>
      </w:hyperlink>
      <w:r w:rsidRPr="004F0EC4">
        <w:rPr>
          <w:rtl/>
        </w:rPr>
        <w:t xml:space="preserve">. يمكن الاطلاع على الدعوة لتقديم المرشحين للانضمام إلى اللجنة الاستشارية الوطنية لشؤون الإعاقة في </w:t>
      </w:r>
      <w:hyperlink r:id="rId47" w:history="1">
        <w:r w:rsidRPr="004F0EC4">
          <w:rPr>
            <w:rStyle w:val="Hyperlink"/>
          </w:rPr>
          <w:t>https://www.senadis.gob.cl/pag/348/1612/avisos_publicados</w:t>
        </w:r>
      </w:hyperlink>
      <w:r w:rsidRPr="004F0EC4">
        <w:rPr>
          <w:rtl/>
        </w:rPr>
        <w:t>.</w:t>
      </w:r>
    </w:p>
  </w:footnote>
  <w:footnote w:id="50">
    <w:p w14:paraId="3F2B42B9"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لمزيد من المعلومات، يرجى زيارة الموقع</w:t>
      </w:r>
      <w:r w:rsidRPr="004F0EC4">
        <w:rPr>
          <w:rFonts w:hint="cs"/>
          <w:rtl/>
        </w:rPr>
        <w:t xml:space="preserve"> </w:t>
      </w:r>
      <w:hyperlink r:id="rId48" w:history="1">
        <w:r w:rsidRPr="004F0EC4">
          <w:rPr>
            <w:rStyle w:val="Hyperlink"/>
          </w:rPr>
          <w:t>https://paisdi.senadis.cl/</w:t>
        </w:r>
      </w:hyperlink>
      <w:r w:rsidRPr="004F0EC4">
        <w:rPr>
          <w:rtl/>
        </w:rPr>
        <w:t>.</w:t>
      </w:r>
    </w:p>
  </w:footnote>
  <w:footnote w:id="51">
    <w:p w14:paraId="79AB91EA"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تتألف هذه المبادرة من عنصرين: تصميم وإنشاء مدارس إقليمية لتوفير التدريب القيادي للأشخاص ذوي الإعاقات الذهنية من منظور قائم على الحقوق وعلى اعتبارات الإعاقة الذهنية؛ وإنشاء لجان محلية معنية بالإعاقة الذهنية.</w:t>
      </w:r>
    </w:p>
  </w:footnote>
  <w:footnote w:id="52">
    <w:p w14:paraId="4609AEA0"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 xml:space="preserve">انظر </w:t>
      </w:r>
      <w:hyperlink r:id="rId49" w:history="1">
        <w:r w:rsidRPr="004F0EC4">
          <w:rPr>
            <w:rStyle w:val="Hyperlink"/>
          </w:rPr>
          <w:t>https://www.senadis.gob.cl/sala_prensa/d/noticias/8052/</w:t>
        </w:r>
      </w:hyperlink>
      <w:hyperlink r:id="rId50" w:history="1"/>
      <w:r w:rsidRPr="004F0EC4">
        <w:rPr>
          <w:rtl/>
        </w:rPr>
        <w:t>.</w:t>
      </w:r>
    </w:p>
  </w:footnote>
  <w:footnote w:id="53">
    <w:p w14:paraId="7C7D0A43"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شارك في هذا الحدث أكثر من 200 ممثل عن منظمات الأشخاص ذوي الإعاقة أو المنظمات العاملة من أجلهم من جميع المناطق. وقد أُدرجت هذه الاستنتاجات في منصة "</w:t>
      </w:r>
      <w:hyperlink r:id="rId51" w:history="1">
        <w:r w:rsidRPr="004F0EC4">
          <w:rPr>
            <w:rStyle w:val="Hyperlink"/>
          </w:rPr>
          <w:t>www.chilequequeremos.cl</w:t>
        </w:r>
      </w:hyperlink>
      <w:r w:rsidRPr="004F0EC4">
        <w:rPr>
          <w:rtl/>
        </w:rPr>
        <w:t xml:space="preserve">". وأعلن عن هذا الحدث في وسائل التواصل الاجتماعي وفي الموقع الشبكي للدائرة الوطنية لشؤون الأشخاص ذوي الإعاقة. انظر </w:t>
      </w:r>
      <w:hyperlink r:id="rId52" w:history="1">
        <w:r w:rsidRPr="004F0EC4">
          <w:rPr>
            <w:rStyle w:val="Hyperlink"/>
          </w:rPr>
          <w:t>https://www.senadis.gob.cl/sala_prensa/d/noticias/8147</w:t>
        </w:r>
      </w:hyperlink>
      <w:r w:rsidRPr="004F0EC4">
        <w:rPr>
          <w:rtl/>
        </w:rPr>
        <w:t xml:space="preserve">، </w:t>
      </w:r>
      <w:hyperlink r:id="rId53" w:history="1">
        <w:r w:rsidRPr="004F0EC4">
          <w:rPr>
            <w:rStyle w:val="Hyperlink"/>
          </w:rPr>
          <w:t>https://www.senadis.gob.cl/sala_prensa/d/noticias/8140</w:t>
        </w:r>
      </w:hyperlink>
      <w:r w:rsidRPr="004F0EC4">
        <w:rPr>
          <w:rtl/>
        </w:rPr>
        <w:t xml:space="preserve">، </w:t>
      </w:r>
      <w:hyperlink r:id="rId54" w:history="1">
        <w:r w:rsidRPr="004F0EC4">
          <w:rPr>
            <w:rStyle w:val="Hyperlink"/>
          </w:rPr>
          <w:t>https://www.senadis.gob.cl/sala_prensa/d/noticias/8169</w:t>
        </w:r>
      </w:hyperlink>
      <w:r w:rsidRPr="004F0EC4">
        <w:rPr>
          <w:rtl/>
        </w:rPr>
        <w:t xml:space="preserve">، </w:t>
      </w:r>
      <w:hyperlink r:id="rId55" w:history="1">
        <w:r w:rsidRPr="004F0EC4">
          <w:rPr>
            <w:rStyle w:val="Hyperlink"/>
          </w:rPr>
          <w:t>https://www.senadis.gob.cl/sala_prensa/d/noticias/8133</w:t>
        </w:r>
      </w:hyperlink>
      <w:r w:rsidRPr="004F0EC4">
        <w:rPr>
          <w:rtl/>
        </w:rPr>
        <w:t xml:space="preserve">، </w:t>
      </w:r>
      <w:hyperlink r:id="rId56" w:history="1">
        <w:r w:rsidRPr="004F0EC4">
          <w:rPr>
            <w:rStyle w:val="Hyperlink"/>
          </w:rPr>
          <w:t>https://www.senadis.gob.cl/sala_prensa/d/noticias/8146</w:t>
        </w:r>
      </w:hyperlink>
      <w:r w:rsidRPr="004F0EC4">
        <w:rPr>
          <w:rtl/>
        </w:rPr>
        <w:t>.</w:t>
      </w:r>
    </w:p>
  </w:footnote>
  <w:footnote w:id="54">
    <w:p w14:paraId="63FF99E2"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57" w:history="1">
        <w:r w:rsidRPr="004F0EC4">
          <w:rPr>
            <w:rStyle w:val="Hyperlink"/>
          </w:rPr>
          <w:t>https://www.senadis.gob.cl/descarga/i/4722/documento</w:t>
        </w:r>
      </w:hyperlink>
      <w:r w:rsidRPr="004F0EC4">
        <w:rPr>
          <w:rtl/>
        </w:rPr>
        <w:t>.</w:t>
      </w:r>
    </w:p>
  </w:footnote>
  <w:footnote w:id="55">
    <w:p w14:paraId="5FBF6285"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58" w:history="1">
        <w:r w:rsidRPr="004F0EC4">
          <w:rPr>
            <w:rStyle w:val="Hyperlink"/>
          </w:rPr>
          <w:t>https://bcn.cl/2to97</w:t>
        </w:r>
      </w:hyperlink>
      <w:r w:rsidRPr="004F0EC4">
        <w:rPr>
          <w:rtl/>
        </w:rPr>
        <w:t>.</w:t>
      </w:r>
    </w:p>
  </w:footnote>
  <w:footnote w:id="56">
    <w:p w14:paraId="4C3365FA"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r w:rsidRPr="004F0EC4">
        <w:rPr>
          <w:spacing w:val="-4"/>
          <w:rtl/>
        </w:rPr>
        <w:t>تتألف من 15 شخصاً – من بينهم أشخاص ذوو إعاقة – وهم من الخبراء في مجال تيسير الوصول وممثلون عن منظمات الأشخاص</w:t>
      </w:r>
      <w:r w:rsidRPr="004F0EC4">
        <w:rPr>
          <w:rtl/>
        </w:rPr>
        <w:t xml:space="preserve"> ذوي الإعاقة أو المنظمات العاملة من أجلهم من جميع المناطق، والجامعات، والجمعيات البلدية.</w:t>
      </w:r>
    </w:p>
  </w:footnote>
  <w:footnote w:id="57">
    <w:p w14:paraId="6ADC039B"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تتضمن الخطة 120 إجراءً من المقرر تنفيذها على مدى فترات مدتها 3 و5 و10 سنوات، وتركز على 13 مجالاً ذا أولوية. كما</w:t>
      </w:r>
      <w:r w:rsidRPr="004F0EC4">
        <w:rPr>
          <w:rFonts w:hint="cs"/>
          <w:rtl/>
        </w:rPr>
        <w:t> </w:t>
      </w:r>
      <w:r w:rsidRPr="004F0EC4">
        <w:rPr>
          <w:rtl/>
        </w:rPr>
        <w:t>تتضمن مقترحات لتنسيق الإجراءات الرامية إلى ضمان امتثال اللوائح القائمة المتعلقة بإتاحة إمكانية الوصول للجميع، والاستثمار في تحسين المناطق الحضرية على المستوى البلدي، فضلاً عن مقترحات تتعلق بإدارة الخطة وحوكمتها.</w:t>
      </w:r>
    </w:p>
  </w:footnote>
  <w:footnote w:id="58">
    <w:p w14:paraId="15833EB5"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59" w:history="1">
        <w:r w:rsidRPr="004F0EC4">
          <w:rPr>
            <w:rStyle w:val="Hyperlink"/>
          </w:rPr>
          <w:t>https://bcn.cl/33fh9</w:t>
        </w:r>
      </w:hyperlink>
      <w:r w:rsidRPr="004F0EC4">
        <w:rPr>
          <w:rtl/>
        </w:rPr>
        <w:t>.</w:t>
      </w:r>
    </w:p>
  </w:footnote>
  <w:footnote w:id="59">
    <w:p w14:paraId="670960B8"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60" w:history="1">
        <w:r w:rsidRPr="004F0EC4">
          <w:rPr>
            <w:rStyle w:val="Hyperlink"/>
          </w:rPr>
          <w:t>https://bcn.cl/34jpb</w:t>
        </w:r>
      </w:hyperlink>
      <w:r w:rsidRPr="004F0EC4">
        <w:rPr>
          <w:rtl/>
        </w:rPr>
        <w:t>.</w:t>
      </w:r>
    </w:p>
  </w:footnote>
  <w:footnote w:id="60">
    <w:p w14:paraId="3063A5D0" w14:textId="77777777" w:rsidR="00A27310" w:rsidRPr="004F0EC4" w:rsidRDefault="00A27310" w:rsidP="00A27310">
      <w:pPr>
        <w:pStyle w:val="FootnoteText1"/>
      </w:pPr>
      <w:r w:rsidRPr="004F0EC4">
        <w:rPr>
          <w:rtl/>
        </w:rPr>
        <w:t>(</w:t>
      </w:r>
      <w:r w:rsidRPr="004F0EC4">
        <w:footnoteRef/>
      </w:r>
      <w:r w:rsidRPr="004F0EC4">
        <w:rPr>
          <w:rtl/>
        </w:rPr>
        <w:t>)</w:t>
      </w:r>
      <w:r w:rsidRPr="004F0EC4">
        <w:rPr>
          <w:rtl/>
        </w:rPr>
        <w:tab/>
      </w:r>
      <w:hyperlink r:id="rId61" w:history="1">
        <w:r w:rsidRPr="004F0EC4">
          <w:rPr>
            <w:rStyle w:val="Hyperlink"/>
          </w:rPr>
          <w:t>http://bcn.cl/2irkh</w:t>
        </w:r>
      </w:hyperlink>
      <w:r w:rsidRPr="004F0EC4">
        <w:rPr>
          <w:rtl/>
        </w:rPr>
        <w:t>.</w:t>
      </w:r>
    </w:p>
  </w:footnote>
  <w:footnote w:id="61">
    <w:p w14:paraId="70928843"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62" w:history="1">
        <w:r w:rsidRPr="004F0EC4">
          <w:rPr>
            <w:rStyle w:val="Hyperlink"/>
          </w:rPr>
          <w:t>http://bcn.cl/2nbtt</w:t>
        </w:r>
      </w:hyperlink>
      <w:r w:rsidRPr="004F0EC4">
        <w:rPr>
          <w:rtl/>
        </w:rPr>
        <w:t>.</w:t>
      </w:r>
    </w:p>
  </w:footnote>
  <w:footnote w:id="62">
    <w:p w14:paraId="4082661B"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63" w:history="1">
        <w:r w:rsidRPr="004F0EC4">
          <w:rPr>
            <w:rStyle w:val="Hyperlink"/>
          </w:rPr>
          <w:t>https://bcn.cl/2upv5</w:t>
        </w:r>
      </w:hyperlink>
      <w:r w:rsidRPr="004F0EC4">
        <w:rPr>
          <w:rtl/>
        </w:rPr>
        <w:t>.</w:t>
      </w:r>
    </w:p>
  </w:footnote>
  <w:footnote w:id="63">
    <w:p w14:paraId="6593E5B6"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64" w:history="1">
        <w:r w:rsidRPr="004F0EC4">
          <w:rPr>
            <w:rStyle w:val="Hyperlink"/>
          </w:rPr>
          <w:t>http://bcn.cl/2v1ja</w:t>
        </w:r>
      </w:hyperlink>
      <w:r w:rsidRPr="004F0EC4">
        <w:rPr>
          <w:rtl/>
        </w:rPr>
        <w:t>.</w:t>
      </w:r>
    </w:p>
  </w:footnote>
  <w:footnote w:id="64">
    <w:p w14:paraId="75E05107"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65" w:history="1">
        <w:r w:rsidRPr="004F0EC4">
          <w:rPr>
            <w:rStyle w:val="Hyperlink"/>
          </w:rPr>
          <w:t>https://www.camara.cl/legislacion/ProyectosDeLey/tramitacion.aspx?prmID=</w:t>
        </w:r>
        <w:r w:rsidRPr="004F0EC4">
          <w:rPr>
            <w:rStyle w:val="Hyperlink"/>
          </w:rPr>
          <w:br/>
          <w:t>13286&amp;amp;prmBOLETIN=12748-17</w:t>
        </w:r>
      </w:hyperlink>
      <w:r w:rsidRPr="004F0EC4">
        <w:rPr>
          <w:rtl/>
        </w:rPr>
        <w:t>.</w:t>
      </w:r>
    </w:p>
  </w:footnote>
  <w:footnote w:id="65">
    <w:p w14:paraId="3991788C"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66" w:history="1">
        <w:r w:rsidRPr="004F0EC4">
          <w:rPr>
            <w:rStyle w:val="Hyperlink"/>
          </w:rPr>
          <w:t>https://www.camara.cl/legislacion/ProyectosDeLey/tramitacion.aspx?prmID=</w:t>
        </w:r>
        <w:r w:rsidRPr="004F0EC4">
          <w:rPr>
            <w:rStyle w:val="Hyperlink"/>
          </w:rPr>
          <w:br/>
          <w:t>14,531&amp;amp;prmBOLETIN=13,965-35</w:t>
        </w:r>
      </w:hyperlink>
      <w:r w:rsidRPr="004F0EC4">
        <w:rPr>
          <w:rtl/>
        </w:rPr>
        <w:t>.</w:t>
      </w:r>
    </w:p>
  </w:footnote>
  <w:footnote w:id="66">
    <w:p w14:paraId="1CCA6835"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67" w:history="1">
        <w:r w:rsidRPr="004F0EC4">
          <w:rPr>
            <w:rStyle w:val="Hyperlink"/>
          </w:rPr>
          <w:t>http://www.senado.cl/appsenado/templates/tramitacion/index.php?boletin_ini=14218-35</w:t>
        </w:r>
      </w:hyperlink>
      <w:r w:rsidRPr="004F0EC4">
        <w:rPr>
          <w:rtl/>
        </w:rPr>
        <w:t>.</w:t>
      </w:r>
    </w:p>
  </w:footnote>
  <w:footnote w:id="67">
    <w:p w14:paraId="1C0C6876"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68" w:history="1">
        <w:r w:rsidRPr="004F0EC4">
          <w:rPr>
            <w:rStyle w:val="Hyperlink"/>
          </w:rPr>
          <w:t>https://www.leychile.cl/Navegar?idNorma=1078308</w:t>
        </w:r>
      </w:hyperlink>
      <w:r w:rsidRPr="004F0EC4">
        <w:rPr>
          <w:rtl/>
        </w:rPr>
        <w:t>.</w:t>
      </w:r>
    </w:p>
  </w:footnote>
  <w:footnote w:id="68">
    <w:p w14:paraId="23103AFB"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69" w:history="1">
        <w:r w:rsidRPr="004F0EC4">
          <w:rPr>
            <w:rStyle w:val="Hyperlink"/>
          </w:rPr>
          <w:t>https://cms-dgd-prod.s3-us-west-2.amazonaws.com/uploads/pdf/Instructivo-N%C2%BA001-Transformacion-Digital-2019.pdf</w:t>
        </w:r>
      </w:hyperlink>
      <w:r w:rsidRPr="004F0EC4">
        <w:rPr>
          <w:rtl/>
        </w:rPr>
        <w:t>?.</w:t>
      </w:r>
    </w:p>
  </w:footnote>
  <w:footnote w:id="69">
    <w:p w14:paraId="40B366EE"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منذ بداية عام 2016 وحتى 31 تموز/يوليه 2022، قُدمت المساعدة للأشخاص ذوي الإعاقة السمعية في 309 مناسبة (37</w:t>
      </w:r>
      <w:r w:rsidRPr="004F0EC4">
        <w:rPr>
          <w:rFonts w:hint="cs"/>
          <w:rtl/>
        </w:rPr>
        <w:t> </w:t>
      </w:r>
      <w:r w:rsidRPr="004F0EC4">
        <w:rPr>
          <w:rtl/>
        </w:rPr>
        <w:t>حالة في عام 2016؛ و33 حالة في عام 2018؛ و40 حالة في عام 2019؛ و70 حالة في عام 2020؛ و50 حالة في عام 2021؛ و45 حالة في عام 2022) مع تلبية الاحتياجات بالكامل في كل مرة.</w:t>
      </w:r>
    </w:p>
  </w:footnote>
  <w:footnote w:id="70">
    <w:p w14:paraId="3D8097B2"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r w:rsidRPr="004F0EC4">
        <w:rPr>
          <w:spacing w:val="-4"/>
          <w:rtl/>
        </w:rPr>
        <w:t>التطبيق الأول (</w:t>
      </w:r>
      <w:hyperlink r:id="rId70" w:history="1">
        <w:r w:rsidRPr="004F0EC4">
          <w:rPr>
            <w:rStyle w:val="Hyperlink"/>
            <w:spacing w:val="-4"/>
          </w:rPr>
          <w:t>https://play.google.com/store/apps/details?id=com.exefire.primeros_respondedores_app</w:t>
        </w:r>
      </w:hyperlink>
      <w:r w:rsidRPr="004F0EC4">
        <w:rPr>
          <w:spacing w:val="-4"/>
          <w:rtl/>
        </w:rPr>
        <w:t>)</w:t>
      </w:r>
      <w:r w:rsidRPr="004F0EC4">
        <w:rPr>
          <w:rtl/>
        </w:rPr>
        <w:t xml:space="preserve"> يوفر الدعم للمُسعِفين في حالات الطوارئ والكوارث، ويشتمل على اقتراحات للتعامل مع الأشخاص ذوي </w:t>
      </w:r>
      <w:proofErr w:type="gramStart"/>
      <w:r w:rsidRPr="004F0EC4">
        <w:rPr>
          <w:rtl/>
        </w:rPr>
        <w:t xml:space="preserve">الإعاقة، </w:t>
      </w:r>
      <w:r w:rsidRPr="004F0EC4">
        <w:rPr>
          <w:rFonts w:hint="cs"/>
          <w:rtl/>
        </w:rPr>
        <w:t xml:space="preserve">  </w:t>
      </w:r>
      <w:proofErr w:type="gramEnd"/>
      <w:r w:rsidRPr="004F0EC4">
        <w:rPr>
          <w:rFonts w:hint="cs"/>
          <w:rtl/>
        </w:rPr>
        <w:t xml:space="preserve">          </w:t>
      </w:r>
      <w:r w:rsidRPr="004F0EC4">
        <w:rPr>
          <w:rtl/>
        </w:rPr>
        <w:t>وقائمة بمفردات لغة الإشارة، وأسئلة إرشادية بلغة الإشارة الشيلية. أما التطبيق الثاني (</w:t>
      </w:r>
      <w:hyperlink r:id="rId71" w:history="1">
        <w:r w:rsidRPr="004F0EC4">
          <w:rPr>
            <w:rStyle w:val="Hyperlink"/>
          </w:rPr>
          <w:t>https://play.google.com/store/apps/details?id=com.exefire.comunidadsorda132</w:t>
        </w:r>
      </w:hyperlink>
      <w:r w:rsidRPr="004F0EC4">
        <w:rPr>
          <w:rtl/>
        </w:rPr>
        <w:t>) فيتضمن أسئلة وأجوبة بلغة الإشارة الشيلية لتمكين الأشخاص الصم من طلب المساعدة من عناصر الإطفاء. وعمل المطورون مع مجتمع الصم في تصميم واختبار هذا التطبيق.</w:t>
      </w:r>
    </w:p>
  </w:footnote>
  <w:footnote w:id="71">
    <w:p w14:paraId="09485C56"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72" w:history="1">
        <w:r w:rsidRPr="004F0EC4">
          <w:rPr>
            <w:rStyle w:val="Hyperlink"/>
          </w:rPr>
          <w:t>https://degreyd.minsal.cl/hospitales-se-preparan-para-que-personas-con-dicapacidad-enfrenten-emergencias-y-desastres/</w:t>
        </w:r>
      </w:hyperlink>
      <w:r w:rsidRPr="004F0EC4">
        <w:rPr>
          <w:rtl/>
        </w:rPr>
        <w:t xml:space="preserve">، </w:t>
      </w:r>
      <w:hyperlink r:id="rId73" w:history="1">
        <w:r w:rsidRPr="004F0EC4">
          <w:rPr>
            <w:rStyle w:val="Hyperlink"/>
            <w:spacing w:val="-4"/>
          </w:rPr>
          <w:t>https://degreyd.minsal.cl/hospital-de-coyhaique-inicio-trabajo-para-incluir-</w:t>
        </w:r>
        <w:r w:rsidRPr="004F0EC4">
          <w:rPr>
            <w:rStyle w:val="Hyperlink"/>
            <w:spacing w:val="-4"/>
          </w:rPr>
          <w:br/>
        </w:r>
        <w:r w:rsidRPr="004F0EC4">
          <w:rPr>
            <w:rStyle w:val="Hyperlink"/>
          </w:rPr>
          <w:t>a-personas-con-discapacidad-en-planes-de-emergencias/</w:t>
        </w:r>
      </w:hyperlink>
      <w:hyperlink r:id="rId74" w:history="1"/>
      <w:r w:rsidRPr="004F0EC4">
        <w:rPr>
          <w:rtl/>
        </w:rPr>
        <w:t>. المبادئ التوجيهية للمرافق الآمنة التي يُنفذ فيها برنامج</w:t>
      </w:r>
      <w:r w:rsidRPr="004F0EC4">
        <w:rPr>
          <w:rFonts w:hint="cs"/>
          <w:rtl/>
        </w:rPr>
        <w:t> </w:t>
      </w:r>
      <w:r w:rsidRPr="004F0EC4">
        <w:rPr>
          <w:rtl/>
        </w:rPr>
        <w:t xml:space="preserve">إدماج منظور الإعاقة في سياق إدارة </w:t>
      </w:r>
      <w:proofErr w:type="gramStart"/>
      <w:r w:rsidRPr="004F0EC4">
        <w:rPr>
          <w:rtl/>
        </w:rPr>
        <w:t>مخاطر</w:t>
      </w:r>
      <w:proofErr w:type="gramEnd"/>
      <w:r w:rsidRPr="004F0EC4">
        <w:rPr>
          <w:rtl/>
        </w:rPr>
        <w:t xml:space="preserve"> الكوارث في المستشفيات: </w:t>
      </w:r>
      <w:hyperlink r:id="rId75" w:history="1">
        <w:r w:rsidRPr="004F0EC4">
          <w:rPr>
            <w:rStyle w:val="Hyperlink"/>
          </w:rPr>
          <w:t>https://degreyd.minsal.cl/wp-content/</w:t>
        </w:r>
        <w:r w:rsidRPr="004F0EC4">
          <w:rPr>
            <w:rStyle w:val="Hyperlink"/>
          </w:rPr>
          <w:br/>
          <w:t>uploads/2019/07/Orientaciones-T%C3%A9cnicas-Establecimiento-Seguro-2019.pdf</w:t>
        </w:r>
      </w:hyperlink>
      <w:r w:rsidRPr="004F0EC4">
        <w:rPr>
          <w:rtl/>
        </w:rPr>
        <w:t>. المرفق 7.</w:t>
      </w:r>
    </w:p>
  </w:footnote>
  <w:footnote w:id="72">
    <w:p w14:paraId="380B0C76" w14:textId="77777777" w:rsidR="00C00FE8" w:rsidRPr="004F0EC4" w:rsidRDefault="00C00FE8" w:rsidP="00C00FE8">
      <w:pPr>
        <w:pStyle w:val="FootnoteText1"/>
        <w:rPr>
          <w:spacing w:val="-6"/>
        </w:rPr>
      </w:pPr>
      <w:r w:rsidRPr="004F0EC4">
        <w:rPr>
          <w:rtl/>
        </w:rPr>
        <w:t>(</w:t>
      </w:r>
      <w:r w:rsidRPr="004F0EC4">
        <w:footnoteRef/>
      </w:r>
      <w:r w:rsidRPr="004F0EC4">
        <w:rPr>
          <w:rtl/>
        </w:rPr>
        <w:t>)</w:t>
      </w:r>
      <w:r w:rsidRPr="004F0EC4">
        <w:rPr>
          <w:rtl/>
        </w:rPr>
        <w:tab/>
      </w:r>
      <w:hyperlink r:id="rId76" w:history="1">
        <w:r w:rsidRPr="004F0EC4">
          <w:rPr>
            <w:rStyle w:val="Hyperlink"/>
            <w:spacing w:val="-6"/>
          </w:rPr>
          <w:t>https://www.paho.org/es/noticias/6-12-2018-inclusion-para-gestion-riesgo-desastres-hospitales-ingrid-h</w:t>
        </w:r>
      </w:hyperlink>
      <w:r w:rsidRPr="004F0EC4">
        <w:rPr>
          <w:rFonts w:hint="cs"/>
          <w:spacing w:val="-6"/>
          <w:rtl/>
        </w:rPr>
        <w:t xml:space="preserve">؛ </w:t>
      </w:r>
      <w:hyperlink r:id="rId77" w:history="1">
        <w:r w:rsidRPr="004F0EC4">
          <w:rPr>
            <w:rStyle w:val="Hyperlink"/>
          </w:rPr>
          <w:t>https://www.rln.cl/regional/56545-hrc-es-el-primer-recinto-de-salud-fuera-de-la-region-metropolitana-sumado-a-plan-de-inclusion-para-la-gestion-de-riesgo-de-desastres-en-hospitales</w:t>
        </w:r>
      </w:hyperlink>
      <w:r w:rsidRPr="004F0EC4">
        <w:rPr>
          <w:spacing w:val="-6"/>
          <w:rtl/>
        </w:rPr>
        <w:t>.</w:t>
      </w:r>
    </w:p>
  </w:footnote>
  <w:footnote w:id="73">
    <w:p w14:paraId="1AE9CDB5"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 xml:space="preserve">للحصول على معلومات حول الإدارة الشاملة لمخاطر الكوارث انظر </w:t>
      </w:r>
      <w:hyperlink r:id="rId78" w:history="1">
        <w:r w:rsidRPr="004F0EC4">
          <w:rPr>
            <w:rStyle w:val="Hyperlink"/>
          </w:rPr>
          <w:t>https://twitter.com/degreyd_minsal</w:t>
        </w:r>
      </w:hyperlink>
      <w:r w:rsidRPr="004F0EC4">
        <w:rPr>
          <w:rtl/>
        </w:rPr>
        <w:t xml:space="preserve"> و</w:t>
      </w:r>
      <w:hyperlink r:id="rId79" w:history="1">
        <w:r w:rsidRPr="004F0EC4">
          <w:rPr>
            <w:rStyle w:val="Hyperlink"/>
          </w:rPr>
          <w:t>https://degreyd.minsal.cl/</w:t>
        </w:r>
      </w:hyperlink>
      <w:r w:rsidRPr="004F0EC4">
        <w:rPr>
          <w:rtl/>
        </w:rPr>
        <w:t>.</w:t>
      </w:r>
    </w:p>
  </w:footnote>
  <w:footnote w:id="74">
    <w:p w14:paraId="16854D22"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80" w:history="1">
        <w:r w:rsidRPr="004F0EC4">
          <w:rPr>
            <w:rStyle w:val="Hyperlink"/>
          </w:rPr>
          <w:t>https://www.senadis.gob.cl/descarga/i/4670/documento</w:t>
        </w:r>
      </w:hyperlink>
      <w:r w:rsidRPr="004F0EC4">
        <w:rPr>
          <w:rtl/>
        </w:rPr>
        <w:t>.</w:t>
      </w:r>
    </w:p>
  </w:footnote>
  <w:footnote w:id="75">
    <w:p w14:paraId="12ECC38E"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81" w:anchor=":~:text=H%C3%A1blele%20de%20frente%2C%20la%20persona%20necesita%20ver%20sus%20labios.&amp;text=Modular%20con%20naturalidad.&amp;text=Repita%20las%20indicaciones%20o%20la%20informaci%C3%B3n%20si%20es%20necesario.&amp;text=No%20debe%20alzar%20exageradamente%20la,menos%" w:history="1">
        <w:r w:rsidRPr="004F0EC4">
          <w:rPr>
            <w:rStyle w:val="Hyperlink"/>
          </w:rPr>
          <w:t>https://www.senadis.gob.cl/descarga/i/3410/documento#:~:text=H%C3%A1blele%20de%</w:t>
        </w:r>
        <w:r w:rsidRPr="004F0EC4">
          <w:rPr>
            <w:rStyle w:val="Hyperlink"/>
          </w:rPr>
          <w:br/>
          <w:t>20frente%2C%20la%20persona%20necesita%20ver%20sus%20labios.&amp;text=Modular%20con%20naturalidad.&amp;text=Repita%20las%20indicaciones%20o%20la%20informaci%C3%B3n%20si%20es%20necesario.&amp;text=No%20debe%20alzar%20exageradamente%20la,menos%</w:t>
        </w:r>
      </w:hyperlink>
      <w:r w:rsidRPr="004F0EC4">
        <w:rPr>
          <w:rFonts w:hint="cs"/>
          <w:rtl/>
        </w:rPr>
        <w:t>.</w:t>
      </w:r>
    </w:p>
  </w:footnote>
  <w:footnote w:id="76">
    <w:p w14:paraId="2016ECE3"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82" w:history="1">
        <w:r w:rsidRPr="004F0EC4">
          <w:rPr>
            <w:rStyle w:val="Hyperlink"/>
          </w:rPr>
          <w:t>https://www.senadis.gob.cl/descarga/i/3434/documento</w:t>
        </w:r>
      </w:hyperlink>
      <w:r w:rsidRPr="004F0EC4">
        <w:rPr>
          <w:rtl/>
        </w:rPr>
        <w:t>.</w:t>
      </w:r>
    </w:p>
  </w:footnote>
  <w:footnote w:id="77">
    <w:p w14:paraId="2A8A9330"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83" w:history="1">
        <w:r w:rsidRPr="004F0EC4">
          <w:rPr>
            <w:rStyle w:val="Hyperlink"/>
          </w:rPr>
          <w:t>https://www.onemi.gov.cl/preparacion-inclusiva/</w:t>
        </w:r>
      </w:hyperlink>
      <w:hyperlink r:id="rId84" w:history="1"/>
      <w:r w:rsidRPr="004F0EC4">
        <w:rPr>
          <w:rtl/>
        </w:rPr>
        <w:t>.</w:t>
      </w:r>
    </w:p>
  </w:footnote>
  <w:footnote w:id="78">
    <w:p w14:paraId="213D604C"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85" w:history="1">
        <w:r w:rsidRPr="004F0EC4">
          <w:rPr>
            <w:rStyle w:val="Hyperlink"/>
          </w:rPr>
          <w:t>https://siac.onemi.gov.cl/documentos/TEMP/Audio_Recomendaciones_Inclusivas.mp3</w:t>
        </w:r>
      </w:hyperlink>
      <w:r w:rsidRPr="004F0EC4">
        <w:rPr>
          <w:rtl/>
        </w:rPr>
        <w:t>.</w:t>
      </w:r>
    </w:p>
  </w:footnote>
  <w:footnote w:id="79">
    <w:p w14:paraId="4AA3FE81"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86" w:history="1">
        <w:r w:rsidRPr="004F0EC4">
          <w:rPr>
            <w:rStyle w:val="Hyperlink"/>
          </w:rPr>
          <w:t>https://www.youtube.com/watch?v=Z1jeYXkwtO0</w:t>
        </w:r>
      </w:hyperlink>
      <w:r w:rsidRPr="004F0EC4">
        <w:rPr>
          <w:rtl/>
        </w:rPr>
        <w:t>.</w:t>
      </w:r>
    </w:p>
  </w:footnote>
  <w:footnote w:id="80">
    <w:p w14:paraId="10676BDD"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87" w:history="1">
        <w:r w:rsidRPr="004F0EC4">
          <w:rPr>
            <w:rStyle w:val="Hyperlink"/>
          </w:rPr>
          <w:t>https://youtu.be/9uVuW_O9eD4</w:t>
        </w:r>
      </w:hyperlink>
      <w:r w:rsidRPr="004F0EC4">
        <w:rPr>
          <w:rtl/>
        </w:rPr>
        <w:t>.</w:t>
      </w:r>
    </w:p>
  </w:footnote>
  <w:footnote w:id="81">
    <w:p w14:paraId="6AA1BE52"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 xml:space="preserve">تتضمن المبادرة مسارين للعمل: (أ) توصيات بشأن التأهب لحالات الطوارئ والكوارث والاستجابة لها فيما يتعلق بالأشخاص ذوي الإعاقة ومرافقيهم و/أو مقدمي الرعاية لهم، تُقدم في صيغ يسهل الوصول إليها؛ و(ب) التوصيات التي اعتمدت من خلال التشاور مع الأشخاص ذوي الإعاقة في </w:t>
      </w:r>
      <w:proofErr w:type="spellStart"/>
      <w:r w:rsidRPr="004F0EC4">
        <w:rPr>
          <w:rtl/>
        </w:rPr>
        <w:t>أراوكانيا</w:t>
      </w:r>
      <w:proofErr w:type="spellEnd"/>
      <w:r w:rsidRPr="004F0EC4">
        <w:rPr>
          <w:rtl/>
        </w:rPr>
        <w:t>. وعلى إثر ذلك، نظم المكتب دورات تدريبية ووزع حقائب ظهر للطوارئ مجهزة بلوازم شاملة للأشخاص ذوي الإعاقة.</w:t>
      </w:r>
    </w:p>
  </w:footnote>
  <w:footnote w:id="82">
    <w:p w14:paraId="5A0F431A"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أعده مكتب وكيل وزير الضمان الاجتماعي، بمساهمة من المكتب الوطني للطوارئ ومؤسسات أخرى. ويتمثل الهدف منه في</w:t>
      </w:r>
      <w:r w:rsidRPr="004F0EC4">
        <w:rPr>
          <w:rFonts w:hint="cs"/>
          <w:rtl/>
        </w:rPr>
        <w:t> </w:t>
      </w:r>
      <w:r w:rsidRPr="004F0EC4">
        <w:rPr>
          <w:rtl/>
        </w:rPr>
        <w:t>تشجيع اتخاذ الإجراءات في المرحلة الوقائية من دورة المخاطر، وهي مرحلة يمكن فيها القضاء على المخاطر الطبيعية والبشرية التي قد تؤثر على مكان العمل، والتخفيف من حدتها، والتأهب لمواجهتها. انظر</w:t>
      </w:r>
      <w:r w:rsidRPr="004F0EC4">
        <w:rPr>
          <w:rFonts w:hint="cs"/>
          <w:rtl/>
        </w:rPr>
        <w:t> </w:t>
      </w:r>
      <w:hyperlink r:id="rId88" w:history="1">
        <w:r w:rsidRPr="004F0EC4">
          <w:rPr>
            <w:rStyle w:val="Hyperlink"/>
          </w:rPr>
          <w:t>https://www.previsionsocial.gob.cl/sps/download/Guia-de-Implementacon-del-PRRD-en-los-centros-de-trabajo.pdf</w:t>
        </w:r>
      </w:hyperlink>
      <w:r w:rsidRPr="004F0EC4">
        <w:rPr>
          <w:rtl/>
        </w:rPr>
        <w:t>.</w:t>
      </w:r>
    </w:p>
  </w:footnote>
  <w:footnote w:id="83">
    <w:p w14:paraId="168E2B31"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89" w:history="1">
        <w:r w:rsidRPr="004F0EC4">
          <w:rPr>
            <w:rStyle w:val="Hyperlink"/>
          </w:rPr>
          <w:t>http://bcn.cl/2o14m</w:t>
        </w:r>
      </w:hyperlink>
      <w:r w:rsidRPr="004F0EC4">
        <w:rPr>
          <w:rtl/>
        </w:rPr>
        <w:t>.</w:t>
      </w:r>
    </w:p>
  </w:footnote>
  <w:footnote w:id="84">
    <w:p w14:paraId="671BBC1B"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90" w:history="1">
        <w:r w:rsidRPr="004F0EC4">
          <w:rPr>
            <w:rStyle w:val="Hyperlink"/>
          </w:rPr>
          <w:t>http://bcn.cl/2qtdx</w:t>
        </w:r>
      </w:hyperlink>
      <w:r w:rsidRPr="004F0EC4">
        <w:rPr>
          <w:rtl/>
        </w:rPr>
        <w:t>.</w:t>
      </w:r>
    </w:p>
  </w:footnote>
  <w:footnote w:id="85">
    <w:p w14:paraId="2E0C58B0"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انقسمت المائدة المستديرة إلى ثلاث لجان ركزت على المواضيع التالية: (1) دور إيواء الأشخاص ذوي الإعاقة؛ و(2) الأشخاص ذوو الإعاقة المقيمون في منازل خاصة ومقدمو الرعاية لهم؛ و(3) الاستراتيجيات الشاملة لمجالات كثيرة لفائدة الأشخاص ذوي الإعاقة وأسرهم ومقدمي الرعاية لهم.</w:t>
      </w:r>
    </w:p>
  </w:footnote>
  <w:footnote w:id="86">
    <w:p w14:paraId="2AB31B99"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91" w:history="1">
        <w:r w:rsidRPr="004F0EC4">
          <w:rPr>
            <w:rStyle w:val="Hyperlink"/>
          </w:rPr>
          <w:t>https://youtu.be/PcuIVlHznY0</w:t>
        </w:r>
      </w:hyperlink>
      <w:r w:rsidRPr="004F0EC4">
        <w:rPr>
          <w:rtl/>
        </w:rPr>
        <w:t>.</w:t>
      </w:r>
    </w:p>
  </w:footnote>
  <w:footnote w:id="87">
    <w:p w14:paraId="3436973F"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92" w:history="1">
        <w:r w:rsidRPr="004F0EC4">
          <w:rPr>
            <w:rStyle w:val="Hyperlink"/>
          </w:rPr>
          <w:t>https://www.senadis.gob.cl/descarga/i/6177</w:t>
        </w:r>
      </w:hyperlink>
      <w:r w:rsidRPr="004F0EC4">
        <w:rPr>
          <w:rtl/>
        </w:rPr>
        <w:t>.</w:t>
      </w:r>
    </w:p>
  </w:footnote>
  <w:footnote w:id="88">
    <w:p w14:paraId="2D551D7C" w14:textId="77777777" w:rsidR="00C00FE8" w:rsidRPr="004F0EC4" w:rsidRDefault="00C00FE8" w:rsidP="00C00FE8">
      <w:pPr>
        <w:pStyle w:val="FootnoteText1"/>
      </w:pPr>
      <w:r w:rsidRPr="004F0EC4">
        <w:rPr>
          <w:rtl/>
        </w:rPr>
        <w:t>(</w:t>
      </w:r>
      <w:r w:rsidRPr="004F0EC4">
        <w:footnoteRef/>
      </w:r>
      <w:r w:rsidRPr="004F0EC4">
        <w:t>(</w:t>
      </w:r>
      <w:r w:rsidRPr="004F0EC4">
        <w:tab/>
      </w:r>
      <w:hyperlink r:id="rId93" w:anchor=":~:text=The%20phone%20800%20000%20058,context%20of%20the%20current%20pandemic" w:history="1">
        <w:r w:rsidRPr="004F0EC4">
          <w:rPr>
            <w:rStyle w:val="Hyperlink"/>
          </w:rPr>
          <w:t>https://www.senadis.gob.cl/pag/588/1880/linea_800_conectados_al_cuidar#:~:text=The%20phone</w:t>
        </w:r>
        <w:r w:rsidRPr="004F0EC4">
          <w:rPr>
            <w:rStyle w:val="Hyperlink"/>
          </w:rPr>
          <w:br/>
          <w:t>%20800%20000%20058,context%20of%20the%20current%20pandemic</w:t>
        </w:r>
      </w:hyperlink>
      <w:r w:rsidRPr="004F0EC4">
        <w:rPr>
          <w:rtl/>
        </w:rPr>
        <w:t>.</w:t>
      </w:r>
    </w:p>
  </w:footnote>
  <w:footnote w:id="89">
    <w:p w14:paraId="3558F078"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r w:rsidRPr="004F0EC4">
        <w:rPr>
          <w:spacing w:val="-2"/>
          <w:rtl/>
        </w:rPr>
        <w:t xml:space="preserve">يتلقى المكالمات مهنيون مدربون على تقييم الاحتياجات وتقديم حلول أو إحالة المكالمة إلى الجهة المختصة، مع متابعة الوضع في جميع الأحوال حتى تحل المشكلة. أما الحالات الأكثر تعقيداً، فتحال إلى جهات أخرى، مثل شبكة الأخصائيين النفسيين المتطوعين، أو خدمة </w:t>
      </w:r>
      <w:proofErr w:type="spellStart"/>
      <w:r w:rsidRPr="004F0EC4">
        <w:rPr>
          <w:spacing w:val="-2"/>
        </w:rPr>
        <w:t>SaludableMente</w:t>
      </w:r>
      <w:proofErr w:type="spellEnd"/>
      <w:r w:rsidRPr="004F0EC4">
        <w:rPr>
          <w:spacing w:val="-2"/>
          <w:rtl/>
        </w:rPr>
        <w:t xml:space="preserve"> التابعة لوزارة الصحة، أو منظمات غير حكومية منها "شيلي المتحدة" ومؤسسة </w:t>
      </w:r>
      <w:proofErr w:type="spellStart"/>
      <w:r w:rsidRPr="004F0EC4">
        <w:rPr>
          <w:spacing w:val="-2"/>
          <w:rtl/>
        </w:rPr>
        <w:t>ميرانوس</w:t>
      </w:r>
      <w:proofErr w:type="spellEnd"/>
      <w:r w:rsidRPr="004F0EC4">
        <w:rPr>
          <w:spacing w:val="-2"/>
          <w:rtl/>
        </w:rPr>
        <w:t>.</w:t>
      </w:r>
    </w:p>
  </w:footnote>
  <w:footnote w:id="90">
    <w:p w14:paraId="300DFDF1"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94" w:history="1">
        <w:r w:rsidRPr="004F0EC4">
          <w:rPr>
            <w:rStyle w:val="Hyperlink"/>
          </w:rPr>
          <w:t>https://www.youtube.com/watch?v=V5DHxEHdESw</w:t>
        </w:r>
      </w:hyperlink>
      <w:r w:rsidRPr="004F0EC4">
        <w:rPr>
          <w:rtl/>
        </w:rPr>
        <w:t>.</w:t>
      </w:r>
    </w:p>
  </w:footnote>
  <w:footnote w:id="91">
    <w:p w14:paraId="23D3D1EE"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95" w:history="1">
        <w:r w:rsidRPr="004F0EC4">
          <w:rPr>
            <w:rStyle w:val="Hyperlink"/>
          </w:rPr>
          <w:t>https://www.senadis.gob.cl/sala_prensa/d/noticias/8223</w:t>
        </w:r>
      </w:hyperlink>
      <w:r w:rsidRPr="004F0EC4">
        <w:rPr>
          <w:rtl/>
        </w:rPr>
        <w:t>.</w:t>
      </w:r>
    </w:p>
  </w:footnote>
  <w:footnote w:id="92">
    <w:p w14:paraId="102966F7"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96" w:history="1">
        <w:r w:rsidRPr="004F0EC4">
          <w:rPr>
            <w:rStyle w:val="Hyperlink"/>
          </w:rPr>
          <w:t>https://www.senadis.gob.cl/pag/569/1649/proceso_de_financiamiento_ayudas_tecnicas_2020</w:t>
        </w:r>
      </w:hyperlink>
      <w:r w:rsidRPr="004F0EC4">
        <w:rPr>
          <w:rtl/>
        </w:rPr>
        <w:t>.</w:t>
      </w:r>
    </w:p>
  </w:footnote>
  <w:footnote w:id="93">
    <w:p w14:paraId="1F5FBA7E"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97" w:history="1">
        <w:r w:rsidRPr="004F0EC4">
          <w:rPr>
            <w:rStyle w:val="Hyperlink"/>
          </w:rPr>
          <w:t>https://www.senadis.gob.cl/pag/594/1910/continuidad_de_recursos_transito_a_la_vida_</w:t>
        </w:r>
        <w:r w:rsidRPr="004F0EC4">
          <w:rPr>
            <w:rStyle w:val="Hyperlink"/>
          </w:rPr>
          <w:br/>
          <w:t>independiente_tvi_2019_segundo_semestre_2020_cerrado</w:t>
        </w:r>
      </w:hyperlink>
      <w:r w:rsidRPr="004F0EC4">
        <w:rPr>
          <w:rtl/>
        </w:rPr>
        <w:t>.</w:t>
      </w:r>
    </w:p>
  </w:footnote>
  <w:footnote w:id="94">
    <w:p w14:paraId="3682466C"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98" w:history="1">
        <w:r w:rsidRPr="004F0EC4">
          <w:rPr>
            <w:rStyle w:val="Hyperlink"/>
          </w:rPr>
          <w:t>https://www.senadis.gob.cl/pag/581/1909/programa_de_apoyo_estudiantes_con_discapacidad</w:t>
        </w:r>
        <w:r w:rsidRPr="004F0EC4">
          <w:rPr>
            <w:rStyle w:val="Hyperlink"/>
          </w:rPr>
          <w:br/>
          <w:t>_en_instituciones_de_educacion_superior_2020_cerrado</w:t>
        </w:r>
      </w:hyperlink>
      <w:r w:rsidRPr="004F0EC4">
        <w:rPr>
          <w:rtl/>
        </w:rPr>
        <w:t>.</w:t>
      </w:r>
    </w:p>
  </w:footnote>
  <w:footnote w:id="95">
    <w:p w14:paraId="3ED45E1F" w14:textId="381CE385"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99" w:history="1">
        <w:r w:rsidRPr="004F0EC4">
          <w:rPr>
            <w:rStyle w:val="Hyperlink"/>
          </w:rPr>
          <w:t>https://cdn.digital.gob.cl/filer_public/69/21/6921ca49-4c6e-40bb-8f25-204d7b5e8747/protocolo_</w:t>
        </w:r>
        <w:r w:rsidR="00A27310" w:rsidRPr="004F0EC4">
          <w:rPr>
            <w:rStyle w:val="Hyperlink"/>
          </w:rPr>
          <w:br/>
        </w:r>
        <w:r w:rsidRPr="004F0EC4">
          <w:rPr>
            <w:rStyle w:val="Hyperlink"/>
          </w:rPr>
          <w:t>recomendaciones_a_residencias__para_pcd_coronavirus__1.pdf</w:t>
        </w:r>
      </w:hyperlink>
      <w:r w:rsidRPr="004F0EC4">
        <w:rPr>
          <w:rtl/>
        </w:rPr>
        <w:t>.</w:t>
      </w:r>
    </w:p>
  </w:footnote>
  <w:footnote w:id="96">
    <w:p w14:paraId="742BB0A3" w14:textId="77777777" w:rsidR="00C00FE8" w:rsidRPr="004F0EC4" w:rsidRDefault="00C00FE8" w:rsidP="00C00FE8">
      <w:pPr>
        <w:pStyle w:val="FootnoteText1"/>
        <w:rPr>
          <w:rFonts w:hint="cs"/>
          <w:rtl/>
        </w:rPr>
      </w:pPr>
      <w:r w:rsidRPr="004F0EC4">
        <w:rPr>
          <w:rtl/>
        </w:rPr>
        <w:t>(</w:t>
      </w:r>
      <w:r w:rsidRPr="004F0EC4">
        <w:footnoteRef/>
      </w:r>
      <w:r w:rsidRPr="004F0EC4">
        <w:rPr>
          <w:rtl/>
        </w:rPr>
        <w:t>)</w:t>
      </w:r>
      <w:r w:rsidRPr="004F0EC4">
        <w:rPr>
          <w:rtl/>
        </w:rPr>
        <w:tab/>
      </w:r>
      <w:r w:rsidRPr="004F0EC4">
        <w:rPr>
          <w:spacing w:val="-4"/>
          <w:rtl/>
        </w:rPr>
        <w:t>كانت الأولوية هي تمكينهم من البقاء في منازلهم مع حصولهم على الدعم اللازم. وفي الحالات القصوى، وفرت الدولة رعاية داخلية</w:t>
      </w:r>
      <w:r w:rsidRPr="004F0EC4">
        <w:rPr>
          <w:rtl/>
        </w:rPr>
        <w:t xml:space="preserve"> مؤقتة في انتظار التوصل إلى حل دائم.</w:t>
      </w:r>
    </w:p>
  </w:footnote>
  <w:footnote w:id="97">
    <w:p w14:paraId="4B245433"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ركزت المبادرات على تنظيم حلقات عمل على الإنترنت حول الوقاية من فيروس كوفيد-19 للأشخاص ذوي الإعاقة وأسرهم، وتوزيع معدات الحماية الشخصية، وعمليات التطهير على المستوى الفردي والمؤسسي.</w:t>
      </w:r>
    </w:p>
  </w:footnote>
  <w:footnote w:id="98">
    <w:p w14:paraId="4BBF1373" w14:textId="77777777" w:rsidR="00C00FE8" w:rsidRPr="004F0EC4" w:rsidRDefault="00C00FE8" w:rsidP="00C00FE8">
      <w:pPr>
        <w:pStyle w:val="FootnoteText1"/>
        <w:rPr>
          <w:spacing w:val="-3"/>
        </w:rPr>
      </w:pPr>
      <w:r w:rsidRPr="004F0EC4">
        <w:rPr>
          <w:rtl/>
        </w:rPr>
        <w:t>(</w:t>
      </w:r>
      <w:r w:rsidRPr="004F0EC4">
        <w:footnoteRef/>
      </w:r>
      <w:r w:rsidRPr="004F0EC4">
        <w:rPr>
          <w:rtl/>
        </w:rPr>
        <w:t>)</w:t>
      </w:r>
      <w:r w:rsidRPr="004F0EC4">
        <w:rPr>
          <w:rtl/>
        </w:rPr>
        <w:tab/>
      </w:r>
      <w:r w:rsidRPr="004F0EC4">
        <w:rPr>
          <w:spacing w:val="-4"/>
          <w:rtl/>
        </w:rPr>
        <w:t xml:space="preserve">من بينها كبار السن، والأشخاص ذوو الإعاقة، والأشخاص المصابون بأمراض مزمنة أو الذين يعانون من ضعف في جهاز المناعة، </w:t>
      </w:r>
      <w:r w:rsidRPr="004F0EC4">
        <w:rPr>
          <w:spacing w:val="-3"/>
          <w:rtl/>
        </w:rPr>
        <w:t>والأشخاص المصابون بفيروس نقص المناعة البشرية/الإيدز، وأفراد مجتمع الميم، والأطفال والمراهقون، والنوع الاجتماعي، والمهاجرون.</w:t>
      </w:r>
    </w:p>
  </w:footnote>
  <w:footnote w:id="99">
    <w:p w14:paraId="7C5A0455" w14:textId="77777777" w:rsidR="00C00FE8" w:rsidRPr="004F0EC4" w:rsidRDefault="00C00FE8" w:rsidP="00C00FE8">
      <w:pPr>
        <w:pStyle w:val="FootnoteText1"/>
        <w:rPr>
          <w:spacing w:val="-4"/>
        </w:rPr>
      </w:pPr>
      <w:r w:rsidRPr="004F0EC4">
        <w:rPr>
          <w:rtl/>
        </w:rPr>
        <w:t>(</w:t>
      </w:r>
      <w:r w:rsidRPr="004F0EC4">
        <w:footnoteRef/>
      </w:r>
      <w:r w:rsidRPr="004F0EC4">
        <w:rPr>
          <w:rtl/>
        </w:rPr>
        <w:t>)</w:t>
      </w:r>
      <w:r w:rsidRPr="004F0EC4">
        <w:rPr>
          <w:rtl/>
        </w:rPr>
        <w:tab/>
      </w:r>
      <w:hyperlink r:id="rId100" w:history="1">
        <w:r w:rsidRPr="004F0EC4">
          <w:rPr>
            <w:rStyle w:val="Hyperlink"/>
            <w:spacing w:val="-4"/>
          </w:rPr>
          <w:t>https://www.nefro.cl/covid/img/noticias/RECOMENDACIONES_PARA_LOS_CEA_COVID-19.pdf</w:t>
        </w:r>
      </w:hyperlink>
      <w:r w:rsidRPr="004F0EC4">
        <w:rPr>
          <w:spacing w:val="-4"/>
          <w:rtl/>
        </w:rPr>
        <w:t>.</w:t>
      </w:r>
    </w:p>
  </w:footnote>
  <w:footnote w:id="100">
    <w:p w14:paraId="24651DC0"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01" w:history="1">
        <w:r w:rsidRPr="004F0EC4">
          <w:rPr>
            <w:rStyle w:val="Hyperlink"/>
          </w:rPr>
          <w:t>https://www.minsal.cl/wp-content/uploads/2020/07/ConsideracionesPersonasconDiscapacidad130720.pdf</w:t>
        </w:r>
      </w:hyperlink>
      <w:r w:rsidRPr="004F0EC4">
        <w:rPr>
          <w:rtl/>
        </w:rPr>
        <w:t>.</w:t>
      </w:r>
    </w:p>
  </w:footnote>
  <w:footnote w:id="101">
    <w:p w14:paraId="563325BE"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02" w:history="1">
        <w:r w:rsidRPr="004F0EC4">
          <w:rPr>
            <w:rStyle w:val="Hyperlink"/>
          </w:rPr>
          <w:t>https://diprece.minsal.cl/wp-content/uploads/2020/10/ESTRATEGIA-DE-RESIDENCIAS-SANITARIAS_RECOMENDACIONES-PARA-EL-INGRESO-SEGUIMIENTO-Y-EGRESO-DE-PERSONAS-CON-DISCAPACIDAD.pdf</w:t>
        </w:r>
      </w:hyperlink>
      <w:r w:rsidRPr="004F0EC4">
        <w:rPr>
          <w:rtl/>
        </w:rPr>
        <w:t>.</w:t>
      </w:r>
    </w:p>
  </w:footnote>
  <w:footnote w:id="102">
    <w:p w14:paraId="033BBF72"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03" w:history="1">
        <w:r w:rsidRPr="004F0EC4">
          <w:rPr>
            <w:rStyle w:val="Hyperlink"/>
          </w:rPr>
          <w:t>https://www.minsal.cl/wp-content/uploads/2020/04/DS11.pdf</w:t>
        </w:r>
      </w:hyperlink>
      <w:r w:rsidRPr="004F0EC4">
        <w:rPr>
          <w:rtl/>
        </w:rPr>
        <w:t>.</w:t>
      </w:r>
    </w:p>
  </w:footnote>
  <w:footnote w:id="103">
    <w:p w14:paraId="262C2E97"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04" w:history="1">
        <w:r w:rsidRPr="004F0EC4">
          <w:rPr>
            <w:rStyle w:val="Hyperlink"/>
          </w:rPr>
          <w:t>https://www.minsal.cl/nuevo-coronavirus-2019-ncov/material-de-descarga/</w:t>
        </w:r>
      </w:hyperlink>
      <w:hyperlink r:id="rId105" w:history="1"/>
      <w:r w:rsidRPr="004F0EC4">
        <w:rPr>
          <w:rtl/>
        </w:rPr>
        <w:t>.</w:t>
      </w:r>
    </w:p>
  </w:footnote>
  <w:footnote w:id="104">
    <w:p w14:paraId="080416DA"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06" w:history="1">
        <w:r w:rsidRPr="004F0EC4">
          <w:rPr>
            <w:rStyle w:val="Hyperlink"/>
          </w:rPr>
          <w:t>https://www.minsal.cl/wp-content/uploads/2021/03/GRUPOS-OBJETIVOS-3-marzo-2021.pdf</w:t>
        </w:r>
      </w:hyperlink>
      <w:r w:rsidRPr="004F0EC4">
        <w:rPr>
          <w:rtl/>
        </w:rPr>
        <w:t>.</w:t>
      </w:r>
    </w:p>
  </w:footnote>
  <w:footnote w:id="105">
    <w:p w14:paraId="1FED51F5"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07" w:history="1">
        <w:r w:rsidRPr="004F0EC4">
          <w:rPr>
            <w:rStyle w:val="Hyperlink"/>
          </w:rPr>
          <w:t>https://diprece.minsal.cl/wp-content/uploads/2020/10/RECOMENDACIONES-PARA-EL-INGRESO-SEGUIMIENTO-Y-EGRESO-DE-PERSONAS-CON-NECESIDADES-DE-MANEJO-TERAPE%CC%81UTICO-ASOCIADO-A-CONDICIONES-DE-SALUD-MENTAL-O-EN-CONDICIONES-DE-EXCLUSIO%CC%81N-SOCIAL-EXTREMA.pdf</w:t>
        </w:r>
      </w:hyperlink>
      <w:r w:rsidRPr="004F0EC4">
        <w:rPr>
          <w:rtl/>
        </w:rPr>
        <w:t>.</w:t>
      </w:r>
    </w:p>
  </w:footnote>
  <w:footnote w:id="106">
    <w:p w14:paraId="6E6DF6A6"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08" w:history="1">
        <w:r w:rsidRPr="004F0EC4">
          <w:rPr>
            <w:rStyle w:val="Hyperlink"/>
          </w:rPr>
          <w:t>https://www.senadis.gob.cl/sala_prensa/d/noticias/8226/recomendaciones-para-la-atencion-de-personas-con-discapacidad-en-el-contexto-de-la-pandemia-por-covid-19</w:t>
        </w:r>
      </w:hyperlink>
      <w:r w:rsidRPr="004F0EC4">
        <w:rPr>
          <w:rtl/>
        </w:rPr>
        <w:t>.</w:t>
      </w:r>
    </w:p>
  </w:footnote>
  <w:footnote w:id="107">
    <w:p w14:paraId="0B9C258F"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 xml:space="preserve">تتناول الوثيقة الرعاية النفسية والاجتماعية والنهج المتبعة في مجال الصحة العقلية التي تراعي حقوق الأطفال والمراهقين والكبار وتحمي فرق الرعاية. انظر </w:t>
      </w:r>
      <w:hyperlink r:id="rId109" w:history="1">
        <w:r w:rsidRPr="004F0EC4">
          <w:rPr>
            <w:rStyle w:val="Hyperlink"/>
          </w:rPr>
          <w:t>https://www.senadis.gob.cl/sala_prensa/d/noticias/8375/senadis-y-mesa-intersectorial-presentan-recomendaciones-y-buenas-practicas-en-salud-mental</w:t>
        </w:r>
      </w:hyperlink>
      <w:r w:rsidRPr="004F0EC4">
        <w:rPr>
          <w:rtl/>
        </w:rPr>
        <w:t>.</w:t>
      </w:r>
    </w:p>
  </w:footnote>
  <w:footnote w:id="108">
    <w:p w14:paraId="00599E1E"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10" w:history="1">
        <w:r w:rsidRPr="004F0EC4">
          <w:rPr>
            <w:rStyle w:val="Hyperlink"/>
          </w:rPr>
          <w:t>https://www.senadis.gob.cl/sala_prensa/d/noticias/8338/senadis-y-mesa-intersectorial-de-discapacidad-y-covid-19-desarrollan-webinar-sobre-salud-mental-y-residencias-para-personas-con-discapacidad</w:t>
        </w:r>
      </w:hyperlink>
      <w:r w:rsidRPr="004F0EC4">
        <w:rPr>
          <w:rtl/>
        </w:rPr>
        <w:t>.</w:t>
      </w:r>
    </w:p>
  </w:footnote>
  <w:footnote w:id="109">
    <w:p w14:paraId="09139D19"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11" w:history="1">
        <w:r w:rsidRPr="004F0EC4">
          <w:rPr>
            <w:rStyle w:val="Hyperlink"/>
          </w:rPr>
          <w:t>https://degreyd.minsal.cl/salud-mental-y-apoyo-psicosocial-durante-covid19/</w:t>
        </w:r>
      </w:hyperlink>
      <w:hyperlink r:id="rId112" w:history="1"/>
      <w:r w:rsidRPr="004F0EC4">
        <w:rPr>
          <w:rtl/>
        </w:rPr>
        <w:t>.</w:t>
      </w:r>
    </w:p>
  </w:footnote>
  <w:footnote w:id="110">
    <w:p w14:paraId="507E8466"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13" w:history="1">
        <w:r w:rsidRPr="004F0EC4">
          <w:rPr>
            <w:rStyle w:val="Hyperlink"/>
          </w:rPr>
          <w:t>https://www.gob.cl/saludablemente/</w:t>
        </w:r>
      </w:hyperlink>
      <w:hyperlink r:id="rId114" w:history="1"/>
      <w:r w:rsidRPr="004F0EC4">
        <w:rPr>
          <w:rtl/>
        </w:rPr>
        <w:t>.</w:t>
      </w:r>
    </w:p>
  </w:footnote>
  <w:footnote w:id="111">
    <w:p w14:paraId="20AA2DBD"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غير متوفر حالياً.</w:t>
      </w:r>
    </w:p>
  </w:footnote>
  <w:footnote w:id="112">
    <w:p w14:paraId="3BA97D68"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15" w:history="1">
        <w:r w:rsidRPr="004F0EC4">
          <w:rPr>
            <w:rStyle w:val="Hyperlink"/>
          </w:rPr>
          <w:t>https://saludresponde.minsal.cl/</w:t>
        </w:r>
      </w:hyperlink>
      <w:hyperlink r:id="rId116" w:history="1"/>
      <w:r w:rsidRPr="004F0EC4">
        <w:rPr>
          <w:rtl/>
        </w:rPr>
        <w:t>.</w:t>
      </w:r>
    </w:p>
  </w:footnote>
  <w:footnote w:id="113">
    <w:p w14:paraId="703CDF23"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17" w:history="1">
        <w:r w:rsidRPr="004F0EC4">
          <w:rPr>
            <w:rStyle w:val="Hyperlink"/>
          </w:rPr>
          <w:t>https://saludresponde.minsal.cl/atencion-de-salud-en-lengua-de-senas-chilena/</w:t>
        </w:r>
      </w:hyperlink>
      <w:hyperlink r:id="rId118" w:history="1"/>
      <w:r w:rsidRPr="004F0EC4">
        <w:rPr>
          <w:rtl/>
        </w:rPr>
        <w:t>.</w:t>
      </w:r>
    </w:p>
  </w:footnote>
  <w:footnote w:id="114">
    <w:p w14:paraId="6A49322E"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19" w:history="1">
        <w:r w:rsidRPr="004F0EC4">
          <w:rPr>
            <w:rStyle w:val="Hyperlink"/>
          </w:rPr>
          <w:t>https://bcn.cl/2f9qy</w:t>
        </w:r>
      </w:hyperlink>
      <w:r w:rsidRPr="004F0EC4">
        <w:rPr>
          <w:rtl/>
        </w:rPr>
        <w:t>.</w:t>
      </w:r>
    </w:p>
  </w:footnote>
  <w:footnote w:id="115">
    <w:p w14:paraId="15170147"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20" w:history="1">
        <w:r w:rsidRPr="004F0EC4">
          <w:rPr>
            <w:rStyle w:val="Hyperlink"/>
          </w:rPr>
          <w:t>http://bcn.cl/2fwvz</w:t>
        </w:r>
      </w:hyperlink>
      <w:r w:rsidRPr="004F0EC4">
        <w:rPr>
          <w:rtl/>
        </w:rPr>
        <w:t>.</w:t>
      </w:r>
    </w:p>
  </w:footnote>
  <w:footnote w:id="116">
    <w:p w14:paraId="2E98D038"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بدل مالي يوزع عبر شبكة الحماية الاجتماعية، وقد أنشئ في عام 2021 لضمان توفر آلية يمكن من خلالها الإسراع في تقديم المساعدة المناسبة التوقيت للأسر في حال فرض المزيد من إجراءات الإغلاق.</w:t>
      </w:r>
    </w:p>
  </w:footnote>
  <w:footnote w:id="117">
    <w:p w14:paraId="3778BC80"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21" w:history="1">
        <w:r w:rsidRPr="004F0EC4">
          <w:rPr>
            <w:rStyle w:val="Hyperlink"/>
          </w:rPr>
          <w:t>https://www.chileatiende.gob.cl/fichas/94077-ingreso-familiar-de-emergencia-ife-universal</w:t>
        </w:r>
      </w:hyperlink>
      <w:r w:rsidRPr="004F0EC4">
        <w:rPr>
          <w:rtl/>
        </w:rPr>
        <w:t>.</w:t>
      </w:r>
    </w:p>
  </w:footnote>
  <w:footnote w:id="118">
    <w:p w14:paraId="2DE45145"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22" w:history="1">
        <w:r w:rsidRPr="004F0EC4">
          <w:rPr>
            <w:rStyle w:val="Hyperlink"/>
          </w:rPr>
          <w:t>http://www.registrosocial.gob.cl/</w:t>
        </w:r>
      </w:hyperlink>
      <w:hyperlink r:id="rId123" w:history="1"/>
      <w:r w:rsidRPr="004F0EC4">
        <w:rPr>
          <w:rtl/>
        </w:rPr>
        <w:t>.</w:t>
      </w:r>
    </w:p>
  </w:footnote>
  <w:footnote w:id="119">
    <w:p w14:paraId="2B0E8495"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24" w:history="1">
        <w:r w:rsidRPr="004F0EC4">
          <w:rPr>
            <w:rStyle w:val="Hyperlink"/>
          </w:rPr>
          <w:t>https://bcn.cl/2wni1</w:t>
        </w:r>
      </w:hyperlink>
      <w:r w:rsidRPr="004F0EC4">
        <w:rPr>
          <w:rtl/>
        </w:rPr>
        <w:t>.</w:t>
      </w:r>
    </w:p>
  </w:footnote>
  <w:footnote w:id="120">
    <w:p w14:paraId="67010AAA"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 xml:space="preserve">يجب أن ينتمي المستفيدون إلى فئة الستين في </w:t>
      </w:r>
      <w:proofErr w:type="gramStart"/>
      <w:r w:rsidRPr="004F0EC4">
        <w:rPr>
          <w:rtl/>
        </w:rPr>
        <w:t>المائة</w:t>
      </w:r>
      <w:proofErr w:type="gramEnd"/>
      <w:r w:rsidRPr="004F0EC4">
        <w:rPr>
          <w:rtl/>
        </w:rPr>
        <w:t xml:space="preserve"> الأفقر في المنطقة المعنية. وقد زيدت قيمة الإعانة، وهي تعادل الآن 50 في </w:t>
      </w:r>
      <w:proofErr w:type="gramStart"/>
      <w:r w:rsidRPr="004F0EC4">
        <w:rPr>
          <w:rtl/>
        </w:rPr>
        <w:t>المائة</w:t>
      </w:r>
      <w:proofErr w:type="gramEnd"/>
      <w:r w:rsidRPr="004F0EC4">
        <w:rPr>
          <w:rtl/>
        </w:rPr>
        <w:t xml:space="preserve"> من الحد الأقصى للمعاش الشامل المضمون، أي 959 96 بيسو شيليا.</w:t>
      </w:r>
    </w:p>
  </w:footnote>
  <w:footnote w:id="121">
    <w:p w14:paraId="2E0300FD"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25" w:history="1">
        <w:r w:rsidRPr="004F0EC4">
          <w:rPr>
            <w:rStyle w:val="Hyperlink"/>
          </w:rPr>
          <w:t>http://www.senado.cl/appsenado/templates/tramitacion/index.php?boletin_ini=12441-17</w:t>
        </w:r>
      </w:hyperlink>
      <w:r w:rsidRPr="004F0EC4">
        <w:rPr>
          <w:rtl/>
        </w:rPr>
        <w:t>.</w:t>
      </w:r>
    </w:p>
  </w:footnote>
  <w:footnote w:id="122">
    <w:p w14:paraId="4449AC99"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26" w:history="1">
        <w:r w:rsidRPr="004F0EC4">
          <w:rPr>
            <w:rStyle w:val="Hyperlink"/>
          </w:rPr>
          <w:t>http://www.senado.cl/appsenado/templates/tramitacion/index.php?boletin_ini=12612-07</w:t>
        </w:r>
      </w:hyperlink>
      <w:r w:rsidRPr="004F0EC4">
        <w:rPr>
          <w:rtl/>
        </w:rPr>
        <w:t>.</w:t>
      </w:r>
    </w:p>
  </w:footnote>
  <w:footnote w:id="123">
    <w:p w14:paraId="596F3662"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27" w:history="1">
        <w:r w:rsidRPr="004F0EC4">
          <w:rPr>
            <w:rStyle w:val="Hyperlink"/>
          </w:rPr>
          <w:t>http://www.senado.cl/appsenado/templates/tramitacion/index.php?boletin_ini=11240-31</w:t>
        </w:r>
      </w:hyperlink>
      <w:r w:rsidRPr="004F0EC4">
        <w:rPr>
          <w:rtl/>
        </w:rPr>
        <w:t>.</w:t>
      </w:r>
    </w:p>
  </w:footnote>
  <w:footnote w:id="124">
    <w:p w14:paraId="1A862E69" w14:textId="77777777" w:rsidR="00C00FE8" w:rsidRPr="004F0EC4" w:rsidRDefault="00C00FE8" w:rsidP="00C00FE8">
      <w:pPr>
        <w:pStyle w:val="FootnoteText1"/>
        <w:rPr>
          <w:rFonts w:hint="cs"/>
          <w:rtl/>
        </w:rPr>
      </w:pPr>
      <w:r w:rsidRPr="004F0EC4">
        <w:rPr>
          <w:rtl/>
        </w:rPr>
        <w:t>(</w:t>
      </w:r>
      <w:r w:rsidRPr="004F0EC4">
        <w:footnoteRef/>
      </w:r>
      <w:r w:rsidRPr="004F0EC4">
        <w:rPr>
          <w:rFonts w:hint="cs"/>
          <w:rtl/>
        </w:rPr>
        <w:t>)</w:t>
      </w:r>
      <w:r w:rsidRPr="004F0EC4">
        <w:rPr>
          <w:rtl/>
        </w:rPr>
        <w:tab/>
      </w:r>
      <w:hyperlink r:id="rId128" w:history="1">
        <w:r w:rsidRPr="004F0EC4">
          <w:rPr>
            <w:rStyle w:val="Hyperlink"/>
          </w:rPr>
          <w:t>https://www.camara.cl/legislacion/ProyectosDeLey/tramitacion.aspx?prmID=12972&amp;prm</w:t>
        </w:r>
        <w:r w:rsidRPr="004F0EC4">
          <w:rPr>
            <w:rStyle w:val="Hyperlink"/>
          </w:rPr>
          <w:br/>
          <w:t>BOLETIN=12441-17</w:t>
        </w:r>
      </w:hyperlink>
      <w:r w:rsidRPr="004F0EC4">
        <w:rPr>
          <w:rFonts w:hint="cs"/>
          <w:rtl/>
        </w:rPr>
        <w:t>.</w:t>
      </w:r>
    </w:p>
  </w:footnote>
  <w:footnote w:id="125">
    <w:p w14:paraId="28AF3FB2"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29" w:history="1">
        <w:r w:rsidRPr="004F0EC4">
          <w:rPr>
            <w:rStyle w:val="Hyperlink"/>
          </w:rPr>
          <w:t>http://www.senado.cl/appsenado/templates/tramitacion/index.php?boletin_ini=14783-07</w:t>
        </w:r>
      </w:hyperlink>
      <w:r w:rsidRPr="004F0EC4">
        <w:rPr>
          <w:rtl/>
        </w:rPr>
        <w:t>.</w:t>
      </w:r>
    </w:p>
  </w:footnote>
  <w:footnote w:id="126">
    <w:p w14:paraId="662B696D"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r w:rsidRPr="004F0EC4">
        <w:rPr>
          <w:spacing w:val="2"/>
          <w:rtl/>
        </w:rPr>
        <w:t>تعمل السلطة التنفيذية حالياً على تعديل مشروع القانون بحيث يتوافق القانون المقبل المتعلق بالأهلية القانونية مع المعايير المنصوص عليها في المادة 12 من الاتفاقية وتعليق اللجنة العام رقم 1(2014).</w:t>
      </w:r>
    </w:p>
  </w:footnote>
  <w:footnote w:id="127">
    <w:p w14:paraId="44A15A42" w14:textId="77777777" w:rsidR="00A27310" w:rsidRPr="004F0EC4" w:rsidRDefault="00A27310" w:rsidP="00A27310">
      <w:pPr>
        <w:pStyle w:val="FootnoteText1"/>
      </w:pPr>
      <w:r w:rsidRPr="004F0EC4">
        <w:rPr>
          <w:rtl/>
        </w:rPr>
        <w:t>(</w:t>
      </w:r>
      <w:r w:rsidRPr="004F0EC4">
        <w:footnoteRef/>
      </w:r>
      <w:r w:rsidRPr="004F0EC4">
        <w:rPr>
          <w:rtl/>
        </w:rPr>
        <w:t>)</w:t>
      </w:r>
      <w:r w:rsidRPr="004F0EC4">
        <w:rPr>
          <w:rtl/>
        </w:rPr>
        <w:tab/>
      </w:r>
      <w:hyperlink r:id="rId130" w:history="1">
        <w:r w:rsidRPr="004F0EC4">
          <w:rPr>
            <w:rStyle w:val="Hyperlink"/>
          </w:rPr>
          <w:t>http://bcn.cl/2f7cj</w:t>
        </w:r>
      </w:hyperlink>
      <w:r w:rsidRPr="004F0EC4">
        <w:rPr>
          <w:rtl/>
        </w:rPr>
        <w:t>.</w:t>
      </w:r>
    </w:p>
  </w:footnote>
  <w:footnote w:id="128">
    <w:p w14:paraId="68C73644"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31" w:history="1">
        <w:r w:rsidRPr="004F0EC4">
          <w:rPr>
            <w:rStyle w:val="Hyperlink"/>
          </w:rPr>
          <w:t>http://bcn.cl/2p863</w:t>
        </w:r>
      </w:hyperlink>
      <w:r w:rsidRPr="004F0EC4">
        <w:rPr>
          <w:rtl/>
        </w:rPr>
        <w:t>.</w:t>
      </w:r>
    </w:p>
  </w:footnote>
  <w:footnote w:id="129">
    <w:p w14:paraId="3D79C2EB"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32" w:history="1">
        <w:r w:rsidRPr="004F0EC4">
          <w:rPr>
            <w:rStyle w:val="Hyperlink"/>
          </w:rPr>
          <w:t>http://bcn.cl/2p863</w:t>
        </w:r>
      </w:hyperlink>
      <w:r w:rsidRPr="004F0EC4">
        <w:rPr>
          <w:rtl/>
        </w:rPr>
        <w:t>.</w:t>
      </w:r>
    </w:p>
  </w:footnote>
  <w:footnote w:id="130">
    <w:p w14:paraId="033780A6"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33" w:history="1">
        <w:r w:rsidRPr="004F0EC4">
          <w:rPr>
            <w:rStyle w:val="Hyperlink"/>
          </w:rPr>
          <w:t>https://www.pjud.cl/</w:t>
        </w:r>
      </w:hyperlink>
      <w:hyperlink r:id="rId134" w:history="1"/>
      <w:r w:rsidRPr="004F0EC4">
        <w:rPr>
          <w:rtl/>
        </w:rPr>
        <w:t>.</w:t>
      </w:r>
    </w:p>
  </w:footnote>
  <w:footnote w:id="131">
    <w:p w14:paraId="034F1A87"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35" w:history="1">
        <w:r w:rsidRPr="004F0EC4">
          <w:rPr>
            <w:rStyle w:val="Hyperlink"/>
          </w:rPr>
          <w:t>https://www.youtube.com/watch?v=AE-hnP8KYP4</w:t>
        </w:r>
      </w:hyperlink>
      <w:r w:rsidRPr="004F0EC4">
        <w:rPr>
          <w:rtl/>
        </w:rPr>
        <w:t>.</w:t>
      </w:r>
    </w:p>
  </w:footnote>
  <w:footnote w:id="132">
    <w:p w14:paraId="0CB965B2"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36" w:history="1">
        <w:r w:rsidRPr="004F0EC4">
          <w:rPr>
            <w:rStyle w:val="Hyperlink"/>
          </w:rPr>
          <w:t>https://www.youtube.com/playlist?list=PLiM1Z2DRIWDMZTTs4Y4NLEYRk3wQIEvqq</w:t>
        </w:r>
      </w:hyperlink>
      <w:r w:rsidRPr="004F0EC4">
        <w:rPr>
          <w:rtl/>
        </w:rPr>
        <w:t>.</w:t>
      </w:r>
    </w:p>
  </w:footnote>
  <w:footnote w:id="133">
    <w:p w14:paraId="3F7F0E10"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37" w:history="1">
        <w:r w:rsidRPr="004F0EC4">
          <w:rPr>
            <w:rStyle w:val="Hyperlink"/>
          </w:rPr>
          <w:t>https://www.youtube.com/c/pjudicialchile/featured</w:t>
        </w:r>
      </w:hyperlink>
      <w:r w:rsidRPr="004F0EC4">
        <w:rPr>
          <w:rtl/>
        </w:rPr>
        <w:t>.</w:t>
      </w:r>
    </w:p>
  </w:footnote>
  <w:footnote w:id="134">
    <w:p w14:paraId="084B5B12"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المرفق 3.</w:t>
      </w:r>
    </w:p>
  </w:footnote>
  <w:footnote w:id="135">
    <w:p w14:paraId="4DF167FA"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38" w:history="1">
        <w:r w:rsidRPr="004F0EC4">
          <w:rPr>
            <w:rStyle w:val="Hyperlink"/>
          </w:rPr>
          <w:t>https://www.senadis.gob.cl/descarga/i/6664/documento</w:t>
        </w:r>
      </w:hyperlink>
      <w:r w:rsidRPr="004F0EC4">
        <w:rPr>
          <w:rtl/>
        </w:rPr>
        <w:t>.</w:t>
      </w:r>
    </w:p>
  </w:footnote>
  <w:footnote w:id="136">
    <w:p w14:paraId="412EC2A1"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39" w:history="1">
        <w:r w:rsidRPr="004F0EC4">
          <w:rPr>
            <w:rStyle w:val="Hyperlink"/>
          </w:rPr>
          <w:t>https://www.pjud.cl/prensa-y-comunicaciones/noticias-del-poder-judicial/63136</w:t>
        </w:r>
      </w:hyperlink>
      <w:r w:rsidRPr="004F0EC4">
        <w:rPr>
          <w:rtl/>
        </w:rPr>
        <w:t>.</w:t>
      </w:r>
    </w:p>
  </w:footnote>
  <w:footnote w:id="137">
    <w:p w14:paraId="39ED680A"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40" w:history="1">
        <w:r w:rsidRPr="004F0EC4">
          <w:rPr>
            <w:rStyle w:val="Hyperlink"/>
          </w:rPr>
          <w:t>https://www.senadis.gob.cl/participacion/d/noticias/8811/senadis-expone-en-curso-de-instructores-en-derechos-humanos-aplicables-a-la-funcion-policial</w:t>
        </w:r>
      </w:hyperlink>
      <w:r w:rsidRPr="004F0EC4">
        <w:rPr>
          <w:rtl/>
        </w:rPr>
        <w:t>.</w:t>
      </w:r>
    </w:p>
  </w:footnote>
  <w:footnote w:id="138">
    <w:p w14:paraId="63BD2165" w14:textId="0BCAC318" w:rsidR="00C00FE8" w:rsidRPr="004F0EC4" w:rsidRDefault="00C00FE8" w:rsidP="00C00FE8">
      <w:pPr>
        <w:pStyle w:val="FootnoteText1"/>
      </w:pPr>
      <w:r w:rsidRPr="004F0EC4">
        <w:rPr>
          <w:rtl/>
        </w:rPr>
        <w:t>(</w:t>
      </w:r>
      <w:r w:rsidRPr="004F0EC4">
        <w:footnoteRef/>
      </w:r>
      <w:r w:rsidRPr="004F0EC4">
        <w:rPr>
          <w:rtl/>
        </w:rPr>
        <w:t>)</w:t>
      </w:r>
      <w:r w:rsidRPr="004F0EC4">
        <w:rPr>
          <w:rtl/>
        </w:rPr>
        <w:tab/>
        <w:t>المرفق 4</w:t>
      </w:r>
      <w:r w:rsidR="0044544B">
        <w:rPr>
          <w:rFonts w:hint="cs"/>
          <w:rtl/>
        </w:rPr>
        <w:t>.</w:t>
      </w:r>
    </w:p>
  </w:footnote>
  <w:footnote w:id="139">
    <w:p w14:paraId="69B710C2"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41" w:history="1">
        <w:r w:rsidRPr="004F0EC4">
          <w:rPr>
            <w:rStyle w:val="Hyperlink"/>
          </w:rPr>
          <w:t>https://www.ucentral.cl/noticias/fac-derecho-y-humanidades/proyecto-vcm-discapacidad-en-la-carcel-reconociendo-derechos-para-la</w:t>
        </w:r>
      </w:hyperlink>
      <w:r w:rsidRPr="004F0EC4">
        <w:rPr>
          <w:rtl/>
        </w:rPr>
        <w:t>.</w:t>
      </w:r>
    </w:p>
  </w:footnote>
  <w:footnote w:id="140">
    <w:p w14:paraId="2F0ABFFD"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في عام 2021، حُدد موعد لدورة تدريبية واحدة لكل إقليم. ووضعت خطط لتنظيم 25 دورة تدريبية في عام 2022.</w:t>
      </w:r>
    </w:p>
  </w:footnote>
  <w:footnote w:id="141">
    <w:p w14:paraId="4A741AC3"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تتمثل مهمة اللجنة في تلبية احتياجات الأشخاص ذوي الإعاقة المسلوبة حريتهم أو الخاضعين لإدارة السجون بصورة شاملة، وفقاً</w:t>
      </w:r>
      <w:r w:rsidRPr="004F0EC4">
        <w:rPr>
          <w:rFonts w:hint="cs"/>
          <w:rtl/>
        </w:rPr>
        <w:t> </w:t>
      </w:r>
      <w:r w:rsidRPr="004F0EC4">
        <w:rPr>
          <w:rtl/>
        </w:rPr>
        <w:t xml:space="preserve">لمبادئ إمكانية الوصول للجميع، والترتيبات </w:t>
      </w:r>
      <w:proofErr w:type="spellStart"/>
      <w:r w:rsidRPr="004F0EC4">
        <w:rPr>
          <w:rtl/>
        </w:rPr>
        <w:t>التيسيربة</w:t>
      </w:r>
      <w:proofErr w:type="spellEnd"/>
      <w:r w:rsidRPr="004F0EC4">
        <w:rPr>
          <w:rtl/>
        </w:rPr>
        <w:t xml:space="preserve"> المعقولة، والتنقل الشخصي، والتأهيل وإعادة التأهيل.</w:t>
      </w:r>
    </w:p>
  </w:footnote>
  <w:footnote w:id="142">
    <w:p w14:paraId="63337A1D"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42" w:history="1">
        <w:r w:rsidRPr="004F0EC4">
          <w:rPr>
            <w:rStyle w:val="Hyperlink"/>
          </w:rPr>
          <w:t>https://academiajudicial.cl/</w:t>
        </w:r>
      </w:hyperlink>
      <w:hyperlink r:id="rId143" w:history="1"/>
      <w:r w:rsidRPr="004F0EC4">
        <w:rPr>
          <w:rtl/>
        </w:rPr>
        <w:t>.</w:t>
      </w:r>
    </w:p>
  </w:footnote>
  <w:footnote w:id="143">
    <w:p w14:paraId="48E08B1E"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44" w:history="1">
        <w:r w:rsidRPr="004F0EC4">
          <w:rPr>
            <w:rStyle w:val="Hyperlink"/>
          </w:rPr>
          <w:t>https://academiajudicial.cl/wp-content/uploads/2021/11/4056-2022.docx.pdf</w:t>
        </w:r>
      </w:hyperlink>
      <w:r w:rsidRPr="004F0EC4">
        <w:rPr>
          <w:rtl/>
        </w:rPr>
        <w:t>.</w:t>
      </w:r>
    </w:p>
  </w:footnote>
  <w:footnote w:id="144">
    <w:p w14:paraId="6945DCE8"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يهدف هذا المقرر الدراسي إلى مناقشة حق الأشخاص ذوي الإعاقة في الوصول إلى العدالة والمثول أمام المحاكم.</w:t>
      </w:r>
    </w:p>
  </w:footnote>
  <w:footnote w:id="145">
    <w:p w14:paraId="38389669"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r w:rsidRPr="004F0EC4">
        <w:rPr>
          <w:spacing w:val="2"/>
          <w:rtl/>
        </w:rPr>
        <w:t>يعمل في الجهاز القضائي 19 شخصاً من ذوي الإعاقة في وظائف دائمة أو بموجب عقود سنوية، وقد بُذلت جهود لتشجيع التسجيل في السجل الوطني للإعاقة.</w:t>
      </w:r>
    </w:p>
  </w:footnote>
  <w:footnote w:id="146">
    <w:p w14:paraId="6DEF03B9"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45" w:history="1">
        <w:r w:rsidRPr="004F0EC4">
          <w:rPr>
            <w:rStyle w:val="Hyperlink"/>
          </w:rPr>
          <w:t>http://bcn.cl/2o7zd</w:t>
        </w:r>
      </w:hyperlink>
      <w:r w:rsidRPr="004F0EC4">
        <w:rPr>
          <w:rtl/>
        </w:rPr>
        <w:t>.</w:t>
      </w:r>
    </w:p>
  </w:footnote>
  <w:footnote w:id="147">
    <w:p w14:paraId="056EB849"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46" w:history="1">
        <w:r w:rsidRPr="004F0EC4">
          <w:rPr>
            <w:rStyle w:val="Hyperlink"/>
          </w:rPr>
          <w:t>http://www.fiscaliadechile.cl/transparencia/documentos/reglamentos/reglamento_inclusion</w:t>
        </w:r>
        <w:r w:rsidRPr="004F0EC4">
          <w:rPr>
            <w:rStyle w:val="Hyperlink"/>
          </w:rPr>
          <w:br/>
          <w:t>_de_personas_con_discapacidad_al_mundo_laboral.pdf</w:t>
        </w:r>
      </w:hyperlink>
      <w:r w:rsidRPr="004F0EC4">
        <w:rPr>
          <w:rtl/>
        </w:rPr>
        <w:t>.</w:t>
      </w:r>
    </w:p>
  </w:footnote>
  <w:footnote w:id="148">
    <w:p w14:paraId="03A0878A"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حضر الاجتماع 268 موظفاً.</w:t>
      </w:r>
    </w:p>
  </w:footnote>
  <w:footnote w:id="149">
    <w:p w14:paraId="407C6365" w14:textId="4623BA2B" w:rsidR="00C00FE8" w:rsidRPr="004F0EC4" w:rsidRDefault="00C00FE8" w:rsidP="00C00FE8">
      <w:pPr>
        <w:pStyle w:val="FootnoteText1"/>
      </w:pPr>
      <w:r w:rsidRPr="004F0EC4">
        <w:rPr>
          <w:rtl/>
        </w:rPr>
        <w:t>(</w:t>
      </w:r>
      <w:r w:rsidRPr="004F0EC4">
        <w:footnoteRef/>
      </w:r>
      <w:r w:rsidRPr="004F0EC4">
        <w:rPr>
          <w:rtl/>
        </w:rPr>
        <w:t>)</w:t>
      </w:r>
      <w:r w:rsidRPr="004F0EC4">
        <w:rPr>
          <w:rtl/>
        </w:rPr>
        <w:tab/>
      </w:r>
      <w:r w:rsidR="0044544B" w:rsidRPr="0044544B">
        <w:rPr>
          <w:rtl/>
        </w:rPr>
        <w:t>المرفق</w:t>
      </w:r>
      <w:r w:rsidR="0044544B">
        <w:rPr>
          <w:rFonts w:hint="cs"/>
          <w:rtl/>
        </w:rPr>
        <w:t xml:space="preserve"> 4.</w:t>
      </w:r>
    </w:p>
  </w:footnote>
  <w:footnote w:id="150">
    <w:p w14:paraId="7EFDDE3F"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47" w:history="1">
        <w:r w:rsidRPr="004F0EC4">
          <w:rPr>
            <w:rStyle w:val="Hyperlink"/>
          </w:rPr>
          <w:t>http://bcn.cl/2irkh</w:t>
        </w:r>
      </w:hyperlink>
      <w:r w:rsidRPr="004F0EC4">
        <w:rPr>
          <w:rtl/>
        </w:rPr>
        <w:t>.</w:t>
      </w:r>
    </w:p>
  </w:footnote>
  <w:footnote w:id="151">
    <w:p w14:paraId="6C441ECE" w14:textId="77777777" w:rsidR="00C00FE8" w:rsidRPr="004F0EC4" w:rsidRDefault="00C00FE8" w:rsidP="00C00FE8">
      <w:pPr>
        <w:pStyle w:val="FootnoteText1"/>
        <w:spacing w:line="260" w:lineRule="exact"/>
      </w:pPr>
      <w:r w:rsidRPr="004F0EC4">
        <w:rPr>
          <w:rtl/>
        </w:rPr>
        <w:t>(</w:t>
      </w:r>
      <w:r w:rsidRPr="004F0EC4">
        <w:footnoteRef/>
      </w:r>
      <w:r w:rsidRPr="004F0EC4">
        <w:rPr>
          <w:rtl/>
        </w:rPr>
        <w:t>)</w:t>
      </w:r>
      <w:r w:rsidRPr="004F0EC4">
        <w:rPr>
          <w:rtl/>
        </w:rPr>
        <w:tab/>
      </w:r>
      <w:hyperlink r:id="rId148" w:history="1">
        <w:r w:rsidRPr="004F0EC4">
          <w:rPr>
            <w:rStyle w:val="Hyperlink"/>
          </w:rPr>
          <w:t>http://bcn.cl/33we7</w:t>
        </w:r>
      </w:hyperlink>
      <w:r w:rsidRPr="004F0EC4">
        <w:rPr>
          <w:rtl/>
        </w:rPr>
        <w:t>.</w:t>
      </w:r>
    </w:p>
  </w:footnote>
  <w:footnote w:id="152">
    <w:p w14:paraId="0C5EB1DC" w14:textId="77777777" w:rsidR="00C00FE8" w:rsidRPr="004F0EC4" w:rsidRDefault="00C00FE8" w:rsidP="00C00FE8">
      <w:pPr>
        <w:pStyle w:val="FootnoteText1"/>
        <w:spacing w:line="260" w:lineRule="exact"/>
      </w:pPr>
      <w:r w:rsidRPr="004F0EC4">
        <w:rPr>
          <w:rtl/>
        </w:rPr>
        <w:t>(</w:t>
      </w:r>
      <w:r w:rsidRPr="004F0EC4">
        <w:footnoteRef/>
      </w:r>
      <w:r w:rsidRPr="004F0EC4">
        <w:rPr>
          <w:rtl/>
        </w:rPr>
        <w:t>)</w:t>
      </w:r>
      <w:r w:rsidRPr="004F0EC4">
        <w:rPr>
          <w:rtl/>
        </w:rPr>
        <w:tab/>
      </w:r>
      <w:hyperlink r:id="rId149" w:history="1">
        <w:r w:rsidRPr="004F0EC4">
          <w:rPr>
            <w:rStyle w:val="Hyperlink"/>
          </w:rPr>
          <w:t>http://bcn.cl/2p863</w:t>
        </w:r>
      </w:hyperlink>
      <w:r w:rsidRPr="004F0EC4">
        <w:rPr>
          <w:rtl/>
        </w:rPr>
        <w:t>.</w:t>
      </w:r>
    </w:p>
  </w:footnote>
  <w:footnote w:id="153">
    <w:p w14:paraId="27DA037D" w14:textId="77777777" w:rsidR="00C00FE8" w:rsidRPr="004F0EC4" w:rsidRDefault="00C00FE8" w:rsidP="00C00FE8">
      <w:pPr>
        <w:pStyle w:val="FootnoteText1"/>
        <w:spacing w:line="260" w:lineRule="exact"/>
      </w:pPr>
      <w:r w:rsidRPr="004F0EC4">
        <w:rPr>
          <w:rtl/>
        </w:rPr>
        <w:t>(</w:t>
      </w:r>
      <w:r w:rsidRPr="004F0EC4">
        <w:footnoteRef/>
      </w:r>
      <w:r w:rsidRPr="004F0EC4">
        <w:rPr>
          <w:rtl/>
        </w:rPr>
        <w:t>)</w:t>
      </w:r>
      <w:r w:rsidRPr="004F0EC4">
        <w:rPr>
          <w:rtl/>
        </w:rPr>
        <w:tab/>
      </w:r>
      <w:hyperlink r:id="rId150" w:history="1">
        <w:r w:rsidRPr="004F0EC4">
          <w:rPr>
            <w:rStyle w:val="Hyperlink"/>
          </w:rPr>
          <w:t>https://www.senado.cl/appsenado/templates/tramitacion/index.php?boletin_ini=14233-07</w:t>
        </w:r>
      </w:hyperlink>
      <w:r w:rsidRPr="004F0EC4">
        <w:rPr>
          <w:rtl/>
        </w:rPr>
        <w:t>.</w:t>
      </w:r>
    </w:p>
  </w:footnote>
  <w:footnote w:id="154">
    <w:p w14:paraId="68616303" w14:textId="77777777" w:rsidR="00572E1D" w:rsidRPr="004F0EC4" w:rsidRDefault="00572E1D" w:rsidP="00572E1D">
      <w:pPr>
        <w:pStyle w:val="FootnoteText1"/>
        <w:spacing w:line="260" w:lineRule="exact"/>
      </w:pPr>
      <w:r w:rsidRPr="004F0EC4">
        <w:rPr>
          <w:rtl/>
        </w:rPr>
        <w:t>(</w:t>
      </w:r>
      <w:r w:rsidRPr="004F0EC4">
        <w:footnoteRef/>
      </w:r>
      <w:r w:rsidRPr="004F0EC4">
        <w:rPr>
          <w:rtl/>
        </w:rPr>
        <w:t>)</w:t>
      </w:r>
      <w:r w:rsidRPr="004F0EC4">
        <w:rPr>
          <w:rtl/>
        </w:rPr>
        <w:tab/>
      </w:r>
      <w:hyperlink r:id="rId151" w:history="1">
        <w:r w:rsidRPr="004F0EC4">
          <w:rPr>
            <w:rStyle w:val="Hyperlink"/>
          </w:rPr>
          <w:t>https://www.senado.cl/appsenado/templates/tramitacion/index.php?boletin_ini=13437-07</w:t>
        </w:r>
      </w:hyperlink>
      <w:r w:rsidRPr="004F0EC4">
        <w:rPr>
          <w:rtl/>
        </w:rPr>
        <w:t>.</w:t>
      </w:r>
    </w:p>
  </w:footnote>
  <w:footnote w:id="155">
    <w:p w14:paraId="1F2B1AC8" w14:textId="77777777" w:rsidR="00C00FE8" w:rsidRPr="004F0EC4" w:rsidRDefault="00C00FE8" w:rsidP="00C00FE8">
      <w:pPr>
        <w:pStyle w:val="FootnoteText1"/>
        <w:spacing w:line="260" w:lineRule="exact"/>
      </w:pPr>
      <w:r w:rsidRPr="004F0EC4">
        <w:rPr>
          <w:rtl/>
        </w:rPr>
        <w:t>(</w:t>
      </w:r>
      <w:r w:rsidRPr="004F0EC4">
        <w:footnoteRef/>
      </w:r>
      <w:r w:rsidRPr="004F0EC4">
        <w:rPr>
          <w:rtl/>
        </w:rPr>
        <w:t>)</w:t>
      </w:r>
      <w:r w:rsidRPr="004F0EC4">
        <w:rPr>
          <w:rtl/>
        </w:rPr>
        <w:tab/>
      </w:r>
      <w:hyperlink r:id="rId152" w:history="1">
        <w:r w:rsidRPr="004F0EC4">
          <w:rPr>
            <w:rStyle w:val="Hyperlink"/>
          </w:rPr>
          <w:t>http://www.senado.cl/appsenado/templates/tramitacion/index.php?boletin_ini=12213-07</w:t>
        </w:r>
      </w:hyperlink>
      <w:r w:rsidRPr="004F0EC4">
        <w:rPr>
          <w:rtl/>
        </w:rPr>
        <w:t>.</w:t>
      </w:r>
    </w:p>
  </w:footnote>
  <w:footnote w:id="156">
    <w:p w14:paraId="53AF23AD" w14:textId="77777777" w:rsidR="00C00FE8" w:rsidRPr="004F0EC4" w:rsidRDefault="00C00FE8" w:rsidP="00C00FE8">
      <w:pPr>
        <w:pStyle w:val="FootnoteText1"/>
        <w:spacing w:line="260" w:lineRule="exact"/>
      </w:pPr>
      <w:r w:rsidRPr="004F0EC4">
        <w:rPr>
          <w:rtl/>
        </w:rPr>
        <w:t>(</w:t>
      </w:r>
      <w:r w:rsidRPr="004F0EC4">
        <w:footnoteRef/>
      </w:r>
      <w:r w:rsidRPr="004F0EC4">
        <w:rPr>
          <w:rtl/>
        </w:rPr>
        <w:t>)</w:t>
      </w:r>
      <w:r w:rsidRPr="004F0EC4">
        <w:rPr>
          <w:rtl/>
        </w:rPr>
        <w:tab/>
      </w:r>
      <w:hyperlink r:id="rId153" w:history="1">
        <w:r w:rsidRPr="004F0EC4">
          <w:rPr>
            <w:rStyle w:val="Hyperlink"/>
          </w:rPr>
          <w:t>http://bcn.cl/2p863</w:t>
        </w:r>
      </w:hyperlink>
      <w:r w:rsidRPr="004F0EC4">
        <w:rPr>
          <w:rtl/>
        </w:rPr>
        <w:t>.</w:t>
      </w:r>
    </w:p>
  </w:footnote>
  <w:footnote w:id="157">
    <w:p w14:paraId="00F88675" w14:textId="77777777" w:rsidR="00C00FE8" w:rsidRPr="004F0EC4" w:rsidRDefault="00C00FE8" w:rsidP="00C00FE8">
      <w:pPr>
        <w:pStyle w:val="FootnoteText1"/>
        <w:spacing w:line="260" w:lineRule="exact"/>
      </w:pPr>
      <w:r w:rsidRPr="004F0EC4">
        <w:rPr>
          <w:rtl/>
        </w:rPr>
        <w:t>(</w:t>
      </w:r>
      <w:r w:rsidRPr="004F0EC4">
        <w:footnoteRef/>
      </w:r>
      <w:r w:rsidRPr="004F0EC4">
        <w:rPr>
          <w:rtl/>
        </w:rPr>
        <w:t>)</w:t>
      </w:r>
      <w:r w:rsidRPr="004F0EC4">
        <w:rPr>
          <w:rtl/>
        </w:rPr>
        <w:tab/>
      </w:r>
      <w:hyperlink r:id="rId154" w:history="1">
        <w:r w:rsidRPr="004F0EC4">
          <w:rPr>
            <w:rStyle w:val="Hyperlink"/>
          </w:rPr>
          <w:t>https://bcn.cl/2fbiv</w:t>
        </w:r>
      </w:hyperlink>
      <w:r w:rsidRPr="004F0EC4">
        <w:rPr>
          <w:rtl/>
        </w:rPr>
        <w:t>.</w:t>
      </w:r>
    </w:p>
  </w:footnote>
  <w:footnote w:id="158">
    <w:p w14:paraId="594AEB7A"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 xml:space="preserve">يُعد تقديم الشكاوى إلزامياً للأشخاص الذين يشغلون مناصب معينة. ورغم أن اللجنة الوطنية لحماية حقوق الأشخاص المصابين </w:t>
      </w:r>
      <w:r w:rsidRPr="004F0EC4">
        <w:rPr>
          <w:spacing w:val="-2"/>
          <w:rtl/>
        </w:rPr>
        <w:t>بأمراض عقلية لا تتمتع بسلطة تأديبية، فهي تجري تحقيقات إدارية في الشكاوى التي تتلقاها، ولديها صلاحية التحقيق في الانتهاكات</w:t>
      </w:r>
      <w:r w:rsidRPr="004F0EC4">
        <w:rPr>
          <w:rtl/>
        </w:rPr>
        <w:t xml:space="preserve"> المحتملة وتوجيه الاهتمام إلى تلك الانتهاكات، واقتراح تدابير للوقاية منها والتعويض عنها.</w:t>
      </w:r>
    </w:p>
  </w:footnote>
  <w:footnote w:id="159">
    <w:p w14:paraId="2A389146"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55" w:history="1">
        <w:r w:rsidRPr="004F0EC4">
          <w:rPr>
            <w:rStyle w:val="Hyperlink"/>
          </w:rPr>
          <w:t>http://bcn.cl/33x29</w:t>
        </w:r>
      </w:hyperlink>
      <w:r w:rsidRPr="004F0EC4">
        <w:rPr>
          <w:rtl/>
        </w:rPr>
        <w:t>.</w:t>
      </w:r>
    </w:p>
  </w:footnote>
  <w:footnote w:id="160">
    <w:p w14:paraId="5729E339"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56" w:history="1">
        <w:r w:rsidRPr="004F0EC4">
          <w:rPr>
            <w:rStyle w:val="Hyperlink"/>
          </w:rPr>
          <w:t>http://bcn.cl/2p863</w:t>
        </w:r>
      </w:hyperlink>
      <w:r w:rsidRPr="004F0EC4">
        <w:rPr>
          <w:rtl/>
        </w:rPr>
        <w:t>.</w:t>
      </w:r>
    </w:p>
  </w:footnote>
  <w:footnote w:id="161">
    <w:p w14:paraId="7CFEF5C4"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طبقت اللجنة الوطنية لحماية حقوق الأشخاص المصابين بأمراض عقلية هذا الحكم في اجتماع عقد في 14 تشرين الأول/</w:t>
      </w:r>
      <w:r w:rsidRPr="004F0EC4">
        <w:rPr>
          <w:rFonts w:hint="cs"/>
          <w:rtl/>
        </w:rPr>
        <w:t xml:space="preserve">         </w:t>
      </w:r>
      <w:r w:rsidRPr="004F0EC4">
        <w:rPr>
          <w:rtl/>
        </w:rPr>
        <w:t>أكتوبر 2021، أثناء نظرها في طلب إذن بإجراء عملية جراحة عقلية، وقد رُفض الطلب لعدم وجود سجل يثبت أن الشخص المعني قد أعطى موافقة مستنيرة، ولعدم مناقشة خيارات علاجية أخرى.</w:t>
      </w:r>
    </w:p>
  </w:footnote>
  <w:footnote w:id="162">
    <w:p w14:paraId="5C276E44"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57" w:history="1">
        <w:r w:rsidRPr="004F0EC4">
          <w:rPr>
            <w:rStyle w:val="Hyperlink"/>
          </w:rPr>
          <w:t>http://bcn.cl/33x2a</w:t>
        </w:r>
      </w:hyperlink>
      <w:r w:rsidRPr="004F0EC4">
        <w:rPr>
          <w:rtl/>
        </w:rPr>
        <w:t>.</w:t>
      </w:r>
    </w:p>
  </w:footnote>
  <w:footnote w:id="163">
    <w:p w14:paraId="6FBE0F86"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58" w:history="1">
        <w:r w:rsidRPr="004F0EC4">
          <w:rPr>
            <w:rStyle w:val="Hyperlink"/>
          </w:rPr>
          <w:t>https://www.minsal.cl/wp-content/uploads/2017/12/PDF-PLAN-NACIONAL-SALUD-MENTAL-2017-A-2025.-7-dic-2017.pdf</w:t>
        </w:r>
      </w:hyperlink>
      <w:r w:rsidRPr="004F0EC4">
        <w:rPr>
          <w:rtl/>
        </w:rPr>
        <w:t>.</w:t>
      </w:r>
    </w:p>
  </w:footnote>
  <w:footnote w:id="164">
    <w:p w14:paraId="69668C4D" w14:textId="77777777" w:rsidR="00C00FE8" w:rsidRPr="004F0EC4" w:rsidRDefault="00C00FE8" w:rsidP="00C00FE8">
      <w:pPr>
        <w:pStyle w:val="FootnoteText1"/>
      </w:pPr>
      <w:r w:rsidRPr="004F0EC4">
        <w:rPr>
          <w:spacing w:val="-2"/>
          <w:rtl/>
        </w:rPr>
        <w:t>(</w:t>
      </w:r>
      <w:r w:rsidRPr="004F0EC4">
        <w:rPr>
          <w:spacing w:val="-2"/>
        </w:rPr>
        <w:footnoteRef/>
      </w:r>
      <w:r w:rsidRPr="004F0EC4">
        <w:rPr>
          <w:spacing w:val="-2"/>
          <w:rtl/>
        </w:rPr>
        <w:t>)</w:t>
      </w:r>
      <w:r w:rsidRPr="004F0EC4">
        <w:rPr>
          <w:spacing w:val="-2"/>
          <w:rtl/>
        </w:rPr>
        <w:tab/>
      </w:r>
      <w:hyperlink r:id="rId159" w:history="1">
        <w:r w:rsidRPr="004F0EC4">
          <w:rPr>
            <w:rStyle w:val="Hyperlink"/>
            <w:spacing w:val="-2"/>
          </w:rPr>
          <w:t>https://mnpt.cl/wp-content/uploads/2021/09/74830-INFORME-ANUAL-CPT-INTE-web-INDH.pdf</w:t>
        </w:r>
      </w:hyperlink>
      <w:r w:rsidRPr="004F0EC4">
        <w:rPr>
          <w:rtl/>
        </w:rPr>
        <w:t>.</w:t>
      </w:r>
    </w:p>
  </w:footnote>
  <w:footnote w:id="165">
    <w:p w14:paraId="1E21534C"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r w:rsidRPr="004F0EC4">
        <w:rPr>
          <w:spacing w:val="-4"/>
          <w:rtl/>
        </w:rPr>
        <w:t>اللوائح المتعلقة بالإيداع في مستشفيات الصحة العقلية، والمعايير التقنية للعلاج بالصدمات الكهربائية، وبروتوكول التعامل مع انتهاكات</w:t>
      </w:r>
      <w:r w:rsidRPr="004F0EC4">
        <w:rPr>
          <w:rtl/>
        </w:rPr>
        <w:t xml:space="preserve"> الحقوق في سياق الرعاية الصحية النفسية.</w:t>
      </w:r>
    </w:p>
  </w:footnote>
  <w:footnote w:id="166">
    <w:p w14:paraId="7F853E9B"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60" w:history="1">
        <w:r w:rsidRPr="004F0EC4">
          <w:rPr>
            <w:rStyle w:val="Hyperlink"/>
          </w:rPr>
          <w:t>https://eurosocial.eu/wp-content/uploads/2020/03/document7.pdf</w:t>
        </w:r>
      </w:hyperlink>
      <w:r w:rsidRPr="004F0EC4">
        <w:rPr>
          <w:rtl/>
        </w:rPr>
        <w:t>.</w:t>
      </w:r>
    </w:p>
  </w:footnote>
  <w:footnote w:id="167">
    <w:p w14:paraId="35BFC2C2"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ينص الدليل على عدم جواز التمييز عند تلقي الشكاوى، وعدم جواز الطعن في صحتها القانونية، وعدم جواز أن يكون لذلك أي</w:t>
      </w:r>
      <w:r w:rsidRPr="004F0EC4">
        <w:rPr>
          <w:rFonts w:hint="cs"/>
          <w:rtl/>
        </w:rPr>
        <w:t> </w:t>
      </w:r>
      <w:r w:rsidRPr="004F0EC4">
        <w:rPr>
          <w:rtl/>
        </w:rPr>
        <w:t>تأثير سلبي على بدء التحقيقات. وتشير اللجنة إلى أن العنف الجنساني الذي يتعرض له الأشخاص ذوو الإعاقة غالباً ما</w:t>
      </w:r>
      <w:r w:rsidRPr="004F0EC4">
        <w:rPr>
          <w:rFonts w:hint="cs"/>
          <w:rtl/>
        </w:rPr>
        <w:t> </w:t>
      </w:r>
      <w:r w:rsidRPr="004F0EC4">
        <w:rPr>
          <w:rtl/>
        </w:rPr>
        <w:t>يحدث داخل المنزل، وأن الأشخاص ذوي الإعاقة يحتاجون من ثم إلى حماية خاصة. وبالإضافة إلى ذلك، تصدر النيابة العامة تعليمات عامة تتضمن إرشادات للتصدي لأعمال العنف المؤسسي.</w:t>
      </w:r>
    </w:p>
  </w:footnote>
  <w:footnote w:id="168">
    <w:p w14:paraId="189F6F76"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t>بدأت المرحلة الثالثة من تنفيذ القانون رقم 21-057 في 3 تشرين الأول/أكتوبر 2022، ليبدأ بعد ذلك تطبيق القانون في جميع أنحاء البلد.</w:t>
      </w:r>
    </w:p>
  </w:footnote>
  <w:footnote w:id="169">
    <w:p w14:paraId="3783B352"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61" w:history="1">
        <w:r w:rsidRPr="004F0EC4">
          <w:rPr>
            <w:rStyle w:val="Hyperlink"/>
          </w:rPr>
          <w:t>http://bcn.cl/33qa6</w:t>
        </w:r>
      </w:hyperlink>
      <w:r w:rsidRPr="004F0EC4">
        <w:rPr>
          <w:rtl/>
        </w:rPr>
        <w:t>.</w:t>
      </w:r>
    </w:p>
  </w:footnote>
  <w:footnote w:id="170">
    <w:p w14:paraId="52832622"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62" w:history="1">
        <w:r w:rsidRPr="004F0EC4">
          <w:rPr>
            <w:rStyle w:val="Hyperlink"/>
          </w:rPr>
          <w:t>https://ordenesgenerales.investigaciones.cl/Archivo/Descarga/?file=</w:t>
        </w:r>
        <w:r w:rsidRPr="004F0EC4">
          <w:rPr>
            <w:rStyle w:val="Hyperlink"/>
          </w:rPr>
          <w:br/>
          <w:t>7A3C8B3639FE6D2F62020269C421582E4F10B2F9</w:t>
        </w:r>
      </w:hyperlink>
      <w:r w:rsidRPr="004F0EC4">
        <w:rPr>
          <w:rtl/>
        </w:rPr>
        <w:t>.</w:t>
      </w:r>
    </w:p>
  </w:footnote>
  <w:footnote w:id="171">
    <w:p w14:paraId="0C5ABBEC" w14:textId="77777777" w:rsidR="00C00FE8" w:rsidRPr="004F0EC4" w:rsidRDefault="00C00FE8" w:rsidP="00C00FE8">
      <w:pPr>
        <w:pStyle w:val="FootnoteText1"/>
      </w:pPr>
      <w:r w:rsidRPr="004F0EC4">
        <w:rPr>
          <w:rtl/>
        </w:rPr>
        <w:t>(</w:t>
      </w:r>
      <w:r w:rsidRPr="004F0EC4">
        <w:footnoteRef/>
      </w:r>
      <w:r w:rsidRPr="004F0EC4">
        <w:rPr>
          <w:rtl/>
        </w:rPr>
        <w:t>)</w:t>
      </w:r>
      <w:r w:rsidRPr="004F0EC4">
        <w:rPr>
          <w:rtl/>
        </w:rPr>
        <w:tab/>
      </w:r>
      <w:hyperlink r:id="rId163" w:history="1">
        <w:r w:rsidRPr="004F0EC4">
          <w:rPr>
            <w:rStyle w:val="Hyperlink"/>
          </w:rPr>
          <w:t>http://bcn.cl/2nfgq</w:t>
        </w:r>
      </w:hyperlink>
      <w:r w:rsidRPr="004F0EC4">
        <w:rPr>
          <w:rtl/>
        </w:rPr>
        <w:t>.</w:t>
      </w:r>
    </w:p>
  </w:footnote>
  <w:footnote w:id="172">
    <w:p w14:paraId="4C4E36F1" w14:textId="0A51C0E6"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64" w:history="1">
        <w:r w:rsidRPr="004F0EC4">
          <w:rPr>
            <w:rStyle w:val="Hyperlink"/>
          </w:rPr>
          <w:t>https://www.sernameg.gob.cl/?p=34095</w:t>
        </w:r>
      </w:hyperlink>
      <w:r w:rsidRPr="004F0EC4">
        <w:rPr>
          <w:rtl/>
        </w:rPr>
        <w:t>.</w:t>
      </w:r>
    </w:p>
  </w:footnote>
  <w:footnote w:id="173">
    <w:p w14:paraId="4A9FAEDD" w14:textId="0F8EACC0" w:rsidR="00E54512" w:rsidRPr="004F0EC4" w:rsidRDefault="00E54512" w:rsidP="00E54512">
      <w:pPr>
        <w:pStyle w:val="FootnoteText1"/>
        <w:rPr>
          <w:rtl/>
        </w:rPr>
      </w:pPr>
      <w:r w:rsidRPr="004F0EC4">
        <w:rPr>
          <w:rtl/>
        </w:rPr>
        <w:t>(</w:t>
      </w:r>
      <w:r w:rsidRPr="004F0EC4">
        <w:footnoteRef/>
      </w:r>
      <w:r w:rsidRPr="004F0EC4">
        <w:rPr>
          <w:rtl/>
        </w:rPr>
        <w:t>)</w:t>
      </w:r>
      <w:r w:rsidRPr="004F0EC4">
        <w:rPr>
          <w:rtl/>
        </w:rPr>
        <w:tab/>
        <w:t xml:space="preserve">يطبَّق نهج محلي يراعي أيضاً المساواة بين </w:t>
      </w:r>
      <w:proofErr w:type="gramStart"/>
      <w:r w:rsidRPr="004F0EC4">
        <w:rPr>
          <w:rtl/>
        </w:rPr>
        <w:t>الجنسين</w:t>
      </w:r>
      <w:proofErr w:type="gramEnd"/>
      <w:r w:rsidRPr="004F0EC4">
        <w:rPr>
          <w:rtl/>
        </w:rPr>
        <w:t xml:space="preserve"> وحقوق الإنسان وتفاعل الثقافات والتقاطعية. وعندما يتعذر تنفيذ برنامج لتقديم الإرشادات والمعلومات و/أو المساعدة النفسية الاجتماعية والتعليمية والقانونية لأن وضع امرأةٍ ما ينطوي على متغيرات متقاطعة ذات أهمية، يتولى موظفو مركز النساء الصم تقديم هذه الخدمات على نحو مباشر. وبالإضافة إلى الدعم الفردي، يقدَّم الدعم الاجتماعي والتعليمي في إطار جماعي.</w:t>
      </w:r>
    </w:p>
  </w:footnote>
  <w:footnote w:id="174">
    <w:p w14:paraId="6A9D8C9C" w14:textId="73F4DB5D" w:rsidR="00E54512" w:rsidRPr="004F0EC4" w:rsidRDefault="00E54512" w:rsidP="00E54512">
      <w:pPr>
        <w:pStyle w:val="FootnoteText1"/>
        <w:rPr>
          <w:spacing w:val="2"/>
        </w:rPr>
      </w:pPr>
      <w:r w:rsidRPr="004F0EC4">
        <w:rPr>
          <w:rtl/>
        </w:rPr>
        <w:t>(</w:t>
      </w:r>
      <w:r w:rsidRPr="004F0EC4">
        <w:footnoteRef/>
      </w:r>
      <w:r w:rsidRPr="004F0EC4">
        <w:rPr>
          <w:rtl/>
        </w:rPr>
        <w:t>)</w:t>
      </w:r>
      <w:r w:rsidRPr="004F0EC4">
        <w:rPr>
          <w:rtl/>
        </w:rPr>
        <w:tab/>
      </w:r>
      <w:hyperlink r:id="rId165" w:anchor=":~:text=El%20fono%20800%20000%20058,contexto%20de%20la%20actual%20pandemia" w:history="1">
        <w:r w:rsidRPr="004F0EC4">
          <w:rPr>
            <w:rStyle w:val="Hyperlink"/>
            <w:spacing w:val="2"/>
          </w:rPr>
          <w:t>https://www.senadis.gob.cl/pag/588/1880/linea_800_conectados_al_cuidar#:~:text=El%20fono</w:t>
        </w:r>
        <w:r w:rsidRPr="004F0EC4">
          <w:rPr>
            <w:rStyle w:val="Hyperlink"/>
            <w:spacing w:val="2"/>
          </w:rPr>
          <w:br/>
          <w:t>%20800%20000%20058,contexto%20de%20la%20actual%20pandemia</w:t>
        </w:r>
      </w:hyperlink>
      <w:r w:rsidRPr="004F0EC4">
        <w:rPr>
          <w:spacing w:val="2"/>
          <w:rtl/>
        </w:rPr>
        <w:t>.</w:t>
      </w:r>
    </w:p>
  </w:footnote>
  <w:footnote w:id="175">
    <w:p w14:paraId="4852C29B" w14:textId="1ABE32FF" w:rsidR="00E54512" w:rsidRPr="004F0EC4" w:rsidRDefault="00E54512" w:rsidP="00E54512">
      <w:pPr>
        <w:pStyle w:val="FootnoteText1"/>
        <w:rPr>
          <w:spacing w:val="-3"/>
        </w:rPr>
      </w:pPr>
      <w:r w:rsidRPr="004F0EC4">
        <w:rPr>
          <w:rtl/>
        </w:rPr>
        <w:t>(</w:t>
      </w:r>
      <w:r w:rsidRPr="004F0EC4">
        <w:footnoteRef/>
      </w:r>
      <w:r w:rsidRPr="004F0EC4">
        <w:rPr>
          <w:rtl/>
        </w:rPr>
        <w:t>)</w:t>
      </w:r>
      <w:r w:rsidRPr="004F0EC4">
        <w:rPr>
          <w:rtl/>
        </w:rPr>
        <w:tab/>
      </w:r>
      <w:r w:rsidRPr="004F0EC4">
        <w:rPr>
          <w:spacing w:val="-3"/>
          <w:rtl/>
        </w:rPr>
        <w:t xml:space="preserve">خلصت الدراسة إلى أن الأشخاص ذوي الإعاقة أقل عرضة للوقوع ضحايا للجرائم الجنسية (11 في </w:t>
      </w:r>
      <w:proofErr w:type="gramStart"/>
      <w:r w:rsidRPr="004F0EC4">
        <w:rPr>
          <w:spacing w:val="-3"/>
          <w:rtl/>
        </w:rPr>
        <w:t>المائة</w:t>
      </w:r>
      <w:proofErr w:type="gramEnd"/>
      <w:r w:rsidRPr="004F0EC4">
        <w:rPr>
          <w:spacing w:val="-3"/>
          <w:rtl/>
        </w:rPr>
        <w:t xml:space="preserve">)، ولجرائم السرقة غير العنيفة (13 في </w:t>
      </w:r>
      <w:proofErr w:type="gramStart"/>
      <w:r w:rsidRPr="004F0EC4">
        <w:rPr>
          <w:spacing w:val="-3"/>
          <w:rtl/>
        </w:rPr>
        <w:t>المائة</w:t>
      </w:r>
      <w:proofErr w:type="gramEnd"/>
      <w:r w:rsidRPr="004F0EC4">
        <w:rPr>
          <w:spacing w:val="-3"/>
          <w:rtl/>
        </w:rPr>
        <w:t xml:space="preserve">)، وللاحتيال (9 في </w:t>
      </w:r>
      <w:proofErr w:type="gramStart"/>
      <w:r w:rsidRPr="004F0EC4">
        <w:rPr>
          <w:spacing w:val="-3"/>
          <w:rtl/>
        </w:rPr>
        <w:t>المائة</w:t>
      </w:r>
      <w:proofErr w:type="gramEnd"/>
      <w:r w:rsidRPr="004F0EC4">
        <w:rPr>
          <w:spacing w:val="-3"/>
          <w:rtl/>
        </w:rPr>
        <w:t xml:space="preserve">). ومع ذلك، من المحتمل أن تكون هذه النسب المنخفضة ناتجة عن عدم الإبلاغ عن جميع الحالات. وبالإضافة إلى ذلك، يشكل الاعتداء الجنسي، من جملة الجرائم المختلفة المشمولة بالدراسة أكثر الجرائم انتشاراً بين الأشخاص ذوي الإعاقة، لا سيما النساء والأطفال والمراهقين ذوي الإعاقات </w:t>
      </w:r>
      <w:proofErr w:type="gramStart"/>
      <w:r w:rsidRPr="004F0EC4">
        <w:rPr>
          <w:spacing w:val="-3"/>
          <w:rtl/>
        </w:rPr>
        <w:t>الذهنية</w:t>
      </w:r>
      <w:proofErr w:type="gramEnd"/>
      <w:r w:rsidRPr="004F0EC4">
        <w:rPr>
          <w:spacing w:val="-3"/>
          <w:rtl/>
        </w:rPr>
        <w:t xml:space="preserve"> أو النفسية الاجتماعية أو السمعية أو البصرية.</w:t>
      </w:r>
    </w:p>
  </w:footnote>
  <w:footnote w:id="176">
    <w:p w14:paraId="7592BD32" w14:textId="52BDAB14"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66" w:history="1">
        <w:r w:rsidRPr="004F0EC4">
          <w:rPr>
            <w:rStyle w:val="Hyperlink"/>
          </w:rPr>
          <w:t>https://bcn.cl/2yieq</w:t>
        </w:r>
      </w:hyperlink>
      <w:r w:rsidRPr="004F0EC4">
        <w:rPr>
          <w:rtl/>
        </w:rPr>
        <w:t>.</w:t>
      </w:r>
    </w:p>
  </w:footnote>
  <w:footnote w:id="177">
    <w:p w14:paraId="58E47571" w14:textId="75774FD0" w:rsidR="00E54512" w:rsidRPr="004F0EC4" w:rsidRDefault="00E54512" w:rsidP="00E54512">
      <w:pPr>
        <w:pStyle w:val="FootnoteText1"/>
      </w:pPr>
      <w:r w:rsidRPr="004F0EC4">
        <w:rPr>
          <w:rtl/>
        </w:rPr>
        <w:t>(</w:t>
      </w:r>
      <w:r w:rsidRPr="004F0EC4">
        <w:footnoteRef/>
      </w:r>
      <w:r w:rsidRPr="004F0EC4">
        <w:rPr>
          <w:rtl/>
        </w:rPr>
        <w:t>)</w:t>
      </w:r>
      <w:r w:rsidRPr="004F0EC4">
        <w:rPr>
          <w:rtl/>
        </w:rPr>
        <w:tab/>
        <w:t>القانون رقم 21-302. يطبق قسم المساعدة التقنية ونقل المعرفة التقنية التابع للدائرة، والمسؤول عن تشكيل أفرقة لتحسين جودة التدخلات، نُهجاً متنوعة، من بينها نهج يراعي الاحتياجات المرتبطة بالإعاقة. وتناولت إحدى الدورات التدريبية الخاصة التي عُقدت في عام 2022 التدخلات في دور الإيواء المخصصة للأطفال والمراهقين ذوي الإعاقة الذهنية.</w:t>
      </w:r>
    </w:p>
  </w:footnote>
  <w:footnote w:id="178">
    <w:p w14:paraId="0326E41B" w14:textId="645D08D9"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67" w:history="1">
        <w:r w:rsidRPr="004F0EC4">
          <w:rPr>
            <w:rStyle w:val="Hyperlink"/>
          </w:rPr>
          <w:t>http://bcn.cl/31wsm</w:t>
        </w:r>
      </w:hyperlink>
      <w:r w:rsidRPr="004F0EC4">
        <w:rPr>
          <w:rtl/>
        </w:rPr>
        <w:t>.</w:t>
      </w:r>
    </w:p>
  </w:footnote>
  <w:footnote w:id="179">
    <w:p w14:paraId="7163E846" w14:textId="336C8B8F"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68" w:history="1">
        <w:r w:rsidRPr="004F0EC4">
          <w:rPr>
            <w:rStyle w:val="Hyperlink"/>
          </w:rPr>
          <w:t>http://bcn.cl/2pe6i</w:t>
        </w:r>
      </w:hyperlink>
      <w:r w:rsidRPr="004F0EC4">
        <w:rPr>
          <w:rtl/>
        </w:rPr>
        <w:t>.</w:t>
      </w:r>
    </w:p>
  </w:footnote>
  <w:footnote w:id="180">
    <w:p w14:paraId="397315EB" w14:textId="788AAFFA"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69" w:history="1">
        <w:r w:rsidRPr="004F0EC4">
          <w:rPr>
            <w:rStyle w:val="Hyperlink"/>
          </w:rPr>
          <w:t>http://bcn.cl/2p863</w:t>
        </w:r>
      </w:hyperlink>
      <w:r w:rsidRPr="004F0EC4">
        <w:rPr>
          <w:rtl/>
        </w:rPr>
        <w:t>.</w:t>
      </w:r>
    </w:p>
  </w:footnote>
  <w:footnote w:id="181">
    <w:p w14:paraId="70F8FC10" w14:textId="197836D1"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70" w:history="1">
        <w:r w:rsidRPr="004F0EC4">
          <w:rPr>
            <w:rStyle w:val="Hyperlink"/>
          </w:rPr>
          <w:t>https://bcn.cl/2yieq</w:t>
        </w:r>
      </w:hyperlink>
      <w:r w:rsidRPr="004F0EC4">
        <w:rPr>
          <w:rtl/>
        </w:rPr>
        <w:t>.</w:t>
      </w:r>
    </w:p>
  </w:footnote>
  <w:footnote w:id="182">
    <w:p w14:paraId="399CDBDE" w14:textId="36105FD2"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71" w:history="1">
        <w:r w:rsidRPr="004F0EC4">
          <w:rPr>
            <w:rStyle w:val="Hyperlink"/>
          </w:rPr>
          <w:t>http://bcn.cl/2p863</w:t>
        </w:r>
      </w:hyperlink>
      <w:r w:rsidRPr="004F0EC4">
        <w:rPr>
          <w:rtl/>
        </w:rPr>
        <w:t>.</w:t>
      </w:r>
    </w:p>
  </w:footnote>
  <w:footnote w:id="183">
    <w:p w14:paraId="7533ACF5" w14:textId="32C29B7A"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72" w:history="1">
        <w:r w:rsidRPr="004F0EC4">
          <w:rPr>
            <w:rStyle w:val="Hyperlink"/>
          </w:rPr>
          <w:t>http://bcn.cl/2k5t8</w:t>
        </w:r>
      </w:hyperlink>
      <w:r w:rsidRPr="004F0EC4">
        <w:rPr>
          <w:rtl/>
        </w:rPr>
        <w:t>.</w:t>
      </w:r>
    </w:p>
  </w:footnote>
  <w:footnote w:id="184">
    <w:p w14:paraId="5857E6ED" w14:textId="2C1F1E1F"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73" w:history="1">
        <w:r w:rsidRPr="004F0EC4">
          <w:rPr>
            <w:rStyle w:val="Hyperlink"/>
          </w:rPr>
          <w:t>https://www.senadis.gob.cl/descarga/i/5219</w:t>
        </w:r>
      </w:hyperlink>
      <w:r w:rsidRPr="004F0EC4">
        <w:rPr>
          <w:rtl/>
        </w:rPr>
        <w:t>.</w:t>
      </w:r>
    </w:p>
  </w:footnote>
  <w:footnote w:id="185">
    <w:p w14:paraId="65BF4FC7" w14:textId="0554D950"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74" w:history="1">
        <w:r w:rsidRPr="004F0EC4">
          <w:rPr>
            <w:rStyle w:val="Hyperlink"/>
          </w:rPr>
          <w:t>https://www.senadis.gob.cl/sala_prensa/d/noticias/7364</w:t>
        </w:r>
      </w:hyperlink>
      <w:r w:rsidRPr="004F0EC4">
        <w:rPr>
          <w:rtl/>
        </w:rPr>
        <w:t>.</w:t>
      </w:r>
    </w:p>
  </w:footnote>
  <w:footnote w:id="186">
    <w:p w14:paraId="7659B6BE" w14:textId="49409726"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75" w:history="1">
        <w:r w:rsidRPr="004F0EC4">
          <w:rPr>
            <w:rStyle w:val="Hyperlink"/>
          </w:rPr>
          <w:t>https://bcn.cl/34k6a</w:t>
        </w:r>
      </w:hyperlink>
      <w:r w:rsidRPr="004F0EC4">
        <w:rPr>
          <w:rtl/>
        </w:rPr>
        <w:t>.</w:t>
      </w:r>
    </w:p>
  </w:footnote>
  <w:footnote w:id="187">
    <w:p w14:paraId="25171507" w14:textId="25592195"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76" w:history="1">
        <w:r w:rsidRPr="004F0EC4">
          <w:rPr>
            <w:rStyle w:val="Hyperlink"/>
          </w:rPr>
          <w:t>https://bcn.cl/34yyl</w:t>
        </w:r>
      </w:hyperlink>
      <w:r w:rsidRPr="004F0EC4">
        <w:rPr>
          <w:rtl/>
        </w:rPr>
        <w:t>.</w:t>
      </w:r>
    </w:p>
  </w:footnote>
  <w:footnote w:id="188">
    <w:p w14:paraId="22FBB583" w14:textId="6A19B52B"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77" w:history="1">
        <w:r w:rsidRPr="004F0EC4">
          <w:rPr>
            <w:rStyle w:val="Hyperlink"/>
          </w:rPr>
          <w:t>https://bcn.cl/34mv6</w:t>
        </w:r>
      </w:hyperlink>
      <w:r w:rsidRPr="004F0EC4">
        <w:rPr>
          <w:rtl/>
        </w:rPr>
        <w:t>.</w:t>
      </w:r>
    </w:p>
  </w:footnote>
  <w:footnote w:id="189">
    <w:p w14:paraId="44454136" w14:textId="6CC342DC"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78" w:history="1">
        <w:r w:rsidRPr="004F0EC4">
          <w:rPr>
            <w:rStyle w:val="Hyperlink"/>
          </w:rPr>
          <w:t>https://estadisticas.ssosorno.cl/mortalidad_natalidad/archivos/Norma-160-registro-CAPNV.pdf</w:t>
        </w:r>
      </w:hyperlink>
      <w:r w:rsidRPr="004F0EC4">
        <w:rPr>
          <w:rtl/>
        </w:rPr>
        <w:t>.</w:t>
      </w:r>
    </w:p>
  </w:footnote>
  <w:footnote w:id="190">
    <w:p w14:paraId="3349717A" w14:textId="01B5C2F5"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79" w:history="1">
        <w:r w:rsidRPr="004F0EC4">
          <w:rPr>
            <w:rStyle w:val="Hyperlink"/>
          </w:rPr>
          <w:t>https://degi.saludoriente.cl/degidssmo/documentos/normas/NORMA_820.pdf</w:t>
        </w:r>
      </w:hyperlink>
      <w:r w:rsidRPr="004F0EC4">
        <w:rPr>
          <w:rtl/>
        </w:rPr>
        <w:t>.</w:t>
      </w:r>
    </w:p>
  </w:footnote>
  <w:footnote w:id="191">
    <w:p w14:paraId="717BCC4A" w14:textId="7D4142D2" w:rsidR="00E54512" w:rsidRPr="004F0EC4" w:rsidRDefault="00E54512" w:rsidP="00E54512">
      <w:pPr>
        <w:pStyle w:val="FootnoteText1"/>
      </w:pPr>
      <w:r w:rsidRPr="004F0EC4">
        <w:rPr>
          <w:rtl/>
        </w:rPr>
        <w:t>(</w:t>
      </w:r>
      <w:r w:rsidRPr="004F0EC4">
        <w:footnoteRef/>
      </w:r>
      <w:r w:rsidRPr="004F0EC4">
        <w:rPr>
          <w:rtl/>
        </w:rPr>
        <w:t>)</w:t>
      </w:r>
      <w:r w:rsidRPr="004F0EC4">
        <w:rPr>
          <w:rtl/>
        </w:rPr>
        <w:tab/>
      </w:r>
      <w:r w:rsidRPr="004F0EC4">
        <w:rPr>
          <w:spacing w:val="-2"/>
          <w:rtl/>
        </w:rPr>
        <w:t xml:space="preserve">أفاد 68 في </w:t>
      </w:r>
      <w:proofErr w:type="gramStart"/>
      <w:r w:rsidRPr="004F0EC4">
        <w:rPr>
          <w:spacing w:val="-2"/>
          <w:rtl/>
        </w:rPr>
        <w:t>المائة</w:t>
      </w:r>
      <w:proofErr w:type="gramEnd"/>
      <w:r w:rsidRPr="004F0EC4">
        <w:rPr>
          <w:spacing w:val="-2"/>
          <w:rtl/>
        </w:rPr>
        <w:t xml:space="preserve"> من مقدمي الرعاية المشاركين في البرنامج التجريبي بأنهم يشعرون بانخفاض العبء المفرط الملقى على كاهلهم</w:t>
      </w:r>
      <w:r w:rsidRPr="004F0EC4">
        <w:rPr>
          <w:rtl/>
        </w:rPr>
        <w:t>. وبالإضافة إلى ذلك، لوحظ بين الأشخاص ذوي الإعاقة انخفاض حاد في الشعور بالوحدة والعزلة، وانخفضت أيضاً وتيرة</w:t>
      </w:r>
      <w:r w:rsidR="00A27310" w:rsidRPr="004F0EC4">
        <w:rPr>
          <w:rFonts w:hint="cs"/>
          <w:rtl/>
        </w:rPr>
        <w:t xml:space="preserve"> </w:t>
      </w:r>
      <w:r w:rsidRPr="004F0EC4">
        <w:rPr>
          <w:rtl/>
        </w:rPr>
        <w:t>اصطدامهم بعوائق تمنعهم من المشاركة أو شعورهم بالافتقار إلى الدعم المجتمعي الكافي الذي يمكنهم من المشاركة. انظر:</w:t>
      </w:r>
      <w:r w:rsidR="00A27310" w:rsidRPr="004F0EC4">
        <w:rPr>
          <w:rFonts w:hint="cs"/>
          <w:rtl/>
        </w:rPr>
        <w:t xml:space="preserve"> </w:t>
      </w:r>
      <w:hyperlink r:id="rId180" w:history="1">
        <w:r w:rsidRPr="004F0EC4">
          <w:rPr>
            <w:rStyle w:val="Hyperlink"/>
          </w:rPr>
          <w:t>https://www.senadis.gob.cl/sala_prensa/d/noticias/8171</w:t>
        </w:r>
      </w:hyperlink>
      <w:r w:rsidRPr="004F0EC4">
        <w:rPr>
          <w:rtl/>
        </w:rPr>
        <w:t>.</w:t>
      </w:r>
    </w:p>
  </w:footnote>
  <w:footnote w:id="192">
    <w:p w14:paraId="6B83719D" w14:textId="6C3F669F"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81" w:history="1">
        <w:r w:rsidRPr="004F0EC4">
          <w:rPr>
            <w:rStyle w:val="Hyperlink"/>
          </w:rPr>
          <w:t>https://www.senadis.gob.cl/descarga/i/4661/documento</w:t>
        </w:r>
      </w:hyperlink>
      <w:r w:rsidRPr="004F0EC4">
        <w:rPr>
          <w:rtl/>
        </w:rPr>
        <w:t>.</w:t>
      </w:r>
    </w:p>
  </w:footnote>
  <w:footnote w:id="193">
    <w:p w14:paraId="4701E477" w14:textId="48CCAC8D"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82" w:history="1">
        <w:r w:rsidRPr="004F0EC4">
          <w:rPr>
            <w:rStyle w:val="Hyperlink"/>
          </w:rPr>
          <w:t>https://certificacion.chilevalora.cl/ChileValora-publica/perfilesEdit.html?paramRequest=941</w:t>
        </w:r>
      </w:hyperlink>
      <w:r w:rsidRPr="004F0EC4">
        <w:rPr>
          <w:rtl/>
        </w:rPr>
        <w:t>.</w:t>
      </w:r>
    </w:p>
  </w:footnote>
  <w:footnote w:id="194">
    <w:p w14:paraId="327E597B" w14:textId="4AD065D8" w:rsidR="00E54512" w:rsidRPr="004F0EC4" w:rsidRDefault="00E54512" w:rsidP="00E54512">
      <w:pPr>
        <w:pStyle w:val="FootnoteText1"/>
      </w:pPr>
      <w:r w:rsidRPr="004F0EC4">
        <w:rPr>
          <w:rtl/>
        </w:rPr>
        <w:t>(</w:t>
      </w:r>
      <w:r w:rsidRPr="004F0EC4">
        <w:footnoteRef/>
      </w:r>
      <w:r w:rsidRPr="004F0EC4">
        <w:rPr>
          <w:rtl/>
        </w:rPr>
        <w:t>)</w:t>
      </w:r>
      <w:r w:rsidRPr="004F0EC4">
        <w:rPr>
          <w:rtl/>
        </w:rPr>
        <w:tab/>
        <w:t>يشمل البرامج التي تركز على مشاريع رصف الطرق في المجتمعات المحلية، وعلى الأماكن العامة، وعلى إعادة تطوير الأحياء، وعلى البلدات الصغيرة.</w:t>
      </w:r>
    </w:p>
  </w:footnote>
  <w:footnote w:id="195">
    <w:p w14:paraId="6800B921" w14:textId="0D32BE65" w:rsidR="00E54512" w:rsidRPr="004F0EC4" w:rsidRDefault="00E54512" w:rsidP="00E54512">
      <w:pPr>
        <w:pStyle w:val="FootnoteText1"/>
      </w:pPr>
      <w:r w:rsidRPr="004F0EC4">
        <w:rPr>
          <w:spacing w:val="-2"/>
          <w:rtl/>
        </w:rPr>
        <w:t>(</w:t>
      </w:r>
      <w:r w:rsidRPr="004F0EC4">
        <w:rPr>
          <w:spacing w:val="-2"/>
        </w:rPr>
        <w:footnoteRef/>
      </w:r>
      <w:r w:rsidRPr="004F0EC4">
        <w:rPr>
          <w:spacing w:val="-2"/>
          <w:rtl/>
        </w:rPr>
        <w:t>)</w:t>
      </w:r>
      <w:r w:rsidRPr="004F0EC4">
        <w:rPr>
          <w:spacing w:val="-2"/>
          <w:rtl/>
        </w:rPr>
        <w:tab/>
      </w:r>
      <w:hyperlink r:id="rId183" w:history="1">
        <w:r w:rsidR="002C7786" w:rsidRPr="004F0EC4">
          <w:rPr>
            <w:rStyle w:val="Hyperlink"/>
            <w:spacing w:val="-2"/>
          </w:rPr>
          <w:t>https://biblioteca.digital.gob.cl/bitstream/handle/123456789/3569/GUIA%20DE%</w:t>
        </w:r>
        <w:r w:rsidR="002C7786" w:rsidRPr="004F0EC4">
          <w:rPr>
            <w:rStyle w:val="Hyperlink"/>
            <w:spacing w:val="-2"/>
          </w:rPr>
          <w:br/>
          <w:t>20SOLUCIONES%20ACCESIBLES%20PARA%20ESPACIOS%20PUBLICOS%20Y%20VIVIENDAS%20PARA%20PERSONAS%20CON%20DISCAPACIDAD.pdf?sequence=1&amp;isAllowed=y</w:t>
        </w:r>
      </w:hyperlink>
      <w:r w:rsidRPr="004F0EC4">
        <w:rPr>
          <w:rtl/>
        </w:rPr>
        <w:t>.</w:t>
      </w:r>
    </w:p>
  </w:footnote>
  <w:footnote w:id="196">
    <w:p w14:paraId="705912EE" w14:textId="5D2B8CF6"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84" w:history="1">
        <w:r w:rsidRPr="004F0EC4">
          <w:rPr>
            <w:rStyle w:val="Hyperlink"/>
          </w:rPr>
          <w:t>http://bcn.cl/2p863</w:t>
        </w:r>
      </w:hyperlink>
      <w:r w:rsidRPr="004F0EC4">
        <w:rPr>
          <w:rtl/>
        </w:rPr>
        <w:t>.</w:t>
      </w:r>
    </w:p>
  </w:footnote>
  <w:footnote w:id="197">
    <w:p w14:paraId="72010972" w14:textId="05E6FF53"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85" w:history="1">
        <w:r w:rsidRPr="004F0EC4">
          <w:rPr>
            <w:rStyle w:val="Hyperlink"/>
          </w:rPr>
          <w:t>http://bcn.cl/2yieq</w:t>
        </w:r>
      </w:hyperlink>
      <w:r w:rsidRPr="004F0EC4">
        <w:rPr>
          <w:rtl/>
        </w:rPr>
        <w:t>.</w:t>
      </w:r>
    </w:p>
  </w:footnote>
  <w:footnote w:id="198">
    <w:p w14:paraId="7EF2DEAA" w14:textId="3A239F1B"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86" w:history="1">
        <w:r w:rsidRPr="004F0EC4">
          <w:rPr>
            <w:rStyle w:val="Hyperlink"/>
          </w:rPr>
          <w:t>http://bcn.cl/2xglt</w:t>
        </w:r>
      </w:hyperlink>
      <w:r w:rsidRPr="004F0EC4">
        <w:rPr>
          <w:rtl/>
        </w:rPr>
        <w:t>.</w:t>
      </w:r>
    </w:p>
  </w:footnote>
  <w:footnote w:id="199">
    <w:p w14:paraId="008E0E7E" w14:textId="50E2F79E"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87" w:history="1">
        <w:r w:rsidRPr="004F0EC4">
          <w:rPr>
            <w:rStyle w:val="Hyperlink"/>
          </w:rPr>
          <w:t>http://bcn.cl/2qwqa</w:t>
        </w:r>
      </w:hyperlink>
      <w:r w:rsidRPr="004F0EC4">
        <w:rPr>
          <w:rtl/>
        </w:rPr>
        <w:t>.</w:t>
      </w:r>
    </w:p>
  </w:footnote>
  <w:footnote w:id="200">
    <w:p w14:paraId="54317CFC" w14:textId="705236DD" w:rsidR="00E54512" w:rsidRPr="004F0EC4" w:rsidRDefault="00E54512" w:rsidP="00E54512">
      <w:pPr>
        <w:pStyle w:val="FootnoteText1"/>
      </w:pPr>
      <w:r w:rsidRPr="004F0EC4">
        <w:rPr>
          <w:rtl/>
        </w:rPr>
        <w:t>(</w:t>
      </w:r>
      <w:r w:rsidRPr="004F0EC4">
        <w:footnoteRef/>
      </w:r>
      <w:r w:rsidRPr="004F0EC4">
        <w:rPr>
          <w:rtl/>
        </w:rPr>
        <w:t>)</w:t>
      </w:r>
      <w:r w:rsidRPr="004F0EC4">
        <w:rPr>
          <w:rtl/>
        </w:rPr>
        <w:tab/>
        <w:t>تضم ممثلين عن الدولة وأصحاب العمل والعمال.</w:t>
      </w:r>
    </w:p>
  </w:footnote>
  <w:footnote w:id="201">
    <w:p w14:paraId="6E396DCC" w14:textId="3381F0AF" w:rsidR="00E54512" w:rsidRPr="004F0EC4" w:rsidRDefault="00E54512" w:rsidP="00E54512">
      <w:pPr>
        <w:pStyle w:val="FootnoteText1"/>
        <w:rPr>
          <w:spacing w:val="-6"/>
          <w:rtl/>
        </w:rPr>
      </w:pPr>
      <w:r w:rsidRPr="004F0EC4">
        <w:rPr>
          <w:rtl/>
        </w:rPr>
        <w:t>(</w:t>
      </w:r>
      <w:r w:rsidRPr="004F0EC4">
        <w:footnoteRef/>
      </w:r>
      <w:r w:rsidRPr="004F0EC4">
        <w:rPr>
          <w:rtl/>
        </w:rPr>
        <w:t>)</w:t>
      </w:r>
      <w:r w:rsidRPr="004F0EC4">
        <w:rPr>
          <w:rtl/>
        </w:rPr>
        <w:tab/>
        <w:t xml:space="preserve">لتنفيذ أنشطة لتدريس وتعلم لغة الإشارة الشيلية وثقافة الصم، موجهة إلى الأشخاص الذين يتعلمون لغة الإشارة الشيلية بوصفها </w:t>
      </w:r>
      <w:r w:rsidRPr="004F0EC4">
        <w:rPr>
          <w:spacing w:val="-4"/>
          <w:rtl/>
        </w:rPr>
        <w:t xml:space="preserve">لغة ثانية. انظر: </w:t>
      </w:r>
      <w:hyperlink r:id="rId188" w:history="1">
        <w:r w:rsidRPr="004F0EC4">
          <w:rPr>
            <w:rStyle w:val="Hyperlink"/>
            <w:spacing w:val="-2"/>
          </w:rPr>
          <w:t>https://certificacion.chilevalora.cl/ChileValora-publica/</w:t>
        </w:r>
        <w:r w:rsidRPr="004F0EC4">
          <w:rPr>
            <w:rStyle w:val="Hyperlink"/>
            <w:spacing w:val="-4"/>
          </w:rPr>
          <w:t>perfilesEdit.html?paramRequest=</w:t>
        </w:r>
        <w:r w:rsidRPr="004F0EC4">
          <w:rPr>
            <w:rStyle w:val="Hyperlink"/>
            <w:spacing w:val="-6"/>
          </w:rPr>
          <w:br/>
          <w:t>1615&amp;bsearch=&amp;bsector=-1&amp;bsubsector=-1&amp;barea=-1&amp;bcentro=-1&amp;bperfil=-1&amp;resultados_length=10</w:t>
        </w:r>
      </w:hyperlink>
      <w:r w:rsidRPr="004F0EC4">
        <w:rPr>
          <w:spacing w:val="-6"/>
          <w:rtl/>
        </w:rPr>
        <w:t>.</w:t>
      </w:r>
    </w:p>
  </w:footnote>
  <w:footnote w:id="202">
    <w:p w14:paraId="67E3C0E7" w14:textId="1AFB4836" w:rsidR="00E54512" w:rsidRPr="004F0EC4" w:rsidRDefault="00E54512" w:rsidP="00E54512">
      <w:pPr>
        <w:pStyle w:val="FootnoteText1"/>
      </w:pPr>
      <w:r w:rsidRPr="004F0EC4">
        <w:rPr>
          <w:spacing w:val="-2"/>
          <w:rtl/>
        </w:rPr>
        <w:t>(</w:t>
      </w:r>
      <w:r w:rsidRPr="004F0EC4">
        <w:rPr>
          <w:spacing w:val="-2"/>
        </w:rPr>
        <w:footnoteRef/>
      </w:r>
      <w:r w:rsidRPr="004F0EC4">
        <w:rPr>
          <w:spacing w:val="-2"/>
          <w:rtl/>
        </w:rPr>
        <w:t>)</w:t>
      </w:r>
      <w:r w:rsidRPr="004F0EC4">
        <w:rPr>
          <w:spacing w:val="-2"/>
          <w:rtl/>
        </w:rPr>
        <w:tab/>
        <w:t xml:space="preserve">لنشر لغة الإشارة الشيلية وثقافة الصم، ودعم المعلمين ومساعدي المعلمين في أنشطة التدريس والتعلم المخصصة للطلاب الصم، على نحو يتماشى مع خصائص البيئة المدرسية، ومبادئ علم التربية المتعلقة بالصم، والإطار الأوروبي المرجعي المشترك للُغات. انظر: </w:t>
      </w:r>
      <w:hyperlink r:id="rId189" w:history="1">
        <w:r w:rsidRPr="004F0EC4">
          <w:rPr>
            <w:rStyle w:val="Hyperlink"/>
            <w:spacing w:val="-2"/>
          </w:rPr>
          <w:t>https://certificacion.chilevalora.cl/ChileValora-publica/perfilesEdit.html?paramRequest=1614</w:t>
        </w:r>
        <w:r w:rsidRPr="004F0EC4">
          <w:rPr>
            <w:rStyle w:val="Hyperlink"/>
            <w:spacing w:val="-2"/>
          </w:rPr>
          <w:br/>
          <w:t>&amp;bsearch=&amp;bsector=-1&amp;bsubsector=-1&amp;barea=-1&amp;bcentro=-1&amp;bperfil=-1&amp;resultados_length=10</w:t>
        </w:r>
      </w:hyperlink>
      <w:r w:rsidRPr="004F0EC4">
        <w:rPr>
          <w:rtl/>
        </w:rPr>
        <w:t>.</w:t>
      </w:r>
    </w:p>
  </w:footnote>
  <w:footnote w:id="203">
    <w:p w14:paraId="4A2124AD" w14:textId="5D7B2C46"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90" w:history="1">
        <w:r w:rsidRPr="004F0EC4">
          <w:rPr>
            <w:rStyle w:val="Hyperlink"/>
          </w:rPr>
          <w:t>https://sistemas.sence.cl/sipfor/Planes/PDFPlan.aspx?id=3280</w:t>
        </w:r>
      </w:hyperlink>
      <w:r w:rsidRPr="004F0EC4">
        <w:rPr>
          <w:rtl/>
        </w:rPr>
        <w:t>.</w:t>
      </w:r>
    </w:p>
  </w:footnote>
  <w:footnote w:id="204">
    <w:p w14:paraId="2CD8C907" w14:textId="6E8C88CB"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91" w:history="1">
        <w:r w:rsidRPr="004F0EC4">
          <w:rPr>
            <w:rStyle w:val="Hyperlink"/>
          </w:rPr>
          <w:t>https://sistemas.sence.cl/sipfor/Planes/PDFPlan.aspx?id=3281</w:t>
        </w:r>
      </w:hyperlink>
      <w:r w:rsidRPr="004F0EC4">
        <w:rPr>
          <w:rtl/>
        </w:rPr>
        <w:t>.</w:t>
      </w:r>
    </w:p>
  </w:footnote>
  <w:footnote w:id="205">
    <w:p w14:paraId="3223340C" w14:textId="4B13E063"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92" w:history="1">
        <w:r w:rsidRPr="004F0EC4">
          <w:rPr>
            <w:rStyle w:val="Hyperlink"/>
          </w:rPr>
          <w:t>https://youtu.be/2S72YisobEE</w:t>
        </w:r>
      </w:hyperlink>
      <w:r w:rsidRPr="004F0EC4">
        <w:rPr>
          <w:rtl/>
        </w:rPr>
        <w:t>.</w:t>
      </w:r>
    </w:p>
  </w:footnote>
  <w:footnote w:id="206">
    <w:p w14:paraId="25D3F4E7" w14:textId="3B9ADFF4"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93" w:history="1">
        <w:r w:rsidRPr="004F0EC4">
          <w:rPr>
            <w:rStyle w:val="Hyperlink"/>
          </w:rPr>
          <w:t>https://youtu.be/TpbCKzw4k60</w:t>
        </w:r>
      </w:hyperlink>
      <w:r w:rsidRPr="004F0EC4">
        <w:rPr>
          <w:rtl/>
        </w:rPr>
        <w:t>.</w:t>
      </w:r>
    </w:p>
  </w:footnote>
  <w:footnote w:id="207">
    <w:p w14:paraId="7F455FA9" w14:textId="7D10B214"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94" w:history="1">
        <w:r w:rsidRPr="004F0EC4">
          <w:rPr>
            <w:rStyle w:val="Hyperlink"/>
          </w:rPr>
          <w:t>https://youtu.be/xsk8VS5EsR4</w:t>
        </w:r>
      </w:hyperlink>
      <w:r w:rsidRPr="004F0EC4">
        <w:rPr>
          <w:rtl/>
        </w:rPr>
        <w:t>.</w:t>
      </w:r>
    </w:p>
  </w:footnote>
  <w:footnote w:id="208">
    <w:p w14:paraId="532F76C7" w14:textId="4A79A459"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95" w:history="1">
        <w:r w:rsidRPr="004F0EC4">
          <w:rPr>
            <w:rStyle w:val="Hyperlink"/>
          </w:rPr>
          <w:t>https://youtu.be/dB426_YoxhE</w:t>
        </w:r>
      </w:hyperlink>
      <w:r w:rsidRPr="004F0EC4">
        <w:rPr>
          <w:rtl/>
        </w:rPr>
        <w:t>.</w:t>
      </w:r>
    </w:p>
  </w:footnote>
  <w:footnote w:id="209">
    <w:p w14:paraId="1EC9C564" w14:textId="02946C24"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96" w:history="1">
        <w:r w:rsidRPr="004F0EC4">
          <w:rPr>
            <w:rStyle w:val="Hyperlink"/>
          </w:rPr>
          <w:t>https://youtu.be/TUt3CrW_R-4</w:t>
        </w:r>
      </w:hyperlink>
      <w:r w:rsidRPr="004F0EC4">
        <w:rPr>
          <w:rtl/>
        </w:rPr>
        <w:t>.</w:t>
      </w:r>
    </w:p>
  </w:footnote>
  <w:footnote w:id="210">
    <w:p w14:paraId="47DF4163" w14:textId="14B4877C"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97" w:history="1">
        <w:r w:rsidRPr="004F0EC4">
          <w:rPr>
            <w:rStyle w:val="Hyperlink"/>
          </w:rPr>
          <w:t>https://youtu.be/2RmM42xwxgM</w:t>
        </w:r>
      </w:hyperlink>
      <w:r w:rsidRPr="004F0EC4">
        <w:rPr>
          <w:rtl/>
        </w:rPr>
        <w:t>.</w:t>
      </w:r>
    </w:p>
  </w:footnote>
  <w:footnote w:id="211">
    <w:p w14:paraId="76EFE674" w14:textId="32A83314"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98" w:history="1">
        <w:r w:rsidRPr="004F0EC4">
          <w:rPr>
            <w:rStyle w:val="Hyperlink"/>
          </w:rPr>
          <w:t>https://youtu.be/65AvdOQFfaI</w:t>
        </w:r>
      </w:hyperlink>
      <w:r w:rsidRPr="004F0EC4">
        <w:rPr>
          <w:rtl/>
        </w:rPr>
        <w:t>.</w:t>
      </w:r>
    </w:p>
  </w:footnote>
  <w:footnote w:id="212">
    <w:p w14:paraId="0D753B7C" w14:textId="6AA2E4C1"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199" w:history="1">
        <w:r w:rsidRPr="004F0EC4">
          <w:rPr>
            <w:rStyle w:val="Hyperlink"/>
          </w:rPr>
          <w:t>https://youtu.be/8G-qSdZTCXA</w:t>
        </w:r>
      </w:hyperlink>
      <w:r w:rsidRPr="004F0EC4">
        <w:rPr>
          <w:rtl/>
        </w:rPr>
        <w:t>.</w:t>
      </w:r>
    </w:p>
  </w:footnote>
  <w:footnote w:id="213">
    <w:p w14:paraId="76B4D728" w14:textId="6391C850"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00" w:history="1">
        <w:r w:rsidRPr="004F0EC4">
          <w:rPr>
            <w:rStyle w:val="Hyperlink"/>
          </w:rPr>
          <w:t>https://youtu.be/WnlxzpoY3fY</w:t>
        </w:r>
      </w:hyperlink>
      <w:r w:rsidRPr="004F0EC4">
        <w:rPr>
          <w:rtl/>
        </w:rPr>
        <w:t>.</w:t>
      </w:r>
    </w:p>
  </w:footnote>
  <w:footnote w:id="214">
    <w:p w14:paraId="4DAF54DA" w14:textId="272C34AD"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01" w:history="1">
        <w:r w:rsidRPr="004F0EC4">
          <w:rPr>
            <w:rStyle w:val="Hyperlink"/>
          </w:rPr>
          <w:t>http://www.senado.cl/appsenado/templates/tramitacion/index.php?boletin_ini=12441-17</w:t>
        </w:r>
      </w:hyperlink>
      <w:r w:rsidRPr="004F0EC4">
        <w:rPr>
          <w:rtl/>
        </w:rPr>
        <w:t>.</w:t>
      </w:r>
    </w:p>
  </w:footnote>
  <w:footnote w:id="215">
    <w:p w14:paraId="1725B61C" w14:textId="6088F098"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02" w:history="1">
        <w:r w:rsidRPr="004F0EC4">
          <w:rPr>
            <w:rStyle w:val="Hyperlink"/>
          </w:rPr>
          <w:t>https://bcn.cl/34syf</w:t>
        </w:r>
      </w:hyperlink>
      <w:r w:rsidRPr="004F0EC4">
        <w:rPr>
          <w:rtl/>
        </w:rPr>
        <w:t>.</w:t>
      </w:r>
    </w:p>
  </w:footnote>
  <w:footnote w:id="216">
    <w:p w14:paraId="7F78B13D" w14:textId="2C4F759D"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03" w:history="1">
        <w:r w:rsidRPr="004F0EC4">
          <w:rPr>
            <w:rStyle w:val="Hyperlink"/>
          </w:rPr>
          <w:t>http://www.senado.cl/appsenado/templates/tramitacion/index.php?boletin_ini=9119-18</w:t>
        </w:r>
      </w:hyperlink>
      <w:r w:rsidRPr="004F0EC4">
        <w:rPr>
          <w:rtl/>
        </w:rPr>
        <w:t>.</w:t>
      </w:r>
    </w:p>
  </w:footnote>
  <w:footnote w:id="217">
    <w:p w14:paraId="7B97B428" w14:textId="3DDD535A"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04" w:history="1">
        <w:r w:rsidRPr="004F0EC4">
          <w:rPr>
            <w:rStyle w:val="Hyperlink"/>
          </w:rPr>
          <w:t>https://www.senadis.gob.cl/sala_prensa/d/noticias/8572/programa-mujer-sexualidad-y-maternidad-de-sernameg-abre-inscripciones-a-sus-talleres</w:t>
        </w:r>
      </w:hyperlink>
      <w:r w:rsidRPr="004F0EC4">
        <w:rPr>
          <w:rtl/>
        </w:rPr>
        <w:t>.</w:t>
      </w:r>
    </w:p>
  </w:footnote>
  <w:footnote w:id="218">
    <w:p w14:paraId="3365B284" w14:textId="4720E986"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05" w:history="1">
        <w:r w:rsidRPr="004F0EC4">
          <w:rPr>
            <w:rStyle w:val="Hyperlink"/>
          </w:rPr>
          <w:t>https://www.senadis.gob.cl/sala_prensa/d/noticias/8663</w:t>
        </w:r>
      </w:hyperlink>
      <w:r w:rsidRPr="004F0EC4">
        <w:rPr>
          <w:rtl/>
        </w:rPr>
        <w:t>.</w:t>
      </w:r>
    </w:p>
  </w:footnote>
  <w:footnote w:id="219">
    <w:p w14:paraId="71250556" w14:textId="4E098BB9"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06" w:history="1">
        <w:r w:rsidRPr="004F0EC4">
          <w:rPr>
            <w:rStyle w:val="Hyperlink"/>
          </w:rPr>
          <w:t>https://www.senadis.gob.cl/descarga/i/6033/documento</w:t>
        </w:r>
      </w:hyperlink>
      <w:r w:rsidRPr="004F0EC4">
        <w:rPr>
          <w:rtl/>
        </w:rPr>
        <w:t>.</w:t>
      </w:r>
    </w:p>
  </w:footnote>
  <w:footnote w:id="220">
    <w:p w14:paraId="3C5A6D10" w14:textId="0A444A1D"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07" w:history="1">
        <w:r w:rsidRPr="004F0EC4">
          <w:rPr>
            <w:rStyle w:val="Hyperlink"/>
          </w:rPr>
          <w:t>https://diprece.minsal.cl/wrdprss_minsal/wp-content/uploads/2018/03/POLITICA-NACIONAL-DE-SALUD-SEXUAL-Y-REPRODUCTIVA-.pdf</w:t>
        </w:r>
      </w:hyperlink>
      <w:r w:rsidRPr="004F0EC4">
        <w:rPr>
          <w:rtl/>
        </w:rPr>
        <w:t>.</w:t>
      </w:r>
    </w:p>
  </w:footnote>
  <w:footnote w:id="221">
    <w:p w14:paraId="4A9B7EA9" w14:textId="5212A871"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08" w:history="1">
        <w:r w:rsidRPr="004F0EC4">
          <w:rPr>
            <w:rStyle w:val="Hyperlink"/>
          </w:rPr>
          <w:t>https://www.sernameg.gob.cl/?page_id=26830</w:t>
        </w:r>
      </w:hyperlink>
      <w:r w:rsidRPr="004F0EC4">
        <w:rPr>
          <w:rtl/>
        </w:rPr>
        <w:t>.</w:t>
      </w:r>
    </w:p>
  </w:footnote>
  <w:footnote w:id="222">
    <w:p w14:paraId="3539B314" w14:textId="71A9ED95"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09" w:history="1">
        <w:r w:rsidR="002C7786" w:rsidRPr="004F0EC4">
          <w:rPr>
            <w:rStyle w:val="Hyperlink"/>
          </w:rPr>
          <w:t>https://especial.mineduc.cl/recursos-apoyo-al-aprendizaje/recursos-audiovisuales-para-la-diversificacion-de-la-ensenanza/capsulas/</w:t>
        </w:r>
      </w:hyperlink>
      <w:hyperlink r:id="rId210" w:history="1"/>
      <w:r w:rsidRPr="004F0EC4">
        <w:rPr>
          <w:rtl/>
        </w:rPr>
        <w:t>.</w:t>
      </w:r>
    </w:p>
  </w:footnote>
  <w:footnote w:id="223">
    <w:p w14:paraId="2B1B8332" w14:textId="3816BEFE"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11" w:history="1">
        <w:r w:rsidRPr="004F0EC4">
          <w:rPr>
            <w:rStyle w:val="Hyperlink"/>
          </w:rPr>
          <w:t>http://bcn.cl/2f7b6</w:t>
        </w:r>
      </w:hyperlink>
      <w:r w:rsidRPr="004F0EC4">
        <w:rPr>
          <w:rtl/>
        </w:rPr>
        <w:t>.</w:t>
      </w:r>
    </w:p>
  </w:footnote>
  <w:footnote w:id="224">
    <w:p w14:paraId="464DCC97" w14:textId="5BA9EF83"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12" w:history="1">
        <w:r w:rsidRPr="004F0EC4">
          <w:rPr>
            <w:rStyle w:val="Hyperlink"/>
          </w:rPr>
          <w:t>https://especial.mineduc.cl/recursos-apoyo-al-aprendizaje/infografias-del-decreto-n83/</w:t>
        </w:r>
      </w:hyperlink>
      <w:r w:rsidRPr="004F0EC4">
        <w:rPr>
          <w:rtl/>
        </w:rPr>
        <w:t>.</w:t>
      </w:r>
    </w:p>
  </w:footnote>
  <w:footnote w:id="225">
    <w:p w14:paraId="1CD3812D" w14:textId="09EB7974"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13" w:history="1">
        <w:r w:rsidR="002C7786" w:rsidRPr="004F0EC4">
          <w:rPr>
            <w:rStyle w:val="Hyperlink"/>
          </w:rPr>
          <w:t>https://especial.mineduc.cl/recursos-apoyo-al-aprendizaje/recursos-las-los-docentes/progresiones-de-aprendizaje-en-espiral-y-orientaciones-para-su-implementacion/</w:t>
        </w:r>
      </w:hyperlink>
      <w:hyperlink r:id="rId214" w:history="1"/>
      <w:r w:rsidRPr="004F0EC4">
        <w:rPr>
          <w:rtl/>
        </w:rPr>
        <w:t>.</w:t>
      </w:r>
    </w:p>
  </w:footnote>
  <w:footnote w:id="226">
    <w:p w14:paraId="157A95F7" w14:textId="08F72D86"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15" w:history="1">
        <w:r w:rsidRPr="004F0EC4">
          <w:rPr>
            <w:rStyle w:val="Hyperlink"/>
          </w:rPr>
          <w:t>http://bcn.cl/2f7b6</w:t>
        </w:r>
      </w:hyperlink>
      <w:r w:rsidRPr="004F0EC4">
        <w:rPr>
          <w:rtl/>
        </w:rPr>
        <w:t>.</w:t>
      </w:r>
    </w:p>
  </w:footnote>
  <w:footnote w:id="227">
    <w:p w14:paraId="5965C451" w14:textId="36F27548" w:rsidR="00E54512" w:rsidRPr="004F0EC4" w:rsidRDefault="00E54512" w:rsidP="00E54512">
      <w:pPr>
        <w:pStyle w:val="FootnoteText1"/>
      </w:pPr>
      <w:r w:rsidRPr="004F0EC4">
        <w:rPr>
          <w:rtl/>
        </w:rPr>
        <w:t>(</w:t>
      </w:r>
      <w:r w:rsidRPr="004F0EC4">
        <w:footnoteRef/>
      </w:r>
      <w:r w:rsidRPr="004F0EC4">
        <w:rPr>
          <w:rtl/>
        </w:rPr>
        <w:t>)</w:t>
      </w:r>
      <w:r w:rsidRPr="004F0EC4">
        <w:rPr>
          <w:rtl/>
        </w:rPr>
        <w:tab/>
        <w:t>انظر المرفق 5.</w:t>
      </w:r>
    </w:p>
  </w:footnote>
  <w:footnote w:id="228">
    <w:p w14:paraId="264A1266" w14:textId="0D9A128C" w:rsidR="00E54512" w:rsidRPr="004F0EC4" w:rsidRDefault="00E54512" w:rsidP="00E54512">
      <w:pPr>
        <w:pStyle w:val="FootnoteText1"/>
        <w:rPr>
          <w:spacing w:val="-5"/>
        </w:rPr>
      </w:pPr>
      <w:r w:rsidRPr="004F0EC4">
        <w:rPr>
          <w:rtl/>
        </w:rPr>
        <w:t>(</w:t>
      </w:r>
      <w:r w:rsidRPr="004F0EC4">
        <w:footnoteRef/>
      </w:r>
      <w:r w:rsidRPr="004F0EC4">
        <w:rPr>
          <w:rtl/>
        </w:rPr>
        <w:t>)</w:t>
      </w:r>
      <w:r w:rsidRPr="004F0EC4">
        <w:rPr>
          <w:rtl/>
        </w:rPr>
        <w:tab/>
      </w:r>
      <w:hyperlink r:id="rId216" w:history="1">
        <w:r w:rsidRPr="004F0EC4">
          <w:rPr>
            <w:rStyle w:val="Hyperlink"/>
            <w:spacing w:val="-5"/>
          </w:rPr>
          <w:t>https://www.innovacion.mineduc.cl/iniciativas/tecnologias-de-acceso-universal-para-la-educacion-2022</w:t>
        </w:r>
      </w:hyperlink>
      <w:r w:rsidRPr="004F0EC4">
        <w:rPr>
          <w:spacing w:val="-5"/>
          <w:rtl/>
        </w:rPr>
        <w:t>.</w:t>
      </w:r>
    </w:p>
  </w:footnote>
  <w:footnote w:id="229">
    <w:p w14:paraId="35ED2284" w14:textId="645EEE17"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17" w:history="1">
        <w:r w:rsidRPr="004F0EC4">
          <w:rPr>
            <w:rStyle w:val="Hyperlink"/>
          </w:rPr>
          <w:t>https://especial.mineduc.cl/en-junio-se-realizo-el-i-seminario-internacional-tic-y-retos-multiples/</w:t>
        </w:r>
      </w:hyperlink>
      <w:r w:rsidRPr="004F0EC4">
        <w:rPr>
          <w:rtl/>
        </w:rPr>
        <w:t xml:space="preserve">. </w:t>
      </w:r>
    </w:p>
  </w:footnote>
  <w:footnote w:id="230">
    <w:p w14:paraId="5C9A38A2" w14:textId="6AC6466B" w:rsidR="00E54512" w:rsidRPr="004F0EC4" w:rsidRDefault="00E54512" w:rsidP="00C00FE8">
      <w:pPr>
        <w:pStyle w:val="FootnoteText1"/>
        <w:spacing w:line="260" w:lineRule="exact"/>
      </w:pPr>
      <w:r w:rsidRPr="004F0EC4">
        <w:rPr>
          <w:rtl/>
        </w:rPr>
        <w:t>(</w:t>
      </w:r>
      <w:r w:rsidRPr="004F0EC4">
        <w:footnoteRef/>
      </w:r>
      <w:r w:rsidRPr="004F0EC4">
        <w:rPr>
          <w:rtl/>
        </w:rPr>
        <w:t>)</w:t>
      </w:r>
      <w:r w:rsidRPr="004F0EC4">
        <w:rPr>
          <w:rtl/>
        </w:rPr>
        <w:tab/>
        <w:t>نظراً لتعليق الدراسة الحضورية بسبب جائحة كوفيد-19، لم يتسن إجراء تقييمٍ لطلاب من ذوي الإعاقة بحضورهم شخصياً، بالرغم من كونهم مسجلين، بغية التأكد من تشخيص إعاقتهم وفقاً للمرسوم رقم 170 (</w:t>
      </w:r>
      <w:hyperlink r:id="rId218" w:history="1">
        <w:r w:rsidRPr="004F0EC4">
          <w:rPr>
            <w:rStyle w:val="Hyperlink"/>
          </w:rPr>
          <w:t>http://bcn.cl/2s8hu</w:t>
        </w:r>
      </w:hyperlink>
      <w:r w:rsidRPr="004F0EC4">
        <w:rPr>
          <w:rtl/>
        </w:rPr>
        <w:t>).</w:t>
      </w:r>
    </w:p>
  </w:footnote>
  <w:footnote w:id="231">
    <w:p w14:paraId="6936ABEF" w14:textId="5E72F7AC" w:rsidR="00E54512" w:rsidRPr="004F0EC4" w:rsidRDefault="00E54512" w:rsidP="00C00FE8">
      <w:pPr>
        <w:pStyle w:val="FootnoteText1"/>
        <w:spacing w:line="260" w:lineRule="exact"/>
      </w:pPr>
      <w:r w:rsidRPr="004F0EC4">
        <w:rPr>
          <w:rtl/>
        </w:rPr>
        <w:t>(</w:t>
      </w:r>
      <w:r w:rsidRPr="004F0EC4">
        <w:footnoteRef/>
      </w:r>
      <w:r w:rsidRPr="004F0EC4">
        <w:rPr>
          <w:rtl/>
        </w:rPr>
        <w:t>)</w:t>
      </w:r>
      <w:r w:rsidRPr="004F0EC4">
        <w:rPr>
          <w:rtl/>
        </w:rPr>
        <w:tab/>
        <w:t>لا يأخذ هذا الرقم في الحسبان إجراءات التقدم بطلبات للحصول على استثناءات في إطار برنامج الإدماج التعليمي.</w:t>
      </w:r>
    </w:p>
  </w:footnote>
  <w:footnote w:id="232">
    <w:p w14:paraId="3477279D" w14:textId="6295BCEB" w:rsidR="00E54512" w:rsidRPr="004F0EC4" w:rsidRDefault="00E54512" w:rsidP="00C00FE8">
      <w:pPr>
        <w:pStyle w:val="FootnoteText1"/>
        <w:spacing w:line="260" w:lineRule="exact"/>
      </w:pPr>
      <w:r w:rsidRPr="004F0EC4">
        <w:rPr>
          <w:rtl/>
        </w:rPr>
        <w:t>(</w:t>
      </w:r>
      <w:r w:rsidRPr="004F0EC4">
        <w:footnoteRef/>
      </w:r>
      <w:r w:rsidRPr="004F0EC4">
        <w:rPr>
          <w:rtl/>
        </w:rPr>
        <w:t>)</w:t>
      </w:r>
      <w:r w:rsidRPr="004F0EC4">
        <w:rPr>
          <w:rtl/>
        </w:rPr>
        <w:tab/>
        <w:t xml:space="preserve">تلقّى 46 مشروعاً، في جميع المناطق باستثناء </w:t>
      </w:r>
      <w:proofErr w:type="spellStart"/>
      <w:r w:rsidRPr="004F0EC4">
        <w:rPr>
          <w:rtl/>
        </w:rPr>
        <w:t>تاراباكا</w:t>
      </w:r>
      <w:proofErr w:type="spellEnd"/>
      <w:r w:rsidRPr="004F0EC4">
        <w:rPr>
          <w:rtl/>
        </w:rPr>
        <w:t>، تمويلاً، وذلك بميزانية إجمالية قدرها 952 537 360 بيسو شيلياً. وفي عام 2022، عولجت طلبات التمويل وفقاً للشروط نفسها التي طُبقت في العام السابق، ولكن نظراً للعودة إلى التدريس الحضوري، لم يخصَّص أي تمويل للمبادرات الإلكترونية.</w:t>
      </w:r>
    </w:p>
  </w:footnote>
  <w:footnote w:id="233">
    <w:p w14:paraId="1180D135" w14:textId="57FA61C1"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19" w:history="1">
        <w:r w:rsidR="00247408" w:rsidRPr="004F0EC4">
          <w:rPr>
            <w:rStyle w:val="Hyperlink"/>
          </w:rPr>
          <w:t>https://academia.senadis.cl/</w:t>
        </w:r>
      </w:hyperlink>
      <w:hyperlink r:id="rId220" w:history="1"/>
      <w:r w:rsidRPr="004F0EC4">
        <w:rPr>
          <w:rtl/>
        </w:rPr>
        <w:t>.</w:t>
      </w:r>
    </w:p>
  </w:footnote>
  <w:footnote w:id="234">
    <w:p w14:paraId="1304FF2A" w14:textId="34EE09FE"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21" w:history="1">
        <w:r w:rsidRPr="004F0EC4">
          <w:rPr>
            <w:rStyle w:val="Hyperlink"/>
          </w:rPr>
          <w:t>https://www.senadis.gob.cl/descarga/i/5609/documento</w:t>
        </w:r>
      </w:hyperlink>
      <w:r w:rsidRPr="004F0EC4">
        <w:rPr>
          <w:rtl/>
        </w:rPr>
        <w:t>.</w:t>
      </w:r>
    </w:p>
  </w:footnote>
  <w:footnote w:id="235">
    <w:p w14:paraId="0180E9D5" w14:textId="2B022B25" w:rsidR="00E54512" w:rsidRPr="004F0EC4" w:rsidRDefault="00E54512" w:rsidP="00E54512">
      <w:pPr>
        <w:pStyle w:val="FootnoteText1"/>
      </w:pPr>
      <w:r w:rsidRPr="004F0EC4">
        <w:rPr>
          <w:rtl/>
        </w:rPr>
        <w:t>(</w:t>
      </w:r>
      <w:r w:rsidRPr="004F0EC4">
        <w:footnoteRef/>
      </w:r>
      <w:r w:rsidRPr="004F0EC4">
        <w:rPr>
          <w:rtl/>
        </w:rPr>
        <w:t>)</w:t>
      </w:r>
      <w:r w:rsidRPr="004F0EC4">
        <w:rPr>
          <w:rtl/>
        </w:rPr>
        <w:tab/>
      </w:r>
      <w:r w:rsidRPr="004F0EC4">
        <w:rPr>
          <w:spacing w:val="-4"/>
          <w:rtl/>
        </w:rPr>
        <w:t xml:space="preserve">في عام 2018، قُدم تدريب للمهنيين العاملين في شبكة إعادة التأهيل العامة في مناطق متروبوليتان، </w:t>
      </w:r>
      <w:proofErr w:type="spellStart"/>
      <w:r w:rsidRPr="004F0EC4">
        <w:rPr>
          <w:spacing w:val="-4"/>
          <w:rtl/>
        </w:rPr>
        <w:t>وبيوبيو</w:t>
      </w:r>
      <w:proofErr w:type="spellEnd"/>
      <w:r w:rsidRPr="004F0EC4">
        <w:rPr>
          <w:spacing w:val="-4"/>
          <w:rtl/>
        </w:rPr>
        <w:t xml:space="preserve">، </w:t>
      </w:r>
      <w:proofErr w:type="spellStart"/>
      <w:r w:rsidRPr="004F0EC4">
        <w:rPr>
          <w:spacing w:val="-4"/>
          <w:rtl/>
        </w:rPr>
        <w:t>وأوهيغِنز</w:t>
      </w:r>
      <w:proofErr w:type="spellEnd"/>
      <w:r w:rsidRPr="004F0EC4">
        <w:rPr>
          <w:spacing w:val="-4"/>
          <w:rtl/>
        </w:rPr>
        <w:t xml:space="preserve">، </w:t>
      </w:r>
      <w:proofErr w:type="spellStart"/>
      <w:r w:rsidRPr="004F0EC4">
        <w:rPr>
          <w:spacing w:val="-4"/>
          <w:rtl/>
        </w:rPr>
        <w:t>وفالبارايسو</w:t>
      </w:r>
      <w:proofErr w:type="spellEnd"/>
      <w:r w:rsidRPr="004F0EC4">
        <w:rPr>
          <w:spacing w:val="-4"/>
          <w:rtl/>
        </w:rPr>
        <w:t>،</w:t>
      </w:r>
      <w:r w:rsidRPr="004F0EC4">
        <w:rPr>
          <w:rtl/>
        </w:rPr>
        <w:t xml:space="preserve"> </w:t>
      </w:r>
      <w:proofErr w:type="spellStart"/>
      <w:r w:rsidRPr="004F0EC4">
        <w:rPr>
          <w:rtl/>
        </w:rPr>
        <w:t>وأراوكانيا</w:t>
      </w:r>
      <w:proofErr w:type="spellEnd"/>
      <w:r w:rsidRPr="004F0EC4">
        <w:rPr>
          <w:rtl/>
        </w:rPr>
        <w:t xml:space="preserve">، </w:t>
      </w:r>
      <w:proofErr w:type="spellStart"/>
      <w:r w:rsidRPr="004F0EC4">
        <w:rPr>
          <w:rtl/>
        </w:rPr>
        <w:t>وكوكيمبو</w:t>
      </w:r>
      <w:proofErr w:type="spellEnd"/>
      <w:r w:rsidRPr="004F0EC4">
        <w:rPr>
          <w:rtl/>
        </w:rPr>
        <w:t xml:space="preserve">. وفي عام 2019، قُدم تدريب للمهنيين في مناطق </w:t>
      </w:r>
      <w:proofErr w:type="spellStart"/>
      <w:r w:rsidRPr="004F0EC4">
        <w:rPr>
          <w:rtl/>
        </w:rPr>
        <w:t>ماولي</w:t>
      </w:r>
      <w:proofErr w:type="spellEnd"/>
      <w:r w:rsidRPr="004F0EC4">
        <w:rPr>
          <w:rtl/>
        </w:rPr>
        <w:t xml:space="preserve">، </w:t>
      </w:r>
      <w:proofErr w:type="spellStart"/>
      <w:r w:rsidRPr="004F0EC4">
        <w:rPr>
          <w:rtl/>
        </w:rPr>
        <w:t>وتاراباكا</w:t>
      </w:r>
      <w:proofErr w:type="spellEnd"/>
      <w:r w:rsidRPr="004F0EC4">
        <w:rPr>
          <w:rtl/>
        </w:rPr>
        <w:t xml:space="preserve">، وأريكا </w:t>
      </w:r>
      <w:proofErr w:type="spellStart"/>
      <w:r w:rsidRPr="004F0EC4">
        <w:rPr>
          <w:rtl/>
        </w:rPr>
        <w:t>وباريناكوتا</w:t>
      </w:r>
      <w:proofErr w:type="spellEnd"/>
      <w:r w:rsidRPr="004F0EC4">
        <w:rPr>
          <w:rtl/>
        </w:rPr>
        <w:t xml:space="preserve">، ومتروبوليتان، </w:t>
      </w:r>
      <w:proofErr w:type="spellStart"/>
      <w:r w:rsidRPr="004F0EC4">
        <w:rPr>
          <w:rtl/>
        </w:rPr>
        <w:t>وأنطوفاغاستا</w:t>
      </w:r>
      <w:proofErr w:type="spellEnd"/>
      <w:r w:rsidRPr="004F0EC4">
        <w:rPr>
          <w:rtl/>
        </w:rPr>
        <w:t xml:space="preserve">، ولوس لاغوس، ولوس </w:t>
      </w:r>
      <w:proofErr w:type="spellStart"/>
      <w:r w:rsidRPr="004F0EC4">
        <w:rPr>
          <w:rtl/>
        </w:rPr>
        <w:t>ريوس</w:t>
      </w:r>
      <w:proofErr w:type="spellEnd"/>
      <w:r w:rsidRPr="004F0EC4">
        <w:rPr>
          <w:rtl/>
        </w:rPr>
        <w:t>.</w:t>
      </w:r>
    </w:p>
  </w:footnote>
  <w:footnote w:id="236">
    <w:p w14:paraId="678DB2D0" w14:textId="7351A9DB" w:rsidR="00E54512" w:rsidRPr="004F0EC4" w:rsidRDefault="00E54512" w:rsidP="00E54512">
      <w:pPr>
        <w:pStyle w:val="FootnoteText1"/>
      </w:pPr>
      <w:r w:rsidRPr="004F0EC4">
        <w:rPr>
          <w:rtl/>
        </w:rPr>
        <w:t>(</w:t>
      </w:r>
      <w:r w:rsidRPr="004F0EC4">
        <w:footnoteRef/>
      </w:r>
      <w:r w:rsidRPr="004F0EC4">
        <w:rPr>
          <w:rtl/>
        </w:rPr>
        <w:t>)</w:t>
      </w:r>
      <w:r w:rsidRPr="004F0EC4">
        <w:rPr>
          <w:rtl/>
        </w:rPr>
        <w:tab/>
        <w:t>شملت خطة التدريب الأطفال ذوي الإعاقة، وصُممت لدعم المهنيين المختصين بإعادة التأهيل في عملهم من أجل تعزيز ممارسة حقوق الأشخاص ذوي الإعاقة.</w:t>
      </w:r>
    </w:p>
  </w:footnote>
  <w:footnote w:id="237">
    <w:p w14:paraId="78A56C4D" w14:textId="0D3DE411"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22" w:history="1">
        <w:r w:rsidRPr="004F0EC4">
          <w:rPr>
            <w:rStyle w:val="Hyperlink"/>
          </w:rPr>
          <w:t>https://www.senadis.gob.cl/descarga/i/6045/documento</w:t>
        </w:r>
      </w:hyperlink>
      <w:r w:rsidRPr="004F0EC4">
        <w:rPr>
          <w:rtl/>
        </w:rPr>
        <w:t>.</w:t>
      </w:r>
    </w:p>
  </w:footnote>
  <w:footnote w:id="238">
    <w:p w14:paraId="16135B07" w14:textId="1A630771"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23" w:history="1">
        <w:r w:rsidRPr="004F0EC4">
          <w:rPr>
            <w:rStyle w:val="Hyperlink"/>
          </w:rPr>
          <w:t>https://www.senadis.gob.cl/sala_prensa/d/noticias/8663</w:t>
        </w:r>
      </w:hyperlink>
      <w:r w:rsidRPr="004F0EC4">
        <w:rPr>
          <w:rtl/>
        </w:rPr>
        <w:t>.</w:t>
      </w:r>
    </w:p>
  </w:footnote>
  <w:footnote w:id="239">
    <w:p w14:paraId="26E91722" w14:textId="6421346B"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24" w:history="1">
        <w:r w:rsidRPr="004F0EC4">
          <w:rPr>
            <w:rStyle w:val="Hyperlink"/>
          </w:rPr>
          <w:t>http://bcn.cl/2zg0t</w:t>
        </w:r>
      </w:hyperlink>
      <w:r w:rsidRPr="004F0EC4">
        <w:rPr>
          <w:rtl/>
        </w:rPr>
        <w:t>.</w:t>
      </w:r>
    </w:p>
  </w:footnote>
  <w:footnote w:id="240">
    <w:p w14:paraId="728FFC96" w14:textId="68E4D9D1"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25" w:history="1">
        <w:r w:rsidRPr="004F0EC4">
          <w:rPr>
            <w:rStyle w:val="Hyperlink"/>
          </w:rPr>
          <w:t>http://bcn.cl/2p863</w:t>
        </w:r>
      </w:hyperlink>
      <w:r w:rsidRPr="004F0EC4">
        <w:rPr>
          <w:rtl/>
        </w:rPr>
        <w:t>.</w:t>
      </w:r>
    </w:p>
  </w:footnote>
  <w:footnote w:id="241">
    <w:p w14:paraId="04ACB77B" w14:textId="2E8504D0" w:rsidR="00E54512" w:rsidRPr="004F0EC4" w:rsidRDefault="00E54512" w:rsidP="00E54512">
      <w:pPr>
        <w:pStyle w:val="FootnoteText1"/>
      </w:pPr>
      <w:r w:rsidRPr="004F0EC4">
        <w:rPr>
          <w:rtl/>
        </w:rPr>
        <w:t>(</w:t>
      </w:r>
      <w:r w:rsidRPr="004F0EC4">
        <w:footnoteRef/>
      </w:r>
      <w:r w:rsidRPr="004F0EC4">
        <w:rPr>
          <w:rtl/>
        </w:rPr>
        <w:t>)</w:t>
      </w:r>
      <w:r w:rsidRPr="004F0EC4">
        <w:rPr>
          <w:rtl/>
        </w:rPr>
        <w:tab/>
        <w:t xml:space="preserve">وُضعت الخطة من خلال عملية تشاركية، وشَكّلت القواعد التنظيمية وحقوق الإنسان أحد مجالات العمل المقترنة بها. انظر: </w:t>
      </w:r>
      <w:hyperlink r:id="rId226" w:history="1">
        <w:r w:rsidRPr="004F0EC4">
          <w:rPr>
            <w:rStyle w:val="Hyperlink"/>
          </w:rPr>
          <w:t>https://www.minsal.cl/wp-content/uploads/2017/12/PDF-PLAN-NACIONAL-SALUD-MENTAL-2017-A-2025.-7-dic-2017.pdf</w:t>
        </w:r>
      </w:hyperlink>
      <w:r w:rsidRPr="004F0EC4">
        <w:rPr>
          <w:rtl/>
        </w:rPr>
        <w:t>.</w:t>
      </w:r>
    </w:p>
  </w:footnote>
  <w:footnote w:id="242">
    <w:p w14:paraId="5771006D" w14:textId="6C48CBDA"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27" w:history="1">
        <w:r w:rsidR="00247408" w:rsidRPr="004F0EC4">
          <w:rPr>
            <w:rStyle w:val="Hyperlink"/>
          </w:rPr>
          <w:t>https://www.minsal.cl/consejoasesorensaludmental/</w:t>
        </w:r>
      </w:hyperlink>
      <w:r w:rsidRPr="004F0EC4">
        <w:rPr>
          <w:rtl/>
        </w:rPr>
        <w:t>.</w:t>
      </w:r>
    </w:p>
  </w:footnote>
  <w:footnote w:id="243">
    <w:p w14:paraId="431A9F58" w14:textId="3B7BF5B5" w:rsidR="00E54512" w:rsidRPr="004F0EC4" w:rsidRDefault="00E54512" w:rsidP="00E54512">
      <w:pPr>
        <w:pStyle w:val="FootnoteText1"/>
        <w:jc w:val="left"/>
        <w:rPr>
          <w:rFonts w:hint="cs"/>
          <w:rtl/>
        </w:rPr>
      </w:pPr>
      <w:r w:rsidRPr="004F0EC4">
        <w:rPr>
          <w:rtl/>
        </w:rPr>
        <w:t>(</w:t>
      </w:r>
      <w:r w:rsidRPr="004F0EC4">
        <w:footnoteRef/>
      </w:r>
      <w:r w:rsidRPr="004F0EC4">
        <w:rPr>
          <w:rtl/>
        </w:rPr>
        <w:t>)</w:t>
      </w:r>
      <w:r w:rsidRPr="004F0EC4">
        <w:rPr>
          <w:spacing w:val="-4"/>
          <w:rtl/>
        </w:rPr>
        <w:tab/>
      </w:r>
      <w:r w:rsidRPr="004F0EC4">
        <w:rPr>
          <w:spacing w:val="-4"/>
        </w:rPr>
        <w:t xml:space="preserve">Government </w:t>
      </w:r>
      <w:proofErr w:type="spellStart"/>
      <w:r w:rsidRPr="004F0EC4">
        <w:rPr>
          <w:spacing w:val="-4"/>
        </w:rPr>
        <w:t>Programme</w:t>
      </w:r>
      <w:proofErr w:type="spellEnd"/>
      <w:r w:rsidRPr="004F0EC4">
        <w:rPr>
          <w:spacing w:val="-4"/>
        </w:rPr>
        <w:t xml:space="preserve"> 2026–2022, p. 127</w:t>
      </w:r>
      <w:r w:rsidRPr="004F0EC4">
        <w:rPr>
          <w:spacing w:val="-4"/>
          <w:rtl/>
        </w:rPr>
        <w:t>. متاح في:</w:t>
      </w:r>
      <w:r w:rsidR="00247408" w:rsidRPr="004F0EC4">
        <w:rPr>
          <w:rFonts w:hint="cs"/>
          <w:spacing w:val="-4"/>
          <w:rtl/>
        </w:rPr>
        <w:t xml:space="preserve"> </w:t>
      </w:r>
      <w:hyperlink r:id="rId228" w:history="1">
        <w:r w:rsidR="00247408" w:rsidRPr="004F0EC4">
          <w:rPr>
            <w:rStyle w:val="Hyperlink"/>
          </w:rPr>
          <w:t>https://s3.amazonaws.com/cdn.boricpresidente.</w:t>
        </w:r>
        <w:r w:rsidR="00247408" w:rsidRPr="004F0EC4">
          <w:rPr>
            <w:rStyle w:val="Hyperlink"/>
          </w:rPr>
          <w:br/>
        </w:r>
        <w:r w:rsidR="00247408" w:rsidRPr="004F0EC4">
          <w:rPr>
            <w:rStyle w:val="Hyperlink"/>
          </w:rPr>
          <w:t>cl/web/</w:t>
        </w:r>
        <w:proofErr w:type="spellStart"/>
        <w:r w:rsidR="00247408" w:rsidRPr="004F0EC4">
          <w:rPr>
            <w:rStyle w:val="Hyperlink"/>
          </w:rPr>
          <w:t>programa</w:t>
        </w:r>
        <w:proofErr w:type="spellEnd"/>
        <w:r w:rsidR="00247408" w:rsidRPr="004F0EC4">
          <w:rPr>
            <w:rStyle w:val="Hyperlink"/>
          </w:rPr>
          <w:t>/Plan+de+gobierno+AD+2022-2026+(2).pdf</w:t>
        </w:r>
      </w:hyperlink>
      <w:r w:rsidRPr="004F0EC4">
        <w:rPr>
          <w:rtl/>
        </w:rPr>
        <w:t>.</w:t>
      </w:r>
    </w:p>
  </w:footnote>
  <w:footnote w:id="244">
    <w:p w14:paraId="516F82E7" w14:textId="4E61344B" w:rsidR="00E54512" w:rsidRPr="004F0EC4" w:rsidRDefault="00E54512" w:rsidP="00E54512">
      <w:pPr>
        <w:pStyle w:val="FootnoteText1"/>
      </w:pPr>
      <w:r w:rsidRPr="004F0EC4">
        <w:rPr>
          <w:rtl/>
        </w:rPr>
        <w:t>(</w:t>
      </w:r>
      <w:r w:rsidRPr="004F0EC4">
        <w:footnoteRef/>
      </w:r>
      <w:r w:rsidRPr="004F0EC4">
        <w:rPr>
          <w:rtl/>
        </w:rPr>
        <w:t>)</w:t>
      </w:r>
      <w:r w:rsidRPr="004F0EC4">
        <w:rPr>
          <w:rtl/>
        </w:rPr>
        <w:tab/>
      </w:r>
      <w:r w:rsidRPr="004F0EC4">
        <w:t>Ibid., p. 26</w:t>
      </w:r>
      <w:r w:rsidRPr="004F0EC4">
        <w:rPr>
          <w:rtl/>
        </w:rPr>
        <w:t>.</w:t>
      </w:r>
    </w:p>
  </w:footnote>
  <w:footnote w:id="245">
    <w:p w14:paraId="53A58959" w14:textId="50B4590E" w:rsidR="00E54512" w:rsidRPr="004F0EC4" w:rsidRDefault="00E54512" w:rsidP="00E54512">
      <w:pPr>
        <w:pStyle w:val="FootnoteText1"/>
        <w:rPr>
          <w:lang w:val="es-ES"/>
        </w:rPr>
      </w:pPr>
      <w:r w:rsidRPr="004F0EC4">
        <w:rPr>
          <w:rtl/>
        </w:rPr>
        <w:t>(</w:t>
      </w:r>
      <w:r w:rsidRPr="004F0EC4">
        <w:footnoteRef/>
      </w:r>
      <w:r w:rsidRPr="004F0EC4">
        <w:rPr>
          <w:rtl/>
        </w:rPr>
        <w:t>)</w:t>
      </w:r>
      <w:r w:rsidRPr="004F0EC4">
        <w:rPr>
          <w:rtl/>
        </w:rPr>
        <w:tab/>
      </w:r>
      <w:r w:rsidRPr="004F0EC4">
        <w:rPr>
          <w:lang w:val="es-ES"/>
        </w:rPr>
        <w:t>Ibid., p. 31</w:t>
      </w:r>
      <w:r w:rsidRPr="004F0EC4">
        <w:rPr>
          <w:rtl/>
        </w:rPr>
        <w:t>.</w:t>
      </w:r>
    </w:p>
  </w:footnote>
  <w:footnote w:id="246">
    <w:p w14:paraId="3EC95F76" w14:textId="36E930DC" w:rsidR="00E54512" w:rsidRPr="004F0EC4" w:rsidRDefault="00E54512" w:rsidP="00E54512">
      <w:pPr>
        <w:pStyle w:val="FootnoteText1"/>
        <w:rPr>
          <w:lang w:val="es-ES"/>
        </w:rPr>
      </w:pPr>
      <w:r w:rsidRPr="004F0EC4">
        <w:rPr>
          <w:rtl/>
        </w:rPr>
        <w:t>(</w:t>
      </w:r>
      <w:r w:rsidRPr="004F0EC4">
        <w:footnoteRef/>
      </w:r>
      <w:r w:rsidRPr="004F0EC4">
        <w:rPr>
          <w:rtl/>
        </w:rPr>
        <w:t>)</w:t>
      </w:r>
      <w:r w:rsidRPr="004F0EC4">
        <w:rPr>
          <w:rtl/>
        </w:rPr>
        <w:tab/>
      </w:r>
      <w:hyperlink r:id="rId229" w:history="1">
        <w:r w:rsidRPr="004F0EC4">
          <w:rPr>
            <w:rStyle w:val="Hyperlink"/>
            <w:lang w:val="es-ES"/>
          </w:rPr>
          <w:t>https://programassociales.ministeriodesarrollosocial.gob.cl/pdf/2022/PRG2022_3_60312.pdf</w:t>
        </w:r>
      </w:hyperlink>
      <w:r w:rsidRPr="004F0EC4">
        <w:rPr>
          <w:rtl/>
        </w:rPr>
        <w:t>.</w:t>
      </w:r>
    </w:p>
  </w:footnote>
  <w:footnote w:id="247">
    <w:p w14:paraId="4FC3149C" w14:textId="11B630F3" w:rsidR="00E54512" w:rsidRPr="004F0EC4" w:rsidRDefault="00E54512" w:rsidP="00E54512">
      <w:pPr>
        <w:pStyle w:val="FootnoteText1"/>
        <w:jc w:val="left"/>
      </w:pPr>
      <w:r w:rsidRPr="004F0EC4">
        <w:rPr>
          <w:rtl/>
        </w:rPr>
        <w:t>(</w:t>
      </w:r>
      <w:r w:rsidRPr="004F0EC4">
        <w:footnoteRef/>
      </w:r>
      <w:r w:rsidRPr="004F0EC4">
        <w:rPr>
          <w:rtl/>
        </w:rPr>
        <w:t>)</w:t>
      </w:r>
      <w:r w:rsidRPr="004F0EC4">
        <w:rPr>
          <w:spacing w:val="-2"/>
          <w:rtl/>
        </w:rPr>
        <w:tab/>
      </w:r>
      <w:r w:rsidRPr="004F0EC4">
        <w:rPr>
          <w:spacing w:val="-2"/>
        </w:rPr>
        <w:t xml:space="preserve">Government </w:t>
      </w:r>
      <w:proofErr w:type="spellStart"/>
      <w:r w:rsidRPr="004F0EC4">
        <w:rPr>
          <w:spacing w:val="-2"/>
        </w:rPr>
        <w:t>Programme</w:t>
      </w:r>
      <w:proofErr w:type="spellEnd"/>
      <w:r w:rsidRPr="004F0EC4">
        <w:rPr>
          <w:spacing w:val="-2"/>
        </w:rPr>
        <w:t xml:space="preserve"> 2026–2022, p. 127</w:t>
      </w:r>
      <w:r w:rsidRPr="004F0EC4">
        <w:rPr>
          <w:spacing w:val="-2"/>
          <w:rtl/>
        </w:rPr>
        <w:t>. متاح في:</w:t>
      </w:r>
      <w:r w:rsidR="00247408" w:rsidRPr="004F0EC4">
        <w:rPr>
          <w:rFonts w:hint="cs"/>
          <w:spacing w:val="-2"/>
          <w:rtl/>
        </w:rPr>
        <w:t xml:space="preserve"> </w:t>
      </w:r>
      <w:hyperlink r:id="rId230" w:history="1">
        <w:r w:rsidR="00247408" w:rsidRPr="004F0EC4">
          <w:rPr>
            <w:rStyle w:val="Hyperlink"/>
            <w:spacing w:val="-2"/>
          </w:rPr>
          <w:t>https://s3.amazonaws.com/cdn.boricpresidente.</w:t>
        </w:r>
        <w:r w:rsidR="00247408" w:rsidRPr="004F0EC4">
          <w:rPr>
            <w:rStyle w:val="Hyperlink"/>
            <w:spacing w:val="-2"/>
          </w:rPr>
          <w:br/>
        </w:r>
        <w:r w:rsidR="00247408" w:rsidRPr="004F0EC4">
          <w:rPr>
            <w:rStyle w:val="Hyperlink"/>
            <w:spacing w:val="-2"/>
          </w:rPr>
          <w:t>cl/web/</w:t>
        </w:r>
        <w:proofErr w:type="spellStart"/>
        <w:r w:rsidR="00247408" w:rsidRPr="004F0EC4">
          <w:rPr>
            <w:rStyle w:val="Hyperlink"/>
            <w:spacing w:val="-2"/>
          </w:rPr>
          <w:t>programa</w:t>
        </w:r>
        <w:proofErr w:type="spellEnd"/>
        <w:r w:rsidR="00247408" w:rsidRPr="004F0EC4">
          <w:rPr>
            <w:rStyle w:val="Hyperlink"/>
            <w:spacing w:val="-2"/>
          </w:rPr>
          <w:t>/Plan+de+gobierno+AD+2022-2026+(2).pdf</w:t>
        </w:r>
      </w:hyperlink>
      <w:r w:rsidRPr="004F0EC4">
        <w:rPr>
          <w:rtl/>
        </w:rPr>
        <w:t>.</w:t>
      </w:r>
    </w:p>
  </w:footnote>
  <w:footnote w:id="248">
    <w:p w14:paraId="7FF6B69B" w14:textId="49FE2CB6" w:rsidR="00E54512" w:rsidRPr="004F0EC4" w:rsidRDefault="00E54512" w:rsidP="00E54512">
      <w:pPr>
        <w:pStyle w:val="FootnoteText1"/>
      </w:pPr>
      <w:r w:rsidRPr="004F0EC4">
        <w:rPr>
          <w:rtl/>
        </w:rPr>
        <w:t>(</w:t>
      </w:r>
      <w:r w:rsidRPr="004F0EC4">
        <w:footnoteRef/>
      </w:r>
      <w:r w:rsidRPr="004F0EC4">
        <w:rPr>
          <w:rtl/>
        </w:rPr>
        <w:t>)</w:t>
      </w:r>
      <w:r w:rsidRPr="004F0EC4">
        <w:rPr>
          <w:rtl/>
        </w:rPr>
        <w:tab/>
        <w:t>لطالما كان تمويل المعونة التقنية مسألة بالغة الأهمية بالنسبة للدائرة الوطنية لشؤون الأشخاص ذوي الإعاقة. ولذلك، خُصص جزء كبير من الميزانية، خلال الفترة من عام 2019 إلى عام 2021، لتغطية بعض الطلبات التي سبق رفضها في دورات الميزانية السابقة، حتى لا يضطر الناس إلى إعادة تقديم طلباتهم. وفي عام 2021، طلب التحالف الوطني للإعاقة أيضاً إعادة النظر في الطلبات السابقة في إطار ما يقوم به من جهود المناصرة مع وزارة التنمية الاجتماعية وخدمات الأسرة.</w:t>
      </w:r>
    </w:p>
  </w:footnote>
  <w:footnote w:id="249">
    <w:p w14:paraId="4EDA08AB" w14:textId="2B044A61"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31" w:history="1">
        <w:r w:rsidRPr="004F0EC4">
          <w:rPr>
            <w:rStyle w:val="Hyperlink"/>
          </w:rPr>
          <w:t>https://www.mintrab.gob.cl/wp-content/uploads/2021/06/INFORME-LEY-N-21.015-PDF.pdf</w:t>
        </w:r>
      </w:hyperlink>
      <w:r w:rsidRPr="004F0EC4">
        <w:rPr>
          <w:rtl/>
        </w:rPr>
        <w:t>.</w:t>
      </w:r>
    </w:p>
  </w:footnote>
  <w:footnote w:id="250">
    <w:p w14:paraId="7ADBDE9E" w14:textId="0280F692" w:rsidR="00E54512" w:rsidRPr="004F0EC4" w:rsidRDefault="00E54512" w:rsidP="00867AED">
      <w:pPr>
        <w:pStyle w:val="FootnoteText1"/>
        <w:spacing w:line="270" w:lineRule="exact"/>
      </w:pPr>
      <w:r w:rsidRPr="004F0EC4">
        <w:rPr>
          <w:rtl/>
        </w:rPr>
        <w:t>(</w:t>
      </w:r>
      <w:r w:rsidRPr="004F0EC4">
        <w:footnoteRef/>
      </w:r>
      <w:r w:rsidRPr="004F0EC4">
        <w:rPr>
          <w:rtl/>
        </w:rPr>
        <w:t>)</w:t>
      </w:r>
      <w:r w:rsidRPr="004F0EC4">
        <w:rPr>
          <w:rtl/>
        </w:rPr>
        <w:tab/>
        <w:t>يُعتبر العقد سارياً إذا كان غير محدد المدة أو كان من المقرر أن ينتهي بعد تاريخ الدراسة.</w:t>
      </w:r>
    </w:p>
  </w:footnote>
  <w:footnote w:id="251">
    <w:p w14:paraId="61827399" w14:textId="5EA638A3" w:rsidR="00E54512" w:rsidRPr="004F0EC4" w:rsidRDefault="00E54512" w:rsidP="00867AED">
      <w:pPr>
        <w:pStyle w:val="FootnoteText1"/>
        <w:spacing w:line="270" w:lineRule="exact"/>
      </w:pPr>
      <w:r w:rsidRPr="004F0EC4">
        <w:rPr>
          <w:rtl/>
        </w:rPr>
        <w:t>(</w:t>
      </w:r>
      <w:r w:rsidRPr="004F0EC4">
        <w:footnoteRef/>
      </w:r>
      <w:r w:rsidRPr="004F0EC4">
        <w:rPr>
          <w:rtl/>
        </w:rPr>
        <w:t>)</w:t>
      </w:r>
      <w:r w:rsidRPr="004F0EC4">
        <w:rPr>
          <w:rtl/>
        </w:rPr>
        <w:tab/>
      </w:r>
      <w:hyperlink r:id="rId232" w:history="1">
        <w:r w:rsidRPr="004F0EC4">
          <w:rPr>
            <w:rStyle w:val="Hyperlink"/>
          </w:rPr>
          <w:t>http://www.senado.cl/appsenado/templates/tramitacion/index.php?boletin_ini=14445-13</w:t>
        </w:r>
      </w:hyperlink>
      <w:r w:rsidRPr="004F0EC4">
        <w:rPr>
          <w:rtl/>
        </w:rPr>
        <w:t>.</w:t>
      </w:r>
    </w:p>
  </w:footnote>
  <w:footnote w:id="252">
    <w:p w14:paraId="72025971" w14:textId="29D7B768" w:rsidR="00E54512" w:rsidRPr="004F0EC4" w:rsidRDefault="00E54512" w:rsidP="00867AED">
      <w:pPr>
        <w:pStyle w:val="FootnoteText1"/>
        <w:spacing w:line="270" w:lineRule="exact"/>
        <w:rPr>
          <w:spacing w:val="-2"/>
        </w:rPr>
      </w:pPr>
      <w:r w:rsidRPr="004F0EC4">
        <w:rPr>
          <w:rtl/>
        </w:rPr>
        <w:t>(</w:t>
      </w:r>
      <w:r w:rsidRPr="004F0EC4">
        <w:footnoteRef/>
      </w:r>
      <w:r w:rsidRPr="004F0EC4">
        <w:rPr>
          <w:rtl/>
        </w:rPr>
        <w:t>)</w:t>
      </w:r>
      <w:r w:rsidRPr="004F0EC4">
        <w:rPr>
          <w:rtl/>
        </w:rPr>
        <w:tab/>
      </w:r>
      <w:hyperlink r:id="rId233" w:history="1">
        <w:r w:rsidRPr="004F0EC4">
          <w:rPr>
            <w:rStyle w:val="Hyperlink"/>
            <w:spacing w:val="-2"/>
          </w:rPr>
          <w:t>https://www.subtrab.gob.cl/wp-content/uploads/2021/05/banner-manual-de-buenas-practicas-1.pdf</w:t>
        </w:r>
      </w:hyperlink>
      <w:r w:rsidRPr="004F0EC4">
        <w:rPr>
          <w:spacing w:val="-2"/>
          <w:rtl/>
        </w:rPr>
        <w:t>.</w:t>
      </w:r>
    </w:p>
  </w:footnote>
  <w:footnote w:id="253">
    <w:p w14:paraId="6DDCFC18" w14:textId="53A3E3BA" w:rsidR="00E54512" w:rsidRPr="004F0EC4" w:rsidRDefault="00E54512" w:rsidP="00867AED">
      <w:pPr>
        <w:pStyle w:val="FootnoteText1"/>
        <w:spacing w:line="270" w:lineRule="exact"/>
      </w:pPr>
      <w:r w:rsidRPr="004F0EC4">
        <w:rPr>
          <w:rtl/>
        </w:rPr>
        <w:t>(</w:t>
      </w:r>
      <w:r w:rsidRPr="004F0EC4">
        <w:footnoteRef/>
      </w:r>
      <w:r w:rsidRPr="004F0EC4">
        <w:rPr>
          <w:rtl/>
        </w:rPr>
        <w:t>)</w:t>
      </w:r>
      <w:r w:rsidRPr="004F0EC4">
        <w:rPr>
          <w:rtl/>
        </w:rPr>
        <w:tab/>
      </w:r>
      <w:hyperlink r:id="rId234" w:history="1">
        <w:r w:rsidRPr="004F0EC4">
          <w:rPr>
            <w:rStyle w:val="Hyperlink"/>
          </w:rPr>
          <w:t>https://pactodeproductividad.cl/</w:t>
        </w:r>
      </w:hyperlink>
      <w:r w:rsidRPr="004F0EC4">
        <w:rPr>
          <w:rtl/>
        </w:rPr>
        <w:t>.</w:t>
      </w:r>
    </w:p>
  </w:footnote>
  <w:footnote w:id="254">
    <w:p w14:paraId="672CC1DD" w14:textId="081CDDD0" w:rsidR="00E54512" w:rsidRPr="004F0EC4" w:rsidRDefault="00E54512" w:rsidP="00867AED">
      <w:pPr>
        <w:pStyle w:val="FootnoteText1"/>
        <w:spacing w:line="270" w:lineRule="exact"/>
      </w:pPr>
      <w:r w:rsidRPr="004F0EC4">
        <w:rPr>
          <w:rtl/>
        </w:rPr>
        <w:t>(</w:t>
      </w:r>
      <w:r w:rsidRPr="004F0EC4">
        <w:footnoteRef/>
      </w:r>
      <w:r w:rsidRPr="004F0EC4">
        <w:rPr>
          <w:rtl/>
        </w:rPr>
        <w:t>)</w:t>
      </w:r>
      <w:r w:rsidRPr="004F0EC4">
        <w:rPr>
          <w:rtl/>
        </w:rPr>
        <w:tab/>
      </w:r>
      <w:hyperlink r:id="rId235" w:anchor=":~:text=%C2%BFQu%C3%A9%20es%20el%20Comit%C3%A9%20de,discapacidad%20en%20Chile%20(PcD)" w:history="1">
        <w:r w:rsidRPr="004F0EC4">
          <w:rPr>
            <w:rStyle w:val="Hyperlink"/>
            <w:rFonts w:eastAsia="Times New Roman"/>
          </w:rPr>
          <w:t>https://sofofa.cl/centros-sofofa/centro-discapacidad/cil/#:~:text=%C2%BFQu%C3%A9%20es%</w:t>
        </w:r>
        <w:r w:rsidR="00867AED" w:rsidRPr="004F0EC4">
          <w:rPr>
            <w:rStyle w:val="Hyperlink"/>
            <w:rFonts w:eastAsia="Times New Roman"/>
          </w:rPr>
          <w:br/>
        </w:r>
        <w:r w:rsidRPr="004F0EC4">
          <w:rPr>
            <w:rStyle w:val="Hyperlink"/>
            <w:rFonts w:eastAsia="Times New Roman"/>
          </w:rPr>
          <w:t>20el%20Comit%C3%A9%20de,discapacidad%20en%20Chile%20(</w:t>
        </w:r>
        <w:proofErr w:type="spellStart"/>
        <w:r w:rsidRPr="004F0EC4">
          <w:rPr>
            <w:rStyle w:val="Hyperlink"/>
            <w:rFonts w:eastAsia="Times New Roman"/>
          </w:rPr>
          <w:t>PcD</w:t>
        </w:r>
        <w:proofErr w:type="spellEnd"/>
        <w:r w:rsidRPr="004F0EC4">
          <w:rPr>
            <w:rStyle w:val="Hyperlink"/>
            <w:rFonts w:eastAsia="Times New Roman"/>
          </w:rPr>
          <w:t>)</w:t>
        </w:r>
      </w:hyperlink>
      <w:r w:rsidRPr="004F0EC4">
        <w:rPr>
          <w:rtl/>
        </w:rPr>
        <w:t>.</w:t>
      </w:r>
    </w:p>
  </w:footnote>
  <w:footnote w:id="255">
    <w:p w14:paraId="140B77E4" w14:textId="0C1218C7"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36" w:history="1">
        <w:r w:rsidRPr="004F0EC4">
          <w:rPr>
            <w:rStyle w:val="Hyperlink"/>
          </w:rPr>
          <w:t>https://www.dt.gob.cl/legislacion/1624/w3-article-119460.html</w:t>
        </w:r>
      </w:hyperlink>
      <w:r w:rsidRPr="004F0EC4">
        <w:rPr>
          <w:rtl/>
        </w:rPr>
        <w:t>.</w:t>
      </w:r>
    </w:p>
  </w:footnote>
  <w:footnote w:id="256">
    <w:p w14:paraId="3DDCE55F" w14:textId="2D4D360D"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37" w:history="1">
        <w:r w:rsidRPr="004F0EC4">
          <w:rPr>
            <w:rStyle w:val="Hyperlink"/>
          </w:rPr>
          <w:t>https://www.dt.gob.cl/legislacion/1624/w3-article-121654.html</w:t>
        </w:r>
      </w:hyperlink>
      <w:r w:rsidRPr="004F0EC4">
        <w:rPr>
          <w:rtl/>
        </w:rPr>
        <w:t>.</w:t>
      </w:r>
    </w:p>
  </w:footnote>
  <w:footnote w:id="257">
    <w:p w14:paraId="3F232A44" w14:textId="061F6D90"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38" w:history="1">
        <w:r w:rsidRPr="004F0EC4">
          <w:rPr>
            <w:rStyle w:val="Hyperlink"/>
          </w:rPr>
          <w:t>https://sence.gob.cl/personas/discapacidad</w:t>
        </w:r>
      </w:hyperlink>
      <w:r w:rsidRPr="004F0EC4">
        <w:rPr>
          <w:rtl/>
        </w:rPr>
        <w:t>.</w:t>
      </w:r>
    </w:p>
  </w:footnote>
  <w:footnote w:id="258">
    <w:p w14:paraId="16B19D17" w14:textId="571B9B75" w:rsidR="00E54512" w:rsidRPr="004F0EC4" w:rsidRDefault="00E54512" w:rsidP="00E54512">
      <w:pPr>
        <w:pStyle w:val="FootnoteText1"/>
      </w:pPr>
      <w:r w:rsidRPr="004F0EC4">
        <w:rPr>
          <w:rtl/>
        </w:rPr>
        <w:t>(</w:t>
      </w:r>
      <w:r w:rsidRPr="004F0EC4">
        <w:footnoteRef/>
      </w:r>
      <w:r w:rsidRPr="004F0EC4">
        <w:rPr>
          <w:rtl/>
        </w:rPr>
        <w:t>)</w:t>
      </w:r>
      <w:r w:rsidRPr="004F0EC4">
        <w:rPr>
          <w:rtl/>
        </w:rPr>
        <w:tab/>
        <w:t>خلال الفترة من عام 2020 وحتى 3 آب/أغسطس 2022.</w:t>
      </w:r>
    </w:p>
  </w:footnote>
  <w:footnote w:id="259">
    <w:p w14:paraId="0C03B667" w14:textId="7EBAE2CF" w:rsidR="00E54512" w:rsidRPr="004F0EC4" w:rsidRDefault="00E54512" w:rsidP="00E54512">
      <w:pPr>
        <w:pStyle w:val="FootnoteText1"/>
      </w:pPr>
      <w:r w:rsidRPr="004F0EC4">
        <w:rPr>
          <w:rtl/>
        </w:rPr>
        <w:t>(</w:t>
      </w:r>
      <w:r w:rsidRPr="004F0EC4">
        <w:footnoteRef/>
      </w:r>
      <w:r w:rsidRPr="004F0EC4">
        <w:rPr>
          <w:rtl/>
        </w:rPr>
        <w:t>)</w:t>
      </w:r>
      <w:r w:rsidRPr="004F0EC4">
        <w:rPr>
          <w:rtl/>
        </w:rPr>
        <w:tab/>
      </w:r>
      <w:r w:rsidRPr="004F0EC4">
        <w:rPr>
          <w:spacing w:val="-2"/>
          <w:rtl/>
        </w:rPr>
        <w:t>في عام 2019، عُقدت 16 ندوة إقليمية ومناقشات للمتابعة في بلديات شتى في 9 مناطق. ونُظمت، في عام 2020، 4 أربعة أحداث</w:t>
      </w:r>
      <w:r w:rsidRPr="004F0EC4">
        <w:rPr>
          <w:rtl/>
        </w:rPr>
        <w:t xml:space="preserve"> افتراضية لإذكاء الوعي، ومناقشات، وحلقة دراسية شبكية على الصعيد الوطني، شارك فيها 338 شخصاً. وفي عام 2021، عُقدت 6 مناقشات في مختلف أنحاء البلد، بمشاركة 023 1 منظمة وبحضور 286 1 مشاركاً. وستنفَّذ إجراءات تهدف إلى تعزيز النهج القائم على الحقوق خلال عام 2022، بما في ذلك 4 ندوات وطنية حول الإدماج في سوق العمل من المقرر عقدها في حزيران/</w:t>
      </w:r>
      <w:proofErr w:type="gramStart"/>
      <w:r w:rsidRPr="004F0EC4">
        <w:rPr>
          <w:rtl/>
        </w:rPr>
        <w:t>يونيه</w:t>
      </w:r>
      <w:proofErr w:type="gramEnd"/>
      <w:r w:rsidRPr="004F0EC4">
        <w:rPr>
          <w:rtl/>
        </w:rPr>
        <w:t>، وذلك بمشاركة يبلغ حجمها في المتوسط 350 مشاركاً من حوالي 480 منظمة.</w:t>
      </w:r>
    </w:p>
  </w:footnote>
  <w:footnote w:id="260">
    <w:p w14:paraId="46AD6192" w14:textId="629C1390" w:rsidR="00E54512" w:rsidRPr="004F0EC4" w:rsidRDefault="00E54512" w:rsidP="00E54512">
      <w:pPr>
        <w:pStyle w:val="FootnoteText1"/>
      </w:pPr>
      <w:r w:rsidRPr="004F0EC4">
        <w:rPr>
          <w:rtl/>
        </w:rPr>
        <w:t>(</w:t>
      </w:r>
      <w:r w:rsidRPr="004F0EC4">
        <w:footnoteRef/>
      </w:r>
      <w:r w:rsidRPr="004F0EC4">
        <w:rPr>
          <w:rtl/>
        </w:rPr>
        <w:t>)</w:t>
      </w:r>
      <w:r w:rsidRPr="004F0EC4">
        <w:rPr>
          <w:rtl/>
        </w:rPr>
        <w:tab/>
      </w:r>
      <w:r w:rsidRPr="004F0EC4">
        <w:rPr>
          <w:spacing w:val="-4"/>
          <w:rtl/>
        </w:rPr>
        <w:t xml:space="preserve">في عام 2020، أكمل التدريب ما مجموعه 349 شخصاً من 232 منظمة. وسُجل، في عام 2021، ما مجموعه 457 شخصاً من 301 </w:t>
      </w:r>
      <w:r w:rsidRPr="004F0EC4">
        <w:rPr>
          <w:spacing w:val="-2"/>
          <w:rtl/>
        </w:rPr>
        <w:t>منظمة. وفي تموز/يوليه 2022، كانت 172 منظمة قد سُجلت. وإجمالاً، سُجلت 97 منظمة من القطاعين العام والخاص في الدورة التدريبية</w:t>
      </w:r>
      <w:r w:rsidRPr="004F0EC4">
        <w:rPr>
          <w:spacing w:val="-4"/>
          <w:rtl/>
        </w:rPr>
        <w:t xml:space="preserve"> المقدمة عبر الإنترنت، في حين سُجلت 40 منظمة في النسخة المختلطة، وذلك بمشاركة أفراد من 11 منطقة من مناطق البلد.</w:t>
      </w:r>
    </w:p>
  </w:footnote>
  <w:footnote w:id="261">
    <w:p w14:paraId="7C9CE739" w14:textId="0DCA49F3" w:rsidR="00E54512" w:rsidRPr="004F0EC4" w:rsidRDefault="00E54512" w:rsidP="00E54512">
      <w:pPr>
        <w:pStyle w:val="FootnoteText1"/>
      </w:pPr>
      <w:r w:rsidRPr="004F0EC4">
        <w:rPr>
          <w:rtl/>
        </w:rPr>
        <w:t>(</w:t>
      </w:r>
      <w:r w:rsidRPr="004F0EC4">
        <w:footnoteRef/>
      </w:r>
      <w:r w:rsidRPr="004F0EC4">
        <w:rPr>
          <w:rtl/>
        </w:rPr>
        <w:t>)</w:t>
      </w:r>
      <w:r w:rsidRPr="004F0EC4">
        <w:rPr>
          <w:rtl/>
        </w:rPr>
        <w:tab/>
        <w:t>كانت الموضوعات هي التالية: التنوع والإدماج؛ والقوانين الحالية المتعلقة بإدماج الأشخاص ذوي الإعاقة في سوق العمل؛ وسياسات العمل الشاملة للجميع؛ والترتيبات التيسيرية المعقولة؛ والاختيار والتوظيف. واستغرقت كل دورة تدريبية ما بين 25 و30 ساعة في المتوسط. وخلال الدورات التدريبية، يطبَّق مؤشر الإدماج في سوق العمل، وهو أداة للتقييم الذاتي لمستوى الإدماج داخل المنظمات، مرتين - في بداية الدورة وبعد ثلاثة أشهر من انتهائها. وفي تموز/يوليه 2022، كان 137 كياناً قد طبق مؤشر الإدماج في سوق العمل.</w:t>
      </w:r>
    </w:p>
  </w:footnote>
  <w:footnote w:id="262">
    <w:p w14:paraId="27EB1CB5" w14:textId="18A7589A"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39" w:history="1">
        <w:r w:rsidRPr="004F0EC4">
          <w:rPr>
            <w:rStyle w:val="Hyperlink"/>
          </w:rPr>
          <w:t>http://bcn.cl/2maxp</w:t>
        </w:r>
      </w:hyperlink>
      <w:r w:rsidRPr="004F0EC4">
        <w:rPr>
          <w:rtl/>
        </w:rPr>
        <w:t>.</w:t>
      </w:r>
    </w:p>
  </w:footnote>
  <w:footnote w:id="263">
    <w:p w14:paraId="68C53F3C" w14:textId="6808F32B" w:rsidR="00E54512" w:rsidRPr="004F0EC4" w:rsidRDefault="00E54512" w:rsidP="00E54512">
      <w:pPr>
        <w:pStyle w:val="FootnoteText1"/>
      </w:pPr>
      <w:r w:rsidRPr="004F0EC4">
        <w:rPr>
          <w:rtl/>
        </w:rPr>
        <w:t>(</w:t>
      </w:r>
      <w:r w:rsidRPr="004F0EC4">
        <w:footnoteRef/>
      </w:r>
      <w:r w:rsidRPr="004F0EC4">
        <w:rPr>
          <w:rtl/>
        </w:rPr>
        <w:t>)</w:t>
      </w:r>
      <w:r w:rsidRPr="004F0EC4">
        <w:rPr>
          <w:rtl/>
        </w:rPr>
        <w:tab/>
      </w:r>
      <w:r w:rsidRPr="004F0EC4">
        <w:rPr>
          <w:i/>
          <w:iCs/>
          <w:rtl/>
        </w:rPr>
        <w:t xml:space="preserve">المصدر: </w:t>
      </w:r>
      <w:r w:rsidRPr="004F0EC4">
        <w:rPr>
          <w:rtl/>
        </w:rPr>
        <w:t>قاعدة بيانات البرنامج الاجتماعي المتكامل، 2022.</w:t>
      </w:r>
    </w:p>
  </w:footnote>
  <w:footnote w:id="264">
    <w:p w14:paraId="43EC46F3" w14:textId="2A513549" w:rsidR="00E54512" w:rsidRPr="004F0EC4" w:rsidRDefault="00E54512" w:rsidP="00E54512">
      <w:pPr>
        <w:pStyle w:val="FootnoteText1"/>
      </w:pPr>
      <w:r w:rsidRPr="004F0EC4">
        <w:rPr>
          <w:rtl/>
        </w:rPr>
        <w:t>(</w:t>
      </w:r>
      <w:r w:rsidRPr="004F0EC4">
        <w:footnoteRef/>
      </w:r>
      <w:r w:rsidRPr="004F0EC4">
        <w:rPr>
          <w:rtl/>
        </w:rPr>
        <w:t>)</w:t>
      </w:r>
      <w:r w:rsidRPr="004F0EC4">
        <w:rPr>
          <w:rtl/>
        </w:rPr>
        <w:tab/>
        <w:t>المرجع نفسه</w:t>
      </w:r>
      <w:r w:rsidRPr="004F0EC4">
        <w:rPr>
          <w:rFonts w:hint="cs"/>
          <w:rtl/>
        </w:rPr>
        <w:t>.</w:t>
      </w:r>
    </w:p>
  </w:footnote>
  <w:footnote w:id="265">
    <w:p w14:paraId="4EA2B4BE" w14:textId="0875E97F" w:rsidR="00E54512" w:rsidRPr="004F0EC4" w:rsidRDefault="00E54512" w:rsidP="00E54512">
      <w:pPr>
        <w:pStyle w:val="FootnoteText1"/>
      </w:pPr>
      <w:r w:rsidRPr="004F0EC4">
        <w:rPr>
          <w:rtl/>
        </w:rPr>
        <w:t>(</w:t>
      </w:r>
      <w:r w:rsidRPr="004F0EC4">
        <w:footnoteRef/>
      </w:r>
      <w:r w:rsidRPr="004F0EC4">
        <w:rPr>
          <w:rtl/>
        </w:rPr>
        <w:t>)</w:t>
      </w:r>
      <w:r w:rsidRPr="004F0EC4">
        <w:rPr>
          <w:rtl/>
        </w:rPr>
        <w:tab/>
        <w:t>المرجع نفسه</w:t>
      </w:r>
      <w:r w:rsidRPr="004F0EC4">
        <w:rPr>
          <w:rFonts w:hint="cs"/>
          <w:rtl/>
        </w:rPr>
        <w:t>.</w:t>
      </w:r>
    </w:p>
  </w:footnote>
  <w:footnote w:id="266">
    <w:p w14:paraId="77ABEEC5" w14:textId="43547A20" w:rsidR="00E54512" w:rsidRPr="004F0EC4" w:rsidRDefault="00E54512" w:rsidP="00E54512">
      <w:pPr>
        <w:pStyle w:val="FootnoteText1"/>
      </w:pPr>
      <w:r w:rsidRPr="004F0EC4">
        <w:rPr>
          <w:rtl/>
        </w:rPr>
        <w:t>(</w:t>
      </w:r>
      <w:r w:rsidRPr="004F0EC4">
        <w:footnoteRef/>
      </w:r>
      <w:r w:rsidRPr="004F0EC4">
        <w:rPr>
          <w:rtl/>
        </w:rPr>
        <w:t>)</w:t>
      </w:r>
      <w:r w:rsidRPr="004F0EC4">
        <w:rPr>
          <w:rtl/>
        </w:rPr>
        <w:tab/>
        <w:t>المرجع نفسه</w:t>
      </w:r>
      <w:r w:rsidR="001F15F0">
        <w:rPr>
          <w:rFonts w:hint="cs"/>
          <w:rtl/>
        </w:rPr>
        <w:t>.</w:t>
      </w:r>
    </w:p>
  </w:footnote>
  <w:footnote w:id="267">
    <w:p w14:paraId="219F0E92" w14:textId="66FEC4E4"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40" w:history="1">
        <w:r w:rsidRPr="004F0EC4">
          <w:rPr>
            <w:rStyle w:val="Hyperlink"/>
          </w:rPr>
          <w:t>https://www.senadis.gob.cl/pag/647/1575/programa_transito_a_la_vida_independiente_2022</w:t>
        </w:r>
      </w:hyperlink>
      <w:r w:rsidRPr="004F0EC4">
        <w:rPr>
          <w:rtl/>
        </w:rPr>
        <w:t>.</w:t>
      </w:r>
    </w:p>
  </w:footnote>
  <w:footnote w:id="268">
    <w:p w14:paraId="78580D2B" w14:textId="1F12D16D" w:rsidR="00E54512" w:rsidRPr="004F0EC4" w:rsidRDefault="00E54512" w:rsidP="003D23B7">
      <w:pPr>
        <w:pStyle w:val="FootnoteText1"/>
        <w:jc w:val="left"/>
        <w:rPr>
          <w:rFonts w:hint="cs"/>
          <w:rtl/>
        </w:rPr>
      </w:pPr>
      <w:r w:rsidRPr="004F0EC4">
        <w:rPr>
          <w:rtl/>
        </w:rPr>
        <w:t>(</w:t>
      </w:r>
      <w:r w:rsidRPr="004F0EC4">
        <w:footnoteRef/>
      </w:r>
      <w:r w:rsidRPr="004F0EC4">
        <w:rPr>
          <w:rtl/>
        </w:rPr>
        <w:t>)</w:t>
      </w:r>
      <w:r w:rsidRPr="004F0EC4">
        <w:rPr>
          <w:rtl/>
        </w:rPr>
        <w:tab/>
        <w:t xml:space="preserve">2016: </w:t>
      </w:r>
      <w:hyperlink r:id="rId241" w:history="1">
        <w:r w:rsidR="00247408" w:rsidRPr="004F0EC4">
          <w:rPr>
            <w:rStyle w:val="Hyperlink"/>
            <w:rFonts w:eastAsia="Times New Roman"/>
          </w:rPr>
          <w:t>https://www.senadis.gob.cl/pag/311/1795/convocatoria_programa_transito_a_la_vida_</w:t>
        </w:r>
        <w:r w:rsidR="00247408" w:rsidRPr="004F0EC4">
          <w:rPr>
            <w:rStyle w:val="Hyperlink"/>
            <w:rFonts w:eastAsia="Times New Roman"/>
          </w:rPr>
          <w:br/>
          <w:t>independiente_2016</w:t>
        </w:r>
      </w:hyperlink>
      <w:r w:rsidRPr="004F0EC4">
        <w:rPr>
          <w:rtl/>
        </w:rPr>
        <w:t>.</w:t>
      </w:r>
    </w:p>
    <w:p w14:paraId="7302541E" w14:textId="56D43A77" w:rsidR="00E54512" w:rsidRPr="004F0EC4" w:rsidRDefault="00E54512" w:rsidP="003D23B7">
      <w:pPr>
        <w:pStyle w:val="FootnoteText1"/>
        <w:jc w:val="left"/>
        <w:rPr>
          <w:rtl/>
        </w:rPr>
      </w:pPr>
      <w:r w:rsidRPr="004F0EC4">
        <w:rPr>
          <w:rtl/>
        </w:rPr>
        <w:tab/>
        <w:t xml:space="preserve">2019: </w:t>
      </w:r>
      <w:hyperlink r:id="rId242" w:history="1">
        <w:r w:rsidRPr="004F0EC4">
          <w:rPr>
            <w:rStyle w:val="Hyperlink"/>
          </w:rPr>
          <w:t>https://www.senadis.gob.cl/sala_prensa/d/noticias/7624</w:t>
        </w:r>
      </w:hyperlink>
      <w:r w:rsidRPr="004F0EC4">
        <w:rPr>
          <w:rtl/>
        </w:rPr>
        <w:t>، و</w:t>
      </w:r>
      <w:hyperlink r:id="rId243" w:history="1">
        <w:r w:rsidRPr="004F0EC4">
          <w:rPr>
            <w:rStyle w:val="Hyperlink"/>
          </w:rPr>
          <w:t>https://www.senadis.gob.cl/sala_prensa/d/noticias/7630</w:t>
        </w:r>
      </w:hyperlink>
      <w:r w:rsidRPr="004F0EC4">
        <w:rPr>
          <w:rtl/>
        </w:rPr>
        <w:t>، و</w:t>
      </w:r>
      <w:hyperlink r:id="rId244" w:history="1">
        <w:r w:rsidRPr="004F0EC4">
          <w:rPr>
            <w:rStyle w:val="Hyperlink"/>
          </w:rPr>
          <w:t>https://www.senadis.gob</w:t>
        </w:r>
        <w:r w:rsidRPr="004F0EC4">
          <w:rPr>
            <w:rStyle w:val="Hyperlink"/>
            <w:rtl/>
          </w:rPr>
          <w:t>.</w:t>
        </w:r>
        <w:r w:rsidRPr="004F0EC4">
          <w:rPr>
            <w:rStyle w:val="Hyperlink"/>
          </w:rPr>
          <w:t>cl/sala_prensa/d/noticias/7629</w:t>
        </w:r>
      </w:hyperlink>
      <w:r w:rsidRPr="004F0EC4">
        <w:rPr>
          <w:rtl/>
        </w:rPr>
        <w:t xml:space="preserve">، </w:t>
      </w:r>
      <w:hyperlink r:id="rId245" w:history="1">
        <w:r w:rsidRPr="004F0EC4">
          <w:rPr>
            <w:rStyle w:val="Hyperlink"/>
          </w:rPr>
          <w:t>https://www.senadis.gob.cl/sala_prensa/d/noticias/7641</w:t>
        </w:r>
      </w:hyperlink>
      <w:r w:rsidRPr="004F0EC4">
        <w:rPr>
          <w:rtl/>
        </w:rPr>
        <w:t>.</w:t>
      </w:r>
    </w:p>
    <w:p w14:paraId="391B19D5" w14:textId="5EFD7EC3" w:rsidR="00E54512" w:rsidRPr="004F0EC4" w:rsidRDefault="00E54512" w:rsidP="003D23B7">
      <w:pPr>
        <w:pStyle w:val="FootnoteText1"/>
        <w:jc w:val="left"/>
        <w:rPr>
          <w:rtl/>
        </w:rPr>
      </w:pPr>
      <w:r w:rsidRPr="004F0EC4">
        <w:rPr>
          <w:rtl/>
        </w:rPr>
        <w:tab/>
        <w:t xml:space="preserve">2020: </w:t>
      </w:r>
      <w:hyperlink r:id="rId246" w:history="1">
        <w:r w:rsidR="00247408" w:rsidRPr="004F0EC4">
          <w:rPr>
            <w:rStyle w:val="Hyperlink"/>
            <w:rFonts w:eastAsia="Times New Roman"/>
          </w:rPr>
          <w:t>https://www.senadis.gob.cl/pag/594/1910/continuidad_de_recursos_transito_a_la_vida_</w:t>
        </w:r>
        <w:r w:rsidR="00247408" w:rsidRPr="004F0EC4">
          <w:rPr>
            <w:rStyle w:val="Hyperlink"/>
            <w:rFonts w:eastAsia="Times New Roman"/>
          </w:rPr>
          <w:br/>
          <w:t>independiente_tvi_2019_segundo_semestre_2020_cerrado</w:t>
        </w:r>
      </w:hyperlink>
      <w:r w:rsidRPr="004F0EC4">
        <w:rPr>
          <w:rtl/>
        </w:rPr>
        <w:t>.</w:t>
      </w:r>
    </w:p>
    <w:p w14:paraId="1998E5EC" w14:textId="257A3783" w:rsidR="00E54512" w:rsidRPr="004F0EC4" w:rsidRDefault="00E54512" w:rsidP="003D23B7">
      <w:pPr>
        <w:pStyle w:val="FootnoteText1"/>
        <w:jc w:val="left"/>
        <w:rPr>
          <w:rtl/>
        </w:rPr>
      </w:pPr>
      <w:r w:rsidRPr="004F0EC4">
        <w:rPr>
          <w:rtl/>
        </w:rPr>
        <w:tab/>
        <w:t xml:space="preserve">2021: </w:t>
      </w:r>
      <w:hyperlink r:id="rId247" w:history="1">
        <w:r w:rsidRPr="004F0EC4">
          <w:rPr>
            <w:rStyle w:val="Hyperlink"/>
          </w:rPr>
          <w:t>https://www.senadis.gob.cl/sala_prensa/d/noticias/8574</w:t>
        </w:r>
      </w:hyperlink>
      <w:r w:rsidRPr="004F0EC4">
        <w:rPr>
          <w:rtl/>
        </w:rPr>
        <w:t xml:space="preserve">، </w:t>
      </w:r>
      <w:r w:rsidRPr="004F0EC4">
        <w:rPr>
          <w:spacing w:val="-6"/>
          <w:rtl/>
        </w:rPr>
        <w:t>و</w:t>
      </w:r>
      <w:hyperlink r:id="rId248" w:history="1">
        <w:r w:rsidRPr="004F0EC4">
          <w:rPr>
            <w:rStyle w:val="Hyperlink"/>
            <w:spacing w:val="-6"/>
          </w:rPr>
          <w:t>https://www.senadis.gob.cl/sala_prensa/d/noticias/8617</w:t>
        </w:r>
      </w:hyperlink>
      <w:r w:rsidRPr="004F0EC4">
        <w:rPr>
          <w:spacing w:val="-6"/>
          <w:rtl/>
        </w:rPr>
        <w:t xml:space="preserve">، </w:t>
      </w:r>
      <w:hyperlink r:id="rId249" w:history="1">
        <w:r w:rsidRPr="004F0EC4">
          <w:rPr>
            <w:rStyle w:val="Hyperlink"/>
            <w:spacing w:val="-6"/>
          </w:rPr>
          <w:t>https://www.instagram.com/p/CSKzJP7rLQM/</w:t>
        </w:r>
      </w:hyperlink>
      <w:r w:rsidRPr="004F0EC4">
        <w:rPr>
          <w:spacing w:val="-6"/>
          <w:rtl/>
        </w:rPr>
        <w:t>.</w:t>
      </w:r>
      <w:r w:rsidRPr="004F0EC4">
        <w:rPr>
          <w:rtl/>
        </w:rPr>
        <w:t xml:space="preserve"> </w:t>
      </w:r>
    </w:p>
    <w:p w14:paraId="18985951" w14:textId="78579028" w:rsidR="00E54512" w:rsidRPr="004F0EC4" w:rsidRDefault="00E54512" w:rsidP="003D23B7">
      <w:pPr>
        <w:pStyle w:val="FootnoteText1"/>
        <w:jc w:val="left"/>
        <w:rPr>
          <w:rtl/>
        </w:rPr>
      </w:pPr>
      <w:r w:rsidRPr="004F0EC4">
        <w:rPr>
          <w:rtl/>
        </w:rPr>
        <w:tab/>
        <w:t xml:space="preserve">2022: </w:t>
      </w:r>
      <w:hyperlink r:id="rId250" w:history="1">
        <w:r w:rsidRPr="004F0EC4">
          <w:rPr>
            <w:rStyle w:val="Hyperlink"/>
          </w:rPr>
          <w:t>https://www.senadis.gob.cl/sala_prensa/d/noticias/8772/ministra-vega-lanza-programa-para-financiar-servicios-de-apoyo-y-adaptaciones-para-personas-con-discapacidad</w:t>
        </w:r>
      </w:hyperlink>
      <w:r w:rsidRPr="004F0EC4">
        <w:rPr>
          <w:rtl/>
        </w:rPr>
        <w:t>، و</w:t>
      </w:r>
      <w:hyperlink r:id="rId251" w:history="1">
        <w:r w:rsidRPr="004F0EC4">
          <w:rPr>
            <w:rStyle w:val="Hyperlink"/>
          </w:rPr>
          <w:t>https://www.instagram.com/p/Cel1-jktyX9/</w:t>
        </w:r>
      </w:hyperlink>
      <w:r w:rsidRPr="004F0EC4">
        <w:rPr>
          <w:rtl/>
        </w:rPr>
        <w:t>.</w:t>
      </w:r>
    </w:p>
  </w:footnote>
  <w:footnote w:id="269">
    <w:p w14:paraId="7E185A92" w14:textId="52424511"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52" w:history="1">
        <w:r w:rsidRPr="004F0EC4">
          <w:rPr>
            <w:rStyle w:val="Hyperlink"/>
          </w:rPr>
          <w:t>https://datasocial.ministeriodesarrollosocial.gob.cl/programas/dashboard</w:t>
        </w:r>
      </w:hyperlink>
      <w:r w:rsidRPr="004F0EC4">
        <w:rPr>
          <w:rtl/>
        </w:rPr>
        <w:t>.</w:t>
      </w:r>
    </w:p>
  </w:footnote>
  <w:footnote w:id="270">
    <w:p w14:paraId="4A4D5329" w14:textId="536084CD" w:rsidR="00E54512" w:rsidRPr="004F0EC4" w:rsidRDefault="00E54512" w:rsidP="00E54512">
      <w:pPr>
        <w:pStyle w:val="FootnoteText1"/>
      </w:pPr>
      <w:r w:rsidRPr="004F0EC4">
        <w:rPr>
          <w:rtl/>
        </w:rPr>
        <w:t>(</w:t>
      </w:r>
      <w:r w:rsidRPr="004F0EC4">
        <w:footnoteRef/>
      </w:r>
      <w:r w:rsidRPr="004F0EC4">
        <w:rPr>
          <w:rtl/>
        </w:rPr>
        <w:t>)</w:t>
      </w:r>
      <w:r w:rsidRPr="004F0EC4">
        <w:rPr>
          <w:rtl/>
        </w:rPr>
        <w:tab/>
      </w:r>
      <w:r w:rsidRPr="004F0EC4">
        <w:rPr>
          <w:spacing w:val="-2"/>
          <w:rtl/>
        </w:rPr>
        <w:t>يهدف هذا العنصر إلى تحسين الصحة النفسية لمقدمي الرعاية من خلال تعزيز الرعاية الذاتية وتطوير المهارات والمواقف والكفاءات</w:t>
      </w:r>
      <w:r w:rsidRPr="004F0EC4">
        <w:rPr>
          <w:rtl/>
        </w:rPr>
        <w:t xml:space="preserve"> اللازمة للنهوض باستقلاليتهم الاقتصادية والجسدية.</w:t>
      </w:r>
    </w:p>
  </w:footnote>
  <w:footnote w:id="271">
    <w:p w14:paraId="161A3D5B" w14:textId="2FA876E6" w:rsidR="00E54512" w:rsidRPr="004F0EC4" w:rsidRDefault="00E54512" w:rsidP="00E54512">
      <w:pPr>
        <w:pStyle w:val="FootnoteText1"/>
      </w:pPr>
      <w:r w:rsidRPr="004F0EC4">
        <w:rPr>
          <w:rtl/>
        </w:rPr>
        <w:t>(</w:t>
      </w:r>
      <w:r w:rsidRPr="004F0EC4">
        <w:footnoteRef/>
      </w:r>
      <w:r w:rsidRPr="004F0EC4">
        <w:rPr>
          <w:rtl/>
        </w:rPr>
        <w:t>)</w:t>
      </w:r>
      <w:r w:rsidRPr="004F0EC4">
        <w:rPr>
          <w:rtl/>
        </w:rPr>
        <w:tab/>
        <w:t>صُمم هذا العنصر لتعزيز المهارات والكفاءات اللازمة لتطوير المشاريع الريادية وتشجيع المبادرات الجماعية التي تنفَّذ في مجال</w:t>
      </w:r>
      <w:r w:rsidR="00247408" w:rsidRPr="004F0EC4">
        <w:rPr>
          <w:rFonts w:hint="cs"/>
          <w:rtl/>
        </w:rPr>
        <w:t> </w:t>
      </w:r>
      <w:r w:rsidRPr="004F0EC4">
        <w:rPr>
          <w:rtl/>
        </w:rPr>
        <w:t>مشترك.</w:t>
      </w:r>
    </w:p>
  </w:footnote>
  <w:footnote w:id="272">
    <w:p w14:paraId="31C54DAD" w14:textId="500643E4"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53" w:anchor=":~:text=El%20fono%20800%20000%20058,contexto%20de%20la%20actual%20pandemia" w:history="1">
        <w:r w:rsidR="00247408" w:rsidRPr="004F0EC4">
          <w:rPr>
            <w:rStyle w:val="Hyperlink"/>
            <w:rFonts w:eastAsia="Times New Roman"/>
          </w:rPr>
          <w:t>https://www.senadis.gob.cl/pag/588/1880/linea_800_conectados_al_cuidar#:~:text=</w:t>
        </w:r>
        <w:r w:rsidR="00247408" w:rsidRPr="004F0EC4">
          <w:rPr>
            <w:rStyle w:val="Hyperlink"/>
            <w:rFonts w:eastAsia="Times New Roman"/>
          </w:rPr>
          <w:br/>
          <w:t>El%20fono%20800%20000%20058,contexto%20de%20la%20actual%20pandemia</w:t>
        </w:r>
      </w:hyperlink>
      <w:r w:rsidRPr="004F0EC4">
        <w:rPr>
          <w:rtl/>
        </w:rPr>
        <w:t>.</w:t>
      </w:r>
    </w:p>
  </w:footnote>
  <w:footnote w:id="273">
    <w:p w14:paraId="248E09DB" w14:textId="6C464BBA" w:rsidR="00E54512" w:rsidRPr="004F0EC4" w:rsidRDefault="00E54512" w:rsidP="00E54512">
      <w:pPr>
        <w:pStyle w:val="FootnoteText1"/>
      </w:pPr>
      <w:r w:rsidRPr="004F0EC4">
        <w:rPr>
          <w:rtl/>
        </w:rPr>
        <w:t>(</w:t>
      </w:r>
      <w:r w:rsidRPr="004F0EC4">
        <w:footnoteRef/>
      </w:r>
      <w:r w:rsidRPr="004F0EC4">
        <w:rPr>
          <w:rtl/>
        </w:rPr>
        <w:t>)</w:t>
      </w:r>
      <w:r w:rsidRPr="004F0EC4">
        <w:rPr>
          <w:rtl/>
        </w:rPr>
        <w:tab/>
        <w:t>أو 98,56% من الإجمالي المبلغ به.</w:t>
      </w:r>
    </w:p>
  </w:footnote>
  <w:footnote w:id="274">
    <w:p w14:paraId="36AAC3E9" w14:textId="37E3CD61" w:rsidR="00E54512" w:rsidRPr="004F0EC4" w:rsidRDefault="00E54512" w:rsidP="00247408">
      <w:pPr>
        <w:pStyle w:val="FootnoteText1"/>
        <w:ind w:left="1250" w:hanging="570"/>
        <w:rPr>
          <w:rFonts w:hint="cs"/>
          <w:rtl/>
        </w:rPr>
      </w:pPr>
      <w:r w:rsidRPr="004F0EC4">
        <w:rPr>
          <w:rtl/>
        </w:rPr>
        <w:t>(</w:t>
      </w:r>
      <w:r w:rsidRPr="004F0EC4">
        <w:footnoteRef/>
      </w:r>
      <w:r w:rsidRPr="004F0EC4">
        <w:rPr>
          <w:rtl/>
        </w:rPr>
        <w:t>)</w:t>
      </w:r>
      <w:r w:rsidRPr="004F0EC4">
        <w:rPr>
          <w:rtl/>
        </w:rPr>
        <w:tab/>
        <w:t xml:space="preserve">بالنسبة للأفراد الذين تتراوح أعمارهم بين 18 و24 عاماً والنساء والأشخاص ذوي الإعاقة، تبلغ قيمة الإعانة 60 في </w:t>
      </w:r>
      <w:proofErr w:type="gramStart"/>
      <w:r w:rsidRPr="004F0EC4">
        <w:rPr>
          <w:rtl/>
        </w:rPr>
        <w:t>المائة</w:t>
      </w:r>
      <w:proofErr w:type="gramEnd"/>
      <w:r w:rsidRPr="004F0EC4">
        <w:rPr>
          <w:rtl/>
        </w:rPr>
        <w:t xml:space="preserve"> من</w:t>
      </w:r>
      <w:r w:rsidR="00247408" w:rsidRPr="004F0EC4">
        <w:rPr>
          <w:rFonts w:hint="cs"/>
          <w:rtl/>
        </w:rPr>
        <w:t> </w:t>
      </w:r>
      <w:r w:rsidRPr="004F0EC4">
        <w:rPr>
          <w:rtl/>
        </w:rPr>
        <w:t>الأجر الشهري الإجمالي. وفي حزيران/</w:t>
      </w:r>
      <w:proofErr w:type="gramStart"/>
      <w:r w:rsidRPr="004F0EC4">
        <w:rPr>
          <w:rtl/>
        </w:rPr>
        <w:t>يونيه</w:t>
      </w:r>
      <w:proofErr w:type="gramEnd"/>
      <w:r w:rsidRPr="004F0EC4">
        <w:rPr>
          <w:rtl/>
        </w:rPr>
        <w:t xml:space="preserve"> 2022، كان حدها الأقصى 000 250 بيسو شيلي. وفي الفترة من تموز/يوليه إلى أيلول/سبتمبر 2022، كان حدها الأقصى 000 300 بيسو شيلي. انظر: </w:t>
      </w:r>
      <w:r w:rsidR="00247408" w:rsidRPr="004F0EC4">
        <w:rPr>
          <w:rtl/>
        </w:rPr>
        <w:tab/>
      </w:r>
      <w:hyperlink r:id="rId254" w:history="1">
        <w:r w:rsidR="00247408" w:rsidRPr="004F0EC4">
          <w:rPr>
            <w:rStyle w:val="Hyperlink"/>
          </w:rPr>
          <w:t>https://www.subsidioalempleo.cl/IFELaboral/index.html#</w:t>
        </w:r>
      </w:hyperlink>
      <w:r w:rsidR="00247408" w:rsidRPr="004F0EC4">
        <w:rPr>
          <w:rFonts w:hint="cs"/>
          <w:rtl/>
        </w:rPr>
        <w:t>.</w:t>
      </w:r>
    </w:p>
  </w:footnote>
  <w:footnote w:id="275">
    <w:p w14:paraId="4C770E0D" w14:textId="2E2F85E6" w:rsidR="00E54512" w:rsidRPr="004F0EC4" w:rsidRDefault="00E54512" w:rsidP="003D23B7">
      <w:pPr>
        <w:pStyle w:val="FootnoteText1"/>
        <w:jc w:val="left"/>
      </w:pPr>
      <w:r w:rsidRPr="004F0EC4">
        <w:rPr>
          <w:rtl/>
        </w:rPr>
        <w:t>(</w:t>
      </w:r>
      <w:r w:rsidRPr="004F0EC4">
        <w:footnoteRef/>
      </w:r>
      <w:r w:rsidRPr="004F0EC4">
        <w:rPr>
          <w:rtl/>
        </w:rPr>
        <w:t>)</w:t>
      </w:r>
      <w:r w:rsidRPr="004F0EC4">
        <w:rPr>
          <w:rtl/>
        </w:rPr>
        <w:tab/>
        <w:t xml:space="preserve">النشرة رقم 12-521-07، وهي متاحة في: </w:t>
      </w:r>
      <w:hyperlink r:id="rId255" w:history="1">
        <w:r w:rsidRPr="004F0EC4">
          <w:rPr>
            <w:rStyle w:val="Hyperlink"/>
          </w:rPr>
          <w:t>http://www.senado.cl/appsenado/templates/tramitacion/index.php?boletin_ini=12521-07</w:t>
        </w:r>
      </w:hyperlink>
      <w:r w:rsidRPr="004F0EC4">
        <w:rPr>
          <w:rtl/>
        </w:rPr>
        <w:t>، والنشرة</w:t>
      </w:r>
      <w:r w:rsidR="008B032D" w:rsidRPr="004F0EC4">
        <w:rPr>
          <w:rFonts w:hint="cs"/>
          <w:rtl/>
        </w:rPr>
        <w:t> </w:t>
      </w:r>
      <w:r w:rsidRPr="004F0EC4">
        <w:rPr>
          <w:rtl/>
        </w:rPr>
        <w:t>رقم</w:t>
      </w:r>
      <w:r w:rsidR="00247408" w:rsidRPr="004F0EC4">
        <w:rPr>
          <w:rFonts w:hint="cs"/>
          <w:rtl/>
        </w:rPr>
        <w:t> </w:t>
      </w:r>
      <w:r w:rsidRPr="004F0EC4">
        <w:rPr>
          <w:rtl/>
        </w:rPr>
        <w:t xml:space="preserve">12-816-07، وهي متاحة في: </w:t>
      </w:r>
      <w:hyperlink r:id="rId256" w:history="1">
        <w:r w:rsidRPr="004F0EC4">
          <w:rPr>
            <w:rStyle w:val="Hyperlink"/>
          </w:rPr>
          <w:t>http://www.senado.cl/appsenado/templates/tramitacion/index.php?boletin_ini=12816-07</w:t>
        </w:r>
      </w:hyperlink>
      <w:r w:rsidRPr="004F0EC4">
        <w:rPr>
          <w:rtl/>
        </w:rPr>
        <w:t>.</w:t>
      </w:r>
    </w:p>
  </w:footnote>
  <w:footnote w:id="276">
    <w:p w14:paraId="009A4AD1" w14:textId="7B3053FC"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57" w:history="1">
        <w:r w:rsidRPr="004F0EC4">
          <w:rPr>
            <w:rStyle w:val="Hyperlink"/>
          </w:rPr>
          <w:t>http://bcn.cl/2f6ur</w:t>
        </w:r>
      </w:hyperlink>
      <w:r w:rsidRPr="004F0EC4">
        <w:rPr>
          <w:rtl/>
        </w:rPr>
        <w:t>.</w:t>
      </w:r>
    </w:p>
  </w:footnote>
  <w:footnote w:id="277">
    <w:p w14:paraId="439E1477" w14:textId="0812E0DD"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58" w:history="1">
        <w:r w:rsidRPr="004F0EC4">
          <w:rPr>
            <w:rStyle w:val="Hyperlink"/>
          </w:rPr>
          <w:t>http://bcn.cl/323ec</w:t>
        </w:r>
      </w:hyperlink>
      <w:r w:rsidRPr="004F0EC4">
        <w:rPr>
          <w:rtl/>
        </w:rPr>
        <w:t>.</w:t>
      </w:r>
    </w:p>
  </w:footnote>
  <w:footnote w:id="278">
    <w:p w14:paraId="3C71FE75" w14:textId="57492A91"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59" w:history="1">
        <w:r w:rsidRPr="004F0EC4">
          <w:rPr>
            <w:rStyle w:val="Hyperlink"/>
          </w:rPr>
          <w:t>http://bcn.cl/2nfzd</w:t>
        </w:r>
      </w:hyperlink>
      <w:r w:rsidRPr="004F0EC4">
        <w:rPr>
          <w:rtl/>
        </w:rPr>
        <w:t>.</w:t>
      </w:r>
    </w:p>
  </w:footnote>
  <w:footnote w:id="279">
    <w:p w14:paraId="4163E46F" w14:textId="2CF2E3EE"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60" w:history="1">
        <w:r w:rsidRPr="004F0EC4">
          <w:rPr>
            <w:rStyle w:val="Hyperlink"/>
          </w:rPr>
          <w:t>http://www.paisdi.cl/</w:t>
        </w:r>
      </w:hyperlink>
      <w:r w:rsidRPr="004F0EC4">
        <w:rPr>
          <w:rtl/>
        </w:rPr>
        <w:t>.</w:t>
      </w:r>
    </w:p>
  </w:footnote>
  <w:footnote w:id="280">
    <w:p w14:paraId="75D400F6" w14:textId="114517CE" w:rsidR="00E54512" w:rsidRPr="004F0EC4" w:rsidRDefault="00E54512" w:rsidP="003D23B7">
      <w:pPr>
        <w:pStyle w:val="FootnoteText1"/>
        <w:jc w:val="left"/>
        <w:rPr>
          <w:rtl/>
        </w:rPr>
      </w:pPr>
      <w:r w:rsidRPr="004F0EC4">
        <w:rPr>
          <w:rtl/>
        </w:rPr>
        <w:t>(</w:t>
      </w:r>
      <w:r w:rsidRPr="004F0EC4">
        <w:footnoteRef/>
      </w:r>
      <w:r w:rsidRPr="004F0EC4">
        <w:rPr>
          <w:rtl/>
        </w:rPr>
        <w:t>)</w:t>
      </w:r>
      <w:r w:rsidRPr="004F0EC4">
        <w:rPr>
          <w:rtl/>
        </w:rPr>
        <w:tab/>
        <w:t xml:space="preserve">15 و16 أيار/مايو 2021 – المؤتمر الدستوري والانتخابات المناطقية والبلدية: </w:t>
      </w:r>
      <w:hyperlink r:id="rId261" w:history="1">
        <w:r w:rsidRPr="004F0EC4">
          <w:rPr>
            <w:rStyle w:val="Hyperlink"/>
          </w:rPr>
          <w:t>https://www.senadis.gob.cl/sala_prensa/d/noticias/8514</w:t>
        </w:r>
      </w:hyperlink>
      <w:r w:rsidRPr="004F0EC4">
        <w:rPr>
          <w:rtl/>
        </w:rPr>
        <w:t>، و</w:t>
      </w:r>
      <w:hyperlink r:id="rId262" w:history="1">
        <w:r w:rsidRPr="004F0EC4">
          <w:rPr>
            <w:rStyle w:val="Hyperlink"/>
          </w:rPr>
          <w:t>https://www.senadis.gob.cl/sala_prensa/d/noticias/8515</w:t>
        </w:r>
      </w:hyperlink>
      <w:r w:rsidRPr="004F0EC4">
        <w:rPr>
          <w:rtl/>
        </w:rPr>
        <w:t>، و</w:t>
      </w:r>
      <w:hyperlink r:id="rId263" w:history="1">
        <w:r w:rsidR="00247408" w:rsidRPr="004F0EC4">
          <w:rPr>
            <w:rStyle w:val="Hyperlink"/>
          </w:rPr>
          <w:t>https://www.instagram.com/p/COx8dienITA/</w:t>
        </w:r>
      </w:hyperlink>
      <w:hyperlink r:id="rId264" w:history="1"/>
      <w:r w:rsidRPr="004F0EC4">
        <w:rPr>
          <w:rtl/>
        </w:rPr>
        <w:t>، و</w:t>
      </w:r>
      <w:hyperlink r:id="rId265" w:history="1">
        <w:r w:rsidR="00247408" w:rsidRPr="004F0EC4">
          <w:rPr>
            <w:rStyle w:val="Hyperlink"/>
          </w:rPr>
          <w:t>https://www.instagram.com/p/CO1DypgnqyA/</w:t>
        </w:r>
      </w:hyperlink>
      <w:hyperlink r:id="rId266" w:history="1"/>
      <w:r w:rsidRPr="004F0EC4">
        <w:rPr>
          <w:rtl/>
        </w:rPr>
        <w:t>، و</w:t>
      </w:r>
      <w:hyperlink r:id="rId267" w:history="1">
        <w:r w:rsidR="00247408" w:rsidRPr="004F0EC4">
          <w:rPr>
            <w:rStyle w:val="Hyperlink"/>
          </w:rPr>
          <w:t>https://www.instagram.com/p/CO3wZXRh-tu/</w:t>
        </w:r>
      </w:hyperlink>
      <w:hyperlink r:id="rId268" w:history="1"/>
      <w:r w:rsidRPr="004F0EC4">
        <w:rPr>
          <w:rtl/>
        </w:rPr>
        <w:t xml:space="preserve">. </w:t>
      </w:r>
    </w:p>
    <w:p w14:paraId="6A7C3C0B" w14:textId="4BDECD5E" w:rsidR="00E54512" w:rsidRPr="004F0EC4" w:rsidRDefault="00E54512" w:rsidP="003D23B7">
      <w:pPr>
        <w:pStyle w:val="FootnoteText1"/>
        <w:jc w:val="left"/>
        <w:rPr>
          <w:rtl/>
        </w:rPr>
      </w:pPr>
      <w:r w:rsidRPr="004F0EC4">
        <w:rPr>
          <w:rtl/>
        </w:rPr>
        <w:tab/>
        <w:t>و13 حزيران/</w:t>
      </w:r>
      <w:proofErr w:type="gramStart"/>
      <w:r w:rsidRPr="004F0EC4">
        <w:rPr>
          <w:rtl/>
        </w:rPr>
        <w:t>يونيه</w:t>
      </w:r>
      <w:proofErr w:type="gramEnd"/>
      <w:r w:rsidRPr="004F0EC4">
        <w:rPr>
          <w:rtl/>
        </w:rPr>
        <w:t xml:space="preserve"> 2021 – الجولة الثانية من التصويت في الانتخابات الإقليمية: </w:t>
      </w:r>
      <w:hyperlink r:id="rId269" w:history="1">
        <w:r w:rsidR="00247408" w:rsidRPr="004F0EC4">
          <w:rPr>
            <w:rStyle w:val="Hyperlink"/>
          </w:rPr>
          <w:t>https://www.senadis.gob.cl/sala_prensa/d/noticias/8535</w:t>
        </w:r>
      </w:hyperlink>
      <w:r w:rsidRPr="004F0EC4">
        <w:rPr>
          <w:rtl/>
        </w:rPr>
        <w:t>، و</w:t>
      </w:r>
      <w:hyperlink r:id="rId270" w:history="1">
        <w:r w:rsidR="00247408" w:rsidRPr="004F0EC4">
          <w:rPr>
            <w:rStyle w:val="Hyperlink"/>
          </w:rPr>
          <w:t>https://www.instagram.com/p/CQEaOz6pMCA/</w:t>
        </w:r>
      </w:hyperlink>
      <w:hyperlink r:id="rId271" w:history="1"/>
      <w:r w:rsidRPr="004F0EC4">
        <w:rPr>
          <w:rtl/>
        </w:rPr>
        <w:t xml:space="preserve">. </w:t>
      </w:r>
    </w:p>
    <w:p w14:paraId="4ABE925C" w14:textId="14E0468F" w:rsidR="00E54512" w:rsidRPr="004F0EC4" w:rsidRDefault="00E54512" w:rsidP="003D23B7">
      <w:pPr>
        <w:pStyle w:val="FootnoteText1"/>
        <w:jc w:val="left"/>
        <w:rPr>
          <w:rtl/>
        </w:rPr>
      </w:pPr>
      <w:r w:rsidRPr="004F0EC4">
        <w:rPr>
          <w:rtl/>
        </w:rPr>
        <w:tab/>
        <w:t xml:space="preserve">و18 تموز/يوليه 2021 – الانتخابات الرئاسية التمهيدية: </w:t>
      </w:r>
      <w:hyperlink r:id="rId272" w:history="1">
        <w:r w:rsidRPr="004F0EC4">
          <w:rPr>
            <w:rStyle w:val="Hyperlink"/>
          </w:rPr>
          <w:t>https://www.senadis.gob.cl/sala_prensa/d/noticias/8560</w:t>
        </w:r>
      </w:hyperlink>
      <w:r w:rsidRPr="004F0EC4">
        <w:rPr>
          <w:rtl/>
        </w:rPr>
        <w:t>،</w:t>
      </w:r>
      <w:r w:rsidR="00247408" w:rsidRPr="004F0EC4">
        <w:rPr>
          <w:rFonts w:hint="cs"/>
          <w:rtl/>
        </w:rPr>
        <w:t xml:space="preserve"> و</w:t>
      </w:r>
      <w:hyperlink r:id="rId273" w:history="1">
        <w:r w:rsidR="00247408" w:rsidRPr="004F0EC4">
          <w:rPr>
            <w:rStyle w:val="Hyperlink"/>
          </w:rPr>
          <w:t>https://www.instagram.com/p/CRUtm0AFA_6/</w:t>
        </w:r>
      </w:hyperlink>
      <w:r w:rsidR="00247408" w:rsidRPr="004F0EC4">
        <w:rPr>
          <w:rFonts w:hint="cs"/>
          <w:color w:val="0000FF"/>
          <w:rtl/>
        </w:rPr>
        <w:t xml:space="preserve">، </w:t>
      </w:r>
      <w:hyperlink r:id="rId274" w:history="1">
        <w:r w:rsidR="00247408" w:rsidRPr="004F0EC4">
          <w:rPr>
            <w:rStyle w:val="Hyperlink"/>
          </w:rPr>
          <w:t>https://www.instagram.com/p/CRXSECsgswq/</w:t>
        </w:r>
      </w:hyperlink>
      <w:r w:rsidRPr="004F0EC4">
        <w:rPr>
          <w:rtl/>
        </w:rPr>
        <w:t xml:space="preserve">. </w:t>
      </w:r>
    </w:p>
    <w:p w14:paraId="02B0CEB2" w14:textId="680D35E4" w:rsidR="00E54512" w:rsidRPr="004F0EC4" w:rsidRDefault="00E54512" w:rsidP="003D23B7">
      <w:pPr>
        <w:pStyle w:val="FootnoteText1"/>
        <w:jc w:val="left"/>
        <w:rPr>
          <w:rFonts w:hint="cs"/>
          <w:rtl/>
        </w:rPr>
      </w:pPr>
      <w:r w:rsidRPr="004F0EC4">
        <w:rPr>
          <w:rtl/>
        </w:rPr>
        <w:tab/>
        <w:t>و21 تشرين الثاني/نوفمبر 2021 – الانتخابات الرئاسية والبرلمانية وانتخابات المجالس الإقليمية:</w:t>
      </w:r>
      <w:r w:rsidR="00247408" w:rsidRPr="004F0EC4">
        <w:rPr>
          <w:rFonts w:hint="cs"/>
          <w:rtl/>
        </w:rPr>
        <w:t xml:space="preserve"> </w:t>
      </w:r>
      <w:hyperlink r:id="rId275" w:history="1">
        <w:r w:rsidR="00247408" w:rsidRPr="004F0EC4">
          <w:rPr>
            <w:rStyle w:val="Hyperlink"/>
            <w:spacing w:val="-4"/>
          </w:rPr>
          <w:t>https://www.senadis.gob.cl/sala_prensa/d/noticias/8644</w:t>
        </w:r>
      </w:hyperlink>
      <w:r w:rsidR="00247408" w:rsidRPr="004F0EC4">
        <w:rPr>
          <w:rFonts w:hint="cs"/>
          <w:color w:val="0000FF"/>
          <w:spacing w:val="-4"/>
          <w:rtl/>
        </w:rPr>
        <w:t xml:space="preserve">، </w:t>
      </w:r>
      <w:hyperlink r:id="rId276" w:history="1">
        <w:r w:rsidR="00247408" w:rsidRPr="004F0EC4">
          <w:rPr>
            <w:rStyle w:val="Hyperlink"/>
            <w:spacing w:val="-4"/>
          </w:rPr>
          <w:t>https://www.instagram.com/p/CWeIMZssvb-/</w:t>
        </w:r>
      </w:hyperlink>
      <w:r w:rsidR="00247408" w:rsidRPr="004F0EC4">
        <w:rPr>
          <w:rFonts w:hint="cs"/>
          <w:rtl/>
        </w:rPr>
        <w:t xml:space="preserve">، </w:t>
      </w:r>
      <w:hyperlink r:id="rId277" w:history="1">
        <w:r w:rsidR="00247408" w:rsidRPr="004F0EC4">
          <w:rPr>
            <w:rStyle w:val="Hyperlink"/>
          </w:rPr>
          <w:t>https://www.instagram.com/p/CWbK9Xitx45/</w:t>
        </w:r>
      </w:hyperlink>
      <w:r w:rsidR="00247408" w:rsidRPr="004F0EC4">
        <w:rPr>
          <w:rFonts w:hint="cs"/>
          <w:rtl/>
        </w:rPr>
        <w:t xml:space="preserve"> و</w:t>
      </w:r>
      <w:hyperlink r:id="rId278" w:history="1">
        <w:r w:rsidR="00247408" w:rsidRPr="004F0EC4">
          <w:rPr>
            <w:rStyle w:val="Hyperlink"/>
          </w:rPr>
          <w:t>https://www.instagram.com/p/CWeMOiijxbO/</w:t>
        </w:r>
      </w:hyperlink>
      <w:r w:rsidRPr="004F0EC4">
        <w:rPr>
          <w:rtl/>
        </w:rPr>
        <w:t>.</w:t>
      </w:r>
    </w:p>
    <w:p w14:paraId="1F31F330" w14:textId="1B8B51A2" w:rsidR="00E54512" w:rsidRPr="004F0EC4" w:rsidRDefault="00E54512" w:rsidP="003D23B7">
      <w:pPr>
        <w:pStyle w:val="FootnoteText1"/>
        <w:jc w:val="left"/>
        <w:rPr>
          <w:rFonts w:hint="cs"/>
          <w:rtl/>
        </w:rPr>
      </w:pPr>
      <w:r w:rsidRPr="004F0EC4">
        <w:rPr>
          <w:rtl/>
        </w:rPr>
        <w:tab/>
        <w:t xml:space="preserve">و19 كانون الأول/ديسمبر 2021 – الجولة الثانية من التصويت في الانتخابات الرئاسية: </w:t>
      </w:r>
      <w:hyperlink r:id="rId279" w:history="1">
        <w:r w:rsidRPr="004F0EC4">
          <w:rPr>
            <w:rStyle w:val="Hyperlink"/>
          </w:rPr>
          <w:t>https://www.senadis.gob.cl/sala_prensa/d/noticias/8660</w:t>
        </w:r>
      </w:hyperlink>
      <w:r w:rsidRPr="004F0EC4">
        <w:rPr>
          <w:rtl/>
        </w:rPr>
        <w:t>،</w:t>
      </w:r>
      <w:r w:rsidR="0086687C" w:rsidRPr="004F0EC4">
        <w:rPr>
          <w:rFonts w:hint="cs"/>
          <w:rtl/>
        </w:rPr>
        <w:t xml:space="preserve"> </w:t>
      </w:r>
      <w:hyperlink r:id="rId280" w:history="1">
        <w:r w:rsidR="0086687C" w:rsidRPr="004F0EC4">
          <w:rPr>
            <w:color w:val="0000FF"/>
          </w:rPr>
          <w:t>https://www.instagram.com/p/CXmG7CAJF3Q/</w:t>
        </w:r>
      </w:hyperlink>
      <w:r w:rsidR="0086687C" w:rsidRPr="004F0EC4">
        <w:rPr>
          <w:rFonts w:hint="cs"/>
          <w:rtl/>
        </w:rPr>
        <w:t xml:space="preserve"> و</w:t>
      </w:r>
      <w:hyperlink r:id="rId281" w:history="1">
        <w:r w:rsidR="0086687C" w:rsidRPr="004F0EC4">
          <w:rPr>
            <w:color w:val="0000FF"/>
          </w:rPr>
          <w:t>https://www.instagram.com/p/CXg7lgNNelP/</w:t>
        </w:r>
      </w:hyperlink>
      <w:r w:rsidRPr="004F0EC4">
        <w:rPr>
          <w:rtl/>
        </w:rPr>
        <w:t xml:space="preserve">. </w:t>
      </w:r>
    </w:p>
    <w:p w14:paraId="3C39E9D3" w14:textId="6D6345AD" w:rsidR="00E54512" w:rsidRPr="004F0EC4" w:rsidRDefault="00E54512" w:rsidP="0086687C">
      <w:pPr>
        <w:pStyle w:val="FootnoteText1"/>
        <w:jc w:val="left"/>
        <w:rPr>
          <w:rFonts w:hint="cs"/>
          <w:rtl/>
        </w:rPr>
      </w:pPr>
      <w:r w:rsidRPr="004F0EC4">
        <w:rPr>
          <w:rtl/>
        </w:rPr>
        <w:tab/>
        <w:t>و13 حزيران/</w:t>
      </w:r>
      <w:proofErr w:type="gramStart"/>
      <w:r w:rsidRPr="004F0EC4">
        <w:rPr>
          <w:rtl/>
        </w:rPr>
        <w:t>يونيه</w:t>
      </w:r>
      <w:proofErr w:type="gramEnd"/>
      <w:r w:rsidRPr="004F0EC4">
        <w:rPr>
          <w:rtl/>
        </w:rPr>
        <w:t xml:space="preserve"> 2021: الجولة الثانية من التصويت في الانتخابات الإقليمية:</w:t>
      </w:r>
      <w:r w:rsidR="0086687C" w:rsidRPr="004F0EC4">
        <w:rPr>
          <w:rFonts w:hint="cs"/>
          <w:rtl/>
        </w:rPr>
        <w:t xml:space="preserve"> </w:t>
      </w:r>
      <w:hyperlink r:id="rId282" w:history="1">
        <w:r w:rsidR="0086687C" w:rsidRPr="004F0EC4">
          <w:rPr>
            <w:rFonts w:eastAsia="Times New Roman"/>
            <w:color w:val="0000FF"/>
          </w:rPr>
          <w:t>https://www.senadis.gob.cl/sala_prensa/d/noticias/8535</w:t>
        </w:r>
      </w:hyperlink>
      <w:r w:rsidR="0086687C" w:rsidRPr="004F0EC4">
        <w:rPr>
          <w:rFonts w:hint="cs"/>
          <w:color w:val="0000FF"/>
          <w:rtl/>
        </w:rPr>
        <w:t>،</w:t>
      </w:r>
      <w:r w:rsidR="0086687C" w:rsidRPr="004F0EC4">
        <w:rPr>
          <w:rFonts w:hint="cs"/>
          <w:rtl/>
        </w:rPr>
        <w:t xml:space="preserve"> </w:t>
      </w:r>
      <w:hyperlink r:id="rId283" w:history="1">
        <w:r w:rsidR="0086687C" w:rsidRPr="004F0EC4">
          <w:rPr>
            <w:rFonts w:eastAsia="Times New Roman"/>
            <w:color w:val="0000FF"/>
          </w:rPr>
          <w:t>https://www.instagram.com/p/CQEaOz6pMCA/</w:t>
        </w:r>
      </w:hyperlink>
      <w:r w:rsidR="0086687C" w:rsidRPr="004F0EC4">
        <w:rPr>
          <w:rFonts w:hint="cs"/>
          <w:rtl/>
        </w:rPr>
        <w:t xml:space="preserve">، </w:t>
      </w:r>
      <w:hyperlink r:id="rId284" w:history="1">
        <w:r w:rsidR="0086687C" w:rsidRPr="004F0EC4">
          <w:rPr>
            <w:color w:val="0000FF"/>
          </w:rPr>
          <w:t>https://www.instagram.com/p/CQEaOz6pMCA/</w:t>
        </w:r>
      </w:hyperlink>
      <w:r w:rsidR="0086687C" w:rsidRPr="004F0EC4">
        <w:rPr>
          <w:rFonts w:hint="cs"/>
          <w:rtl/>
        </w:rPr>
        <w:t xml:space="preserve"> و</w:t>
      </w:r>
      <w:hyperlink r:id="rId285" w:history="1">
        <w:r w:rsidR="0086687C" w:rsidRPr="004F0EC4">
          <w:rPr>
            <w:rStyle w:val="Hyperlink"/>
            <w:rFonts w:eastAsia="Times New Roman"/>
          </w:rPr>
          <w:t>https://www.instagram.com/p/CRXSECsgswq/</w:t>
        </w:r>
      </w:hyperlink>
      <w:r w:rsidR="0086687C" w:rsidRPr="004F0EC4">
        <w:rPr>
          <w:rFonts w:hint="cs"/>
          <w:rtl/>
        </w:rPr>
        <w:t>.</w:t>
      </w:r>
    </w:p>
  </w:footnote>
  <w:footnote w:id="281">
    <w:p w14:paraId="3C3F5611" w14:textId="7D1EE079"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86" w:history="1">
        <w:r w:rsidRPr="004F0EC4">
          <w:rPr>
            <w:rStyle w:val="Hyperlink"/>
          </w:rPr>
          <w:t>https://bcn.cl/2i837</w:t>
        </w:r>
      </w:hyperlink>
      <w:r w:rsidRPr="004F0EC4">
        <w:rPr>
          <w:rtl/>
        </w:rPr>
        <w:t>.</w:t>
      </w:r>
    </w:p>
  </w:footnote>
  <w:footnote w:id="282">
    <w:p w14:paraId="097E6720" w14:textId="36920E2F" w:rsidR="00E54512" w:rsidRPr="004F0EC4" w:rsidRDefault="00E54512" w:rsidP="008B032D">
      <w:pPr>
        <w:pStyle w:val="FootnoteText1"/>
        <w:spacing w:line="290" w:lineRule="exact"/>
      </w:pPr>
      <w:r w:rsidRPr="004F0EC4">
        <w:rPr>
          <w:rtl/>
        </w:rPr>
        <w:t>(</w:t>
      </w:r>
      <w:r w:rsidRPr="004F0EC4">
        <w:footnoteRef/>
      </w:r>
      <w:r w:rsidRPr="004F0EC4">
        <w:rPr>
          <w:rtl/>
        </w:rPr>
        <w:t>)</w:t>
      </w:r>
      <w:r w:rsidRPr="004F0EC4">
        <w:rPr>
          <w:rtl/>
        </w:rPr>
        <w:tab/>
      </w:r>
      <w:r w:rsidRPr="004F0EC4">
        <w:rPr>
          <w:spacing w:val="-2"/>
          <w:rtl/>
        </w:rPr>
        <w:t>أظهرت الدراسة الوطنية الثانية حول النشاط البدني والعادات الرياضية لدى الأشخاص ذوي الإعاقة، وهي دراسة أُجريت في عام</w:t>
      </w:r>
      <w:r w:rsidR="0086687C" w:rsidRPr="004F0EC4">
        <w:rPr>
          <w:rFonts w:hint="cs"/>
          <w:spacing w:val="-2"/>
          <w:rtl/>
        </w:rPr>
        <w:t> </w:t>
      </w:r>
      <w:r w:rsidRPr="004F0EC4">
        <w:rPr>
          <w:spacing w:val="-2"/>
          <w:rtl/>
        </w:rPr>
        <w:t xml:space="preserve">2020، أن 60 في </w:t>
      </w:r>
      <w:proofErr w:type="gramStart"/>
      <w:r w:rsidRPr="004F0EC4">
        <w:rPr>
          <w:spacing w:val="-2"/>
          <w:rtl/>
        </w:rPr>
        <w:t>المائة</w:t>
      </w:r>
      <w:proofErr w:type="gramEnd"/>
      <w:r w:rsidRPr="004F0EC4">
        <w:rPr>
          <w:spacing w:val="-2"/>
          <w:rtl/>
        </w:rPr>
        <w:t xml:space="preserve"> من الأشخاص ذوي الإعاقة لا يمارسون نشاطاً بدنياً، في حين يُعتبر 14,1 في </w:t>
      </w:r>
      <w:proofErr w:type="gramStart"/>
      <w:r w:rsidRPr="004F0EC4">
        <w:rPr>
          <w:spacing w:val="-2"/>
          <w:rtl/>
        </w:rPr>
        <w:t>المائة</w:t>
      </w:r>
      <w:proofErr w:type="gramEnd"/>
      <w:r w:rsidRPr="004F0EC4">
        <w:rPr>
          <w:spacing w:val="-2"/>
          <w:rtl/>
        </w:rPr>
        <w:t xml:space="preserve"> منهم نشيطين بدنياً و25,9 في </w:t>
      </w:r>
      <w:proofErr w:type="gramStart"/>
      <w:r w:rsidRPr="004F0EC4">
        <w:rPr>
          <w:spacing w:val="-2"/>
          <w:rtl/>
        </w:rPr>
        <w:t>المائة</w:t>
      </w:r>
      <w:proofErr w:type="gramEnd"/>
      <w:r w:rsidRPr="004F0EC4">
        <w:rPr>
          <w:spacing w:val="-2"/>
          <w:rtl/>
        </w:rPr>
        <w:t xml:space="preserve"> نشيطين جزئياً. وعلى الصعيد التنافسي، أظهرت العينة أن 12,6 في </w:t>
      </w:r>
      <w:proofErr w:type="gramStart"/>
      <w:r w:rsidRPr="004F0EC4">
        <w:rPr>
          <w:spacing w:val="-2"/>
          <w:rtl/>
        </w:rPr>
        <w:t>المائة</w:t>
      </w:r>
      <w:proofErr w:type="gramEnd"/>
      <w:r w:rsidRPr="004F0EC4">
        <w:rPr>
          <w:spacing w:val="-2"/>
          <w:rtl/>
        </w:rPr>
        <w:t xml:space="preserve"> من المشاركين أفادوا بأن لديهم</w:t>
      </w:r>
      <w:r w:rsidR="004F0EC4" w:rsidRPr="004F0EC4">
        <w:rPr>
          <w:rFonts w:hint="cs"/>
          <w:spacing w:val="-2"/>
          <w:rtl/>
        </w:rPr>
        <w:t xml:space="preserve"> </w:t>
      </w:r>
      <w:r w:rsidRPr="004F0EC4">
        <w:rPr>
          <w:spacing w:val="-2"/>
          <w:rtl/>
        </w:rPr>
        <w:t xml:space="preserve">إعاقة بصرية، و0,3 في </w:t>
      </w:r>
      <w:proofErr w:type="gramStart"/>
      <w:r w:rsidRPr="004F0EC4">
        <w:rPr>
          <w:spacing w:val="-2"/>
          <w:rtl/>
        </w:rPr>
        <w:t>المائة</w:t>
      </w:r>
      <w:proofErr w:type="gramEnd"/>
      <w:r w:rsidRPr="004F0EC4">
        <w:rPr>
          <w:spacing w:val="-2"/>
          <w:rtl/>
        </w:rPr>
        <w:t xml:space="preserve"> لديهم إعاقة سمعية، و10,9 في </w:t>
      </w:r>
      <w:proofErr w:type="gramStart"/>
      <w:r w:rsidRPr="004F0EC4">
        <w:rPr>
          <w:spacing w:val="-2"/>
          <w:rtl/>
        </w:rPr>
        <w:t>المائة</w:t>
      </w:r>
      <w:proofErr w:type="gramEnd"/>
      <w:r w:rsidRPr="004F0EC4">
        <w:rPr>
          <w:spacing w:val="-2"/>
          <w:rtl/>
        </w:rPr>
        <w:t xml:space="preserve"> لديهم إعاقة ذهنية، و76,1 في </w:t>
      </w:r>
      <w:proofErr w:type="gramStart"/>
      <w:r w:rsidRPr="004F0EC4">
        <w:rPr>
          <w:spacing w:val="-2"/>
          <w:rtl/>
        </w:rPr>
        <w:t>المائة</w:t>
      </w:r>
      <w:proofErr w:type="gramEnd"/>
      <w:r w:rsidRPr="004F0EC4">
        <w:rPr>
          <w:spacing w:val="-2"/>
          <w:rtl/>
        </w:rPr>
        <w:t xml:space="preserve"> لديهم إعاقة بدنية. انظر:</w:t>
      </w:r>
      <w:r w:rsidR="0086687C" w:rsidRPr="004F0EC4">
        <w:rPr>
          <w:rFonts w:hint="cs"/>
          <w:spacing w:val="-2"/>
          <w:rtl/>
        </w:rPr>
        <w:t xml:space="preserve"> </w:t>
      </w:r>
      <w:hyperlink r:id="rId287" w:history="1">
        <w:r w:rsidR="0086687C" w:rsidRPr="004F0EC4">
          <w:rPr>
            <w:rFonts w:eastAsia="Times New Roman"/>
            <w:color w:val="0000FF"/>
          </w:rPr>
          <w:t>https://sigi-s3.s3.amazonaws.com/sigi/files/20606_resumen_ejecutivo_ii_estudio_nacional_de_h_</w:t>
        </w:r>
        <w:r w:rsidR="004F0EC4" w:rsidRPr="004F0EC4">
          <w:rPr>
            <w:rFonts w:eastAsia="Times New Roman"/>
            <w:color w:val="0000FF"/>
          </w:rPr>
          <w:br/>
        </w:r>
        <w:r w:rsidR="0086687C" w:rsidRPr="004F0EC4">
          <w:rPr>
            <w:rFonts w:eastAsia="Times New Roman"/>
            <w:color w:val="0000FF"/>
          </w:rPr>
          <w:t>bitos_de_actividad_f_sica_y_deporte_en_poblaci_n_con_discapacidad_.pdf</w:t>
        </w:r>
      </w:hyperlink>
      <w:r w:rsidR="0086687C" w:rsidRPr="004F0EC4">
        <w:rPr>
          <w:rFonts w:hint="cs"/>
          <w:spacing w:val="-2"/>
          <w:rtl/>
        </w:rPr>
        <w:t>.</w:t>
      </w:r>
    </w:p>
  </w:footnote>
  <w:footnote w:id="283">
    <w:p w14:paraId="7B0E14E7" w14:textId="249678F2" w:rsidR="00E54512" w:rsidRPr="004F0EC4" w:rsidRDefault="00E54512" w:rsidP="008B032D">
      <w:pPr>
        <w:pStyle w:val="FootnoteText1"/>
        <w:spacing w:line="290" w:lineRule="exact"/>
      </w:pPr>
      <w:r w:rsidRPr="004F0EC4">
        <w:rPr>
          <w:rtl/>
        </w:rPr>
        <w:t>(</w:t>
      </w:r>
      <w:r w:rsidRPr="004F0EC4">
        <w:footnoteRef/>
      </w:r>
      <w:r w:rsidRPr="004F0EC4">
        <w:rPr>
          <w:rtl/>
        </w:rPr>
        <w:t>)</w:t>
      </w:r>
      <w:r w:rsidRPr="004F0EC4">
        <w:rPr>
          <w:spacing w:val="-2"/>
          <w:rtl/>
        </w:rPr>
        <w:tab/>
        <w:t>أُطلقت مبادرات متنوعة، مثل خطط النشاط البدني والرياضي المجتمعية التي تتطلب قيام منظمات الأشخاص ذوي الإعاقة والمنظمات</w:t>
      </w:r>
      <w:r w:rsidRPr="004F0EC4">
        <w:rPr>
          <w:rtl/>
        </w:rPr>
        <w:t xml:space="preserve"> التي تعمل لصالحهم على المستوى المحلي بتنفيذ أنشطة بدنية ورياضية.</w:t>
      </w:r>
    </w:p>
  </w:footnote>
  <w:footnote w:id="284">
    <w:p w14:paraId="342D2C20" w14:textId="0F2F130E" w:rsidR="00E54512" w:rsidRPr="004F0EC4" w:rsidRDefault="00E54512" w:rsidP="008B032D">
      <w:pPr>
        <w:pStyle w:val="FootnoteText1"/>
        <w:spacing w:line="290" w:lineRule="exact"/>
      </w:pPr>
      <w:r w:rsidRPr="004F0EC4">
        <w:rPr>
          <w:rtl/>
        </w:rPr>
        <w:t>(</w:t>
      </w:r>
      <w:r w:rsidRPr="004F0EC4">
        <w:footnoteRef/>
      </w:r>
      <w:r w:rsidRPr="004F0EC4">
        <w:rPr>
          <w:rtl/>
        </w:rPr>
        <w:t>)</w:t>
      </w:r>
      <w:r w:rsidRPr="004F0EC4">
        <w:rPr>
          <w:rtl/>
        </w:rPr>
        <w:tab/>
        <w:t>في عام 2018، شارك في البرنامج 283 2 طفلاً من ذوي الإعاقة، وشارك فيه 907 1 أطفال في عام 2019. وعُلقت الأنشطة بسبب جائحة كوفيد-19، فلم يتمكن سوى 55 طفلاً من ذوي الإعاقة من المشاركة في عام 2020، لكن البرنامج استؤنف في عام 2021، بمشاركة 565 1 طفلاً.</w:t>
      </w:r>
    </w:p>
  </w:footnote>
  <w:footnote w:id="285">
    <w:p w14:paraId="40044355" w14:textId="1B19D768" w:rsidR="00E54512" w:rsidRPr="004F0EC4" w:rsidRDefault="00E54512" w:rsidP="00E54512">
      <w:pPr>
        <w:pStyle w:val="FootnoteText1"/>
      </w:pPr>
      <w:r w:rsidRPr="004F0EC4">
        <w:rPr>
          <w:rtl/>
        </w:rPr>
        <w:t>(</w:t>
      </w:r>
      <w:r w:rsidRPr="004F0EC4">
        <w:footnoteRef/>
      </w:r>
      <w:r w:rsidRPr="004F0EC4">
        <w:rPr>
          <w:rtl/>
        </w:rPr>
        <w:t>)</w:t>
      </w:r>
      <w:r w:rsidRPr="004F0EC4">
        <w:rPr>
          <w:rtl/>
        </w:rPr>
        <w:tab/>
        <w:t>يعزِّز الإدماج من خلال تقديم معلومات وتوصيات وتوضيحات بشأن البرامج الرئيسية لصندوق الثقافة من منظور شامل للجميع.</w:t>
      </w:r>
    </w:p>
  </w:footnote>
  <w:footnote w:id="286">
    <w:p w14:paraId="5FC6C0FA" w14:textId="3BAAA079"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88" w:history="1">
        <w:r w:rsidRPr="004F0EC4">
          <w:rPr>
            <w:rStyle w:val="Hyperlink"/>
          </w:rPr>
          <w:t>http://bcn.cl/30el9</w:t>
        </w:r>
      </w:hyperlink>
      <w:r w:rsidRPr="004F0EC4">
        <w:rPr>
          <w:rtl/>
        </w:rPr>
        <w:t>.</w:t>
      </w:r>
    </w:p>
  </w:footnote>
  <w:footnote w:id="287">
    <w:p w14:paraId="443AA51A" w14:textId="1BDB2384"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89" w:history="1">
        <w:r w:rsidRPr="004F0EC4">
          <w:rPr>
            <w:rStyle w:val="Hyperlink"/>
          </w:rPr>
          <w:t>http://bcn.cl/30el9</w:t>
        </w:r>
      </w:hyperlink>
      <w:r w:rsidRPr="004F0EC4">
        <w:rPr>
          <w:rtl/>
        </w:rPr>
        <w:t>.</w:t>
      </w:r>
    </w:p>
  </w:footnote>
  <w:footnote w:id="288">
    <w:p w14:paraId="3749F2DB" w14:textId="40EE4576"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90" w:history="1">
        <w:r w:rsidRPr="004F0EC4">
          <w:rPr>
            <w:rStyle w:val="Hyperlink"/>
          </w:rPr>
          <w:t>https://www.ciudadaccesible.cl/manuales-accesibilidad-universal/</w:t>
        </w:r>
      </w:hyperlink>
      <w:r w:rsidRPr="004F0EC4">
        <w:rPr>
          <w:rtl/>
        </w:rPr>
        <w:t>.</w:t>
      </w:r>
    </w:p>
  </w:footnote>
  <w:footnote w:id="289">
    <w:p w14:paraId="2102B7CA" w14:textId="749C18CE" w:rsidR="00E54512" w:rsidRPr="004F0EC4" w:rsidRDefault="00E54512" w:rsidP="00E54512">
      <w:pPr>
        <w:pStyle w:val="FootnoteText1"/>
      </w:pPr>
      <w:r w:rsidRPr="004F0EC4">
        <w:rPr>
          <w:rtl/>
        </w:rPr>
        <w:t>(</w:t>
      </w:r>
      <w:r w:rsidRPr="004F0EC4">
        <w:footnoteRef/>
      </w:r>
      <w:r w:rsidRPr="004F0EC4">
        <w:rPr>
          <w:rtl/>
        </w:rPr>
        <w:t>)</w:t>
      </w:r>
      <w:r w:rsidRPr="004F0EC4">
        <w:rPr>
          <w:rtl/>
        </w:rPr>
        <w:tab/>
        <w:t>يوجد حالياً 62 فيلماً روائياً طويلاً مشفوعا بترجمة وصفية، وقد وُجهت في عام 2022 دعوة لتقديم طلبات بشأن 65 فيلماً إضافياً.</w:t>
      </w:r>
    </w:p>
  </w:footnote>
  <w:footnote w:id="290">
    <w:p w14:paraId="2363FB68" w14:textId="0FEB96CA" w:rsidR="00E54512" w:rsidRPr="004F0EC4" w:rsidRDefault="00E54512" w:rsidP="00E54512">
      <w:pPr>
        <w:pStyle w:val="FootnoteText1"/>
        <w:rPr>
          <w:rtl/>
        </w:rPr>
      </w:pPr>
      <w:r w:rsidRPr="004F0EC4">
        <w:rPr>
          <w:rtl/>
        </w:rPr>
        <w:t>(</w:t>
      </w:r>
      <w:r w:rsidRPr="004F0EC4">
        <w:footnoteRef/>
      </w:r>
      <w:r w:rsidRPr="004F0EC4">
        <w:rPr>
          <w:rtl/>
        </w:rPr>
        <w:t>)</w:t>
      </w:r>
      <w:r w:rsidRPr="004F0EC4">
        <w:rPr>
          <w:rtl/>
        </w:rPr>
        <w:tab/>
      </w:r>
      <w:hyperlink r:id="rId291" w:history="1">
        <w:r w:rsidRPr="004F0EC4">
          <w:rPr>
            <w:rStyle w:val="Hyperlink"/>
          </w:rPr>
          <w:t>http://bcn.cl/2nw2z</w:t>
        </w:r>
      </w:hyperlink>
      <w:r w:rsidRPr="004F0EC4">
        <w:rPr>
          <w:rtl/>
        </w:rPr>
        <w:t>.</w:t>
      </w:r>
    </w:p>
  </w:footnote>
  <w:footnote w:id="291">
    <w:p w14:paraId="12D93349" w14:textId="5C046B78"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92" w:history="1">
        <w:r w:rsidRPr="004F0EC4">
          <w:rPr>
            <w:rStyle w:val="Hyperlink"/>
          </w:rPr>
          <w:t>http://bcn.cl/2u07b</w:t>
        </w:r>
      </w:hyperlink>
      <w:r w:rsidRPr="004F0EC4">
        <w:rPr>
          <w:rtl/>
        </w:rPr>
        <w:t>.</w:t>
      </w:r>
    </w:p>
  </w:footnote>
  <w:footnote w:id="292">
    <w:p w14:paraId="4C2C7513" w14:textId="309BBB41"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93" w:history="1">
        <w:r w:rsidRPr="004F0EC4">
          <w:rPr>
            <w:rStyle w:val="Hyperlink"/>
          </w:rPr>
          <w:t>http://bcn.cl/2yieq</w:t>
        </w:r>
      </w:hyperlink>
      <w:r w:rsidRPr="004F0EC4">
        <w:rPr>
          <w:rtl/>
        </w:rPr>
        <w:t>.</w:t>
      </w:r>
    </w:p>
  </w:footnote>
  <w:footnote w:id="293">
    <w:p w14:paraId="54F1F593" w14:textId="3D6CB15B" w:rsidR="00E54512" w:rsidRPr="004F0EC4" w:rsidRDefault="00E54512" w:rsidP="00E54512">
      <w:pPr>
        <w:pStyle w:val="FootnoteText1"/>
      </w:pPr>
      <w:r w:rsidRPr="004F0EC4">
        <w:rPr>
          <w:rtl/>
        </w:rPr>
        <w:t>(</w:t>
      </w:r>
      <w:r w:rsidRPr="004F0EC4">
        <w:footnoteRef/>
      </w:r>
      <w:r w:rsidRPr="004F0EC4">
        <w:rPr>
          <w:rtl/>
        </w:rPr>
        <w:t>)</w:t>
      </w:r>
      <w:r w:rsidRPr="004F0EC4">
        <w:rPr>
          <w:rtl/>
        </w:rPr>
        <w:tab/>
      </w:r>
      <w:r w:rsidRPr="004F0EC4">
        <w:rPr>
          <w:spacing w:val="-2"/>
          <w:rtl/>
        </w:rPr>
        <w:t>بحسب خصائص منها الجنس، والسن، وصفة رب الأسرة، والجنسية، والهوية فيما يخص الانتماء إلى الشعوب الأصلية، والمنطقة</w:t>
      </w:r>
      <w:r w:rsidRPr="004F0EC4">
        <w:rPr>
          <w:rtl/>
        </w:rPr>
        <w:t>، والإقامة في المدينة أو في الريف.</w:t>
      </w:r>
    </w:p>
  </w:footnote>
  <w:footnote w:id="294">
    <w:p w14:paraId="0D46859F" w14:textId="616B6C3A"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94" w:history="1">
        <w:r w:rsidRPr="004F0EC4">
          <w:rPr>
            <w:rStyle w:val="Hyperlink"/>
          </w:rPr>
          <w:t>http://bcn.cl/2v1ja</w:t>
        </w:r>
      </w:hyperlink>
      <w:r w:rsidRPr="004F0EC4">
        <w:rPr>
          <w:rtl/>
        </w:rPr>
        <w:t>.</w:t>
      </w:r>
    </w:p>
  </w:footnote>
  <w:footnote w:id="295">
    <w:p w14:paraId="2D3687F2" w14:textId="7123CF13"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95" w:history="1">
        <w:r w:rsidRPr="004F0EC4">
          <w:rPr>
            <w:rStyle w:val="Hyperlink"/>
          </w:rPr>
          <w:t>https://www.gob.cl/pasoapaso/cifrasoficiales/</w:t>
        </w:r>
      </w:hyperlink>
      <w:r w:rsidRPr="004F0EC4">
        <w:rPr>
          <w:rtl/>
        </w:rPr>
        <w:t>، و</w:t>
      </w:r>
      <w:hyperlink r:id="rId296" w:history="1">
        <w:r w:rsidRPr="004F0EC4">
          <w:rPr>
            <w:rStyle w:val="Hyperlink"/>
          </w:rPr>
          <w:t>https://deis.minsal.cl/</w:t>
        </w:r>
      </w:hyperlink>
      <w:r w:rsidRPr="004F0EC4">
        <w:rPr>
          <w:rtl/>
        </w:rPr>
        <w:t>.</w:t>
      </w:r>
    </w:p>
  </w:footnote>
  <w:footnote w:id="296">
    <w:p w14:paraId="2677145F" w14:textId="05CBFC39"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97" w:history="1">
        <w:r w:rsidRPr="004F0EC4">
          <w:rPr>
            <w:rStyle w:val="Hyperlink"/>
          </w:rPr>
          <w:t>https://www.senadis.gob.cl/</w:t>
        </w:r>
      </w:hyperlink>
      <w:r w:rsidRPr="004F0EC4">
        <w:rPr>
          <w:rtl/>
        </w:rPr>
        <w:t>.</w:t>
      </w:r>
    </w:p>
  </w:footnote>
  <w:footnote w:id="297">
    <w:p w14:paraId="132F0903" w14:textId="2607AB20"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298" w:history="1">
        <w:r w:rsidRPr="004F0EC4">
          <w:rPr>
            <w:rStyle w:val="Hyperlink"/>
          </w:rPr>
          <w:t>https://www.senadis.gob.cl/pag/355/1197/ii_estudio_nacional_de_discapacidad</w:t>
        </w:r>
      </w:hyperlink>
      <w:r w:rsidRPr="004F0EC4">
        <w:rPr>
          <w:rtl/>
        </w:rPr>
        <w:t xml:space="preserve">؛ </w:t>
      </w:r>
      <w:r w:rsidRPr="001F15F0">
        <w:rPr>
          <w:spacing w:val="-2"/>
          <w:rtl/>
        </w:rPr>
        <w:t>و</w:t>
      </w:r>
      <w:hyperlink r:id="rId299" w:history="1">
        <w:r w:rsidRPr="001F15F0">
          <w:rPr>
            <w:rStyle w:val="Hyperlink"/>
            <w:spacing w:val="-2"/>
          </w:rPr>
          <w:t>https://www.senadis.gob.cl/pag/306/1570/publicaciones</w:t>
        </w:r>
      </w:hyperlink>
      <w:r w:rsidRPr="001F15F0">
        <w:rPr>
          <w:spacing w:val="-2"/>
          <w:rtl/>
        </w:rPr>
        <w:t>؛ و</w:t>
      </w:r>
      <w:hyperlink r:id="rId300" w:history="1">
        <w:r w:rsidR="0086687C" w:rsidRPr="001F15F0">
          <w:rPr>
            <w:color w:val="0000FF"/>
            <w:spacing w:val="-2"/>
          </w:rPr>
          <w:t>https://www.senadis.gob.cl/pag/387/1650/</w:t>
        </w:r>
        <w:r w:rsidR="001F15F0" w:rsidRPr="001F15F0">
          <w:rPr>
            <w:color w:val="0000FF"/>
            <w:spacing w:val="-2"/>
          </w:rPr>
          <w:br/>
        </w:r>
        <w:proofErr w:type="spellStart"/>
        <w:r w:rsidR="0086687C" w:rsidRPr="001F15F0">
          <w:rPr>
            <w:color w:val="0000FF"/>
            <w:spacing w:val="-2"/>
          </w:rPr>
          <w:t>material_grafico</w:t>
        </w:r>
        <w:proofErr w:type="spellEnd"/>
      </w:hyperlink>
      <w:r w:rsidRPr="004F0EC4">
        <w:rPr>
          <w:rtl/>
        </w:rPr>
        <w:t>؛ و</w:t>
      </w:r>
      <w:hyperlink r:id="rId301" w:history="1">
        <w:r w:rsidRPr="004F0EC4">
          <w:rPr>
            <w:rStyle w:val="Hyperlink"/>
          </w:rPr>
          <w:t>https://youtu.be/9Be-17SVozo</w:t>
        </w:r>
      </w:hyperlink>
      <w:r w:rsidRPr="004F0EC4">
        <w:rPr>
          <w:rtl/>
        </w:rPr>
        <w:t>؛ و</w:t>
      </w:r>
      <w:hyperlink r:id="rId302" w:history="1">
        <w:r w:rsidRPr="004F0EC4">
          <w:rPr>
            <w:rStyle w:val="Hyperlink"/>
          </w:rPr>
          <w:t>https://youtu.be/NB5hrPulyzk</w:t>
        </w:r>
      </w:hyperlink>
      <w:r w:rsidRPr="004F0EC4">
        <w:rPr>
          <w:rtl/>
        </w:rPr>
        <w:t>.</w:t>
      </w:r>
    </w:p>
  </w:footnote>
  <w:footnote w:id="298">
    <w:p w14:paraId="72997A08" w14:textId="7D97D4F8"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303" w:history="1">
        <w:r w:rsidRPr="004F0EC4">
          <w:rPr>
            <w:rStyle w:val="Hyperlink"/>
          </w:rPr>
          <w:t>https://www.senadis.gob.cl/descarga/i/4581</w:t>
        </w:r>
      </w:hyperlink>
      <w:r w:rsidRPr="004F0EC4">
        <w:rPr>
          <w:rtl/>
        </w:rPr>
        <w:t>.</w:t>
      </w:r>
    </w:p>
  </w:footnote>
  <w:footnote w:id="299">
    <w:p w14:paraId="75B26613" w14:textId="44D22C20"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304" w:history="1">
        <w:r w:rsidRPr="004F0EC4">
          <w:rPr>
            <w:rStyle w:val="Hyperlink"/>
          </w:rPr>
          <w:t>https://www.senadis.gob.cl/pag/447/1729/otros_documentos_de_interes</w:t>
        </w:r>
      </w:hyperlink>
      <w:r w:rsidRPr="004F0EC4">
        <w:rPr>
          <w:rtl/>
        </w:rPr>
        <w:t>.</w:t>
      </w:r>
    </w:p>
  </w:footnote>
  <w:footnote w:id="300">
    <w:p w14:paraId="18B92810" w14:textId="4DF38F2E"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305" w:history="1">
        <w:r w:rsidRPr="004F0EC4">
          <w:rPr>
            <w:rStyle w:val="Hyperlink"/>
          </w:rPr>
          <w:t>https://www.senadis.gob.cl/descarga/i/6034/documento</w:t>
        </w:r>
      </w:hyperlink>
      <w:r w:rsidRPr="004F0EC4">
        <w:rPr>
          <w:rtl/>
        </w:rPr>
        <w:t>.</w:t>
      </w:r>
    </w:p>
  </w:footnote>
  <w:footnote w:id="301">
    <w:p w14:paraId="08CC91F5" w14:textId="13C8C376"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306" w:history="1">
        <w:r w:rsidRPr="004F0EC4">
          <w:rPr>
            <w:rStyle w:val="Hyperlink"/>
          </w:rPr>
          <w:t>https://www.senadis.gob.cl/descarga/i/6396/documento</w:t>
        </w:r>
      </w:hyperlink>
      <w:r w:rsidRPr="004F0EC4">
        <w:rPr>
          <w:rtl/>
        </w:rPr>
        <w:t>.</w:t>
      </w:r>
    </w:p>
  </w:footnote>
  <w:footnote w:id="302">
    <w:p w14:paraId="37EBF559" w14:textId="17FF40FD"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307" w:history="1">
        <w:r w:rsidRPr="004F0EC4">
          <w:rPr>
            <w:rStyle w:val="Hyperlink"/>
          </w:rPr>
          <w:t>https://www.senadis.gob.cl/descarga/i/5609/documento</w:t>
        </w:r>
      </w:hyperlink>
      <w:r w:rsidRPr="004F0EC4">
        <w:rPr>
          <w:rtl/>
        </w:rPr>
        <w:t>.</w:t>
      </w:r>
    </w:p>
  </w:footnote>
  <w:footnote w:id="303">
    <w:p w14:paraId="6700F5AE" w14:textId="366CE973"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308" w:history="1">
        <w:r w:rsidRPr="004F0EC4">
          <w:rPr>
            <w:rStyle w:val="Hyperlink"/>
          </w:rPr>
          <w:t>https://www.senadis.gob.cl/descarga/i/6045/documento</w:t>
        </w:r>
      </w:hyperlink>
      <w:r w:rsidRPr="004F0EC4">
        <w:rPr>
          <w:rtl/>
        </w:rPr>
        <w:t>.</w:t>
      </w:r>
    </w:p>
  </w:footnote>
  <w:footnote w:id="304">
    <w:p w14:paraId="62DA793D" w14:textId="276C9A40" w:rsidR="00E54512" w:rsidRPr="004F0EC4" w:rsidRDefault="00E54512" w:rsidP="00E54512">
      <w:pPr>
        <w:pStyle w:val="FootnoteText1"/>
        <w:rPr>
          <w:spacing w:val="-6"/>
        </w:rPr>
      </w:pPr>
      <w:r w:rsidRPr="004F0EC4">
        <w:rPr>
          <w:rtl/>
        </w:rPr>
        <w:t>(</w:t>
      </w:r>
      <w:r w:rsidRPr="004F0EC4">
        <w:footnoteRef/>
      </w:r>
      <w:r w:rsidRPr="004F0EC4">
        <w:rPr>
          <w:rtl/>
        </w:rPr>
        <w:t>)</w:t>
      </w:r>
      <w:r w:rsidRPr="004F0EC4">
        <w:rPr>
          <w:rtl/>
        </w:rPr>
        <w:tab/>
      </w:r>
      <w:hyperlink r:id="rId309" w:history="1">
        <w:r w:rsidR="00F453B3" w:rsidRPr="004F0EC4">
          <w:rPr>
            <w:rFonts w:eastAsia="Times New Roman"/>
            <w:color w:val="0000FF"/>
            <w:spacing w:val="-6"/>
          </w:rPr>
          <w:t>https://www.senadis.gob.cl/pag/579/1868/diagnostico_del_plan_nacional_de_calificacion_y_certificacion</w:t>
        </w:r>
      </w:hyperlink>
      <w:r w:rsidRPr="004F0EC4">
        <w:rPr>
          <w:spacing w:val="-6"/>
          <w:rtl/>
        </w:rPr>
        <w:t>.</w:t>
      </w:r>
    </w:p>
  </w:footnote>
  <w:footnote w:id="305">
    <w:p w14:paraId="7A55002A" w14:textId="0B44BBD2"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310" w:history="1">
        <w:r w:rsidRPr="004F0EC4">
          <w:rPr>
            <w:rStyle w:val="Hyperlink"/>
          </w:rPr>
          <w:t>https://www.senadis.gob.cl/documentos/listado/146/accesibilidad</w:t>
        </w:r>
      </w:hyperlink>
      <w:r w:rsidRPr="004F0EC4">
        <w:rPr>
          <w:rtl/>
        </w:rPr>
        <w:t>.</w:t>
      </w:r>
    </w:p>
  </w:footnote>
  <w:footnote w:id="306">
    <w:p w14:paraId="3206C229" w14:textId="2443F50B" w:rsidR="00E54512" w:rsidRPr="004F0EC4" w:rsidRDefault="00E54512" w:rsidP="00E54512">
      <w:pPr>
        <w:pStyle w:val="FootnoteText1"/>
      </w:pPr>
      <w:r w:rsidRPr="004F0EC4">
        <w:rPr>
          <w:rtl/>
        </w:rPr>
        <w:t>(</w:t>
      </w:r>
      <w:r w:rsidRPr="004F0EC4">
        <w:footnoteRef/>
      </w:r>
      <w:r w:rsidRPr="004F0EC4">
        <w:rPr>
          <w:rtl/>
        </w:rPr>
        <w:t>)</w:t>
      </w:r>
      <w:r w:rsidRPr="004F0EC4">
        <w:rPr>
          <w:rtl/>
        </w:rPr>
        <w:tab/>
      </w:r>
      <w:hyperlink r:id="rId311" w:history="1">
        <w:r w:rsidRPr="004F0EC4">
          <w:rPr>
            <w:rStyle w:val="Hyperlink"/>
          </w:rPr>
          <w:t>https://www.senadis.gob.cl/descarga/i/4581</w:t>
        </w:r>
      </w:hyperlink>
      <w:r w:rsidRPr="004F0EC4">
        <w:rPr>
          <w:rtl/>
        </w:rPr>
        <w:t>. تتوفر خدمات الترجمة عن بُعد إلى لغة الإشارة الشيلية في 100 فرع من أصل 190 فرعاً في شتى أنحاء البلد.</w:t>
      </w:r>
    </w:p>
  </w:footnote>
  <w:footnote w:id="307">
    <w:p w14:paraId="1C085710" w14:textId="66E60F00" w:rsidR="00E54512" w:rsidRPr="004F0EC4" w:rsidRDefault="00E54512" w:rsidP="00E54512">
      <w:pPr>
        <w:pStyle w:val="FootnoteText1"/>
      </w:pPr>
      <w:r w:rsidRPr="004F0EC4">
        <w:rPr>
          <w:rtl/>
        </w:rPr>
        <w:t>(</w:t>
      </w:r>
      <w:r w:rsidRPr="004F0EC4">
        <w:footnoteRef/>
      </w:r>
      <w:r w:rsidRPr="004F0EC4">
        <w:rPr>
          <w:rtl/>
        </w:rPr>
        <w:t>)</w:t>
      </w:r>
      <w:r w:rsidRPr="004F0EC4">
        <w:rPr>
          <w:rtl/>
        </w:rPr>
        <w:tab/>
        <w:t>وُجهت، في إطار الوفاء بهذا الالتزام، دعوة إلى تقديم عروض تنافسية في تموز/يوليه 2022 (</w:t>
      </w:r>
      <w:hyperlink r:id="rId312" w:history="1">
        <w:r w:rsidRPr="004F0EC4">
          <w:rPr>
            <w:rStyle w:val="Hyperlink"/>
            <w:spacing w:val="4"/>
          </w:rPr>
          <w:t>https://www.mercadopublico.cl/Procurement/Modules/RFB/DetailsAcquisition.aspx?qs=37aEMrv7C1KA5ihn6nAMGQ</w:t>
        </w:r>
        <w:r w:rsidRPr="004F0EC4">
          <w:rPr>
            <w:rStyle w:val="Hyperlink"/>
            <w:spacing w:val="4"/>
            <w:rtl/>
          </w:rPr>
          <w:t>==</w:t>
        </w:r>
      </w:hyperlink>
      <w:r w:rsidRPr="004F0EC4">
        <w:rPr>
          <w:rtl/>
        </w:rPr>
        <w:t>)، مع مراعاة المشاركة المدنية وتوصيات المنظمات الدولية في مجال الإعاقة، لكنها أُلغيت لعدم وجود استجابة. وتأمل الدائرة الوطنية في توجيه دعوة جديدة إلى تقديم عروض تنافسية في نهاية عام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F190E" w14:textId="5B50D056" w:rsidR="00B90484" w:rsidRPr="00B90484" w:rsidRDefault="00B90484" w:rsidP="00B9048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27310">
      <w:t>CRPD/C/CHL/2-4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E0713" w14:textId="50BD38D6" w:rsidR="00B90484" w:rsidRPr="00B90484" w:rsidRDefault="00B90484" w:rsidP="00B9048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27310">
      <w:t>CRPD/C/CHL/2-4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E6159" w14:textId="77777777" w:rsidR="00E13BB5" w:rsidRDefault="00E13B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2D3"/>
    <w:rsid w:val="000076D5"/>
    <w:rsid w:val="000204DC"/>
    <w:rsid w:val="00037ED2"/>
    <w:rsid w:val="00043663"/>
    <w:rsid w:val="000505CF"/>
    <w:rsid w:val="0008448B"/>
    <w:rsid w:val="0009457A"/>
    <w:rsid w:val="000C2776"/>
    <w:rsid w:val="000C3055"/>
    <w:rsid w:val="000D701C"/>
    <w:rsid w:val="000E2A71"/>
    <w:rsid w:val="00110A15"/>
    <w:rsid w:val="00114439"/>
    <w:rsid w:val="00160263"/>
    <w:rsid w:val="00181F96"/>
    <w:rsid w:val="00185BED"/>
    <w:rsid w:val="001867BF"/>
    <w:rsid w:val="001A1371"/>
    <w:rsid w:val="001B346A"/>
    <w:rsid w:val="001E1CAD"/>
    <w:rsid w:val="001E290D"/>
    <w:rsid w:val="001E395C"/>
    <w:rsid w:val="001F15F0"/>
    <w:rsid w:val="001F201A"/>
    <w:rsid w:val="002144FA"/>
    <w:rsid w:val="002236F3"/>
    <w:rsid w:val="0023469A"/>
    <w:rsid w:val="00241847"/>
    <w:rsid w:val="00243C8A"/>
    <w:rsid w:val="00247408"/>
    <w:rsid w:val="0026279F"/>
    <w:rsid w:val="00267A0E"/>
    <w:rsid w:val="0027679B"/>
    <w:rsid w:val="002901D9"/>
    <w:rsid w:val="002976C2"/>
    <w:rsid w:val="002B4C32"/>
    <w:rsid w:val="002C7786"/>
    <w:rsid w:val="0032278B"/>
    <w:rsid w:val="00324833"/>
    <w:rsid w:val="003260FF"/>
    <w:rsid w:val="00343D95"/>
    <w:rsid w:val="00374341"/>
    <w:rsid w:val="00375F3D"/>
    <w:rsid w:val="00397C83"/>
    <w:rsid w:val="003D1062"/>
    <w:rsid w:val="003D23B7"/>
    <w:rsid w:val="003D5984"/>
    <w:rsid w:val="003D767A"/>
    <w:rsid w:val="00420D7B"/>
    <w:rsid w:val="0044544B"/>
    <w:rsid w:val="00450B21"/>
    <w:rsid w:val="00453B63"/>
    <w:rsid w:val="00455780"/>
    <w:rsid w:val="004653FA"/>
    <w:rsid w:val="00476CEF"/>
    <w:rsid w:val="0049167B"/>
    <w:rsid w:val="004B0A1C"/>
    <w:rsid w:val="004D298E"/>
    <w:rsid w:val="004E4D42"/>
    <w:rsid w:val="004F033D"/>
    <w:rsid w:val="004F0EC4"/>
    <w:rsid w:val="00517BC9"/>
    <w:rsid w:val="0054149D"/>
    <w:rsid w:val="0054472E"/>
    <w:rsid w:val="005662A9"/>
    <w:rsid w:val="00572E1D"/>
    <w:rsid w:val="0057421F"/>
    <w:rsid w:val="005750E2"/>
    <w:rsid w:val="005771AA"/>
    <w:rsid w:val="005827D4"/>
    <w:rsid w:val="0059622A"/>
    <w:rsid w:val="005C5878"/>
    <w:rsid w:val="005C7CEA"/>
    <w:rsid w:val="005D3C0B"/>
    <w:rsid w:val="005E5217"/>
    <w:rsid w:val="005F0FA4"/>
    <w:rsid w:val="005F30EE"/>
    <w:rsid w:val="00600888"/>
    <w:rsid w:val="0060205D"/>
    <w:rsid w:val="0060473A"/>
    <w:rsid w:val="00606EDF"/>
    <w:rsid w:val="00614B4E"/>
    <w:rsid w:val="006163CA"/>
    <w:rsid w:val="006333FB"/>
    <w:rsid w:val="00637156"/>
    <w:rsid w:val="00656392"/>
    <w:rsid w:val="0068781D"/>
    <w:rsid w:val="006959B0"/>
    <w:rsid w:val="006A3A3A"/>
    <w:rsid w:val="006A41F6"/>
    <w:rsid w:val="006A5EE7"/>
    <w:rsid w:val="006B3E27"/>
    <w:rsid w:val="006B53DE"/>
    <w:rsid w:val="006B6507"/>
    <w:rsid w:val="006C104C"/>
    <w:rsid w:val="006C6970"/>
    <w:rsid w:val="006F30EE"/>
    <w:rsid w:val="007006CD"/>
    <w:rsid w:val="00702272"/>
    <w:rsid w:val="00726F9E"/>
    <w:rsid w:val="00733704"/>
    <w:rsid w:val="007541BA"/>
    <w:rsid w:val="00770CD9"/>
    <w:rsid w:val="00780362"/>
    <w:rsid w:val="0078071A"/>
    <w:rsid w:val="007E3F4E"/>
    <w:rsid w:val="007F69E1"/>
    <w:rsid w:val="00801A14"/>
    <w:rsid w:val="00803632"/>
    <w:rsid w:val="008154E5"/>
    <w:rsid w:val="00850B8E"/>
    <w:rsid w:val="00852A9A"/>
    <w:rsid w:val="0086687C"/>
    <w:rsid w:val="00867AED"/>
    <w:rsid w:val="008B032D"/>
    <w:rsid w:val="008F49E1"/>
    <w:rsid w:val="0090370F"/>
    <w:rsid w:val="00911B4A"/>
    <w:rsid w:val="009269D2"/>
    <w:rsid w:val="00941975"/>
    <w:rsid w:val="00942135"/>
    <w:rsid w:val="009521B0"/>
    <w:rsid w:val="009A7E9F"/>
    <w:rsid w:val="009B12D3"/>
    <w:rsid w:val="009E5018"/>
    <w:rsid w:val="009F0FB8"/>
    <w:rsid w:val="009F15BC"/>
    <w:rsid w:val="00A12B37"/>
    <w:rsid w:val="00A13D0C"/>
    <w:rsid w:val="00A27310"/>
    <w:rsid w:val="00A32291"/>
    <w:rsid w:val="00A32D90"/>
    <w:rsid w:val="00A50EC0"/>
    <w:rsid w:val="00A54442"/>
    <w:rsid w:val="00A7472A"/>
    <w:rsid w:val="00AA3959"/>
    <w:rsid w:val="00AB0F58"/>
    <w:rsid w:val="00AB6758"/>
    <w:rsid w:val="00B01B73"/>
    <w:rsid w:val="00B13763"/>
    <w:rsid w:val="00B44067"/>
    <w:rsid w:val="00B45F89"/>
    <w:rsid w:val="00B477A4"/>
    <w:rsid w:val="00B54045"/>
    <w:rsid w:val="00B74F82"/>
    <w:rsid w:val="00B90484"/>
    <w:rsid w:val="00BC4823"/>
    <w:rsid w:val="00C00FE8"/>
    <w:rsid w:val="00C04E25"/>
    <w:rsid w:val="00C438D7"/>
    <w:rsid w:val="00C53FE8"/>
    <w:rsid w:val="00C81B50"/>
    <w:rsid w:val="00C96DE4"/>
    <w:rsid w:val="00CD1801"/>
    <w:rsid w:val="00D077A7"/>
    <w:rsid w:val="00D10EF1"/>
    <w:rsid w:val="00D42810"/>
    <w:rsid w:val="00D55303"/>
    <w:rsid w:val="00D914A7"/>
    <w:rsid w:val="00DB6836"/>
    <w:rsid w:val="00DD13C3"/>
    <w:rsid w:val="00DD596E"/>
    <w:rsid w:val="00DD621E"/>
    <w:rsid w:val="00DD74C6"/>
    <w:rsid w:val="00DF0575"/>
    <w:rsid w:val="00E13BB5"/>
    <w:rsid w:val="00E22186"/>
    <w:rsid w:val="00E54512"/>
    <w:rsid w:val="00E70E04"/>
    <w:rsid w:val="00E86F91"/>
    <w:rsid w:val="00EA06C0"/>
    <w:rsid w:val="00EC05A7"/>
    <w:rsid w:val="00EC4B6B"/>
    <w:rsid w:val="00ED7442"/>
    <w:rsid w:val="00EF1EE5"/>
    <w:rsid w:val="00F453B3"/>
    <w:rsid w:val="00F5023D"/>
    <w:rsid w:val="00F71735"/>
    <w:rsid w:val="00F763B4"/>
    <w:rsid w:val="00F81F7B"/>
    <w:rsid w:val="00F900C3"/>
    <w:rsid w:val="00FA26A0"/>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10D524"/>
  <w15:docId w15:val="{3F34D263-7103-4EF0-9DEB-9762BF6E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SingleTxtG">
    <w:name w:val="_ Single Txt_G"/>
    <w:basedOn w:val="Normal"/>
    <w:link w:val="SingleTxtGChar"/>
    <w:rsid w:val="00E54512"/>
    <w:pPr>
      <w:tabs>
        <w:tab w:val="left" w:pos="1701"/>
        <w:tab w:val="left" w:pos="2268"/>
      </w:tabs>
      <w:suppressAutoHyphens/>
      <w:bidi w:val="0"/>
      <w:spacing w:after="120"/>
      <w:ind w:left="1134" w:right="1134"/>
      <w:jc w:val="both"/>
    </w:pPr>
    <w:rPr>
      <w:rFonts w:eastAsiaTheme="minorEastAsia" w:hAnsiTheme="minorHAnsi"/>
      <w:szCs w:val="30"/>
      <w:lang w:eastAsia="zh-CN"/>
    </w:rPr>
  </w:style>
  <w:style w:type="character" w:customStyle="1" w:styleId="SingleTxtGChar">
    <w:name w:val="_ Single Txt_G Char"/>
    <w:basedOn w:val="DefaultParagraphFont"/>
    <w:link w:val="SingleTxtG"/>
    <w:rsid w:val="00E54512"/>
    <w:rPr>
      <w:rFonts w:ascii="Times New Roman" w:eastAsiaTheme="minorEastAsia" w:cs="Simplified Arabic"/>
      <w:sz w:val="20"/>
      <w:szCs w:val="30"/>
      <w:lang w:eastAsia="zh-CN"/>
    </w:rPr>
  </w:style>
  <w:style w:type="paragraph" w:styleId="FootnoteText">
    <w:name w:val="footnote text"/>
    <w:aliases w:val="5_G"/>
    <w:basedOn w:val="Normal"/>
    <w:link w:val="FootnoteTextChar"/>
    <w:rsid w:val="00E54512"/>
    <w:pPr>
      <w:tabs>
        <w:tab w:val="right" w:pos="1021"/>
      </w:tabs>
      <w:suppressAutoHyphens/>
      <w:bidi w:val="0"/>
      <w:spacing w:line="220" w:lineRule="exact"/>
      <w:ind w:left="1134" w:right="1134" w:hanging="1134"/>
      <w:jc w:val="left"/>
    </w:pPr>
    <w:rPr>
      <w:rFonts w:eastAsiaTheme="minorEastAsia" w:hAnsiTheme="minorHAnsi" w:hint="cs"/>
      <w:sz w:val="18"/>
      <w:szCs w:val="30"/>
      <w:lang w:eastAsia="zh-CN"/>
    </w:rPr>
  </w:style>
  <w:style w:type="character" w:customStyle="1" w:styleId="FootnoteTextChar">
    <w:name w:val="Footnote Text Char"/>
    <w:aliases w:val="5_G Char"/>
    <w:basedOn w:val="DefaultParagraphFont"/>
    <w:link w:val="FootnoteText"/>
    <w:rsid w:val="00E54512"/>
    <w:rPr>
      <w:rFonts w:ascii="Times New Roman" w:eastAsiaTheme="minorEastAsia" w:cs="Simplified Arabic"/>
      <w:sz w:val="18"/>
      <w:szCs w:val="30"/>
      <w:lang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E54512"/>
    <w:rPr>
      <w:rFonts w:ascii="Times New Roman" w:hAnsi="Times New Roman"/>
      <w:sz w:val="18"/>
      <w:vertAlign w:val="superscript"/>
    </w:rPr>
  </w:style>
  <w:style w:type="character" w:styleId="UnresolvedMention">
    <w:name w:val="Unresolved Mention"/>
    <w:basedOn w:val="DefaultParagraphFont"/>
    <w:uiPriority w:val="99"/>
    <w:semiHidden/>
    <w:unhideWhenUsed/>
    <w:rsid w:val="00E545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ablemosdesaludmental.c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b.cl/saludablement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b.cl/pasoapas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paisdi.senadis.c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masinclusion.org/" TargetMode="External"/><Relationship Id="rId14" Type="http://schemas.openxmlformats.org/officeDocument/2006/relationships/hyperlink" Target="https://www.chileatiende.cl"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s://saludresponde.minsal.cl/atencion-de-salud-en-lengua-de-senas-chilena/" TargetMode="External"/><Relationship Id="rId299" Type="http://schemas.openxmlformats.org/officeDocument/2006/relationships/hyperlink" Target="https://www.senadis.gob.cl/pag/306/1570/publicaciones" TargetMode="External"/><Relationship Id="rId303" Type="http://schemas.openxmlformats.org/officeDocument/2006/relationships/hyperlink" Target="https://www.senadis.gob.cl/descarga/i/4581" TargetMode="External"/><Relationship Id="rId21" Type="http://schemas.openxmlformats.org/officeDocument/2006/relationships/hyperlink" Target="https://masinclusion.org/" TargetMode="External"/><Relationship Id="rId42" Type="http://schemas.openxmlformats.org/officeDocument/2006/relationships/hyperlink" Target="https://observatorio.msgg.gob.cl/las-palabras-correctas-hacen-la-diferencia/" TargetMode="External"/><Relationship Id="rId63" Type="http://schemas.openxmlformats.org/officeDocument/2006/relationships/hyperlink" Target="https://bcn.cl/2upv5" TargetMode="External"/><Relationship Id="rId84" Type="http://schemas.openxmlformats.org/officeDocument/2006/relationships/hyperlink" Target="https://www.onemi.gov.cl/preparacion-inclusiva/" TargetMode="External"/><Relationship Id="rId138" Type="http://schemas.openxmlformats.org/officeDocument/2006/relationships/hyperlink" Target="https://www.senadis.gob.cl/descarga/i/6664/documento" TargetMode="External"/><Relationship Id="rId159" Type="http://schemas.openxmlformats.org/officeDocument/2006/relationships/hyperlink" Target="https://mnpt.cl/wp-content/uploads/2021/09/74830-INFORME-ANUAL-CPT-INTE-web-INDH.pdf" TargetMode="External"/><Relationship Id="rId170" Type="http://schemas.openxmlformats.org/officeDocument/2006/relationships/hyperlink" Target="https://bcn.cl/2yieq" TargetMode="External"/><Relationship Id="rId191" Type="http://schemas.openxmlformats.org/officeDocument/2006/relationships/hyperlink" Target="https://sistemas.sence.cl/sipfor/Planes/PDFPlan.aspx?id=3281" TargetMode="External"/><Relationship Id="rId205" Type="http://schemas.openxmlformats.org/officeDocument/2006/relationships/hyperlink" Target="https://www.senadis.gob.cl/sala_prensa/d/noticias/8663" TargetMode="External"/><Relationship Id="rId226" Type="http://schemas.openxmlformats.org/officeDocument/2006/relationships/hyperlink" Target="https://www.minsal.cl/wp-content/uploads/2017/12/PDF-PLAN-NACIONAL-SALUD-MENTAL-2017-A-2025.-7-dic-2017.pdf" TargetMode="External"/><Relationship Id="rId247" Type="http://schemas.openxmlformats.org/officeDocument/2006/relationships/hyperlink" Target="https://www.senadis.gob.cl/sala_prensa/d/noticias/8574" TargetMode="External"/><Relationship Id="rId107" Type="http://schemas.openxmlformats.org/officeDocument/2006/relationships/hyperlink" Target="https://diprece.minsal.cl/wp-content/uploads/2020/10/RECOMENDACIONES-PARA-EL-INGRESO-SEGUIMIENTO-Y-EGRESO-DE-PERSONAS-CON-NECESIDADES-DE-MANEJO-TERAPE%CC%81UTICO-ASOCIADO-A-CONDICIONES-DE-SALUD-MENTAL-O-EN-CONDICIONES-DE-EXCLUSIO%CC%81N-SOCIAL-EXTREMA.pdf" TargetMode="External"/><Relationship Id="rId268" Type="http://schemas.openxmlformats.org/officeDocument/2006/relationships/hyperlink" Target="https://www.instagram.com/p/CO3wZXRh-tu/" TargetMode="External"/><Relationship Id="rId289" Type="http://schemas.openxmlformats.org/officeDocument/2006/relationships/hyperlink" Target="http://bcn.cl/30el9" TargetMode="External"/><Relationship Id="rId11" Type="http://schemas.openxmlformats.org/officeDocument/2006/relationships/hyperlink" Target="http://bcn.cl/2ltmx" TargetMode="External"/><Relationship Id="rId32" Type="http://schemas.openxmlformats.org/officeDocument/2006/relationships/hyperlink" Target="http://bcn.cl/2yieq" TargetMode="External"/><Relationship Id="rId53" Type="http://schemas.openxmlformats.org/officeDocument/2006/relationships/hyperlink" Target="https://www.senadis.gob.cl/sala_prensa/d/noticias/8140" TargetMode="External"/><Relationship Id="rId74" Type="http://schemas.openxmlformats.org/officeDocument/2006/relationships/hyperlink" Target="https://degreyd.minsal.cl/hospital-de-coyhaique-inicio-trabajo-para-incluir-a-personas-con-discapacidad-en-planes-de-emergencias/" TargetMode="External"/><Relationship Id="rId128" Type="http://schemas.openxmlformats.org/officeDocument/2006/relationships/hyperlink" Target="https://www.camara.cl/legislacion/ProyectosDeLey/tramitacion.aspx?prmID=12972&amp;prmBOLETIN=12441-17" TargetMode="External"/><Relationship Id="rId149" Type="http://schemas.openxmlformats.org/officeDocument/2006/relationships/hyperlink" Target="http://bcn.cl/2p863" TargetMode="External"/><Relationship Id="rId5" Type="http://schemas.openxmlformats.org/officeDocument/2006/relationships/hyperlink" Target="https://www.senadis.gob.cl/sala_prensa/d/noticias/8815" TargetMode="External"/><Relationship Id="rId95" Type="http://schemas.openxmlformats.org/officeDocument/2006/relationships/hyperlink" Target="https://www.senadis.gob.cl/sala_prensa/d/noticias/8223" TargetMode="External"/><Relationship Id="rId160" Type="http://schemas.openxmlformats.org/officeDocument/2006/relationships/hyperlink" Target="https://eurosocial.eu/wp-content/uploads/2020/03/document7.pdf" TargetMode="External"/><Relationship Id="rId181" Type="http://schemas.openxmlformats.org/officeDocument/2006/relationships/hyperlink" Target="https://www.senadis.gob.cl/descarga/i/4661/documento" TargetMode="External"/><Relationship Id="rId216" Type="http://schemas.openxmlformats.org/officeDocument/2006/relationships/hyperlink" Target="https://www.innovacion.mineduc.cl/iniciativas/tecnologias-de-acceso-universal-para-la-educacion-2022" TargetMode="External"/><Relationship Id="rId237" Type="http://schemas.openxmlformats.org/officeDocument/2006/relationships/hyperlink" Target="https://www.dt.gob.cl/legislacion/1624/w3-article-121654.html" TargetMode="External"/><Relationship Id="rId258" Type="http://schemas.openxmlformats.org/officeDocument/2006/relationships/hyperlink" Target="http://bcn.cl/323ec" TargetMode="External"/><Relationship Id="rId279" Type="http://schemas.openxmlformats.org/officeDocument/2006/relationships/hyperlink" Target="https://www.senadis.gob.cl/sala_prensa/d/noticias/8660" TargetMode="External"/><Relationship Id="rId22" Type="http://schemas.openxmlformats.org/officeDocument/2006/relationships/hyperlink" Target="http://bcn.cl/2g7mr" TargetMode="External"/><Relationship Id="rId43" Type="http://schemas.openxmlformats.org/officeDocument/2006/relationships/hyperlink" Target="https://www.senadis.gob.cl/pag/390/1654/actas_de_sesiones_ano_2015_2019" TargetMode="External"/><Relationship Id="rId64" Type="http://schemas.openxmlformats.org/officeDocument/2006/relationships/hyperlink" Target="http://bcn.cl/2v1ja" TargetMode="External"/><Relationship Id="rId118" Type="http://schemas.openxmlformats.org/officeDocument/2006/relationships/hyperlink" Target="https://saludresponde.minsal.cl/atencion-de-salud-en-lengua-de-senas-chilena/" TargetMode="External"/><Relationship Id="rId139" Type="http://schemas.openxmlformats.org/officeDocument/2006/relationships/hyperlink" Target="https://www.pjud.cl/prensa-y-comunicaciones/noticias-del-poder-judicial/63136" TargetMode="External"/><Relationship Id="rId290" Type="http://schemas.openxmlformats.org/officeDocument/2006/relationships/hyperlink" Target="https://www.ciudadaccesible.cl/manuales-accesibilidad-universal/" TargetMode="External"/><Relationship Id="rId304" Type="http://schemas.openxmlformats.org/officeDocument/2006/relationships/hyperlink" Target="https://www.senadis.gob.cl/pag/447/1729/otros_documentos_de_interes" TargetMode="External"/><Relationship Id="rId85" Type="http://schemas.openxmlformats.org/officeDocument/2006/relationships/hyperlink" Target="https://siac.onemi.gov.cl/documentos/TEMP/Audio_Recomendaciones_Inclusivas.mp3" TargetMode="External"/><Relationship Id="rId150" Type="http://schemas.openxmlformats.org/officeDocument/2006/relationships/hyperlink" Target="https://www.senado.cl/appsenado/templates/tramitacion/index.php?boletin_ini=14233-07" TargetMode="External"/><Relationship Id="rId171" Type="http://schemas.openxmlformats.org/officeDocument/2006/relationships/hyperlink" Target="http://bcn.cl/2p863" TargetMode="External"/><Relationship Id="rId192" Type="http://schemas.openxmlformats.org/officeDocument/2006/relationships/hyperlink" Target="https://youtu.be/2S72YisobEE" TargetMode="External"/><Relationship Id="rId206" Type="http://schemas.openxmlformats.org/officeDocument/2006/relationships/hyperlink" Target="https://www.senadis.gob.cl/descarga/i/6033/documento" TargetMode="External"/><Relationship Id="rId227" Type="http://schemas.openxmlformats.org/officeDocument/2006/relationships/hyperlink" Target="https://www.minsal.cl/consejoasesorensaludmental/" TargetMode="External"/><Relationship Id="rId248" Type="http://schemas.openxmlformats.org/officeDocument/2006/relationships/hyperlink" Target="https://www.senadis.gob.cl/sala_prensa/d/noticias/8617" TargetMode="External"/><Relationship Id="rId269" Type="http://schemas.openxmlformats.org/officeDocument/2006/relationships/hyperlink" Target="https://www.senadis.gob.cl/sala_prensa/d/noticias/8535" TargetMode="External"/><Relationship Id="rId12" Type="http://schemas.openxmlformats.org/officeDocument/2006/relationships/hyperlink" Target="https://www.senadis.gob.cl/pag/637/1945/campana_mi_decision_mi_credencial" TargetMode="External"/><Relationship Id="rId33" Type="http://schemas.openxmlformats.org/officeDocument/2006/relationships/hyperlink" Target="https://www.senadis.gob.cl/sala_prensa/d/noticias/8268/senadis-y-servicio-civil-lanzan-cursos-sobre-inclusion-de-personas-con-discapacidad-para-funcionarios-publicos" TargetMode="External"/><Relationship Id="rId108" Type="http://schemas.openxmlformats.org/officeDocument/2006/relationships/hyperlink" Target="https://www.senadis.gob.cl/sala_prensa/d/noticias/8226/recomendaciones-para-la-atencion-de-personas-con-discapacidad-en-el-contexto-de-la-pandemia-por-covid-19" TargetMode="External"/><Relationship Id="rId129" Type="http://schemas.openxmlformats.org/officeDocument/2006/relationships/hyperlink" Target="http://www.senado.cl/appsenado/templates/tramitacion/index.php?boletin_ini=14783-07" TargetMode="External"/><Relationship Id="rId280" Type="http://schemas.openxmlformats.org/officeDocument/2006/relationships/hyperlink" Target="https://www.instagram.com/p/CXmG7CAJF3Q/" TargetMode="External"/><Relationship Id="rId54" Type="http://schemas.openxmlformats.org/officeDocument/2006/relationships/hyperlink" Target="https://www.senadis.gob.cl/sala_prensa/d/noticias/8169" TargetMode="External"/><Relationship Id="rId75" Type="http://schemas.openxmlformats.org/officeDocument/2006/relationships/hyperlink" Target="https://degreyd.minsal.cl/wp-content/uploads/2019/07/Orientaciones-T%C3%A9cnicas-Establecimiento-Seguro-2019.pdf" TargetMode="External"/><Relationship Id="rId96" Type="http://schemas.openxmlformats.org/officeDocument/2006/relationships/hyperlink" Target="https://www.senadis.gob.cl/pag/569/1649/proceso_de_financiamiento_ayudas_tecnicas_2020" TargetMode="External"/><Relationship Id="rId140" Type="http://schemas.openxmlformats.org/officeDocument/2006/relationships/hyperlink" Target="https://www.senadis.gob.cl/participacion/d/noticias/8811/senadis-expone-en-curso-de-instructores-en-derechos-humanos-aplicables-a-la-funcion-policial" TargetMode="External"/><Relationship Id="rId161" Type="http://schemas.openxmlformats.org/officeDocument/2006/relationships/hyperlink" Target="http://bcn.cl/33qa6" TargetMode="External"/><Relationship Id="rId182" Type="http://schemas.openxmlformats.org/officeDocument/2006/relationships/hyperlink" Target="https://certificacion.chilevalora.cl/ChileValora-publica/perfilesEdit.html?paramRequest=941" TargetMode="External"/><Relationship Id="rId217" Type="http://schemas.openxmlformats.org/officeDocument/2006/relationships/hyperlink" Target="https://especial.mineduc.cl/en-junio-se-realizo-el-i-seminario-internacional-tic-y-retos-multiples/" TargetMode="External"/><Relationship Id="rId6" Type="http://schemas.openxmlformats.org/officeDocument/2006/relationships/hyperlink" Target="https://compin.cerofilas.gob.cl/" TargetMode="External"/><Relationship Id="rId238" Type="http://schemas.openxmlformats.org/officeDocument/2006/relationships/hyperlink" Target="https://sence.gob.cl/personas/discapacidad" TargetMode="External"/><Relationship Id="rId259" Type="http://schemas.openxmlformats.org/officeDocument/2006/relationships/hyperlink" Target="http://bcn.cl/2nfzd" TargetMode="External"/><Relationship Id="rId23" Type="http://schemas.openxmlformats.org/officeDocument/2006/relationships/hyperlink" Target="http://bcn.cl/33fh9" TargetMode="External"/><Relationship Id="rId119" Type="http://schemas.openxmlformats.org/officeDocument/2006/relationships/hyperlink" Target="https://bcn.cl/2f9qy" TargetMode="External"/><Relationship Id="rId270" Type="http://schemas.openxmlformats.org/officeDocument/2006/relationships/hyperlink" Target="https://www.instagram.com/p/CQEaOz6pMCA/" TargetMode="External"/><Relationship Id="rId291" Type="http://schemas.openxmlformats.org/officeDocument/2006/relationships/hyperlink" Target="http://bcn.cl/2nw2z" TargetMode="External"/><Relationship Id="rId305" Type="http://schemas.openxmlformats.org/officeDocument/2006/relationships/hyperlink" Target="https://www.senadis.gob.cl/descarga/i/6034/documento" TargetMode="External"/><Relationship Id="rId44" Type="http://schemas.openxmlformats.org/officeDocument/2006/relationships/hyperlink" Target="https://www.senadis.gob.cl/pag/629/1971/actas_de_sesiones_ano_2021_2024" TargetMode="External"/><Relationship Id="rId65" Type="http://schemas.openxmlformats.org/officeDocument/2006/relationships/hyperlink" Target="https://www.camara.cl/legislacion/ProyectosDeLey/tramitacion.aspx?prmID=13286&amp;amp;prmBOLETIN=12748-17" TargetMode="External"/><Relationship Id="rId86" Type="http://schemas.openxmlformats.org/officeDocument/2006/relationships/hyperlink" Target="https://www.youtube.com/watch?v=Z1jeYXkwtO0" TargetMode="External"/><Relationship Id="rId130" Type="http://schemas.openxmlformats.org/officeDocument/2006/relationships/hyperlink" Target="http://bcn.cl/2f7cj" TargetMode="External"/><Relationship Id="rId151" Type="http://schemas.openxmlformats.org/officeDocument/2006/relationships/hyperlink" Target="https://www.senado.cl/appsenado/templates/tramitacion/index.php?boletin_ini=13437-07" TargetMode="External"/><Relationship Id="rId172" Type="http://schemas.openxmlformats.org/officeDocument/2006/relationships/hyperlink" Target="http://bcn.cl/2k5t8" TargetMode="External"/><Relationship Id="rId193" Type="http://schemas.openxmlformats.org/officeDocument/2006/relationships/hyperlink" Target="https://youtu.be/TpbCKzw4k60" TargetMode="External"/><Relationship Id="rId207" Type="http://schemas.openxmlformats.org/officeDocument/2006/relationships/hyperlink" Target="https://diprece.minsal.cl/wrdprss_minsal/wp-content/uploads/2018/03/POLITICA-NACIONAL-DE-SALUD-SEXUAL-Y-REPRODUCTIVA-.pdf" TargetMode="External"/><Relationship Id="rId228" Type="http://schemas.openxmlformats.org/officeDocument/2006/relationships/hyperlink" Target="https://s3.amazonaws.com/cdn.boricpresidente.cl/web/programa/Plan+de+gobierno+AD+2022-2026+(2).pdf" TargetMode="External"/><Relationship Id="rId249" Type="http://schemas.openxmlformats.org/officeDocument/2006/relationships/hyperlink" Target="https://www.instagram.com/p/CSKzJP7rLQM/" TargetMode="External"/><Relationship Id="rId13" Type="http://schemas.openxmlformats.org/officeDocument/2006/relationships/hyperlink" Target="http://bcn.cl/2f9hw" TargetMode="External"/><Relationship Id="rId109" Type="http://schemas.openxmlformats.org/officeDocument/2006/relationships/hyperlink" Target="https://www.senadis.gob.cl/sala_prensa/d/noticias/8375/senadis-y-mesa-intersectorial-presentan-recomendaciones-y-buenas-practicas-en-salud-mental" TargetMode="External"/><Relationship Id="rId260" Type="http://schemas.openxmlformats.org/officeDocument/2006/relationships/hyperlink" Target="https://www.paisdi.cl/" TargetMode="External"/><Relationship Id="rId281" Type="http://schemas.openxmlformats.org/officeDocument/2006/relationships/hyperlink" Target="https://www.instagram.com/p/CXg7lgNNelP/" TargetMode="External"/><Relationship Id="rId34" Type="http://schemas.openxmlformats.org/officeDocument/2006/relationships/hyperlink" Target="https://academia.senadis.cl/?utm_source=serviciocivil&amp;utm_medium=tarjeta&amp;utm_campaign=campus" TargetMode="External"/><Relationship Id="rId55" Type="http://schemas.openxmlformats.org/officeDocument/2006/relationships/hyperlink" Target="https://www.senadis.gob.cl/sala_prensa/d/noticias/8133" TargetMode="External"/><Relationship Id="rId76" Type="http://schemas.openxmlformats.org/officeDocument/2006/relationships/hyperlink" Target="https://www.paho.org/es/noticias/6-12-2018-inclusion-para-gestion-riesgo-desastres-hospitales-ingrid-h" TargetMode="External"/><Relationship Id="rId97" Type="http://schemas.openxmlformats.org/officeDocument/2006/relationships/hyperlink" Target="https://www.senadis.gob.cl/pag/594/1910/continuidad_de_recursos_transito_a_la_vida_independiente_tvi_2019_segundo_semestre_2020_cerrado" TargetMode="External"/><Relationship Id="rId120" Type="http://schemas.openxmlformats.org/officeDocument/2006/relationships/hyperlink" Target="http://bcn.cl/2fwvz" TargetMode="External"/><Relationship Id="rId141" Type="http://schemas.openxmlformats.org/officeDocument/2006/relationships/hyperlink" Target="https://www.ucentral.cl/noticias/fac-derecho-y-humanidades/proyecto-vcm-discapacidad-en-la-carcel-reconociendo-derechos-para-la" TargetMode="External"/><Relationship Id="rId7" Type="http://schemas.openxmlformats.org/officeDocument/2006/relationships/hyperlink" Target="https://compin.cerofilas.gob.cl/" TargetMode="External"/><Relationship Id="rId162" Type="http://schemas.openxmlformats.org/officeDocument/2006/relationships/hyperlink" Target="https://ordenesgenerales.investigaciones.cl/Archivo/Descarga/?file=7A3C8B3639FE6D2F62020269C421582E4F10B2F9" TargetMode="External"/><Relationship Id="rId183" Type="http://schemas.openxmlformats.org/officeDocument/2006/relationships/hyperlink" Target="https://biblioteca.digital.gob.cl/bitstream/handle/123456789/3569/GUIA%20DE%20SOLUCIONES%20ACCESIBLES%20PARA%20ESPACIOS%20PUBLICOS%20Y%20VIVIENDAS%20PARA%20PERSONAS%20CON%20DISCAPACIDAD.pdf?sequence=1&amp;isAllowed=y" TargetMode="External"/><Relationship Id="rId218" Type="http://schemas.openxmlformats.org/officeDocument/2006/relationships/hyperlink" Target="http://bcn.cl/2s8hu" TargetMode="External"/><Relationship Id="rId239" Type="http://schemas.openxmlformats.org/officeDocument/2006/relationships/hyperlink" Target="http://bcn.cl/2maxp" TargetMode="External"/><Relationship Id="rId250" Type="http://schemas.openxmlformats.org/officeDocument/2006/relationships/hyperlink" Target="https://www.senadis.gob.cl/sala_prensa/d/noticias/8772/ministra-vega-lanza-programa-para-financiar-servicios-de-apoyo-y-adaptaciones-para-personas-con-discapacidad" TargetMode="External"/><Relationship Id="rId271" Type="http://schemas.openxmlformats.org/officeDocument/2006/relationships/hyperlink" Target="https://www.instagram.com/p/CQEaOz6pMCA/" TargetMode="External"/><Relationship Id="rId292" Type="http://schemas.openxmlformats.org/officeDocument/2006/relationships/hyperlink" Target="http://bcn.cl/2u07b" TargetMode="External"/><Relationship Id="rId306" Type="http://schemas.openxmlformats.org/officeDocument/2006/relationships/hyperlink" Target="https://www.senadis.gob.cl/descarga/i/6396/documento" TargetMode="External"/><Relationship Id="rId24" Type="http://schemas.openxmlformats.org/officeDocument/2006/relationships/hyperlink" Target="http://bcn.cl/2j5hn" TargetMode="External"/><Relationship Id="rId40" Type="http://schemas.openxmlformats.org/officeDocument/2006/relationships/hyperlink" Target="https://www.senadis.gob.cl/pag/509/1798/campana_buen_trato_de_ninas_ninos_y_adolescentes_con_discapacidad_en_el_mundo" TargetMode="External"/><Relationship Id="rId45" Type="http://schemas.openxmlformats.org/officeDocument/2006/relationships/hyperlink" Target="https://www.senadis.gob.cl/pag/194/1427/descripcion" TargetMode="External"/><Relationship Id="rId66" Type="http://schemas.openxmlformats.org/officeDocument/2006/relationships/hyperlink" Target="https://www.camara.cl/legislacion/ProyectosDeLey/tramitacion.aspx?prmID=14,531&amp;amp;prmBOLETIN=13,965-35" TargetMode="External"/><Relationship Id="rId87" Type="http://schemas.openxmlformats.org/officeDocument/2006/relationships/hyperlink" Target="https://youtu.be/9uVuW_O9eD4" TargetMode="External"/><Relationship Id="rId110" Type="http://schemas.openxmlformats.org/officeDocument/2006/relationships/hyperlink" Target="https://www.senadis.gob.cl/sala_prensa/d/noticias/8338/senadis-y-mesa-intersectorial-de-discapacidad-y-covid-19-desarrollan-webinar-sobre-salud-mental-y-residencias-para-personas-con-discapacidad" TargetMode="External"/><Relationship Id="rId115" Type="http://schemas.openxmlformats.org/officeDocument/2006/relationships/hyperlink" Target="https://saludresponde.minsal.cl/" TargetMode="External"/><Relationship Id="rId131" Type="http://schemas.openxmlformats.org/officeDocument/2006/relationships/hyperlink" Target="http://bcn.cl/2p863" TargetMode="External"/><Relationship Id="rId136" Type="http://schemas.openxmlformats.org/officeDocument/2006/relationships/hyperlink" Target="https://www.youtube.com/playlist?list=PLiM1Z2DRIWDMZTTs4Y4NLEYRk3wQIEvqq" TargetMode="External"/><Relationship Id="rId157" Type="http://schemas.openxmlformats.org/officeDocument/2006/relationships/hyperlink" Target="http://bcn.cl/33x2a" TargetMode="External"/><Relationship Id="rId178" Type="http://schemas.openxmlformats.org/officeDocument/2006/relationships/hyperlink" Target="https://estadisticas.ssosorno.cl/mortalidad_natalidad/archivos/Norma-160-registro-CAPNV.pdf" TargetMode="External"/><Relationship Id="rId301" Type="http://schemas.openxmlformats.org/officeDocument/2006/relationships/hyperlink" Target="https://youtu.be/9Be-17SVozo" TargetMode="External"/><Relationship Id="rId61" Type="http://schemas.openxmlformats.org/officeDocument/2006/relationships/hyperlink" Target="http://bcn.cl/2irkh" TargetMode="External"/><Relationship Id="rId82" Type="http://schemas.openxmlformats.org/officeDocument/2006/relationships/hyperlink" Target="https://www.senadis.gob.cl/descarga/i/3434/documento" TargetMode="External"/><Relationship Id="rId152" Type="http://schemas.openxmlformats.org/officeDocument/2006/relationships/hyperlink" Target="https://www.senado.cl/appsenado/templates/tramitacion/index.php?boletin_ini=12213-07" TargetMode="External"/><Relationship Id="rId173" Type="http://schemas.openxmlformats.org/officeDocument/2006/relationships/hyperlink" Target="https://www.senadis.gob.cl/descarga/i/5219" TargetMode="External"/><Relationship Id="rId194" Type="http://schemas.openxmlformats.org/officeDocument/2006/relationships/hyperlink" Target="https://youtu.be/xsk8VS5EsR4" TargetMode="External"/><Relationship Id="rId199" Type="http://schemas.openxmlformats.org/officeDocument/2006/relationships/hyperlink" Target="https://youtu.be/8G-qSdZTCXA" TargetMode="External"/><Relationship Id="rId203" Type="http://schemas.openxmlformats.org/officeDocument/2006/relationships/hyperlink" Target="https://www.senado.cl/appsenado/templates/tramitacion/index.php?boletin_ini=9119-18" TargetMode="External"/><Relationship Id="rId208" Type="http://schemas.openxmlformats.org/officeDocument/2006/relationships/hyperlink" Target="https://www.sernameg.gob.cl/?page_id=26830" TargetMode="External"/><Relationship Id="rId229" Type="http://schemas.openxmlformats.org/officeDocument/2006/relationships/hyperlink" Target="https://programassociales.ministeriodesarrollosocial.gob.cl/pdf/2022/PRG2022_3_60312.pdf" TargetMode="External"/><Relationship Id="rId19" Type="http://schemas.openxmlformats.org/officeDocument/2006/relationships/hyperlink" Target="https://www.mintrab.gob.cl/wp-content/uploads/2021/06/INFORME-LEY-N-21.015-PDF.pdf" TargetMode="External"/><Relationship Id="rId224" Type="http://schemas.openxmlformats.org/officeDocument/2006/relationships/hyperlink" Target="http://bcn.cl/2zg0t" TargetMode="External"/><Relationship Id="rId240" Type="http://schemas.openxmlformats.org/officeDocument/2006/relationships/hyperlink" Target="https://www.senadis.gob.cl/pag/647/1575/programa_transito_a_la_vida_independiente_2022" TargetMode="External"/><Relationship Id="rId245" Type="http://schemas.openxmlformats.org/officeDocument/2006/relationships/hyperlink" Target="https://www.senadis.gob.cl/sala_prensa/d/noticias/7641" TargetMode="External"/><Relationship Id="rId261" Type="http://schemas.openxmlformats.org/officeDocument/2006/relationships/hyperlink" Target="https://www.senadis.gob.cl/sala_prensa/d/noticias/8514" TargetMode="External"/><Relationship Id="rId266" Type="http://schemas.openxmlformats.org/officeDocument/2006/relationships/hyperlink" Target="https://www.instagram.com/p/CO1DypgnqyA/" TargetMode="External"/><Relationship Id="rId287" Type="http://schemas.openxmlformats.org/officeDocument/2006/relationships/hyperlink" Target="https://sigi-s3.s3.amazonaws.com/sigi/files/20606_resumen_ejecutivo_ii_estudio_nacional_de_h_bitos_de_actividad_f_sica_y_deporte_en_poblaci_n_con_discapacidad_.pdf" TargetMode="External"/><Relationship Id="rId14" Type="http://schemas.openxmlformats.org/officeDocument/2006/relationships/hyperlink" Target="https://www.bcn.cl/leychile/consulta/vinculaciones/reglamento?idNorma=1103997&amp;fechaVigencia=2018-04-01&amp;clase_vinculacion=REGLAMENTO" TargetMode="External"/><Relationship Id="rId30" Type="http://schemas.openxmlformats.org/officeDocument/2006/relationships/hyperlink" Target="https://www.senadis.gob.cl/descarga/i/6034/documento" TargetMode="External"/><Relationship Id="rId35" Type="http://schemas.openxmlformats.org/officeDocument/2006/relationships/hyperlink" Target="https://masinclusion.org/" TargetMode="External"/><Relationship Id="rId56" Type="http://schemas.openxmlformats.org/officeDocument/2006/relationships/hyperlink" Target="https://www.senadis.gob.cl/sala_prensa/d/noticias/8146" TargetMode="External"/><Relationship Id="rId77" Type="http://schemas.openxmlformats.org/officeDocument/2006/relationships/hyperlink" Target="https://www.rln.cl/regional/56545-hrc-es-el-primer-recinto-de-salud-fuera-de-la-region-metropolitana-sumado-a-plan-de-inclusion-para-la-gestion-de-riesgo-de-desastres-en-hospitales" TargetMode="External"/><Relationship Id="rId100" Type="http://schemas.openxmlformats.org/officeDocument/2006/relationships/hyperlink" Target="https://www.nefro.cl/covid/img/noticias/RECOMENDACIONES_PARA_LOS_CEA_COVID-19.pdf" TargetMode="External"/><Relationship Id="rId105" Type="http://schemas.openxmlformats.org/officeDocument/2006/relationships/hyperlink" Target="https://www.minsal.cl/nuevo-coronavirus-2019-ncov/material-de-descarga/" TargetMode="External"/><Relationship Id="rId126" Type="http://schemas.openxmlformats.org/officeDocument/2006/relationships/hyperlink" Target="https://www.senado.cl/appsenado/templates/tramitacion/index.php?boletin_ini=12612-07" TargetMode="External"/><Relationship Id="rId147" Type="http://schemas.openxmlformats.org/officeDocument/2006/relationships/hyperlink" Target="http://bcn.cl/2irkh" TargetMode="External"/><Relationship Id="rId168" Type="http://schemas.openxmlformats.org/officeDocument/2006/relationships/hyperlink" Target="http://bcn.cl/2pe6i" TargetMode="External"/><Relationship Id="rId282" Type="http://schemas.openxmlformats.org/officeDocument/2006/relationships/hyperlink" Target="https://www.senadis.gob.cl/sala_prensa/d/noticias/8535" TargetMode="External"/><Relationship Id="rId312" Type="http://schemas.openxmlformats.org/officeDocument/2006/relationships/hyperlink" Target="https://www.mercadopublico.cl/Procurement/Modules/RFB/DetailsAcquisition.aspx?qs=37aEMrv7C1KA5ihn6nAMGQ==" TargetMode="External"/><Relationship Id="rId8" Type="http://schemas.openxmlformats.org/officeDocument/2006/relationships/hyperlink" Target="https://www.senadis.gob.cl/pag/579/1901/diagnostico_del_plan_nacional_de_calificacion_y_certificacion" TargetMode="External"/><Relationship Id="rId51" Type="http://schemas.openxmlformats.org/officeDocument/2006/relationships/hyperlink" Target="https://www.chilequequeremos.cl" TargetMode="External"/><Relationship Id="rId72" Type="http://schemas.openxmlformats.org/officeDocument/2006/relationships/hyperlink" Target="https://degreyd.minsal.cl/hospitales-se-preparan-para-que-personas-con-dicapacidad-enfrenten-emergencias-y-desastres/" TargetMode="External"/><Relationship Id="rId93" Type="http://schemas.openxmlformats.org/officeDocument/2006/relationships/hyperlink" Target="https://www.senadis.gob.cl/pag/588/1880/linea_800_conectados_al_cuidar" TargetMode="External"/><Relationship Id="rId98" Type="http://schemas.openxmlformats.org/officeDocument/2006/relationships/hyperlink" Target="https://www.senadis.gob.cl/pag/581/1909/programa_de_apoyo_estudiantes_con_discapacidad_en_instituciones_de_educacion_superior_2020_cerrado" TargetMode="External"/><Relationship Id="rId121" Type="http://schemas.openxmlformats.org/officeDocument/2006/relationships/hyperlink" Target="https://www.chileatiende.gob.cl/fichas/94077-ingreso-familiar-de-emergencia-ife-universal" TargetMode="External"/><Relationship Id="rId142" Type="http://schemas.openxmlformats.org/officeDocument/2006/relationships/hyperlink" Target="https://academiajudicial.cl/" TargetMode="External"/><Relationship Id="rId163" Type="http://schemas.openxmlformats.org/officeDocument/2006/relationships/hyperlink" Target="http://bcn.cl/2nfgq" TargetMode="External"/><Relationship Id="rId184" Type="http://schemas.openxmlformats.org/officeDocument/2006/relationships/hyperlink" Target="http://bcn.cl/2p863" TargetMode="External"/><Relationship Id="rId189" Type="http://schemas.openxmlformats.org/officeDocument/2006/relationships/hyperlink" Target="https://certificacion.chilevalora.cl/ChileValora-publica/perfilesEdit.html?paramRequest=1614&amp;bsearch=&amp;bsector=-1&amp;bsubsector=-1&amp;barea=-1&amp;bcentro=-1&amp;bperfil=-1&amp;resultados_length=10" TargetMode="External"/><Relationship Id="rId219" Type="http://schemas.openxmlformats.org/officeDocument/2006/relationships/hyperlink" Target="https://academia.senadis.cl/" TargetMode="External"/><Relationship Id="rId3" Type="http://schemas.openxmlformats.org/officeDocument/2006/relationships/hyperlink" Target="https://senadis.gob.cl/sala_prensa/d/noticias/8850/senadis-desarrolla-encuentros-sobre-reporte-del-estado-de-chile-ante-el-comite-sobre-lo-derechos-de-las-personas-con-discapacidad-con-cosoc-regionales" TargetMode="External"/><Relationship Id="rId214" Type="http://schemas.openxmlformats.org/officeDocument/2006/relationships/hyperlink" Target="https://especial.mineduc.cl/recursos-apoyo-al-aprendizaje/recursos-las-los-docentes/progresiones-de-aprendizaje-en-espiral-y-orientaciones-para-su-implementacion/" TargetMode="External"/><Relationship Id="rId230" Type="http://schemas.openxmlformats.org/officeDocument/2006/relationships/hyperlink" Target="https://s3.amazonaws.com/cdn.boricpresidente.cl/web/programa/Plan+de+gobierno+AD+2022-2026+(2).pdf" TargetMode="External"/><Relationship Id="rId235" Type="http://schemas.openxmlformats.org/officeDocument/2006/relationships/hyperlink" Target="https://sofofa.cl/centros-sofofa/centro-discapacidad/cil/" TargetMode="External"/><Relationship Id="rId251" Type="http://schemas.openxmlformats.org/officeDocument/2006/relationships/hyperlink" Target="https://www.instagram.com/p/Cel1-jktyX9/" TargetMode="External"/><Relationship Id="rId256" Type="http://schemas.openxmlformats.org/officeDocument/2006/relationships/hyperlink" Target="https://www.senado.cl/appsenado/templates/tramitacion/index.php?boletin_ini=12816-07" TargetMode="External"/><Relationship Id="rId277" Type="http://schemas.openxmlformats.org/officeDocument/2006/relationships/hyperlink" Target="https://www.instagram.com/p/CWbK9Xitx45/" TargetMode="External"/><Relationship Id="rId298" Type="http://schemas.openxmlformats.org/officeDocument/2006/relationships/hyperlink" Target="https://www.senadis.gob.cl/pag/355/1197/ii_estudio_nacional_de_discapacidad" TargetMode="External"/><Relationship Id="rId25" Type="http://schemas.openxmlformats.org/officeDocument/2006/relationships/hyperlink" Target="http://bcn.cl/3129i" TargetMode="External"/><Relationship Id="rId46" Type="http://schemas.openxmlformats.org/officeDocument/2006/relationships/hyperlink" Target="https://www.senadis.gob.cl/pag/603/1903/convocatoria_2021_consejos_regionales_de_la_sociedad_civil" TargetMode="External"/><Relationship Id="rId67" Type="http://schemas.openxmlformats.org/officeDocument/2006/relationships/hyperlink" Target="https://www.senado.cl/appsenado/templates/tramitacion/index.php?boletin_ini=14218-35" TargetMode="External"/><Relationship Id="rId116" Type="http://schemas.openxmlformats.org/officeDocument/2006/relationships/hyperlink" Target="https://saludresponde.minsal.cl/" TargetMode="External"/><Relationship Id="rId137" Type="http://schemas.openxmlformats.org/officeDocument/2006/relationships/hyperlink" Target="https://www.youtube.com/c/pjudicialchile/featured" TargetMode="External"/><Relationship Id="rId158" Type="http://schemas.openxmlformats.org/officeDocument/2006/relationships/hyperlink" Target="https://www.minsal.cl/wp-content/uploads/2017/12/PDF-PLAN-NACIONAL-SALUD-MENTAL-2017-A-2025.-7-dic-2017.pdf" TargetMode="External"/><Relationship Id="rId272" Type="http://schemas.openxmlformats.org/officeDocument/2006/relationships/hyperlink" Target="https://www.senadis.gob.cl/sala_prensa/d/noticias/8560" TargetMode="External"/><Relationship Id="rId293" Type="http://schemas.openxmlformats.org/officeDocument/2006/relationships/hyperlink" Target="http://bcn.cl/2yieq" TargetMode="External"/><Relationship Id="rId302" Type="http://schemas.openxmlformats.org/officeDocument/2006/relationships/hyperlink" Target="https://youtu.be/NB5hrPulyzk" TargetMode="External"/><Relationship Id="rId307" Type="http://schemas.openxmlformats.org/officeDocument/2006/relationships/hyperlink" Target="https://www.senadis.gob.cl/descarga/i/5609/documento" TargetMode="External"/><Relationship Id="rId20" Type="http://schemas.openxmlformats.org/officeDocument/2006/relationships/hyperlink" Target="https://masinclusion.org/" TargetMode="External"/><Relationship Id="rId41" Type="http://schemas.openxmlformats.org/officeDocument/2006/relationships/hyperlink" Target="https://observatorio.msgg.gob.cl/las-palabras-correctas-hacen-la-diferencia/" TargetMode="External"/><Relationship Id="rId62" Type="http://schemas.openxmlformats.org/officeDocument/2006/relationships/hyperlink" Target="http://bcn.cl/2nbtt" TargetMode="External"/><Relationship Id="rId83" Type="http://schemas.openxmlformats.org/officeDocument/2006/relationships/hyperlink" Target="https://www.onemi.gov.cl/preparacion-inclusiva/" TargetMode="External"/><Relationship Id="rId88" Type="http://schemas.openxmlformats.org/officeDocument/2006/relationships/hyperlink" Target="https://www.previsionsocial.gob.cl/sps/download/Guia-de-Implementacon-del-PRRD-en-los-centros-de-trabajo.pdf" TargetMode="External"/><Relationship Id="rId111" Type="http://schemas.openxmlformats.org/officeDocument/2006/relationships/hyperlink" Target="https://degreyd.minsal.cl/salud-mental-y-apoyo-psicosocial-durante-covid19/" TargetMode="External"/><Relationship Id="rId132" Type="http://schemas.openxmlformats.org/officeDocument/2006/relationships/hyperlink" Target="http://bcn.cl/2p863" TargetMode="External"/><Relationship Id="rId153" Type="http://schemas.openxmlformats.org/officeDocument/2006/relationships/hyperlink" Target="http://bcn.cl/2p863" TargetMode="External"/><Relationship Id="rId174" Type="http://schemas.openxmlformats.org/officeDocument/2006/relationships/hyperlink" Target="https://www.senadis.gob.cl/sala_prensa/d/noticias/7364" TargetMode="External"/><Relationship Id="rId179" Type="http://schemas.openxmlformats.org/officeDocument/2006/relationships/hyperlink" Target="https://degi.saludoriente.cl/degidssmo/documentos/normas/NORMA_820.pdf" TargetMode="External"/><Relationship Id="rId195" Type="http://schemas.openxmlformats.org/officeDocument/2006/relationships/hyperlink" Target="https://youtu.be/dB426_YoxhE" TargetMode="External"/><Relationship Id="rId209" Type="http://schemas.openxmlformats.org/officeDocument/2006/relationships/hyperlink" Target="https://especial.mineduc.cl/recursos-apoyo-al-aprendizaje/recursos-audiovisuales-para-la-diversificacion-de-la-ensenanza/capsulas/" TargetMode="External"/><Relationship Id="rId190" Type="http://schemas.openxmlformats.org/officeDocument/2006/relationships/hyperlink" Target="https://sistemas.sence.cl/sipfor/Planes/PDFPlan.aspx?id=3280" TargetMode="External"/><Relationship Id="rId204" Type="http://schemas.openxmlformats.org/officeDocument/2006/relationships/hyperlink" Target="https://www.senadis.gob.cl/sala_prensa/d/noticias/8572/programa-mujer-sexualidad-y-maternidad-de-sernameg-abre-inscripciones-a-sus-talleres" TargetMode="External"/><Relationship Id="rId220" Type="http://schemas.openxmlformats.org/officeDocument/2006/relationships/hyperlink" Target="https://academia.senadis.cl/" TargetMode="External"/><Relationship Id="rId225" Type="http://schemas.openxmlformats.org/officeDocument/2006/relationships/hyperlink" Target="http://bcn.cl/2p863" TargetMode="External"/><Relationship Id="rId241" Type="http://schemas.openxmlformats.org/officeDocument/2006/relationships/hyperlink" Target="https://www.senadis.gob.cl/pag/311/1795/convocatoria_programa_transito_a_la_vida_independiente_2016" TargetMode="External"/><Relationship Id="rId246" Type="http://schemas.openxmlformats.org/officeDocument/2006/relationships/hyperlink" Target="https://www.senadis.gob.cl/pag/594/1910/continuidad_de_recursos_transito_a_la_vida_independiente_tvi_2019_segundo_semestre_2020_cerrado" TargetMode="External"/><Relationship Id="rId267" Type="http://schemas.openxmlformats.org/officeDocument/2006/relationships/hyperlink" Target="https://www.instagram.com/p/CO3wZXRh-tu/" TargetMode="External"/><Relationship Id="rId288" Type="http://schemas.openxmlformats.org/officeDocument/2006/relationships/hyperlink" Target="http://bcn.cl/30el9" TargetMode="External"/><Relationship Id="rId15" Type="http://schemas.openxmlformats.org/officeDocument/2006/relationships/hyperlink" Target="https://www.senadis.gob.cl/pag/459/1740/consulta_ciudadana_ano_2017_proceso_cerrado" TargetMode="External"/><Relationship Id="rId36" Type="http://schemas.openxmlformats.org/officeDocument/2006/relationships/hyperlink" Target="https://masinclusion.org/" TargetMode="External"/><Relationship Id="rId57" Type="http://schemas.openxmlformats.org/officeDocument/2006/relationships/hyperlink" Target="https://www.senadis.gob.cl/descarga/i/4722/documento" TargetMode="External"/><Relationship Id="rId106" Type="http://schemas.openxmlformats.org/officeDocument/2006/relationships/hyperlink" Target="https://www.minsal.cl/wp-content/uploads/2021/03/GRUPOS-OBJETIVOS-3-marzo-2021.pdf" TargetMode="External"/><Relationship Id="rId127" Type="http://schemas.openxmlformats.org/officeDocument/2006/relationships/hyperlink" Target="https://www.senado.cl/appsenado/templates/tramitacion/index.php?boletin_ini=11240-31" TargetMode="External"/><Relationship Id="rId262" Type="http://schemas.openxmlformats.org/officeDocument/2006/relationships/hyperlink" Target="https://www.senadis.gob.cl/sala_prensa/d/noticias/8515" TargetMode="External"/><Relationship Id="rId283" Type="http://schemas.openxmlformats.org/officeDocument/2006/relationships/hyperlink" Target="https://www.instagram.com/p/CQEaOz6pMCA/" TargetMode="External"/><Relationship Id="rId10" Type="http://schemas.openxmlformats.org/officeDocument/2006/relationships/hyperlink" Target="http://bcn.cl/2irkh" TargetMode="External"/><Relationship Id="rId31" Type="http://schemas.openxmlformats.org/officeDocument/2006/relationships/hyperlink" Target="https://www.senado.cl/appsenado/templates/tramitacion/index.php?boletin_ini=11077-07" TargetMode="External"/><Relationship Id="rId52" Type="http://schemas.openxmlformats.org/officeDocument/2006/relationships/hyperlink" Target="https://www.senadis.gob.cl/sala_prensa/d/noticias/8147" TargetMode="External"/><Relationship Id="rId73" Type="http://schemas.openxmlformats.org/officeDocument/2006/relationships/hyperlink" Target="https://degreyd.minsal.cl/hospital-de-coyhaique-inicio-trabajo-para-incluir-a-personas-con-discapacidad-en-planes-de-emergencias/" TargetMode="External"/><Relationship Id="rId78" Type="http://schemas.openxmlformats.org/officeDocument/2006/relationships/hyperlink" Target="https://twitter.com/degreyd_minsal" TargetMode="External"/><Relationship Id="rId94" Type="http://schemas.openxmlformats.org/officeDocument/2006/relationships/hyperlink" Target="https://www.youtube.com/watch?v=V5DHxEHdESw" TargetMode="External"/><Relationship Id="rId99" Type="http://schemas.openxmlformats.org/officeDocument/2006/relationships/hyperlink" Target="https://cdn.digital.gob.cl/filer_public/69/21/6921ca49-4c6e-40bb-8f25-204d7b5e8747/protocolo_recomendaciones_a_residencias__para_pcd_coronavirus__1.pdf" TargetMode="External"/><Relationship Id="rId101" Type="http://schemas.openxmlformats.org/officeDocument/2006/relationships/hyperlink" Target="https://www.minsal.cl/wp-content/uploads/2020/07/ConsideracionesPersonasconDiscapacidad130720.pdf" TargetMode="External"/><Relationship Id="rId122" Type="http://schemas.openxmlformats.org/officeDocument/2006/relationships/hyperlink" Target="http://www.registrosocial.gob.cl/" TargetMode="External"/><Relationship Id="rId143" Type="http://schemas.openxmlformats.org/officeDocument/2006/relationships/hyperlink" Target="https://academiajudicial.cl/" TargetMode="External"/><Relationship Id="rId148" Type="http://schemas.openxmlformats.org/officeDocument/2006/relationships/hyperlink" Target="http://bcn.cl/33we7" TargetMode="External"/><Relationship Id="rId164" Type="http://schemas.openxmlformats.org/officeDocument/2006/relationships/hyperlink" Target="https://www.sernameg.gob.cl/?p=34095" TargetMode="External"/><Relationship Id="rId169" Type="http://schemas.openxmlformats.org/officeDocument/2006/relationships/hyperlink" Target="http://bcn.cl/2p863" TargetMode="External"/><Relationship Id="rId185" Type="http://schemas.openxmlformats.org/officeDocument/2006/relationships/hyperlink" Target="http://bcn.cl/2yieq" TargetMode="External"/><Relationship Id="rId4" Type="http://schemas.openxmlformats.org/officeDocument/2006/relationships/hyperlink" Target="https://www.diariooficial.interior.gob.cl/publicaciones/2020/08/25/42739/01/1804456.pdf" TargetMode="External"/><Relationship Id="rId9" Type="http://schemas.openxmlformats.org/officeDocument/2006/relationships/hyperlink" Target="https://milicenciamedica.cl/assets/pdf/MANUAL_CALIFICACION_Y_CERTIFICACION_DISCAPACIDAD_2022.pdf" TargetMode="External"/><Relationship Id="rId180" Type="http://schemas.openxmlformats.org/officeDocument/2006/relationships/hyperlink" Target="https://www.senadis.gob.cl/sala_prensa/d/noticias/8171" TargetMode="External"/><Relationship Id="rId210" Type="http://schemas.openxmlformats.org/officeDocument/2006/relationships/hyperlink" Target="https://especial.mineduc.cl/recursos-apoyo-al-aprendizaje/recursos-audiovisuales-para-la-diversificacion-de-la-ensenanza/capsulas/" TargetMode="External"/><Relationship Id="rId215" Type="http://schemas.openxmlformats.org/officeDocument/2006/relationships/hyperlink" Target="http://bcn.cl/2f7b6" TargetMode="External"/><Relationship Id="rId236" Type="http://schemas.openxmlformats.org/officeDocument/2006/relationships/hyperlink" Target="https://www.dt.gob.cl/legislacion/1624/w3-article-119460.html" TargetMode="External"/><Relationship Id="rId257" Type="http://schemas.openxmlformats.org/officeDocument/2006/relationships/hyperlink" Target="http://bcn.cl/2f6ur" TargetMode="External"/><Relationship Id="rId278" Type="http://schemas.openxmlformats.org/officeDocument/2006/relationships/hyperlink" Target="https://www.instagram.com/p/CWeMOiijxbO/" TargetMode="External"/><Relationship Id="rId26" Type="http://schemas.openxmlformats.org/officeDocument/2006/relationships/hyperlink" Target="http://bcn.cl/32rls" TargetMode="External"/><Relationship Id="rId231" Type="http://schemas.openxmlformats.org/officeDocument/2006/relationships/hyperlink" Target="https://www.mintrab.gob.cl/wp-content/uploads/2021/06/INFORME-LEY-N-21.015-PDF.pdf" TargetMode="External"/><Relationship Id="rId252" Type="http://schemas.openxmlformats.org/officeDocument/2006/relationships/hyperlink" Target="https://datasocial.ministeriodesarrollosocial.gob.cl/programas/dashboard" TargetMode="External"/><Relationship Id="rId273" Type="http://schemas.openxmlformats.org/officeDocument/2006/relationships/hyperlink" Target="https://www.instagram.com/p/CRUtm0AFA_6/" TargetMode="External"/><Relationship Id="rId294" Type="http://schemas.openxmlformats.org/officeDocument/2006/relationships/hyperlink" Target="http://bcn.cl/2v1ja" TargetMode="External"/><Relationship Id="rId308" Type="http://schemas.openxmlformats.org/officeDocument/2006/relationships/hyperlink" Target="https://www.senadis.gob.cl/descarga/i/6045/documento" TargetMode="External"/><Relationship Id="rId47" Type="http://schemas.openxmlformats.org/officeDocument/2006/relationships/hyperlink" Target="https://www.senadis.gob.cl/pag/348/1612/avisos_publicados" TargetMode="External"/><Relationship Id="rId68" Type="http://schemas.openxmlformats.org/officeDocument/2006/relationships/hyperlink" Target="https://www.leychile.cl/Navegar?idNorma=1078308" TargetMode="External"/><Relationship Id="rId89" Type="http://schemas.openxmlformats.org/officeDocument/2006/relationships/hyperlink" Target="http://bcn.cl/2o14m" TargetMode="External"/><Relationship Id="rId112" Type="http://schemas.openxmlformats.org/officeDocument/2006/relationships/hyperlink" Target="https://degreyd.minsal.cl/salud-mental-y-apoyo-psicosocial-durante-covid19/" TargetMode="External"/><Relationship Id="rId133" Type="http://schemas.openxmlformats.org/officeDocument/2006/relationships/hyperlink" Target="https://www.pjud.cl/" TargetMode="External"/><Relationship Id="rId154" Type="http://schemas.openxmlformats.org/officeDocument/2006/relationships/hyperlink" Target="https://bcn.cl/2fbiv" TargetMode="External"/><Relationship Id="rId175" Type="http://schemas.openxmlformats.org/officeDocument/2006/relationships/hyperlink" Target="https://bcn.cl/34k6a" TargetMode="External"/><Relationship Id="rId196" Type="http://schemas.openxmlformats.org/officeDocument/2006/relationships/hyperlink" Target="https://youtu.be/TUt3CrW_R-4" TargetMode="External"/><Relationship Id="rId200" Type="http://schemas.openxmlformats.org/officeDocument/2006/relationships/hyperlink" Target="https://youtu.be/WnlxzpoY3fY" TargetMode="External"/><Relationship Id="rId16" Type="http://schemas.openxmlformats.org/officeDocument/2006/relationships/hyperlink" Target="https://www.senadis.gob.cl/sala_prensa/d/noticias/6885" TargetMode="External"/><Relationship Id="rId221" Type="http://schemas.openxmlformats.org/officeDocument/2006/relationships/hyperlink" Target="https://www.senadis.gob.cl/descarga/i/5609/documento" TargetMode="External"/><Relationship Id="rId242" Type="http://schemas.openxmlformats.org/officeDocument/2006/relationships/hyperlink" Target="https://www.senadis.gob.cl/sala_prensa/d/noticias/7624" TargetMode="External"/><Relationship Id="rId263" Type="http://schemas.openxmlformats.org/officeDocument/2006/relationships/hyperlink" Target="https://www.instagram.com/p/COx8dienITA/" TargetMode="External"/><Relationship Id="rId284" Type="http://schemas.openxmlformats.org/officeDocument/2006/relationships/hyperlink" Target="https://www.instagram.com/p/CQEaOz6pMCA/" TargetMode="External"/><Relationship Id="rId37" Type="http://schemas.openxmlformats.org/officeDocument/2006/relationships/hyperlink" Target="https://incluyendo.senadis.cl/" TargetMode="External"/><Relationship Id="rId58" Type="http://schemas.openxmlformats.org/officeDocument/2006/relationships/hyperlink" Target="https://bcn.cl/2to97" TargetMode="External"/><Relationship Id="rId79" Type="http://schemas.openxmlformats.org/officeDocument/2006/relationships/hyperlink" Target="https://degreyd.minsal.cl/" TargetMode="External"/><Relationship Id="rId102" Type="http://schemas.openxmlformats.org/officeDocument/2006/relationships/hyperlink" Target="https://diprece.minsal.cl/wp-content/uploads/2020/10/ESTRATEGIA-DE-RESIDENCIAS-SANITARIAS_RECOMENDACIONES-PARA-EL-INGRESO-SEGUIMIENTO-Y-EGRESO-DE-PERSONAS-CON-DISCAPACIDAD.pdf" TargetMode="External"/><Relationship Id="rId123" Type="http://schemas.openxmlformats.org/officeDocument/2006/relationships/hyperlink" Target="https://www.registrosocial.gob.cl/" TargetMode="External"/><Relationship Id="rId144" Type="http://schemas.openxmlformats.org/officeDocument/2006/relationships/hyperlink" Target="https://academiajudicial.cl/wp-content/uploads/2021/11/4056-2022.docx.pdf" TargetMode="External"/><Relationship Id="rId90" Type="http://schemas.openxmlformats.org/officeDocument/2006/relationships/hyperlink" Target="http://bcn.cl/2qtdx" TargetMode="External"/><Relationship Id="rId165" Type="http://schemas.openxmlformats.org/officeDocument/2006/relationships/hyperlink" Target="https://www.senadis.gob.cl/pag/588/1880/linea_800_conectados_al_cuidar" TargetMode="External"/><Relationship Id="rId186" Type="http://schemas.openxmlformats.org/officeDocument/2006/relationships/hyperlink" Target="http://bcn.cl/2xglt" TargetMode="External"/><Relationship Id="rId211" Type="http://schemas.openxmlformats.org/officeDocument/2006/relationships/hyperlink" Target="http://bcn.cl/2f7b6" TargetMode="External"/><Relationship Id="rId232" Type="http://schemas.openxmlformats.org/officeDocument/2006/relationships/hyperlink" Target="https://www.senado.cl/appsenado/templates/tramitacion/index.php?boletin_ini=14445-13" TargetMode="External"/><Relationship Id="rId253" Type="http://schemas.openxmlformats.org/officeDocument/2006/relationships/hyperlink" Target="https://www.senadis.gob.cl/pag/588/1880/linea_800_conectados_al_cuidar" TargetMode="External"/><Relationship Id="rId274" Type="http://schemas.openxmlformats.org/officeDocument/2006/relationships/hyperlink" Target="https://www.instagram.com/p/CRXSECsgswq/" TargetMode="External"/><Relationship Id="rId295" Type="http://schemas.openxmlformats.org/officeDocument/2006/relationships/hyperlink" Target="https://www.gob.cl/pasoapaso/cifrasoficiales/" TargetMode="External"/><Relationship Id="rId309" Type="http://schemas.openxmlformats.org/officeDocument/2006/relationships/hyperlink" Target="https://www.senadis.gob.cl/pag/579/1868/diagnostico_del_plan_nacional_de_calificacion_y_certificacion" TargetMode="External"/><Relationship Id="rId27" Type="http://schemas.openxmlformats.org/officeDocument/2006/relationships/hyperlink" Target="http://bcn.cl/307il" TargetMode="External"/><Relationship Id="rId48" Type="http://schemas.openxmlformats.org/officeDocument/2006/relationships/hyperlink" Target="https://paisdi.senadis.cl/" TargetMode="External"/><Relationship Id="rId69" Type="http://schemas.openxmlformats.org/officeDocument/2006/relationships/hyperlink" Target="https://cms-dgd-prod.s3-us-west-2.amazonaws.com/uploads/pdf/Instructivo-N%C2%BA001-Transformacion-Digital-2019.pdf" TargetMode="External"/><Relationship Id="rId113" Type="http://schemas.openxmlformats.org/officeDocument/2006/relationships/hyperlink" Target="https://www.gob.cl/saludablemente/" TargetMode="External"/><Relationship Id="rId134" Type="http://schemas.openxmlformats.org/officeDocument/2006/relationships/hyperlink" Target="https://www.pjud.cl/" TargetMode="External"/><Relationship Id="rId80" Type="http://schemas.openxmlformats.org/officeDocument/2006/relationships/hyperlink" Target="https://www.senadis.gob.cl/descarga/i/4670/documento" TargetMode="External"/><Relationship Id="rId155" Type="http://schemas.openxmlformats.org/officeDocument/2006/relationships/hyperlink" Target="http://bcn.cl/33x29" TargetMode="External"/><Relationship Id="rId176" Type="http://schemas.openxmlformats.org/officeDocument/2006/relationships/hyperlink" Target="https://bcn.cl/34yyl" TargetMode="External"/><Relationship Id="rId197" Type="http://schemas.openxmlformats.org/officeDocument/2006/relationships/hyperlink" Target="https://youtu.be/2RmM42xwxgM" TargetMode="External"/><Relationship Id="rId201" Type="http://schemas.openxmlformats.org/officeDocument/2006/relationships/hyperlink" Target="https://www.senado.cl/appsenado/templates/tramitacion/index.php?boletin_ini=12441-17" TargetMode="External"/><Relationship Id="rId222" Type="http://schemas.openxmlformats.org/officeDocument/2006/relationships/hyperlink" Target="https://www.senadis.gob.cl/descarga/i/6045/documento" TargetMode="External"/><Relationship Id="rId243" Type="http://schemas.openxmlformats.org/officeDocument/2006/relationships/hyperlink" Target="https://www.senadis.gob.cl/sala_prensa/d/noticias/7630" TargetMode="External"/><Relationship Id="rId264" Type="http://schemas.openxmlformats.org/officeDocument/2006/relationships/hyperlink" Target="https://www.instagram.com/p/COx8dienITA/" TargetMode="External"/><Relationship Id="rId285" Type="http://schemas.openxmlformats.org/officeDocument/2006/relationships/hyperlink" Target="https://www.instagram.com/p/CRXSECsgswq/" TargetMode="External"/><Relationship Id="rId17" Type="http://schemas.openxmlformats.org/officeDocument/2006/relationships/hyperlink" Target="https://www.senadis.gob.cl/sala_prensa/d/noticias/6727" TargetMode="External"/><Relationship Id="rId38" Type="http://schemas.openxmlformats.org/officeDocument/2006/relationships/hyperlink" Target="https://incluyendo.senadis.cl/" TargetMode="External"/><Relationship Id="rId59" Type="http://schemas.openxmlformats.org/officeDocument/2006/relationships/hyperlink" Target="https://bcn.cl/33fh9" TargetMode="External"/><Relationship Id="rId103" Type="http://schemas.openxmlformats.org/officeDocument/2006/relationships/hyperlink" Target="https://www.minsal.cl/wp-content/uploads/2020/04/DS11.pdf" TargetMode="External"/><Relationship Id="rId124" Type="http://schemas.openxmlformats.org/officeDocument/2006/relationships/hyperlink" Target="https://bcn.cl/2wni1" TargetMode="External"/><Relationship Id="rId310" Type="http://schemas.openxmlformats.org/officeDocument/2006/relationships/hyperlink" Target="https://www.senadis.gob.cl/documentos/listado/146/accesibilidad" TargetMode="External"/><Relationship Id="rId70" Type="http://schemas.openxmlformats.org/officeDocument/2006/relationships/hyperlink" Target="https://play.google.com/store/apps/details?id=com.exefire.primeros_respondedores_app" TargetMode="External"/><Relationship Id="rId91" Type="http://schemas.openxmlformats.org/officeDocument/2006/relationships/hyperlink" Target="https://youtu.be/PcuIVlHznY0" TargetMode="External"/><Relationship Id="rId145" Type="http://schemas.openxmlformats.org/officeDocument/2006/relationships/hyperlink" Target="http://bcn.cl/2o7zd" TargetMode="External"/><Relationship Id="rId166" Type="http://schemas.openxmlformats.org/officeDocument/2006/relationships/hyperlink" Target="https://bcn.cl/2yieq" TargetMode="External"/><Relationship Id="rId187" Type="http://schemas.openxmlformats.org/officeDocument/2006/relationships/hyperlink" Target="http://bcn.cl/2qwqa" TargetMode="External"/><Relationship Id="rId1" Type="http://schemas.openxmlformats.org/officeDocument/2006/relationships/hyperlink" Target="https://docs.un.org/ar/CRPD/C/CHL/QPR/2-4" TargetMode="External"/><Relationship Id="rId212" Type="http://schemas.openxmlformats.org/officeDocument/2006/relationships/hyperlink" Target="https://especial.mineduc.cl/recursos-apoyo-al-aprendizaje/infografias-del-decreto-n83/" TargetMode="External"/><Relationship Id="rId233" Type="http://schemas.openxmlformats.org/officeDocument/2006/relationships/hyperlink" Target="https://www.subtrab.gob.cl/wp-content/uploads/2021/05/banner-manual-de-buenas-practicas-1.pdf" TargetMode="External"/><Relationship Id="rId254" Type="http://schemas.openxmlformats.org/officeDocument/2006/relationships/hyperlink" Target="https://www.subsidioalempleo.cl/IFELaboral/index.html" TargetMode="External"/><Relationship Id="rId28" Type="http://schemas.openxmlformats.org/officeDocument/2006/relationships/hyperlink" Target="http://bcn.cl/2m4k0" TargetMode="External"/><Relationship Id="rId49" Type="http://schemas.openxmlformats.org/officeDocument/2006/relationships/hyperlink" Target="https://www.senadis.gob.cl/sala_prensa/d/noticias/8052/" TargetMode="External"/><Relationship Id="rId114" Type="http://schemas.openxmlformats.org/officeDocument/2006/relationships/hyperlink" Target="https://www.gob.cl/saludablemente/" TargetMode="External"/><Relationship Id="rId275" Type="http://schemas.openxmlformats.org/officeDocument/2006/relationships/hyperlink" Target="https://www.senadis.gob.cl/sala_prensa/d/noticias/8644" TargetMode="External"/><Relationship Id="rId296" Type="http://schemas.openxmlformats.org/officeDocument/2006/relationships/hyperlink" Target="https://deis.minsal.cl/" TargetMode="External"/><Relationship Id="rId300" Type="http://schemas.openxmlformats.org/officeDocument/2006/relationships/hyperlink" Target="https://www.senadis.gob.cl/pag/387/1650/material_grafico" TargetMode="External"/><Relationship Id="rId60" Type="http://schemas.openxmlformats.org/officeDocument/2006/relationships/hyperlink" Target="https://bcn.cl/34jpb" TargetMode="External"/><Relationship Id="rId81" Type="http://schemas.openxmlformats.org/officeDocument/2006/relationships/hyperlink" Target="https://www.senadis.gob.cl/descarga/i/3410/documento" TargetMode="External"/><Relationship Id="rId135" Type="http://schemas.openxmlformats.org/officeDocument/2006/relationships/hyperlink" Target="https://www.youtube.com/watch?v=AE-hnP8KYP4" TargetMode="External"/><Relationship Id="rId156" Type="http://schemas.openxmlformats.org/officeDocument/2006/relationships/hyperlink" Target="http://bcn.cl/2p863" TargetMode="External"/><Relationship Id="rId177" Type="http://schemas.openxmlformats.org/officeDocument/2006/relationships/hyperlink" Target="https://bcn.cl/34mv6" TargetMode="External"/><Relationship Id="rId198" Type="http://schemas.openxmlformats.org/officeDocument/2006/relationships/hyperlink" Target="https://youtu.be/65AvdOQFfaI" TargetMode="External"/><Relationship Id="rId202" Type="http://schemas.openxmlformats.org/officeDocument/2006/relationships/hyperlink" Target="https://bcn.cl/34syf" TargetMode="External"/><Relationship Id="rId223" Type="http://schemas.openxmlformats.org/officeDocument/2006/relationships/hyperlink" Target="https://www.senadis.gob.cl/sala_prensa/d/noticias/8663" TargetMode="External"/><Relationship Id="rId244" Type="http://schemas.openxmlformats.org/officeDocument/2006/relationships/hyperlink" Target="https://www.senadis.gob.cl/sala_prensa/d/noticias/7629" TargetMode="External"/><Relationship Id="rId18" Type="http://schemas.openxmlformats.org/officeDocument/2006/relationships/hyperlink" Target="https://www.senadis.gob.cl/pag/507/1796/consulta_ciudadana_ano_2018_proceso_cerrado" TargetMode="External"/><Relationship Id="rId39" Type="http://schemas.openxmlformats.org/officeDocument/2006/relationships/hyperlink" Target="http://bcn.cl/2irkh" TargetMode="External"/><Relationship Id="rId265" Type="http://schemas.openxmlformats.org/officeDocument/2006/relationships/hyperlink" Target="https://www.instagram.com/p/CO1DypgnqyA/" TargetMode="External"/><Relationship Id="rId286" Type="http://schemas.openxmlformats.org/officeDocument/2006/relationships/hyperlink" Target="https://bcn.cl/2i837" TargetMode="External"/><Relationship Id="rId50" Type="http://schemas.openxmlformats.org/officeDocument/2006/relationships/hyperlink" Target="https://www.senadis.gob.cl/sala_prensa/d/noticias/8052/" TargetMode="External"/><Relationship Id="rId104" Type="http://schemas.openxmlformats.org/officeDocument/2006/relationships/hyperlink" Target="https://www.minsal.cl/nuevo-coronavirus-2019-ncov/material-de-descarga/" TargetMode="External"/><Relationship Id="rId125" Type="http://schemas.openxmlformats.org/officeDocument/2006/relationships/hyperlink" Target="https://www.senado.cl/appsenado/templates/tramitacion/index.php?boletin_ini=12441-17" TargetMode="External"/><Relationship Id="rId146" Type="http://schemas.openxmlformats.org/officeDocument/2006/relationships/hyperlink" Target="http://www.fiscaliadechile.cl/transparencia/documentos/reglamentos/reglamento_inclusion_de_personas_con_discapacidad_al_mundo_laboral.pdf" TargetMode="External"/><Relationship Id="rId167" Type="http://schemas.openxmlformats.org/officeDocument/2006/relationships/hyperlink" Target="http://bcn.cl/31wsm" TargetMode="External"/><Relationship Id="rId188" Type="http://schemas.openxmlformats.org/officeDocument/2006/relationships/hyperlink" Target="https://certificacion.chilevalora.cl/ChileValora-publica/perfilesEdit.html?paramRequest=1615&amp;bsearch=&amp;bsector=-1&amp;bsubsector=-1&amp;barea=-1&amp;bcentro=-1&amp;bperfil=-1&amp;resultados_length=10" TargetMode="External"/><Relationship Id="rId311" Type="http://schemas.openxmlformats.org/officeDocument/2006/relationships/hyperlink" Target="https://www.senadis.gob.cl/descarga/i/4581" TargetMode="External"/><Relationship Id="rId71" Type="http://schemas.openxmlformats.org/officeDocument/2006/relationships/hyperlink" Target="https://play.google.com/store/apps/details?id=com.exefire.comunidadsorda132" TargetMode="External"/><Relationship Id="rId92" Type="http://schemas.openxmlformats.org/officeDocument/2006/relationships/hyperlink" Target="https://www.senadis.gob.cl/descarga/i/6177" TargetMode="External"/><Relationship Id="rId213" Type="http://schemas.openxmlformats.org/officeDocument/2006/relationships/hyperlink" Target="https://especial.mineduc.cl/recursos-apoyo-al-aprendizaje/recursos-las-los-docentes/progresiones-de-aprendizaje-en-espiral-y-orientaciones-para-su-implementacion/" TargetMode="External"/><Relationship Id="rId234" Type="http://schemas.openxmlformats.org/officeDocument/2006/relationships/hyperlink" Target="https://pactodeproductividad.cl/" TargetMode="External"/><Relationship Id="rId2" Type="http://schemas.openxmlformats.org/officeDocument/2006/relationships/hyperlink" Target="https://www.senadis.gob.cl/sala_prensa/d/noticias/8846/senadis-invita-a-participar-del-reporte-del-estado-de-chile-al-comite-de-naciones-unidas-sobre-los-derechos-de-las-personas-con-discapacidad" TargetMode="External"/><Relationship Id="rId29" Type="http://schemas.openxmlformats.org/officeDocument/2006/relationships/hyperlink" Target="https://www.camara.cl/legislacion/ProyectosDeLey/tramitacion.aspx?prmID=13286&amp;amp;prmBOLETIN=12748-17" TargetMode="External"/><Relationship Id="rId255" Type="http://schemas.openxmlformats.org/officeDocument/2006/relationships/hyperlink" Target="https://www.senado.cl/appsenado/templates/tramitacion/index.php?boletin_ini=12521-07" TargetMode="External"/><Relationship Id="rId276" Type="http://schemas.openxmlformats.org/officeDocument/2006/relationships/hyperlink" Target="https://www.instagram.com/p/CWeIMZssvb-/" TargetMode="External"/><Relationship Id="rId297" Type="http://schemas.openxmlformats.org/officeDocument/2006/relationships/hyperlink" Target="https://www.senadis.gob.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20</TotalTime>
  <Pages>54</Pages>
  <Words>14536</Words>
  <Characters>98120</Characters>
  <Application>Microsoft Office Word</Application>
  <DocSecurity>0</DocSecurity>
  <Lines>14017</Lines>
  <Paragraphs>5929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106727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CRPD/C/CHL/2-4</dc:title>
  <dc:subject>GE.2600864(A)</dc:subject>
  <dc:creator>Gamal MAHMOUD</dc:creator>
  <cp:keywords/>
  <dc:description>_x000d_
_x000d_
Arabic_x000d_
</dc:description>
  <cp:lastModifiedBy>Gamal Mohamed Abdelhamid Mahmoud</cp:lastModifiedBy>
  <cp:revision>4</cp:revision>
  <cp:lastPrinted>2026-06-18T15:28:00Z</cp:lastPrinted>
  <dcterms:created xsi:type="dcterms:W3CDTF">2026-06-18T15:28:00Z</dcterms:created>
  <dcterms:modified xsi:type="dcterms:W3CDTF">2026-06-18T15:47:00Z</dcterms:modified>
</cp:coreProperties>
</file>