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E71B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E71BD" w:rsidP="009E71BD">
            <w:pPr>
              <w:jc w:val="right"/>
            </w:pPr>
            <w:r w:rsidRPr="009E71BD">
              <w:rPr>
                <w:sz w:val="40"/>
              </w:rPr>
              <w:t>CAT</w:t>
            </w:r>
            <w:r>
              <w:t>/C/NLD/CO/7</w:t>
            </w:r>
          </w:p>
        </w:tc>
      </w:tr>
      <w:tr w:rsidR="002D5AAC" w:rsidRPr="008802C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9E71BD" w:rsidRDefault="009E71BD" w:rsidP="00F90E40">
            <w:pPr>
              <w:spacing w:before="240"/>
              <w:rPr>
                <w:lang w:val="en-US"/>
              </w:rPr>
            </w:pPr>
            <w:r w:rsidRPr="009E71BD">
              <w:rPr>
                <w:lang w:val="en-US"/>
              </w:rPr>
              <w:t>Distr.: General</w:t>
            </w:r>
          </w:p>
          <w:p w:rsidR="009E71BD" w:rsidRPr="009E71BD" w:rsidRDefault="009E71BD" w:rsidP="009E71BD">
            <w:pPr>
              <w:spacing w:line="240" w:lineRule="exact"/>
              <w:rPr>
                <w:lang w:val="en-US"/>
              </w:rPr>
            </w:pPr>
            <w:r w:rsidRPr="009E71BD">
              <w:rPr>
                <w:lang w:val="en-US"/>
              </w:rPr>
              <w:t>18 December 2018</w:t>
            </w:r>
          </w:p>
          <w:p w:rsidR="009E71BD" w:rsidRPr="009E71BD" w:rsidRDefault="009E71BD" w:rsidP="009E71BD">
            <w:pPr>
              <w:spacing w:line="240" w:lineRule="exact"/>
              <w:rPr>
                <w:lang w:val="en-US"/>
              </w:rPr>
            </w:pPr>
            <w:r w:rsidRPr="009E71BD">
              <w:rPr>
                <w:lang w:val="en-US"/>
              </w:rPr>
              <w:t>Russian</w:t>
            </w:r>
          </w:p>
          <w:p w:rsidR="009E71BD" w:rsidRPr="009E71BD" w:rsidRDefault="009E71BD" w:rsidP="009E71BD">
            <w:pPr>
              <w:spacing w:line="240" w:lineRule="exact"/>
              <w:rPr>
                <w:lang w:val="en-US"/>
              </w:rPr>
            </w:pPr>
            <w:r w:rsidRPr="009E71BD">
              <w:rPr>
                <w:lang w:val="en-US"/>
              </w:rPr>
              <w:t>Original: English</w:t>
            </w:r>
          </w:p>
        </w:tc>
      </w:tr>
    </w:tbl>
    <w:p w:rsidR="009E71BD" w:rsidRPr="000C657C" w:rsidRDefault="009E71BD" w:rsidP="009E71BD">
      <w:pPr>
        <w:spacing w:before="120"/>
        <w:rPr>
          <w:b/>
          <w:bCs/>
          <w:sz w:val="32"/>
          <w:szCs w:val="24"/>
        </w:rPr>
      </w:pPr>
      <w:r w:rsidRPr="000C657C">
        <w:rPr>
          <w:b/>
          <w:bCs/>
          <w:sz w:val="24"/>
        </w:rPr>
        <w:t>Комитет против пыток</w:t>
      </w:r>
    </w:p>
    <w:p w:rsidR="009E71BD" w:rsidRPr="001904A0" w:rsidRDefault="009E71BD" w:rsidP="009E71BD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седьмому периодическому докладу Нидерландов</w:t>
      </w:r>
      <w:r w:rsidRPr="00172B4B">
        <w:rPr>
          <w:b w:val="0"/>
          <w:bCs/>
          <w:sz w:val="20"/>
          <w:szCs w:val="14"/>
        </w:rPr>
        <w:footnoteReference w:customMarkFollows="1" w:id="1"/>
        <w:t>*</w:t>
      </w:r>
    </w:p>
    <w:p w:rsidR="009E71BD" w:rsidRPr="001904A0" w:rsidRDefault="009E71BD" w:rsidP="009E71BD">
      <w:pPr>
        <w:pStyle w:val="SingleTxtG"/>
      </w:pPr>
      <w:r>
        <w:t>1.</w:t>
      </w:r>
      <w:r>
        <w:tab/>
        <w:t xml:space="preserve">Комитет против пыток рассмотрел седьмой периодический доклад Нидерландов (CAT/C/NLD/7) на своих 1693-м и 1696-м </w:t>
      </w:r>
      <w:r w:rsidR="00B63378">
        <w:t>заседаниях (см. </w:t>
      </w:r>
      <w:r>
        <w:t>CAT/C/SR.1693 и 1696), состоявшихся 20 и 21 ноября 2018 года, и принял настоящие заключительные замечания на своих 1712-м и 1715-м заседаниях, состоявшихся 3 и 5 декабря 2018 года.</w:t>
      </w:r>
    </w:p>
    <w:p w:rsidR="009E71BD" w:rsidRPr="001904A0" w:rsidRDefault="00B63378" w:rsidP="009E71BD">
      <w:pPr>
        <w:pStyle w:val="H1G"/>
      </w:pPr>
      <w:r>
        <w:tab/>
      </w:r>
      <w:r w:rsidR="009E71BD">
        <w:t>A.</w:t>
      </w:r>
      <w:r w:rsidR="009E71BD">
        <w:tab/>
      </w:r>
      <w:r w:rsidR="009E71BD">
        <w:rPr>
          <w:bCs/>
        </w:rPr>
        <w:t>Введение</w:t>
      </w:r>
    </w:p>
    <w:p w:rsidR="009E71BD" w:rsidRPr="001904A0" w:rsidRDefault="009E71BD" w:rsidP="009E71BD">
      <w:pPr>
        <w:pStyle w:val="SingleTxtG"/>
      </w:pPr>
      <w:r>
        <w:t>2.</w:t>
      </w:r>
      <w:r>
        <w:tab/>
        <w:t>Комитет приветствует диалог с делегацией государства-участника и устные ответы и письменную информацию, представленные в связи с поднятыми Комитетом вопросами, которые вызывают у него обеспокоенность.</w:t>
      </w:r>
    </w:p>
    <w:p w:rsidR="009E71BD" w:rsidRPr="001904A0" w:rsidRDefault="000C657C" w:rsidP="009E71BD">
      <w:pPr>
        <w:pStyle w:val="H1G"/>
      </w:pPr>
      <w:r>
        <w:tab/>
      </w:r>
      <w:r w:rsidR="009E71BD">
        <w:t>B.</w:t>
      </w:r>
      <w:r w:rsidR="009E71BD">
        <w:tab/>
      </w:r>
      <w:r w:rsidR="009E71BD">
        <w:rPr>
          <w:bCs/>
        </w:rPr>
        <w:t>Позитивные аспекты</w:t>
      </w:r>
    </w:p>
    <w:p w:rsidR="009E71BD" w:rsidRPr="001904A0" w:rsidRDefault="009E71BD" w:rsidP="009E71BD">
      <w:pPr>
        <w:pStyle w:val="SingleTxtG"/>
      </w:pPr>
      <w:r>
        <w:t>3.</w:t>
      </w:r>
      <w:r>
        <w:tab/>
        <w:t>Комитет приветствует ратификацию государством-участником международных договоров или присоединение к международным договорам, которые перечислены ниже: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а)</w:t>
      </w:r>
      <w:r w:rsidR="009E71BD">
        <w:tab/>
        <w:t>Конвенция о правах инвалидов, в 2016 году;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b)</w:t>
      </w:r>
      <w:r w:rsidR="009E71BD">
        <w:tab/>
        <w:t>Конвенция Совета Европы о предотвращении и борьбе с насилием в отношении женщин и домашним насилием, в 2015 году.</w:t>
      </w:r>
    </w:p>
    <w:p w:rsidR="009E71BD" w:rsidRPr="001904A0" w:rsidRDefault="009E71BD" w:rsidP="009E71BD">
      <w:pPr>
        <w:pStyle w:val="SingleTxtG"/>
      </w:pPr>
      <w:r>
        <w:t>4.</w:t>
      </w:r>
      <w:r>
        <w:tab/>
        <w:t>Комитет приветствует также инициативы государства-участника по пересмотру своего законодательства в областях, имеющих отношение к Конвенции, включая принятие: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а)</w:t>
      </w:r>
      <w:r w:rsidR="009E71BD">
        <w:tab/>
        <w:t>Закона об уголовной ответственности несовершеннолетних от 1 апреля 2014 года;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b)</w:t>
      </w:r>
      <w:r w:rsidR="009E71BD">
        <w:tab/>
        <w:t>Закона о Кодексе об обязательном раскрытии информации (насилие в семье и жестокое обращение с детьми), в 2013 году;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c)</w:t>
      </w:r>
      <w:r w:rsidR="009E71BD">
        <w:tab/>
        <w:t>нового Уголовного кодекса</w:t>
      </w:r>
      <w:r w:rsidR="009E71BD" w:rsidRPr="009919AE">
        <w:t xml:space="preserve"> </w:t>
      </w:r>
      <w:r w:rsidR="009E71BD">
        <w:t xml:space="preserve">Синт-Мартена, содержащего расширенное определение термина </w:t>
      </w:r>
      <w:r>
        <w:t>«</w:t>
      </w:r>
      <w:r w:rsidR="009E71BD">
        <w:t>жертва насилия в семье</w:t>
      </w:r>
      <w:r>
        <w:t>»</w:t>
      </w:r>
      <w:r w:rsidR="009E71BD">
        <w:t>, которое теперь включает партнеров и спутнико</w:t>
      </w:r>
      <w:r>
        <w:t>в, в 2015 году.</w:t>
      </w:r>
    </w:p>
    <w:p w:rsidR="009E71BD" w:rsidRPr="001904A0" w:rsidRDefault="009E71BD" w:rsidP="009E71BD">
      <w:pPr>
        <w:pStyle w:val="SingleTxtG"/>
      </w:pPr>
      <w:r>
        <w:t>5.</w:t>
      </w:r>
      <w:r>
        <w:tab/>
        <w:t>Комитет далее приветствует инициативы государства-участника по внесению поправок в свою политику, программы и административные меры в целях осуществления Конвенции, включая:</w:t>
      </w:r>
    </w:p>
    <w:p w:rsidR="009E71BD" w:rsidRPr="001904A0" w:rsidRDefault="009E71BD" w:rsidP="009E71BD">
      <w:pPr>
        <w:pStyle w:val="SingleTxtG"/>
      </w:pPr>
      <w:r>
        <w:lastRenderedPageBreak/>
        <w:tab/>
      </w:r>
      <w:r w:rsidR="00B63378">
        <w:tab/>
      </w:r>
      <w:r>
        <w:t>а)</w:t>
      </w:r>
      <w:r>
        <w:tab/>
        <w:t xml:space="preserve">принятие в 2018 году национального плана действий </w:t>
      </w:r>
      <w:r w:rsidR="00B63378">
        <w:t>«</w:t>
      </w:r>
      <w:r>
        <w:t>Борьба с торговлей людьми совместными усилиями</w:t>
      </w:r>
      <w:r w:rsidR="00B63378">
        <w:t>»</w:t>
      </w:r>
      <w:r>
        <w:t xml:space="preserve">; 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b)</w:t>
      </w:r>
      <w:r w:rsidR="009E71BD">
        <w:tab/>
        <w:t xml:space="preserve">создание межстрановой целевой группы в карибской части Королевства Нидерландов в ответ на решение Большой палаты Европейского суда по правам человека от 2016 года по делу </w:t>
      </w:r>
      <w:r w:rsidR="009E71BD" w:rsidRPr="00B63378">
        <w:rPr>
          <w:i/>
        </w:rPr>
        <w:t>Мюррей против Нидерландов</w:t>
      </w:r>
      <w:r w:rsidR="009E71BD">
        <w:t xml:space="preserve"> (заявление № 10511/10);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c)</w:t>
      </w:r>
      <w:r w:rsidR="009E71BD">
        <w:tab/>
        <w:t xml:space="preserve">начало проведения в 2015 году трехлетней программы под названием </w:t>
      </w:r>
      <w:r>
        <w:t>«</w:t>
      </w:r>
      <w:r w:rsidR="009E71BD">
        <w:t>Сила различий</w:t>
      </w:r>
      <w:r>
        <w:t>»</w:t>
      </w:r>
      <w:r w:rsidR="009E71BD">
        <w:t xml:space="preserve"> и кампании </w:t>
      </w:r>
      <w:r>
        <w:t>«</w:t>
      </w:r>
      <w:r w:rsidR="009E71BD">
        <w:t>Разгром дискриминации</w:t>
      </w:r>
      <w:r>
        <w:t>»</w:t>
      </w:r>
      <w:r w:rsidR="009E71BD">
        <w:t>, которые направлены на предупреждение этнического профилирования со стороны полиции;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d)</w:t>
      </w:r>
      <w:r w:rsidR="009E71BD">
        <w:tab/>
        <w:t xml:space="preserve">назначение полицией в 2015 году руководителя программы по надзору за осуществлением проектов по борьбе с насилием в семье и неправомерным обращением с детьми; 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e)</w:t>
      </w:r>
      <w:r w:rsidR="009E71BD">
        <w:tab/>
        <w:t>принятие в 2013 году Национального плана действий в области прав человека;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f)</w:t>
      </w:r>
      <w:r w:rsidR="009E71BD">
        <w:tab/>
        <w:t>заключение между Нидерландами, Арубой, Кюрасао, Синт-Мартеном и Бонайре, Сабой и Синт-Эстатиусом меморандума о взаимопонимании по вопросам торговли людьми, незаконного провоза людей и незаконной иммиграции, в котором предусмотрено соглашение об обновлении раз в два года данных анализа статистики по преступности;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g)</w:t>
      </w:r>
      <w:r w:rsidR="009E71BD">
        <w:tab/>
        <w:t>создание Министерством юстиции комиссии по надзору за обращением с заключенными для обеспечения надзора и расследования случаев неправомерного обращения с лицами, содержащимися в местах лишения свободы на Кюрасао;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h)</w:t>
      </w:r>
      <w:r w:rsidR="009E71BD">
        <w:tab/>
        <w:t>создание целевой группы по борьбе с торговлей людьми и незаконным ввозом мигрантов и назначение национального координатора по борьбе с торговлей людьми на Арубе.</w:t>
      </w:r>
    </w:p>
    <w:p w:rsidR="009E71BD" w:rsidRPr="001904A0" w:rsidRDefault="00B63378" w:rsidP="009E71BD">
      <w:pPr>
        <w:pStyle w:val="H1G"/>
      </w:pPr>
      <w:r>
        <w:tab/>
      </w:r>
      <w:r w:rsidR="009E71BD">
        <w:t>C.</w:t>
      </w:r>
      <w:r w:rsidR="009E71BD">
        <w:tab/>
      </w:r>
      <w:r w:rsidR="009E71BD">
        <w:rPr>
          <w:bCs/>
        </w:rPr>
        <w:t xml:space="preserve">Основные вопросы, вызывающие обеспокоенность, </w:t>
      </w:r>
      <w:r>
        <w:rPr>
          <w:bCs/>
        </w:rPr>
        <w:br/>
      </w:r>
      <w:r w:rsidR="009E71BD">
        <w:rPr>
          <w:bCs/>
        </w:rPr>
        <w:t>и рекомендации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 xml:space="preserve">Нерассмотренные вопросы последующей деятельности, связанные </w:t>
      </w:r>
      <w:r w:rsidR="00C3658B">
        <w:rPr>
          <w:bCs/>
        </w:rPr>
        <w:br/>
      </w:r>
      <w:r>
        <w:rPr>
          <w:bCs/>
        </w:rPr>
        <w:t>с предыдущим циклом отчетности</w:t>
      </w:r>
    </w:p>
    <w:p w:rsidR="009E71BD" w:rsidRPr="001904A0" w:rsidRDefault="009E71BD" w:rsidP="009E71BD">
      <w:pPr>
        <w:pStyle w:val="SingleTxtG"/>
      </w:pPr>
      <w:r>
        <w:t>6.</w:t>
      </w:r>
      <w:r>
        <w:tab/>
        <w:t>В пункте 35 своих предыдущих заключительных замечаний (CAT/C/NLD/</w:t>
      </w:r>
      <w:r w:rsidR="00B63378">
        <w:br/>
      </w:r>
      <w:r>
        <w:t>CO/5-6) Комитет просил Нидерланды представить дополнительную информацию о вопросах, вызывающих у Комитета особую обеспокоенность и касающихся обеспечения или укрепления права на доступ к адвокату для лиц, находящихся под стражей в полиции (пункт 10), проведения быстрых, беспристрастных и эффективных расследований (пункт 23) и статистических данных о судебном преследовании подозреваемых и о наказании лиц, совершивших акты пытки или жестокого обращения (пункт 30). Комитет выражает признательность государству-участнику за принятие последующих мер по этим вопросам и информацию по существу, представленную 31 июля 2014 года (CAT/C/NLD/CO/5-6/Add.1). С учетом этой информации Комитет считает, что рекомендации, содержащиеся в вышеупомянутых пунктах 10, 23 и 30 были частично выполнены (см. пункты 9, 32 и 56 ниже).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Установление уголовной ответственности за применение пыток</w:t>
      </w:r>
      <w:bookmarkStart w:id="0" w:name="_Toc516758027"/>
      <w:bookmarkEnd w:id="0"/>
    </w:p>
    <w:p w:rsidR="009E71BD" w:rsidRPr="001904A0" w:rsidRDefault="009E71BD" w:rsidP="009E71BD">
      <w:pPr>
        <w:pStyle w:val="SingleTxtG"/>
      </w:pPr>
      <w:r>
        <w:t>7.</w:t>
      </w:r>
      <w:r>
        <w:tab/>
        <w:t xml:space="preserve">Отмечая готовность государства-участника рассматривать пытки в качестве </w:t>
      </w:r>
      <w:r w:rsidR="00B63378">
        <w:t>«</w:t>
      </w:r>
      <w:r>
        <w:t>явно незаконного</w:t>
      </w:r>
      <w:r w:rsidR="00B63378">
        <w:t>»</w:t>
      </w:r>
      <w:r>
        <w:t xml:space="preserve"> преступления, предусмотренного пунктом 3 статьи 11 Закона о международных преступлениях, Комитет, однако, выражает обеспокоенность по поводу отсутствия конкретного законодательства, которое содержало бы определение пыток в соответствии со статьями 1 и 2 Конвенции и применялось бы во всех странах, входящих в состав государства-участника. Он также сожалеет об отсутствии четкой информации о том, во всех ли странах, входящих в состав государства-участника, пытки не имеют срока давности. Кроме того, он обеспокоен тем, что внутреннее законодательство, касающееся пыток, не унифицировано на всей территории государства-участника (статьи 1, 2 и 4).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lastRenderedPageBreak/>
        <w:t>8.</w:t>
      </w:r>
      <w:r>
        <w:tab/>
      </w:r>
      <w:r>
        <w:rPr>
          <w:b/>
          <w:bCs/>
        </w:rPr>
        <w:t>Государству-участнику следует принять все необходимые меры для содействия принятию конкретного национального законодательства, содержащего определение пыток в соответствии со статьями 1 и 2 Конвенции и действующего во всех странах, входящих в состав государства-участника.</w:t>
      </w:r>
      <w:r>
        <w:t xml:space="preserve"> </w:t>
      </w:r>
      <w:r>
        <w:rPr>
          <w:b/>
          <w:bCs/>
        </w:rPr>
        <w:t>Ему следует также обеспечить, чтобы</w:t>
      </w:r>
      <w:r w:rsidR="00B63378">
        <w:rPr>
          <w:b/>
          <w:bCs/>
        </w:rPr>
        <w:t>:</w:t>
      </w:r>
      <w:r>
        <w:rPr>
          <w:b/>
          <w:bCs/>
        </w:rPr>
        <w:t xml:space="preserve"> а) приказ вышестоящего начальника или государственной власти не мог служить оправданием пыток</w:t>
      </w:r>
      <w:r w:rsidR="00B63378">
        <w:rPr>
          <w:b/>
          <w:bCs/>
        </w:rPr>
        <w:t>;</w:t>
      </w:r>
      <w:r>
        <w:rPr>
          <w:b/>
          <w:bCs/>
        </w:rPr>
        <w:t xml:space="preserve"> b) пытки рассматривались как преступление, не имеющее срока давности</w:t>
      </w:r>
      <w:r w:rsidR="00B63378">
        <w:rPr>
          <w:b/>
          <w:bCs/>
        </w:rPr>
        <w:t>;</w:t>
      </w:r>
      <w:r>
        <w:rPr>
          <w:b/>
          <w:bCs/>
        </w:rPr>
        <w:t xml:space="preserve"> </w:t>
      </w:r>
      <w:r w:rsidR="00B63378">
        <w:rPr>
          <w:b/>
          <w:bCs/>
        </w:rPr>
        <w:br/>
      </w:r>
      <w:r>
        <w:rPr>
          <w:b/>
          <w:bCs/>
        </w:rPr>
        <w:t>и с) законодательство о пытках было унифицировано во всех странах, входящих в состав государства-участника.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  <w:r>
        <w:t xml:space="preserve"> </w:t>
      </w:r>
    </w:p>
    <w:p w:rsidR="009E71BD" w:rsidRPr="001904A0" w:rsidRDefault="009E71BD" w:rsidP="009E71BD">
      <w:pPr>
        <w:pStyle w:val="SingleTxtG"/>
      </w:pPr>
      <w:r>
        <w:t>9.</w:t>
      </w:r>
      <w:r>
        <w:tab/>
        <w:t>Принимая к сведению усилия государства-участника по укреплению права на адвоката, в том числе путем принятия законодательных мер по осуществлению Европейской директивы о праве на доступ к адвокату (директива 2013/48/EU</w:t>
      </w:r>
      <w:r w:rsidR="00B63378">
        <w:t>) и </w:t>
      </w:r>
      <w:r>
        <w:t xml:space="preserve">внесения в Уголовно-процессуальный кодекс поправок, предусматривающих оказание юридической помощи лицам, подозреваемым в совершении правонарушений категории </w:t>
      </w:r>
      <w:r w:rsidR="00B63378">
        <w:t>«</w:t>
      </w:r>
      <w:r>
        <w:t>С</w:t>
      </w:r>
      <w:r w:rsidR="00B63378">
        <w:t>»</w:t>
      </w:r>
      <w:r>
        <w:t xml:space="preserve"> (незначительные  правонарушения), Комитет выражает обеспокоенность по поводу того, что на островах Саба и Синт-Эстатиус по-прежнему не хватает адвокатов. Кроме того, отмечая, что процессуальные гарантии предусмотрены внутренним законодательством, Комитет выражает обеспокоенность по поводу информации о том, что на практике лица, содержащиеся под стражей в полиции, часто лишены права уведомлять о своем задержании любое лицо по своему выбору (статьи 2, 11, 12, 13 и 16). 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Государству-участнику следует в законодательном порядке и на практике обеспечить, чтобы всем лицам, содержащимся под стражей, предоставлялись все основополагающие правовые гарантии с момента их лишения свободы, включая гарантии, упомянутые в пунктах 13 и 14 принятого Комитетом замечания общего порядка № 2 (2007) об имплементации статьи 2.</w:t>
      </w:r>
      <w:r>
        <w:t xml:space="preserve"> </w:t>
      </w:r>
      <w:r>
        <w:rPr>
          <w:b/>
          <w:bCs/>
        </w:rPr>
        <w:t xml:space="preserve">Ему следует принять необходимые меры для обеспечения надлежащего доступа к адвокатам, в частности в карибской части его территории, а также гарантировать право задержанных лиц уведомлять </w:t>
      </w:r>
      <w:r w:rsidRPr="00551FA8">
        <w:rPr>
          <w:b/>
        </w:rPr>
        <w:t>о своем задержании</w:t>
      </w:r>
      <w:r>
        <w:t xml:space="preserve"> </w:t>
      </w:r>
      <w:r>
        <w:rPr>
          <w:b/>
          <w:bCs/>
        </w:rPr>
        <w:t>любое лицо по своему выбору, в том числе путем обеспечения надлежащей подготовки сотрудников полиции.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Недопустимость принудительного возвращения</w:t>
      </w:r>
    </w:p>
    <w:p w:rsidR="009E71BD" w:rsidRPr="001904A0" w:rsidRDefault="009E71BD" w:rsidP="009E71BD">
      <w:pPr>
        <w:pStyle w:val="SingleTxtG"/>
      </w:pPr>
      <w:r>
        <w:t>11.</w:t>
      </w:r>
      <w:r>
        <w:tab/>
        <w:t xml:space="preserve">Отмечая усилия государства-участника по реагированию на значительный приток на его территорию просителей убежища и нелегальных мигрантов, включая большое число несопровождаемых несовершеннолетних, Комитет вместе с тем выражает обеспокоенность в связи с многочисленными сообщениями о том, что в отчетный период государство-участник действовало в нарушение принципа недопустимости принудительного возвращения. В этой связи в рамках дела </w:t>
      </w:r>
      <w:r w:rsidRPr="00B63378">
        <w:rPr>
          <w:i/>
        </w:rPr>
        <w:t>Ф.</w:t>
      </w:r>
      <w:r w:rsidR="00B63378">
        <w:rPr>
          <w:i/>
        </w:rPr>
        <w:t>Б. </w:t>
      </w:r>
      <w:r w:rsidRPr="00B63378">
        <w:rPr>
          <w:i/>
        </w:rPr>
        <w:t>против Нидерландов</w:t>
      </w:r>
      <w:r>
        <w:t xml:space="preserve"> сам Комитет сделал вывод о том, что высылка государством-участником иностранного гражданина будет представлять собой нарушение принципа недопустимости принудительного возвращения в соответствии со статьей 3 Конвенции (см. CAT/C/56/D/613/2014). В частности, Комитет обеспокоен тем, что:</w:t>
      </w:r>
    </w:p>
    <w:p w:rsidR="009E71BD" w:rsidRPr="001904A0" w:rsidRDefault="009E71BD" w:rsidP="009E71BD">
      <w:pPr>
        <w:pStyle w:val="SingleTxtG"/>
      </w:pPr>
      <w:r>
        <w:tab/>
      </w:r>
      <w:r w:rsidR="00B63378">
        <w:tab/>
      </w:r>
      <w:r>
        <w:t>а)</w:t>
      </w:r>
      <w:r>
        <w:tab/>
        <w:t xml:space="preserve">ускоренная процедура предоставления убежища для лиц, прибывающих из стран, которые считаются </w:t>
      </w:r>
      <w:r w:rsidR="00B63378">
        <w:t>«</w:t>
      </w:r>
      <w:r>
        <w:t>безопасными</w:t>
      </w:r>
      <w:r w:rsidR="00B63378">
        <w:t>»</w:t>
      </w:r>
      <w:r>
        <w:t>, может лишать возможности проведения тщательной оценки их особых обстоятельств;</w:t>
      </w:r>
    </w:p>
    <w:p w:rsidR="009E71BD" w:rsidRPr="001904A0" w:rsidRDefault="009E71BD" w:rsidP="009E71BD">
      <w:pPr>
        <w:pStyle w:val="SingleTxtG"/>
      </w:pPr>
      <w:r>
        <w:tab/>
      </w:r>
      <w:r w:rsidR="00B63378">
        <w:tab/>
      </w:r>
      <w:r>
        <w:t>b)</w:t>
      </w:r>
      <w:r>
        <w:tab/>
        <w:t>положения Конвенции о статусе беженцев, касающиеся исключений, как сообщается, применяются ко всем афганцам, которые ранее работали в службе безопасности ХАД/ВАД, и бремя доказывания лежит на ходатайствующих лицах, что приводит к фактическому отказу в предоставлении статуса беженцев всем вышеуказанным лицам;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c)</w:t>
      </w:r>
      <w:r w:rsidR="009E71BD">
        <w:tab/>
        <w:t xml:space="preserve">по имеющейся информации, в 2017 году власти Кюрасао принудительно возвратили в страну происхождения более 1 000 венесуэльцев, некоторые из которых </w:t>
      </w:r>
      <w:r w:rsidR="009E71BD">
        <w:lastRenderedPageBreak/>
        <w:t>выражали опасения, что по возвращении они могут подвергнуться пыткам и неправомерному обращению;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d)</w:t>
      </w:r>
      <w:r w:rsidR="009E71BD">
        <w:tab/>
        <w:t xml:space="preserve">государство-участник не представило достаточной информации о соблюдении принципа недопустимости принудительного возвращения лиц сотрудниками голландских вооруженных сил, проводящих операции за рубежом, в частности в рамках передачи задержанных странам, где существует опасность подвергнуться пыткам и неправомерному обращению; </w:t>
      </w:r>
    </w:p>
    <w:p w:rsidR="009E71BD" w:rsidRPr="001904A0" w:rsidRDefault="00B63378" w:rsidP="009E71BD">
      <w:pPr>
        <w:pStyle w:val="SingleTxtG"/>
      </w:pPr>
      <w:r>
        <w:tab/>
      </w:r>
      <w:r w:rsidR="009E71BD">
        <w:tab/>
        <w:t>e)</w:t>
      </w:r>
      <w:r w:rsidR="009E71BD">
        <w:tab/>
        <w:t xml:space="preserve">при подписании Конвенции о статусе беженцев, ее ратификации или присоединении к ней государство-участник не заявило, что действие Конвенции распространяется на все страны, входящие в ее состав. Комитет также обеспокоен тем, что на Арубе, Кюрасао и Синт-Мартене отсутствует свое законодательство о беженцах и предоставлении убежища, что создает существенный пробел в правовой базе, касающейся защиты от принудительного возвращения (статья 3). 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12.</w:t>
      </w:r>
      <w:r>
        <w:tab/>
      </w:r>
      <w:r w:rsidRPr="00AC1A59">
        <w:rPr>
          <w:b/>
        </w:rPr>
        <w:t>Комитет рекомендует государству-участнику принять все необходимые законодательные, административные и иные меры для обеспечения соблюдения принципа недопустимости принудительного возвращения, закрепленного в статье 3 Конвенции.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:rsidR="009E71BD" w:rsidRPr="00B63378" w:rsidRDefault="009E71BD" w:rsidP="009E71BD">
      <w:pPr>
        <w:pStyle w:val="SingleTxtG"/>
        <w:rPr>
          <w:b/>
          <w:bCs/>
        </w:rPr>
      </w:pPr>
      <w:r w:rsidRPr="00B63378">
        <w:rPr>
          <w:b/>
        </w:rPr>
        <w:tab/>
      </w:r>
      <w:r w:rsidR="00B63378">
        <w:rPr>
          <w:b/>
        </w:rPr>
        <w:tab/>
      </w:r>
      <w:r w:rsidRPr="00B63378">
        <w:rPr>
          <w:b/>
        </w:rPr>
        <w:t>а)</w:t>
      </w:r>
      <w:r w:rsidRPr="00B63378">
        <w:rPr>
          <w:b/>
        </w:rPr>
        <w:tab/>
      </w:r>
      <w:r w:rsidRPr="00B63378">
        <w:rPr>
          <w:b/>
          <w:bCs/>
        </w:rPr>
        <w:t>выделять достаточное время просителям убежища, особенно в рамках ускоренной процедуры, для полного изложения обоснований их ходатайства и для получения и представления ключевых доказательств в целях обеспечения проведения объективной и эффективной процедуры предоставления убежища, а также гарантировать право обжаловать вынесенное решение с отсрочкой его исполнения, с тем чтобы должным образом признавалась легитимность ходатайств о защите, поданных беженцами и другими лицами, нуждающимися в международной защите, и не допускались случаи принудительного возвращения и коллективного выдворения;</w:t>
      </w:r>
    </w:p>
    <w:p w:rsidR="009E71BD" w:rsidRPr="00B63378" w:rsidRDefault="00B63378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B63378">
        <w:rPr>
          <w:b/>
        </w:rPr>
        <w:tab/>
        <w:t>b)</w:t>
      </w:r>
      <w:r w:rsidR="009E71BD" w:rsidRPr="00B63378">
        <w:rPr>
          <w:b/>
        </w:rPr>
        <w:tab/>
      </w:r>
      <w:r w:rsidR="009E71BD" w:rsidRPr="00B63378">
        <w:rPr>
          <w:b/>
          <w:bCs/>
        </w:rPr>
        <w:t>незамедлительно создать национальную процедуру принятия решений о предоставлении убежища на Арубе, Кюрасао и Синт-Мартене, которая позволяла бы проводить тщательную оценку наличия серьезной опасности применения к ходатайствующему лицу пыток в стране назначения, и обеспечить, чтобы европейская часть Нидерландов оказывала необходимую помощь в создании таких процедур в полном соответствии со статьей 43 Хартии Королевства Нидерландов, в которой предусмотрено, что</w:t>
      </w:r>
      <w:r w:rsidR="009E71BD" w:rsidRPr="00B63378">
        <w:rPr>
          <w:b/>
        </w:rPr>
        <w:t xml:space="preserve"> </w:t>
      </w:r>
      <w:r w:rsidR="009E71BD" w:rsidRPr="00B63378">
        <w:rPr>
          <w:b/>
          <w:bCs/>
        </w:rPr>
        <w:t xml:space="preserve">поощрение и защита прав человека </w:t>
      </w:r>
      <w:r>
        <w:rPr>
          <w:b/>
          <w:bCs/>
        </w:rPr>
        <w:t>–</w:t>
      </w:r>
      <w:r w:rsidR="009E71BD" w:rsidRPr="00B63378">
        <w:rPr>
          <w:b/>
          <w:bCs/>
        </w:rPr>
        <w:t xml:space="preserve">  это обязанность Королевства;</w:t>
      </w:r>
    </w:p>
    <w:p w:rsidR="009E71BD" w:rsidRPr="00B63378" w:rsidRDefault="009E71BD" w:rsidP="009E71BD">
      <w:pPr>
        <w:pStyle w:val="SingleTxtG"/>
        <w:rPr>
          <w:b/>
          <w:bCs/>
        </w:rPr>
      </w:pPr>
      <w:r w:rsidRPr="00B63378">
        <w:rPr>
          <w:b/>
        </w:rPr>
        <w:tab/>
      </w:r>
      <w:r w:rsidR="005E5CBF">
        <w:rPr>
          <w:b/>
        </w:rPr>
        <w:tab/>
      </w:r>
      <w:r w:rsidRPr="00B63378">
        <w:rPr>
          <w:b/>
        </w:rPr>
        <w:t>c)</w:t>
      </w:r>
      <w:r w:rsidRPr="00B63378">
        <w:rPr>
          <w:b/>
        </w:rPr>
        <w:tab/>
      </w:r>
      <w:r w:rsidRPr="00B63378">
        <w:rPr>
          <w:b/>
          <w:bCs/>
        </w:rPr>
        <w:t xml:space="preserve">применять положения Конвенции о статусе беженцев, касающиеся исключений, только тогда, когда имеются серьезные основания полагать, что соответствующий беженец мог быть причастен к совершению подпадающего под исключение деяния, и только после проведения полной оценки индивидуальных обстоятельств дела в соответствии с Рекомендациями по международной </w:t>
      </w:r>
      <w:bookmarkStart w:id="1" w:name="_GoBack"/>
      <w:bookmarkEnd w:id="1"/>
      <w:r w:rsidR="005E5CBF">
        <w:rPr>
          <w:b/>
          <w:bCs/>
        </w:rPr>
        <w:br/>
      </w:r>
      <w:r w:rsidRPr="00B63378">
        <w:rPr>
          <w:b/>
          <w:bCs/>
        </w:rPr>
        <w:t>защите № 5 Управления Верховного комиссара Организации Объединенных Наций по делам беженцев;</w:t>
      </w:r>
    </w:p>
    <w:p w:rsidR="009E71BD" w:rsidRPr="001904A0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B63378">
        <w:rPr>
          <w:b/>
        </w:rPr>
        <w:tab/>
        <w:t>d)</w:t>
      </w:r>
      <w:r w:rsidR="009E71BD" w:rsidRPr="00B63378">
        <w:rPr>
          <w:b/>
        </w:rPr>
        <w:tab/>
      </w:r>
      <w:r w:rsidR="009E71BD" w:rsidRPr="00B63378">
        <w:rPr>
          <w:b/>
          <w:bCs/>
        </w:rPr>
        <w:t>рассмотреть вопрос о распространении сферы территориального при</w:t>
      </w:r>
      <w:r w:rsidR="009E71BD">
        <w:rPr>
          <w:b/>
          <w:bCs/>
        </w:rPr>
        <w:t>менения Конвенции о статусе беженцев и Протокола 1967 года к ней на все страны, входящие в состав государства-участника.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Медицинское освидетельствование в рамках процедуры предоставления убежища</w:t>
      </w:r>
    </w:p>
    <w:p w:rsidR="009E71BD" w:rsidRPr="001904A0" w:rsidRDefault="009E71BD" w:rsidP="009E71BD">
      <w:pPr>
        <w:pStyle w:val="SingleTxtG"/>
      </w:pPr>
      <w:r>
        <w:t>13.</w:t>
      </w:r>
      <w:r>
        <w:tab/>
        <w:t xml:space="preserve">Комитет ранее выражал обеспокоенность в связи с тем, что государство-участник не использует 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для увязки утверждений о неправомерном обращении, содержащихся в ходатайстве о предоставлении убежища, с результатами реального медицинского освидетельствования. Он по-прежнему обеспокоен сообщениями о том, что медицинское освидетельствование все еще проводится исключительно с целью оценки </w:t>
      </w:r>
      <w:r>
        <w:lastRenderedPageBreak/>
        <w:t xml:space="preserve">способности ходатайствующего лица пройти собеседование, а не обязательно с целью выявления уязвимых лиц, таких как жертвы пыток, регистрации любых признаков, связанных с их утверждениями, и предоставления им услуг по поддержке (статьи 3 </w:t>
      </w:r>
      <w:r w:rsidR="005E5CBF">
        <w:br/>
      </w:r>
      <w:r>
        <w:t xml:space="preserve">и 10). 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 учетом вынесенных ранее Комитетом рекомендаций (CAT/C/NDL/</w:t>
      </w:r>
      <w:r w:rsidR="005E5CBF">
        <w:rPr>
          <w:b/>
          <w:bCs/>
        </w:rPr>
        <w:br/>
      </w:r>
      <w:r>
        <w:rPr>
          <w:b/>
          <w:bCs/>
        </w:rPr>
        <w:t>CO/5-6, пункт 12) государству-участнику следует принять меры для:</w:t>
      </w:r>
      <w:r>
        <w:t xml:space="preserve"> </w:t>
      </w:r>
    </w:p>
    <w:p w:rsidR="009E71BD" w:rsidRPr="005E5CBF" w:rsidRDefault="005E5CBF" w:rsidP="009E71BD">
      <w:pPr>
        <w:pStyle w:val="SingleTxtG"/>
        <w:rPr>
          <w:b/>
        </w:rPr>
      </w:pPr>
      <w:r>
        <w:rPr>
          <w:b/>
        </w:rPr>
        <w:tab/>
      </w:r>
      <w:r w:rsidR="009E71BD" w:rsidRPr="005E5CBF">
        <w:rPr>
          <w:b/>
        </w:rPr>
        <w:tab/>
        <w:t>а)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выявления просителей убежища с особыми потребностями, особенно жертв пыток и неправомерного обращения, на как можно более раннем этапе путем обеспечения того, чтобы во всех странах, входящих в состав государства-участника, в ходе медицинского освидетельствования в рамках процедуры предоставления убежища проводилась оценка не только способности ходатайствующих лиц пройти собеседование, но и их состояния здоровья и потребности в лечении и поддержке в результате пыток, неправомерного обращения или других полученных травм;</w:t>
      </w:r>
      <w:r w:rsidR="009E71BD" w:rsidRPr="005E5CBF">
        <w:rPr>
          <w:b/>
        </w:rPr>
        <w:t xml:space="preserve"> </w:t>
      </w:r>
    </w:p>
    <w:p w:rsidR="009E71BD" w:rsidRPr="001904A0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b)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обеспечения применения Стамбульского протокола в рамках процедуры предоставл</w:t>
      </w:r>
      <w:r w:rsidR="009E71BD">
        <w:rPr>
          <w:b/>
          <w:bCs/>
        </w:rPr>
        <w:t>ения убежища и подготовки всех соответствующих специалистов по вопросам мониторинга, документирования, предоставления информации и проведения расследований в связи со случаями применения пыток и неправомерного обращения в целях возмещения ущерба жертвам.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Содержание под стражей просителей убежища и нелегальных мигрантов</w:t>
      </w:r>
    </w:p>
    <w:p w:rsidR="009E71BD" w:rsidRPr="001904A0" w:rsidRDefault="009E71BD" w:rsidP="009E71BD">
      <w:pPr>
        <w:pStyle w:val="SingleTxtG"/>
      </w:pPr>
      <w:r>
        <w:t>15.</w:t>
      </w:r>
      <w:r>
        <w:tab/>
        <w:t xml:space="preserve">Комитет обеспокоен сообщениями о сохраняющейся в государстве-участнике практике содержания просителей убежища и нелегальных мигрантов в закрытых учреждениях. В частности, он обеспокоен сообщениями о том, что просители убежища, прибывающие в аэропорт Схипхол в Амстердаме, особенно в тех случаях, когда они подлежат депортации в соответствии с Дублинским регламентом, систематически помещаются под стражу без проведения индивидуальной оценки необходимости их задержания и что за последние два года число таких лиц значительно увеличилось. Кроме того, принимая к сведению заявление делегации о том, что ни один иностранец не подвергается административному задержанию на срок свыше 18 месяцев в соответствии со статьей 59 Закона об иностранцах и статьей 15 Директивы Европейского союза о возвращении (директива 2008/115/EC), Комитет выражает обеспокоенность по поводу  многочисленных сообщений о том, что многие просители убежища и нелегальные мигранты подвергаются повторному задержанию и что общая продолжительность их  содержания под стражей часто превышает максимальный 18-месячный срок. </w:t>
      </w:r>
    </w:p>
    <w:p w:rsidR="009E71BD" w:rsidRPr="001904A0" w:rsidRDefault="009E71BD" w:rsidP="009E71BD">
      <w:pPr>
        <w:pStyle w:val="SingleTxtG"/>
      </w:pPr>
      <w:r>
        <w:t>16.</w:t>
      </w:r>
      <w:r>
        <w:tab/>
        <w:t xml:space="preserve">Кроме того, Комитет выражает серьезную обеспокоенность в связи с постоянно поступающими сообщениями о том, что условия содержания под стражей просителей убежища и мигрантов не соответствуют международным нормам. Принимая к сведению законопроект о репатриации и содержании под стражей иностранцев, направленный на проведение различия между режимом содержания под стражей мигрантов и режимом содержания под стражей по уголовным мотивам, он выражает обеспокоенность по поводу сообщений о том, что задержанные мигранты содержатся в строго охраняемых учреждениях с камерами наблюдения и высокими стенами и часто содержатся в одной камере с другими лицами, заключенными под стражу в уголовном порядке. Он особенно обеспокоен сообщениями о содержании просителей убежища и мигрантов в одиночных камерах, в результате чего они могут иметь ограниченный доступ к юридической помощи </w:t>
      </w:r>
      <w:r w:rsidR="005E5CBF">
        <w:t>и медицинскому обслуживанию. Он </w:t>
      </w:r>
      <w:r>
        <w:t>также обеспокоен тем, что вышеупомянутый законопроект предусматривает применение еще более строгого режима для всех вновь прибывших мигрантов на срок до двух недель и по-прежнему допускает применение одиночного заключения в качестве дисциплинарной меры. Наконец, он обеспок</w:t>
      </w:r>
      <w:r w:rsidR="005E5CBF">
        <w:t>оен тем, что на Кюрасао лица (в </w:t>
      </w:r>
      <w:r>
        <w:t>основном венесуэльцы), ожидающие депортации и нуждающиеся в международной защите, содержатся в закрытых учреждениях в ужасающих условиях и подвергаются неправомерному обращению и сексуальному насилию со стороны сотрудников полиции и иммиграционных служб, которым не предъявляются никакие обвинения (статьи 11 и 16).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lastRenderedPageBreak/>
        <w:t>17.</w:t>
      </w:r>
      <w:r>
        <w:tab/>
      </w:r>
      <w:r>
        <w:rPr>
          <w:b/>
          <w:bCs/>
        </w:rPr>
        <w:t xml:space="preserve">Комитет повторяет свои рекомендации (CAT/C/NDL/CO/5-6, </w:t>
      </w:r>
      <w:r w:rsidR="005E5CBF">
        <w:rPr>
          <w:b/>
          <w:bCs/>
        </w:rPr>
        <w:br/>
      </w:r>
      <w:r>
        <w:rPr>
          <w:b/>
          <w:bCs/>
        </w:rPr>
        <w:t>пункты 14</w:t>
      </w:r>
      <w:r w:rsidR="005E5CBF">
        <w:rPr>
          <w:b/>
          <w:bCs/>
        </w:rPr>
        <w:t>–</w:t>
      </w:r>
      <w:r>
        <w:rPr>
          <w:b/>
          <w:bCs/>
        </w:rPr>
        <w:t>16) о том, что государству-участнику следует, в том числе путем пересмотра законопроекта о репатриации и содержании под стражей иностранцев, обеспечить</w:t>
      </w:r>
      <w:r>
        <w:t xml:space="preserve"> </w:t>
      </w:r>
      <w:r>
        <w:rPr>
          <w:b/>
          <w:bCs/>
        </w:rPr>
        <w:t>чтобы:</w:t>
      </w:r>
    </w:p>
    <w:p w:rsidR="009E71BD" w:rsidRPr="005E5CBF" w:rsidRDefault="009E71BD" w:rsidP="009E71BD">
      <w:pPr>
        <w:pStyle w:val="SingleTxtG"/>
        <w:rPr>
          <w:b/>
          <w:bCs/>
        </w:rPr>
      </w:pPr>
      <w:r w:rsidRPr="005E5CBF">
        <w:rPr>
          <w:b/>
        </w:rPr>
        <w:tab/>
      </w:r>
      <w:r w:rsidR="005E5CBF">
        <w:rPr>
          <w:b/>
        </w:rPr>
        <w:tab/>
      </w:r>
      <w:r w:rsidRPr="005E5CBF">
        <w:rPr>
          <w:b/>
        </w:rPr>
        <w:t>а)</w:t>
      </w:r>
      <w:r w:rsidRPr="005E5CBF">
        <w:rPr>
          <w:b/>
        </w:rPr>
        <w:tab/>
      </w:r>
      <w:r w:rsidRPr="005E5CBF">
        <w:rPr>
          <w:b/>
          <w:bCs/>
        </w:rPr>
        <w:t>просители убежища не подвергались систематическому задержанию, а в тех случаях, когда это необходимо сделать, содержались под стражей только в качестве крайней меры, в течение как можно более короткого периода времени и в местах, соответствующих их статусу;</w:t>
      </w:r>
    </w:p>
    <w:p w:rsidR="009E71BD" w:rsidRPr="005E5CBF" w:rsidRDefault="009E71BD" w:rsidP="009E71BD">
      <w:pPr>
        <w:pStyle w:val="SingleTxtG"/>
        <w:rPr>
          <w:b/>
          <w:bCs/>
        </w:rPr>
      </w:pPr>
      <w:r w:rsidRPr="005E5CBF">
        <w:rPr>
          <w:b/>
        </w:rPr>
        <w:tab/>
      </w:r>
      <w:r w:rsidR="005E5CBF">
        <w:rPr>
          <w:b/>
        </w:rPr>
        <w:tab/>
      </w:r>
      <w:r w:rsidRPr="005E5CBF">
        <w:rPr>
          <w:b/>
        </w:rPr>
        <w:t>b)</w:t>
      </w:r>
      <w:r w:rsidRPr="005E5CBF">
        <w:rPr>
          <w:b/>
        </w:rPr>
        <w:tab/>
      </w:r>
      <w:r w:rsidRPr="005E5CBF">
        <w:rPr>
          <w:b/>
          <w:bCs/>
        </w:rPr>
        <w:t>административное задержание иностранцев, в том числе в контексте повторных задержаний, не было продолжительным и полностью соответствовало международным нормам в области прав человека, включая пересмотренное соображение № 5 о лишении мигрантов свободы Рабочей группы по произвольным задержаниям (A/HRC/39/45, приложение);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c)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по всем утверждениям о неправомерном обращении с просителями убежища и другими иностранцами, содержащимися под стражей, со стороны сотрудников полиции или тюремных надзирателей проводились оперативные, эффективные и беспристрастные расследования, а виновные привлекались к ответственности и наказывались в судебном порядке;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d)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правовой режим содержания под стражей иностранцев соответствовал преследуемой цели и четко отличался от режима содержания под стражей в уголовном порядке, и, в частности, одиночное заключение не использовалось в качестве дисциплинарной меры в отношении задержанных просителей убежища и нелегальных мигрантов;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e)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лишенные свободы просители убежища и нелегальные мигранты имели надлежащий доступ к независимому и эффективному механизму рассмотрения жалоб на пытки и неправомерное обращение;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f)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 xml:space="preserve">по всем инцидентам и утверждениям, касающимся применения пыток и неправомерного обращения </w:t>
      </w:r>
      <w:r w:rsidR="00FE055C">
        <w:rPr>
          <w:b/>
          <w:bCs/>
        </w:rPr>
        <w:t>с</w:t>
      </w:r>
      <w:r w:rsidR="009E71BD" w:rsidRPr="005E5CBF">
        <w:rPr>
          <w:b/>
          <w:bCs/>
        </w:rPr>
        <w:t xml:space="preserve"> просителями убежища и мигрантам</w:t>
      </w:r>
      <w:r w:rsidR="00FE055C">
        <w:rPr>
          <w:b/>
          <w:bCs/>
        </w:rPr>
        <w:t>и</w:t>
      </w:r>
      <w:r w:rsidR="009E71BD" w:rsidRPr="005E5CBF">
        <w:rPr>
          <w:b/>
          <w:bCs/>
        </w:rPr>
        <w:t>, находящим</w:t>
      </w:r>
      <w:r w:rsidR="00FE055C">
        <w:rPr>
          <w:b/>
          <w:bCs/>
        </w:rPr>
        <w:t>и</w:t>
      </w:r>
      <w:r w:rsidR="009E71BD" w:rsidRPr="005E5CBF">
        <w:rPr>
          <w:b/>
          <w:bCs/>
        </w:rPr>
        <w:t>ся под стражей, проводились оперативные, эффективные и беспристрастные расследования, а виновные подвергались преследованию и, в случае установления их ответственности, наказанию в судебном порядке;</w:t>
      </w:r>
    </w:p>
    <w:p w:rsidR="009E71BD" w:rsidRPr="001904A0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g)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независимые национальные и международные надзорные органы и неправительственные организации осуществляли регулярный мониторинг всех мест с</w:t>
      </w:r>
      <w:r w:rsidR="009E71BD">
        <w:rPr>
          <w:b/>
          <w:bCs/>
        </w:rPr>
        <w:t>одержания под стражей просителей убежища и мигрантов.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Несопровождаемые дети – просители убежища и содержащиеся под стражей семьи</w:t>
      </w:r>
    </w:p>
    <w:p w:rsidR="009E71BD" w:rsidRPr="001904A0" w:rsidRDefault="009E71BD" w:rsidP="009E71BD">
      <w:pPr>
        <w:pStyle w:val="SingleTxtG"/>
      </w:pPr>
      <w:r>
        <w:t>18.</w:t>
      </w:r>
      <w:r>
        <w:tab/>
        <w:t>Отмечая новый режим содержания под стражей в ожидании депортации для несопровождаемых детей и семей с детьми, Комитет выражает сохраняющуюся обеспокоенность по поводу сообщений о том, что за отчетный период увеличилось как число семей, содержащихся под стражей в ожидании депортации, так и число несопровождаемых детей</w:t>
      </w:r>
      <w:r w:rsidR="005E5CBF">
        <w:t xml:space="preserve"> – </w:t>
      </w:r>
      <w:r>
        <w:t>просителей убежищ</w:t>
      </w:r>
      <w:r w:rsidR="005E5CBF">
        <w:t>а, содержащихся под стражей. Он </w:t>
      </w:r>
      <w:r>
        <w:t xml:space="preserve">также обеспокоен информацией о том, что несопровождаемые дети </w:t>
      </w:r>
      <w:r w:rsidR="005E5CBF">
        <w:t>–</w:t>
      </w:r>
      <w:r>
        <w:t xml:space="preserve"> просители убежища не получают достаточной помощи, включая юридическую помощь, на протяжении всей процедуры предоставления убежища (статьи 11 и 16). </w:t>
      </w:r>
    </w:p>
    <w:p w:rsidR="009E71BD" w:rsidRPr="001904A0" w:rsidRDefault="009E71BD" w:rsidP="009E71BD">
      <w:pPr>
        <w:pStyle w:val="SingleTxtG"/>
      </w:pPr>
      <w:r>
        <w:t>19.</w:t>
      </w:r>
      <w:r>
        <w:tab/>
      </w:r>
      <w:r w:rsidRPr="0091156F">
        <w:rPr>
          <w:b/>
        </w:rPr>
        <w:t>Государству-участнику следует принимать все возможные меры для недопущения помещения детей в миграционные центры содержания под стражей во всех странах, входящих в состав государства-участника, в том числе путем использования альтернативных лишению свободы мер.</w:t>
      </w:r>
      <w:r>
        <w:t xml:space="preserve"> </w:t>
      </w:r>
      <w:r>
        <w:rPr>
          <w:b/>
          <w:bCs/>
        </w:rPr>
        <w:t xml:space="preserve">Ему следует также обеспечить, чтобы несопровождаемые дети </w:t>
      </w:r>
      <w:r w:rsidR="005E5CBF">
        <w:rPr>
          <w:b/>
          <w:bCs/>
        </w:rPr>
        <w:t>–</w:t>
      </w:r>
      <w:r>
        <w:rPr>
          <w:b/>
          <w:bCs/>
        </w:rPr>
        <w:t xml:space="preserve"> просители убежища имели должный доступ к надлежащей помощи, включая юридическую помощь, на протяжении всей процедуры предоставления убежища.</w:t>
      </w:r>
    </w:p>
    <w:p w:rsidR="009E71BD" w:rsidRPr="001904A0" w:rsidRDefault="009E71BD" w:rsidP="009E71BD">
      <w:pPr>
        <w:pStyle w:val="H23G"/>
      </w:pPr>
      <w:r>
        <w:lastRenderedPageBreak/>
        <w:tab/>
      </w:r>
      <w:r>
        <w:tab/>
      </w:r>
      <w:r>
        <w:rPr>
          <w:bCs/>
        </w:rPr>
        <w:t>Подготовка кадров</w:t>
      </w:r>
    </w:p>
    <w:p w:rsidR="009E71BD" w:rsidRPr="001904A0" w:rsidRDefault="009E71BD" w:rsidP="009E71BD">
      <w:pPr>
        <w:pStyle w:val="SingleTxtG"/>
      </w:pPr>
      <w:r>
        <w:t>20.</w:t>
      </w:r>
      <w:r>
        <w:tab/>
        <w:t xml:space="preserve">Принимая к сведению организацию интенсивной подготовки для государственных должностных лиц, в том числе по вопросам обращения с заключенными, применения силы, выявления уязвимых лиц среди просителей убежища и их направления в соответствующие службы, Комитет, однако, с сожалением отмечает отсутствие информации об указаниях, которые получают сотрудники правоприменительных органов на всех уровнях, общей численности целевой группы, доле проходящих подготовку лиц и частоте проведения таких программ подготовки. Кроме того, он отмечает отсутствие информации о подготовке, которую получают государственные должностные лица по положениям Конвенции на Синт-Мартене (статья 10). 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Государству-участнику следует: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а)</w:t>
      </w:r>
      <w:r w:rsidR="009E71BD" w:rsidRPr="005E5CBF">
        <w:rPr>
          <w:b/>
        </w:rPr>
        <w:tab/>
        <w:t xml:space="preserve">обеспечить, чтобы учебные материалы, информация и указания относительно запрещения пыток в полной мере включались в программы подготовки медицинского персонала и других лиц, которые могут иметь отношение к содержанию под стражей и допросам лиц, подвергнутых любой форме ареста, задержания или лишения свободы, или обращению с ними; 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b)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обеспечить включение в программу подготовки обучение по положениям как Конвенции, так и других связанных с ней международных договоров, таких как Минимальные стандартные правила Организации Объединенных Наций в отношении обращения с заключенными (Правила Нельсона Манделы)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 (Бангкокские правила);</w:t>
      </w:r>
    </w:p>
    <w:p w:rsidR="009E71BD" w:rsidRPr="005E5CBF" w:rsidRDefault="009E71BD" w:rsidP="009E71BD">
      <w:pPr>
        <w:pStyle w:val="SingleTxtG"/>
        <w:rPr>
          <w:b/>
          <w:bCs/>
        </w:rPr>
      </w:pPr>
      <w:r w:rsidRPr="005E5CBF">
        <w:rPr>
          <w:b/>
        </w:rPr>
        <w:tab/>
      </w:r>
      <w:r w:rsidR="005E5CBF">
        <w:rPr>
          <w:b/>
        </w:rPr>
        <w:tab/>
      </w:r>
      <w:r w:rsidRPr="005E5CBF">
        <w:rPr>
          <w:b/>
        </w:rPr>
        <w:t>c)</w:t>
      </w:r>
      <w:r w:rsidRPr="005E5CBF">
        <w:rPr>
          <w:b/>
        </w:rPr>
        <w:tab/>
      </w:r>
      <w:r w:rsidRPr="005E5CBF">
        <w:rPr>
          <w:b/>
          <w:bCs/>
        </w:rPr>
        <w:t>разработать и осуществлять учебные программы по ненасильственным методам проведения расследований;</w:t>
      </w:r>
    </w:p>
    <w:p w:rsidR="009E71BD" w:rsidRPr="001904A0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d)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разработать и внедрить конкретные методологии оценки эффективности и результативности программ профессиональной подготовки и обучения соответствующих государственных должностных лиц по положениям Конвенции с точки зрения сокращения количества случаев применения пыток и не</w:t>
      </w:r>
      <w:r w:rsidR="009E71BD">
        <w:rPr>
          <w:b/>
          <w:bCs/>
        </w:rPr>
        <w:t>правомерного обращения.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Национальное агентство по предупреждению пыток</w:t>
      </w:r>
    </w:p>
    <w:p w:rsidR="009E71BD" w:rsidRPr="001904A0" w:rsidRDefault="009E71BD" w:rsidP="009E71BD">
      <w:pPr>
        <w:pStyle w:val="SingleTxtG"/>
      </w:pPr>
      <w:r>
        <w:t>22.</w:t>
      </w:r>
      <w:r>
        <w:tab/>
        <w:t xml:space="preserve">Отмечая, что Совет по вопросам правоприменения и другие соответствующие инспекции имеют собственные мандаты на посещение мест содержания под стражей в карибской части Нидерландов, Комитет выражает сохраняющуюся обеспокоенность по поводу того, что Факультативный протокол к Конвенции по-прежнему применяется только к европейской части государства-участника и что национальный превентивный механизм не уполномочен осуществлять регулярную и систематическую превентивную деятельность за пределами европейской части Нидерландов. В этой связи он отмечает выраженное делегацией намерение как можно скорее обеспечить применение Факультативного протокола на Кюрасао. Кроме того, Комитет обеспокоен постоянными сообщениями о том, что национальный превентивный механизм не обладает ни необходимыми ресурсами, ни независимостью. Он также обеспокоен информацией о том, что этот механизм не осуществляет надлежащего наблюдения за местами лишения свободы, арендуемыми иностранными странами, и за центрами содержания под стражей, контролируемыми военными, в том числе за пределами государства (статьи 2, 11, 12, 13 и 16). 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 принять все необходимые меры для отзыва своего заявления о применении Факультативного протокола исключительно к территории</w:t>
      </w:r>
      <w:r>
        <w:t xml:space="preserve"> </w:t>
      </w:r>
      <w:r>
        <w:rPr>
          <w:b/>
          <w:bCs/>
        </w:rPr>
        <w:t>европейской части Нидерландов и обеспечить его применимость на всей территории государства-участника, в том числе в карибской части Нидерландов.</w:t>
      </w:r>
      <w:r>
        <w:t xml:space="preserve"> </w:t>
      </w:r>
      <w:r>
        <w:rPr>
          <w:b/>
          <w:bCs/>
        </w:rPr>
        <w:t xml:space="preserve">С учетом вынесенных ранее Комитетом рекомендаций (CAT/C/NLD/CO/5-6, пункт 28) ему следует обеспечить как в теории, так и на практике полную финансовую и функциональную независимость национального </w:t>
      </w:r>
      <w:r>
        <w:rPr>
          <w:b/>
          <w:bCs/>
        </w:rPr>
        <w:lastRenderedPageBreak/>
        <w:t>превентивного механизма, в том числе путем выделения ему отдельного бюджета конкретного целевого назначения, и рассмотреть возможность пересмотра нынешнего процесса формирования этого механизма с целью приведения его в полное соответствие с Руководящими принципами Подкомитета по предупреждению пыток, касающимися национальных превентивных механизмов, и Принципами, касающимися статуса национальных учреждений, занимающихся поощрением и защитой прав человека (Парижские принципы).</w:t>
      </w:r>
      <w:r>
        <w:t xml:space="preserve"> </w:t>
      </w:r>
      <w:r>
        <w:rPr>
          <w:b/>
          <w:bCs/>
        </w:rPr>
        <w:t xml:space="preserve">Ему следует также обеспечить практическое наблюдение за всеми аспектами работы мест лишения свободы, арендуемых иностранными странами, а также центров содержания под стражей, контролируемых </w:t>
      </w:r>
      <w:r w:rsidRPr="005D0711">
        <w:rPr>
          <w:b/>
        </w:rPr>
        <w:t>военными</w:t>
      </w:r>
      <w:r>
        <w:t xml:space="preserve">, </w:t>
      </w:r>
      <w:r>
        <w:rPr>
          <w:b/>
          <w:bCs/>
        </w:rPr>
        <w:t>в том числе за пределами государства.</w:t>
      </w:r>
      <w:r>
        <w:t xml:space="preserve"> 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Национальные правозащитные учреждения</w:t>
      </w:r>
    </w:p>
    <w:p w:rsidR="009E71BD" w:rsidRPr="001904A0" w:rsidRDefault="009E71BD" w:rsidP="009E71BD">
      <w:pPr>
        <w:pStyle w:val="SingleTxtG"/>
      </w:pPr>
      <w:r>
        <w:t>24.</w:t>
      </w:r>
      <w:r>
        <w:tab/>
        <w:t xml:space="preserve">Принимая к сведению заявление делегации Арубы о том, что законопроект об учреждении должности омбудсмена и омбудсмена по правам детей находится на стадии общественного обсуждения, Комитет c сожалением отмечает, что, несмотря на то, что в ходе универсального периодического обзора в 2012 году правительства Арубы и Кюрасао взяли на себя соответствующее обязательство, ни на одной из этих самоуправляющихся территорий не было создано национального правозащитного учреждения. Принимая к сведению существующие правозащитные механизмы, включая Платформу по правам человека и Национальное бюро по представлению информации о торговле людьми, он также с сожалением отмечает, что Синт-Мартен не планирует учреждать в ближайшем будущем национальное правозащитное учреждение (статьи 2 и 12). 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повторяет вынесенную ранее правительствам Арубы и Кюрасао рекомендацию (CAT/C/NLD/CO/5-6, пункт 29) выполнить свое обязательство и в приоритетном порядке создать отдельные национальные правозащитные учреждения.</w:t>
      </w:r>
      <w:r>
        <w:t xml:space="preserve"> </w:t>
      </w:r>
      <w:r>
        <w:rPr>
          <w:b/>
          <w:bCs/>
        </w:rPr>
        <w:t xml:space="preserve">Правительству Синт-Мартена </w:t>
      </w:r>
      <w:r w:rsidRPr="005D0711">
        <w:rPr>
          <w:b/>
        </w:rPr>
        <w:t>также</w:t>
      </w:r>
      <w:r>
        <w:t xml:space="preserve"> </w:t>
      </w:r>
      <w:r>
        <w:rPr>
          <w:b/>
          <w:bCs/>
        </w:rPr>
        <w:t>следует рассмотреть вопрос о создании национального правозащитного учреждения.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Досудебное содержание под стражей</w:t>
      </w:r>
    </w:p>
    <w:p w:rsidR="009E71BD" w:rsidRPr="001904A0" w:rsidRDefault="009E71BD" w:rsidP="009E71BD">
      <w:pPr>
        <w:pStyle w:val="SingleTxtG"/>
      </w:pPr>
      <w:r>
        <w:t>26.</w:t>
      </w:r>
      <w:r>
        <w:tab/>
        <w:t>Принимая к сведению имеющиеся альтернативы досудебному содержанию под стражей и предпринимаемые прокуратурой и судебными органами усилия по расширению их применения, Комитет выражает сохраняющуюся обеспокоенность по поводу сообщений о высокой доле лиц, содержащихся под стражей до суда, и о редком использовании альтернативных мер. Он особенно обеспокоен сообщениями о высокой доле несовершеннолетних лиц, содержащихся под стражей до суда (80%). Он также с обеспокоенностью отмечает, что законодательные поправки, которые Нидерланды приняли в 2015 году, а Кюрасао намерено принять, еще больше расширяют основания для досудебного содержания под стражей и что, следовательно, могут отсутствовать достаточные гарантии того, что досудебное содержание под стражей будет использоваться только в качестве крайней меры. Отмечая разрабатываемый в настоящее время законопроект о внесении поправок в Уголовно-процессуальный кодекс на Арубе, Комитет выражает сожаление по поводу продолжительности досудебного содержания под стражей на Арубе и Кюрасао и отсутствия информации о числе лиц, содержащихся под стражей до суда (статьи 2, 11 и 16).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С учетом вынесенных ранее Комитетом рекомендаций (CAT/C/NDL/</w:t>
      </w:r>
      <w:r w:rsidR="005E5CBF">
        <w:rPr>
          <w:b/>
          <w:bCs/>
        </w:rPr>
        <w:br/>
      </w:r>
      <w:r>
        <w:rPr>
          <w:b/>
          <w:bCs/>
        </w:rPr>
        <w:t>CO/5-6, пункт 20) государству-участнику следует принять меры для того, чтобы: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а)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сократить использование досудебного содержания под стражей и обеспечить, чтобы решения о заключении под стражу до суда были должным образом обоснованы;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b)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применять досудебное содержание под стражей в качестве крайней меры, изучить альтернативные меры и соблюдать принцип презумпции невиновности;</w:t>
      </w:r>
    </w:p>
    <w:p w:rsidR="009E71BD" w:rsidRPr="001904A0" w:rsidRDefault="005E5CBF" w:rsidP="009E71BD">
      <w:pPr>
        <w:pStyle w:val="SingleTxtG"/>
        <w:rPr>
          <w:b/>
          <w:bCs/>
        </w:rPr>
      </w:pPr>
      <w:r>
        <w:rPr>
          <w:b/>
        </w:rPr>
        <w:lastRenderedPageBreak/>
        <w:tab/>
      </w:r>
      <w:r w:rsidR="009E71BD" w:rsidRPr="005E5CBF">
        <w:rPr>
          <w:b/>
        </w:rPr>
        <w:tab/>
        <w:t>c)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внести в законодательство поправки с целью сокращения максимального срока досудебного содержания под стражей и ограничения оснований для такого со</w:t>
      </w:r>
      <w:r w:rsidR="009E71BD">
        <w:rPr>
          <w:b/>
          <w:bCs/>
        </w:rPr>
        <w:t>держания под стражей.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Лица, задержанные по подозрению в терроризме или осужденные за терроризм</w:t>
      </w:r>
      <w:r>
        <w:t xml:space="preserve"> </w:t>
      </w:r>
    </w:p>
    <w:p w:rsidR="009E71BD" w:rsidRPr="001904A0" w:rsidRDefault="009E71BD" w:rsidP="009E71BD">
      <w:pPr>
        <w:pStyle w:val="SingleTxtG"/>
      </w:pPr>
      <w:r>
        <w:t>28.</w:t>
      </w:r>
      <w:r>
        <w:tab/>
        <w:t xml:space="preserve">Комитет обеспокоен информацией о том, что применение пункта а) статьи 20 Постановления о классификации, помещении и переводе заключенных приводит к автоматическому помещению лиц, подозреваемых в терроризме или осужденных за терроризм в предназначенные для террористов блоки строго режима, известные как блоки </w:t>
      </w:r>
      <w:r w:rsidR="00B63378">
        <w:t>«</w:t>
      </w:r>
      <w:r>
        <w:t>ТА</w:t>
      </w:r>
      <w:r w:rsidR="00B63378">
        <w:t>»</w:t>
      </w:r>
      <w:r>
        <w:t xml:space="preserve">, без проведения какой-либо индивидуальной оценки. Он отмечает сообщения о том, что в блоках </w:t>
      </w:r>
      <w:r w:rsidR="00B63378">
        <w:t>«</w:t>
      </w:r>
      <w:r>
        <w:t>ТА</w:t>
      </w:r>
      <w:r w:rsidR="00B63378">
        <w:t>»</w:t>
      </w:r>
      <w:r>
        <w:t xml:space="preserve"> лица систематически содержатся в условиях крайне ограничительного режима, предполагающего, в частности</w:t>
      </w:r>
      <w:r w:rsidR="005E5CBF">
        <w:t>,</w:t>
      </w:r>
      <w:r>
        <w:t xml:space="preserve"> ограниченный контакт с внешним миром и постоянное наблюдение. Он особенно обеспокоен сообщениями о длительном одиночном заключении в блоках </w:t>
      </w:r>
      <w:r w:rsidR="00B63378">
        <w:t>«</w:t>
      </w:r>
      <w:r>
        <w:t>ТА</w:t>
      </w:r>
      <w:r w:rsidR="00B63378">
        <w:t>»</w:t>
      </w:r>
      <w:r>
        <w:t xml:space="preserve">. Он также обеспокоен сообщениями о частом и систематическом применении практики личных досмотров с полным раздеванием, которые проводятся после, а иногда и до свидания заключенного с внешними посетителями, включая близких родственников и детей, а также когда заключенные покидают тюрьму для участия в судебных заседаниях или разбирательстве в полиции. Он также обеспокоен сообщениями об отсутствии эффективных механизмов подачи жалоб в блоках </w:t>
      </w:r>
      <w:r w:rsidR="00B63378">
        <w:t>«</w:t>
      </w:r>
      <w:r>
        <w:t>ТА</w:t>
      </w:r>
      <w:r w:rsidR="00B63378">
        <w:t>»</w:t>
      </w:r>
      <w:r>
        <w:t xml:space="preserve"> и отсутствием статистических данных о количестве жалоб, поданных лицами, содержащимися в блоках </w:t>
      </w:r>
      <w:r w:rsidR="00B63378">
        <w:t>«</w:t>
      </w:r>
      <w:r>
        <w:t>ТА</w:t>
      </w:r>
      <w:r w:rsidR="00B63378">
        <w:t>»</w:t>
      </w:r>
      <w:r w:rsidR="00C3658B">
        <w:t>, а </w:t>
      </w:r>
      <w:r>
        <w:t>также о характере и результатах рассмотрения этих жалоб (статьи 2, 12, 13 и 16).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следует: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а)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обеспечить, чтобы решения о помещении лиц, подозреваемых в терроризме или осужденных за терроризм, в блоки строгого режима принимались на основе результатов предварительной индивидуальной оценки рисков и подлежали регулярному пересмотру;</w:t>
      </w:r>
      <w:r w:rsidR="009E71BD" w:rsidRPr="005E5CBF">
        <w:rPr>
          <w:b/>
        </w:rPr>
        <w:t xml:space="preserve"> 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b)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обеспечить, чтобы индивидуальные оценки проводились в соответствии с конкретными и объективными критериями, в том числе такими</w:t>
      </w:r>
      <w:r>
        <w:rPr>
          <w:b/>
          <w:bCs/>
        </w:rPr>
        <w:t>,</w:t>
      </w:r>
      <w:r w:rsidR="009E71BD" w:rsidRPr="005E5CBF">
        <w:rPr>
          <w:b/>
          <w:bCs/>
        </w:rPr>
        <w:t xml:space="preserve"> как реальное поведение соответствующего лица, и подкреплялись </w:t>
      </w:r>
      <w:r w:rsidR="009E71BD" w:rsidRPr="005E5CBF">
        <w:rPr>
          <w:b/>
        </w:rPr>
        <w:t xml:space="preserve">конкретной, полной, </w:t>
      </w:r>
      <w:r w:rsidR="009E71BD" w:rsidRPr="005E5CBF">
        <w:rPr>
          <w:b/>
          <w:bCs/>
        </w:rPr>
        <w:t>достоверной и актуальной информацией, а также определить, является ли помещение в блок строгого режима необходимой и пропорциональной мерой в соответствии с обязательствами государства-участника по международному праву и международным нормам;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c)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 xml:space="preserve">обеспечить, чтобы условия содержания в блоках </w:t>
      </w:r>
      <w:r w:rsidR="00B63378" w:rsidRPr="005E5CBF">
        <w:rPr>
          <w:b/>
          <w:bCs/>
        </w:rPr>
        <w:t>«</w:t>
      </w:r>
      <w:r w:rsidR="009E71BD" w:rsidRPr="005E5CBF">
        <w:rPr>
          <w:b/>
          <w:bCs/>
        </w:rPr>
        <w:t>ТА</w:t>
      </w:r>
      <w:r w:rsidR="00B63378" w:rsidRPr="005E5CBF">
        <w:rPr>
          <w:b/>
          <w:bCs/>
        </w:rPr>
        <w:t>»</w:t>
      </w:r>
      <w:r w:rsidR="009E71BD" w:rsidRPr="005E5CBF">
        <w:rPr>
          <w:b/>
          <w:bCs/>
        </w:rPr>
        <w:t xml:space="preserve"> соответствовали Правилам Нельсона Манделы, в частности в отношении одиночного заключения и контактов с внешним миром;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d)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ограничить систематическую практику проведения личных досмотров с полным раздеванием до уровня, необходимого по соображениям безопасности, и обеспечить, чтобы личные досмотры, когда они необходимы, проводились сотрудниками того же пола, что и досматриваемый заключенный,</w:t>
      </w:r>
      <w:r w:rsidR="009E71BD" w:rsidRPr="005E5CBF">
        <w:rPr>
          <w:b/>
        </w:rPr>
        <w:t xml:space="preserve"> </w:t>
      </w:r>
      <w:r w:rsidR="009E71BD" w:rsidRPr="005E5CBF">
        <w:rPr>
          <w:b/>
          <w:bCs/>
        </w:rPr>
        <w:t>в условиях уважения достоинства этого заключенного;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e)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 xml:space="preserve">обеспечить, чтобы лица, содержащиеся в блоках </w:t>
      </w:r>
      <w:r w:rsidR="00B63378" w:rsidRPr="005E5CBF">
        <w:rPr>
          <w:b/>
          <w:bCs/>
        </w:rPr>
        <w:t>«</w:t>
      </w:r>
      <w:r w:rsidR="009E71BD" w:rsidRPr="005E5CBF">
        <w:rPr>
          <w:b/>
          <w:bCs/>
        </w:rPr>
        <w:t>ТА</w:t>
      </w:r>
      <w:r w:rsidR="00B63378" w:rsidRPr="005E5CBF">
        <w:rPr>
          <w:b/>
          <w:bCs/>
        </w:rPr>
        <w:t>»</w:t>
      </w:r>
      <w:r w:rsidR="009E71BD" w:rsidRPr="005E5CBF">
        <w:rPr>
          <w:b/>
          <w:bCs/>
        </w:rPr>
        <w:t>, имели надлежащий доступ к эффективным механизмам подачи жалоб, а также собирать и публиковать статистические данные о количестве и характере поданных этими заключенными жалоб</w:t>
      </w:r>
      <w:r w:rsidR="009E71BD" w:rsidRPr="005E5CBF">
        <w:rPr>
          <w:b/>
        </w:rPr>
        <w:t xml:space="preserve"> </w:t>
      </w:r>
      <w:r w:rsidR="009E71BD" w:rsidRPr="005E5CBF">
        <w:rPr>
          <w:b/>
          <w:bCs/>
        </w:rPr>
        <w:t>и результатах их рассмотрения;</w:t>
      </w:r>
    </w:p>
    <w:p w:rsidR="009E71BD" w:rsidRPr="001904A0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f)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обеспечить, чтобы лица, задержанные по подозрению в совершении тер</w:t>
      </w:r>
      <w:r w:rsidR="009E71BD">
        <w:rPr>
          <w:b/>
          <w:bCs/>
        </w:rPr>
        <w:t xml:space="preserve">рористических преступлений и содержащиеся под стражей в ожидании рассмотрения их дела судом первой инстанции, не помещались в блоки </w:t>
      </w:r>
      <w:r w:rsidR="00B63378">
        <w:rPr>
          <w:b/>
          <w:bCs/>
        </w:rPr>
        <w:t>«</w:t>
      </w:r>
      <w:r w:rsidR="009E71BD">
        <w:rPr>
          <w:b/>
          <w:bCs/>
        </w:rPr>
        <w:t>ТА</w:t>
      </w:r>
      <w:r w:rsidR="00B63378">
        <w:rPr>
          <w:b/>
          <w:bCs/>
        </w:rPr>
        <w:t>»</w:t>
      </w:r>
      <w:r w:rsidR="009E71BD">
        <w:rPr>
          <w:b/>
          <w:bCs/>
        </w:rPr>
        <w:t xml:space="preserve"> вместе с лицами, осужденными за террористические преступления.</w:t>
      </w:r>
      <w:r w:rsidR="009E71BD">
        <w:t xml:space="preserve"> 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  <w:r>
        <w:t xml:space="preserve"> </w:t>
      </w:r>
    </w:p>
    <w:p w:rsidR="009E71BD" w:rsidRPr="001904A0" w:rsidRDefault="009E71BD" w:rsidP="009E71BD">
      <w:pPr>
        <w:pStyle w:val="SingleTxtG"/>
      </w:pPr>
      <w:r>
        <w:t>30.</w:t>
      </w:r>
      <w:r>
        <w:tab/>
        <w:t xml:space="preserve">Комитет обеспокоен сообщениями о том, что в европейской части Королевства в тюрьмах не обеспечивается надлежащее медицинское обслуживание, и отмечает, в частности, что медицинское освидетельствование вновь прибывших заключенных </w:t>
      </w:r>
      <w:r>
        <w:lastRenderedPageBreak/>
        <w:t>часто проводится позже установленных сроков, телесные повреждения, которые могли быть получены в результате насилия между заключенными, должным образом не регистрируются и медицинским работникам не отводится должной активной роли в этом процессе. В этой связи Комитет с сожалением констатирует, что соответствующие рекомендации, вынесенные Европейским комитетом по предупреждению пыток и бесчеловечных или унижающих достоинство видов обращения и наказания (Комитет по предупреждению пыток) после посещения им страны в 2016 году, не были выполнены, и далее с обеспокоенностью отмечает ответ делегации, свидетельствующий о нежелании их выполнять. Кроме того, он обеспокоен сообщениями о неудовлетворительных условиях содержания под стражей на Арубе, Кюрасао и Синт-Мартене, включая плохие материальные условия и отсутствие надлежащего доступа к медицинской помощи, в частности к психиатрической помощи, а также надлежащего питания и внимания</w:t>
      </w:r>
      <w:r w:rsidR="005E5CBF">
        <w:t xml:space="preserve"> к уязвимым заключенным (статьи </w:t>
      </w:r>
      <w:r>
        <w:t xml:space="preserve">11 и 16). 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 провести кардинальный пересмотр своей системы медицинского обслуживания в пенитенциарных учреждениях с целью приведения ее в соответствие с рекомендациями Комитета по предупреждению пыток (CPT/Inf (2017) 1, пункт 55).</w:t>
      </w:r>
      <w:r>
        <w:t xml:space="preserve"> </w:t>
      </w:r>
      <w:r>
        <w:rPr>
          <w:b/>
          <w:bCs/>
        </w:rPr>
        <w:t>В частности, ему следует обеспечить оперативное и эффективное проведение медицинского освидетельствования и надлежащую регистрацию телесных повреждений.</w:t>
      </w:r>
      <w:r>
        <w:t xml:space="preserve"> </w:t>
      </w:r>
      <w:r>
        <w:rPr>
          <w:b/>
          <w:bCs/>
        </w:rPr>
        <w:t>Ему следует также обеспечить, чтобы условия содержания под стражей во всех входящих в его состав странах соответствовали международным нормам, таким как Правила Нельсона Манделы и Бангкокские правила.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Насилие между заключенными</w:t>
      </w:r>
    </w:p>
    <w:p w:rsidR="009E71BD" w:rsidRPr="001904A0" w:rsidRDefault="009E71BD" w:rsidP="009E71BD">
      <w:pPr>
        <w:pStyle w:val="SingleTxtG"/>
      </w:pPr>
      <w:r>
        <w:t>32.</w:t>
      </w:r>
      <w:r>
        <w:tab/>
        <w:t xml:space="preserve">Комитет обеспокоен информацией о том, что в карибской части Нидерландов широкие масштабы насилия между заключенными создают серьезную угрозу для безопасности заключенных, а руководство пенитенциарных учреждений не принимает эффективных мер для решения этой проблемы. Кроме того, в свете своих предыдущих заключительных замечаний (CAT/C/NLD/CO/5-6, пункт 23) Комитет выражает сожаление по поводу отсутствия информации о расследовании случаев насилия между заключенными на Арубе и Кюрасао (статьи 12, 13 и 16). 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активизировать меры по предупреждению и сокращению масштабов насилия между заключенными, в том числе путем более эффективного управления пенитенциарными учреждениями и усиления надзора и защиты уязвимых заключенных.</w:t>
      </w:r>
      <w:r>
        <w:t xml:space="preserve"> </w:t>
      </w:r>
      <w:r>
        <w:rPr>
          <w:b/>
          <w:bCs/>
        </w:rPr>
        <w:t>Ему следует также проводить оперативные, эффективные и беспристрастные расследования в связи со случаями насилия между заключенными, в частности в карибской части Нидерландов, а также на Арубе и Кюрасао.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Лица, отбывающие наказание в виде пожизненного лишения свободы</w:t>
      </w:r>
      <w:r>
        <w:t xml:space="preserve"> </w:t>
      </w:r>
    </w:p>
    <w:p w:rsidR="009E71BD" w:rsidRPr="001904A0" w:rsidRDefault="009E71BD" w:rsidP="009E71BD">
      <w:pPr>
        <w:pStyle w:val="SingleTxtG"/>
      </w:pPr>
      <w:r>
        <w:t>34.</w:t>
      </w:r>
      <w:r>
        <w:tab/>
        <w:t>Комитет принимает к сведению недавнее решение в отношении права на надежду, вынесенное Большой палатой Европейско</w:t>
      </w:r>
      <w:r w:rsidR="005E5CBF">
        <w:t>го суда по правам человека (см. </w:t>
      </w:r>
      <w:r>
        <w:t xml:space="preserve">дело </w:t>
      </w:r>
      <w:r w:rsidRPr="005E5CBF">
        <w:rPr>
          <w:i/>
        </w:rPr>
        <w:t>Мюррей против Нидерландов</w:t>
      </w:r>
      <w:r>
        <w:t xml:space="preserve">), а также вывод Верховного суда Нидерландов (дело № 15/00402, ECLI:HR:2016:1325) о том, что пожизненное лишение свободы без надежды на освобождение может представлять собой унижающее достоинство и бесчеловечное обращение в нарушение статьи 3 Европейской конвенции по правам человека, а также принимает к сведению последующее учреждение государством-участником Консультативного комитета по вопросам лиц, отбывающих наказание в виде пожизненного лишения свободы, с целью пересмотра приговоров к пожизненному лишению свободы. Вместе с тем он по-прежнему обеспокоен тем, что пересмотр, который проводится после 25 лет содержания под стражей, направлен на определение того, можно ли позволить приговоренным к пожизненному лишению свободы лицам начать деятельность по реинтеграции, а решение о помиловании принимается спустя два года. Кроме того, отмечая, что Консультативный комитет состоит из независимых экспертов, таких как бывшие судьи, Комитет, однако, </w:t>
      </w:r>
      <w:r>
        <w:lastRenderedPageBreak/>
        <w:t>выражает обеспокоенность по поводу того, что окончательное решение принимает статс-секретарь (статья 11).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Государству-участнику следует обеспечить, чтобы заключенные, отбывающие наказание в виде пожизненного лишения свободы, имели надежду на освобождение или сокращение срока наказания по истечении разумного периода времени в соответствии с их правом на надежду и чтобы во всех входящих в его состав странах был создан независимый судебный механизм для проведения периодического обзора положения таких заключенных.</w:t>
      </w:r>
      <w:r>
        <w:t xml:space="preserve"> </w:t>
      </w:r>
      <w:r>
        <w:rPr>
          <w:b/>
          <w:bCs/>
        </w:rPr>
        <w:t>Кроме того, таких заключенных необходимо как можно скорее информировать о возможности пересмотра их приговоров или сокращения сроков их наказания.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несовершеннолетних</w:t>
      </w:r>
    </w:p>
    <w:p w:rsidR="009E71BD" w:rsidRPr="001904A0" w:rsidRDefault="009E71BD" w:rsidP="009E71BD">
      <w:pPr>
        <w:pStyle w:val="SingleTxtG"/>
      </w:pPr>
      <w:r>
        <w:t>36.</w:t>
      </w:r>
      <w:r>
        <w:tab/>
        <w:t>Принимая к сведению разъяснения делегации, Комитет, однако, выражает обеспокоенность по поводу того, что в соответствии с Законом об уголовной ответственности несовершеннолетних и пунктом b) статьи 77 Уголовного кодекса Нидерландов  несовершеннолетние лица в возрасте 16</w:t>
      </w:r>
      <w:r w:rsidR="005E5CBF">
        <w:t>–</w:t>
      </w:r>
      <w:r>
        <w:t>17 лет могут преследоваться в судебном порядке как совершеннолетние лица в соответствии с нормами обычного уголовного права в случае совершения тяжких преступлений (например, убийства) и могут отбывать наказание в пенитенциарных учреждениях для совершеннолетних лиц. Он также с сожалением отмечает сделанную государством-участником оговорку в отношении статьи 40 Конвенции о правах ребенка, которая позволяет проводить беседы с несовершеннолетними лицами или допрашивать их в отсутствие адвоката или их родителей в случае совершения незначительных правонарушений (статьи 11, 12 и 16).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 xml:space="preserve">Государству-участнику следует обеспечить соблюдение в полном объеме норм отправления правосудия в отношении несовершеннолетних, а также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Руководящих принципов Организации Объединенных Наций для предупреждения преступности среди несовершеннолетних </w:t>
      </w:r>
      <w:r w:rsidR="005E5CBF">
        <w:rPr>
          <w:b/>
          <w:bCs/>
        </w:rPr>
        <w:br/>
      </w:r>
      <w:r>
        <w:rPr>
          <w:b/>
          <w:bCs/>
        </w:rPr>
        <w:t>(Эр-Риядские руководящие принципы) и Правил Организации Объединенных Наций, касающихся защиты несовершеннолетних, лишенных свободы.</w:t>
      </w:r>
      <w:r>
        <w:t xml:space="preserve"> </w:t>
      </w:r>
      <w:r w:rsidR="005E5CBF">
        <w:rPr>
          <w:b/>
          <w:bCs/>
        </w:rPr>
        <w:t>В </w:t>
      </w:r>
      <w:r>
        <w:rPr>
          <w:b/>
          <w:bCs/>
        </w:rPr>
        <w:t>частности, ему следует: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а)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внести поправки в законодательство для обеспечения того, чтобы</w:t>
      </w:r>
      <w:r w:rsidR="009E71BD" w:rsidRPr="005E5CBF">
        <w:rPr>
          <w:b/>
        </w:rPr>
        <w:t xml:space="preserve"> </w:t>
      </w:r>
      <w:r w:rsidR="009E71BD" w:rsidRPr="005E5CBF">
        <w:rPr>
          <w:b/>
          <w:bCs/>
        </w:rPr>
        <w:t>согласно международному праву несовершеннолетние лица не подвергались судебному преследованию в соответствии с нормами уголовного права, предусмотренными для совершеннолетних лиц, и не отбывали наказание в пенитенциарных учреждениях для совершеннолетних лиц;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 xml:space="preserve">b) 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 xml:space="preserve">обеспечить, чтобы несовершеннолетние лица содержались под стражей лишь в качестве крайней меры и в течение как можно более короткого периода, чтобы они содержались отдельно от совершеннолетних лиц и им предоставлялись все правовые гарантии, включая право на адвоката, а также обеспечить применение в </w:t>
      </w:r>
      <w:r w:rsidR="00FE055C" w:rsidRPr="005E5CBF">
        <w:rPr>
          <w:b/>
          <w:bCs/>
        </w:rPr>
        <w:t>отношении несовершеннолетних</w:t>
      </w:r>
      <w:r w:rsidR="009E71BD" w:rsidRPr="005E5CBF">
        <w:rPr>
          <w:b/>
          <w:bCs/>
        </w:rPr>
        <w:t xml:space="preserve"> лиц, находящихся в конфликте с законом, мер,</w:t>
      </w:r>
      <w:r w:rsidR="009E71BD" w:rsidRPr="005E5CBF">
        <w:rPr>
          <w:b/>
        </w:rPr>
        <w:t xml:space="preserve"> </w:t>
      </w:r>
      <w:r w:rsidR="009E71BD" w:rsidRPr="005E5CBF">
        <w:rPr>
          <w:b/>
          <w:bCs/>
        </w:rPr>
        <w:t>не связанных с лишением свободы;</w:t>
      </w:r>
    </w:p>
    <w:p w:rsidR="009E71BD" w:rsidRPr="001904A0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c)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обеспечивать подготовку по вопросам ювенальной юстиции всех специалистов, имеющих отношение к системе ювенальной юстиции, совершенствовать такую подготовку и гарантировать, чтобы она охватывала не только соответствующие международные нормы, включая Руководящие принципы, касающиеся правосудия в вопросах, связанных с участием детей – жертв и свидетелей преступлений, но и соответствующие практические учебные ку</w:t>
      </w:r>
      <w:r w:rsidR="009E71BD">
        <w:rPr>
          <w:b/>
          <w:bCs/>
        </w:rPr>
        <w:t>рсы по конкретным темам, таким как проведение допросов в отношении несовершеннолетних правонарушителей, свидетелей или потерпевших.</w:t>
      </w:r>
      <w:r w:rsidR="009E71BD">
        <w:t xml:space="preserve"> 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Дети в закрытых учреждениях по уходу за несовершеннолетними</w:t>
      </w:r>
    </w:p>
    <w:p w:rsidR="009E71BD" w:rsidRPr="001904A0" w:rsidRDefault="009E71BD" w:rsidP="009E71BD">
      <w:pPr>
        <w:pStyle w:val="SingleTxtG"/>
      </w:pPr>
      <w:r>
        <w:t>38.</w:t>
      </w:r>
      <w:r>
        <w:tab/>
        <w:t xml:space="preserve">Принимая к сведению разработку новых законов, призванных гарантировать права соответствующих детей и сократить число таких детей, Комитет с </w:t>
      </w:r>
      <w:r>
        <w:lastRenderedPageBreak/>
        <w:t>обеспокоенностью отмечает информацию о том, что государство-участник помещает большое число детей, включая детей</w:t>
      </w:r>
      <w:r w:rsidR="005E5CBF">
        <w:t xml:space="preserve"> – </w:t>
      </w:r>
      <w:r>
        <w:t>жертв сексуального насилия, в закрытые учреждения по уходу за несовершеннолетними (2 710 детей в 2017 году) и что в отношении этих детей применяются сила, средства принуждения и даже практика помещения в изоляторы. Кроме того, он с сожалением отмечает отсутствие информации об ограничительных мерах, применяемых в отношении таких детей (статьи 11 и 16).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Государству-участнику следует активизировать свои усилия для улучшения положения детей, содержащихся в закрытых учреждениях по уходу за несовершеннолетними, в том числе посредством реализации на практике программы действий по оказанию помощи несовершеннолетним на 2018 год, объявленной Министерством здравоохранения, благосостояния и спорта, и ускорения процесса разработки новых законов, гарантирующих права таких детей.</w:t>
      </w:r>
      <w:r>
        <w:t xml:space="preserve"> </w:t>
      </w:r>
      <w:r>
        <w:rPr>
          <w:b/>
          <w:bCs/>
        </w:rPr>
        <w:t>Ему следует принять все необходимые меры для защиты детей от применения силы и средств принуждения и усмирения и проводить расследования по всем утверждениям об их применении.</w:t>
      </w:r>
      <w:r>
        <w:t xml:space="preserve"> </w:t>
      </w:r>
      <w:r>
        <w:rPr>
          <w:b/>
          <w:bCs/>
        </w:rPr>
        <w:t>Кроме того, ему следует обеспечить принятие надлежащих мер защиты детей</w:t>
      </w:r>
      <w:r w:rsidR="005E5CBF">
        <w:rPr>
          <w:b/>
          <w:bCs/>
        </w:rPr>
        <w:t xml:space="preserve"> – </w:t>
      </w:r>
      <w:r>
        <w:rPr>
          <w:b/>
          <w:bCs/>
        </w:rPr>
        <w:t>жертв сексуального насилия, помещенных в закрытые учреждения по уходу за несовершеннолетними, осуществлять соответствующие программы по оказанию этим детям психосоциальной поддержки и их реабилитации и собирать подробные данные о помещении детей в такие учреждения в соответствии с рекомендациями Национального докладчика Нидерландов по вопросу о торговле людьми и сексуальном насилии в отношении детей.</w:t>
      </w:r>
      <w:r>
        <w:t xml:space="preserve"> 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Принудительное помещение в психиатрические больницы</w:t>
      </w:r>
    </w:p>
    <w:p w:rsidR="009E71BD" w:rsidRPr="001904A0" w:rsidRDefault="009E71BD" w:rsidP="009E71BD">
      <w:pPr>
        <w:pStyle w:val="SingleTxtG"/>
      </w:pPr>
      <w:r>
        <w:t>40.</w:t>
      </w:r>
      <w:r>
        <w:tab/>
        <w:t>Принимая к сведению меры, принятые государством-участником в отношении лиц с психическими расстройствами, такие как утверждение законопроекта о принудительной психиатрической помощи и частично измененного законопроекта об уходе и принуждении, а также намерение закрыть</w:t>
      </w:r>
      <w:r w:rsidR="005E5CBF">
        <w:t xml:space="preserve"> к 2020 году все изоляторы в 12 </w:t>
      </w:r>
      <w:r>
        <w:t>крупных психиатрических больницах, Комитет выражает обеспокоенность по поводу продолжающихся частых случаев принудительного помещения лиц в психиатрические больницы. Комитет сожалеет об отсутствии подробной информации о продолжительности изоляции, использовании средств усмирения и медицинском надзоре за применением этих мер (статьи 11 и 16).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вновь повторяет свою рекоме</w:t>
      </w:r>
      <w:r w:rsidR="005E5CBF">
        <w:rPr>
          <w:b/>
          <w:bCs/>
        </w:rPr>
        <w:t>ндацию (CAT/C/NLD/CO/5-6, пункт </w:t>
      </w:r>
      <w:r>
        <w:rPr>
          <w:b/>
          <w:bCs/>
        </w:rPr>
        <w:t>21) о том, что государству-участнику следует: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а)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разработать альтернативные меры для уменьшения числа лиц с психическими расстройствами, принудительно помещенных в специальные учреждения, и обеспечить, чтобы принудительное помещение в места лишения свободы, включая психиатрические больницы и учреждения социальной опеки, осуществлялось на основании судебного решения с предоставлением всех действенных правовых гарантий;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b)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применять средства усмирения и изоляцию в качестве крайней меры, когда все иные альтернативные меры контроля оказались неэффективными, в течение как можно более короткого периода времени и под строгим медицинским контролем, и осуществить на практике план по закрытию всех изоляторов в 12 крупных психиатрических больницах к 2020 году;</w:t>
      </w:r>
    </w:p>
    <w:p w:rsidR="009E71BD" w:rsidRPr="001904A0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c)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снизить пороговый уровень для амбулаторного лечения</w:t>
      </w:r>
      <w:r w:rsidR="009E71BD" w:rsidRPr="005E5CBF">
        <w:rPr>
          <w:b/>
        </w:rPr>
        <w:t xml:space="preserve"> </w:t>
      </w:r>
      <w:r w:rsidR="009E71BD" w:rsidRPr="005E5CBF">
        <w:rPr>
          <w:b/>
          <w:bCs/>
        </w:rPr>
        <w:t>и повысить его качес</w:t>
      </w:r>
      <w:r w:rsidR="009E71BD">
        <w:rPr>
          <w:b/>
          <w:bCs/>
        </w:rPr>
        <w:t>тво, уточнить критерии приема в психиатрические больницы и обеспечить соблюдение основных прав человека пациентов.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Электрошоковое оружие (электрошокеры) и перцовый аэрозоль</w:t>
      </w:r>
    </w:p>
    <w:p w:rsidR="009E71BD" w:rsidRPr="001904A0" w:rsidRDefault="009E71BD" w:rsidP="009E71BD">
      <w:pPr>
        <w:pStyle w:val="SingleTxtG"/>
      </w:pPr>
      <w:r>
        <w:t>42.</w:t>
      </w:r>
      <w:r>
        <w:tab/>
        <w:t xml:space="preserve">Комитет с обеспокоенностью отмечает, что, несмотря на его предыдущие рекомендации не допускать регулярного распространения и использования электрошокового оружия (электрошокеров) сотрудниками полиции, государство-участник провело с февраля 2017 года по февраль 2018 года соответствующее </w:t>
      </w:r>
      <w:r>
        <w:lastRenderedPageBreak/>
        <w:t xml:space="preserve">экспериментальное тестирование без четких указаний в отношении ограниченного применения этого оружия. Он особенно обеспокоен информацией о том, что в течение экспериментального периода сотрудники полиции использовали электрошокеры в ситуациях, когда не было реальной и непосредственной угрозы для жизни или опасности причинения серьезных телесных повреждений, в том числе в тех случаях, когда соответствующие лица уже содержались под стражей в полиции. Он также обеспокоен сообщениями о частом использовании так называемого </w:t>
      </w:r>
      <w:r w:rsidR="00B63378">
        <w:t>«</w:t>
      </w:r>
      <w:r>
        <w:t>режима оглушения</w:t>
      </w:r>
      <w:r w:rsidR="00B63378">
        <w:t>»</w:t>
      </w:r>
      <w:r>
        <w:t>, который предназначен только для причинения боли, а также об инцидентах, связанных с применением электрошокеров к несовершеннолетним лицам и лицам с психическими расстройствами в медицинских учреждениях. Кроме того, Комитет обеспокоен информацией о том, что применение перцового аэрозоля не в полной мере регламентировано в соответствии с принципами необходимости и соразмерности и что ожидается, что новый проект указаний в отношении применения силы позволит еще больше снизить порог применения силы и применять ее в отношении уязвимых лиц, включая беременных женщин и детей (статьи 2, 11 и 16).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С учетом вынесенных ранее Комитетом рекомендаций (CAT/C/NDL/</w:t>
      </w:r>
      <w:r w:rsidR="005E5CBF">
        <w:rPr>
          <w:b/>
          <w:bCs/>
        </w:rPr>
        <w:br/>
      </w:r>
      <w:r>
        <w:rPr>
          <w:b/>
          <w:bCs/>
        </w:rPr>
        <w:t>CO/5-6, пункт 27) государству-участнику следует:</w:t>
      </w:r>
    </w:p>
    <w:p w:rsidR="009E71BD" w:rsidRPr="005E5CBF" w:rsidRDefault="009E71BD" w:rsidP="009E71BD">
      <w:pPr>
        <w:pStyle w:val="SingleTxtG"/>
        <w:rPr>
          <w:b/>
          <w:bCs/>
        </w:rPr>
      </w:pPr>
      <w:r w:rsidRPr="005E5CBF">
        <w:rPr>
          <w:b/>
        </w:rPr>
        <w:tab/>
      </w:r>
      <w:r w:rsidR="005E5CBF">
        <w:rPr>
          <w:b/>
        </w:rPr>
        <w:tab/>
      </w:r>
      <w:r w:rsidRPr="005E5CBF">
        <w:rPr>
          <w:b/>
        </w:rPr>
        <w:t>а)</w:t>
      </w:r>
      <w:r w:rsidRPr="005E5CBF">
        <w:rPr>
          <w:b/>
        </w:rPr>
        <w:tab/>
      </w:r>
      <w:r w:rsidRPr="005E5CBF">
        <w:rPr>
          <w:b/>
          <w:bCs/>
        </w:rPr>
        <w:t>воздерживаться от регулярного распространения и применения электрошокового оружия сотрудниками полиции в своей повседневной работе, с тем чтобы установить высокий порог его применения и не допускать применения чрезмерной силы;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b)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обеспечить, чтобы электрошоковое оружие использовалось вместо смертоносного оружия лишь специально подготовленными сотрудниками правоохранительных органов только в ограниченных случаях, когда существует реальная и непосредственная угроза для жизни или опасность причинения серьезных телесных повреждений;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c)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ввести четкий запрет на применение электрошокового оружия и перцового аэрозоля к уязвимым лицам, включая несовершеннолетних лиц и беременных женщин, а также в медицинских учреждениях, включая психиатрические больницы, и, в частности, запретить применение электрошокового оружия в местах лишения свободы;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d)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обеспечить, чтобы в указаниях в отношении применения электрошокового оружия и перцового аэрозоля особое внимание уделялось полному запрещению пыток и необходимости соблюдения принципов необходимости и соразмерности в полном соответствии с Конвенцией и Основными принципами применения силы и огнестрельного оружия должностными лицами по поддержанию правопорядка;</w:t>
      </w:r>
    </w:p>
    <w:p w:rsidR="009E71BD" w:rsidRPr="005E5CBF" w:rsidRDefault="009E71BD" w:rsidP="009E71BD">
      <w:pPr>
        <w:pStyle w:val="SingleTxtG"/>
        <w:rPr>
          <w:b/>
          <w:bCs/>
        </w:rPr>
      </w:pPr>
      <w:r w:rsidRPr="005E5CBF">
        <w:rPr>
          <w:b/>
        </w:rPr>
        <w:tab/>
      </w:r>
      <w:r w:rsidR="005E5CBF">
        <w:rPr>
          <w:b/>
        </w:rPr>
        <w:tab/>
      </w:r>
      <w:r w:rsidRPr="005E5CBF">
        <w:rPr>
          <w:b/>
        </w:rPr>
        <w:t>e)</w:t>
      </w:r>
      <w:r w:rsidRPr="005E5CBF">
        <w:rPr>
          <w:b/>
        </w:rPr>
        <w:tab/>
      </w:r>
      <w:r w:rsidRPr="005E5CBF">
        <w:rPr>
          <w:b/>
          <w:bCs/>
        </w:rPr>
        <w:t>ввести гарантии защиты от неправомерного использования электрошокового оружия и перцового аэрозоля и обеспечить проведения надлежащих программ подготовки и информирования для сотрудников правоохранительных органов;</w:t>
      </w:r>
    </w:p>
    <w:p w:rsidR="009E71BD" w:rsidRPr="001904A0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f)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 xml:space="preserve">осуществлять мониторинг и регулярный обзор применения </w:t>
      </w:r>
      <w:r w:rsidR="009E71BD">
        <w:rPr>
          <w:b/>
          <w:bCs/>
        </w:rPr>
        <w:t>электрошокового оружия и перцового аэрозоля и предоставлять Комитету информацию по этому вопросу.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Неправомерное обращение со стороны сотрудников полиции на основе расового профилирования</w:t>
      </w:r>
      <w:r>
        <w:t xml:space="preserve"> </w:t>
      </w:r>
    </w:p>
    <w:p w:rsidR="009E71BD" w:rsidRPr="001904A0" w:rsidRDefault="009E71BD" w:rsidP="009E71BD">
      <w:pPr>
        <w:pStyle w:val="SingleTxtG"/>
      </w:pPr>
      <w:r>
        <w:t>44.</w:t>
      </w:r>
      <w:r>
        <w:tab/>
        <w:t>Отмечая существующие программы специальной подготовки для борьбы с расовым профилированием со стороны сотрудников правоохранительных органов, Комитет, однако, выражает обеспокоенность по поводу сообщений о том, что сотрудники полиции продолжают останавливать и досматривать главным образом представителей расовых меньшинств, подвергая их обращению, унижающему их достоинство. Он также сожалеет об отсутствии систематического мониторинга и регистрации того, как сотрудники полиции выполняют свои полномочия по остановке и досмотру людей (статьи 2, 12</w:t>
      </w:r>
      <w:r w:rsidR="005E5CBF">
        <w:t>–</w:t>
      </w:r>
      <w:r>
        <w:t xml:space="preserve">14 и 16). 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Государству-участнику следует принять меры для мониторинга и предупреждения произвольных остановок, досмотров и задержаний на основе расового профилирования и обеспечить надлежащее и эффективное применение принудительных мер.</w:t>
      </w:r>
      <w:r>
        <w:t xml:space="preserve"> </w:t>
      </w:r>
      <w:r>
        <w:rPr>
          <w:b/>
          <w:bCs/>
        </w:rPr>
        <w:t>В этой связи ему следует провести исследование в отношении этой практики с целью выявления ее причин и поиска эффективных решений.</w:t>
      </w:r>
      <w:r>
        <w:t xml:space="preserve"> </w:t>
      </w:r>
      <w:r>
        <w:rPr>
          <w:b/>
          <w:bCs/>
        </w:rPr>
        <w:t>Ему следует также активизировать усилия по организации учебно-просветительских программ для сотрудников полиции в целях борьбы с предрассудками и стереотипами и проводить регулярные оценки их воздействия и эффективности.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Торговля людьми</w:t>
      </w:r>
      <w:r>
        <w:t xml:space="preserve"> </w:t>
      </w:r>
    </w:p>
    <w:p w:rsidR="009E71BD" w:rsidRPr="001904A0" w:rsidRDefault="009E71BD" w:rsidP="009E71BD">
      <w:pPr>
        <w:pStyle w:val="SingleTxtG"/>
      </w:pPr>
      <w:r>
        <w:t>46.</w:t>
      </w:r>
      <w:r>
        <w:tab/>
        <w:t>Отмечая позитивные шаги, предпринятые государством-участником, включая исследование, проведенное Национальным докладчиком Нидерландов по вопросу о торговле людьми и сексуальном насилии в отношении детей, и организацию учебных курсов по выявлению признаков торговли людьми для сотрудников Министерства социальных дел и занятости, Комитет, однако, выражает обеспокоенность по поводу  большого числа жертв зарегистрированных случаев торговли детьми (2 014 детей в 2014</w:t>
      </w:r>
      <w:r w:rsidR="005E5CBF">
        <w:t>–</w:t>
      </w:r>
      <w:r>
        <w:t>2015 годах) и, по имеющейся информации, еще большого числа жертв незарегистрированных случаев такой торговли. Отмечая ряд кампаний по повышению уровня осведомленности о трудовой и сексуальной эксплуатации, Комитет выражает сохраняющуюся обеспокоенность по поводу сообщений о низком уровне осведомленности среди государственных должностных лиц и других специалистов, включая медицинских работников, которые могут контактировать с жертвами торговли людьми (статьи 2, 12, 14 и 16).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следует активизировать усилия в целях:</w:t>
      </w:r>
    </w:p>
    <w:p w:rsidR="009E71BD" w:rsidRPr="005E5CBF" w:rsidRDefault="009E71BD" w:rsidP="009E71BD">
      <w:pPr>
        <w:pStyle w:val="SingleTxtG"/>
        <w:rPr>
          <w:b/>
          <w:bCs/>
        </w:rPr>
      </w:pPr>
      <w:r w:rsidRPr="005E5CBF">
        <w:rPr>
          <w:b/>
        </w:rPr>
        <w:tab/>
      </w:r>
      <w:r w:rsidR="005E5CBF">
        <w:rPr>
          <w:b/>
        </w:rPr>
        <w:tab/>
      </w:r>
      <w:r w:rsidRPr="005E5CBF">
        <w:rPr>
          <w:b/>
        </w:rPr>
        <w:t>а)</w:t>
      </w:r>
      <w:r w:rsidRPr="005E5CBF">
        <w:rPr>
          <w:b/>
        </w:rPr>
        <w:tab/>
      </w:r>
      <w:r w:rsidRPr="005E5CBF">
        <w:rPr>
          <w:b/>
          <w:bCs/>
        </w:rPr>
        <w:t>предупреждения и пресечения торговли людьми, в частности торговли детьми;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b)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укрепить программы подготовки для сотрудников полиции, прокуроров и судей по вопросам эффективного предупреждения и расследования случаев торговли людьми, а также судебного преследования и наказания виновных, и повышать уровень осведомленности соответствующих муниципальных должностных лиц и населения в целом об уголовном характере таких деяний;</w:t>
      </w:r>
    </w:p>
    <w:p w:rsidR="009E71BD" w:rsidRPr="001904A0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c)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обеспечить расследование случаев торговли людьми, судебное преследование виновных и, при вынесении им обвинительного приговора, н</w:t>
      </w:r>
      <w:r w:rsidR="009E71BD">
        <w:rPr>
          <w:b/>
          <w:bCs/>
        </w:rPr>
        <w:t>азначение надлежащих мер наказания, а также обеспечить надлежащее возмещение ущерба жертвам, в том числе предоставление им должной компенсации.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Насилие в отношении женщин</w:t>
      </w:r>
    </w:p>
    <w:p w:rsidR="009E71BD" w:rsidRPr="001904A0" w:rsidRDefault="009E71BD" w:rsidP="009E71BD">
      <w:pPr>
        <w:pStyle w:val="SingleTxtG"/>
      </w:pPr>
      <w:r>
        <w:t>48.</w:t>
      </w:r>
      <w:r>
        <w:tab/>
        <w:t xml:space="preserve">Отмечая шаги, предпринятые государством-участником для решения проблемы насилия в отношении женщин, Комитет, однако, выражает обеспокоенность по поводу действий или бездействия, допускаемых с ведома или молчаливого согласия государственных должностных лиц, в связи с широким распространением насилия в отношении женщин, в частности насилия в семье и преступлений, связанных с защитой чести. Он обеспокоен сообщениями о том, что муниципальные власти не принимают надлежащих мер для защиты жертв таких преступлений, которым часто приходится ждать, пока они получат доступ к услугам по поддержке. Комитет также сожалеет об отсутствии последних статистических данных о количестве жалоб, касающихся насилия в семье, а также дезагрегированных данных о случаях применения насилия к женщинам на Арубе, Кюрасао и Синт-Мартене (статьи 2, 13, 14 и 16). 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Государству-участнику следует: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а)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активизировать усилия по борьбе с насилием в отношении женщин, в частности с насилием в семье и преступлениями, связанными с защитой чести, во всех странах, входящих в состав государства-участника, в том числе путем принятия надлежащих мер защиты и выделения достаточных финансовых средств, ресурсов и персонала;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b)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обеспечить, чтобы все жертвы насилия в отношении женщин, включая мигрантов и малоимущих, имели надлежащий доступ к медицинским и юридическим услугам, консультационной поддержке, безопасному временному убежищу и приютам;</w:t>
      </w:r>
    </w:p>
    <w:p w:rsidR="009E71BD" w:rsidRPr="001904A0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c)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собирать всеобъемлющие статистические данные о всех формах насилия, которым подвергаются женщины в результате действий или бездействия государственных должностных лиц и других лиц, ответственность за которые в соответствии с Конвенцией ложится на государство, и представлять их Комитету с у</w:t>
      </w:r>
      <w:r w:rsidR="009E71BD">
        <w:rPr>
          <w:b/>
          <w:bCs/>
        </w:rPr>
        <w:t>казанием числа лиц, которым были предъявлены обвинения, которые подверглись судебному преследованию и которым было назначено наказание по факту пыток, неправомерного обращения или совершения других преступлений, предусмотренных Уголовным кодексом.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Лесбиянки, геи, бисексуалы и трансгендеры</w:t>
      </w:r>
      <w:r>
        <w:t xml:space="preserve"> </w:t>
      </w:r>
    </w:p>
    <w:p w:rsidR="009E71BD" w:rsidRPr="001904A0" w:rsidRDefault="009E71BD" w:rsidP="009E71BD">
      <w:pPr>
        <w:pStyle w:val="SingleTxtG"/>
      </w:pPr>
      <w:r>
        <w:t>50.</w:t>
      </w:r>
      <w:r>
        <w:tab/>
        <w:t>Комитет обеспокоен сообщениями о том, что многие лесбиянки, геи, бисексуалы и трансгендеры становятся жертвами преступлений на почве ненависти по причине их сексуальной ориентации или гендерной идентичности и что предполагаемые виновные не всегда привлекаются к судебной ответственности (статьи 2, 12, 14 и 16).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51.</w:t>
      </w:r>
      <w:r>
        <w:tab/>
      </w:r>
      <w:r w:rsidRPr="001A2513">
        <w:rPr>
          <w:b/>
        </w:rPr>
        <w:t>Государству-участнику следует принять все необходимые меры для защиты лесбиянок, геев, бисексуалов и трансгендеров от угроз и любых форм насилия, включая преступления на почве ненависти.</w:t>
      </w:r>
      <w:r>
        <w:t xml:space="preserve"> </w:t>
      </w:r>
      <w:r>
        <w:rPr>
          <w:b/>
          <w:bCs/>
        </w:rPr>
        <w:t>Ему следует обеспечить проведение безотлагательных, беспристрастных и тщательных расследований в связи с актами насилия в отношении лесбиянок, геев, бисексуалов и трансгендеров, а также преследование и наказание виновных в судебном порядке.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Интерсексуалы</w:t>
      </w:r>
    </w:p>
    <w:p w:rsidR="009E71BD" w:rsidRPr="001904A0" w:rsidRDefault="009E71BD" w:rsidP="009E71BD">
      <w:pPr>
        <w:pStyle w:val="SingleTxtG"/>
      </w:pPr>
      <w:r>
        <w:t>52.</w:t>
      </w:r>
      <w:r>
        <w:tab/>
        <w:t>Государство-участник обеспокоено сообщениями о том, что дети-интерсексуалы подвергаются необоснованным и необратимым хирургическим операциям и другим видам медицинского вмешательства без предварительного получения их осознанного согласия и проведения б</w:t>
      </w:r>
      <w:r w:rsidR="005E5CBF">
        <w:t>еспристрастных консультаций. Он </w:t>
      </w:r>
      <w:r>
        <w:t>обеспокоен тем, что в связи с такими манипуляциями, которые причиняют длительные физические и душевные страдания, не обеспечивается проведение расследований, наказание виновных и возмещение ущерба и что в законодательстве отсутствуют конкретные положения, предусматривающие возмещение ущерба и реабилитацию жертв.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Государству-участнику следует: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а)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принять законодательные, административные и другие меры, необходимые для обеспечения уважения физической неприкосновенности и независимости интерсексуалов и недопущения проведения несрочных медицинских, в частности хирургических, манипуляций в отношении соответствующих младенцев или детей с целью выбора пола ребенка без его осознанного согласия;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b)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гарантировать предоставление беспристрастных консультативных услуг и психологической и социальной поддержки всем детям-интерсексуалам и их родителям, с тем чтобы информировать их о последствиях необоснованных и необратимых хирургических операций и других видов медицинского вмешательства с целью выбора пола ребенка, а также о возможности отложить принятие решения о таком вмешательстве или операции до тех пор, пока соответствующие лица смогут принимать самостоятельные решения;</w:t>
      </w:r>
    </w:p>
    <w:p w:rsidR="009E71BD" w:rsidRPr="005E5CBF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c)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гарантировать получение полного, свободного и осознанного согласия в связи с проведением медицинских, в частности хирургических, манипуляций в отношении интерсексуалов и перенесение несрочного и необратимого медицинского вмешательства на период, когда соответствующий ребенок будет достаточно зрелым, чтобы принимать участие в принятии решений и давать свое юридическое согласие;</w:t>
      </w:r>
    </w:p>
    <w:p w:rsidR="009E71BD" w:rsidRPr="001904A0" w:rsidRDefault="005E5CBF" w:rsidP="009E71BD">
      <w:pPr>
        <w:pStyle w:val="SingleTxtG"/>
        <w:rPr>
          <w:b/>
          <w:bCs/>
        </w:rPr>
      </w:pPr>
      <w:r>
        <w:rPr>
          <w:b/>
        </w:rPr>
        <w:tab/>
      </w:r>
      <w:r w:rsidR="009E71BD" w:rsidRPr="005E5CBF">
        <w:rPr>
          <w:b/>
        </w:rPr>
        <w:tab/>
        <w:t>d)</w:t>
      </w:r>
      <w:r w:rsidR="009E71BD" w:rsidRPr="005E5CBF">
        <w:rPr>
          <w:b/>
        </w:rPr>
        <w:tab/>
      </w:r>
      <w:r w:rsidR="009E71BD" w:rsidRPr="005E5CBF">
        <w:rPr>
          <w:b/>
          <w:bCs/>
        </w:rPr>
        <w:t>расследовать случаи проведения хирургических или иных медицинских м</w:t>
      </w:r>
      <w:r w:rsidR="009E71BD">
        <w:rPr>
          <w:b/>
          <w:bCs/>
        </w:rPr>
        <w:t>анипуляций в отношении интерсексуалов без их юридического согласия и преследовать и, в случае установления их ответственности, наказывать в судебном порядке виновных.</w:t>
      </w:r>
      <w:r w:rsidR="009E71BD">
        <w:t xml:space="preserve"> </w:t>
      </w:r>
      <w:r w:rsidR="009E71BD">
        <w:rPr>
          <w:b/>
          <w:bCs/>
        </w:rPr>
        <w:t>Ему следует также обеспечить, чтобы жертвам предоставлялось возмещение ущерба, включая надлежащую компенсацию.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Возмещение ущерба</w:t>
      </w:r>
    </w:p>
    <w:p w:rsidR="009E71BD" w:rsidRPr="001904A0" w:rsidRDefault="009E71BD" w:rsidP="009E71BD">
      <w:pPr>
        <w:pStyle w:val="SingleTxtG"/>
      </w:pPr>
      <w:r>
        <w:t>54.</w:t>
      </w:r>
      <w:r>
        <w:tab/>
        <w:t xml:space="preserve">Отмечая, что в 2017 году вступил в силу закон об осуществлении директивы 2012/29/EU, устанавливающей минимальные стандарты в отношении прав и защиты жертв преступлений, Комитет, однако, выражает обеспокоенность по </w:t>
      </w:r>
      <w:r w:rsidR="00FE055C">
        <w:t>поводу отсутствия</w:t>
      </w:r>
      <w:r>
        <w:t xml:space="preserve"> информации о назначенных судами или другими государственными органами мерах по возмещению и компенсации, которые фактически были предоставлены жертвам пыток и неправомерного обращения или их семьям на Арубе, Кюрасао и Синт-Мартене (статья 14). 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Государству-участнику следует гарантировать на законодательном уровне, чтобы жертвы пыток или неправомерного обращения получали полное и эффективное возмещение и восполнение, включая компенсацию и другие средства для как можно более полной реабилитации.</w:t>
      </w:r>
      <w:r>
        <w:t xml:space="preserve"> </w:t>
      </w:r>
      <w:r>
        <w:rPr>
          <w:b/>
          <w:bCs/>
        </w:rPr>
        <w:t>В частности, Арубе, Кюрасао и Синт-Мартену следует активизировать усилия по устранению существующих в законодательстве и на практике факторов, препятствующих предоставлению надлежащей компенсации жертвам.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3 (2012) об осуществлении статьи 14 государствами-участниками, в котором он подробно разъясняет содержание и сферу охвата обязательств государств-участников в отношении обеспечения полного возмещения ущерба жертвам пыток и неправомерного обращения.</w:t>
      </w:r>
      <w:r>
        <w:t xml:space="preserve"> </w:t>
      </w:r>
      <w:r>
        <w:rPr>
          <w:b/>
          <w:bCs/>
        </w:rPr>
        <w:t>Государству-участнику следует также представить Комитету информацию о мерах по возмещению ущерба и компенсации, включая средства реабилитации, которые были назначены по решению судов или других государственных органов и которые были реально приняты в отношении жертв пыток или неправомерного обращения.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:rsidR="009E71BD" w:rsidRPr="001904A0" w:rsidRDefault="009E71BD" w:rsidP="009E71BD">
      <w:pPr>
        <w:pStyle w:val="SingleTxtG"/>
      </w:pPr>
      <w:r>
        <w:t>56.</w:t>
      </w:r>
      <w:r>
        <w:tab/>
        <w:t xml:space="preserve">Принимая к сведению данные, представленные в приложении к докладу государства-участника, Комитет, однако, выражает обеспокоенность по поводу отсутствия дезагрегированных данных о количестве жалоб, расследований, судебных преследований, обвинительных приговоров и наказаний, связанных со </w:t>
      </w:r>
      <w:r w:rsidR="00FE055C">
        <w:t>случаями применения</w:t>
      </w:r>
      <w:r>
        <w:t xml:space="preserve"> пыток и неправомерного обращения на всей территории государства-участника. 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С учетом вынесенных ранее Комитетом рекомендаций (CAT/C/NLD/</w:t>
      </w:r>
      <w:r w:rsidR="005E5CBF">
        <w:rPr>
          <w:b/>
          <w:bCs/>
        </w:rPr>
        <w:br/>
      </w:r>
      <w:r>
        <w:rPr>
          <w:b/>
          <w:bCs/>
        </w:rPr>
        <w:t>CO/5-6, пункт 30), государству-участнику следует собрать и представить Комитету подробные статистические данные в разбивке по видам преступлений, этнической принадлежности, возрасту и полу, имеющие отношение к мониторингу хода осуществления Конвенции на национальном уровне, в том числе данные о жалобах, расследованиях, судебных преследованиях, обвинительных приговорах и уголовных или дисциплинарных мерах наказания, связанных со случаями применения пыток и неправомерного обращения сотрудниками правоохранительных органов, служб безопасности и пенитенциарных учреждений, а также</w:t>
      </w:r>
      <w:r>
        <w:t xml:space="preserve"> </w:t>
      </w:r>
      <w:r>
        <w:rPr>
          <w:b/>
          <w:bCs/>
        </w:rPr>
        <w:t>военнослужащими, и о мерах по возмещению ущерба, в том числе о компенсации и реабилитации, предоставленных жертвам.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Процедура последующей деятельности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 xml:space="preserve">Комитет просит государство-участник представить не позднее 7 декабря 2019 года информацию о последующих мерах по выполнению рекомендаций Комитета, касающихся недопустимости принудительного возвращения, медицинского освидетельствования в рамках процедуры предоставления убежища и Национального агентства по предупреждению пыток </w:t>
      </w:r>
      <w:r w:rsidR="005E5CBF">
        <w:rPr>
          <w:b/>
          <w:bCs/>
        </w:rPr>
        <w:br/>
        <w:t>(см. пункты 12 </w:t>
      </w:r>
      <w:r>
        <w:rPr>
          <w:b/>
          <w:bCs/>
        </w:rPr>
        <w:t>а) и b), 14 а) и b) и 23 выше).</w:t>
      </w:r>
      <w:r>
        <w:t xml:space="preserve"> </w:t>
      </w:r>
      <w:r>
        <w:rPr>
          <w:b/>
          <w:bCs/>
        </w:rPr>
        <w:t>В этой связи государству-участнику предлагается сообщить Комитету о своих планах по выполнению в предстоящий отчетный период некоторых или всех оставшихся рекомендаций, содержащихся в заключительных замечаниях.</w:t>
      </w:r>
    </w:p>
    <w:p w:rsidR="009E71BD" w:rsidRPr="001904A0" w:rsidRDefault="009E71BD" w:rsidP="009E71BD">
      <w:pPr>
        <w:pStyle w:val="H23G"/>
      </w:pPr>
      <w:r>
        <w:tab/>
      </w:r>
      <w:r>
        <w:tab/>
      </w:r>
      <w:r>
        <w:rPr>
          <w:bCs/>
        </w:rPr>
        <w:t>Прочие вопросы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предлагает государству-участнику ратифицировать основные договоры Организации Объединенных Наций по правам человека, участником которых оно еще не является.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организации, а также сообщить Комитету о мероприятиях, проведенных с этой целью.</w:t>
      </w:r>
    </w:p>
    <w:p w:rsidR="009E71BD" w:rsidRPr="001904A0" w:rsidRDefault="009E71BD" w:rsidP="009E71BD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просит государство-участник представить свой следующий периодический доклад, который будет восьмым по счету, не позднее 7 декабря 2022 года.</w:t>
      </w:r>
      <w:r>
        <w:t xml:space="preserve"> </w:t>
      </w:r>
      <w:r>
        <w:rPr>
          <w:b/>
          <w:bCs/>
        </w:rPr>
        <w:t>В этой связи и с учетом того, что государство-участник согласилось представлять Комитету доклады в соответствии с упрощенной процедурой отчетности, Комитет в установленном порядке препроводит государству-участнику перечень вопросов, предваряющий представление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и будут представлять собой его восьмой периодический доклад в соответствии со статьей 19 Конвенции.</w:t>
      </w:r>
    </w:p>
    <w:p w:rsidR="009E71BD" w:rsidRPr="009E71BD" w:rsidRDefault="009E71BD" w:rsidP="009E71B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9E71BD" w:rsidRDefault="00381C24" w:rsidP="00041407"/>
    <w:sectPr w:rsidR="00381C24" w:rsidRPr="009E71BD" w:rsidSect="009E71B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809" w:rsidRPr="00A312BC" w:rsidRDefault="00B96809" w:rsidP="00A312BC"/>
  </w:endnote>
  <w:endnote w:type="continuationSeparator" w:id="0">
    <w:p w:rsidR="00B96809" w:rsidRPr="00A312BC" w:rsidRDefault="00B9680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1BD" w:rsidRPr="009E71BD" w:rsidRDefault="009E71BD">
    <w:pPr>
      <w:pStyle w:val="a8"/>
    </w:pPr>
    <w:r w:rsidRPr="009E71BD">
      <w:rPr>
        <w:b/>
        <w:sz w:val="18"/>
      </w:rPr>
      <w:fldChar w:fldCharType="begin"/>
    </w:r>
    <w:r w:rsidRPr="009E71BD">
      <w:rPr>
        <w:b/>
        <w:sz w:val="18"/>
      </w:rPr>
      <w:instrText xml:space="preserve"> PAGE  \* MERGEFORMAT </w:instrText>
    </w:r>
    <w:r w:rsidRPr="009E71BD">
      <w:rPr>
        <w:b/>
        <w:sz w:val="18"/>
      </w:rPr>
      <w:fldChar w:fldCharType="separate"/>
    </w:r>
    <w:r w:rsidR="00C83A7D">
      <w:rPr>
        <w:b/>
        <w:noProof/>
        <w:sz w:val="18"/>
      </w:rPr>
      <w:t>16</w:t>
    </w:r>
    <w:r w:rsidRPr="009E71BD">
      <w:rPr>
        <w:b/>
        <w:sz w:val="18"/>
      </w:rPr>
      <w:fldChar w:fldCharType="end"/>
    </w:r>
    <w:r>
      <w:rPr>
        <w:b/>
        <w:sz w:val="18"/>
      </w:rPr>
      <w:tab/>
    </w:r>
    <w:r>
      <w:t>GE.18-22087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1BD" w:rsidRPr="009E71BD" w:rsidRDefault="009E71BD" w:rsidP="009E71BD">
    <w:pPr>
      <w:pStyle w:val="a8"/>
      <w:tabs>
        <w:tab w:val="clear" w:pos="9639"/>
        <w:tab w:val="right" w:pos="9638"/>
      </w:tabs>
      <w:rPr>
        <w:b/>
        <w:sz w:val="18"/>
      </w:rPr>
    </w:pPr>
    <w:r>
      <w:t>GE.18-22087</w:t>
    </w:r>
    <w:r>
      <w:tab/>
    </w:r>
    <w:r w:rsidRPr="009E71BD">
      <w:rPr>
        <w:b/>
        <w:sz w:val="18"/>
      </w:rPr>
      <w:fldChar w:fldCharType="begin"/>
    </w:r>
    <w:r w:rsidRPr="009E71BD">
      <w:rPr>
        <w:b/>
        <w:sz w:val="18"/>
      </w:rPr>
      <w:instrText xml:space="preserve"> PAGE  \* MERGEFORMAT </w:instrText>
    </w:r>
    <w:r w:rsidRPr="009E71BD">
      <w:rPr>
        <w:b/>
        <w:sz w:val="18"/>
      </w:rPr>
      <w:fldChar w:fldCharType="separate"/>
    </w:r>
    <w:r w:rsidR="00C83A7D">
      <w:rPr>
        <w:b/>
        <w:noProof/>
        <w:sz w:val="18"/>
      </w:rPr>
      <w:t>17</w:t>
    </w:r>
    <w:r w:rsidRPr="009E71B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9E71BD" w:rsidRDefault="009E71BD" w:rsidP="009E71BD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5D169D8A" wp14:editId="47A69FF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18-22087  (R)</w:t>
    </w:r>
    <w:r>
      <w:rPr>
        <w:lang w:val="en-US"/>
      </w:rPr>
      <w:t xml:space="preserve">   120319  130319</w:t>
    </w:r>
    <w:r>
      <w:br/>
    </w:r>
    <w:r w:rsidRPr="009E71BD">
      <w:rPr>
        <w:rFonts w:ascii="C39T30Lfz" w:hAnsi="C39T30Lfz"/>
        <w:kern w:val="14"/>
        <w:sz w:val="56"/>
      </w:rPr>
      <w:t></w:t>
    </w:r>
    <w:r w:rsidRPr="009E71BD">
      <w:rPr>
        <w:rFonts w:ascii="C39T30Lfz" w:hAnsi="C39T30Lfz"/>
        <w:kern w:val="14"/>
        <w:sz w:val="56"/>
      </w:rPr>
      <w:t></w:t>
    </w:r>
    <w:r w:rsidRPr="009E71BD">
      <w:rPr>
        <w:rFonts w:ascii="C39T30Lfz" w:hAnsi="C39T30Lfz"/>
        <w:kern w:val="14"/>
        <w:sz w:val="56"/>
      </w:rPr>
      <w:t></w:t>
    </w:r>
    <w:r w:rsidRPr="009E71BD">
      <w:rPr>
        <w:rFonts w:ascii="C39T30Lfz" w:hAnsi="C39T30Lfz"/>
        <w:kern w:val="14"/>
        <w:sz w:val="56"/>
      </w:rPr>
      <w:t></w:t>
    </w:r>
    <w:r w:rsidRPr="009E71BD">
      <w:rPr>
        <w:rFonts w:ascii="C39T30Lfz" w:hAnsi="C39T30Lfz"/>
        <w:kern w:val="14"/>
        <w:sz w:val="56"/>
      </w:rPr>
      <w:t></w:t>
    </w:r>
    <w:r w:rsidRPr="009E71BD">
      <w:rPr>
        <w:rFonts w:ascii="C39T30Lfz" w:hAnsi="C39T30Lfz"/>
        <w:kern w:val="14"/>
        <w:sz w:val="56"/>
      </w:rPr>
      <w:t></w:t>
    </w:r>
    <w:r w:rsidRPr="009E71BD">
      <w:rPr>
        <w:rFonts w:ascii="C39T30Lfz" w:hAnsi="C39T30Lfz"/>
        <w:kern w:val="14"/>
        <w:sz w:val="56"/>
      </w:rPr>
      <w:t></w:t>
    </w:r>
    <w:r w:rsidRPr="009E71BD">
      <w:rPr>
        <w:rFonts w:ascii="C39T30Lfz" w:hAnsi="C39T30Lfz"/>
        <w:kern w:val="14"/>
        <w:sz w:val="56"/>
      </w:rPr>
      <w:t></w:t>
    </w:r>
    <w:r w:rsidRPr="009E71BD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AT/C/NLD/CO/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NLD/CO/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809" w:rsidRPr="001075E9" w:rsidRDefault="00B9680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96809" w:rsidRDefault="00B9680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9E71BD" w:rsidRPr="001904A0" w:rsidRDefault="009E71BD" w:rsidP="009E71BD">
      <w:pPr>
        <w:pStyle w:val="ad"/>
      </w:pPr>
      <w:r>
        <w:tab/>
        <w:t>*</w:t>
      </w:r>
      <w:r>
        <w:tab/>
        <w:t>Приняты Комитетом на его шестьдесят пятой сессии (12 ноября – 7 декабря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1BD" w:rsidRPr="009E71BD" w:rsidRDefault="00C83A7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CAT/C/NLD/CO/7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1BD" w:rsidRPr="009E71BD" w:rsidRDefault="00C83A7D" w:rsidP="009E71B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CAT/C/NLD/CO/7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809"/>
    <w:rsid w:val="00033EE1"/>
    <w:rsid w:val="00041407"/>
    <w:rsid w:val="00042B72"/>
    <w:rsid w:val="000558BD"/>
    <w:rsid w:val="000725B5"/>
    <w:rsid w:val="000814CD"/>
    <w:rsid w:val="000B57E7"/>
    <w:rsid w:val="000B6373"/>
    <w:rsid w:val="000C657C"/>
    <w:rsid w:val="000E255F"/>
    <w:rsid w:val="000F09DF"/>
    <w:rsid w:val="000F61B2"/>
    <w:rsid w:val="001075E9"/>
    <w:rsid w:val="00125A31"/>
    <w:rsid w:val="00180183"/>
    <w:rsid w:val="0018024D"/>
    <w:rsid w:val="0018649F"/>
    <w:rsid w:val="00196389"/>
    <w:rsid w:val="001B3EF6"/>
    <w:rsid w:val="001C7A89"/>
    <w:rsid w:val="002A0F93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E5CBF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802C7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9E71BD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63378"/>
    <w:rsid w:val="00B96809"/>
    <w:rsid w:val="00BC18B2"/>
    <w:rsid w:val="00BD33EE"/>
    <w:rsid w:val="00C106D6"/>
    <w:rsid w:val="00C23549"/>
    <w:rsid w:val="00C3658B"/>
    <w:rsid w:val="00C60F0C"/>
    <w:rsid w:val="00C805C9"/>
    <w:rsid w:val="00C838C6"/>
    <w:rsid w:val="00C83A7D"/>
    <w:rsid w:val="00C92939"/>
    <w:rsid w:val="00CA1679"/>
    <w:rsid w:val="00CB151C"/>
    <w:rsid w:val="00CE5A1A"/>
    <w:rsid w:val="00CF55F6"/>
    <w:rsid w:val="00D33D63"/>
    <w:rsid w:val="00D7263B"/>
    <w:rsid w:val="00D90028"/>
    <w:rsid w:val="00D90138"/>
    <w:rsid w:val="00DB302A"/>
    <w:rsid w:val="00DF71B9"/>
    <w:rsid w:val="00E21169"/>
    <w:rsid w:val="00E528D1"/>
    <w:rsid w:val="00E67740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055C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5B07489-83CE-4B99-B393-D3C0D1B28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9E71B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17</Pages>
  <Words>7061</Words>
  <Characters>49395</Characters>
  <Application>Microsoft Office Word</Application>
  <DocSecurity>0</DocSecurity>
  <Lines>872</Lines>
  <Paragraphs>167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CAT/C/NLD/CO/7</vt:lpstr>
      <vt:lpstr>A/</vt:lpstr>
      <vt:lpstr>A/</vt:lpstr>
      <vt:lpstr>A/</vt:lpstr>
    </vt:vector>
  </TitlesOfParts>
  <Company>DCM</Company>
  <LinksUpToDate>false</LinksUpToDate>
  <CharactersWithSpaces>56538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CAT/C/NLD/CO/7</dc:title>
  <dc:subject/>
  <dc:creator>Anna BLAGODATSKIKH</dc:creator>
  <cp:keywords/>
  <cp:lastModifiedBy>Tatiana Chvets</cp:lastModifiedBy>
  <cp:revision>3</cp:revision>
  <cp:lastPrinted>2019-03-14T08:57:00Z</cp:lastPrinted>
  <dcterms:created xsi:type="dcterms:W3CDTF">2019-03-14T08:57:00Z</dcterms:created>
  <dcterms:modified xsi:type="dcterms:W3CDTF">2019-03-14T08:57:00Z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