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7.45pt;width:198pt;height:18pt;z-index:1;mso-position-horizontal-relative:page" stroked="f">
            <v:textbox style="mso-next-textbox:#_x0000_s1028" inset="0,0,0,0">
              <w:txbxContent>
                <w:p w:rsidR="00000000" w:rsidRDefault="00000000">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41272</w:t>
                  </w:r>
                  <w:r>
                    <w:rPr>
                      <w:lang w:val="en-US"/>
                    </w:rPr>
                    <w:fldChar w:fldCharType="end"/>
                  </w:r>
                  <w:r>
                    <w:rPr>
                      <w:lang w:val="en-US"/>
                    </w:rPr>
                    <w:t xml:space="preserve">   (R)</w:t>
                  </w:r>
                  <w:r>
                    <w:rPr>
                      <w:lang w:val="en-US"/>
                    </w:rPr>
                    <w:tab/>
                    <w:t>070606    130706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716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CERD/C/IDN/3</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4 April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pPr>
      <w:r>
        <w:t>КОМИТЕТ ПО ЛИКВИДАЦИИ</w:t>
      </w:r>
      <w:r>
        <w:br/>
        <w:t>РАСОВОЙ ДИСКРИМИНАЦИИ</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jc w:val="center"/>
        <w:rPr>
          <w:b/>
          <w:bCs/>
        </w:rPr>
      </w:pPr>
      <w:r>
        <w:rPr>
          <w:b/>
          <w:bCs/>
        </w:rPr>
        <w:t>ДОКЛАДЫ, ПРЕДСТАВЛЯЕМЫЕ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Третьи периодические доклады государств-участников,</w:t>
      </w:r>
      <w:r>
        <w:rPr>
          <w:b/>
          <w:bCs/>
        </w:rPr>
        <w:br/>
        <w:t>подлежащие представлению в 2000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ИНДОНЕЗИЯ</w:t>
      </w:r>
      <w:r>
        <w:rPr>
          <w:rStyle w:val="FootnoteReference"/>
          <w:b w:val="0"/>
          <w:bCs/>
          <w:vertAlign w:val="baseline"/>
        </w:rPr>
        <w:footnoteReference w:customMarkFollows="1" w:id="1"/>
        <w:t>*</w:t>
      </w:r>
      <w:r>
        <w:rPr>
          <w:b/>
          <w:bCs/>
        </w:rPr>
        <w:t xml:space="preserve"> **  ***</w:t>
      </w:r>
    </w:p>
    <w:p w:rsidR="00000000" w:rsidRDefault="00000000">
      <w:pPr>
        <w:jc w:val="center"/>
      </w:pPr>
    </w:p>
    <w:p w:rsidR="00000000" w:rsidRDefault="00000000">
      <w:pPr>
        <w:jc w:val="right"/>
      </w:pPr>
      <w:r>
        <w:t>[17 марта 2006 года]</w:t>
      </w:r>
    </w:p>
    <w:p w:rsidR="00000000" w:rsidRDefault="00000000"/>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222"/>
          <w:tab w:val="center" w:pos="9127"/>
        </w:tabs>
        <w:spacing w:line="240" w:lineRule="auto"/>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center" w:pos="8759"/>
        </w:tabs>
        <w:spacing w:line="240" w:lineRule="auto"/>
      </w:pPr>
    </w:p>
    <w:p w:rsidR="00000000" w:rsidRDefault="00000000">
      <w:pPr>
        <w:tabs>
          <w:tab w:val="clear" w:pos="567"/>
          <w:tab w:val="clear" w:pos="1134"/>
          <w:tab w:val="clear" w:pos="1701"/>
          <w:tab w:val="clear" w:pos="2268"/>
          <w:tab w:val="clear" w:pos="6237"/>
          <w:tab w:val="right" w:leader="dot" w:pos="7655"/>
          <w:tab w:val="center" w:pos="8222"/>
          <w:tab w:val="center" w:pos="9127"/>
        </w:tabs>
        <w:spacing w:line="240" w:lineRule="auto"/>
      </w:pPr>
      <w:r>
        <w:t xml:space="preserve">Введение </w:t>
      </w:r>
      <w:r>
        <w:tab/>
      </w:r>
      <w:r>
        <w:tab/>
        <w:t xml:space="preserve"> 1 – 4</w:t>
      </w:r>
      <w:r>
        <w:tab/>
        <w:t>3</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t>I.</w:t>
      </w:r>
      <w:r>
        <w:tab/>
        <w:t xml:space="preserve">ОБЩАЯ ИНФОРМАЦИЯ </w:t>
      </w:r>
      <w:r>
        <w:tab/>
      </w:r>
      <w:r>
        <w:tab/>
        <w:t xml:space="preserve">  5 – 85</w:t>
      </w:r>
      <w:r>
        <w:tab/>
        <w:t>4</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t>А.</w:t>
      </w:r>
      <w:r>
        <w:tab/>
        <w:t xml:space="preserve">История Индонезии </w:t>
      </w:r>
      <w:r>
        <w:tab/>
      </w:r>
      <w:r>
        <w:tab/>
        <w:t xml:space="preserve">  5 – 23</w:t>
      </w:r>
      <w:r>
        <w:tab/>
        <w:t>4</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t>В.</w:t>
      </w:r>
      <w:r>
        <w:tab/>
        <w:t xml:space="preserve">Население </w:t>
      </w:r>
      <w:r>
        <w:tab/>
      </w:r>
      <w:r>
        <w:tab/>
        <w:t>24 – 31</w:t>
      </w:r>
      <w:r>
        <w:tab/>
        <w:t>8</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t>С.</w:t>
      </w:r>
      <w:r>
        <w:tab/>
        <w:t xml:space="preserve">География </w:t>
      </w:r>
      <w:r>
        <w:tab/>
      </w:r>
      <w:r>
        <w:tab/>
        <w:t>32 – 35</w:t>
      </w:r>
      <w:r>
        <w:tab/>
        <w:t>13</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r>
      <w:r>
        <w:rPr>
          <w:lang w:val="en-US"/>
        </w:rPr>
        <w:t>D</w:t>
      </w:r>
      <w:r>
        <w:t>.</w:t>
      </w:r>
      <w:r>
        <w:tab/>
        <w:t xml:space="preserve">Государственное устройство </w:t>
      </w:r>
      <w:r>
        <w:tab/>
      </w:r>
      <w:r>
        <w:tab/>
        <w:t>36 – 47</w:t>
      </w:r>
      <w:r>
        <w:tab/>
        <w:t>13</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r>
      <w:r>
        <w:rPr>
          <w:lang w:val="en-US"/>
        </w:rPr>
        <w:t>D</w:t>
      </w:r>
      <w:r>
        <w:t>.1.</w:t>
      </w:r>
      <w:r>
        <w:tab/>
        <w:t xml:space="preserve">Вооруженные силы </w:t>
      </w:r>
      <w:r>
        <w:tab/>
      </w:r>
      <w:r>
        <w:tab/>
        <w:t>48 – 50</w:t>
      </w:r>
      <w:r>
        <w:tab/>
        <w:t>18</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r>
      <w:r>
        <w:rPr>
          <w:lang w:val="en-US"/>
        </w:rPr>
        <w:t>D</w:t>
      </w:r>
      <w:r>
        <w:t>.2.</w:t>
      </w:r>
      <w:r>
        <w:tab/>
        <w:t xml:space="preserve">Полиция </w:t>
      </w:r>
      <w:r>
        <w:tab/>
      </w:r>
      <w:r>
        <w:tab/>
        <w:t>51 – 52</w:t>
      </w:r>
      <w:r>
        <w:tab/>
        <w:t>19</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r>
      <w:r>
        <w:rPr>
          <w:lang w:val="en-US"/>
        </w:rPr>
        <w:t>D</w:t>
      </w:r>
      <w:r>
        <w:t>.3.</w:t>
      </w:r>
      <w:r>
        <w:tab/>
        <w:t xml:space="preserve">Региональные органы власти </w:t>
      </w:r>
      <w:r>
        <w:tab/>
      </w:r>
      <w:r>
        <w:tab/>
        <w:t>53 – 54</w:t>
      </w:r>
      <w:r>
        <w:tab/>
        <w:t>20</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r>
      <w:r>
        <w:tab/>
        <w:t>Е.</w:t>
      </w:r>
      <w:r>
        <w:tab/>
        <w:t xml:space="preserve">Правовые рамки </w:t>
      </w:r>
      <w:r>
        <w:tab/>
      </w:r>
      <w:r>
        <w:tab/>
        <w:t>55 – 78</w:t>
      </w:r>
      <w:r>
        <w:tab/>
        <w:t>20</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rPr>
          <w:lang w:val="en-US"/>
        </w:rPr>
      </w:pPr>
      <w:r>
        <w:tab/>
      </w:r>
      <w:r>
        <w:tab/>
      </w:r>
      <w:r>
        <w:rPr>
          <w:lang w:val="en-US"/>
        </w:rPr>
        <w:t>F</w:t>
      </w:r>
      <w:r>
        <w:tab/>
        <w:t xml:space="preserve">Информационно–пропагандистская деятельность </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rPr>
          <w:lang w:val="en-US"/>
        </w:rPr>
      </w:pPr>
      <w:r>
        <w:rPr>
          <w:lang w:val="en-US"/>
        </w:rPr>
        <w:tab/>
      </w:r>
      <w:r>
        <w:rPr>
          <w:lang w:val="en-US"/>
        </w:rPr>
        <w:tab/>
      </w:r>
      <w:r>
        <w:rPr>
          <w:lang w:val="en-US"/>
        </w:rPr>
        <w:tab/>
      </w:r>
      <w:r>
        <w:t xml:space="preserve">и осуществление положений Конвенции </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pPr>
      <w:r>
        <w:rPr>
          <w:lang w:val="en-US"/>
        </w:rPr>
        <w:tab/>
      </w:r>
      <w:r>
        <w:rPr>
          <w:lang w:val="en-US"/>
        </w:rPr>
        <w:tab/>
      </w:r>
      <w:r>
        <w:rPr>
          <w:lang w:val="en-US"/>
        </w:rPr>
        <w:tab/>
      </w:r>
      <w:r>
        <w:t xml:space="preserve">на национальном уровне </w:t>
      </w:r>
      <w:r>
        <w:tab/>
      </w:r>
      <w:r>
        <w:tab/>
        <w:t>79 – 85</w:t>
      </w:r>
      <w:r>
        <w:tab/>
        <w:t>27</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r>
        <w:tab/>
        <w:t>II.</w:t>
      </w:r>
      <w:r>
        <w:tab/>
        <w:t xml:space="preserve">ИНФОРМАЦИЯ ПО СТАТЯМ 1–7 </w:t>
      </w:r>
      <w:r>
        <w:tab/>
      </w:r>
      <w:r>
        <w:tab/>
        <w:t xml:space="preserve">  86 – 167</w:t>
      </w:r>
      <w:r>
        <w:tab/>
        <w:t>29</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16" w:lineRule="auto"/>
      </w:pP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pPr>
      <w:r>
        <w:tab/>
      </w:r>
      <w:r>
        <w:tab/>
        <w:t xml:space="preserve">Статья 1 </w:t>
      </w:r>
      <w:r>
        <w:tab/>
      </w:r>
      <w:r>
        <w:tab/>
        <w:t>86 – 92</w:t>
      </w:r>
      <w:r>
        <w:tab/>
        <w:t>29</w:t>
      </w: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rPr>
          <w:sz w:val="16"/>
        </w:rPr>
      </w:pP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pPr>
      <w:r>
        <w:tab/>
      </w:r>
      <w:r>
        <w:tab/>
        <w:t xml:space="preserve">Статья 2 </w:t>
      </w:r>
      <w:r>
        <w:tab/>
      </w:r>
      <w:r>
        <w:tab/>
        <w:t xml:space="preserve">  93 – 114</w:t>
      </w:r>
      <w:r>
        <w:tab/>
        <w:t>30</w:t>
      </w: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rPr>
          <w:sz w:val="16"/>
        </w:rPr>
      </w:pP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pPr>
      <w:r>
        <w:tab/>
      </w:r>
      <w:r>
        <w:tab/>
        <w:t xml:space="preserve">Статья 3 </w:t>
      </w:r>
      <w:r>
        <w:tab/>
      </w:r>
      <w:r>
        <w:tab/>
        <w:t>115 – 124</w:t>
      </w:r>
      <w:r>
        <w:tab/>
        <w:t>35</w:t>
      </w: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rPr>
          <w:sz w:val="16"/>
        </w:rPr>
      </w:pP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pPr>
      <w:r>
        <w:tab/>
      </w:r>
      <w:r>
        <w:tab/>
        <w:t xml:space="preserve">Статья 4 </w:t>
      </w:r>
      <w:r>
        <w:tab/>
      </w:r>
      <w:r>
        <w:tab/>
        <w:t>125 – 138</w:t>
      </w:r>
      <w:r>
        <w:tab/>
        <w:t>38</w:t>
      </w: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rPr>
          <w:sz w:val="16"/>
        </w:rPr>
      </w:pP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pPr>
      <w:r>
        <w:tab/>
      </w:r>
      <w:r>
        <w:tab/>
        <w:t xml:space="preserve">Статья 5 </w:t>
      </w:r>
      <w:r>
        <w:tab/>
      </w:r>
      <w:r>
        <w:tab/>
        <w:t>139 – 151</w:t>
      </w:r>
      <w:r>
        <w:tab/>
        <w:t>40</w:t>
      </w: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rPr>
          <w:sz w:val="16"/>
        </w:rPr>
      </w:pP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pPr>
      <w:r>
        <w:tab/>
      </w:r>
      <w:r>
        <w:tab/>
        <w:t xml:space="preserve">Статья 6 </w:t>
      </w:r>
      <w:r>
        <w:tab/>
      </w:r>
      <w:r>
        <w:tab/>
        <w:t>152 – 160</w:t>
      </w:r>
      <w:r>
        <w:tab/>
        <w:t>43</w:t>
      </w: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rPr>
          <w:sz w:val="16"/>
        </w:rPr>
      </w:pP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16" w:lineRule="auto"/>
        <w:rPr>
          <w:lang w:val="en-US"/>
        </w:rPr>
      </w:pPr>
      <w:r>
        <w:tab/>
      </w:r>
      <w:r>
        <w:tab/>
        <w:t xml:space="preserve">Статья 7 </w:t>
      </w:r>
      <w:r>
        <w:tab/>
      </w:r>
      <w:r>
        <w:tab/>
        <w:t>161 – 167</w:t>
      </w:r>
      <w:r>
        <w:tab/>
      </w:r>
      <w:r>
        <w:rPr>
          <w:lang w:val="en-US"/>
        </w:rPr>
        <w:t>45</w:t>
      </w:r>
    </w:p>
    <w:p w:rsidR="00000000" w:rsidRDefault="00000000">
      <w:pPr>
        <w:tabs>
          <w:tab w:val="clear" w:pos="567"/>
          <w:tab w:val="clear" w:pos="1134"/>
          <w:tab w:val="clear" w:pos="1701"/>
          <w:tab w:val="clear" w:pos="2268"/>
          <w:tab w:val="clear" w:pos="6237"/>
          <w:tab w:val="right" w:pos="426"/>
          <w:tab w:val="left" w:pos="709"/>
          <w:tab w:val="left" w:pos="1276"/>
          <w:tab w:val="right" w:leader="dot" w:pos="7655"/>
          <w:tab w:val="center" w:pos="8222"/>
          <w:tab w:val="center" w:pos="9099"/>
        </w:tabs>
        <w:spacing w:line="240"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rPr>
          <w:lang w:val="en-US"/>
        </w:rPr>
      </w:pPr>
      <w:r>
        <w:tab/>
        <w:t>III.</w:t>
      </w:r>
      <w:r>
        <w:tab/>
        <w:t xml:space="preserve">ТРУДНОСТИ, С КОТОРЫМИ СТАЛКИВАЕТСЯ </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rPr>
          <w:lang w:val="en-US"/>
        </w:rPr>
      </w:pPr>
      <w:r>
        <w:rPr>
          <w:lang w:val="en-US"/>
        </w:rPr>
        <w:tab/>
      </w:r>
      <w:r>
        <w:rPr>
          <w:lang w:val="en-US"/>
        </w:rPr>
        <w:tab/>
      </w:r>
      <w:r>
        <w:t xml:space="preserve">ПРАВИТЕЛЬСТВО В ДЕЛЕ ОСУЩЕСТВЛЕНИЯ </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pPr>
      <w:r>
        <w:rPr>
          <w:lang w:val="en-US"/>
        </w:rPr>
        <w:tab/>
      </w:r>
      <w:r>
        <w:rPr>
          <w:lang w:val="en-US"/>
        </w:rPr>
        <w:tab/>
      </w:r>
      <w:r>
        <w:t xml:space="preserve">КОНВЕНЦИИ </w:t>
      </w:r>
      <w:r>
        <w:tab/>
      </w:r>
      <w:r>
        <w:tab/>
        <w:t>168 – 175</w:t>
      </w:r>
      <w:r>
        <w:tab/>
        <w:t>46</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pP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655"/>
          <w:tab w:val="center" w:pos="8222"/>
          <w:tab w:val="center" w:pos="9099"/>
        </w:tabs>
        <w:spacing w:line="240" w:lineRule="auto"/>
      </w:pPr>
      <w:r>
        <w:tab/>
        <w:t>IV.</w:t>
      </w:r>
      <w:r>
        <w:tab/>
        <w:t xml:space="preserve">ЗАКЛЮЧЕНИЕ </w:t>
      </w:r>
      <w:r>
        <w:tab/>
      </w:r>
      <w:r>
        <w:tab/>
        <w:t>176 – 178</w:t>
      </w:r>
      <w:r>
        <w:tab/>
        <w:t>48</w:t>
      </w:r>
    </w:p>
    <w:p w:rsidR="00000000" w:rsidRDefault="00000000">
      <w:pPr>
        <w:tabs>
          <w:tab w:val="clear" w:pos="567"/>
          <w:tab w:val="clear" w:pos="1134"/>
          <w:tab w:val="clear" w:pos="1701"/>
          <w:tab w:val="clear" w:pos="2268"/>
          <w:tab w:val="clear" w:pos="6237"/>
          <w:tab w:val="right" w:pos="426"/>
          <w:tab w:val="left" w:pos="709"/>
          <w:tab w:val="left" w:pos="1276"/>
          <w:tab w:val="left" w:pos="1843"/>
          <w:tab w:val="right" w:leader="dot" w:pos="7951"/>
          <w:tab w:val="center" w:pos="8759"/>
        </w:tabs>
        <w:spacing w:line="240" w:lineRule="auto"/>
        <w:rPr>
          <w:sz w:val="16"/>
        </w:rPr>
      </w:pPr>
    </w:p>
    <w:p w:rsidR="00000000" w:rsidRDefault="00000000">
      <w:pPr>
        <w:tabs>
          <w:tab w:val="clear" w:pos="567"/>
          <w:tab w:val="clear" w:pos="1134"/>
          <w:tab w:val="clear" w:pos="1701"/>
          <w:tab w:val="clear" w:pos="2268"/>
          <w:tab w:val="clear" w:pos="6237"/>
          <w:tab w:val="left" w:pos="840"/>
          <w:tab w:val="left" w:pos="1122"/>
          <w:tab w:val="right" w:leader="dot" w:pos="8735"/>
          <w:tab w:val="center" w:pos="9127"/>
        </w:tabs>
        <w:spacing w:line="240" w:lineRule="auto"/>
        <w:ind w:left="840" w:hanging="840"/>
        <w:rPr>
          <w:lang w:val="en-US"/>
        </w:rPr>
      </w:pPr>
      <w:r>
        <w:t xml:space="preserve">Перечень приложений </w:t>
      </w:r>
      <w:r>
        <w:tab/>
      </w:r>
      <w:r>
        <w:tab/>
      </w:r>
      <w:r>
        <w:rPr>
          <w:lang w:val="en-US"/>
        </w:rPr>
        <w:t>49</w:t>
      </w:r>
    </w:p>
    <w:p w:rsidR="00000000" w:rsidRDefault="00000000">
      <w:pPr>
        <w:tabs>
          <w:tab w:val="clear" w:pos="567"/>
          <w:tab w:val="clear" w:pos="1134"/>
          <w:tab w:val="clear" w:pos="1701"/>
          <w:tab w:val="clear" w:pos="2268"/>
          <w:tab w:val="clear" w:pos="6237"/>
          <w:tab w:val="left" w:pos="840"/>
          <w:tab w:val="left" w:pos="1122"/>
          <w:tab w:val="right" w:leader="dot" w:pos="7951"/>
          <w:tab w:val="center" w:pos="8759"/>
        </w:tabs>
        <w:spacing w:line="240" w:lineRule="auto"/>
        <w:ind w:left="840" w:hanging="840"/>
      </w:pPr>
    </w:p>
    <w:p w:rsidR="00000000" w:rsidRDefault="00000000">
      <w:pPr>
        <w:tabs>
          <w:tab w:val="clear" w:pos="1701"/>
          <w:tab w:val="clear" w:pos="2268"/>
          <w:tab w:val="clear" w:pos="6237"/>
          <w:tab w:val="left" w:pos="567"/>
          <w:tab w:val="left" w:pos="1134"/>
          <w:tab w:val="left" w:pos="1560"/>
          <w:tab w:val="right" w:leader="dot" w:pos="7750"/>
          <w:tab w:val="center" w:pos="8759"/>
        </w:tabs>
        <w:jc w:val="center"/>
        <w:rPr>
          <w:b/>
          <w:bCs/>
        </w:rPr>
      </w:pPr>
      <w:r>
        <w:br w:type="page"/>
      </w:r>
      <w:r>
        <w:rPr>
          <w:b/>
          <w:bCs/>
        </w:rPr>
        <w:t>СВОДНЫЙ ДОКЛАД РЕСПУБЛИКИ ИНДОНЕЗИИ ОБ</w:t>
      </w:r>
    </w:p>
    <w:p w:rsidR="00000000" w:rsidRDefault="00000000">
      <w:pPr>
        <w:tabs>
          <w:tab w:val="clear" w:pos="1701"/>
          <w:tab w:val="clear" w:pos="2268"/>
          <w:tab w:val="clear" w:pos="6237"/>
          <w:tab w:val="left" w:pos="567"/>
          <w:tab w:val="left" w:pos="1134"/>
          <w:tab w:val="left" w:pos="1560"/>
          <w:tab w:val="right" w:leader="dot" w:pos="7750"/>
          <w:tab w:val="center" w:pos="8759"/>
        </w:tabs>
        <w:jc w:val="center"/>
        <w:rPr>
          <w:b/>
          <w:bCs/>
        </w:rPr>
      </w:pPr>
      <w:r>
        <w:rPr>
          <w:b/>
          <w:bCs/>
        </w:rPr>
        <w:t>ОСУЩЕСТВЛЕНИИ МЕЖДУНАРОДНОЙ КОНВЕНЦИИ</w:t>
      </w:r>
    </w:p>
    <w:p w:rsidR="00000000" w:rsidRDefault="00000000">
      <w:pPr>
        <w:tabs>
          <w:tab w:val="clear" w:pos="1701"/>
          <w:tab w:val="clear" w:pos="2268"/>
          <w:tab w:val="clear" w:pos="6237"/>
          <w:tab w:val="left" w:pos="567"/>
          <w:tab w:val="left" w:pos="1134"/>
          <w:tab w:val="left" w:pos="1560"/>
          <w:tab w:val="right" w:leader="dot" w:pos="7750"/>
          <w:tab w:val="center" w:pos="8759"/>
        </w:tabs>
        <w:jc w:val="center"/>
        <w:rPr>
          <w:b/>
          <w:bCs/>
        </w:rPr>
      </w:pPr>
      <w:r>
        <w:rPr>
          <w:b/>
          <w:bCs/>
        </w:rPr>
        <w:t>О ЛИКВИДАЦИИ ВСЕХ ФОРМ РАСОВОЙ</w:t>
      </w:r>
    </w:p>
    <w:p w:rsidR="00000000" w:rsidRDefault="00000000">
      <w:pPr>
        <w:tabs>
          <w:tab w:val="clear" w:pos="1701"/>
          <w:tab w:val="clear" w:pos="2268"/>
          <w:tab w:val="clear" w:pos="6237"/>
          <w:tab w:val="left" w:pos="567"/>
          <w:tab w:val="left" w:pos="1134"/>
          <w:tab w:val="left" w:pos="1560"/>
          <w:tab w:val="right" w:leader="dot" w:pos="7750"/>
          <w:tab w:val="center" w:pos="8759"/>
        </w:tabs>
        <w:jc w:val="center"/>
        <w:rPr>
          <w:b/>
          <w:bCs/>
        </w:rPr>
      </w:pPr>
      <w:r>
        <w:rPr>
          <w:b/>
          <w:bCs/>
        </w:rPr>
        <w:t>ДИСКРИМИНАЦИИ (МКЛРД)</w:t>
      </w:r>
      <w:r>
        <w:rPr>
          <w:b/>
          <w:bCs/>
        </w:rPr>
        <w:br/>
        <w:t>(За период с 25 мая 1999</w:t>
      </w:r>
      <w:r>
        <w:rPr>
          <w:b/>
          <w:bCs/>
          <w:lang w:val="en-US"/>
        </w:rPr>
        <w:t> </w:t>
      </w:r>
      <w:r>
        <w:rPr>
          <w:b/>
          <w:bCs/>
        </w:rPr>
        <w:t>года по 25 мая 2004 года)</w:t>
      </w:r>
    </w:p>
    <w:p w:rsidR="00000000" w:rsidRDefault="00000000">
      <w:pPr>
        <w:tabs>
          <w:tab w:val="clear" w:pos="567"/>
          <w:tab w:val="clear" w:pos="1134"/>
          <w:tab w:val="clear" w:pos="1701"/>
          <w:tab w:val="clear" w:pos="2268"/>
          <w:tab w:val="clear" w:pos="6237"/>
          <w:tab w:val="left" w:pos="1122"/>
          <w:tab w:val="right" w:leader="dot" w:pos="7750"/>
          <w:tab w:val="center" w:pos="8759"/>
        </w:tabs>
        <w:jc w:val="center"/>
        <w:rPr>
          <w:b/>
          <w:bCs/>
        </w:rPr>
      </w:pPr>
    </w:p>
    <w:p w:rsidR="00000000" w:rsidRDefault="00000000">
      <w:pPr>
        <w:tabs>
          <w:tab w:val="clear" w:pos="567"/>
          <w:tab w:val="clear" w:pos="1134"/>
          <w:tab w:val="clear" w:pos="1701"/>
          <w:tab w:val="clear" w:pos="2268"/>
          <w:tab w:val="clear" w:pos="6237"/>
          <w:tab w:val="left" w:pos="1122"/>
          <w:tab w:val="right" w:leader="dot" w:pos="7750"/>
          <w:tab w:val="center" w:pos="8759"/>
        </w:tabs>
        <w:jc w:val="center"/>
        <w:rPr>
          <w:b/>
          <w:bCs/>
        </w:rPr>
      </w:pPr>
      <w:r>
        <w:rPr>
          <w:b/>
          <w:bCs/>
        </w:rPr>
        <w:t>Введение</w:t>
      </w:r>
    </w:p>
    <w:p w:rsidR="00000000" w:rsidRDefault="00000000">
      <w:pPr>
        <w:tabs>
          <w:tab w:val="clear" w:pos="567"/>
          <w:tab w:val="clear" w:pos="1134"/>
          <w:tab w:val="clear" w:pos="1701"/>
          <w:tab w:val="clear" w:pos="2268"/>
          <w:tab w:val="clear" w:pos="6237"/>
          <w:tab w:val="left" w:pos="1122"/>
          <w:tab w:val="right" w:leader="dot" w:pos="7750"/>
          <w:tab w:val="center" w:pos="8759"/>
        </w:tabs>
        <w:rPr>
          <w:b/>
          <w:bCs/>
        </w:rPr>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1.</w:t>
      </w:r>
      <w:r>
        <w:tab/>
        <w:t>Индонезия, многонациональная страна с населением приблизительно 201 млн. человек, где проживают более 1 000 этнических групп, говорящих на более 500 языках, присоединилась к Международной конвенции о ликвидации всех форм расовой дискриминации 25 июля 1999</w:t>
      </w:r>
      <w:r>
        <w:rPr>
          <w:lang w:val="en-US"/>
        </w:rPr>
        <w:t> </w:t>
      </w:r>
      <w:r>
        <w:t>года на основе Закона № 29 1999</w:t>
      </w:r>
      <w:r>
        <w:rPr>
          <w:lang w:val="en-US"/>
        </w:rPr>
        <w:t> </w:t>
      </w:r>
      <w:r>
        <w:t>года.</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2.</w:t>
      </w:r>
      <w:r>
        <w:tab/>
        <w:t>В соответствии со статьей 9 Конвенции государства-участники в течение года после вступления в силу Конвенции представляют Генеральному секретарю Организации Объединенных Наций для рассмотрения Комитетом по ликвидации всех форм расовой дискриминации первоначальный доклад о законодательных, судебных, административных и других мерах, а впоследствии каждые два года – периодические доклады.</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3.</w:t>
      </w:r>
      <w:r>
        <w:tab/>
        <w:t>Ввиду многочисленных трудностей, с которыми сталкивается Индонезия, она не смогла своевременно представить доклады об осуществлении Международной конвенции о ликвидации всех форм расовой дискриминации.  Новое правительство, сформированное в 2005 году, решило, хотя и с опозданием,  представить свои доклады об осуществлении Конвенции в соответствии со своими обязательствами, закрепленными в Национальном плане действий в области прав человека на 2004–2009 годы.</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4.</w:t>
      </w:r>
      <w:r>
        <w:tab/>
        <w:t>В этой связи и по причинам практического характера правительство хотело бы сообщить об изменениях, информация о которых должна была быть представлена в первоначальном докладе (25 мая 1999</w:t>
      </w:r>
      <w:r>
        <w:rPr>
          <w:lang w:val="en-US"/>
        </w:rPr>
        <w:t> </w:t>
      </w:r>
      <w:r>
        <w:t>года – 24 мая 2000 года), а также во втором (25 мая 2000 года – 24 мая 2002 года) и третьем (25 мая 2002 года – 24 мая 2004 года) периодических докладах.  Если это приемлемо для Комитета, то следующий доклад, а именно четвертый периодический доклад, охватывающий период 2004–2006 годов, будет своевременно представлен правительством в 2006 году.</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keepNext/>
        <w:tabs>
          <w:tab w:val="clear" w:pos="567"/>
          <w:tab w:val="clear" w:pos="1134"/>
          <w:tab w:val="clear" w:pos="1701"/>
          <w:tab w:val="clear" w:pos="2268"/>
          <w:tab w:val="clear" w:pos="6237"/>
          <w:tab w:val="left" w:pos="561"/>
          <w:tab w:val="left" w:pos="1122"/>
          <w:tab w:val="right" w:leader="dot" w:pos="7750"/>
          <w:tab w:val="center" w:pos="8759"/>
        </w:tabs>
        <w:jc w:val="center"/>
        <w:rPr>
          <w:b/>
          <w:bCs/>
        </w:rPr>
      </w:pPr>
      <w:r>
        <w:rPr>
          <w:b/>
          <w:bCs/>
        </w:rPr>
        <w:t>I.</w:t>
      </w:r>
      <w:r>
        <w:rPr>
          <w:b/>
          <w:bCs/>
        </w:rPr>
        <w:tab/>
        <w:t>ОБЩАЯ ИНФОРМАЦИЯ</w:t>
      </w:r>
    </w:p>
    <w:p w:rsidR="00000000" w:rsidRDefault="00000000">
      <w:pPr>
        <w:keepNext/>
        <w:tabs>
          <w:tab w:val="clear" w:pos="567"/>
          <w:tab w:val="clear" w:pos="1134"/>
          <w:tab w:val="clear" w:pos="1701"/>
          <w:tab w:val="clear" w:pos="2268"/>
          <w:tab w:val="clear" w:pos="6237"/>
          <w:tab w:val="left" w:pos="561"/>
          <w:tab w:val="left" w:pos="1122"/>
          <w:tab w:val="right" w:leader="dot" w:pos="7750"/>
          <w:tab w:val="center" w:pos="8759"/>
        </w:tabs>
        <w:rPr>
          <w:b/>
          <w:bCs/>
        </w:rPr>
      </w:pPr>
    </w:p>
    <w:p w:rsidR="00000000" w:rsidRDefault="00000000">
      <w:pPr>
        <w:keepNext/>
        <w:tabs>
          <w:tab w:val="clear" w:pos="567"/>
          <w:tab w:val="clear" w:pos="1134"/>
          <w:tab w:val="clear" w:pos="1701"/>
          <w:tab w:val="clear" w:pos="2268"/>
          <w:tab w:val="clear" w:pos="6237"/>
          <w:tab w:val="left" w:pos="561"/>
          <w:tab w:val="left" w:pos="1122"/>
          <w:tab w:val="right" w:leader="dot" w:pos="7750"/>
          <w:tab w:val="center" w:pos="8759"/>
        </w:tabs>
        <w:jc w:val="center"/>
        <w:rPr>
          <w:b/>
          <w:bCs/>
        </w:rPr>
      </w:pPr>
      <w:r>
        <w:rPr>
          <w:b/>
          <w:bCs/>
        </w:rPr>
        <w:t>А</w:t>
      </w:r>
      <w:r>
        <w:rPr>
          <w:b/>
          <w:bCs/>
          <w:lang w:val="en-US"/>
        </w:rPr>
        <w:t>.</w:t>
      </w:r>
      <w:r>
        <w:rPr>
          <w:b/>
          <w:bCs/>
        </w:rPr>
        <w:tab/>
        <w:t>История Индонезии</w:t>
      </w:r>
    </w:p>
    <w:p w:rsidR="00000000" w:rsidRDefault="00000000">
      <w:pPr>
        <w:keepNext/>
        <w:tabs>
          <w:tab w:val="clear" w:pos="567"/>
          <w:tab w:val="clear" w:pos="1134"/>
          <w:tab w:val="clear" w:pos="1701"/>
          <w:tab w:val="clear" w:pos="2268"/>
          <w:tab w:val="clear" w:pos="6237"/>
          <w:tab w:val="left" w:pos="561"/>
          <w:tab w:val="left" w:pos="1122"/>
          <w:tab w:val="right" w:leader="dot" w:pos="7750"/>
          <w:tab w:val="center" w:pos="8759"/>
        </w:tabs>
        <w:rPr>
          <w:b/>
          <w:bCs/>
        </w:rPr>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5.</w:t>
      </w:r>
      <w:r>
        <w:tab/>
        <w:t xml:space="preserve">Индонезийская цивилизация зародилась еще в древние времена более миллиона лет назад.  Согласно историкам, Индонезийский архипелаг первоначально заселяли древние предшественники человека, </w:t>
      </w:r>
      <w:r>
        <w:rPr>
          <w:lang w:val="en-US"/>
        </w:rPr>
        <w:t>pithecanthropus</w:t>
      </w:r>
      <w:r>
        <w:t xml:space="preserve"> </w:t>
      </w:r>
      <w:r>
        <w:rPr>
          <w:lang w:val="en-US"/>
        </w:rPr>
        <w:t>erectus</w:t>
      </w:r>
      <w:r>
        <w:t>, которые переселились на остров Ява и известны как явантропы.  Затем явантропы вымерли или перемешались с различными пришедшими позднее племенами, и сегодня население Индонезии имеет малайское происхождение.</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6.</w:t>
      </w:r>
      <w:r>
        <w:tab/>
        <w:t>Начиная с VII века до нашей эры в Индонезии появляются хорошо развитые и организованные общества.  Эти ранние индонезийцы уже умели орошать рисовые поля, использовать медь и бронзу и одомашнивать животных.  Они были анимистами, т.е. верили, что во всех предметах живут духи.</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7.</w:t>
      </w:r>
      <w:r>
        <w:tab/>
        <w:t>В III веке нашей эры в Индонезии получают распространение индуизм и буддизм, о чем свидетельствуют индусские статуи, обнаруженные на Сулавеси и Суматре.  В западной части острова Ява и в восточной части острова Калимантан были обнаружены самые ранние надписи на хинди, относимые к началу V века.</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8.</w:t>
      </w:r>
      <w:r>
        <w:tab/>
        <w:t>В VII веке в Индонезии появляются первые княжества, наибольший расцвет из которых получает суматранское индуистско-буддийское княжество Шривиджайя.  Впоследствии вплоть до ХII века наблюдается расширение внешней торговли, о чем свидетельствует распад Шривиджайи на более мелкие княжества.  В 1294 году формируется одно из самых мощных последних индуистских княжеств – Маджапахит.</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9.</w:t>
      </w:r>
      <w:r>
        <w:tab/>
        <w:t>В ХI веке в Индонезии получает распространение ислам, особенно в северной части Суматры, где на пути в Малуку и Китай останавливаются торговцы из Гуджарата (штата, расположенного в западной части Индии).  Создаются поселения арабских торговцев, а в 1292 году Марко Поло отмечает, что жители города Перлак (ныне Ачех) в северной оконечности Суматры обратились в ислам.  К моменту окончательного распада Маджапахита в начале ХVI века многие его вассальные княжества объявили себя независимыми мусульманскими государствами.</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r>
        <w:t>10.</w:t>
      </w:r>
      <w:r>
        <w:tab/>
        <w:t>К ХV веку центр власти на архипелаге переместился на Малайский полуостров, свидетельством чему стал расцвет Мелаки и торговых городов на северном побережье Явы.  К концу ХVI века на Индонезийском архипелаге значительно усиливается влияние одной из морских держав.</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pPr>
    </w:p>
    <w:p w:rsidR="00000000" w:rsidRDefault="00000000">
      <w:r>
        <w:t>11.</w:t>
      </w:r>
      <w:r>
        <w:tab/>
        <w:t xml:space="preserve">Проникновение европейцев на архипелаг началось в </w:t>
      </w:r>
      <w:r>
        <w:rPr>
          <w:lang w:val="en-US"/>
        </w:rPr>
        <w:t>XV </w:t>
      </w:r>
      <w:r>
        <w:t>веке с прибытием Марко Поло и нескольких миссионеров из Португалии, в связи с чем португальцы стали первыми европейцами, посетившими Индонезию.  Васко да Гама, еще один португальский путешественник, который в 1498 году возглавлял первую морскую экспедицию на мыс Доброй Надежды, захватил Гоа в западной части Индии, а затем направился дальше в Юго-Восточную Азию.  Однако действительно реальные действия были предприняты Алфонсу д'Албукерки, который в 1511 году захватил Малакку, а на следующий год Малуку.  После этого португальцы добились полного контроля над торговыми операциями в Индонезии, захватив и строго контролируя стратегические порты по всей Индонезии, а также в Гоа, Мозамбике и Анголе.</w:t>
      </w:r>
    </w:p>
    <w:p w:rsidR="00000000" w:rsidRDefault="00000000"/>
    <w:p w:rsidR="00000000" w:rsidRDefault="00000000">
      <w:r>
        <w:t>12.</w:t>
      </w:r>
      <w:r>
        <w:tab/>
        <w:t>Впоследствии в Индонезию проникли и другие европейцы - испанцы, голландцы и англичане.  После предпринимавшихся на протяжении многих лет попыток голландцы получили полный контроль над Индонезией.  Корнелис де Хаутман, который отправился в Индонезию в поисках специй, был первым, кто предпринял такую попытку.  Осознав огромный потенциал Индонезии, правительство Голландии приняло меры с целью слияния конкурирующих торговых компаний в объединенную Ост-Индскую компанию (</w:t>
      </w:r>
      <w:r>
        <w:rPr>
          <w:i/>
          <w:iCs/>
          <w:lang w:val="en-US"/>
        </w:rPr>
        <w:t>Vereenigde</w:t>
      </w:r>
      <w:r>
        <w:rPr>
          <w:i/>
          <w:iCs/>
        </w:rPr>
        <w:t xml:space="preserve"> </w:t>
      </w:r>
      <w:r>
        <w:rPr>
          <w:i/>
          <w:iCs/>
          <w:lang w:val="en-US"/>
        </w:rPr>
        <w:t>Oost</w:t>
      </w:r>
      <w:r>
        <w:rPr>
          <w:i/>
          <w:iCs/>
        </w:rPr>
        <w:t>-</w:t>
      </w:r>
      <w:r>
        <w:rPr>
          <w:i/>
          <w:iCs/>
          <w:lang w:val="en-US"/>
        </w:rPr>
        <w:t>Indische</w:t>
      </w:r>
      <w:r>
        <w:rPr>
          <w:i/>
          <w:iCs/>
        </w:rPr>
        <w:t xml:space="preserve"> </w:t>
      </w:r>
      <w:r>
        <w:rPr>
          <w:i/>
          <w:iCs/>
          <w:lang w:val="en-US"/>
        </w:rPr>
        <w:t>Compagnie</w:t>
      </w:r>
      <w:r>
        <w:t>) (ОИК).  Эта правительственная компания была единственной компанией, осуществлявшей морское сообщение с Индонезией.</w:t>
      </w:r>
    </w:p>
    <w:p w:rsidR="00000000" w:rsidRDefault="00000000"/>
    <w:p w:rsidR="00000000" w:rsidRDefault="00000000">
      <w:r>
        <w:t>13.</w:t>
      </w:r>
      <w:r>
        <w:tab/>
        <w:t>Присутствие португальцев и испанцев представляло собой угрозу для существования ОИК.  Голландские торговые суда были заменены хорошо вооруженным флотом с целью отражения нападений со стороны этих двух прежних завоевателей Индонезии.  К 1605 году Голландия нанесла поражения Португалии на островах Тидоре и Амбон и сама захватила эти территории.  Затем голландцы построили базы в непосредственной близости от наиболее важных морских путей в Малаккском и Зондском проливах.  В 1610 году правитель Джокьякарты, бывшее название Джакарты, разрешил голландцам построить факторию.  Такое же разрешение получили и англичане, в связи с чем отношения между голландцами и англичанами обострились, и между ними начали происходить столкновения.  Голландская фактория, впоследствии преобразованная в форт, была осаждена англичанами и жителями Джокьякарты.  Голландцы нанесли ответный удар, разрушили Джокьякарту, вынудив англичан бежать, и переименовали свой новый центр в Батавию.</w:t>
      </w:r>
    </w:p>
    <w:p w:rsidR="00000000" w:rsidRDefault="00000000"/>
    <w:p w:rsidR="00000000" w:rsidRDefault="00000000">
      <w:r>
        <w:t>14.</w:t>
      </w:r>
      <w:r>
        <w:tab/>
        <w:t>Затем под руководством Яна Питерсзона Куна голландцы начали создавать в Ост</w:t>
      </w:r>
      <w:r>
        <w:noBreakHyphen/>
        <w:t>Индии голландскую империю.  Ян Питерсзон был одаренным, но жестоким человеком.  Он почти полностью истребил коренное население острова Банда в Молуккском архипелаге;  он задумал превратить Батавию в торговый центр всей Азии - от Японии до Персии.  В то же время голландцы начали распространять свою власть над всей Индонезией.  Пользуясь своим господством на море, в 1641 году они захватили у португальцев Мелаку.  Они монополизировали внутреннюю и внешнюю торговлю Индонезии путем заключения союзов с местными властями, например с правителями Тидоре, Тернате, Матарама, Мелаки и т.д., которые разрешали лишь голландцам иметь в регионе свой флот и порты.  Для достижения своих целей голландцы использовали стратегию, известную в Индонезии как "</w:t>
      </w:r>
      <w:r>
        <w:rPr>
          <w:i/>
          <w:iCs/>
          <w:lang w:val="en-US"/>
        </w:rPr>
        <w:t>devide</w:t>
      </w:r>
      <w:r>
        <w:rPr>
          <w:i/>
          <w:iCs/>
        </w:rPr>
        <w:t xml:space="preserve"> </w:t>
      </w:r>
      <w:r>
        <w:rPr>
          <w:i/>
          <w:iCs/>
          <w:lang w:val="en-US"/>
        </w:rPr>
        <w:t>et</w:t>
      </w:r>
      <w:r>
        <w:rPr>
          <w:i/>
          <w:iCs/>
        </w:rPr>
        <w:t xml:space="preserve"> </w:t>
      </w:r>
      <w:r>
        <w:rPr>
          <w:i/>
          <w:iCs/>
          <w:lang w:val="en-US"/>
        </w:rPr>
        <w:t>impera</w:t>
      </w:r>
      <w:r>
        <w:t>", т.е. "разделяй и властвуй".  Одним из хорошо известных примеров этой стратегии является разделение княжества Матарам на два государства - Джокьякарту и Суракарту - и провокация конфликта между ними.  После завершения в 1780 году англо-голландской войны Парижский договор положил конец монополии Голландии на торговлю специями.  Это привело к тому, что владения ОИК перешли к голландскому государству и торговая империя превратилась в колониальную.</w:t>
      </w:r>
    </w:p>
    <w:p w:rsidR="00000000" w:rsidRDefault="00000000"/>
    <w:p w:rsidR="00000000" w:rsidRDefault="00000000">
      <w:r>
        <w:t>15.</w:t>
      </w:r>
      <w:r>
        <w:tab/>
        <w:t>После того как в 1811 году Франция оккупировала Голландию, англичане заняли несколько голландских владений.  Голландская Ост-Индия (Индонезия) перешла под контроль англичан.  Однако господство англичан в Индонезии длилось всего пять лет, после чего в 1816 году Англия вернула Индонезию Голландии в обмен на Малаккский пролив.</w:t>
      </w:r>
    </w:p>
    <w:p w:rsidR="00000000" w:rsidRDefault="00000000"/>
    <w:p w:rsidR="00000000" w:rsidRDefault="00000000">
      <w:r>
        <w:t>16.</w:t>
      </w:r>
      <w:r>
        <w:tab/>
        <w:t xml:space="preserve">В </w:t>
      </w:r>
      <w:r>
        <w:rPr>
          <w:lang w:val="en-US"/>
        </w:rPr>
        <w:t>XIX</w:t>
      </w:r>
      <w:r>
        <w:t xml:space="preserve"> веке на территории голландской Ост-Индии время от времени вспыхивали антиголландские восстания.  Наиболее продолжительными из них были восстание движения "Падери" на Суматре (1825-1830 годы) и Яванское восстание (1825</w:t>
      </w:r>
      <w:r>
        <w:noBreakHyphen/>
        <w:t>1830 годы).  Помимо этих двух хорошо известных восстаний по всей Индонезии вспыхивали многочисленные восстания, возглавляемые местной знатью, которая отказывалась подчиниться голландским завоевателям.</w:t>
      </w:r>
    </w:p>
    <w:p w:rsidR="00000000" w:rsidRDefault="00000000"/>
    <w:p w:rsidR="00000000" w:rsidRDefault="00000000">
      <w:r>
        <w:t>17.</w:t>
      </w:r>
      <w:r>
        <w:tab/>
        <w:t>Господство голландцев в Индонезии длилось 350 лет - от прибытия первых голландских судов в 1596 году до провозглашения независимости в 1945 году.  Однако на архипелаге существовало много областей, которые были независимы от голландцев, включая Ачех, Бали, Ломбок и Борнео.  По всей Индонезии усиливалось сопротивление против голландской колониальной империи.  Эксплуатация Индонезии голландцами способствовала промышленному развитию Нидерландов.  Благодаря Индонезии Нидерланды стали одной из крупнейших колониальных держав.</w:t>
      </w:r>
    </w:p>
    <w:p w:rsidR="00000000" w:rsidRDefault="00000000"/>
    <w:p w:rsidR="00000000" w:rsidRDefault="00000000">
      <w:r>
        <w:t>18.</w:t>
      </w:r>
      <w:r>
        <w:tab/>
        <w:t xml:space="preserve">В начале </w:t>
      </w:r>
      <w:r>
        <w:rPr>
          <w:lang w:val="en-US"/>
        </w:rPr>
        <w:t>XX</w:t>
      </w:r>
      <w:r>
        <w:t xml:space="preserve"> века в Индонезии начинает шириться национально-освободительное движение.  Несмотря на репрессии против национальных организаций, они стали выступать с единых позиций.  В 1928 году на Всеиндонезийском конгрессе молодежи было принято историческое заявление, в котором фигурировали такие понятия, как единая нация - индонезийцы, единая страна - Индонезия и единый язык - индонезийский (Бахаса Индонезия).  Одним из наиболее известных борцов за национальное освобождение был Сукарно, который создал Национальную партию Индонезии (НПИ) и вел политическую борьбу за независимость Индонезии.  Деятельность Сукарно вызвала гнев голландских колониалистов и он был брошен в тюрьму.  Однако до обретения независимости предстояло пройти еще долгий путь, даже несмотря на оккупацию Голландии Германией в 1940 году.  В начале второй мировой войны голландцы сохраняли свой контроль над Индонезией.</w:t>
      </w:r>
    </w:p>
    <w:p w:rsidR="00000000" w:rsidRDefault="00000000"/>
    <w:p w:rsidR="00000000" w:rsidRDefault="00000000">
      <w:r>
        <w:t>19.</w:t>
      </w:r>
      <w:r>
        <w:tab/>
        <w:t>Изменения стали происходить после того, как Япония напала на Перл-Харбор, и ее вооруженные силы очень скоро захватили всю Юго-Восточную Азию.  После падения Сингапура многие европейцы бежали в Австралию, а голландские колониальные власти покинули Батавию, сдав ее Японии 8 марта 1942 года.</w:t>
      </w:r>
    </w:p>
    <w:p w:rsidR="00000000" w:rsidRDefault="00000000"/>
    <w:p w:rsidR="00000000" w:rsidRDefault="00000000">
      <w:r>
        <w:t>20.</w:t>
      </w:r>
      <w:r>
        <w:tab/>
        <w:t xml:space="preserve">Затем Индонезия была оккупирована единственной империалистической азиатской державой, Японией, императорская армия которой вошла в Батавию 5 марта 1942 года, после того как голландцы потерпели поражение в войне на Тихом океане.  По прибытии японцы всячески старались показать, что они по-братски относятся к индонезийцам.  Неся индонезийский флаг вместе с флагом "восходящего солнца", они заявили, что являются "старшим восточным братом Индонезии", и обещали покончить с западным империализмом.  Японцы переименовали Батавию в Джакарту и уничтожили оставшиеся следы пребывания голландцев и других европейцев в Индонезии.  Однако вскоре уже никто не считал японцев освободителями, поскольку они начали притеснять население Индонезии и завоевали себе репутацию жестоких хозяев.  </w:t>
      </w:r>
    </w:p>
    <w:p w:rsidR="00000000" w:rsidRDefault="00000000"/>
    <w:p w:rsidR="00000000" w:rsidRDefault="00000000">
      <w:r>
        <w:t>21.</w:t>
      </w:r>
      <w:r>
        <w:tab/>
        <w:t>Оккупация Индонезии Японией не подавила стремления индонезийского народа к независимости.  Сопротивление продолжало нарастать.  Империалистические замашки японцев привели к еще большему усилению национально-освободительного движения.  Поведение японцев позволило лидерам национально-освободительного движения, например Сукарно и Мохаммаду Хатта, значительно укрепить свои позиции.</w:t>
      </w:r>
    </w:p>
    <w:p w:rsidR="00000000" w:rsidRDefault="00000000"/>
    <w:p w:rsidR="00000000" w:rsidRDefault="00000000">
      <w:r>
        <w:t>22.</w:t>
      </w:r>
      <w:r>
        <w:tab/>
        <w:t>17 августа 1945 года, после длившейся на протяжении более 350 лет борьбы против колонизаторов, Индонезия провозгласила независимость, однако 60-ым членом Организации Объединенных Наций он смогла стать лишь 28 сентября 1950 года, поскольку государство, колонией которого она являлась в прошлом, не желало признавать ее независимость и хотело вновь оккупировать ее территорию.  Независимость Индонезии, которая была провозглашена 17 августа 1945 года, была официально признана правительством Нидерландов лишь в этом году во время празднования ее 60</w:t>
      </w:r>
      <w:r>
        <w:noBreakHyphen/>
        <w:t xml:space="preserve">й годовщины, когда министр иностранных дел Нидерландов, находившийся с визитом в Джакарте в августе 2005 года, выступил с официальным заявлением о признании и принес извинения за злодеяния, совершенные голландцами в колониальную эпоху.  </w:t>
      </w:r>
    </w:p>
    <w:p w:rsidR="00000000" w:rsidRDefault="00000000"/>
    <w:p w:rsidR="00000000" w:rsidRDefault="00000000">
      <w:r>
        <w:t>23.</w:t>
      </w:r>
      <w:r>
        <w:tab/>
        <w:t xml:space="preserve">Правительство Республики Индонезии считает, что приводимая в настоящем докладе информация о географии и населении Индонезии, ее государственном устройстве, правовых и административных рамках, также о практических мерах по ликвидации расовой дискриминации имеет первостепенное значение.  Поэтому в этой части доклада приводится общая информация о природных ресурсах, общинах/народах, государственном устройстве и правовых рамках защиты прав человека, а также о мерах по распространению сведений обо всех международных договорах по правам человека и их пропаганде.  </w:t>
      </w:r>
    </w:p>
    <w:p w:rsidR="00000000" w:rsidRDefault="00000000"/>
    <w:p w:rsidR="00000000" w:rsidRDefault="00000000">
      <w:pPr>
        <w:jc w:val="center"/>
        <w:rPr>
          <w:b/>
          <w:bCs/>
        </w:rPr>
      </w:pPr>
      <w:r>
        <w:rPr>
          <w:b/>
          <w:bCs/>
        </w:rPr>
        <w:t>В.</w:t>
      </w:r>
      <w:r>
        <w:rPr>
          <w:b/>
          <w:bCs/>
        </w:rPr>
        <w:tab/>
        <w:t>Население</w:t>
      </w:r>
    </w:p>
    <w:p w:rsidR="00000000" w:rsidRDefault="00000000">
      <w:pPr>
        <w:rPr>
          <w:b/>
          <w:bCs/>
        </w:rPr>
      </w:pPr>
    </w:p>
    <w:p w:rsidR="00000000" w:rsidRDefault="00000000">
      <w:r>
        <w:t>24.</w:t>
      </w:r>
      <w:r>
        <w:tab/>
        <w:t>По числу жителей Индонезия занимает в мире четвертое место после Китая, Индии и Соединенных Штатов.  В 2000 году общая численность населения Индонезии составляла 201 092 238 человек, в 2004 году она равнялась, согласно оценкам, приблизительно 216,4 млн. человек, а в 2005 году она должна была составить, согласно прогнозам, приблизительно 219,1 млн. человек.</w:t>
      </w:r>
    </w:p>
    <w:p w:rsidR="00000000" w:rsidRDefault="00000000"/>
    <w:p w:rsidR="00000000" w:rsidRDefault="00000000">
      <w:r>
        <w:t>25.</w:t>
      </w:r>
      <w:r>
        <w:tab/>
        <w:t xml:space="preserve">Индонезия является многокультурной страной, где ни один народ не подвергается дискриминации по признаку национального происхождения.  Поэтому информация об этнических группах, проживающих в Индонезии, не свидетельствует о какой-либо дискриминации и представляется исключительно для целей настоящего доклада, а также для того, чтобы помочь Комитету понять структуру индонезийского общества.  В стране насчитывается приблизительно 1 072 этнические и субэтнические группы, которые расселены во всех провинциях Индонезии, в их числе яванцы, сунды, малайцы, мадурцы, батаки, минангкабау, бетави, буги, бантенцы, банджары и тюн хоа (китайцы).  Они говорят на разных языках, имеют различные традиции и культуру, а у некоторых из них даже существует своя письменность.  С тем чтобы получить некоторое представление об этнических группах, проживающих в Индонезии, можно использовать приводимые ниже данные Центрального статистического совета по итогам переписи населения 2000 года.  Эти показатели приводят лишь для того, чтобы продемонстрировать, что в Индонезии действительно проживают многочисленные этнические группы.  Однако следует подчеркнуть, что отношение ко всем этническим группам является одинаковым.  </w:t>
      </w:r>
    </w:p>
    <w:p w:rsidR="00000000" w:rsidRDefault="00000000"/>
    <w:p w:rsidR="00000000" w:rsidRDefault="00000000">
      <w:r>
        <w:t>26.</w:t>
      </w:r>
      <w:r>
        <w:tab/>
        <w:t>В настоящем докладе названия этнических групп преднамеренно приводятся в том виде, в котором они имеют хождение в Индонезии, поскольку названия, которые были даны иностранцами (хотя они и получили широкое применение), имеют уничижительный или дискриминационный оттенок.  Например, в английской литературе можно часто встретить такие названия, как яванцы, сунды, батаки, макассарцы, мадурцы, в настоящем же докладе приводятся названия, используемые в Индонезии, например этнические группы ява, сунда, батак, макассар и мадура.</w:t>
      </w:r>
    </w:p>
    <w:p w:rsidR="00000000" w:rsidRDefault="00000000"/>
    <w:p w:rsidR="00000000" w:rsidRDefault="00000000">
      <w:pPr>
        <w:spacing w:line="216" w:lineRule="auto"/>
        <w:jc w:val="center"/>
        <w:rPr>
          <w:b/>
          <w:bCs/>
        </w:rPr>
      </w:pPr>
      <w:r>
        <w:rPr>
          <w:b/>
          <w:bCs/>
        </w:rPr>
        <w:t>Таблица 1</w:t>
      </w:r>
    </w:p>
    <w:p w:rsidR="00000000" w:rsidRDefault="00000000">
      <w:pPr>
        <w:spacing w:line="216" w:lineRule="auto"/>
        <w:jc w:val="center"/>
        <w:rPr>
          <w:u w:val="single"/>
        </w:rPr>
      </w:pPr>
    </w:p>
    <w:p w:rsidR="00000000" w:rsidRDefault="00000000">
      <w:pPr>
        <w:spacing w:line="216" w:lineRule="auto"/>
        <w:jc w:val="center"/>
        <w:rPr>
          <w:b/>
          <w:bCs/>
        </w:rPr>
      </w:pPr>
      <w:r>
        <w:rPr>
          <w:b/>
          <w:bCs/>
        </w:rPr>
        <w:t>Этнические группы Индонезии</w:t>
      </w:r>
    </w:p>
    <w:p w:rsidR="00000000" w:rsidRDefault="00000000">
      <w:pPr>
        <w:spacing w:line="216" w:lineRule="auto"/>
        <w:jc w:val="center"/>
        <w:rPr>
          <w:b/>
          <w:bCs/>
        </w:rPr>
      </w:pPr>
    </w:p>
    <w:tbl>
      <w:tblPr>
        <w:tblW w:w="0" w:type="auto"/>
        <w:jc w:val="center"/>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74"/>
        <w:gridCol w:w="3375"/>
        <w:gridCol w:w="2015"/>
        <w:gridCol w:w="2128"/>
      </w:tblGrid>
      <w:tr w:rsidR="00000000">
        <w:tblPrEx>
          <w:tblCellMar>
            <w:top w:w="0" w:type="dxa"/>
            <w:bottom w:w="0" w:type="dxa"/>
          </w:tblCellMar>
        </w:tblPrEx>
        <w:trPr>
          <w:tblHeader/>
          <w:jc w:val="center"/>
        </w:trPr>
        <w:tc>
          <w:tcPr>
            <w:tcW w:w="674" w:type="dxa"/>
            <w:vAlign w:val="center"/>
          </w:tcPr>
          <w:p w:rsidR="00000000" w:rsidRDefault="00000000">
            <w:pPr>
              <w:spacing w:line="240" w:lineRule="auto"/>
              <w:jc w:val="center"/>
              <w:rPr>
                <w:b/>
                <w:bCs/>
              </w:rPr>
            </w:pPr>
            <w:r>
              <w:rPr>
                <w:b/>
                <w:bCs/>
              </w:rPr>
              <w:t>№</w:t>
            </w:r>
          </w:p>
        </w:tc>
        <w:tc>
          <w:tcPr>
            <w:tcW w:w="3375" w:type="dxa"/>
            <w:vAlign w:val="center"/>
          </w:tcPr>
          <w:p w:rsidR="00000000" w:rsidRDefault="00000000">
            <w:pPr>
              <w:spacing w:line="240" w:lineRule="auto"/>
              <w:jc w:val="center"/>
              <w:rPr>
                <w:b/>
                <w:bCs/>
              </w:rPr>
            </w:pPr>
            <w:r>
              <w:rPr>
                <w:b/>
                <w:bCs/>
              </w:rPr>
              <w:t>Этническая группа</w:t>
            </w:r>
          </w:p>
        </w:tc>
        <w:tc>
          <w:tcPr>
            <w:tcW w:w="2015" w:type="dxa"/>
            <w:vAlign w:val="center"/>
          </w:tcPr>
          <w:p w:rsidR="00000000" w:rsidRDefault="00000000">
            <w:pPr>
              <w:spacing w:line="240" w:lineRule="auto"/>
              <w:jc w:val="center"/>
              <w:rPr>
                <w:b/>
                <w:bCs/>
              </w:rPr>
            </w:pPr>
            <w:r>
              <w:rPr>
                <w:b/>
                <w:bCs/>
              </w:rPr>
              <w:t>Численность</w:t>
            </w:r>
          </w:p>
        </w:tc>
        <w:tc>
          <w:tcPr>
            <w:tcW w:w="2128" w:type="dxa"/>
            <w:vAlign w:val="center"/>
          </w:tcPr>
          <w:p w:rsidR="00000000" w:rsidRDefault="00000000">
            <w:pPr>
              <w:spacing w:line="240" w:lineRule="auto"/>
              <w:jc w:val="center"/>
              <w:rPr>
                <w:b/>
                <w:bCs/>
              </w:rPr>
            </w:pPr>
            <w:r>
              <w:rPr>
                <w:b/>
                <w:bCs/>
              </w:rPr>
              <w:t>Процентная доля</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w:t>
            </w:r>
          </w:p>
        </w:tc>
        <w:tc>
          <w:tcPr>
            <w:tcW w:w="3375" w:type="dxa"/>
          </w:tcPr>
          <w:p w:rsidR="00000000" w:rsidRDefault="00000000">
            <w:pPr>
              <w:spacing w:line="240" w:lineRule="auto"/>
            </w:pPr>
            <w:r>
              <w:t>Ява</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83</w:t>
            </w:r>
            <w:r>
              <w:t xml:space="preserve"> </w:t>
            </w:r>
            <w:r>
              <w:rPr>
                <w:lang w:val="en-US"/>
              </w:rPr>
              <w:t>865</w:t>
            </w:r>
            <w:r>
              <w:t xml:space="preserve"> </w:t>
            </w:r>
            <w:r>
              <w:rPr>
                <w:lang w:val="en-US"/>
              </w:rPr>
              <w:t>724</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41,71</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2</w:t>
            </w:r>
          </w:p>
        </w:tc>
        <w:tc>
          <w:tcPr>
            <w:tcW w:w="3375" w:type="dxa"/>
          </w:tcPr>
          <w:p w:rsidR="00000000" w:rsidRDefault="00000000">
            <w:pPr>
              <w:spacing w:line="240" w:lineRule="auto"/>
            </w:pPr>
            <w:r>
              <w:t>Сунда</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30</w:t>
            </w:r>
            <w:r>
              <w:t xml:space="preserve"> </w:t>
            </w:r>
            <w:r>
              <w:rPr>
                <w:lang w:val="en-US"/>
              </w:rPr>
              <w:t>978</w:t>
            </w:r>
            <w:r>
              <w:t xml:space="preserve"> </w:t>
            </w:r>
            <w:r>
              <w:rPr>
                <w:lang w:val="en-US"/>
              </w:rPr>
              <w:t>404</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15,41</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3</w:t>
            </w:r>
          </w:p>
        </w:tc>
        <w:tc>
          <w:tcPr>
            <w:tcW w:w="3375" w:type="dxa"/>
          </w:tcPr>
          <w:p w:rsidR="00000000" w:rsidRDefault="00000000">
            <w:pPr>
              <w:spacing w:line="240" w:lineRule="auto"/>
            </w:pPr>
            <w:r>
              <w:t>Мелайу</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6</w:t>
            </w:r>
            <w:r>
              <w:t xml:space="preserve"> </w:t>
            </w:r>
            <w:r>
              <w:rPr>
                <w:lang w:val="en-US"/>
              </w:rPr>
              <w:t>946</w:t>
            </w:r>
            <w:r>
              <w:t xml:space="preserve"> </w:t>
            </w:r>
            <w:r>
              <w:rPr>
                <w:lang w:val="en-US"/>
              </w:rPr>
              <w:t>040</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3,45</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4</w:t>
            </w:r>
          </w:p>
        </w:tc>
        <w:tc>
          <w:tcPr>
            <w:tcW w:w="3375" w:type="dxa"/>
          </w:tcPr>
          <w:p w:rsidR="00000000" w:rsidRDefault="00000000">
            <w:pPr>
              <w:spacing w:line="240" w:lineRule="auto"/>
            </w:pPr>
            <w:r>
              <w:t>Мадура</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6</w:t>
            </w:r>
            <w:r>
              <w:t xml:space="preserve"> </w:t>
            </w:r>
            <w:r>
              <w:rPr>
                <w:lang w:val="en-US"/>
              </w:rPr>
              <w:t>771</w:t>
            </w:r>
            <w:r>
              <w:t xml:space="preserve"> </w:t>
            </w:r>
            <w:r>
              <w:rPr>
                <w:lang w:val="en-US"/>
              </w:rPr>
              <w:t>727</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3,37</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5</w:t>
            </w:r>
          </w:p>
        </w:tc>
        <w:tc>
          <w:tcPr>
            <w:tcW w:w="3375" w:type="dxa"/>
          </w:tcPr>
          <w:p w:rsidR="00000000" w:rsidRDefault="00000000">
            <w:pPr>
              <w:spacing w:line="240" w:lineRule="auto"/>
            </w:pPr>
            <w:r>
              <w:t>Батак</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6</w:t>
            </w:r>
            <w:r>
              <w:t xml:space="preserve"> </w:t>
            </w:r>
            <w:r>
              <w:rPr>
                <w:lang w:val="en-US"/>
              </w:rPr>
              <w:t>076</w:t>
            </w:r>
            <w:r>
              <w:t xml:space="preserve"> </w:t>
            </w:r>
            <w:r>
              <w:rPr>
                <w:lang w:val="en-US"/>
              </w:rPr>
              <w:t>440</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3,02</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6</w:t>
            </w:r>
          </w:p>
        </w:tc>
        <w:tc>
          <w:tcPr>
            <w:tcW w:w="3375" w:type="dxa"/>
          </w:tcPr>
          <w:p w:rsidR="00000000" w:rsidRDefault="00000000">
            <w:pPr>
              <w:spacing w:line="240" w:lineRule="auto"/>
            </w:pPr>
            <w:r>
              <w:t>Минанг</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5</w:t>
            </w:r>
            <w:r>
              <w:t xml:space="preserve"> </w:t>
            </w:r>
            <w:r>
              <w:rPr>
                <w:lang w:val="en-US"/>
              </w:rPr>
              <w:t>475</w:t>
            </w:r>
            <w:r>
              <w:t xml:space="preserve"> </w:t>
            </w:r>
            <w:r>
              <w:rPr>
                <w:lang w:val="en-US"/>
              </w:rPr>
              <w:t>145</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2,72</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7</w:t>
            </w:r>
          </w:p>
        </w:tc>
        <w:tc>
          <w:tcPr>
            <w:tcW w:w="3375" w:type="dxa"/>
          </w:tcPr>
          <w:p w:rsidR="00000000" w:rsidRDefault="00000000">
            <w:pPr>
              <w:spacing w:line="240" w:lineRule="auto"/>
            </w:pPr>
            <w:r>
              <w:t>Бетави</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5</w:t>
            </w:r>
            <w:r>
              <w:t xml:space="preserve"> </w:t>
            </w:r>
            <w:r>
              <w:rPr>
                <w:lang w:val="en-US"/>
              </w:rPr>
              <w:t>041</w:t>
            </w:r>
            <w:r>
              <w:t xml:space="preserve"> </w:t>
            </w:r>
            <w:r>
              <w:rPr>
                <w:lang w:val="en-US"/>
              </w:rPr>
              <w:t>688</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2,51</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8</w:t>
            </w:r>
          </w:p>
        </w:tc>
        <w:tc>
          <w:tcPr>
            <w:tcW w:w="3375" w:type="dxa"/>
          </w:tcPr>
          <w:p w:rsidR="00000000" w:rsidRDefault="00000000">
            <w:pPr>
              <w:spacing w:line="240" w:lineRule="auto"/>
            </w:pPr>
            <w:r>
              <w:t>Бугис</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5</w:t>
            </w:r>
            <w:r>
              <w:t xml:space="preserve"> </w:t>
            </w:r>
            <w:r>
              <w:rPr>
                <w:lang w:val="en-US"/>
              </w:rPr>
              <w:t>010</w:t>
            </w:r>
            <w:r>
              <w:t xml:space="preserve"> </w:t>
            </w:r>
            <w:r>
              <w:rPr>
                <w:lang w:val="en-US"/>
              </w:rPr>
              <w:t>421</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2,49</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9</w:t>
            </w:r>
          </w:p>
        </w:tc>
        <w:tc>
          <w:tcPr>
            <w:tcW w:w="3375" w:type="dxa"/>
          </w:tcPr>
          <w:p w:rsidR="00000000" w:rsidRDefault="00000000">
            <w:pPr>
              <w:spacing w:line="240" w:lineRule="auto"/>
            </w:pPr>
            <w:r>
              <w:t>Банджар</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4</w:t>
            </w:r>
            <w:r>
              <w:t xml:space="preserve"> </w:t>
            </w:r>
            <w:r>
              <w:rPr>
                <w:lang w:val="en-US"/>
              </w:rPr>
              <w:t>113</w:t>
            </w:r>
            <w:r>
              <w:t xml:space="preserve"> </w:t>
            </w:r>
            <w:r>
              <w:rPr>
                <w:lang w:val="en-US"/>
              </w:rPr>
              <w:t>162</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2,05</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10</w:t>
            </w:r>
          </w:p>
        </w:tc>
        <w:tc>
          <w:tcPr>
            <w:tcW w:w="3375" w:type="dxa"/>
          </w:tcPr>
          <w:p w:rsidR="00000000" w:rsidRDefault="00000000">
            <w:pPr>
              <w:spacing w:line="240" w:lineRule="auto"/>
            </w:pPr>
            <w:r>
              <w:t>Бантен</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3</w:t>
            </w:r>
            <w:r>
              <w:t xml:space="preserve"> </w:t>
            </w:r>
            <w:r>
              <w:rPr>
                <w:lang w:val="en-US"/>
              </w:rPr>
              <w:t>496</w:t>
            </w:r>
            <w:r>
              <w:t xml:space="preserve"> </w:t>
            </w:r>
            <w:r>
              <w:rPr>
                <w:lang w:val="en-US"/>
              </w:rPr>
              <w:t>273</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1,74</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11</w:t>
            </w:r>
          </w:p>
        </w:tc>
        <w:tc>
          <w:tcPr>
            <w:tcW w:w="3375" w:type="dxa"/>
          </w:tcPr>
          <w:p w:rsidR="00000000" w:rsidRDefault="00000000">
            <w:pPr>
              <w:spacing w:line="240" w:lineRule="auto"/>
            </w:pPr>
            <w:r>
              <w:t>Бали</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3</w:t>
            </w:r>
            <w:r>
              <w:t xml:space="preserve"> </w:t>
            </w:r>
            <w:r>
              <w:rPr>
                <w:lang w:val="en-US"/>
              </w:rPr>
              <w:t>027</w:t>
            </w:r>
            <w:r>
              <w:t xml:space="preserve"> </w:t>
            </w:r>
            <w:r>
              <w:rPr>
                <w:lang w:val="en-US"/>
              </w:rPr>
              <w:t>525</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1,51</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12</w:t>
            </w:r>
          </w:p>
        </w:tc>
        <w:tc>
          <w:tcPr>
            <w:tcW w:w="3375" w:type="dxa"/>
          </w:tcPr>
          <w:p w:rsidR="00000000" w:rsidRDefault="00000000">
            <w:pPr>
              <w:spacing w:line="240" w:lineRule="auto"/>
            </w:pPr>
            <w:r>
              <w:t>Сасак</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2</w:t>
            </w:r>
            <w:r>
              <w:t xml:space="preserve"> </w:t>
            </w:r>
            <w:r>
              <w:rPr>
                <w:lang w:val="en-US"/>
              </w:rPr>
              <w:t>611</w:t>
            </w:r>
            <w:r>
              <w:t xml:space="preserve"> </w:t>
            </w:r>
            <w:r>
              <w:rPr>
                <w:lang w:val="en-US"/>
              </w:rPr>
              <w:t>059</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1,30</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13</w:t>
            </w:r>
          </w:p>
        </w:tc>
        <w:tc>
          <w:tcPr>
            <w:tcW w:w="3375" w:type="dxa"/>
          </w:tcPr>
          <w:p w:rsidR="00000000" w:rsidRDefault="00000000">
            <w:pPr>
              <w:spacing w:line="240" w:lineRule="auto"/>
            </w:pPr>
            <w:r>
              <w:t>Макассар</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1</w:t>
            </w:r>
            <w:r>
              <w:t xml:space="preserve"> </w:t>
            </w:r>
            <w:r>
              <w:rPr>
                <w:lang w:val="en-US"/>
              </w:rPr>
              <w:t>982</w:t>
            </w:r>
            <w:r>
              <w:t xml:space="preserve"> </w:t>
            </w:r>
            <w:r>
              <w:rPr>
                <w:lang w:val="en-US"/>
              </w:rPr>
              <w:t>187</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0,99</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14</w:t>
            </w:r>
          </w:p>
        </w:tc>
        <w:tc>
          <w:tcPr>
            <w:tcW w:w="3375" w:type="dxa"/>
          </w:tcPr>
          <w:p w:rsidR="00000000" w:rsidRDefault="00000000">
            <w:pPr>
              <w:spacing w:line="240" w:lineRule="auto"/>
            </w:pPr>
            <w:r>
              <w:t>Чиребон</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1</w:t>
            </w:r>
            <w:r>
              <w:t xml:space="preserve"> </w:t>
            </w:r>
            <w:r>
              <w:rPr>
                <w:lang w:val="en-US"/>
              </w:rPr>
              <w:t>890</w:t>
            </w:r>
            <w:r>
              <w:t xml:space="preserve"> </w:t>
            </w:r>
            <w:r>
              <w:rPr>
                <w:lang w:val="en-US"/>
              </w:rPr>
              <w:t>102</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0,94</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15</w:t>
            </w:r>
          </w:p>
        </w:tc>
        <w:tc>
          <w:tcPr>
            <w:tcW w:w="3375" w:type="dxa"/>
          </w:tcPr>
          <w:p w:rsidR="00000000" w:rsidRDefault="00000000">
            <w:pPr>
              <w:spacing w:line="240" w:lineRule="auto"/>
            </w:pPr>
            <w:r>
              <w:t>Тюн Хоа</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1</w:t>
            </w:r>
            <w:r>
              <w:t xml:space="preserve"> </w:t>
            </w:r>
            <w:r>
              <w:rPr>
                <w:lang w:val="en-US"/>
              </w:rPr>
              <w:t>738</w:t>
            </w:r>
            <w:r>
              <w:t xml:space="preserve"> </w:t>
            </w:r>
            <w:r>
              <w:rPr>
                <w:lang w:val="en-US"/>
              </w:rPr>
              <w:t>936</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0,86</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16</w:t>
            </w:r>
          </w:p>
        </w:tc>
        <w:tc>
          <w:tcPr>
            <w:tcW w:w="3375" w:type="dxa"/>
          </w:tcPr>
          <w:p w:rsidR="00000000" w:rsidRDefault="00000000">
            <w:pPr>
              <w:spacing w:line="240" w:lineRule="auto"/>
            </w:pPr>
            <w:r>
              <w:t>Горонтало/Хуландало</w:t>
            </w:r>
          </w:p>
        </w:tc>
        <w:tc>
          <w:tcPr>
            <w:tcW w:w="2015" w:type="dxa"/>
          </w:tcPr>
          <w:p w:rsidR="00000000" w:rsidRDefault="00000000">
            <w:pPr>
              <w:tabs>
                <w:tab w:val="clear" w:pos="567"/>
                <w:tab w:val="clear" w:pos="1134"/>
                <w:tab w:val="clear" w:pos="1701"/>
              </w:tabs>
              <w:spacing w:line="240" w:lineRule="auto"/>
              <w:ind w:right="392"/>
              <w:jc w:val="right"/>
              <w:rPr>
                <w:lang w:val="fr-FR"/>
              </w:rPr>
            </w:pPr>
            <w:r>
              <w:rPr>
                <w:lang w:val="fr-FR"/>
              </w:rPr>
              <w:t>974</w:t>
            </w:r>
            <w:r>
              <w:t xml:space="preserve"> </w:t>
            </w:r>
            <w:r>
              <w:rPr>
                <w:lang w:val="fr-FR"/>
              </w:rPr>
              <w:t>175</w:t>
            </w:r>
          </w:p>
        </w:tc>
        <w:tc>
          <w:tcPr>
            <w:tcW w:w="2128" w:type="dxa"/>
          </w:tcPr>
          <w:p w:rsidR="00000000" w:rsidRDefault="00000000">
            <w:pPr>
              <w:tabs>
                <w:tab w:val="clear" w:pos="567"/>
                <w:tab w:val="clear" w:pos="1134"/>
                <w:tab w:val="clear" w:pos="1701"/>
              </w:tabs>
              <w:spacing w:line="240" w:lineRule="auto"/>
              <w:ind w:right="756"/>
              <w:jc w:val="right"/>
              <w:rPr>
                <w:lang w:val="fr-FR"/>
              </w:rPr>
            </w:pPr>
            <w:r>
              <w:rPr>
                <w:lang w:val="fr-FR"/>
              </w:rPr>
              <w:t>0,48</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17</w:t>
            </w:r>
          </w:p>
        </w:tc>
        <w:tc>
          <w:tcPr>
            <w:tcW w:w="3375" w:type="dxa"/>
          </w:tcPr>
          <w:p w:rsidR="00000000" w:rsidRDefault="00000000">
            <w:pPr>
              <w:spacing w:line="240" w:lineRule="auto"/>
            </w:pPr>
            <w:r>
              <w:t>Ачех</w:t>
            </w:r>
          </w:p>
        </w:tc>
        <w:tc>
          <w:tcPr>
            <w:tcW w:w="2015" w:type="dxa"/>
          </w:tcPr>
          <w:p w:rsidR="00000000" w:rsidRDefault="00000000">
            <w:pPr>
              <w:tabs>
                <w:tab w:val="clear" w:pos="567"/>
                <w:tab w:val="clear" w:pos="1134"/>
                <w:tab w:val="clear" w:pos="1701"/>
              </w:tabs>
              <w:spacing w:line="240" w:lineRule="auto"/>
              <w:ind w:right="392"/>
              <w:jc w:val="right"/>
              <w:rPr>
                <w:lang w:val="fr-FR"/>
              </w:rPr>
            </w:pPr>
            <w:r>
              <w:rPr>
                <w:lang w:val="fr-FR"/>
              </w:rPr>
              <w:t>871</w:t>
            </w:r>
            <w:r>
              <w:t xml:space="preserve"> </w:t>
            </w:r>
            <w:r>
              <w:rPr>
                <w:lang w:val="fr-FR"/>
              </w:rPr>
              <w:t>944</w:t>
            </w:r>
          </w:p>
        </w:tc>
        <w:tc>
          <w:tcPr>
            <w:tcW w:w="2128" w:type="dxa"/>
          </w:tcPr>
          <w:p w:rsidR="00000000" w:rsidRDefault="00000000">
            <w:pPr>
              <w:tabs>
                <w:tab w:val="clear" w:pos="567"/>
                <w:tab w:val="clear" w:pos="1134"/>
                <w:tab w:val="clear" w:pos="1701"/>
              </w:tabs>
              <w:spacing w:line="240" w:lineRule="auto"/>
              <w:ind w:right="756"/>
              <w:jc w:val="right"/>
              <w:rPr>
                <w:lang w:val="fr-FR"/>
              </w:rPr>
            </w:pPr>
            <w:r>
              <w:rPr>
                <w:lang w:val="fr-FR"/>
              </w:rPr>
              <w:t>0,43</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18</w:t>
            </w:r>
          </w:p>
        </w:tc>
        <w:tc>
          <w:tcPr>
            <w:tcW w:w="3375" w:type="dxa"/>
          </w:tcPr>
          <w:p w:rsidR="00000000" w:rsidRDefault="00000000">
            <w:pPr>
              <w:spacing w:line="240" w:lineRule="auto"/>
            </w:pPr>
            <w:r>
              <w:t>Тораджа</w:t>
            </w:r>
          </w:p>
        </w:tc>
        <w:tc>
          <w:tcPr>
            <w:tcW w:w="2015" w:type="dxa"/>
          </w:tcPr>
          <w:p w:rsidR="00000000" w:rsidRDefault="00000000">
            <w:pPr>
              <w:tabs>
                <w:tab w:val="clear" w:pos="567"/>
                <w:tab w:val="clear" w:pos="1134"/>
                <w:tab w:val="clear" w:pos="1701"/>
              </w:tabs>
              <w:spacing w:line="240" w:lineRule="auto"/>
              <w:ind w:right="392"/>
              <w:jc w:val="right"/>
              <w:rPr>
                <w:lang w:val="fr-FR"/>
              </w:rPr>
            </w:pPr>
            <w:r>
              <w:rPr>
                <w:lang w:val="fr-FR"/>
              </w:rPr>
              <w:t>750</w:t>
            </w:r>
            <w:r>
              <w:t xml:space="preserve"> </w:t>
            </w:r>
            <w:r>
              <w:rPr>
                <w:lang w:val="fr-FR"/>
              </w:rPr>
              <w:t>828</w:t>
            </w:r>
          </w:p>
        </w:tc>
        <w:tc>
          <w:tcPr>
            <w:tcW w:w="2128" w:type="dxa"/>
          </w:tcPr>
          <w:p w:rsidR="00000000" w:rsidRDefault="00000000">
            <w:pPr>
              <w:tabs>
                <w:tab w:val="clear" w:pos="567"/>
                <w:tab w:val="clear" w:pos="1134"/>
                <w:tab w:val="clear" w:pos="1701"/>
              </w:tabs>
              <w:spacing w:line="240" w:lineRule="auto"/>
              <w:ind w:right="756"/>
              <w:jc w:val="right"/>
              <w:rPr>
                <w:lang w:val="fr-FR"/>
              </w:rPr>
            </w:pPr>
            <w:r>
              <w:rPr>
                <w:lang w:val="fr-FR"/>
              </w:rPr>
              <w:t>0,37</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19</w:t>
            </w:r>
          </w:p>
        </w:tc>
        <w:tc>
          <w:tcPr>
            <w:tcW w:w="3375" w:type="dxa"/>
          </w:tcPr>
          <w:p w:rsidR="00000000" w:rsidRDefault="00000000">
            <w:pPr>
              <w:spacing w:line="240" w:lineRule="auto"/>
            </w:pPr>
            <w:r>
              <w:t>Ниас, Коно Ниха</w:t>
            </w:r>
          </w:p>
        </w:tc>
        <w:tc>
          <w:tcPr>
            <w:tcW w:w="2015" w:type="dxa"/>
          </w:tcPr>
          <w:p w:rsidR="00000000" w:rsidRDefault="00000000">
            <w:pPr>
              <w:tabs>
                <w:tab w:val="clear" w:pos="567"/>
                <w:tab w:val="clear" w:pos="1134"/>
                <w:tab w:val="clear" w:pos="1701"/>
              </w:tabs>
              <w:spacing w:line="240" w:lineRule="auto"/>
              <w:ind w:right="392"/>
              <w:jc w:val="right"/>
            </w:pPr>
            <w:r>
              <w:t>731 620</w:t>
            </w:r>
          </w:p>
        </w:tc>
        <w:tc>
          <w:tcPr>
            <w:tcW w:w="2128" w:type="dxa"/>
          </w:tcPr>
          <w:p w:rsidR="00000000" w:rsidRDefault="00000000">
            <w:pPr>
              <w:tabs>
                <w:tab w:val="clear" w:pos="567"/>
                <w:tab w:val="clear" w:pos="1134"/>
                <w:tab w:val="clear" w:pos="1701"/>
              </w:tabs>
              <w:spacing w:line="240" w:lineRule="auto"/>
              <w:ind w:right="756"/>
              <w:jc w:val="right"/>
            </w:pPr>
            <w:r>
              <w:t>0,36</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20</w:t>
            </w:r>
          </w:p>
        </w:tc>
        <w:tc>
          <w:tcPr>
            <w:tcW w:w="3375" w:type="dxa"/>
          </w:tcPr>
          <w:p w:rsidR="00000000" w:rsidRDefault="00000000">
            <w:pPr>
              <w:spacing w:line="240" w:lineRule="auto"/>
            </w:pPr>
            <w:r>
              <w:t>Минахаса</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659</w:t>
            </w:r>
            <w:r>
              <w:t xml:space="preserve"> </w:t>
            </w:r>
            <w:r>
              <w:rPr>
                <w:lang w:val="en-US"/>
              </w:rPr>
              <w:t>209</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0,33</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21</w:t>
            </w:r>
          </w:p>
        </w:tc>
        <w:tc>
          <w:tcPr>
            <w:tcW w:w="3375" w:type="dxa"/>
          </w:tcPr>
          <w:p w:rsidR="00000000" w:rsidRDefault="00000000">
            <w:pPr>
              <w:spacing w:line="240" w:lineRule="auto"/>
            </w:pPr>
            <w:r>
              <w:t>Бутон, Бутунг, Бутонг</w:t>
            </w:r>
          </w:p>
        </w:tc>
        <w:tc>
          <w:tcPr>
            <w:tcW w:w="2015" w:type="dxa"/>
          </w:tcPr>
          <w:p w:rsidR="00000000" w:rsidRDefault="00000000">
            <w:pPr>
              <w:tabs>
                <w:tab w:val="clear" w:pos="567"/>
                <w:tab w:val="clear" w:pos="1134"/>
                <w:tab w:val="clear" w:pos="1701"/>
              </w:tabs>
              <w:spacing w:line="240" w:lineRule="auto"/>
              <w:ind w:right="392"/>
              <w:jc w:val="right"/>
            </w:pPr>
            <w:r>
              <w:t>578 231</w:t>
            </w:r>
          </w:p>
        </w:tc>
        <w:tc>
          <w:tcPr>
            <w:tcW w:w="2128" w:type="dxa"/>
          </w:tcPr>
          <w:p w:rsidR="00000000" w:rsidRDefault="00000000">
            <w:pPr>
              <w:tabs>
                <w:tab w:val="clear" w:pos="567"/>
                <w:tab w:val="clear" w:pos="1134"/>
                <w:tab w:val="clear" w:pos="1701"/>
              </w:tabs>
              <w:spacing w:line="240" w:lineRule="auto"/>
              <w:ind w:right="756"/>
              <w:jc w:val="right"/>
            </w:pPr>
            <w:r>
              <w:t>0,29</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22</w:t>
            </w:r>
          </w:p>
        </w:tc>
        <w:tc>
          <w:tcPr>
            <w:tcW w:w="3375" w:type="dxa"/>
          </w:tcPr>
          <w:p w:rsidR="00000000" w:rsidRDefault="00000000">
            <w:pPr>
              <w:spacing w:line="240" w:lineRule="auto"/>
            </w:pPr>
            <w:r>
              <w:t>Атони Метто</w:t>
            </w:r>
          </w:p>
        </w:tc>
        <w:tc>
          <w:tcPr>
            <w:tcW w:w="2015" w:type="dxa"/>
          </w:tcPr>
          <w:p w:rsidR="00000000" w:rsidRDefault="00000000">
            <w:pPr>
              <w:tabs>
                <w:tab w:val="clear" w:pos="567"/>
                <w:tab w:val="clear" w:pos="1134"/>
                <w:tab w:val="clear" w:pos="1701"/>
              </w:tabs>
              <w:spacing w:line="240" w:lineRule="auto"/>
              <w:ind w:right="392"/>
              <w:jc w:val="right"/>
              <w:rPr>
                <w:lang w:val="fr-FR"/>
              </w:rPr>
            </w:pPr>
            <w:r>
              <w:rPr>
                <w:lang w:val="fr-FR"/>
              </w:rPr>
              <w:t>568</w:t>
            </w:r>
            <w:r>
              <w:t xml:space="preserve"> </w:t>
            </w:r>
            <w:r>
              <w:rPr>
                <w:lang w:val="fr-FR"/>
              </w:rPr>
              <w:t>445</w:t>
            </w:r>
          </w:p>
        </w:tc>
        <w:tc>
          <w:tcPr>
            <w:tcW w:w="2128" w:type="dxa"/>
          </w:tcPr>
          <w:p w:rsidR="00000000" w:rsidRDefault="00000000">
            <w:pPr>
              <w:tabs>
                <w:tab w:val="clear" w:pos="567"/>
                <w:tab w:val="clear" w:pos="1134"/>
                <w:tab w:val="clear" w:pos="1701"/>
              </w:tabs>
              <w:spacing w:line="240" w:lineRule="auto"/>
              <w:ind w:right="756"/>
              <w:jc w:val="right"/>
              <w:rPr>
                <w:lang w:val="fr-FR"/>
              </w:rPr>
            </w:pPr>
            <w:r>
              <w:rPr>
                <w:lang w:val="fr-FR"/>
              </w:rPr>
              <w:t>0,28</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23</w:t>
            </w:r>
          </w:p>
        </w:tc>
        <w:tc>
          <w:tcPr>
            <w:tcW w:w="3375" w:type="dxa"/>
          </w:tcPr>
          <w:p w:rsidR="00000000" w:rsidRDefault="00000000">
            <w:pPr>
              <w:spacing w:line="240" w:lineRule="auto"/>
            </w:pPr>
            <w:r>
              <w:t>Манггараи</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566</w:t>
            </w:r>
            <w:r>
              <w:t xml:space="preserve"> </w:t>
            </w:r>
            <w:r>
              <w:rPr>
                <w:lang w:val="en-US"/>
              </w:rPr>
              <w:t>428</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0,28</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24</w:t>
            </w:r>
          </w:p>
        </w:tc>
        <w:tc>
          <w:tcPr>
            <w:tcW w:w="3375" w:type="dxa"/>
          </w:tcPr>
          <w:p w:rsidR="00000000" w:rsidRDefault="00000000">
            <w:pPr>
              <w:spacing w:line="240" w:lineRule="auto"/>
            </w:pPr>
            <w:r>
              <w:t>Бима</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513</w:t>
            </w:r>
            <w:r>
              <w:t xml:space="preserve"> </w:t>
            </w:r>
            <w:r>
              <w:rPr>
                <w:lang w:val="en-US"/>
              </w:rPr>
              <w:t>055</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0,26</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25</w:t>
            </w:r>
          </w:p>
        </w:tc>
        <w:tc>
          <w:tcPr>
            <w:tcW w:w="3375" w:type="dxa"/>
          </w:tcPr>
          <w:p w:rsidR="00000000" w:rsidRDefault="00000000">
            <w:pPr>
              <w:spacing w:line="240" w:lineRule="auto"/>
            </w:pPr>
            <w:r>
              <w:t>Мандар</w:t>
            </w:r>
          </w:p>
        </w:tc>
        <w:tc>
          <w:tcPr>
            <w:tcW w:w="2015" w:type="dxa"/>
          </w:tcPr>
          <w:p w:rsidR="00000000" w:rsidRDefault="00000000">
            <w:pPr>
              <w:tabs>
                <w:tab w:val="clear" w:pos="567"/>
                <w:tab w:val="clear" w:pos="1134"/>
                <w:tab w:val="clear" w:pos="1701"/>
              </w:tabs>
              <w:spacing w:line="240" w:lineRule="auto"/>
              <w:ind w:right="392"/>
              <w:jc w:val="right"/>
              <w:rPr>
                <w:lang w:val="en-US"/>
              </w:rPr>
            </w:pPr>
            <w:r>
              <w:rPr>
                <w:lang w:val="en-US"/>
              </w:rPr>
              <w:t>504</w:t>
            </w:r>
            <w:r>
              <w:t xml:space="preserve"> </w:t>
            </w:r>
            <w:r>
              <w:rPr>
                <w:lang w:val="en-US"/>
              </w:rPr>
              <w:t>827</w:t>
            </w:r>
          </w:p>
        </w:tc>
        <w:tc>
          <w:tcPr>
            <w:tcW w:w="2128" w:type="dxa"/>
          </w:tcPr>
          <w:p w:rsidR="00000000" w:rsidRDefault="00000000">
            <w:pPr>
              <w:tabs>
                <w:tab w:val="clear" w:pos="567"/>
                <w:tab w:val="clear" w:pos="1134"/>
                <w:tab w:val="clear" w:pos="1701"/>
              </w:tabs>
              <w:spacing w:line="240" w:lineRule="auto"/>
              <w:ind w:right="756"/>
              <w:jc w:val="right"/>
              <w:rPr>
                <w:lang w:val="en-US"/>
              </w:rPr>
            </w:pPr>
            <w:r>
              <w:rPr>
                <w:lang w:val="en-US"/>
              </w:rPr>
              <w:t>0,25</w:t>
            </w:r>
          </w:p>
        </w:tc>
      </w:tr>
      <w:tr w:rsidR="00000000">
        <w:tblPrEx>
          <w:tblCellMar>
            <w:top w:w="0" w:type="dxa"/>
            <w:bottom w:w="0" w:type="dxa"/>
          </w:tblCellMar>
        </w:tblPrEx>
        <w:trPr>
          <w:jc w:val="center"/>
        </w:trPr>
        <w:tc>
          <w:tcPr>
            <w:tcW w:w="674" w:type="dxa"/>
          </w:tcPr>
          <w:p w:rsidR="00000000" w:rsidRDefault="00000000">
            <w:pPr>
              <w:spacing w:line="240" w:lineRule="auto"/>
              <w:rPr>
                <w:lang w:val="en-US"/>
              </w:rPr>
            </w:pPr>
            <w:r>
              <w:rPr>
                <w:lang w:val="en-US"/>
              </w:rPr>
              <w:t>26</w:t>
            </w:r>
          </w:p>
        </w:tc>
        <w:tc>
          <w:tcPr>
            <w:tcW w:w="3375" w:type="dxa"/>
          </w:tcPr>
          <w:p w:rsidR="00000000" w:rsidRDefault="00000000">
            <w:pPr>
              <w:spacing w:line="240" w:lineRule="auto"/>
            </w:pPr>
            <w:r>
              <w:t>Сумба, Хумба, Тау Хумба</w:t>
            </w:r>
          </w:p>
        </w:tc>
        <w:tc>
          <w:tcPr>
            <w:tcW w:w="2015" w:type="dxa"/>
          </w:tcPr>
          <w:p w:rsidR="00000000" w:rsidRDefault="00000000">
            <w:pPr>
              <w:tabs>
                <w:tab w:val="clear" w:pos="567"/>
                <w:tab w:val="clear" w:pos="1134"/>
                <w:tab w:val="clear" w:pos="1701"/>
              </w:tabs>
              <w:spacing w:line="240" w:lineRule="auto"/>
              <w:ind w:right="392"/>
              <w:jc w:val="right"/>
            </w:pPr>
            <w:r>
              <w:t>501 345</w:t>
            </w:r>
          </w:p>
        </w:tc>
        <w:tc>
          <w:tcPr>
            <w:tcW w:w="2128" w:type="dxa"/>
          </w:tcPr>
          <w:p w:rsidR="00000000" w:rsidRDefault="00000000">
            <w:pPr>
              <w:tabs>
                <w:tab w:val="clear" w:pos="567"/>
                <w:tab w:val="clear" w:pos="1134"/>
                <w:tab w:val="clear" w:pos="1701"/>
              </w:tabs>
              <w:spacing w:line="240" w:lineRule="auto"/>
              <w:ind w:right="756"/>
              <w:jc w:val="right"/>
            </w:pPr>
            <w:r>
              <w:t>0,25</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27</w:t>
            </w:r>
          </w:p>
        </w:tc>
        <w:tc>
          <w:tcPr>
            <w:tcW w:w="3375" w:type="dxa"/>
          </w:tcPr>
          <w:p w:rsidR="00000000" w:rsidRDefault="00000000">
            <w:pPr>
              <w:spacing w:line="240" w:lineRule="auto"/>
            </w:pPr>
            <w:r>
              <w:t>Самбас</w:t>
            </w:r>
          </w:p>
        </w:tc>
        <w:tc>
          <w:tcPr>
            <w:tcW w:w="2015" w:type="dxa"/>
          </w:tcPr>
          <w:p w:rsidR="00000000" w:rsidRDefault="00000000">
            <w:pPr>
              <w:tabs>
                <w:tab w:val="clear" w:pos="567"/>
                <w:tab w:val="clear" w:pos="1134"/>
                <w:tab w:val="clear" w:pos="1701"/>
              </w:tabs>
              <w:spacing w:line="240" w:lineRule="auto"/>
              <w:ind w:right="392"/>
              <w:jc w:val="right"/>
              <w:rPr>
                <w:lang w:val="fr-FR"/>
              </w:rPr>
            </w:pPr>
            <w:r>
              <w:rPr>
                <w:lang w:val="fr-FR"/>
              </w:rPr>
              <w:t>444</w:t>
            </w:r>
            <w:r>
              <w:t xml:space="preserve"> </w:t>
            </w:r>
            <w:r>
              <w:rPr>
                <w:lang w:val="fr-FR"/>
              </w:rPr>
              <w:t>929</w:t>
            </w:r>
          </w:p>
        </w:tc>
        <w:tc>
          <w:tcPr>
            <w:tcW w:w="2128" w:type="dxa"/>
          </w:tcPr>
          <w:p w:rsidR="00000000" w:rsidRDefault="00000000">
            <w:pPr>
              <w:tabs>
                <w:tab w:val="clear" w:pos="567"/>
                <w:tab w:val="clear" w:pos="1134"/>
                <w:tab w:val="clear" w:pos="1701"/>
              </w:tabs>
              <w:spacing w:line="240" w:lineRule="auto"/>
              <w:ind w:right="756"/>
              <w:jc w:val="right"/>
              <w:rPr>
                <w:lang w:val="fr-FR"/>
              </w:rPr>
            </w:pPr>
            <w:r>
              <w:rPr>
                <w:lang w:val="fr-FR"/>
              </w:rPr>
              <w:t>0,22</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28</w:t>
            </w:r>
          </w:p>
        </w:tc>
        <w:tc>
          <w:tcPr>
            <w:tcW w:w="3375" w:type="dxa"/>
          </w:tcPr>
          <w:p w:rsidR="00000000" w:rsidRDefault="00000000">
            <w:pPr>
              <w:spacing w:line="240" w:lineRule="auto"/>
            </w:pPr>
            <w:r>
              <w:t>Пеминггир</w:t>
            </w:r>
          </w:p>
        </w:tc>
        <w:tc>
          <w:tcPr>
            <w:tcW w:w="2015" w:type="dxa"/>
          </w:tcPr>
          <w:p w:rsidR="00000000" w:rsidRDefault="00000000">
            <w:pPr>
              <w:tabs>
                <w:tab w:val="clear" w:pos="567"/>
                <w:tab w:val="clear" w:pos="1134"/>
                <w:tab w:val="clear" w:pos="1701"/>
              </w:tabs>
              <w:spacing w:line="240" w:lineRule="auto"/>
              <w:ind w:right="392"/>
              <w:jc w:val="right"/>
              <w:rPr>
                <w:lang w:val="fr-FR"/>
              </w:rPr>
            </w:pPr>
            <w:r>
              <w:rPr>
                <w:lang w:val="fr-FR"/>
              </w:rPr>
              <w:t>426</w:t>
            </w:r>
            <w:r>
              <w:t xml:space="preserve"> </w:t>
            </w:r>
            <w:r>
              <w:rPr>
                <w:lang w:val="fr-FR"/>
              </w:rPr>
              <w:t>723</w:t>
            </w:r>
          </w:p>
        </w:tc>
        <w:tc>
          <w:tcPr>
            <w:tcW w:w="2128" w:type="dxa"/>
          </w:tcPr>
          <w:p w:rsidR="00000000" w:rsidRDefault="00000000">
            <w:pPr>
              <w:tabs>
                <w:tab w:val="clear" w:pos="567"/>
                <w:tab w:val="clear" w:pos="1134"/>
                <w:tab w:val="clear" w:pos="1701"/>
              </w:tabs>
              <w:spacing w:line="240" w:lineRule="auto"/>
              <w:ind w:right="756"/>
              <w:jc w:val="right"/>
              <w:rPr>
                <w:lang w:val="fr-FR"/>
              </w:rPr>
            </w:pPr>
            <w:r>
              <w:rPr>
                <w:lang w:val="fr-FR"/>
              </w:rPr>
              <w:t>0,21</w:t>
            </w:r>
          </w:p>
        </w:tc>
      </w:tr>
      <w:tr w:rsidR="00000000">
        <w:tblPrEx>
          <w:tblCellMar>
            <w:top w:w="0" w:type="dxa"/>
            <w:bottom w:w="0" w:type="dxa"/>
          </w:tblCellMar>
        </w:tblPrEx>
        <w:trPr>
          <w:jc w:val="center"/>
        </w:trPr>
        <w:tc>
          <w:tcPr>
            <w:tcW w:w="674" w:type="dxa"/>
          </w:tcPr>
          <w:p w:rsidR="00000000" w:rsidRDefault="00000000">
            <w:pPr>
              <w:spacing w:line="240" w:lineRule="auto"/>
              <w:rPr>
                <w:lang w:val="fr-FR"/>
              </w:rPr>
            </w:pPr>
            <w:r>
              <w:rPr>
                <w:lang w:val="fr-FR"/>
              </w:rPr>
              <w:t>29</w:t>
            </w:r>
          </w:p>
        </w:tc>
        <w:tc>
          <w:tcPr>
            <w:tcW w:w="3375" w:type="dxa"/>
          </w:tcPr>
          <w:p w:rsidR="00000000" w:rsidRDefault="00000000">
            <w:pPr>
              <w:spacing w:line="240" w:lineRule="auto"/>
            </w:pPr>
            <w:r>
              <w:t>Каили</w:t>
            </w:r>
          </w:p>
        </w:tc>
        <w:tc>
          <w:tcPr>
            <w:tcW w:w="2015" w:type="dxa"/>
          </w:tcPr>
          <w:p w:rsidR="00000000" w:rsidRDefault="00000000">
            <w:pPr>
              <w:tabs>
                <w:tab w:val="clear" w:pos="567"/>
                <w:tab w:val="clear" w:pos="1134"/>
                <w:tab w:val="clear" w:pos="1701"/>
              </w:tabs>
              <w:spacing w:line="240" w:lineRule="auto"/>
              <w:ind w:right="392"/>
              <w:jc w:val="right"/>
              <w:rPr>
                <w:lang w:val="fr-FR"/>
              </w:rPr>
            </w:pPr>
            <w:r>
              <w:rPr>
                <w:lang w:val="fr-FR"/>
              </w:rPr>
              <w:t>412</w:t>
            </w:r>
            <w:r>
              <w:t xml:space="preserve"> </w:t>
            </w:r>
            <w:r>
              <w:rPr>
                <w:lang w:val="fr-FR"/>
              </w:rPr>
              <w:t>281</w:t>
            </w:r>
          </w:p>
        </w:tc>
        <w:tc>
          <w:tcPr>
            <w:tcW w:w="2128" w:type="dxa"/>
          </w:tcPr>
          <w:p w:rsidR="00000000" w:rsidRDefault="00000000">
            <w:pPr>
              <w:tabs>
                <w:tab w:val="clear" w:pos="567"/>
                <w:tab w:val="clear" w:pos="1134"/>
                <w:tab w:val="clear" w:pos="1701"/>
              </w:tabs>
              <w:spacing w:line="240" w:lineRule="auto"/>
              <w:ind w:right="756"/>
              <w:jc w:val="right"/>
              <w:rPr>
                <w:lang w:val="fr-FR"/>
              </w:rPr>
            </w:pPr>
            <w:r>
              <w:rPr>
                <w:lang w:val="fr-FR"/>
              </w:rPr>
              <w:t>0,21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fr-FR"/>
              </w:rPr>
            </w:pPr>
            <w:r>
              <w:rPr>
                <w:color w:val="000000"/>
                <w:lang w:val="fr-FR"/>
              </w:rPr>
              <w:t>30</w:t>
            </w:r>
          </w:p>
        </w:tc>
        <w:tc>
          <w:tcPr>
            <w:tcW w:w="3375" w:type="dxa"/>
          </w:tcPr>
          <w:p w:rsidR="00000000" w:rsidRDefault="00000000">
            <w:pPr>
              <w:spacing w:line="240" w:lineRule="auto"/>
              <w:rPr>
                <w:color w:val="000000"/>
              </w:rPr>
            </w:pPr>
            <w:r>
              <w:rPr>
                <w:color w:val="000000"/>
              </w:rPr>
              <w:t>Сангир</w:t>
            </w:r>
          </w:p>
        </w:tc>
        <w:tc>
          <w:tcPr>
            <w:tcW w:w="2015" w:type="dxa"/>
          </w:tcPr>
          <w:p w:rsidR="00000000" w:rsidRDefault="00000000">
            <w:pPr>
              <w:spacing w:line="240" w:lineRule="auto"/>
              <w:jc w:val="center"/>
              <w:rPr>
                <w:color w:val="000000"/>
                <w:lang w:val="en-US"/>
              </w:rPr>
            </w:pPr>
            <w:r>
              <w:rPr>
                <w:color w:val="000000"/>
                <w:lang w:val="en-US"/>
              </w:rPr>
              <w:t>396 810</w:t>
            </w:r>
          </w:p>
        </w:tc>
        <w:tc>
          <w:tcPr>
            <w:tcW w:w="2128" w:type="dxa"/>
          </w:tcPr>
          <w:p w:rsidR="00000000" w:rsidRDefault="00000000">
            <w:pPr>
              <w:spacing w:line="240" w:lineRule="auto"/>
              <w:jc w:val="center"/>
              <w:rPr>
                <w:color w:val="000000"/>
                <w:lang w:val="en-US"/>
              </w:rPr>
            </w:pPr>
            <w:r>
              <w:rPr>
                <w:color w:val="000000"/>
                <w:lang w:val="en-US"/>
              </w:rPr>
              <w:t>0,20</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31</w:t>
            </w:r>
          </w:p>
        </w:tc>
        <w:tc>
          <w:tcPr>
            <w:tcW w:w="3375" w:type="dxa"/>
          </w:tcPr>
          <w:p w:rsidR="00000000" w:rsidRDefault="00000000">
            <w:pPr>
              <w:spacing w:line="240" w:lineRule="auto"/>
              <w:rPr>
                <w:color w:val="000000"/>
              </w:rPr>
            </w:pPr>
            <w:r>
              <w:rPr>
                <w:color w:val="000000"/>
              </w:rPr>
              <w:t>Комеринг</w:t>
            </w:r>
          </w:p>
        </w:tc>
        <w:tc>
          <w:tcPr>
            <w:tcW w:w="2015" w:type="dxa"/>
          </w:tcPr>
          <w:p w:rsidR="00000000" w:rsidRDefault="00000000">
            <w:pPr>
              <w:spacing w:line="240" w:lineRule="auto"/>
              <w:jc w:val="center"/>
              <w:rPr>
                <w:color w:val="000000"/>
              </w:rPr>
            </w:pPr>
            <w:r>
              <w:rPr>
                <w:color w:val="000000"/>
              </w:rPr>
              <w:t>389 467</w:t>
            </w:r>
          </w:p>
        </w:tc>
        <w:tc>
          <w:tcPr>
            <w:tcW w:w="2128" w:type="dxa"/>
          </w:tcPr>
          <w:p w:rsidR="00000000" w:rsidRDefault="00000000">
            <w:pPr>
              <w:spacing w:line="240" w:lineRule="auto"/>
              <w:jc w:val="center"/>
              <w:rPr>
                <w:color w:val="000000"/>
              </w:rPr>
            </w:pPr>
            <w:r>
              <w:rPr>
                <w:color w:val="000000"/>
              </w:rPr>
              <w:t>0,19</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32</w:t>
            </w:r>
          </w:p>
        </w:tc>
        <w:tc>
          <w:tcPr>
            <w:tcW w:w="3375" w:type="dxa"/>
          </w:tcPr>
          <w:p w:rsidR="00000000" w:rsidRDefault="00000000">
            <w:pPr>
              <w:spacing w:line="240" w:lineRule="auto"/>
              <w:rPr>
                <w:color w:val="000000"/>
              </w:rPr>
            </w:pPr>
            <w:r>
              <w:rPr>
                <w:color w:val="000000"/>
              </w:rPr>
              <w:t>Реджанг</w:t>
            </w:r>
          </w:p>
        </w:tc>
        <w:tc>
          <w:tcPr>
            <w:tcW w:w="2015" w:type="dxa"/>
          </w:tcPr>
          <w:p w:rsidR="00000000" w:rsidRDefault="00000000">
            <w:pPr>
              <w:spacing w:line="240" w:lineRule="auto"/>
              <w:jc w:val="center"/>
              <w:rPr>
                <w:color w:val="000000"/>
              </w:rPr>
            </w:pPr>
            <w:r>
              <w:rPr>
                <w:color w:val="000000"/>
              </w:rPr>
              <w:t>333 635</w:t>
            </w:r>
          </w:p>
        </w:tc>
        <w:tc>
          <w:tcPr>
            <w:tcW w:w="2128" w:type="dxa"/>
          </w:tcPr>
          <w:p w:rsidR="00000000" w:rsidRDefault="00000000">
            <w:pPr>
              <w:spacing w:line="240" w:lineRule="auto"/>
              <w:jc w:val="center"/>
              <w:rPr>
                <w:color w:val="000000"/>
              </w:rPr>
            </w:pPr>
            <w:r>
              <w:rPr>
                <w:color w:val="000000"/>
              </w:rPr>
              <w:t>0,17</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33</w:t>
            </w:r>
          </w:p>
        </w:tc>
        <w:tc>
          <w:tcPr>
            <w:tcW w:w="3375" w:type="dxa"/>
          </w:tcPr>
          <w:p w:rsidR="00000000" w:rsidRDefault="00000000">
            <w:pPr>
              <w:spacing w:line="240" w:lineRule="auto"/>
              <w:rPr>
                <w:color w:val="000000"/>
              </w:rPr>
            </w:pPr>
            <w:r>
              <w:rPr>
                <w:color w:val="000000"/>
              </w:rPr>
              <w:t>Нгаджу</w:t>
            </w:r>
          </w:p>
        </w:tc>
        <w:tc>
          <w:tcPr>
            <w:tcW w:w="2015" w:type="dxa"/>
          </w:tcPr>
          <w:p w:rsidR="00000000" w:rsidRDefault="00000000">
            <w:pPr>
              <w:spacing w:line="240" w:lineRule="auto"/>
              <w:jc w:val="center"/>
              <w:rPr>
                <w:color w:val="000000"/>
              </w:rPr>
            </w:pPr>
            <w:r>
              <w:rPr>
                <w:color w:val="000000"/>
              </w:rPr>
              <w:t>324 504</w:t>
            </w:r>
          </w:p>
        </w:tc>
        <w:tc>
          <w:tcPr>
            <w:tcW w:w="2128" w:type="dxa"/>
          </w:tcPr>
          <w:p w:rsidR="00000000" w:rsidRDefault="00000000">
            <w:pPr>
              <w:spacing w:line="240" w:lineRule="auto"/>
              <w:jc w:val="center"/>
              <w:rPr>
                <w:color w:val="000000"/>
              </w:rPr>
            </w:pPr>
            <w:r>
              <w:rPr>
                <w:color w:val="000000"/>
              </w:rPr>
              <w:t>0,16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34</w:t>
            </w:r>
          </w:p>
        </w:tc>
        <w:tc>
          <w:tcPr>
            <w:tcW w:w="3375" w:type="dxa"/>
          </w:tcPr>
          <w:p w:rsidR="00000000" w:rsidRDefault="00000000">
            <w:pPr>
              <w:spacing w:line="240" w:lineRule="auto"/>
              <w:rPr>
                <w:color w:val="000000"/>
              </w:rPr>
            </w:pPr>
            <w:r>
              <w:rPr>
                <w:color w:val="000000"/>
              </w:rPr>
              <w:t>Сумбава, Семава</w:t>
            </w:r>
          </w:p>
        </w:tc>
        <w:tc>
          <w:tcPr>
            <w:tcW w:w="2015" w:type="dxa"/>
          </w:tcPr>
          <w:p w:rsidR="00000000" w:rsidRDefault="00000000">
            <w:pPr>
              <w:spacing w:line="240" w:lineRule="auto"/>
              <w:jc w:val="center"/>
              <w:rPr>
                <w:color w:val="000000"/>
              </w:rPr>
            </w:pPr>
            <w:r>
              <w:rPr>
                <w:color w:val="000000"/>
              </w:rPr>
              <w:t>319 423</w:t>
            </w:r>
          </w:p>
        </w:tc>
        <w:tc>
          <w:tcPr>
            <w:tcW w:w="2128" w:type="dxa"/>
          </w:tcPr>
          <w:p w:rsidR="00000000" w:rsidRDefault="00000000">
            <w:pPr>
              <w:spacing w:line="240" w:lineRule="auto"/>
              <w:jc w:val="center"/>
              <w:rPr>
                <w:color w:val="000000"/>
              </w:rPr>
            </w:pPr>
            <w:r>
              <w:rPr>
                <w:color w:val="000000"/>
              </w:rPr>
              <w:t>0,16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35</w:t>
            </w:r>
          </w:p>
        </w:tc>
        <w:tc>
          <w:tcPr>
            <w:tcW w:w="3375" w:type="dxa"/>
          </w:tcPr>
          <w:p w:rsidR="00000000" w:rsidRDefault="00000000">
            <w:pPr>
              <w:spacing w:line="240" w:lineRule="auto"/>
              <w:rPr>
                <w:color w:val="000000"/>
              </w:rPr>
            </w:pPr>
            <w:r>
              <w:rPr>
                <w:color w:val="000000"/>
              </w:rPr>
              <w:t>Луву</w:t>
            </w:r>
          </w:p>
        </w:tc>
        <w:tc>
          <w:tcPr>
            <w:tcW w:w="2015" w:type="dxa"/>
          </w:tcPr>
          <w:p w:rsidR="00000000" w:rsidRDefault="00000000">
            <w:pPr>
              <w:spacing w:line="240" w:lineRule="auto"/>
              <w:jc w:val="center"/>
              <w:rPr>
                <w:color w:val="000000"/>
              </w:rPr>
            </w:pPr>
            <w:r>
              <w:rPr>
                <w:color w:val="000000"/>
              </w:rPr>
              <w:t>318 134</w:t>
            </w:r>
          </w:p>
        </w:tc>
        <w:tc>
          <w:tcPr>
            <w:tcW w:w="2128" w:type="dxa"/>
          </w:tcPr>
          <w:p w:rsidR="00000000" w:rsidRDefault="00000000">
            <w:pPr>
              <w:spacing w:line="240" w:lineRule="auto"/>
              <w:jc w:val="center"/>
              <w:rPr>
                <w:color w:val="000000"/>
              </w:rPr>
            </w:pPr>
            <w:r>
              <w:rPr>
                <w:color w:val="000000"/>
              </w:rPr>
              <w:t>0,16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36</w:t>
            </w:r>
          </w:p>
        </w:tc>
        <w:tc>
          <w:tcPr>
            <w:tcW w:w="3375" w:type="dxa"/>
          </w:tcPr>
          <w:p w:rsidR="00000000" w:rsidRDefault="00000000">
            <w:pPr>
              <w:spacing w:line="240" w:lineRule="auto"/>
              <w:rPr>
                <w:color w:val="000000"/>
              </w:rPr>
            </w:pPr>
            <w:r>
              <w:rPr>
                <w:color w:val="000000"/>
              </w:rPr>
              <w:t>Узинг, Озинг</w:t>
            </w:r>
          </w:p>
        </w:tc>
        <w:tc>
          <w:tcPr>
            <w:tcW w:w="2015" w:type="dxa"/>
          </w:tcPr>
          <w:p w:rsidR="00000000" w:rsidRDefault="00000000">
            <w:pPr>
              <w:spacing w:line="240" w:lineRule="auto"/>
              <w:jc w:val="center"/>
              <w:rPr>
                <w:color w:val="000000"/>
              </w:rPr>
            </w:pPr>
            <w:r>
              <w:rPr>
                <w:color w:val="000000"/>
              </w:rPr>
              <w:t>297 372</w:t>
            </w:r>
          </w:p>
        </w:tc>
        <w:tc>
          <w:tcPr>
            <w:tcW w:w="2128" w:type="dxa"/>
          </w:tcPr>
          <w:p w:rsidR="00000000" w:rsidRDefault="00000000">
            <w:pPr>
              <w:spacing w:line="240" w:lineRule="auto"/>
              <w:jc w:val="center"/>
              <w:rPr>
                <w:color w:val="000000"/>
              </w:rPr>
            </w:pPr>
            <w:r>
              <w:rPr>
                <w:color w:val="000000"/>
              </w:rPr>
              <w:t>0,15</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37</w:t>
            </w:r>
          </w:p>
        </w:tc>
        <w:tc>
          <w:tcPr>
            <w:tcW w:w="3375" w:type="dxa"/>
          </w:tcPr>
          <w:p w:rsidR="00000000" w:rsidRDefault="00000000">
            <w:pPr>
              <w:spacing w:line="240" w:lineRule="auto"/>
              <w:rPr>
                <w:color w:val="000000"/>
              </w:rPr>
            </w:pPr>
            <w:r>
              <w:rPr>
                <w:color w:val="000000"/>
              </w:rPr>
              <w:t>Кендаян, Кенаян</w:t>
            </w:r>
          </w:p>
        </w:tc>
        <w:tc>
          <w:tcPr>
            <w:tcW w:w="2015" w:type="dxa"/>
          </w:tcPr>
          <w:p w:rsidR="00000000" w:rsidRDefault="00000000">
            <w:pPr>
              <w:spacing w:line="240" w:lineRule="auto"/>
              <w:jc w:val="center"/>
              <w:rPr>
                <w:color w:val="000000"/>
              </w:rPr>
            </w:pPr>
            <w:r>
              <w:rPr>
                <w:color w:val="000000"/>
              </w:rPr>
              <w:t>292 390</w:t>
            </w:r>
          </w:p>
        </w:tc>
        <w:tc>
          <w:tcPr>
            <w:tcW w:w="2128" w:type="dxa"/>
          </w:tcPr>
          <w:p w:rsidR="00000000" w:rsidRDefault="00000000">
            <w:pPr>
              <w:spacing w:line="240" w:lineRule="auto"/>
              <w:jc w:val="center"/>
              <w:rPr>
                <w:color w:val="000000"/>
              </w:rPr>
            </w:pPr>
            <w:r>
              <w:rPr>
                <w:color w:val="000000"/>
              </w:rPr>
              <w:t>0,15</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38</w:t>
            </w:r>
          </w:p>
        </w:tc>
        <w:tc>
          <w:tcPr>
            <w:tcW w:w="3375" w:type="dxa"/>
          </w:tcPr>
          <w:p w:rsidR="00000000" w:rsidRDefault="00000000">
            <w:pPr>
              <w:spacing w:line="240" w:lineRule="auto"/>
              <w:rPr>
                <w:color w:val="000000"/>
              </w:rPr>
            </w:pPr>
            <w:r>
              <w:rPr>
                <w:color w:val="000000"/>
              </w:rPr>
              <w:t>Толаки, Лаки-лаки, Лолаки</w:t>
            </w:r>
          </w:p>
        </w:tc>
        <w:tc>
          <w:tcPr>
            <w:tcW w:w="2015" w:type="dxa"/>
          </w:tcPr>
          <w:p w:rsidR="00000000" w:rsidRDefault="00000000">
            <w:pPr>
              <w:spacing w:line="240" w:lineRule="auto"/>
              <w:jc w:val="center"/>
              <w:rPr>
                <w:color w:val="000000"/>
              </w:rPr>
            </w:pPr>
            <w:r>
              <w:rPr>
                <w:color w:val="000000"/>
              </w:rPr>
              <w:t>289 220</w:t>
            </w:r>
          </w:p>
        </w:tc>
        <w:tc>
          <w:tcPr>
            <w:tcW w:w="2128" w:type="dxa"/>
          </w:tcPr>
          <w:p w:rsidR="00000000" w:rsidRDefault="00000000">
            <w:pPr>
              <w:spacing w:line="240" w:lineRule="auto"/>
              <w:jc w:val="center"/>
              <w:rPr>
                <w:color w:val="000000"/>
              </w:rPr>
            </w:pPr>
            <w:r>
              <w:rPr>
                <w:color w:val="000000"/>
              </w:rPr>
              <w:t>0,14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39</w:t>
            </w:r>
          </w:p>
        </w:tc>
        <w:tc>
          <w:tcPr>
            <w:tcW w:w="3375" w:type="dxa"/>
          </w:tcPr>
          <w:p w:rsidR="00000000" w:rsidRDefault="00000000">
            <w:pPr>
              <w:spacing w:line="240" w:lineRule="auto"/>
              <w:rPr>
                <w:color w:val="000000"/>
              </w:rPr>
            </w:pPr>
            <w:r>
              <w:rPr>
                <w:color w:val="000000"/>
              </w:rPr>
              <w:t>Пепадун</w:t>
            </w:r>
          </w:p>
        </w:tc>
        <w:tc>
          <w:tcPr>
            <w:tcW w:w="2015" w:type="dxa"/>
          </w:tcPr>
          <w:p w:rsidR="00000000" w:rsidRDefault="00000000">
            <w:pPr>
              <w:spacing w:line="240" w:lineRule="auto"/>
              <w:jc w:val="center"/>
              <w:rPr>
                <w:color w:val="000000"/>
              </w:rPr>
            </w:pPr>
            <w:r>
              <w:rPr>
                <w:color w:val="000000"/>
              </w:rPr>
              <w:t>280 247</w:t>
            </w:r>
          </w:p>
        </w:tc>
        <w:tc>
          <w:tcPr>
            <w:tcW w:w="2128" w:type="dxa"/>
          </w:tcPr>
          <w:p w:rsidR="00000000" w:rsidRDefault="00000000">
            <w:pPr>
              <w:spacing w:line="240" w:lineRule="auto"/>
              <w:jc w:val="center"/>
              <w:rPr>
                <w:color w:val="000000"/>
              </w:rPr>
            </w:pPr>
            <w:r>
              <w:rPr>
                <w:color w:val="000000"/>
              </w:rPr>
              <w:t>0,14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40</w:t>
            </w:r>
          </w:p>
        </w:tc>
        <w:tc>
          <w:tcPr>
            <w:tcW w:w="3375" w:type="dxa"/>
          </w:tcPr>
          <w:p w:rsidR="00000000" w:rsidRDefault="00000000">
            <w:pPr>
              <w:spacing w:line="240" w:lineRule="auto"/>
              <w:rPr>
                <w:color w:val="000000"/>
              </w:rPr>
            </w:pPr>
            <w:r>
              <w:rPr>
                <w:color w:val="000000"/>
              </w:rPr>
              <w:t>Сераваи</w:t>
            </w:r>
          </w:p>
        </w:tc>
        <w:tc>
          <w:tcPr>
            <w:tcW w:w="2015" w:type="dxa"/>
          </w:tcPr>
          <w:p w:rsidR="00000000" w:rsidRDefault="00000000">
            <w:pPr>
              <w:spacing w:line="240" w:lineRule="auto"/>
              <w:jc w:val="center"/>
              <w:rPr>
                <w:color w:val="000000"/>
              </w:rPr>
            </w:pPr>
            <w:r>
              <w:rPr>
                <w:color w:val="000000"/>
              </w:rPr>
              <w:t>279 154</w:t>
            </w:r>
          </w:p>
        </w:tc>
        <w:tc>
          <w:tcPr>
            <w:tcW w:w="2128" w:type="dxa"/>
          </w:tcPr>
          <w:p w:rsidR="00000000" w:rsidRDefault="00000000">
            <w:pPr>
              <w:spacing w:line="240" w:lineRule="auto"/>
              <w:jc w:val="center"/>
              <w:rPr>
                <w:color w:val="000000"/>
              </w:rPr>
            </w:pPr>
            <w:r>
              <w:rPr>
                <w:color w:val="000000"/>
              </w:rPr>
              <w:t>0,14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41</w:t>
            </w:r>
          </w:p>
        </w:tc>
        <w:tc>
          <w:tcPr>
            <w:tcW w:w="3375" w:type="dxa"/>
          </w:tcPr>
          <w:p w:rsidR="00000000" w:rsidRDefault="00000000">
            <w:pPr>
              <w:spacing w:line="240" w:lineRule="auto"/>
              <w:rPr>
                <w:color w:val="000000"/>
              </w:rPr>
            </w:pPr>
            <w:r>
              <w:rPr>
                <w:color w:val="000000"/>
              </w:rPr>
              <w:t>Дарат</w:t>
            </w:r>
          </w:p>
        </w:tc>
        <w:tc>
          <w:tcPr>
            <w:tcW w:w="2015" w:type="dxa"/>
          </w:tcPr>
          <w:p w:rsidR="00000000" w:rsidRDefault="00000000">
            <w:pPr>
              <w:spacing w:line="240" w:lineRule="auto"/>
              <w:jc w:val="center"/>
              <w:rPr>
                <w:color w:val="000000"/>
              </w:rPr>
            </w:pPr>
            <w:r>
              <w:rPr>
                <w:color w:val="000000"/>
              </w:rPr>
              <w:t>275 914</w:t>
            </w:r>
          </w:p>
        </w:tc>
        <w:tc>
          <w:tcPr>
            <w:tcW w:w="2128" w:type="dxa"/>
          </w:tcPr>
          <w:p w:rsidR="00000000" w:rsidRDefault="00000000">
            <w:pPr>
              <w:spacing w:line="240" w:lineRule="auto"/>
              <w:jc w:val="center"/>
              <w:rPr>
                <w:color w:val="000000"/>
              </w:rPr>
            </w:pPr>
            <w:r>
              <w:rPr>
                <w:color w:val="000000"/>
              </w:rPr>
              <w:t>0,14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42</w:t>
            </w:r>
          </w:p>
        </w:tc>
        <w:tc>
          <w:tcPr>
            <w:tcW w:w="3375" w:type="dxa"/>
          </w:tcPr>
          <w:p w:rsidR="00000000" w:rsidRDefault="00000000">
            <w:pPr>
              <w:spacing w:line="240" w:lineRule="auto"/>
              <w:rPr>
                <w:color w:val="000000"/>
              </w:rPr>
            </w:pPr>
            <w:r>
              <w:rPr>
                <w:color w:val="000000"/>
              </w:rPr>
              <w:t>Муна, Томуна</w:t>
            </w:r>
          </w:p>
        </w:tc>
        <w:tc>
          <w:tcPr>
            <w:tcW w:w="2015" w:type="dxa"/>
          </w:tcPr>
          <w:p w:rsidR="00000000" w:rsidRDefault="00000000">
            <w:pPr>
              <w:spacing w:line="240" w:lineRule="auto"/>
              <w:jc w:val="center"/>
              <w:rPr>
                <w:color w:val="000000"/>
              </w:rPr>
            </w:pPr>
            <w:r>
              <w:rPr>
                <w:color w:val="000000"/>
              </w:rPr>
              <w:t>267 722</w:t>
            </w:r>
          </w:p>
        </w:tc>
        <w:tc>
          <w:tcPr>
            <w:tcW w:w="2128" w:type="dxa"/>
          </w:tcPr>
          <w:p w:rsidR="00000000" w:rsidRDefault="00000000">
            <w:pPr>
              <w:spacing w:line="240" w:lineRule="auto"/>
              <w:jc w:val="center"/>
              <w:rPr>
                <w:color w:val="000000"/>
              </w:rPr>
            </w:pPr>
            <w:r>
              <w:rPr>
                <w:color w:val="000000"/>
              </w:rPr>
              <w:t>0,13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43</w:t>
            </w:r>
          </w:p>
        </w:tc>
        <w:tc>
          <w:tcPr>
            <w:tcW w:w="3375" w:type="dxa"/>
          </w:tcPr>
          <w:p w:rsidR="00000000" w:rsidRDefault="00000000">
            <w:pPr>
              <w:spacing w:line="240" w:lineRule="auto"/>
              <w:rPr>
                <w:color w:val="000000"/>
              </w:rPr>
            </w:pPr>
            <w:r>
              <w:rPr>
                <w:color w:val="000000"/>
              </w:rPr>
              <w:t>Керинчи</w:t>
            </w:r>
          </w:p>
        </w:tc>
        <w:tc>
          <w:tcPr>
            <w:tcW w:w="2015" w:type="dxa"/>
          </w:tcPr>
          <w:p w:rsidR="00000000" w:rsidRDefault="00000000">
            <w:pPr>
              <w:spacing w:line="240" w:lineRule="auto"/>
              <w:jc w:val="center"/>
              <w:rPr>
                <w:color w:val="000000"/>
              </w:rPr>
            </w:pPr>
            <w:r>
              <w:rPr>
                <w:color w:val="000000"/>
              </w:rPr>
              <w:t>254 725</w:t>
            </w:r>
          </w:p>
        </w:tc>
        <w:tc>
          <w:tcPr>
            <w:tcW w:w="2128" w:type="dxa"/>
          </w:tcPr>
          <w:p w:rsidR="00000000" w:rsidRDefault="00000000">
            <w:pPr>
              <w:spacing w:line="240" w:lineRule="auto"/>
              <w:jc w:val="center"/>
              <w:rPr>
                <w:color w:val="000000"/>
              </w:rPr>
            </w:pPr>
            <w:r>
              <w:rPr>
                <w:color w:val="000000"/>
              </w:rPr>
              <w:t>0,13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44</w:t>
            </w:r>
          </w:p>
        </w:tc>
        <w:tc>
          <w:tcPr>
            <w:tcW w:w="3375" w:type="dxa"/>
          </w:tcPr>
          <w:p w:rsidR="00000000" w:rsidRDefault="00000000">
            <w:pPr>
              <w:spacing w:line="240" w:lineRule="auto"/>
              <w:rPr>
                <w:color w:val="000000"/>
              </w:rPr>
            </w:pPr>
            <w:r>
              <w:rPr>
                <w:color w:val="000000"/>
              </w:rPr>
              <w:t>Даван</w:t>
            </w:r>
          </w:p>
        </w:tc>
        <w:tc>
          <w:tcPr>
            <w:tcW w:w="2015" w:type="dxa"/>
          </w:tcPr>
          <w:p w:rsidR="00000000" w:rsidRDefault="00000000">
            <w:pPr>
              <w:spacing w:line="240" w:lineRule="auto"/>
              <w:jc w:val="center"/>
              <w:rPr>
                <w:color w:val="000000"/>
              </w:rPr>
            </w:pPr>
            <w:r>
              <w:rPr>
                <w:color w:val="000000"/>
              </w:rPr>
              <w:t>236 242</w:t>
            </w:r>
          </w:p>
        </w:tc>
        <w:tc>
          <w:tcPr>
            <w:tcW w:w="2128" w:type="dxa"/>
          </w:tcPr>
          <w:p w:rsidR="00000000" w:rsidRDefault="00000000">
            <w:pPr>
              <w:spacing w:line="240" w:lineRule="auto"/>
              <w:jc w:val="center"/>
              <w:rPr>
                <w:color w:val="000000"/>
              </w:rPr>
            </w:pPr>
            <w:r>
              <w:rPr>
                <w:color w:val="000000"/>
              </w:rPr>
              <w:t>0,12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45</w:t>
            </w:r>
          </w:p>
        </w:tc>
        <w:tc>
          <w:tcPr>
            <w:tcW w:w="3375" w:type="dxa"/>
          </w:tcPr>
          <w:p w:rsidR="00000000" w:rsidRDefault="00000000">
            <w:pPr>
              <w:spacing w:line="240" w:lineRule="auto"/>
              <w:rPr>
                <w:color w:val="000000"/>
              </w:rPr>
            </w:pPr>
            <w:r>
              <w:rPr>
                <w:color w:val="000000"/>
              </w:rPr>
              <w:t>Кутаи</w:t>
            </w:r>
          </w:p>
        </w:tc>
        <w:tc>
          <w:tcPr>
            <w:tcW w:w="2015" w:type="dxa"/>
          </w:tcPr>
          <w:p w:rsidR="00000000" w:rsidRDefault="00000000">
            <w:pPr>
              <w:spacing w:line="240" w:lineRule="auto"/>
              <w:jc w:val="center"/>
              <w:rPr>
                <w:color w:val="000000"/>
              </w:rPr>
            </w:pPr>
            <w:r>
              <w:rPr>
                <w:color w:val="000000"/>
              </w:rPr>
              <w:t>224 859</w:t>
            </w:r>
          </w:p>
        </w:tc>
        <w:tc>
          <w:tcPr>
            <w:tcW w:w="2128" w:type="dxa"/>
          </w:tcPr>
          <w:p w:rsidR="00000000" w:rsidRDefault="00000000">
            <w:pPr>
              <w:spacing w:line="240" w:lineRule="auto"/>
              <w:jc w:val="center"/>
              <w:rPr>
                <w:color w:val="000000"/>
              </w:rPr>
            </w:pPr>
            <w:r>
              <w:rPr>
                <w:color w:val="000000"/>
              </w:rPr>
              <w:t>0,11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46</w:t>
            </w:r>
          </w:p>
        </w:tc>
        <w:tc>
          <w:tcPr>
            <w:tcW w:w="3375" w:type="dxa"/>
          </w:tcPr>
          <w:p w:rsidR="00000000" w:rsidRDefault="00000000">
            <w:pPr>
              <w:spacing w:line="240" w:lineRule="auto"/>
              <w:rPr>
                <w:color w:val="000000"/>
              </w:rPr>
            </w:pPr>
            <w:r>
              <w:rPr>
                <w:color w:val="000000"/>
              </w:rPr>
              <w:t>Болаанг Монгондоу</w:t>
            </w:r>
          </w:p>
        </w:tc>
        <w:tc>
          <w:tcPr>
            <w:tcW w:w="2015" w:type="dxa"/>
          </w:tcPr>
          <w:p w:rsidR="00000000" w:rsidRDefault="00000000">
            <w:pPr>
              <w:spacing w:line="240" w:lineRule="auto"/>
              <w:jc w:val="center"/>
              <w:rPr>
                <w:color w:val="000000"/>
              </w:rPr>
            </w:pPr>
            <w:r>
              <w:rPr>
                <w:color w:val="000000"/>
              </w:rPr>
              <w:t>223 546</w:t>
            </w:r>
          </w:p>
        </w:tc>
        <w:tc>
          <w:tcPr>
            <w:tcW w:w="2128" w:type="dxa"/>
          </w:tcPr>
          <w:p w:rsidR="00000000" w:rsidRDefault="00000000">
            <w:pPr>
              <w:spacing w:line="240" w:lineRule="auto"/>
              <w:jc w:val="center"/>
              <w:rPr>
                <w:color w:val="000000"/>
              </w:rPr>
            </w:pPr>
            <w:r>
              <w:rPr>
                <w:color w:val="000000"/>
              </w:rPr>
              <w:t>0,11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47</w:t>
            </w:r>
          </w:p>
        </w:tc>
        <w:tc>
          <w:tcPr>
            <w:tcW w:w="3375" w:type="dxa"/>
          </w:tcPr>
          <w:p w:rsidR="00000000" w:rsidRDefault="00000000">
            <w:pPr>
              <w:spacing w:line="240" w:lineRule="auto"/>
              <w:rPr>
                <w:color w:val="000000"/>
              </w:rPr>
            </w:pPr>
            <w:r>
              <w:rPr>
                <w:color w:val="000000"/>
              </w:rPr>
              <w:t>Даяк</w:t>
            </w:r>
          </w:p>
        </w:tc>
        <w:tc>
          <w:tcPr>
            <w:tcW w:w="2015" w:type="dxa"/>
          </w:tcPr>
          <w:p w:rsidR="00000000" w:rsidRDefault="00000000">
            <w:pPr>
              <w:spacing w:line="240" w:lineRule="auto"/>
              <w:jc w:val="center"/>
              <w:rPr>
                <w:color w:val="000000"/>
              </w:rPr>
            </w:pPr>
            <w:r>
              <w:rPr>
                <w:color w:val="000000"/>
              </w:rPr>
              <w:t>221 957</w:t>
            </w:r>
          </w:p>
        </w:tc>
        <w:tc>
          <w:tcPr>
            <w:tcW w:w="2128" w:type="dxa"/>
          </w:tcPr>
          <w:p w:rsidR="00000000" w:rsidRDefault="00000000">
            <w:pPr>
              <w:spacing w:line="240" w:lineRule="auto"/>
              <w:jc w:val="center"/>
              <w:rPr>
                <w:color w:val="000000"/>
              </w:rPr>
            </w:pPr>
            <w:r>
              <w:rPr>
                <w:color w:val="000000"/>
              </w:rPr>
              <w:t>0,11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48</w:t>
            </w:r>
          </w:p>
        </w:tc>
        <w:tc>
          <w:tcPr>
            <w:tcW w:w="3375" w:type="dxa"/>
          </w:tcPr>
          <w:p w:rsidR="00000000" w:rsidRDefault="00000000">
            <w:pPr>
              <w:spacing w:line="240" w:lineRule="auto"/>
              <w:rPr>
                <w:color w:val="000000"/>
              </w:rPr>
            </w:pPr>
            <w:r>
              <w:rPr>
                <w:color w:val="000000"/>
              </w:rPr>
              <w:t>Муси Баньюасин</w:t>
            </w:r>
          </w:p>
        </w:tc>
        <w:tc>
          <w:tcPr>
            <w:tcW w:w="2015" w:type="dxa"/>
          </w:tcPr>
          <w:p w:rsidR="00000000" w:rsidRDefault="00000000">
            <w:pPr>
              <w:spacing w:line="240" w:lineRule="auto"/>
              <w:jc w:val="center"/>
              <w:rPr>
                <w:color w:val="000000"/>
              </w:rPr>
            </w:pPr>
            <w:r>
              <w:rPr>
                <w:color w:val="000000"/>
              </w:rPr>
              <w:t>213 918</w:t>
            </w:r>
          </w:p>
        </w:tc>
        <w:tc>
          <w:tcPr>
            <w:tcW w:w="2128" w:type="dxa"/>
          </w:tcPr>
          <w:p w:rsidR="00000000" w:rsidRDefault="00000000">
            <w:pPr>
              <w:spacing w:line="240" w:lineRule="auto"/>
              <w:jc w:val="center"/>
              <w:rPr>
                <w:color w:val="000000"/>
              </w:rPr>
            </w:pPr>
            <w:r>
              <w:rPr>
                <w:color w:val="000000"/>
              </w:rPr>
              <w:t>0,11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fr-FR"/>
              </w:rPr>
            </w:pPr>
            <w:r>
              <w:rPr>
                <w:color w:val="000000"/>
                <w:lang w:val="fr-FR"/>
              </w:rPr>
              <w:t>49</w:t>
            </w:r>
          </w:p>
        </w:tc>
        <w:tc>
          <w:tcPr>
            <w:tcW w:w="3375" w:type="dxa"/>
          </w:tcPr>
          <w:p w:rsidR="00000000" w:rsidRDefault="00000000">
            <w:pPr>
              <w:spacing w:line="240" w:lineRule="auto"/>
              <w:rPr>
                <w:color w:val="000000"/>
              </w:rPr>
            </w:pPr>
            <w:r>
              <w:rPr>
                <w:color w:val="000000"/>
              </w:rPr>
              <w:t>Ламахолот, Ламахот, Ламколо</w:t>
            </w:r>
          </w:p>
        </w:tc>
        <w:tc>
          <w:tcPr>
            <w:tcW w:w="2015" w:type="dxa"/>
          </w:tcPr>
          <w:p w:rsidR="00000000" w:rsidRDefault="00000000">
            <w:pPr>
              <w:spacing w:line="240" w:lineRule="auto"/>
              <w:jc w:val="center"/>
              <w:rPr>
                <w:color w:val="000000"/>
              </w:rPr>
            </w:pPr>
            <w:r>
              <w:rPr>
                <w:color w:val="000000"/>
              </w:rPr>
              <w:t>206 488</w:t>
            </w:r>
          </w:p>
        </w:tc>
        <w:tc>
          <w:tcPr>
            <w:tcW w:w="2128" w:type="dxa"/>
          </w:tcPr>
          <w:p w:rsidR="00000000" w:rsidRDefault="00000000">
            <w:pPr>
              <w:spacing w:line="240" w:lineRule="auto"/>
              <w:jc w:val="center"/>
              <w:rPr>
                <w:color w:val="000000"/>
              </w:rPr>
            </w:pPr>
            <w:r>
              <w:rPr>
                <w:color w:val="000000"/>
              </w:rPr>
              <w:t>0,10</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50</w:t>
            </w:r>
          </w:p>
        </w:tc>
        <w:tc>
          <w:tcPr>
            <w:tcW w:w="3375" w:type="dxa"/>
          </w:tcPr>
          <w:p w:rsidR="00000000" w:rsidRDefault="00000000">
            <w:pPr>
              <w:spacing w:line="240" w:lineRule="auto"/>
              <w:rPr>
                <w:color w:val="000000"/>
              </w:rPr>
            </w:pPr>
            <w:r>
              <w:rPr>
                <w:color w:val="000000"/>
              </w:rPr>
              <w:t>Белу, Тето</w:t>
            </w:r>
          </w:p>
        </w:tc>
        <w:tc>
          <w:tcPr>
            <w:tcW w:w="2015" w:type="dxa"/>
          </w:tcPr>
          <w:p w:rsidR="00000000" w:rsidRDefault="00000000">
            <w:pPr>
              <w:spacing w:line="240" w:lineRule="auto"/>
              <w:jc w:val="center"/>
              <w:rPr>
                <w:color w:val="000000"/>
              </w:rPr>
            </w:pPr>
            <w:r>
              <w:rPr>
                <w:color w:val="000000"/>
              </w:rPr>
              <w:t>197 302</w:t>
            </w:r>
          </w:p>
        </w:tc>
        <w:tc>
          <w:tcPr>
            <w:tcW w:w="2128" w:type="dxa"/>
          </w:tcPr>
          <w:p w:rsidR="00000000" w:rsidRDefault="00000000">
            <w:pPr>
              <w:spacing w:line="240" w:lineRule="auto"/>
              <w:jc w:val="center"/>
              <w:rPr>
                <w:color w:val="000000"/>
              </w:rPr>
            </w:pPr>
            <w:r>
              <w:rPr>
                <w:color w:val="000000"/>
              </w:rPr>
              <w:t>0,10</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51</w:t>
            </w:r>
          </w:p>
        </w:tc>
        <w:tc>
          <w:tcPr>
            <w:tcW w:w="3375" w:type="dxa"/>
          </w:tcPr>
          <w:p w:rsidR="00000000" w:rsidRDefault="00000000">
            <w:pPr>
              <w:spacing w:line="240" w:lineRule="auto"/>
              <w:rPr>
                <w:color w:val="000000"/>
              </w:rPr>
            </w:pPr>
            <w:r>
              <w:rPr>
                <w:color w:val="000000"/>
              </w:rPr>
              <w:t>Роте, Роти</w:t>
            </w:r>
          </w:p>
        </w:tc>
        <w:tc>
          <w:tcPr>
            <w:tcW w:w="2015" w:type="dxa"/>
          </w:tcPr>
          <w:p w:rsidR="00000000" w:rsidRDefault="00000000">
            <w:pPr>
              <w:spacing w:line="240" w:lineRule="auto"/>
              <w:jc w:val="center"/>
              <w:rPr>
                <w:color w:val="000000"/>
              </w:rPr>
            </w:pPr>
            <w:r>
              <w:rPr>
                <w:color w:val="000000"/>
              </w:rPr>
              <w:t>185 316</w:t>
            </w:r>
          </w:p>
        </w:tc>
        <w:tc>
          <w:tcPr>
            <w:tcW w:w="2128" w:type="dxa"/>
          </w:tcPr>
          <w:p w:rsidR="00000000" w:rsidRDefault="00000000">
            <w:pPr>
              <w:spacing w:line="240" w:lineRule="auto"/>
              <w:jc w:val="center"/>
              <w:rPr>
                <w:color w:val="000000"/>
              </w:rPr>
            </w:pPr>
            <w:r>
              <w:rPr>
                <w:color w:val="000000"/>
              </w:rPr>
              <w:t>0,09</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52</w:t>
            </w:r>
          </w:p>
        </w:tc>
        <w:tc>
          <w:tcPr>
            <w:tcW w:w="3375" w:type="dxa"/>
          </w:tcPr>
          <w:p w:rsidR="00000000" w:rsidRDefault="00000000">
            <w:pPr>
              <w:spacing w:line="240" w:lineRule="auto"/>
              <w:rPr>
                <w:color w:val="000000"/>
              </w:rPr>
            </w:pPr>
            <w:r>
              <w:rPr>
                <w:color w:val="000000"/>
              </w:rPr>
              <w:t>Песагуан</w:t>
            </w:r>
          </w:p>
        </w:tc>
        <w:tc>
          <w:tcPr>
            <w:tcW w:w="2015" w:type="dxa"/>
          </w:tcPr>
          <w:p w:rsidR="00000000" w:rsidRDefault="00000000">
            <w:pPr>
              <w:spacing w:line="240" w:lineRule="auto"/>
              <w:jc w:val="center"/>
              <w:rPr>
                <w:color w:val="000000"/>
              </w:rPr>
            </w:pPr>
            <w:r>
              <w:rPr>
                <w:color w:val="000000"/>
              </w:rPr>
              <w:t>178 933</w:t>
            </w:r>
          </w:p>
        </w:tc>
        <w:tc>
          <w:tcPr>
            <w:tcW w:w="2128" w:type="dxa"/>
          </w:tcPr>
          <w:p w:rsidR="00000000" w:rsidRDefault="00000000">
            <w:pPr>
              <w:spacing w:line="240" w:lineRule="auto"/>
              <w:jc w:val="center"/>
              <w:rPr>
                <w:color w:val="000000"/>
              </w:rPr>
            </w:pPr>
            <w:r>
              <w:rPr>
                <w:color w:val="000000"/>
              </w:rPr>
              <w:t>0,09</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53</w:t>
            </w:r>
          </w:p>
        </w:tc>
        <w:tc>
          <w:tcPr>
            <w:tcW w:w="3375" w:type="dxa"/>
          </w:tcPr>
          <w:p w:rsidR="00000000" w:rsidRDefault="00000000">
            <w:pPr>
              <w:spacing w:line="240" w:lineRule="auto"/>
              <w:rPr>
                <w:color w:val="000000"/>
              </w:rPr>
            </w:pPr>
            <w:r>
              <w:rPr>
                <w:color w:val="000000"/>
              </w:rPr>
              <w:t>Лио</w:t>
            </w:r>
          </w:p>
        </w:tc>
        <w:tc>
          <w:tcPr>
            <w:tcW w:w="2015" w:type="dxa"/>
          </w:tcPr>
          <w:p w:rsidR="00000000" w:rsidRDefault="00000000">
            <w:pPr>
              <w:spacing w:line="240" w:lineRule="auto"/>
              <w:jc w:val="center"/>
              <w:rPr>
                <w:color w:val="000000"/>
              </w:rPr>
            </w:pPr>
            <w:r>
              <w:rPr>
                <w:color w:val="000000"/>
              </w:rPr>
              <w:t>170 949</w:t>
            </w:r>
          </w:p>
        </w:tc>
        <w:tc>
          <w:tcPr>
            <w:tcW w:w="2128" w:type="dxa"/>
          </w:tcPr>
          <w:p w:rsidR="00000000" w:rsidRDefault="00000000">
            <w:pPr>
              <w:spacing w:line="240" w:lineRule="auto"/>
              <w:jc w:val="center"/>
              <w:rPr>
                <w:color w:val="000000"/>
              </w:rPr>
            </w:pPr>
            <w:r>
              <w:rPr>
                <w:color w:val="000000"/>
              </w:rPr>
              <w:t>0,09</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54</w:t>
            </w:r>
          </w:p>
        </w:tc>
        <w:tc>
          <w:tcPr>
            <w:tcW w:w="3375" w:type="dxa"/>
          </w:tcPr>
          <w:p w:rsidR="00000000" w:rsidRDefault="00000000">
            <w:pPr>
              <w:spacing w:line="240" w:lineRule="auto"/>
              <w:rPr>
                <w:color w:val="000000"/>
              </w:rPr>
            </w:pPr>
            <w:r>
              <w:rPr>
                <w:color w:val="000000"/>
              </w:rPr>
              <w:t>Бакумпаи</w:t>
            </w:r>
          </w:p>
        </w:tc>
        <w:tc>
          <w:tcPr>
            <w:tcW w:w="2015" w:type="dxa"/>
          </w:tcPr>
          <w:p w:rsidR="00000000" w:rsidRDefault="00000000">
            <w:pPr>
              <w:spacing w:line="240" w:lineRule="auto"/>
              <w:jc w:val="center"/>
              <w:rPr>
                <w:color w:val="000000"/>
              </w:rPr>
            </w:pPr>
            <w:r>
              <w:rPr>
                <w:color w:val="000000"/>
              </w:rPr>
              <w:t>155 906</w:t>
            </w:r>
          </w:p>
        </w:tc>
        <w:tc>
          <w:tcPr>
            <w:tcW w:w="2128" w:type="dxa"/>
          </w:tcPr>
          <w:p w:rsidR="00000000" w:rsidRDefault="00000000">
            <w:pPr>
              <w:spacing w:line="240" w:lineRule="auto"/>
              <w:jc w:val="center"/>
              <w:rPr>
                <w:color w:val="000000"/>
              </w:rPr>
            </w:pPr>
            <w:r>
              <w:rPr>
                <w:color w:val="000000"/>
              </w:rPr>
              <w:t>0,08</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55</w:t>
            </w:r>
          </w:p>
        </w:tc>
        <w:tc>
          <w:tcPr>
            <w:tcW w:w="3375" w:type="dxa"/>
          </w:tcPr>
          <w:p w:rsidR="00000000" w:rsidRDefault="00000000">
            <w:pPr>
              <w:spacing w:line="240" w:lineRule="auto"/>
              <w:rPr>
                <w:color w:val="000000"/>
              </w:rPr>
            </w:pPr>
            <w:r>
              <w:rPr>
                <w:color w:val="000000"/>
              </w:rPr>
              <w:t>Тонтебоан</w:t>
            </w:r>
          </w:p>
        </w:tc>
        <w:tc>
          <w:tcPr>
            <w:tcW w:w="2015" w:type="dxa"/>
          </w:tcPr>
          <w:p w:rsidR="00000000" w:rsidRDefault="00000000">
            <w:pPr>
              <w:spacing w:line="240" w:lineRule="auto"/>
              <w:jc w:val="center"/>
              <w:rPr>
                <w:color w:val="000000"/>
                <w:lang w:val="en-US"/>
              </w:rPr>
            </w:pPr>
            <w:r>
              <w:rPr>
                <w:color w:val="000000"/>
                <w:lang w:val="en-US"/>
              </w:rPr>
              <w:t>134 543</w:t>
            </w:r>
          </w:p>
        </w:tc>
        <w:tc>
          <w:tcPr>
            <w:tcW w:w="2128" w:type="dxa"/>
          </w:tcPr>
          <w:p w:rsidR="00000000" w:rsidRDefault="00000000">
            <w:pPr>
              <w:spacing w:line="240" w:lineRule="auto"/>
              <w:jc w:val="center"/>
              <w:rPr>
                <w:color w:val="000000"/>
                <w:lang w:val="en-US"/>
              </w:rPr>
            </w:pPr>
            <w:r>
              <w:rPr>
                <w:color w:val="000000"/>
                <w:lang w:val="en-US"/>
              </w:rPr>
              <w:t>0,07</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56</w:t>
            </w:r>
          </w:p>
        </w:tc>
        <w:tc>
          <w:tcPr>
            <w:tcW w:w="3375" w:type="dxa"/>
          </w:tcPr>
          <w:p w:rsidR="00000000" w:rsidRDefault="00000000">
            <w:pPr>
              <w:spacing w:line="240" w:lineRule="auto"/>
              <w:rPr>
                <w:color w:val="000000"/>
              </w:rPr>
            </w:pPr>
            <w:r>
              <w:rPr>
                <w:color w:val="000000"/>
              </w:rPr>
              <w:t>Биак Нумфор, Мафоорск, Ное</w:t>
            </w:r>
          </w:p>
        </w:tc>
        <w:tc>
          <w:tcPr>
            <w:tcW w:w="2015" w:type="dxa"/>
          </w:tcPr>
          <w:p w:rsidR="00000000" w:rsidRDefault="00000000">
            <w:pPr>
              <w:spacing w:line="240" w:lineRule="auto"/>
              <w:jc w:val="center"/>
              <w:rPr>
                <w:color w:val="000000"/>
              </w:rPr>
            </w:pPr>
            <w:r>
              <w:rPr>
                <w:color w:val="000000"/>
              </w:rPr>
              <w:t>126 070</w:t>
            </w:r>
          </w:p>
        </w:tc>
        <w:tc>
          <w:tcPr>
            <w:tcW w:w="2128" w:type="dxa"/>
          </w:tcPr>
          <w:p w:rsidR="00000000" w:rsidRDefault="00000000">
            <w:pPr>
              <w:spacing w:line="240" w:lineRule="auto"/>
              <w:jc w:val="center"/>
              <w:rPr>
                <w:color w:val="000000"/>
              </w:rPr>
            </w:pPr>
            <w:r>
              <w:rPr>
                <w:color w:val="000000"/>
              </w:rPr>
              <w:t>0,06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57</w:t>
            </w:r>
          </w:p>
        </w:tc>
        <w:tc>
          <w:tcPr>
            <w:tcW w:w="3375" w:type="dxa"/>
          </w:tcPr>
          <w:p w:rsidR="00000000" w:rsidRDefault="00000000">
            <w:pPr>
              <w:spacing w:line="240" w:lineRule="auto"/>
              <w:rPr>
                <w:color w:val="000000"/>
              </w:rPr>
            </w:pPr>
            <w:r>
              <w:rPr>
                <w:color w:val="000000"/>
              </w:rPr>
              <w:t>Кеи</w:t>
            </w:r>
          </w:p>
        </w:tc>
        <w:tc>
          <w:tcPr>
            <w:tcW w:w="2015" w:type="dxa"/>
          </w:tcPr>
          <w:p w:rsidR="00000000" w:rsidRDefault="00000000">
            <w:pPr>
              <w:spacing w:line="240" w:lineRule="auto"/>
              <w:jc w:val="center"/>
              <w:rPr>
                <w:color w:val="000000"/>
                <w:lang w:val="en-US"/>
              </w:rPr>
            </w:pPr>
            <w:r>
              <w:rPr>
                <w:color w:val="000000"/>
                <w:lang w:val="en-US"/>
              </w:rPr>
              <w:t>125 954</w:t>
            </w:r>
          </w:p>
        </w:tc>
        <w:tc>
          <w:tcPr>
            <w:tcW w:w="2128" w:type="dxa"/>
          </w:tcPr>
          <w:p w:rsidR="00000000" w:rsidRDefault="00000000">
            <w:pPr>
              <w:spacing w:line="240" w:lineRule="auto"/>
              <w:jc w:val="center"/>
              <w:rPr>
                <w:color w:val="000000"/>
                <w:lang w:val="en-US"/>
              </w:rPr>
            </w:pPr>
            <w:r>
              <w:rPr>
                <w:color w:val="000000"/>
                <w:lang w:val="en-US"/>
              </w:rPr>
              <w:t>0,06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58</w:t>
            </w:r>
          </w:p>
        </w:tc>
        <w:tc>
          <w:tcPr>
            <w:tcW w:w="3375" w:type="dxa"/>
          </w:tcPr>
          <w:p w:rsidR="00000000" w:rsidRDefault="00000000">
            <w:pPr>
              <w:spacing w:line="240" w:lineRule="auto"/>
              <w:rPr>
                <w:color w:val="000000"/>
                <w:lang w:val="en-US"/>
              </w:rPr>
            </w:pPr>
            <w:r>
              <w:rPr>
                <w:color w:val="000000"/>
              </w:rPr>
              <w:t>Дури</w:t>
            </w:r>
          </w:p>
        </w:tc>
        <w:tc>
          <w:tcPr>
            <w:tcW w:w="2015" w:type="dxa"/>
          </w:tcPr>
          <w:p w:rsidR="00000000" w:rsidRDefault="00000000">
            <w:pPr>
              <w:spacing w:line="240" w:lineRule="auto"/>
              <w:jc w:val="center"/>
              <w:rPr>
                <w:color w:val="000000"/>
                <w:lang w:val="en-US"/>
              </w:rPr>
            </w:pPr>
            <w:r>
              <w:rPr>
                <w:color w:val="000000"/>
                <w:lang w:val="en-US"/>
              </w:rPr>
              <w:t>121 688</w:t>
            </w:r>
          </w:p>
        </w:tc>
        <w:tc>
          <w:tcPr>
            <w:tcW w:w="2128" w:type="dxa"/>
          </w:tcPr>
          <w:p w:rsidR="00000000" w:rsidRDefault="00000000">
            <w:pPr>
              <w:spacing w:line="240" w:lineRule="auto"/>
              <w:jc w:val="center"/>
              <w:rPr>
                <w:color w:val="000000"/>
                <w:lang w:val="en-US"/>
              </w:rPr>
            </w:pPr>
            <w:r>
              <w:rPr>
                <w:color w:val="000000"/>
                <w:lang w:val="en-US"/>
              </w:rPr>
              <w:t>0,06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59</w:t>
            </w:r>
          </w:p>
        </w:tc>
        <w:tc>
          <w:tcPr>
            <w:tcW w:w="3375" w:type="dxa"/>
          </w:tcPr>
          <w:p w:rsidR="00000000" w:rsidRDefault="00000000">
            <w:pPr>
              <w:spacing w:line="240" w:lineRule="auto"/>
              <w:rPr>
                <w:color w:val="000000"/>
              </w:rPr>
            </w:pPr>
            <w:r>
              <w:rPr>
                <w:color w:val="000000"/>
              </w:rPr>
              <w:t>Амбон</w:t>
            </w:r>
          </w:p>
        </w:tc>
        <w:tc>
          <w:tcPr>
            <w:tcW w:w="2015" w:type="dxa"/>
          </w:tcPr>
          <w:p w:rsidR="00000000" w:rsidRDefault="00000000">
            <w:pPr>
              <w:spacing w:line="240" w:lineRule="auto"/>
              <w:jc w:val="center"/>
              <w:rPr>
                <w:color w:val="000000"/>
              </w:rPr>
            </w:pPr>
            <w:r>
              <w:rPr>
                <w:color w:val="000000"/>
              </w:rPr>
              <w:t>120 969</w:t>
            </w:r>
          </w:p>
        </w:tc>
        <w:tc>
          <w:tcPr>
            <w:tcW w:w="2128" w:type="dxa"/>
          </w:tcPr>
          <w:p w:rsidR="00000000" w:rsidRDefault="00000000">
            <w:pPr>
              <w:spacing w:line="240" w:lineRule="auto"/>
              <w:jc w:val="center"/>
              <w:rPr>
                <w:color w:val="000000"/>
              </w:rPr>
            </w:pPr>
            <w:r>
              <w:rPr>
                <w:color w:val="000000"/>
              </w:rPr>
              <w:t>0,06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60</w:t>
            </w:r>
          </w:p>
        </w:tc>
        <w:tc>
          <w:tcPr>
            <w:tcW w:w="3375" w:type="dxa"/>
          </w:tcPr>
          <w:p w:rsidR="00000000" w:rsidRDefault="00000000">
            <w:pPr>
              <w:spacing w:line="240" w:lineRule="auto"/>
              <w:rPr>
                <w:color w:val="000000"/>
              </w:rPr>
            </w:pPr>
            <w:r>
              <w:rPr>
                <w:color w:val="000000"/>
              </w:rPr>
              <w:t>Дани, Ндани</w:t>
            </w:r>
          </w:p>
        </w:tc>
        <w:tc>
          <w:tcPr>
            <w:tcW w:w="2015" w:type="dxa"/>
          </w:tcPr>
          <w:p w:rsidR="00000000" w:rsidRDefault="00000000">
            <w:pPr>
              <w:spacing w:line="240" w:lineRule="auto"/>
              <w:jc w:val="center"/>
              <w:rPr>
                <w:color w:val="000000"/>
              </w:rPr>
            </w:pPr>
            <w:r>
              <w:rPr>
                <w:color w:val="000000"/>
              </w:rPr>
              <w:t>120 745</w:t>
            </w:r>
          </w:p>
        </w:tc>
        <w:tc>
          <w:tcPr>
            <w:tcW w:w="2128" w:type="dxa"/>
          </w:tcPr>
          <w:p w:rsidR="00000000" w:rsidRDefault="00000000">
            <w:pPr>
              <w:spacing w:line="240" w:lineRule="auto"/>
              <w:jc w:val="center"/>
              <w:rPr>
                <w:color w:val="000000"/>
              </w:rPr>
            </w:pPr>
            <w:r>
              <w:rPr>
                <w:color w:val="000000"/>
              </w:rPr>
              <w:t>0,06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61</w:t>
            </w:r>
          </w:p>
        </w:tc>
        <w:tc>
          <w:tcPr>
            <w:tcW w:w="3375" w:type="dxa"/>
          </w:tcPr>
          <w:p w:rsidR="00000000" w:rsidRDefault="00000000">
            <w:pPr>
              <w:spacing w:line="240" w:lineRule="auto"/>
              <w:rPr>
                <w:color w:val="000000"/>
              </w:rPr>
            </w:pPr>
            <w:r>
              <w:rPr>
                <w:color w:val="000000"/>
              </w:rPr>
              <w:t>Банггаи, Миан Банггаи</w:t>
            </w:r>
          </w:p>
        </w:tc>
        <w:tc>
          <w:tcPr>
            <w:tcW w:w="2015" w:type="dxa"/>
          </w:tcPr>
          <w:p w:rsidR="00000000" w:rsidRDefault="00000000">
            <w:pPr>
              <w:spacing w:line="240" w:lineRule="auto"/>
              <w:jc w:val="center"/>
              <w:rPr>
                <w:color w:val="000000"/>
              </w:rPr>
            </w:pPr>
            <w:r>
              <w:rPr>
                <w:color w:val="000000"/>
              </w:rPr>
              <w:t>118 556</w:t>
            </w:r>
          </w:p>
        </w:tc>
        <w:tc>
          <w:tcPr>
            <w:tcW w:w="2128" w:type="dxa"/>
          </w:tcPr>
          <w:p w:rsidR="00000000" w:rsidRDefault="00000000">
            <w:pPr>
              <w:spacing w:line="240" w:lineRule="auto"/>
              <w:jc w:val="center"/>
              <w:rPr>
                <w:color w:val="000000"/>
              </w:rPr>
            </w:pPr>
            <w:r>
              <w:rPr>
                <w:color w:val="000000"/>
              </w:rPr>
              <w:t>0,06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62</w:t>
            </w:r>
          </w:p>
        </w:tc>
        <w:tc>
          <w:tcPr>
            <w:tcW w:w="3375" w:type="dxa"/>
          </w:tcPr>
          <w:p w:rsidR="00000000" w:rsidRDefault="00000000">
            <w:pPr>
              <w:spacing w:line="240" w:lineRule="auto"/>
              <w:rPr>
                <w:color w:val="000000"/>
              </w:rPr>
            </w:pPr>
            <w:r>
              <w:rPr>
                <w:color w:val="000000"/>
              </w:rPr>
              <w:t>Гайо Лут</w:t>
            </w:r>
          </w:p>
        </w:tc>
        <w:tc>
          <w:tcPr>
            <w:tcW w:w="2015" w:type="dxa"/>
          </w:tcPr>
          <w:p w:rsidR="00000000" w:rsidRDefault="00000000">
            <w:pPr>
              <w:spacing w:line="240" w:lineRule="auto"/>
              <w:jc w:val="center"/>
              <w:rPr>
                <w:color w:val="000000"/>
              </w:rPr>
            </w:pPr>
            <w:r>
              <w:rPr>
                <w:color w:val="000000"/>
              </w:rPr>
              <w:t>117 509</w:t>
            </w:r>
          </w:p>
        </w:tc>
        <w:tc>
          <w:tcPr>
            <w:tcW w:w="2128" w:type="dxa"/>
          </w:tcPr>
          <w:p w:rsidR="00000000" w:rsidRDefault="00000000">
            <w:pPr>
              <w:spacing w:line="240" w:lineRule="auto"/>
              <w:jc w:val="center"/>
              <w:rPr>
                <w:color w:val="000000"/>
              </w:rPr>
            </w:pPr>
            <w:r>
              <w:rPr>
                <w:color w:val="000000"/>
              </w:rPr>
              <w:t>0,06</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63</w:t>
            </w:r>
          </w:p>
        </w:tc>
        <w:tc>
          <w:tcPr>
            <w:tcW w:w="3375" w:type="dxa"/>
          </w:tcPr>
          <w:p w:rsidR="00000000" w:rsidRDefault="00000000">
            <w:pPr>
              <w:spacing w:line="240" w:lineRule="auto"/>
              <w:rPr>
                <w:color w:val="000000"/>
              </w:rPr>
            </w:pPr>
            <w:r>
              <w:rPr>
                <w:color w:val="000000"/>
              </w:rPr>
              <w:t>Селаяр</w:t>
            </w:r>
          </w:p>
        </w:tc>
        <w:tc>
          <w:tcPr>
            <w:tcW w:w="2015" w:type="dxa"/>
          </w:tcPr>
          <w:p w:rsidR="00000000" w:rsidRDefault="00000000">
            <w:pPr>
              <w:tabs>
                <w:tab w:val="clear" w:pos="1134"/>
                <w:tab w:val="clear" w:pos="1701"/>
              </w:tabs>
              <w:spacing w:line="240" w:lineRule="auto"/>
              <w:ind w:right="504"/>
              <w:jc w:val="right"/>
              <w:rPr>
                <w:color w:val="000000"/>
              </w:rPr>
            </w:pPr>
            <w:r>
              <w:rPr>
                <w:color w:val="000000"/>
              </w:rPr>
              <w:t>93 183</w:t>
            </w:r>
          </w:p>
        </w:tc>
        <w:tc>
          <w:tcPr>
            <w:tcW w:w="2128" w:type="dxa"/>
          </w:tcPr>
          <w:p w:rsidR="00000000" w:rsidRDefault="00000000">
            <w:pPr>
              <w:spacing w:line="240" w:lineRule="auto"/>
              <w:jc w:val="center"/>
              <w:rPr>
                <w:color w:val="000000"/>
              </w:rPr>
            </w:pPr>
            <w:r>
              <w:rPr>
                <w:color w:val="000000"/>
              </w:rPr>
              <w:t>0,05</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64</w:t>
            </w:r>
          </w:p>
        </w:tc>
        <w:tc>
          <w:tcPr>
            <w:tcW w:w="3375" w:type="dxa"/>
          </w:tcPr>
          <w:p w:rsidR="00000000" w:rsidRDefault="00000000">
            <w:pPr>
              <w:spacing w:line="240" w:lineRule="auto"/>
              <w:rPr>
                <w:color w:val="000000"/>
              </w:rPr>
            </w:pPr>
            <w:r>
              <w:rPr>
                <w:color w:val="000000"/>
              </w:rPr>
              <w:t>Буол</w:t>
            </w:r>
          </w:p>
        </w:tc>
        <w:tc>
          <w:tcPr>
            <w:tcW w:w="2015" w:type="dxa"/>
          </w:tcPr>
          <w:p w:rsidR="00000000" w:rsidRDefault="00000000">
            <w:pPr>
              <w:tabs>
                <w:tab w:val="clear" w:pos="1134"/>
                <w:tab w:val="clear" w:pos="1701"/>
              </w:tabs>
              <w:spacing w:line="240" w:lineRule="auto"/>
              <w:ind w:right="504"/>
              <w:jc w:val="right"/>
              <w:rPr>
                <w:color w:val="000000"/>
              </w:rPr>
            </w:pPr>
            <w:r>
              <w:rPr>
                <w:color w:val="000000"/>
              </w:rPr>
              <w:t>91 034</w:t>
            </w:r>
          </w:p>
        </w:tc>
        <w:tc>
          <w:tcPr>
            <w:tcW w:w="2128" w:type="dxa"/>
          </w:tcPr>
          <w:p w:rsidR="00000000" w:rsidRDefault="00000000">
            <w:pPr>
              <w:spacing w:line="240" w:lineRule="auto"/>
              <w:jc w:val="center"/>
              <w:rPr>
                <w:color w:val="000000"/>
              </w:rPr>
            </w:pPr>
            <w:r>
              <w:rPr>
                <w:color w:val="000000"/>
              </w:rPr>
              <w:t>0,05</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65</w:t>
            </w:r>
          </w:p>
        </w:tc>
        <w:tc>
          <w:tcPr>
            <w:tcW w:w="3375" w:type="dxa"/>
          </w:tcPr>
          <w:p w:rsidR="00000000" w:rsidRDefault="00000000">
            <w:pPr>
              <w:spacing w:line="240" w:lineRule="auto"/>
              <w:rPr>
                <w:color w:val="000000"/>
              </w:rPr>
            </w:pPr>
            <w:r>
              <w:rPr>
                <w:color w:val="000000"/>
              </w:rPr>
              <w:t>Домпу</w:t>
            </w:r>
          </w:p>
        </w:tc>
        <w:tc>
          <w:tcPr>
            <w:tcW w:w="2015" w:type="dxa"/>
          </w:tcPr>
          <w:p w:rsidR="00000000" w:rsidRDefault="00000000">
            <w:pPr>
              <w:tabs>
                <w:tab w:val="clear" w:pos="1134"/>
                <w:tab w:val="clear" w:pos="1701"/>
              </w:tabs>
              <w:spacing w:line="240" w:lineRule="auto"/>
              <w:ind w:right="504"/>
              <w:jc w:val="right"/>
              <w:rPr>
                <w:color w:val="000000"/>
              </w:rPr>
            </w:pPr>
            <w:r>
              <w:rPr>
                <w:color w:val="000000"/>
              </w:rPr>
              <w:t>90 635</w:t>
            </w:r>
          </w:p>
        </w:tc>
        <w:tc>
          <w:tcPr>
            <w:tcW w:w="2128" w:type="dxa"/>
          </w:tcPr>
          <w:p w:rsidR="00000000" w:rsidRDefault="00000000">
            <w:pPr>
              <w:spacing w:line="240" w:lineRule="auto"/>
              <w:jc w:val="center"/>
              <w:rPr>
                <w:color w:val="000000"/>
              </w:rPr>
            </w:pPr>
            <w:r>
              <w:rPr>
                <w:color w:val="000000"/>
              </w:rPr>
              <w:t>0,05</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66</w:t>
            </w:r>
          </w:p>
        </w:tc>
        <w:tc>
          <w:tcPr>
            <w:tcW w:w="3375" w:type="dxa"/>
          </w:tcPr>
          <w:p w:rsidR="00000000" w:rsidRDefault="00000000">
            <w:pPr>
              <w:spacing w:line="240" w:lineRule="auto"/>
              <w:rPr>
                <w:color w:val="000000"/>
              </w:rPr>
            </w:pPr>
            <w:r>
              <w:rPr>
                <w:color w:val="000000"/>
              </w:rPr>
              <w:t>Лани</w:t>
            </w:r>
          </w:p>
        </w:tc>
        <w:tc>
          <w:tcPr>
            <w:tcW w:w="2015" w:type="dxa"/>
          </w:tcPr>
          <w:p w:rsidR="00000000" w:rsidRDefault="00000000">
            <w:pPr>
              <w:tabs>
                <w:tab w:val="clear" w:pos="1134"/>
                <w:tab w:val="clear" w:pos="1701"/>
              </w:tabs>
              <w:spacing w:line="240" w:lineRule="auto"/>
              <w:ind w:right="504"/>
              <w:jc w:val="right"/>
              <w:rPr>
                <w:color w:val="000000"/>
              </w:rPr>
            </w:pPr>
            <w:r>
              <w:rPr>
                <w:color w:val="000000"/>
              </w:rPr>
              <w:t>85 685</w:t>
            </w:r>
          </w:p>
        </w:tc>
        <w:tc>
          <w:tcPr>
            <w:tcW w:w="2128" w:type="dxa"/>
          </w:tcPr>
          <w:p w:rsidR="00000000" w:rsidRDefault="00000000">
            <w:pPr>
              <w:spacing w:line="240" w:lineRule="auto"/>
              <w:jc w:val="center"/>
              <w:rPr>
                <w:color w:val="000000"/>
              </w:rPr>
            </w:pPr>
            <w:r>
              <w:rPr>
                <w:color w:val="000000"/>
              </w:rPr>
              <w:t>0,04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67</w:t>
            </w:r>
          </w:p>
        </w:tc>
        <w:tc>
          <w:tcPr>
            <w:tcW w:w="3375" w:type="dxa"/>
          </w:tcPr>
          <w:p w:rsidR="00000000" w:rsidRDefault="00000000">
            <w:pPr>
              <w:spacing w:line="240" w:lineRule="auto"/>
              <w:rPr>
                <w:color w:val="000000"/>
              </w:rPr>
            </w:pPr>
            <w:r>
              <w:rPr>
                <w:color w:val="000000"/>
              </w:rPr>
              <w:t>Абунг Бунга Маянг</w:t>
            </w:r>
          </w:p>
        </w:tc>
        <w:tc>
          <w:tcPr>
            <w:tcW w:w="2015" w:type="dxa"/>
          </w:tcPr>
          <w:p w:rsidR="00000000" w:rsidRDefault="00000000">
            <w:pPr>
              <w:spacing w:line="240" w:lineRule="auto"/>
              <w:jc w:val="center"/>
              <w:rPr>
                <w:color w:val="000000"/>
              </w:rPr>
            </w:pPr>
            <w:r>
              <w:rPr>
                <w:color w:val="000000"/>
              </w:rPr>
              <w:t>85 342</w:t>
            </w:r>
          </w:p>
        </w:tc>
        <w:tc>
          <w:tcPr>
            <w:tcW w:w="2128" w:type="dxa"/>
          </w:tcPr>
          <w:p w:rsidR="00000000" w:rsidRDefault="00000000">
            <w:pPr>
              <w:spacing w:line="240" w:lineRule="auto"/>
              <w:jc w:val="center"/>
              <w:rPr>
                <w:color w:val="000000"/>
              </w:rPr>
            </w:pPr>
            <w:r>
              <w:rPr>
                <w:color w:val="000000"/>
              </w:rPr>
              <w:t>0,04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68</w:t>
            </w:r>
          </w:p>
        </w:tc>
        <w:tc>
          <w:tcPr>
            <w:tcW w:w="3375" w:type="dxa"/>
          </w:tcPr>
          <w:p w:rsidR="00000000" w:rsidRDefault="00000000">
            <w:pPr>
              <w:spacing w:line="240" w:lineRule="auto"/>
              <w:rPr>
                <w:color w:val="000000"/>
              </w:rPr>
            </w:pPr>
            <w:r>
              <w:rPr>
                <w:color w:val="000000"/>
              </w:rPr>
              <w:t>Гайо Лувес</w:t>
            </w:r>
          </w:p>
        </w:tc>
        <w:tc>
          <w:tcPr>
            <w:tcW w:w="2015" w:type="dxa"/>
          </w:tcPr>
          <w:p w:rsidR="00000000" w:rsidRDefault="00000000">
            <w:pPr>
              <w:spacing w:line="240" w:lineRule="auto"/>
              <w:jc w:val="center"/>
              <w:rPr>
                <w:color w:val="000000"/>
              </w:rPr>
            </w:pPr>
            <w:r>
              <w:rPr>
                <w:color w:val="000000"/>
              </w:rPr>
              <w:t>81 172</w:t>
            </w:r>
          </w:p>
        </w:tc>
        <w:tc>
          <w:tcPr>
            <w:tcW w:w="2128" w:type="dxa"/>
          </w:tcPr>
          <w:p w:rsidR="00000000" w:rsidRDefault="00000000">
            <w:pPr>
              <w:spacing w:line="240" w:lineRule="auto"/>
              <w:jc w:val="center"/>
              <w:rPr>
                <w:color w:val="000000"/>
              </w:rPr>
            </w:pPr>
            <w:r>
              <w:rPr>
                <w:color w:val="000000"/>
              </w:rPr>
              <w:t>0,04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69</w:t>
            </w:r>
          </w:p>
        </w:tc>
        <w:tc>
          <w:tcPr>
            <w:tcW w:w="3375" w:type="dxa"/>
          </w:tcPr>
          <w:p w:rsidR="00000000" w:rsidRDefault="00000000">
            <w:pPr>
              <w:spacing w:line="240" w:lineRule="auto"/>
              <w:rPr>
                <w:color w:val="000000"/>
              </w:rPr>
            </w:pPr>
            <w:r>
              <w:rPr>
                <w:color w:val="000000"/>
              </w:rPr>
              <w:t>Талауд</w:t>
            </w:r>
          </w:p>
        </w:tc>
        <w:tc>
          <w:tcPr>
            <w:tcW w:w="2015" w:type="dxa"/>
          </w:tcPr>
          <w:p w:rsidR="00000000" w:rsidRDefault="00000000">
            <w:pPr>
              <w:spacing w:line="240" w:lineRule="auto"/>
              <w:jc w:val="center"/>
              <w:rPr>
                <w:color w:val="000000"/>
              </w:rPr>
            </w:pPr>
            <w:r>
              <w:rPr>
                <w:color w:val="000000"/>
              </w:rPr>
              <w:t>79 818</w:t>
            </w:r>
          </w:p>
        </w:tc>
        <w:tc>
          <w:tcPr>
            <w:tcW w:w="2128" w:type="dxa"/>
          </w:tcPr>
          <w:p w:rsidR="00000000" w:rsidRDefault="00000000">
            <w:pPr>
              <w:spacing w:line="240" w:lineRule="auto"/>
              <w:jc w:val="center"/>
              <w:rPr>
                <w:color w:val="000000"/>
              </w:rPr>
            </w:pPr>
            <w:r>
              <w:rPr>
                <w:color w:val="000000"/>
              </w:rPr>
              <w:t>0,04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70</w:t>
            </w:r>
          </w:p>
        </w:tc>
        <w:tc>
          <w:tcPr>
            <w:tcW w:w="3375" w:type="dxa"/>
          </w:tcPr>
          <w:p w:rsidR="00000000" w:rsidRDefault="00000000">
            <w:pPr>
              <w:spacing w:line="240" w:lineRule="auto"/>
              <w:rPr>
                <w:color w:val="000000"/>
              </w:rPr>
            </w:pPr>
            <w:r>
              <w:rPr>
                <w:color w:val="000000"/>
              </w:rPr>
              <w:t>Серам</w:t>
            </w:r>
          </w:p>
        </w:tc>
        <w:tc>
          <w:tcPr>
            <w:tcW w:w="2015" w:type="dxa"/>
          </w:tcPr>
          <w:p w:rsidR="00000000" w:rsidRDefault="00000000">
            <w:pPr>
              <w:spacing w:line="240" w:lineRule="auto"/>
              <w:jc w:val="center"/>
              <w:rPr>
                <w:color w:val="000000"/>
              </w:rPr>
            </w:pPr>
            <w:r>
              <w:rPr>
                <w:color w:val="000000"/>
              </w:rPr>
              <w:t>78 955</w:t>
            </w:r>
          </w:p>
        </w:tc>
        <w:tc>
          <w:tcPr>
            <w:tcW w:w="2128" w:type="dxa"/>
          </w:tcPr>
          <w:p w:rsidR="00000000" w:rsidRDefault="00000000">
            <w:pPr>
              <w:spacing w:line="240" w:lineRule="auto"/>
              <w:jc w:val="center"/>
              <w:rPr>
                <w:color w:val="000000"/>
              </w:rPr>
            </w:pPr>
            <w:r>
              <w:rPr>
                <w:color w:val="000000"/>
              </w:rPr>
              <w:t>0,04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71</w:t>
            </w:r>
          </w:p>
        </w:tc>
        <w:tc>
          <w:tcPr>
            <w:tcW w:w="3375" w:type="dxa"/>
          </w:tcPr>
          <w:p w:rsidR="00000000" w:rsidRDefault="00000000">
            <w:pPr>
              <w:spacing w:line="240" w:lineRule="auto"/>
              <w:rPr>
                <w:color w:val="000000"/>
              </w:rPr>
            </w:pPr>
            <w:r>
              <w:rPr>
                <w:color w:val="000000"/>
              </w:rPr>
              <w:t>Лембак</w:t>
            </w:r>
          </w:p>
        </w:tc>
        <w:tc>
          <w:tcPr>
            <w:tcW w:w="2015" w:type="dxa"/>
          </w:tcPr>
          <w:p w:rsidR="00000000" w:rsidRDefault="00000000">
            <w:pPr>
              <w:spacing w:line="240" w:lineRule="auto"/>
              <w:jc w:val="center"/>
              <w:rPr>
                <w:color w:val="000000"/>
              </w:rPr>
            </w:pPr>
            <w:r>
              <w:rPr>
                <w:color w:val="000000"/>
              </w:rPr>
              <w:t>77 241</w:t>
            </w:r>
          </w:p>
        </w:tc>
        <w:tc>
          <w:tcPr>
            <w:tcW w:w="2128" w:type="dxa"/>
          </w:tcPr>
          <w:p w:rsidR="00000000" w:rsidRDefault="00000000">
            <w:pPr>
              <w:spacing w:line="240" w:lineRule="auto"/>
              <w:jc w:val="center"/>
              <w:rPr>
                <w:color w:val="000000"/>
              </w:rPr>
            </w:pPr>
            <w:r>
              <w:rPr>
                <w:color w:val="000000"/>
              </w:rPr>
              <w:t>0,04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72</w:t>
            </w:r>
          </w:p>
        </w:tc>
        <w:tc>
          <w:tcPr>
            <w:tcW w:w="3375" w:type="dxa"/>
          </w:tcPr>
          <w:p w:rsidR="00000000" w:rsidRDefault="00000000">
            <w:pPr>
              <w:spacing w:line="240" w:lineRule="auto"/>
              <w:rPr>
                <w:color w:val="000000"/>
              </w:rPr>
            </w:pPr>
            <w:r>
              <w:rPr>
                <w:color w:val="000000"/>
              </w:rPr>
              <w:t>Салуан</w:t>
            </w:r>
          </w:p>
        </w:tc>
        <w:tc>
          <w:tcPr>
            <w:tcW w:w="2015" w:type="dxa"/>
          </w:tcPr>
          <w:p w:rsidR="00000000" w:rsidRDefault="00000000">
            <w:pPr>
              <w:spacing w:line="240" w:lineRule="auto"/>
              <w:jc w:val="center"/>
              <w:rPr>
                <w:color w:val="000000"/>
              </w:rPr>
            </w:pPr>
            <w:r>
              <w:rPr>
                <w:color w:val="000000"/>
              </w:rPr>
              <w:t>77 151</w:t>
            </w:r>
          </w:p>
        </w:tc>
        <w:tc>
          <w:tcPr>
            <w:tcW w:w="2128" w:type="dxa"/>
          </w:tcPr>
          <w:p w:rsidR="00000000" w:rsidRDefault="00000000">
            <w:pPr>
              <w:spacing w:line="240" w:lineRule="auto"/>
              <w:jc w:val="center"/>
              <w:rPr>
                <w:color w:val="000000"/>
              </w:rPr>
            </w:pPr>
            <w:r>
              <w:rPr>
                <w:color w:val="000000"/>
              </w:rPr>
              <w:t>0,04</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73</w:t>
            </w:r>
          </w:p>
        </w:tc>
        <w:tc>
          <w:tcPr>
            <w:tcW w:w="3375" w:type="dxa"/>
          </w:tcPr>
          <w:p w:rsidR="00000000" w:rsidRDefault="00000000">
            <w:pPr>
              <w:spacing w:line="240" w:lineRule="auto"/>
              <w:rPr>
                <w:color w:val="000000"/>
              </w:rPr>
            </w:pPr>
            <w:r>
              <w:rPr>
                <w:color w:val="000000"/>
              </w:rPr>
              <w:t>Сапаруа</w:t>
            </w:r>
          </w:p>
        </w:tc>
        <w:tc>
          <w:tcPr>
            <w:tcW w:w="2015" w:type="dxa"/>
          </w:tcPr>
          <w:p w:rsidR="00000000" w:rsidRDefault="00000000">
            <w:pPr>
              <w:spacing w:line="240" w:lineRule="auto"/>
              <w:jc w:val="center"/>
              <w:rPr>
                <w:color w:val="000000"/>
              </w:rPr>
            </w:pPr>
            <w:r>
              <w:rPr>
                <w:color w:val="000000"/>
              </w:rPr>
              <w:t>68 194</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74</w:t>
            </w:r>
          </w:p>
        </w:tc>
        <w:tc>
          <w:tcPr>
            <w:tcW w:w="3375" w:type="dxa"/>
          </w:tcPr>
          <w:p w:rsidR="00000000" w:rsidRDefault="00000000">
            <w:pPr>
              <w:spacing w:line="240" w:lineRule="auto"/>
              <w:rPr>
                <w:color w:val="000000"/>
              </w:rPr>
            </w:pPr>
            <w:r>
              <w:rPr>
                <w:color w:val="000000"/>
              </w:rPr>
              <w:t>Алас</w:t>
            </w:r>
          </w:p>
        </w:tc>
        <w:tc>
          <w:tcPr>
            <w:tcW w:w="2015" w:type="dxa"/>
          </w:tcPr>
          <w:p w:rsidR="00000000" w:rsidRDefault="00000000">
            <w:pPr>
              <w:spacing w:line="240" w:lineRule="auto"/>
              <w:jc w:val="center"/>
              <w:rPr>
                <w:color w:val="000000"/>
              </w:rPr>
            </w:pPr>
            <w:r>
              <w:rPr>
                <w:color w:val="000000"/>
              </w:rPr>
              <w:t>67 424</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75</w:t>
            </w:r>
          </w:p>
        </w:tc>
        <w:tc>
          <w:tcPr>
            <w:tcW w:w="3375" w:type="dxa"/>
          </w:tcPr>
          <w:p w:rsidR="00000000" w:rsidRDefault="00000000">
            <w:pPr>
              <w:spacing w:line="240" w:lineRule="auto"/>
              <w:rPr>
                <w:color w:val="000000"/>
              </w:rPr>
            </w:pPr>
            <w:r>
              <w:rPr>
                <w:color w:val="000000"/>
              </w:rPr>
              <w:t>Экаги, Экари</w:t>
            </w:r>
          </w:p>
        </w:tc>
        <w:tc>
          <w:tcPr>
            <w:tcW w:w="2015" w:type="dxa"/>
          </w:tcPr>
          <w:p w:rsidR="00000000" w:rsidRDefault="00000000">
            <w:pPr>
              <w:spacing w:line="240" w:lineRule="auto"/>
              <w:jc w:val="center"/>
              <w:rPr>
                <w:color w:val="000000"/>
              </w:rPr>
            </w:pPr>
            <w:r>
              <w:rPr>
                <w:color w:val="000000"/>
              </w:rPr>
              <w:t>66 823</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76</w:t>
            </w:r>
          </w:p>
        </w:tc>
        <w:tc>
          <w:tcPr>
            <w:tcW w:w="3375" w:type="dxa"/>
          </w:tcPr>
          <w:p w:rsidR="00000000" w:rsidRDefault="00000000">
            <w:pPr>
              <w:spacing w:line="240" w:lineRule="auto"/>
              <w:rPr>
                <w:color w:val="000000"/>
              </w:rPr>
            </w:pPr>
            <w:r>
              <w:rPr>
                <w:color w:val="000000"/>
              </w:rPr>
              <w:t>Сула</w:t>
            </w:r>
          </w:p>
        </w:tc>
        <w:tc>
          <w:tcPr>
            <w:tcW w:w="2015" w:type="dxa"/>
          </w:tcPr>
          <w:p w:rsidR="00000000" w:rsidRDefault="00000000">
            <w:pPr>
              <w:spacing w:line="240" w:lineRule="auto"/>
              <w:jc w:val="center"/>
              <w:rPr>
                <w:color w:val="000000"/>
              </w:rPr>
            </w:pPr>
            <w:r>
              <w:rPr>
                <w:color w:val="000000"/>
              </w:rPr>
              <w:t>63 282</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77</w:t>
            </w:r>
          </w:p>
        </w:tc>
        <w:tc>
          <w:tcPr>
            <w:tcW w:w="3375" w:type="dxa"/>
          </w:tcPr>
          <w:p w:rsidR="00000000" w:rsidRDefault="00000000">
            <w:pPr>
              <w:spacing w:line="240" w:lineRule="auto"/>
              <w:rPr>
                <w:color w:val="000000"/>
              </w:rPr>
            </w:pPr>
            <w:r>
              <w:rPr>
                <w:color w:val="000000"/>
              </w:rPr>
              <w:t>Макиан</w:t>
            </w:r>
          </w:p>
        </w:tc>
        <w:tc>
          <w:tcPr>
            <w:tcW w:w="2015" w:type="dxa"/>
          </w:tcPr>
          <w:p w:rsidR="00000000" w:rsidRDefault="00000000">
            <w:pPr>
              <w:spacing w:line="240" w:lineRule="auto"/>
              <w:jc w:val="center"/>
              <w:rPr>
                <w:color w:val="000000"/>
              </w:rPr>
            </w:pPr>
            <w:r>
              <w:rPr>
                <w:color w:val="000000"/>
              </w:rPr>
              <w:t>60 985</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78</w:t>
            </w:r>
          </w:p>
        </w:tc>
        <w:tc>
          <w:tcPr>
            <w:tcW w:w="3375" w:type="dxa"/>
          </w:tcPr>
          <w:p w:rsidR="00000000" w:rsidRDefault="00000000">
            <w:pPr>
              <w:spacing w:line="240" w:lineRule="auto"/>
              <w:rPr>
                <w:color w:val="000000"/>
              </w:rPr>
            </w:pPr>
            <w:r>
              <w:rPr>
                <w:color w:val="000000"/>
              </w:rPr>
              <w:t>Бавеан, Бойан</w:t>
            </w:r>
          </w:p>
        </w:tc>
        <w:tc>
          <w:tcPr>
            <w:tcW w:w="2015" w:type="dxa"/>
          </w:tcPr>
          <w:p w:rsidR="00000000" w:rsidRDefault="00000000">
            <w:pPr>
              <w:spacing w:line="240" w:lineRule="auto"/>
              <w:jc w:val="center"/>
              <w:rPr>
                <w:color w:val="000000"/>
              </w:rPr>
            </w:pPr>
            <w:r>
              <w:rPr>
                <w:color w:val="000000"/>
              </w:rPr>
              <w:t>60 703</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79</w:t>
            </w:r>
          </w:p>
        </w:tc>
        <w:tc>
          <w:tcPr>
            <w:tcW w:w="3375" w:type="dxa"/>
          </w:tcPr>
          <w:p w:rsidR="00000000" w:rsidRDefault="00000000">
            <w:pPr>
              <w:spacing w:line="240" w:lineRule="auto"/>
              <w:rPr>
                <w:color w:val="000000"/>
              </w:rPr>
            </w:pPr>
            <w:r>
              <w:rPr>
                <w:color w:val="000000"/>
              </w:rPr>
              <w:t>Катинган</w:t>
            </w:r>
          </w:p>
        </w:tc>
        <w:tc>
          <w:tcPr>
            <w:tcW w:w="2015" w:type="dxa"/>
          </w:tcPr>
          <w:p w:rsidR="00000000" w:rsidRDefault="00000000">
            <w:pPr>
              <w:spacing w:line="240" w:lineRule="auto"/>
              <w:jc w:val="center"/>
              <w:rPr>
                <w:color w:val="000000"/>
              </w:rPr>
            </w:pPr>
            <w:r>
              <w:rPr>
                <w:color w:val="000000"/>
              </w:rPr>
              <w:t>60 171</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80</w:t>
            </w:r>
          </w:p>
        </w:tc>
        <w:tc>
          <w:tcPr>
            <w:tcW w:w="3375" w:type="dxa"/>
          </w:tcPr>
          <w:p w:rsidR="00000000" w:rsidRDefault="00000000">
            <w:pPr>
              <w:spacing w:line="240" w:lineRule="auto"/>
              <w:rPr>
                <w:color w:val="000000"/>
              </w:rPr>
            </w:pPr>
            <w:r>
              <w:rPr>
                <w:color w:val="000000"/>
              </w:rPr>
              <w:t>Ментаваи</w:t>
            </w:r>
          </w:p>
        </w:tc>
        <w:tc>
          <w:tcPr>
            <w:tcW w:w="2015" w:type="dxa"/>
          </w:tcPr>
          <w:p w:rsidR="00000000" w:rsidRDefault="00000000">
            <w:pPr>
              <w:spacing w:line="240" w:lineRule="auto"/>
              <w:jc w:val="center"/>
              <w:rPr>
                <w:color w:val="000000"/>
              </w:rPr>
            </w:pPr>
            <w:r>
              <w:rPr>
                <w:color w:val="000000"/>
              </w:rPr>
              <w:t>54 419</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81</w:t>
            </w:r>
          </w:p>
        </w:tc>
        <w:tc>
          <w:tcPr>
            <w:tcW w:w="3375" w:type="dxa"/>
          </w:tcPr>
          <w:p w:rsidR="00000000" w:rsidRDefault="00000000">
            <w:pPr>
              <w:spacing w:line="240" w:lineRule="auto"/>
              <w:rPr>
                <w:color w:val="000000"/>
              </w:rPr>
            </w:pPr>
            <w:r>
              <w:rPr>
                <w:color w:val="000000"/>
              </w:rPr>
              <w:t>Пасир</w:t>
            </w:r>
          </w:p>
        </w:tc>
        <w:tc>
          <w:tcPr>
            <w:tcW w:w="2015" w:type="dxa"/>
          </w:tcPr>
          <w:p w:rsidR="00000000" w:rsidRDefault="00000000">
            <w:pPr>
              <w:spacing w:line="240" w:lineRule="auto"/>
              <w:jc w:val="center"/>
              <w:rPr>
                <w:color w:val="000000"/>
              </w:rPr>
            </w:pPr>
            <w:r>
              <w:rPr>
                <w:color w:val="000000"/>
              </w:rPr>
              <w:t>54 162</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82</w:t>
            </w:r>
          </w:p>
        </w:tc>
        <w:tc>
          <w:tcPr>
            <w:tcW w:w="3375" w:type="dxa"/>
          </w:tcPr>
          <w:p w:rsidR="00000000" w:rsidRDefault="00000000">
            <w:pPr>
              <w:spacing w:line="240" w:lineRule="auto"/>
              <w:rPr>
                <w:color w:val="000000"/>
              </w:rPr>
            </w:pPr>
            <w:r>
              <w:rPr>
                <w:color w:val="000000"/>
              </w:rPr>
              <w:t>Галела</w:t>
            </w:r>
          </w:p>
        </w:tc>
        <w:tc>
          <w:tcPr>
            <w:tcW w:w="2015" w:type="dxa"/>
          </w:tcPr>
          <w:p w:rsidR="00000000" w:rsidRDefault="00000000">
            <w:pPr>
              <w:spacing w:line="240" w:lineRule="auto"/>
              <w:jc w:val="center"/>
              <w:rPr>
                <w:color w:val="000000"/>
              </w:rPr>
            </w:pPr>
            <w:r>
              <w:rPr>
                <w:color w:val="000000"/>
              </w:rPr>
              <w:t>52 639</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83</w:t>
            </w:r>
          </w:p>
        </w:tc>
        <w:tc>
          <w:tcPr>
            <w:tcW w:w="3375" w:type="dxa"/>
          </w:tcPr>
          <w:p w:rsidR="00000000" w:rsidRDefault="00000000">
            <w:pPr>
              <w:spacing w:line="240" w:lineRule="auto"/>
              <w:rPr>
                <w:color w:val="000000"/>
              </w:rPr>
            </w:pPr>
            <w:r>
              <w:rPr>
                <w:color w:val="000000"/>
              </w:rPr>
              <w:t>Яли</w:t>
            </w:r>
          </w:p>
        </w:tc>
        <w:tc>
          <w:tcPr>
            <w:tcW w:w="2015" w:type="dxa"/>
          </w:tcPr>
          <w:p w:rsidR="00000000" w:rsidRDefault="00000000">
            <w:pPr>
              <w:spacing w:line="240" w:lineRule="auto"/>
              <w:jc w:val="center"/>
              <w:rPr>
                <w:color w:val="000000"/>
              </w:rPr>
            </w:pPr>
            <w:r>
              <w:rPr>
                <w:color w:val="000000"/>
              </w:rPr>
              <w:t>51 258</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84</w:t>
            </w:r>
          </w:p>
        </w:tc>
        <w:tc>
          <w:tcPr>
            <w:tcW w:w="3375" w:type="dxa"/>
          </w:tcPr>
          <w:p w:rsidR="00000000" w:rsidRDefault="00000000">
            <w:pPr>
              <w:spacing w:line="240" w:lineRule="auto"/>
              <w:rPr>
                <w:color w:val="000000"/>
              </w:rPr>
            </w:pPr>
            <w:r>
              <w:rPr>
                <w:color w:val="000000"/>
              </w:rPr>
              <w:t>Мааньян</w:t>
            </w:r>
          </w:p>
        </w:tc>
        <w:tc>
          <w:tcPr>
            <w:tcW w:w="2015" w:type="dxa"/>
          </w:tcPr>
          <w:p w:rsidR="00000000" w:rsidRDefault="00000000">
            <w:pPr>
              <w:spacing w:line="240" w:lineRule="auto"/>
              <w:jc w:val="center"/>
              <w:rPr>
                <w:color w:val="000000"/>
              </w:rPr>
            </w:pPr>
            <w:r>
              <w:rPr>
                <w:color w:val="000000"/>
              </w:rPr>
              <w:t>50 505</w:t>
            </w:r>
          </w:p>
        </w:tc>
        <w:tc>
          <w:tcPr>
            <w:tcW w:w="2128" w:type="dxa"/>
          </w:tcPr>
          <w:p w:rsidR="00000000" w:rsidRDefault="00000000">
            <w:pPr>
              <w:spacing w:line="240" w:lineRule="auto"/>
              <w:jc w:val="center"/>
              <w:rPr>
                <w:color w:val="000000"/>
              </w:rPr>
            </w:pPr>
            <w:r>
              <w:rPr>
                <w:color w:val="000000"/>
              </w:rPr>
              <w:t>0,03</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85</w:t>
            </w:r>
          </w:p>
        </w:tc>
        <w:tc>
          <w:tcPr>
            <w:tcW w:w="3375" w:type="dxa"/>
          </w:tcPr>
          <w:p w:rsidR="00000000" w:rsidRDefault="00000000">
            <w:pPr>
              <w:spacing w:line="240" w:lineRule="auto"/>
              <w:rPr>
                <w:color w:val="000000"/>
              </w:rPr>
            </w:pPr>
            <w:r>
              <w:rPr>
                <w:color w:val="000000"/>
              </w:rPr>
              <w:t>Ару</w:t>
            </w:r>
          </w:p>
        </w:tc>
        <w:tc>
          <w:tcPr>
            <w:tcW w:w="2015" w:type="dxa"/>
          </w:tcPr>
          <w:p w:rsidR="00000000" w:rsidRDefault="00000000">
            <w:pPr>
              <w:spacing w:line="240" w:lineRule="auto"/>
              <w:jc w:val="center"/>
              <w:rPr>
                <w:color w:val="000000"/>
              </w:rPr>
            </w:pPr>
            <w:r>
              <w:rPr>
                <w:color w:val="000000"/>
              </w:rPr>
              <w:t>48 261</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86</w:t>
            </w:r>
          </w:p>
        </w:tc>
        <w:tc>
          <w:tcPr>
            <w:tcW w:w="3375" w:type="dxa"/>
          </w:tcPr>
          <w:p w:rsidR="00000000" w:rsidRDefault="00000000">
            <w:pPr>
              <w:spacing w:line="240" w:lineRule="auto"/>
              <w:rPr>
                <w:color w:val="000000"/>
              </w:rPr>
            </w:pPr>
            <w:r>
              <w:rPr>
                <w:color w:val="000000"/>
              </w:rPr>
              <w:t>Нгалум</w:t>
            </w:r>
          </w:p>
        </w:tc>
        <w:tc>
          <w:tcPr>
            <w:tcW w:w="2015" w:type="dxa"/>
          </w:tcPr>
          <w:p w:rsidR="00000000" w:rsidRDefault="00000000">
            <w:pPr>
              <w:spacing w:line="240" w:lineRule="auto"/>
              <w:jc w:val="center"/>
              <w:rPr>
                <w:color w:val="000000"/>
              </w:rPr>
            </w:pPr>
            <w:r>
              <w:rPr>
                <w:color w:val="000000"/>
              </w:rPr>
              <w:t>46 130</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87</w:t>
            </w:r>
          </w:p>
        </w:tc>
        <w:tc>
          <w:tcPr>
            <w:tcW w:w="3375" w:type="dxa"/>
          </w:tcPr>
          <w:p w:rsidR="00000000" w:rsidRDefault="00000000">
            <w:pPr>
              <w:spacing w:line="240" w:lineRule="auto"/>
              <w:rPr>
                <w:color w:val="000000"/>
              </w:rPr>
            </w:pPr>
            <w:r>
              <w:rPr>
                <w:color w:val="000000"/>
              </w:rPr>
              <w:t>Сингкил</w:t>
            </w:r>
          </w:p>
        </w:tc>
        <w:tc>
          <w:tcPr>
            <w:tcW w:w="2015" w:type="dxa"/>
          </w:tcPr>
          <w:p w:rsidR="00000000" w:rsidRDefault="00000000">
            <w:pPr>
              <w:spacing w:line="240" w:lineRule="auto"/>
              <w:jc w:val="center"/>
              <w:rPr>
                <w:color w:val="000000"/>
              </w:rPr>
            </w:pPr>
            <w:r>
              <w:rPr>
                <w:color w:val="000000"/>
              </w:rPr>
              <w:t>44 153</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fr-FR"/>
              </w:rPr>
            </w:pPr>
            <w:r>
              <w:rPr>
                <w:color w:val="000000"/>
                <w:lang w:val="fr-FR"/>
              </w:rPr>
              <w:t>88</w:t>
            </w:r>
          </w:p>
        </w:tc>
        <w:tc>
          <w:tcPr>
            <w:tcW w:w="3375" w:type="dxa"/>
          </w:tcPr>
          <w:p w:rsidR="00000000" w:rsidRDefault="00000000">
            <w:pPr>
              <w:spacing w:line="240" w:lineRule="auto"/>
              <w:rPr>
                <w:color w:val="000000"/>
              </w:rPr>
            </w:pPr>
            <w:r>
              <w:rPr>
                <w:color w:val="000000"/>
              </w:rPr>
              <w:t>Симеулу</w:t>
            </w:r>
          </w:p>
        </w:tc>
        <w:tc>
          <w:tcPr>
            <w:tcW w:w="2015" w:type="dxa"/>
          </w:tcPr>
          <w:p w:rsidR="00000000" w:rsidRDefault="00000000">
            <w:pPr>
              <w:spacing w:line="240" w:lineRule="auto"/>
              <w:jc w:val="center"/>
              <w:rPr>
                <w:color w:val="000000"/>
                <w:lang w:val="en-US"/>
              </w:rPr>
            </w:pPr>
            <w:r>
              <w:rPr>
                <w:color w:val="000000"/>
                <w:lang w:val="en-US"/>
              </w:rPr>
              <w:t>42 803</w:t>
            </w:r>
          </w:p>
        </w:tc>
        <w:tc>
          <w:tcPr>
            <w:tcW w:w="2128" w:type="dxa"/>
          </w:tcPr>
          <w:p w:rsidR="00000000" w:rsidRDefault="00000000">
            <w:pPr>
              <w:spacing w:line="240" w:lineRule="auto"/>
              <w:jc w:val="center"/>
              <w:rPr>
                <w:color w:val="000000"/>
                <w:lang w:val="en-US"/>
              </w:rPr>
            </w:pPr>
            <w:r>
              <w:rPr>
                <w:color w:val="000000"/>
                <w:lang w:val="en-US"/>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89</w:t>
            </w:r>
          </w:p>
        </w:tc>
        <w:tc>
          <w:tcPr>
            <w:tcW w:w="3375" w:type="dxa"/>
          </w:tcPr>
          <w:p w:rsidR="00000000" w:rsidRDefault="00000000">
            <w:pPr>
              <w:spacing w:line="240" w:lineRule="auto"/>
              <w:rPr>
                <w:color w:val="000000"/>
              </w:rPr>
            </w:pPr>
            <w:r>
              <w:rPr>
                <w:color w:val="000000"/>
              </w:rPr>
              <w:t>Баджау, Баджао, Баджо, Байо</w:t>
            </w:r>
          </w:p>
        </w:tc>
        <w:tc>
          <w:tcPr>
            <w:tcW w:w="2015" w:type="dxa"/>
          </w:tcPr>
          <w:p w:rsidR="00000000" w:rsidRDefault="00000000">
            <w:pPr>
              <w:spacing w:line="240" w:lineRule="auto"/>
              <w:jc w:val="center"/>
              <w:rPr>
                <w:color w:val="000000"/>
              </w:rPr>
            </w:pPr>
            <w:r>
              <w:rPr>
                <w:color w:val="000000"/>
              </w:rPr>
              <w:t>40 712</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90</w:t>
            </w:r>
          </w:p>
        </w:tc>
        <w:tc>
          <w:tcPr>
            <w:tcW w:w="3375" w:type="dxa"/>
          </w:tcPr>
          <w:p w:rsidR="00000000" w:rsidRDefault="00000000">
            <w:pPr>
              <w:spacing w:line="240" w:lineRule="auto"/>
              <w:rPr>
                <w:color w:val="000000"/>
              </w:rPr>
            </w:pPr>
            <w:r>
              <w:rPr>
                <w:color w:val="000000"/>
              </w:rPr>
              <w:t>Ямдена</w:t>
            </w:r>
          </w:p>
        </w:tc>
        <w:tc>
          <w:tcPr>
            <w:tcW w:w="2015" w:type="dxa"/>
          </w:tcPr>
          <w:p w:rsidR="00000000" w:rsidRDefault="00000000">
            <w:pPr>
              <w:spacing w:line="240" w:lineRule="auto"/>
              <w:jc w:val="center"/>
              <w:rPr>
                <w:color w:val="000000"/>
                <w:lang w:val="en-US"/>
              </w:rPr>
            </w:pPr>
            <w:r>
              <w:rPr>
                <w:color w:val="000000"/>
                <w:lang w:val="en-US"/>
              </w:rPr>
              <w:t>39 320</w:t>
            </w:r>
          </w:p>
        </w:tc>
        <w:tc>
          <w:tcPr>
            <w:tcW w:w="2128" w:type="dxa"/>
          </w:tcPr>
          <w:p w:rsidR="00000000" w:rsidRDefault="00000000">
            <w:pPr>
              <w:spacing w:line="240" w:lineRule="auto"/>
              <w:jc w:val="center"/>
              <w:rPr>
                <w:color w:val="000000"/>
                <w:lang w:val="en-US"/>
              </w:rPr>
            </w:pPr>
            <w:r>
              <w:rPr>
                <w:color w:val="000000"/>
                <w:lang w:val="en-US"/>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91</w:t>
            </w:r>
          </w:p>
        </w:tc>
        <w:tc>
          <w:tcPr>
            <w:tcW w:w="3375" w:type="dxa"/>
          </w:tcPr>
          <w:p w:rsidR="00000000" w:rsidRDefault="00000000">
            <w:pPr>
              <w:spacing w:line="240" w:lineRule="auto"/>
              <w:rPr>
                <w:color w:val="000000"/>
              </w:rPr>
            </w:pPr>
            <w:r>
              <w:rPr>
                <w:color w:val="000000"/>
              </w:rPr>
              <w:t>Донгго</w:t>
            </w:r>
          </w:p>
        </w:tc>
        <w:tc>
          <w:tcPr>
            <w:tcW w:w="2015" w:type="dxa"/>
          </w:tcPr>
          <w:p w:rsidR="00000000" w:rsidRDefault="00000000">
            <w:pPr>
              <w:spacing w:line="240" w:lineRule="auto"/>
              <w:jc w:val="center"/>
              <w:rPr>
                <w:color w:val="000000"/>
                <w:lang w:val="en-US"/>
              </w:rPr>
            </w:pPr>
            <w:r>
              <w:rPr>
                <w:color w:val="000000"/>
                <w:lang w:val="en-US"/>
              </w:rPr>
              <w:t>38 050</w:t>
            </w:r>
          </w:p>
        </w:tc>
        <w:tc>
          <w:tcPr>
            <w:tcW w:w="2128" w:type="dxa"/>
          </w:tcPr>
          <w:p w:rsidR="00000000" w:rsidRDefault="00000000">
            <w:pPr>
              <w:spacing w:line="240" w:lineRule="auto"/>
              <w:jc w:val="center"/>
              <w:rPr>
                <w:color w:val="000000"/>
                <w:lang w:val="en-US"/>
              </w:rPr>
            </w:pPr>
            <w:r>
              <w:rPr>
                <w:color w:val="000000"/>
                <w:lang w:val="en-US"/>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r>
              <w:rPr>
                <w:color w:val="000000"/>
                <w:lang w:val="en-US"/>
              </w:rPr>
              <w:t>92</w:t>
            </w:r>
          </w:p>
        </w:tc>
        <w:tc>
          <w:tcPr>
            <w:tcW w:w="3375" w:type="dxa"/>
          </w:tcPr>
          <w:p w:rsidR="00000000" w:rsidRDefault="00000000">
            <w:pPr>
              <w:spacing w:line="240" w:lineRule="auto"/>
              <w:rPr>
                <w:color w:val="000000"/>
              </w:rPr>
            </w:pPr>
            <w:r>
              <w:rPr>
                <w:color w:val="000000"/>
              </w:rPr>
              <w:t>Букат, Букет, Укит, Букут</w:t>
            </w:r>
          </w:p>
        </w:tc>
        <w:tc>
          <w:tcPr>
            <w:tcW w:w="2015" w:type="dxa"/>
          </w:tcPr>
          <w:p w:rsidR="00000000" w:rsidRDefault="00000000">
            <w:pPr>
              <w:spacing w:line="240" w:lineRule="auto"/>
              <w:jc w:val="center"/>
              <w:rPr>
                <w:color w:val="000000"/>
              </w:rPr>
            </w:pPr>
            <w:r>
              <w:rPr>
                <w:color w:val="000000"/>
              </w:rPr>
              <w:t>35 838</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93</w:t>
            </w:r>
          </w:p>
        </w:tc>
        <w:tc>
          <w:tcPr>
            <w:tcW w:w="3375" w:type="dxa"/>
          </w:tcPr>
          <w:p w:rsidR="00000000" w:rsidRDefault="00000000">
            <w:pPr>
              <w:spacing w:line="240" w:lineRule="auto"/>
              <w:rPr>
                <w:color w:val="000000"/>
              </w:rPr>
            </w:pPr>
            <w:r>
              <w:rPr>
                <w:color w:val="000000"/>
              </w:rPr>
              <w:t>Тенггер</w:t>
            </w:r>
          </w:p>
        </w:tc>
        <w:tc>
          <w:tcPr>
            <w:tcW w:w="2015" w:type="dxa"/>
          </w:tcPr>
          <w:p w:rsidR="00000000" w:rsidRDefault="00000000">
            <w:pPr>
              <w:spacing w:line="240" w:lineRule="auto"/>
              <w:jc w:val="center"/>
              <w:rPr>
                <w:color w:val="000000"/>
              </w:rPr>
            </w:pPr>
            <w:r>
              <w:rPr>
                <w:color w:val="000000"/>
              </w:rPr>
              <w:t>33 886</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94</w:t>
            </w:r>
          </w:p>
        </w:tc>
        <w:tc>
          <w:tcPr>
            <w:tcW w:w="3375" w:type="dxa"/>
          </w:tcPr>
          <w:p w:rsidR="00000000" w:rsidRDefault="00000000">
            <w:pPr>
              <w:spacing w:line="240" w:lineRule="auto"/>
              <w:rPr>
                <w:color w:val="000000"/>
              </w:rPr>
            </w:pPr>
            <w:r>
              <w:rPr>
                <w:color w:val="000000"/>
              </w:rPr>
              <w:t>Араб</w:t>
            </w:r>
          </w:p>
        </w:tc>
        <w:tc>
          <w:tcPr>
            <w:tcW w:w="2015" w:type="dxa"/>
          </w:tcPr>
          <w:p w:rsidR="00000000" w:rsidRDefault="00000000">
            <w:pPr>
              <w:spacing w:line="240" w:lineRule="auto"/>
              <w:jc w:val="center"/>
              <w:rPr>
                <w:color w:val="000000"/>
              </w:rPr>
            </w:pPr>
            <w:r>
              <w:rPr>
                <w:color w:val="000000"/>
              </w:rPr>
              <w:t>33 498</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95</w:t>
            </w:r>
          </w:p>
        </w:tc>
        <w:tc>
          <w:tcPr>
            <w:tcW w:w="3375" w:type="dxa"/>
          </w:tcPr>
          <w:p w:rsidR="00000000" w:rsidRDefault="00000000">
            <w:pPr>
              <w:spacing w:line="240" w:lineRule="auto"/>
              <w:rPr>
                <w:color w:val="000000"/>
              </w:rPr>
            </w:pPr>
            <w:r>
              <w:rPr>
                <w:color w:val="000000"/>
              </w:rPr>
              <w:t>Тонсаванг</w:t>
            </w:r>
          </w:p>
        </w:tc>
        <w:tc>
          <w:tcPr>
            <w:tcW w:w="2015" w:type="dxa"/>
          </w:tcPr>
          <w:p w:rsidR="00000000" w:rsidRDefault="00000000">
            <w:pPr>
              <w:spacing w:line="240" w:lineRule="auto"/>
              <w:jc w:val="center"/>
              <w:rPr>
                <w:color w:val="000000"/>
              </w:rPr>
            </w:pPr>
            <w:r>
              <w:rPr>
                <w:color w:val="000000"/>
              </w:rPr>
              <w:t>30 941</w:t>
            </w:r>
          </w:p>
        </w:tc>
        <w:tc>
          <w:tcPr>
            <w:tcW w:w="2128" w:type="dxa"/>
          </w:tcPr>
          <w:p w:rsidR="00000000" w:rsidRDefault="00000000">
            <w:pPr>
              <w:spacing w:line="240" w:lineRule="auto"/>
              <w:jc w:val="center"/>
              <w:rPr>
                <w:color w:val="000000"/>
              </w:rPr>
            </w:pPr>
            <w:r>
              <w:rPr>
                <w:color w:val="000000"/>
              </w:rPr>
              <w:t>0,02</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96</w:t>
            </w:r>
          </w:p>
        </w:tc>
        <w:tc>
          <w:tcPr>
            <w:tcW w:w="3375" w:type="dxa"/>
          </w:tcPr>
          <w:p w:rsidR="00000000" w:rsidRDefault="00000000">
            <w:pPr>
              <w:spacing w:line="240" w:lineRule="auto"/>
              <w:rPr>
                <w:color w:val="000000"/>
              </w:rPr>
            </w:pPr>
            <w:r>
              <w:rPr>
                <w:color w:val="000000"/>
              </w:rPr>
              <w:t>Халмахера</w:t>
            </w:r>
          </w:p>
        </w:tc>
        <w:tc>
          <w:tcPr>
            <w:tcW w:w="2015" w:type="dxa"/>
          </w:tcPr>
          <w:p w:rsidR="00000000" w:rsidRDefault="00000000">
            <w:pPr>
              <w:spacing w:line="240" w:lineRule="auto"/>
              <w:jc w:val="center"/>
              <w:rPr>
                <w:color w:val="000000"/>
              </w:rPr>
            </w:pPr>
            <w:r>
              <w:rPr>
                <w:color w:val="000000"/>
              </w:rPr>
              <w:t>26 018</w:t>
            </w:r>
          </w:p>
        </w:tc>
        <w:tc>
          <w:tcPr>
            <w:tcW w:w="2128" w:type="dxa"/>
          </w:tcPr>
          <w:p w:rsidR="00000000" w:rsidRDefault="00000000">
            <w:pPr>
              <w:spacing w:line="240" w:lineRule="auto"/>
              <w:jc w:val="center"/>
              <w:rPr>
                <w:color w:val="000000"/>
              </w:rPr>
            </w:pPr>
            <w:r>
              <w:rPr>
                <w:color w:val="000000"/>
              </w:rPr>
              <w:t>0,01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97</w:t>
            </w:r>
          </w:p>
        </w:tc>
        <w:tc>
          <w:tcPr>
            <w:tcW w:w="3375" w:type="dxa"/>
          </w:tcPr>
          <w:p w:rsidR="00000000" w:rsidRDefault="00000000">
            <w:pPr>
              <w:spacing w:line="240" w:lineRule="auto"/>
              <w:rPr>
                <w:color w:val="000000"/>
              </w:rPr>
            </w:pPr>
            <w:r>
              <w:rPr>
                <w:color w:val="000000"/>
              </w:rPr>
              <w:t>Балиага</w:t>
            </w:r>
          </w:p>
        </w:tc>
        <w:tc>
          <w:tcPr>
            <w:tcW w:w="2015" w:type="dxa"/>
          </w:tcPr>
          <w:p w:rsidR="00000000" w:rsidRDefault="00000000">
            <w:pPr>
              <w:spacing w:line="240" w:lineRule="auto"/>
              <w:jc w:val="center"/>
              <w:rPr>
                <w:color w:val="000000"/>
              </w:rPr>
            </w:pPr>
            <w:r>
              <w:rPr>
                <w:color w:val="000000"/>
              </w:rPr>
              <w:t>19 791</w:t>
            </w:r>
          </w:p>
        </w:tc>
        <w:tc>
          <w:tcPr>
            <w:tcW w:w="2128" w:type="dxa"/>
          </w:tcPr>
          <w:p w:rsidR="00000000" w:rsidRDefault="00000000">
            <w:pPr>
              <w:spacing w:line="240" w:lineRule="auto"/>
              <w:jc w:val="center"/>
              <w:rPr>
                <w:color w:val="000000"/>
              </w:rPr>
            </w:pPr>
            <w:r>
              <w:rPr>
                <w:color w:val="000000"/>
              </w:rPr>
              <w:t>0,01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98</w:t>
            </w:r>
          </w:p>
        </w:tc>
        <w:tc>
          <w:tcPr>
            <w:tcW w:w="3375" w:type="dxa"/>
          </w:tcPr>
          <w:p w:rsidR="00000000" w:rsidRDefault="00000000">
            <w:pPr>
              <w:spacing w:line="240" w:lineRule="auto"/>
              <w:rPr>
                <w:color w:val="000000"/>
              </w:rPr>
            </w:pPr>
            <w:r>
              <w:rPr>
                <w:color w:val="000000"/>
              </w:rPr>
              <w:t>Лалода, Лолода</w:t>
            </w:r>
          </w:p>
        </w:tc>
        <w:tc>
          <w:tcPr>
            <w:tcW w:w="2015" w:type="dxa"/>
          </w:tcPr>
          <w:p w:rsidR="00000000" w:rsidRDefault="00000000">
            <w:pPr>
              <w:spacing w:line="240" w:lineRule="auto"/>
              <w:jc w:val="center"/>
              <w:rPr>
                <w:color w:val="000000"/>
              </w:rPr>
            </w:pPr>
            <w:r>
              <w:rPr>
                <w:color w:val="000000"/>
              </w:rPr>
              <w:t>19 323</w:t>
            </w:r>
          </w:p>
        </w:tc>
        <w:tc>
          <w:tcPr>
            <w:tcW w:w="2128" w:type="dxa"/>
          </w:tcPr>
          <w:p w:rsidR="00000000" w:rsidRDefault="00000000">
            <w:pPr>
              <w:spacing w:line="240" w:lineRule="auto"/>
              <w:jc w:val="center"/>
              <w:rPr>
                <w:color w:val="000000"/>
              </w:rPr>
            </w:pPr>
            <w:r>
              <w:rPr>
                <w:color w:val="000000"/>
              </w:rPr>
              <w:t>0,01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99</w:t>
            </w:r>
          </w:p>
        </w:tc>
        <w:tc>
          <w:tcPr>
            <w:tcW w:w="3375" w:type="dxa"/>
          </w:tcPr>
          <w:p w:rsidR="00000000" w:rsidRDefault="00000000">
            <w:pPr>
              <w:spacing w:line="240" w:lineRule="auto"/>
              <w:rPr>
                <w:color w:val="000000"/>
              </w:rPr>
            </w:pPr>
            <w:r>
              <w:rPr>
                <w:color w:val="000000"/>
              </w:rPr>
              <w:t>Моротаи</w:t>
            </w:r>
          </w:p>
        </w:tc>
        <w:tc>
          <w:tcPr>
            <w:tcW w:w="2015" w:type="dxa"/>
          </w:tcPr>
          <w:p w:rsidR="00000000" w:rsidRDefault="00000000">
            <w:pPr>
              <w:spacing w:line="240" w:lineRule="auto"/>
              <w:jc w:val="center"/>
              <w:rPr>
                <w:color w:val="000000"/>
              </w:rPr>
            </w:pPr>
            <w:r>
              <w:rPr>
                <w:color w:val="000000"/>
              </w:rPr>
              <w:t>13 968</w:t>
            </w:r>
          </w:p>
        </w:tc>
        <w:tc>
          <w:tcPr>
            <w:tcW w:w="2128" w:type="dxa"/>
          </w:tcPr>
          <w:p w:rsidR="00000000" w:rsidRDefault="00000000">
            <w:pPr>
              <w:spacing w:line="240" w:lineRule="auto"/>
              <w:jc w:val="center"/>
              <w:rPr>
                <w:color w:val="000000"/>
              </w:rPr>
            </w:pPr>
            <w:r>
              <w:rPr>
                <w:color w:val="000000"/>
              </w:rPr>
              <w:t>0,01</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100</w:t>
            </w:r>
          </w:p>
        </w:tc>
        <w:tc>
          <w:tcPr>
            <w:tcW w:w="3375" w:type="dxa"/>
          </w:tcPr>
          <w:p w:rsidR="00000000" w:rsidRDefault="00000000">
            <w:pPr>
              <w:spacing w:line="240" w:lineRule="auto"/>
              <w:rPr>
                <w:color w:val="000000"/>
              </w:rPr>
            </w:pPr>
            <w:r>
              <w:rPr>
                <w:color w:val="000000"/>
              </w:rPr>
              <w:t>Антингголо</w:t>
            </w:r>
          </w:p>
        </w:tc>
        <w:tc>
          <w:tcPr>
            <w:tcW w:w="2015" w:type="dxa"/>
          </w:tcPr>
          <w:p w:rsidR="00000000" w:rsidRDefault="00000000">
            <w:pPr>
              <w:tabs>
                <w:tab w:val="clear" w:pos="1134"/>
              </w:tabs>
              <w:spacing w:line="240" w:lineRule="auto"/>
              <w:ind w:right="546"/>
              <w:jc w:val="right"/>
              <w:rPr>
                <w:color w:val="000000"/>
              </w:rPr>
            </w:pPr>
            <w:r>
              <w:rPr>
                <w:color w:val="000000"/>
              </w:rPr>
              <w:t>4 681</w:t>
            </w:r>
          </w:p>
        </w:tc>
        <w:tc>
          <w:tcPr>
            <w:tcW w:w="2128" w:type="dxa"/>
          </w:tcPr>
          <w:p w:rsidR="00000000" w:rsidRDefault="00000000">
            <w:pPr>
              <w:spacing w:line="240" w:lineRule="auto"/>
              <w:jc w:val="center"/>
              <w:rPr>
                <w:color w:val="000000"/>
              </w:rPr>
            </w:pPr>
            <w:r>
              <w:rPr>
                <w:color w:val="000000"/>
              </w:rPr>
              <w:t>0,00</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r>
              <w:rPr>
                <w:color w:val="000000"/>
              </w:rPr>
              <w:t>101</w:t>
            </w:r>
          </w:p>
        </w:tc>
        <w:tc>
          <w:tcPr>
            <w:tcW w:w="3375" w:type="dxa"/>
          </w:tcPr>
          <w:p w:rsidR="00000000" w:rsidRDefault="00000000">
            <w:pPr>
              <w:spacing w:line="240" w:lineRule="auto"/>
              <w:rPr>
                <w:color w:val="000000"/>
              </w:rPr>
            </w:pPr>
            <w:r>
              <w:rPr>
                <w:color w:val="000000"/>
              </w:rPr>
              <w:t>Гебе, Геби</w:t>
            </w:r>
          </w:p>
        </w:tc>
        <w:tc>
          <w:tcPr>
            <w:tcW w:w="2015" w:type="dxa"/>
          </w:tcPr>
          <w:p w:rsidR="00000000" w:rsidRDefault="00000000">
            <w:pPr>
              <w:tabs>
                <w:tab w:val="clear" w:pos="1134"/>
              </w:tabs>
              <w:spacing w:line="240" w:lineRule="auto"/>
              <w:ind w:right="546"/>
              <w:jc w:val="right"/>
              <w:rPr>
                <w:color w:val="000000"/>
                <w:lang w:val="en-US"/>
              </w:rPr>
            </w:pPr>
            <w:r>
              <w:rPr>
                <w:color w:val="000000"/>
                <w:lang w:val="en-US"/>
              </w:rPr>
              <w:t>2 903</w:t>
            </w:r>
          </w:p>
        </w:tc>
        <w:tc>
          <w:tcPr>
            <w:tcW w:w="2128" w:type="dxa"/>
          </w:tcPr>
          <w:p w:rsidR="00000000" w:rsidRDefault="00000000">
            <w:pPr>
              <w:spacing w:line="240" w:lineRule="auto"/>
              <w:jc w:val="center"/>
              <w:rPr>
                <w:color w:val="000000"/>
                <w:lang w:val="en-US"/>
              </w:rPr>
            </w:pPr>
            <w:r>
              <w:rPr>
                <w:color w:val="000000"/>
                <w:lang w:val="en-US"/>
              </w:rPr>
              <w:t>0,00</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lang w:val="en-US"/>
              </w:rPr>
            </w:pPr>
          </w:p>
        </w:tc>
        <w:tc>
          <w:tcPr>
            <w:tcW w:w="3375" w:type="dxa"/>
          </w:tcPr>
          <w:p w:rsidR="00000000" w:rsidRDefault="00000000">
            <w:pPr>
              <w:spacing w:line="240" w:lineRule="auto"/>
              <w:rPr>
                <w:color w:val="000000"/>
              </w:rPr>
            </w:pPr>
            <w:r>
              <w:rPr>
                <w:color w:val="000000"/>
              </w:rPr>
              <w:t>Прочие</w:t>
            </w:r>
          </w:p>
        </w:tc>
        <w:tc>
          <w:tcPr>
            <w:tcW w:w="2015" w:type="dxa"/>
          </w:tcPr>
          <w:p w:rsidR="00000000" w:rsidRDefault="00000000">
            <w:pPr>
              <w:tabs>
                <w:tab w:val="clear" w:pos="1134"/>
              </w:tabs>
              <w:spacing w:line="240" w:lineRule="auto"/>
              <w:ind w:right="546"/>
              <w:jc w:val="right"/>
              <w:rPr>
                <w:color w:val="000000"/>
              </w:rPr>
            </w:pPr>
            <w:r>
              <w:rPr>
                <w:color w:val="000000"/>
              </w:rPr>
              <w:t>13 972 741</w:t>
            </w:r>
          </w:p>
        </w:tc>
        <w:tc>
          <w:tcPr>
            <w:tcW w:w="2128" w:type="dxa"/>
          </w:tcPr>
          <w:p w:rsidR="00000000" w:rsidRDefault="00000000">
            <w:pPr>
              <w:spacing w:line="240" w:lineRule="auto"/>
              <w:jc w:val="center"/>
              <w:rPr>
                <w:color w:val="000000"/>
              </w:rPr>
            </w:pPr>
            <w:r>
              <w:rPr>
                <w:color w:val="000000"/>
              </w:rPr>
              <w:t>6,95</w:t>
            </w:r>
          </w:p>
        </w:tc>
      </w:tr>
      <w:tr w:rsidR="00000000">
        <w:tblPrEx>
          <w:tblCellMar>
            <w:top w:w="0" w:type="dxa"/>
            <w:bottom w:w="0" w:type="dxa"/>
          </w:tblCellMar>
        </w:tblPrEx>
        <w:trPr>
          <w:jc w:val="center"/>
        </w:trPr>
        <w:tc>
          <w:tcPr>
            <w:tcW w:w="674" w:type="dxa"/>
          </w:tcPr>
          <w:p w:rsidR="00000000" w:rsidRDefault="00000000">
            <w:pPr>
              <w:spacing w:line="240" w:lineRule="auto"/>
              <w:rPr>
                <w:color w:val="000000"/>
              </w:rPr>
            </w:pPr>
          </w:p>
        </w:tc>
        <w:tc>
          <w:tcPr>
            <w:tcW w:w="3375" w:type="dxa"/>
          </w:tcPr>
          <w:p w:rsidR="00000000" w:rsidRDefault="00000000">
            <w:pPr>
              <w:spacing w:line="240" w:lineRule="auto"/>
              <w:rPr>
                <w:color w:val="000000"/>
              </w:rPr>
            </w:pPr>
            <w:r>
              <w:rPr>
                <w:color w:val="000000"/>
              </w:rPr>
              <w:t>ВСЕГО</w:t>
            </w:r>
          </w:p>
        </w:tc>
        <w:tc>
          <w:tcPr>
            <w:tcW w:w="2015" w:type="dxa"/>
          </w:tcPr>
          <w:p w:rsidR="00000000" w:rsidRDefault="00000000">
            <w:pPr>
              <w:tabs>
                <w:tab w:val="clear" w:pos="1134"/>
              </w:tabs>
              <w:spacing w:line="240" w:lineRule="auto"/>
              <w:ind w:right="546"/>
              <w:jc w:val="right"/>
              <w:rPr>
                <w:color w:val="000000"/>
              </w:rPr>
            </w:pPr>
            <w:r>
              <w:rPr>
                <w:color w:val="000000"/>
              </w:rPr>
              <w:t>201 092 238</w:t>
            </w:r>
          </w:p>
        </w:tc>
        <w:tc>
          <w:tcPr>
            <w:tcW w:w="2128" w:type="dxa"/>
          </w:tcPr>
          <w:p w:rsidR="00000000" w:rsidRDefault="00000000">
            <w:pPr>
              <w:tabs>
                <w:tab w:val="clear" w:pos="1701"/>
              </w:tabs>
              <w:spacing w:line="240" w:lineRule="auto"/>
              <w:ind w:right="727"/>
              <w:jc w:val="right"/>
              <w:rPr>
                <w:color w:val="000000"/>
              </w:rPr>
            </w:pPr>
            <w:r>
              <w:rPr>
                <w:color w:val="000000"/>
              </w:rPr>
              <w:t>100,00</w:t>
            </w:r>
          </w:p>
        </w:tc>
      </w:tr>
    </w:tbl>
    <w:p w:rsidR="00000000" w:rsidRDefault="00000000"/>
    <w:p w:rsidR="00000000" w:rsidRDefault="00000000">
      <w:pPr>
        <w:spacing w:line="240" w:lineRule="auto"/>
        <w:rPr>
          <w:i/>
          <w:iCs/>
        </w:rPr>
      </w:pPr>
      <w:r>
        <w:rPr>
          <w:i/>
          <w:iCs/>
        </w:rPr>
        <w:tab/>
        <w:t xml:space="preserve">Источник:  </w:t>
      </w:r>
      <w:r>
        <w:t>Перепись населения 2000 года.  Составлено Лео Сурьядинатой и другими.  Бюро переписи населения Индонезии (2003 год)</w:t>
      </w:r>
      <w:r>
        <w:rPr>
          <w:i/>
          <w:iCs/>
        </w:rPr>
        <w:t>.</w:t>
      </w:r>
    </w:p>
    <w:p w:rsidR="00000000" w:rsidRDefault="00000000">
      <w:pPr>
        <w:rPr>
          <w:sz w:val="16"/>
        </w:rPr>
      </w:pPr>
    </w:p>
    <w:p w:rsidR="00000000" w:rsidRDefault="00000000">
      <w:pPr>
        <w:rPr>
          <w:sz w:val="16"/>
        </w:rPr>
      </w:pPr>
    </w:p>
    <w:p w:rsidR="00000000" w:rsidRDefault="00000000">
      <w:r>
        <w:t>27.</w:t>
      </w:r>
      <w:r>
        <w:tab/>
        <w:t>При отнесении какого-либо лица к той или иной этнической группе, Центральный статистический совет исходит из добровольно представляемой информации или ответов респондентов.  Таким образом, хотя человек и принадлежит к определенной этнической группе, он или она может предпочесть зарегистрироваться в качестве представителя другой этнической группы.  Например, лица китайского, арабского или индийского происхождения могут чувствовать себя более удобно, если их отнесут к этнической группе "Ява" и будут просто называть индонезийцами.  Поэтому при определении этнической принадлежности какого-либо лица иногда возникают трудности, особенно в случае смешанных браков.  Этническая принадлежность обычно определяется по четырем критериям, а именно:  имя, язык, окружение и уклад.</w:t>
      </w:r>
    </w:p>
    <w:p w:rsidR="00000000" w:rsidRDefault="00000000"/>
    <w:p w:rsidR="00000000" w:rsidRDefault="00000000">
      <w:pPr>
        <w:tabs>
          <w:tab w:val="clear" w:pos="567"/>
          <w:tab w:val="left" w:pos="561"/>
        </w:tabs>
        <w:spacing w:after="240"/>
        <w:rPr>
          <w:color w:val="000000"/>
        </w:rPr>
      </w:pPr>
      <w:r>
        <w:rPr>
          <w:color w:val="000000"/>
        </w:rPr>
        <w:t>28.</w:t>
      </w:r>
      <w:r>
        <w:rPr>
          <w:color w:val="000000"/>
        </w:rPr>
        <w:tab/>
        <w:t>Индонезия является не только многоэтнической, но многорелигиозной страной.  Индонезийцы исповедуют ислам, протестантизм, католицизм, индуизм и буддизм, а также другие религии, включая традиционные верования коренных народов.</w:t>
      </w:r>
    </w:p>
    <w:p w:rsidR="00000000" w:rsidRDefault="00000000">
      <w:pPr>
        <w:jc w:val="center"/>
        <w:rPr>
          <w:b/>
          <w:bCs/>
          <w:color w:val="000000"/>
        </w:rPr>
      </w:pPr>
      <w:r>
        <w:rPr>
          <w:b/>
          <w:bCs/>
          <w:color w:val="000000"/>
        </w:rPr>
        <w:t>Таблица 2</w:t>
      </w:r>
    </w:p>
    <w:p w:rsidR="00000000" w:rsidRDefault="00000000">
      <w:pPr>
        <w:jc w:val="center"/>
        <w:rPr>
          <w:color w:val="000000"/>
          <w:u w:val="single"/>
        </w:rPr>
      </w:pPr>
    </w:p>
    <w:p w:rsidR="00000000" w:rsidRDefault="00000000">
      <w:pPr>
        <w:jc w:val="center"/>
        <w:rPr>
          <w:b/>
          <w:color w:val="000000"/>
        </w:rPr>
      </w:pPr>
      <w:r>
        <w:rPr>
          <w:b/>
          <w:color w:val="000000"/>
        </w:rPr>
        <w:t>Численность и процентная доля последователей основных религиозных деноминаций</w:t>
      </w:r>
    </w:p>
    <w:p w:rsidR="00000000" w:rsidRDefault="00000000">
      <w:pPr>
        <w:jc w:val="center"/>
        <w:rPr>
          <w:bCs/>
          <w:color w:val="000000"/>
        </w:rPr>
      </w:pPr>
    </w:p>
    <w:tbl>
      <w:tblPr>
        <w:tblW w:w="7923" w:type="dxa"/>
        <w:jc w:val="center"/>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31"/>
        <w:gridCol w:w="3377"/>
        <w:gridCol w:w="2057"/>
        <w:gridCol w:w="2058"/>
      </w:tblGrid>
      <w:tr w:rsidR="00000000">
        <w:trPr>
          <w:cantSplit/>
          <w:jc w:val="center"/>
        </w:trPr>
        <w:tc>
          <w:tcPr>
            <w:tcW w:w="431" w:type="dxa"/>
            <w:vAlign w:val="center"/>
          </w:tcPr>
          <w:p w:rsidR="00000000" w:rsidRDefault="00000000">
            <w:pPr>
              <w:spacing w:line="240" w:lineRule="auto"/>
              <w:jc w:val="center"/>
              <w:rPr>
                <w:b/>
                <w:bCs/>
              </w:rPr>
            </w:pPr>
            <w:r>
              <w:rPr>
                <w:b/>
                <w:bCs/>
              </w:rPr>
              <w:t>№</w:t>
            </w:r>
          </w:p>
        </w:tc>
        <w:tc>
          <w:tcPr>
            <w:tcW w:w="3377" w:type="dxa"/>
            <w:vAlign w:val="center"/>
          </w:tcPr>
          <w:p w:rsidR="00000000" w:rsidRDefault="00000000">
            <w:pPr>
              <w:spacing w:line="240" w:lineRule="auto"/>
              <w:jc w:val="center"/>
              <w:rPr>
                <w:b/>
                <w:bCs/>
              </w:rPr>
            </w:pPr>
            <w:r>
              <w:rPr>
                <w:b/>
                <w:bCs/>
              </w:rPr>
              <w:t>Религиозные деноминации</w:t>
            </w:r>
          </w:p>
        </w:tc>
        <w:tc>
          <w:tcPr>
            <w:tcW w:w="2057" w:type="dxa"/>
            <w:vAlign w:val="center"/>
          </w:tcPr>
          <w:p w:rsidR="00000000" w:rsidRDefault="00000000">
            <w:pPr>
              <w:spacing w:line="240" w:lineRule="auto"/>
              <w:jc w:val="center"/>
              <w:rPr>
                <w:b/>
                <w:bCs/>
              </w:rPr>
            </w:pPr>
            <w:r>
              <w:rPr>
                <w:b/>
                <w:bCs/>
              </w:rPr>
              <w:t>Численность последователей</w:t>
            </w:r>
          </w:p>
        </w:tc>
        <w:tc>
          <w:tcPr>
            <w:tcW w:w="2058" w:type="dxa"/>
            <w:vAlign w:val="center"/>
          </w:tcPr>
          <w:p w:rsidR="00000000" w:rsidRDefault="00000000">
            <w:pPr>
              <w:spacing w:line="240" w:lineRule="auto"/>
              <w:jc w:val="center"/>
              <w:rPr>
                <w:b/>
                <w:bCs/>
              </w:rPr>
            </w:pPr>
            <w:r>
              <w:rPr>
                <w:b/>
                <w:bCs/>
              </w:rPr>
              <w:t>Процентная доля последователей</w:t>
            </w:r>
          </w:p>
        </w:tc>
      </w:tr>
      <w:tr w:rsidR="00000000">
        <w:trPr>
          <w:cantSplit/>
          <w:trHeight w:val="177"/>
          <w:jc w:val="center"/>
        </w:trPr>
        <w:tc>
          <w:tcPr>
            <w:tcW w:w="431" w:type="dxa"/>
          </w:tcPr>
          <w:p w:rsidR="00000000" w:rsidRDefault="00000000">
            <w:r>
              <w:t>1</w:t>
            </w:r>
          </w:p>
        </w:tc>
        <w:tc>
          <w:tcPr>
            <w:tcW w:w="3377" w:type="dxa"/>
          </w:tcPr>
          <w:p w:rsidR="00000000" w:rsidRDefault="00000000">
            <w:r>
              <w:t>Ислам</w:t>
            </w:r>
          </w:p>
        </w:tc>
        <w:tc>
          <w:tcPr>
            <w:tcW w:w="2057" w:type="dxa"/>
          </w:tcPr>
          <w:p w:rsidR="00000000" w:rsidRDefault="00000000">
            <w:pPr>
              <w:tabs>
                <w:tab w:val="clear" w:pos="1701"/>
              </w:tabs>
              <w:ind w:right="379"/>
              <w:jc w:val="right"/>
            </w:pPr>
            <w:r>
              <w:t>177 528 772</w:t>
            </w:r>
          </w:p>
        </w:tc>
        <w:tc>
          <w:tcPr>
            <w:tcW w:w="2058" w:type="dxa"/>
          </w:tcPr>
          <w:p w:rsidR="00000000" w:rsidRDefault="00000000">
            <w:pPr>
              <w:ind w:right="799"/>
              <w:jc w:val="right"/>
            </w:pPr>
            <w:r>
              <w:t>88,2  </w:t>
            </w:r>
          </w:p>
        </w:tc>
      </w:tr>
      <w:tr w:rsidR="00000000">
        <w:trPr>
          <w:cantSplit/>
          <w:trHeight w:val="195"/>
          <w:jc w:val="center"/>
        </w:trPr>
        <w:tc>
          <w:tcPr>
            <w:tcW w:w="431" w:type="dxa"/>
          </w:tcPr>
          <w:p w:rsidR="00000000" w:rsidRDefault="00000000">
            <w:r>
              <w:t>2.</w:t>
            </w:r>
          </w:p>
        </w:tc>
        <w:tc>
          <w:tcPr>
            <w:tcW w:w="3377" w:type="dxa"/>
          </w:tcPr>
          <w:p w:rsidR="00000000" w:rsidRDefault="00000000">
            <w:r>
              <w:t>Протестантизм</w:t>
            </w:r>
          </w:p>
        </w:tc>
        <w:tc>
          <w:tcPr>
            <w:tcW w:w="2057" w:type="dxa"/>
          </w:tcPr>
          <w:p w:rsidR="00000000" w:rsidRDefault="00000000">
            <w:pPr>
              <w:tabs>
                <w:tab w:val="clear" w:pos="1701"/>
              </w:tabs>
              <w:ind w:right="379"/>
              <w:jc w:val="right"/>
            </w:pPr>
            <w:r>
              <w:t>11 820 075</w:t>
            </w:r>
          </w:p>
        </w:tc>
        <w:tc>
          <w:tcPr>
            <w:tcW w:w="2058" w:type="dxa"/>
          </w:tcPr>
          <w:p w:rsidR="00000000" w:rsidRDefault="00000000">
            <w:pPr>
              <w:ind w:right="799"/>
              <w:jc w:val="right"/>
            </w:pPr>
            <w:r>
              <w:t>5,87</w:t>
            </w:r>
          </w:p>
        </w:tc>
      </w:tr>
      <w:tr w:rsidR="00000000">
        <w:trPr>
          <w:cantSplit/>
          <w:jc w:val="center"/>
        </w:trPr>
        <w:tc>
          <w:tcPr>
            <w:tcW w:w="431" w:type="dxa"/>
          </w:tcPr>
          <w:p w:rsidR="00000000" w:rsidRDefault="00000000">
            <w:r>
              <w:t>3.</w:t>
            </w:r>
          </w:p>
        </w:tc>
        <w:tc>
          <w:tcPr>
            <w:tcW w:w="3377" w:type="dxa"/>
          </w:tcPr>
          <w:p w:rsidR="00000000" w:rsidRDefault="00000000">
            <w:r>
              <w:t>Католицизм</w:t>
            </w:r>
          </w:p>
        </w:tc>
        <w:tc>
          <w:tcPr>
            <w:tcW w:w="2057" w:type="dxa"/>
          </w:tcPr>
          <w:p w:rsidR="00000000" w:rsidRDefault="00000000">
            <w:pPr>
              <w:tabs>
                <w:tab w:val="clear" w:pos="1701"/>
              </w:tabs>
              <w:ind w:right="379"/>
              <w:jc w:val="right"/>
            </w:pPr>
            <w:r>
              <w:t>6 134 902</w:t>
            </w:r>
          </w:p>
        </w:tc>
        <w:tc>
          <w:tcPr>
            <w:tcW w:w="2058" w:type="dxa"/>
          </w:tcPr>
          <w:p w:rsidR="00000000" w:rsidRDefault="00000000">
            <w:pPr>
              <w:ind w:right="799"/>
              <w:jc w:val="right"/>
            </w:pPr>
            <w:r>
              <w:t>3,05</w:t>
            </w:r>
          </w:p>
        </w:tc>
      </w:tr>
      <w:tr w:rsidR="00000000">
        <w:trPr>
          <w:cantSplit/>
          <w:jc w:val="center"/>
        </w:trPr>
        <w:tc>
          <w:tcPr>
            <w:tcW w:w="431" w:type="dxa"/>
          </w:tcPr>
          <w:p w:rsidR="00000000" w:rsidRDefault="00000000">
            <w:r>
              <w:t>4.</w:t>
            </w:r>
          </w:p>
        </w:tc>
        <w:tc>
          <w:tcPr>
            <w:tcW w:w="3377" w:type="dxa"/>
          </w:tcPr>
          <w:p w:rsidR="00000000" w:rsidRDefault="00000000">
            <w:r>
              <w:t>Индуизм</w:t>
            </w:r>
          </w:p>
        </w:tc>
        <w:tc>
          <w:tcPr>
            <w:tcW w:w="2057" w:type="dxa"/>
          </w:tcPr>
          <w:p w:rsidR="00000000" w:rsidRDefault="00000000">
            <w:pPr>
              <w:tabs>
                <w:tab w:val="clear" w:pos="1701"/>
              </w:tabs>
              <w:ind w:right="379"/>
              <w:jc w:val="right"/>
            </w:pPr>
            <w:r>
              <w:t>3 651 939</w:t>
            </w:r>
          </w:p>
        </w:tc>
        <w:tc>
          <w:tcPr>
            <w:tcW w:w="2058" w:type="dxa"/>
          </w:tcPr>
          <w:p w:rsidR="00000000" w:rsidRDefault="00000000">
            <w:pPr>
              <w:ind w:right="799"/>
              <w:jc w:val="right"/>
            </w:pPr>
            <w:r>
              <w:t>1,81</w:t>
            </w:r>
          </w:p>
        </w:tc>
      </w:tr>
      <w:tr w:rsidR="00000000">
        <w:trPr>
          <w:cantSplit/>
          <w:jc w:val="center"/>
        </w:trPr>
        <w:tc>
          <w:tcPr>
            <w:tcW w:w="431" w:type="dxa"/>
          </w:tcPr>
          <w:p w:rsidR="00000000" w:rsidRDefault="00000000">
            <w:r>
              <w:t>5.</w:t>
            </w:r>
          </w:p>
        </w:tc>
        <w:tc>
          <w:tcPr>
            <w:tcW w:w="3377" w:type="dxa"/>
          </w:tcPr>
          <w:p w:rsidR="00000000" w:rsidRDefault="00000000">
            <w:r>
              <w:t>Буддизм</w:t>
            </w:r>
          </w:p>
        </w:tc>
        <w:tc>
          <w:tcPr>
            <w:tcW w:w="2057" w:type="dxa"/>
          </w:tcPr>
          <w:p w:rsidR="00000000" w:rsidRDefault="00000000">
            <w:pPr>
              <w:tabs>
                <w:tab w:val="clear" w:pos="1701"/>
              </w:tabs>
              <w:ind w:right="379"/>
              <w:jc w:val="right"/>
            </w:pPr>
            <w:r>
              <w:t>1 694 682</w:t>
            </w:r>
          </w:p>
        </w:tc>
        <w:tc>
          <w:tcPr>
            <w:tcW w:w="2058" w:type="dxa"/>
          </w:tcPr>
          <w:p w:rsidR="00000000" w:rsidRDefault="00000000">
            <w:pPr>
              <w:ind w:right="799"/>
              <w:jc w:val="right"/>
            </w:pPr>
            <w:r>
              <w:t>0,84</w:t>
            </w:r>
          </w:p>
        </w:tc>
      </w:tr>
      <w:tr w:rsidR="00000000">
        <w:trPr>
          <w:cantSplit/>
          <w:jc w:val="center"/>
        </w:trPr>
        <w:tc>
          <w:tcPr>
            <w:tcW w:w="431" w:type="dxa"/>
          </w:tcPr>
          <w:p w:rsidR="00000000" w:rsidRDefault="00000000">
            <w:r>
              <w:t>6.</w:t>
            </w:r>
          </w:p>
        </w:tc>
        <w:tc>
          <w:tcPr>
            <w:tcW w:w="3377" w:type="dxa"/>
          </w:tcPr>
          <w:p w:rsidR="00000000" w:rsidRDefault="00000000">
            <w:r>
              <w:t>Прочие</w:t>
            </w:r>
          </w:p>
        </w:tc>
        <w:tc>
          <w:tcPr>
            <w:tcW w:w="2057" w:type="dxa"/>
          </w:tcPr>
          <w:p w:rsidR="00000000" w:rsidRDefault="00000000">
            <w:pPr>
              <w:tabs>
                <w:tab w:val="clear" w:pos="1701"/>
              </w:tabs>
              <w:ind w:right="379"/>
              <w:jc w:val="right"/>
            </w:pPr>
            <w:r>
              <w:t>411 629</w:t>
            </w:r>
          </w:p>
        </w:tc>
        <w:tc>
          <w:tcPr>
            <w:tcW w:w="2058" w:type="dxa"/>
          </w:tcPr>
          <w:p w:rsidR="00000000" w:rsidRDefault="00000000">
            <w:pPr>
              <w:ind w:right="799"/>
              <w:jc w:val="right"/>
            </w:pPr>
            <w:r>
              <w:t>0,20</w:t>
            </w:r>
          </w:p>
        </w:tc>
      </w:tr>
      <w:tr w:rsidR="00000000">
        <w:trPr>
          <w:cantSplit/>
          <w:trHeight w:val="66"/>
          <w:jc w:val="center"/>
        </w:trPr>
        <w:tc>
          <w:tcPr>
            <w:tcW w:w="431" w:type="dxa"/>
          </w:tcPr>
          <w:p w:rsidR="00000000" w:rsidRDefault="00000000"/>
        </w:tc>
        <w:tc>
          <w:tcPr>
            <w:tcW w:w="3377" w:type="dxa"/>
          </w:tcPr>
          <w:p w:rsidR="00000000" w:rsidRDefault="00000000">
            <w:r>
              <w:t>Всего</w:t>
            </w:r>
          </w:p>
        </w:tc>
        <w:tc>
          <w:tcPr>
            <w:tcW w:w="2057" w:type="dxa"/>
          </w:tcPr>
          <w:p w:rsidR="00000000" w:rsidRDefault="00000000">
            <w:pPr>
              <w:tabs>
                <w:tab w:val="clear" w:pos="1701"/>
              </w:tabs>
              <w:ind w:right="379"/>
              <w:jc w:val="right"/>
            </w:pPr>
            <w:r>
              <w:t>201 241 999</w:t>
            </w:r>
          </w:p>
        </w:tc>
        <w:tc>
          <w:tcPr>
            <w:tcW w:w="2058" w:type="dxa"/>
          </w:tcPr>
          <w:p w:rsidR="00000000" w:rsidRDefault="00000000">
            <w:pPr>
              <w:tabs>
                <w:tab w:val="clear" w:pos="1134"/>
              </w:tabs>
              <w:ind w:right="799"/>
              <w:jc w:val="right"/>
            </w:pPr>
            <w:r>
              <w:t>100    </w:t>
            </w:r>
          </w:p>
        </w:tc>
      </w:tr>
    </w:tbl>
    <w:p w:rsidR="00000000" w:rsidRDefault="00000000">
      <w:pPr>
        <w:spacing w:line="240" w:lineRule="auto"/>
        <w:rPr>
          <w:iCs/>
          <w:color w:val="000000"/>
          <w:sz w:val="20"/>
          <w:szCs w:val="16"/>
        </w:rPr>
      </w:pPr>
    </w:p>
    <w:p w:rsidR="00000000" w:rsidRDefault="00000000">
      <w:pPr>
        <w:spacing w:line="240" w:lineRule="auto"/>
        <w:rPr>
          <w:i/>
          <w:color w:val="000000"/>
          <w:szCs w:val="16"/>
        </w:rPr>
      </w:pPr>
      <w:r>
        <w:rPr>
          <w:i/>
          <w:color w:val="000000"/>
          <w:szCs w:val="16"/>
        </w:rPr>
        <w:tab/>
        <w:t xml:space="preserve">Источник:  </w:t>
      </w:r>
      <w:r>
        <w:rPr>
          <w:iCs/>
          <w:color w:val="000000"/>
          <w:szCs w:val="16"/>
        </w:rPr>
        <w:t>Центральный статистический совет (</w:t>
      </w:r>
      <w:r>
        <w:rPr>
          <w:iCs/>
          <w:color w:val="000000"/>
          <w:szCs w:val="16"/>
          <w:lang w:val="en-US"/>
        </w:rPr>
        <w:t>Badan</w:t>
      </w:r>
      <w:r>
        <w:rPr>
          <w:iCs/>
          <w:color w:val="000000"/>
          <w:szCs w:val="16"/>
        </w:rPr>
        <w:t xml:space="preserve"> </w:t>
      </w:r>
      <w:r>
        <w:rPr>
          <w:iCs/>
          <w:color w:val="000000"/>
          <w:szCs w:val="16"/>
          <w:lang w:val="en-US"/>
        </w:rPr>
        <w:t>Pusat</w:t>
      </w:r>
      <w:r>
        <w:rPr>
          <w:iCs/>
          <w:color w:val="000000"/>
          <w:szCs w:val="16"/>
        </w:rPr>
        <w:t xml:space="preserve"> </w:t>
      </w:r>
      <w:r>
        <w:rPr>
          <w:iCs/>
          <w:color w:val="000000"/>
          <w:szCs w:val="16"/>
          <w:lang w:val="en-US"/>
        </w:rPr>
        <w:t>Statistik</w:t>
      </w:r>
      <w:r>
        <w:rPr>
          <w:iCs/>
          <w:color w:val="000000"/>
          <w:szCs w:val="16"/>
        </w:rPr>
        <w:t>), 2001 год.</w:t>
      </w:r>
    </w:p>
    <w:p w:rsidR="00000000" w:rsidRDefault="00000000">
      <w:pPr>
        <w:spacing w:after="240"/>
        <w:rPr>
          <w:iCs/>
          <w:color w:val="000000"/>
          <w:szCs w:val="16"/>
        </w:rPr>
      </w:pPr>
    </w:p>
    <w:p w:rsidR="00000000" w:rsidRDefault="00000000">
      <w:r>
        <w:t>29.</w:t>
      </w:r>
      <w:r>
        <w:tab/>
        <w:t>Официальным языком в Индонезии является "Бахаса Индонезия".  Он сформировался на основе малайского языка, на котором в основном говорит население провинции Риау.</w:t>
      </w:r>
    </w:p>
    <w:p w:rsidR="00000000" w:rsidRDefault="00000000"/>
    <w:p w:rsidR="00000000" w:rsidRDefault="00000000">
      <w:r>
        <w:t>30.</w:t>
      </w:r>
      <w:r>
        <w:tab/>
        <w:t>По мере развития индонезийского языка и его распространения по всей территории страны он значительно обогатился словами и идиомами из многочисленных местных языков.  В Индонезии говорят на приблизительно 500 местных языках и диалектах.  Это языки различных этнических групп.  В числе особо своеобразных местных языков можно выделить языки таких этнических групп, как ачех, батак, сунда, ява, сасак, даяк, минахаса, тораджа, бугис, халмахера, амбон, серам, несколько папуасских и множество других языков.  Чтобы еще больше добавить колорита, можно сказать, что эти языки также имеют различные диалекты.  Хотя "Бахаса Индонезия" стал смешанным языком, используемым представителями всех этнических групп, местные языки и диалекты продолжат свое существование и будут являться источником культурного обогащения еще многих поколений индонезийцев.</w:t>
      </w:r>
    </w:p>
    <w:p w:rsidR="00000000" w:rsidRDefault="00000000"/>
    <w:p w:rsidR="00000000" w:rsidRDefault="00000000">
      <w:r>
        <w:t>31.</w:t>
      </w:r>
      <w:r>
        <w:tab/>
        <w:t>С тем чтобы идти в ногу с прогрессом в научно-технической, религиозной, социальной и культурной сферах, многие слова и термины были заимствованы из иностранных языков, в том числе из голландского, китайского, санскритского, арабского, португальского и т.д.</w:t>
      </w:r>
    </w:p>
    <w:p w:rsidR="00000000" w:rsidRDefault="00000000">
      <w:pPr>
        <w:rPr>
          <w:b/>
          <w:bCs/>
        </w:rPr>
      </w:pPr>
    </w:p>
    <w:p w:rsidR="00000000" w:rsidRDefault="00000000">
      <w:pPr>
        <w:keepNext/>
        <w:jc w:val="center"/>
      </w:pPr>
      <w:r>
        <w:rPr>
          <w:b/>
          <w:bCs/>
        </w:rPr>
        <w:t>С.</w:t>
      </w:r>
      <w:r>
        <w:rPr>
          <w:b/>
          <w:bCs/>
        </w:rPr>
        <w:tab/>
        <w:t>География</w:t>
      </w:r>
    </w:p>
    <w:p w:rsidR="00000000" w:rsidRDefault="00000000">
      <w:pPr>
        <w:keepNext/>
      </w:pPr>
    </w:p>
    <w:p w:rsidR="00000000" w:rsidRDefault="00000000">
      <w:pPr>
        <w:keepNext/>
      </w:pPr>
      <w:r>
        <w:t>32.</w:t>
      </w:r>
      <w:r>
        <w:tab/>
        <w:t>Индонезия - независимое государство в Юго-Восточной Азии, которое является членом ООН с 27 сентября 1950 года.  Она граничит с Австралией, Восточным Тимором, ПНГ, Малайзией, Сингапуром, Бруней-Даруссаламом, Филиппинами и Палау.</w:t>
      </w:r>
    </w:p>
    <w:p w:rsidR="00000000" w:rsidRDefault="00000000"/>
    <w:p w:rsidR="00000000" w:rsidRDefault="00000000">
      <w:r>
        <w:t>33.</w:t>
      </w:r>
      <w:r>
        <w:tab/>
        <w:t>Прежде Индонезия состояла из 27 провинций, однако в соответствии с национальной реформой и политикой децентрализации в 2000 году она была поделена на 30 провинций, а сегодня в Индонезии насчитывается 32 провинции.</w:t>
      </w:r>
    </w:p>
    <w:p w:rsidR="00000000" w:rsidRDefault="00000000"/>
    <w:p w:rsidR="00000000" w:rsidRDefault="00000000">
      <w:r>
        <w:t>34.</w:t>
      </w:r>
      <w:r>
        <w:tab/>
        <w:t>С географической точки зрения Индонезия является крупнейшим островным государством в мире.  Территория Индонезии простирается от 6 градуса северной широты до 11 градуса южной широты и от 94 до 141 градуса восточной долготы, а ее площадь составляет 1 919 440 км</w:t>
      </w:r>
      <w:r>
        <w:rPr>
          <w:vertAlign w:val="superscript"/>
        </w:rPr>
        <w:t>2</w:t>
      </w:r>
      <w:r>
        <w:t>.  Индонезия состоит из 18 108 островов (на основе данных спутниковых наблюдений авиационно-космического института, 2003 год).  Эти острова включают пять крупных островов и приблизительно 30 групп более мелких островов.  Пятью основными островами являются Калимантан (139 360 к</w:t>
      </w:r>
      <w:r>
        <w:rPr>
          <w:color w:val="000000"/>
        </w:rPr>
        <w:t>м</w:t>
      </w:r>
      <w:r>
        <w:rPr>
          <w:color w:val="000000"/>
          <w:vertAlign w:val="superscript"/>
        </w:rPr>
        <w:t>2</w:t>
      </w:r>
      <w:r>
        <w:t>), Суматра (473 606 к</w:t>
      </w:r>
      <w:r>
        <w:rPr>
          <w:color w:val="000000"/>
        </w:rPr>
        <w:t>м</w:t>
      </w:r>
      <w:r>
        <w:rPr>
          <w:color w:val="000000"/>
          <w:vertAlign w:val="superscript"/>
        </w:rPr>
        <w:t>2</w:t>
      </w:r>
      <w:r>
        <w:t>), Папуа (421 981 к</w:t>
      </w:r>
      <w:r>
        <w:rPr>
          <w:color w:val="000000"/>
        </w:rPr>
        <w:t>м</w:t>
      </w:r>
      <w:r>
        <w:rPr>
          <w:color w:val="000000"/>
          <w:vertAlign w:val="superscript"/>
        </w:rPr>
        <w:t>2</w:t>
      </w:r>
      <w:r>
        <w:t>), Сулавеси (189 216 к</w:t>
      </w:r>
      <w:r>
        <w:rPr>
          <w:color w:val="000000"/>
        </w:rPr>
        <w:t>м</w:t>
      </w:r>
      <w:r>
        <w:rPr>
          <w:color w:val="000000"/>
          <w:vertAlign w:val="superscript"/>
        </w:rPr>
        <w:t>2</w:t>
      </w:r>
      <w:r>
        <w:t>) и Ява (132 107 к</w:t>
      </w:r>
      <w:r>
        <w:rPr>
          <w:color w:val="000000"/>
        </w:rPr>
        <w:t>м</w:t>
      </w:r>
      <w:r>
        <w:rPr>
          <w:color w:val="000000"/>
          <w:vertAlign w:val="superscript"/>
        </w:rPr>
        <w:t>2</w:t>
      </w:r>
      <w:r>
        <w:t>).</w:t>
      </w:r>
    </w:p>
    <w:p w:rsidR="00000000" w:rsidRDefault="00000000"/>
    <w:p w:rsidR="00000000" w:rsidRDefault="00000000">
      <w:r>
        <w:t>35.</w:t>
      </w:r>
      <w:r>
        <w:tab/>
        <w:t>Будучи расположенной между двумя океанами, Тихим и Индийским, и служа своего рода мостом между двумя континентами, Азией и Австралией, Индонезия имеет стратегическое местоположение, которое оказало огромное влияние на культуру, общество, политику и экономику страны.  Площадь водной поверхности Индонезии составляет приблизительно 19,1 млн. км</w:t>
      </w:r>
      <w:r>
        <w:rPr>
          <w:vertAlign w:val="superscript"/>
        </w:rPr>
        <w:t>2</w:t>
      </w:r>
      <w:r>
        <w:t>.  Море покрывает приблизительно 7,9 млн. к</w:t>
      </w:r>
      <w:r>
        <w:rPr>
          <w:color w:val="000000"/>
        </w:rPr>
        <w:t>м</w:t>
      </w:r>
      <w:r>
        <w:rPr>
          <w:color w:val="000000"/>
          <w:vertAlign w:val="superscript"/>
        </w:rPr>
        <w:t xml:space="preserve">2 </w:t>
      </w:r>
      <w:r>
        <w:t xml:space="preserve"> (включая исключительную экономическую зону), что составляет приблизительно 81% общей площади страны.  Бо</w:t>
      </w:r>
      <w:r>
        <w:rPr>
          <w:rFonts w:ascii="Tahoma" w:hAnsi="Tahoma" w:cs="Tahoma"/>
        </w:rPr>
        <w:t></w:t>
      </w:r>
      <w:r>
        <w:t>льшая часть площади суши Индонезии покрыта тропическими влажными лесами, плодородная почва которых постоянно пополняется питательными веществами в результате вулканической деятельности, например на острове Ява.</w:t>
      </w:r>
    </w:p>
    <w:p w:rsidR="00000000" w:rsidRDefault="00000000"/>
    <w:p w:rsidR="00000000" w:rsidRDefault="00000000">
      <w:pPr>
        <w:jc w:val="center"/>
        <w:rPr>
          <w:b/>
          <w:bCs/>
        </w:rPr>
      </w:pPr>
      <w:r>
        <w:rPr>
          <w:b/>
          <w:bCs/>
          <w:lang w:val="en-US"/>
        </w:rPr>
        <w:t>D</w:t>
      </w:r>
      <w:r>
        <w:rPr>
          <w:b/>
          <w:bCs/>
        </w:rPr>
        <w:t>.</w:t>
      </w:r>
      <w:r>
        <w:rPr>
          <w:b/>
          <w:bCs/>
        </w:rPr>
        <w:tab/>
        <w:t>Государственное устройство</w:t>
      </w:r>
    </w:p>
    <w:p w:rsidR="00000000" w:rsidRDefault="00000000">
      <w:pPr>
        <w:rPr>
          <w:b/>
          <w:bCs/>
        </w:rPr>
      </w:pPr>
    </w:p>
    <w:p w:rsidR="00000000" w:rsidRDefault="00000000">
      <w:r>
        <w:t>36.</w:t>
      </w:r>
      <w:r>
        <w:tab/>
        <w:t>Как заявляется в четвертой поправке к Конституции Республики Индонезии 1945 года, Индонезия является унитарным государством с республиканской системой, где существуют следующие государственные органы:</w:t>
      </w:r>
    </w:p>
    <w:p w:rsidR="00000000" w:rsidRDefault="00000000"/>
    <w:p w:rsidR="00000000" w:rsidRDefault="00000000">
      <w:pPr>
        <w:rPr>
          <w:iCs/>
          <w:color w:val="000000"/>
        </w:rPr>
      </w:pPr>
      <w:r>
        <w:tab/>
        <w:t>а)</w:t>
      </w:r>
      <w:r>
        <w:tab/>
        <w:t>Народный консультативный конгресс (</w:t>
      </w:r>
      <w:r>
        <w:rPr>
          <w:i/>
          <w:color w:val="000000"/>
        </w:rPr>
        <w:t>Majelis Permusyawaratan Rakyat</w:t>
      </w:r>
      <w:r>
        <w:rPr>
          <w:iCs/>
          <w:color w:val="000000"/>
        </w:rPr>
        <w:t>);</w:t>
      </w:r>
    </w:p>
    <w:p w:rsidR="00000000" w:rsidRDefault="00000000">
      <w:pPr>
        <w:rPr>
          <w:iCs/>
          <w:color w:val="000000"/>
        </w:rPr>
      </w:pPr>
    </w:p>
    <w:p w:rsidR="00000000" w:rsidRDefault="00000000">
      <w:pPr>
        <w:rPr>
          <w:color w:val="000000"/>
        </w:rPr>
      </w:pPr>
      <w:r>
        <w:rPr>
          <w:iCs/>
          <w:color w:val="000000"/>
        </w:rPr>
        <w:tab/>
        <w:t>b</w:t>
      </w:r>
      <w:r>
        <w:rPr>
          <w:iCs/>
          <w:color w:val="000000"/>
        </w:rPr>
        <w:tab/>
        <w:t>Совет народных представителей (</w:t>
      </w:r>
      <w:r>
        <w:rPr>
          <w:i/>
          <w:color w:val="000000"/>
        </w:rPr>
        <w:t>Dewan Perwakilan Rakyat</w:t>
      </w:r>
      <w:r>
        <w:rPr>
          <w:color w:val="000000"/>
        </w:rPr>
        <w:t>/СНП);</w:t>
      </w:r>
    </w:p>
    <w:p w:rsidR="00000000" w:rsidRDefault="00000000">
      <w:pPr>
        <w:rPr>
          <w:color w:val="000000"/>
        </w:rPr>
      </w:pPr>
    </w:p>
    <w:p w:rsidR="00000000" w:rsidRDefault="00000000">
      <w:pPr>
        <w:rPr>
          <w:color w:val="000000"/>
        </w:rPr>
      </w:pPr>
      <w:r>
        <w:rPr>
          <w:color w:val="000000"/>
        </w:rPr>
        <w:tab/>
        <w:t>с)</w:t>
      </w:r>
      <w:r>
        <w:rPr>
          <w:color w:val="000000"/>
        </w:rPr>
        <w:tab/>
        <w:t>Совет региональных представителей (</w:t>
      </w:r>
      <w:r>
        <w:rPr>
          <w:i/>
          <w:color w:val="000000"/>
        </w:rPr>
        <w:t>Dewan Perwakilan Daerah</w:t>
      </w:r>
      <w:r>
        <w:rPr>
          <w:color w:val="000000"/>
        </w:rPr>
        <w:t>/СРП);</w:t>
      </w:r>
    </w:p>
    <w:p w:rsidR="00000000" w:rsidRDefault="00000000">
      <w:pPr>
        <w:rPr>
          <w:color w:val="000000"/>
        </w:rPr>
      </w:pPr>
    </w:p>
    <w:p w:rsidR="00000000" w:rsidRDefault="00000000">
      <w:pPr>
        <w:rPr>
          <w:color w:val="000000"/>
        </w:rPr>
      </w:pPr>
      <w:r>
        <w:rPr>
          <w:color w:val="000000"/>
        </w:rPr>
        <w:tab/>
      </w:r>
      <w:r>
        <w:rPr>
          <w:color w:val="000000"/>
          <w:lang w:val="en-US"/>
        </w:rPr>
        <w:t>d</w:t>
      </w:r>
      <w:r>
        <w:rPr>
          <w:color w:val="000000"/>
        </w:rPr>
        <w:t>)</w:t>
      </w:r>
      <w:r>
        <w:rPr>
          <w:color w:val="000000"/>
        </w:rPr>
        <w:tab/>
        <w:t>Президент;</w:t>
      </w:r>
    </w:p>
    <w:p w:rsidR="00000000" w:rsidRDefault="00000000">
      <w:pPr>
        <w:rPr>
          <w:color w:val="000000"/>
        </w:rPr>
      </w:pPr>
    </w:p>
    <w:p w:rsidR="00000000" w:rsidRDefault="00000000">
      <w:pPr>
        <w:ind w:left="1134" w:hanging="1134"/>
        <w:rPr>
          <w:color w:val="000000"/>
        </w:rPr>
      </w:pPr>
      <w:r>
        <w:rPr>
          <w:color w:val="000000"/>
        </w:rPr>
        <w:tab/>
        <w:t>е)</w:t>
      </w:r>
      <w:r>
        <w:rPr>
          <w:color w:val="000000"/>
        </w:rPr>
        <w:tab/>
        <w:t>Государственое контрольно-ревизионное финансовое управление (</w:t>
      </w:r>
      <w:r>
        <w:rPr>
          <w:i/>
          <w:color w:val="000000"/>
        </w:rPr>
        <w:t>Badan Pemeriksa Keuangan</w:t>
      </w:r>
      <w:r>
        <w:rPr>
          <w:color w:val="000000"/>
        </w:rPr>
        <w:t>);</w:t>
      </w:r>
    </w:p>
    <w:p w:rsidR="00000000" w:rsidRDefault="00000000">
      <w:pPr>
        <w:ind w:left="1134" w:hanging="1134"/>
        <w:rPr>
          <w:color w:val="000000"/>
        </w:rPr>
      </w:pPr>
    </w:p>
    <w:p w:rsidR="00000000" w:rsidRDefault="00000000">
      <w:pPr>
        <w:rPr>
          <w:color w:val="000000"/>
        </w:rPr>
      </w:pPr>
      <w:r>
        <w:rPr>
          <w:color w:val="000000"/>
        </w:rPr>
        <w:tab/>
        <w:t>f)</w:t>
      </w:r>
      <w:r>
        <w:rPr>
          <w:color w:val="000000"/>
        </w:rPr>
        <w:tab/>
        <w:t>Верховный суд (</w:t>
      </w:r>
      <w:r>
        <w:rPr>
          <w:i/>
          <w:color w:val="000000"/>
          <w:lang w:val="en-US"/>
        </w:rPr>
        <w:t>Mahkamah</w:t>
      </w:r>
      <w:r>
        <w:rPr>
          <w:i/>
          <w:color w:val="000000"/>
        </w:rPr>
        <w:t xml:space="preserve"> </w:t>
      </w:r>
      <w:r>
        <w:rPr>
          <w:i/>
          <w:color w:val="000000"/>
          <w:lang w:val="en-US"/>
        </w:rPr>
        <w:t>Agung</w:t>
      </w:r>
      <w:r>
        <w:rPr>
          <w:i/>
          <w:color w:val="000000"/>
        </w:rPr>
        <w:t>)</w:t>
      </w:r>
      <w:r>
        <w:rPr>
          <w:iCs/>
          <w:color w:val="000000"/>
        </w:rPr>
        <w:t>;</w:t>
      </w:r>
    </w:p>
    <w:p w:rsidR="00000000" w:rsidRDefault="00000000">
      <w:pPr>
        <w:rPr>
          <w:color w:val="000000"/>
        </w:rPr>
      </w:pPr>
    </w:p>
    <w:p w:rsidR="00000000" w:rsidRDefault="00000000">
      <w:pPr>
        <w:rPr>
          <w:color w:val="000000"/>
        </w:rPr>
      </w:pPr>
      <w:r>
        <w:rPr>
          <w:color w:val="000000"/>
        </w:rPr>
        <w:tab/>
        <w:t>g)</w:t>
      </w:r>
      <w:r>
        <w:rPr>
          <w:color w:val="000000"/>
        </w:rPr>
        <w:tab/>
        <w:t>Конституционный суд (</w:t>
      </w:r>
      <w:r>
        <w:rPr>
          <w:i/>
          <w:color w:val="000000"/>
        </w:rPr>
        <w:t>Mahkamah Konstitusi)</w:t>
      </w:r>
      <w:r>
        <w:rPr>
          <w:iCs/>
          <w:color w:val="000000"/>
        </w:rPr>
        <w:t>;</w:t>
      </w:r>
    </w:p>
    <w:p w:rsidR="00000000" w:rsidRDefault="00000000">
      <w:pPr>
        <w:rPr>
          <w:color w:val="000000"/>
        </w:rPr>
      </w:pPr>
    </w:p>
    <w:p w:rsidR="00000000" w:rsidRDefault="00000000">
      <w:pPr>
        <w:rPr>
          <w:color w:val="000000"/>
        </w:rPr>
      </w:pPr>
      <w:r>
        <w:rPr>
          <w:color w:val="000000"/>
        </w:rPr>
        <w:tab/>
        <w:t>h)</w:t>
      </w:r>
      <w:r>
        <w:rPr>
          <w:color w:val="000000"/>
        </w:rPr>
        <w:tab/>
        <w:t>Судебная комиссия (</w:t>
      </w:r>
      <w:r>
        <w:rPr>
          <w:i/>
          <w:color w:val="000000"/>
        </w:rPr>
        <w:t>Komisi Yudisial</w:t>
      </w:r>
      <w:r>
        <w:rPr>
          <w:color w:val="000000"/>
        </w:rPr>
        <w:t>).</w:t>
      </w:r>
    </w:p>
    <w:p w:rsidR="00000000" w:rsidRDefault="00000000">
      <w:pPr>
        <w:rPr>
          <w:color w:val="000000"/>
        </w:rPr>
      </w:pPr>
    </w:p>
    <w:p w:rsidR="00000000" w:rsidRDefault="00000000">
      <w:pPr>
        <w:rPr>
          <w:color w:val="000000"/>
        </w:rPr>
      </w:pPr>
      <w:r>
        <w:rPr>
          <w:color w:val="000000"/>
        </w:rPr>
        <w:br w:type="page"/>
      </w:r>
    </w:p>
    <w:tbl>
      <w:tblPr>
        <w:tblpPr w:leftFromText="180" w:rightFromText="180" w:vertAnchor="text" w:tblpX="462" w:tblpY="1"/>
        <w:tblOverlap w:val="never"/>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1"/>
        <w:gridCol w:w="791"/>
        <w:gridCol w:w="238"/>
        <w:gridCol w:w="742"/>
        <w:gridCol w:w="14"/>
        <w:gridCol w:w="756"/>
        <w:gridCol w:w="252"/>
        <w:gridCol w:w="747"/>
        <w:gridCol w:w="747"/>
        <w:gridCol w:w="279"/>
        <w:gridCol w:w="795"/>
        <w:gridCol w:w="795"/>
        <w:gridCol w:w="324"/>
        <w:gridCol w:w="849"/>
        <w:gridCol w:w="849"/>
      </w:tblGrid>
      <w:tr w:rsidR="00000000">
        <w:tblPrEx>
          <w:tblCellMar>
            <w:top w:w="0" w:type="dxa"/>
            <w:bottom w:w="0" w:type="dxa"/>
          </w:tblCellMar>
        </w:tblPrEx>
        <w:tc>
          <w:tcPr>
            <w:tcW w:w="1582" w:type="dxa"/>
            <w:gridSpan w:val="2"/>
            <w:tcBorders>
              <w:bottom w:val="single" w:sz="4" w:space="0" w:color="auto"/>
            </w:tcBorders>
            <w:tcMar>
              <w:left w:w="28" w:type="dxa"/>
              <w:right w:w="28" w:type="dxa"/>
            </w:tcMar>
            <w:vAlign w:val="center"/>
          </w:tcPr>
          <w:p w:rsidR="00000000" w:rsidRDefault="00000000">
            <w:pPr>
              <w:jc w:val="center"/>
              <w:rPr>
                <w:color w:val="000000"/>
                <w:sz w:val="14"/>
              </w:rPr>
            </w:pPr>
            <w:r>
              <w:rPr>
                <w:color w:val="000000"/>
                <w:sz w:val="14"/>
              </w:rPr>
              <w:t>Верховный суд</w:t>
            </w:r>
          </w:p>
        </w:tc>
        <w:tc>
          <w:tcPr>
            <w:tcW w:w="238" w:type="dxa"/>
            <w:tcBorders>
              <w:top w:val="nil"/>
              <w:bottom w:val="nil"/>
            </w:tcBorders>
            <w:tcMar>
              <w:left w:w="28" w:type="dxa"/>
              <w:right w:w="28" w:type="dxa"/>
            </w:tcMar>
            <w:vAlign w:val="center"/>
          </w:tcPr>
          <w:p w:rsidR="00000000" w:rsidRDefault="00000000">
            <w:pPr>
              <w:jc w:val="center"/>
              <w:rPr>
                <w:color w:val="000000"/>
                <w:sz w:val="14"/>
              </w:rPr>
            </w:pPr>
          </w:p>
        </w:tc>
        <w:tc>
          <w:tcPr>
            <w:tcW w:w="1512" w:type="dxa"/>
            <w:gridSpan w:val="3"/>
            <w:tcBorders>
              <w:bottom w:val="single" w:sz="4" w:space="0" w:color="auto"/>
            </w:tcBorders>
            <w:tcMar>
              <w:left w:w="28" w:type="dxa"/>
              <w:right w:w="28" w:type="dxa"/>
            </w:tcMar>
            <w:vAlign w:val="center"/>
          </w:tcPr>
          <w:p w:rsidR="00000000" w:rsidRDefault="00000000">
            <w:pPr>
              <w:jc w:val="center"/>
              <w:rPr>
                <w:color w:val="000000"/>
                <w:sz w:val="14"/>
              </w:rPr>
            </w:pPr>
            <w:r>
              <w:rPr>
                <w:color w:val="000000"/>
                <w:sz w:val="14"/>
              </w:rPr>
              <w:t>Президент</w:t>
            </w:r>
          </w:p>
        </w:tc>
        <w:tc>
          <w:tcPr>
            <w:tcW w:w="252" w:type="dxa"/>
            <w:tcBorders>
              <w:top w:val="nil"/>
              <w:bottom w:val="nil"/>
            </w:tcBorders>
            <w:tcMar>
              <w:left w:w="28" w:type="dxa"/>
              <w:right w:w="28" w:type="dxa"/>
            </w:tcMar>
            <w:vAlign w:val="center"/>
          </w:tcPr>
          <w:p w:rsidR="00000000" w:rsidRDefault="00000000">
            <w:pPr>
              <w:jc w:val="center"/>
              <w:rPr>
                <w:color w:val="000000"/>
                <w:sz w:val="14"/>
              </w:rPr>
            </w:pPr>
          </w:p>
        </w:tc>
        <w:tc>
          <w:tcPr>
            <w:tcW w:w="1494" w:type="dxa"/>
            <w:gridSpan w:val="2"/>
            <w:tcBorders>
              <w:bottom w:val="single" w:sz="4" w:space="0" w:color="auto"/>
            </w:tcBorders>
            <w:tcMar>
              <w:left w:w="28" w:type="dxa"/>
              <w:right w:w="28" w:type="dxa"/>
            </w:tcMar>
            <w:vAlign w:val="center"/>
          </w:tcPr>
          <w:p w:rsidR="00000000" w:rsidRDefault="00000000">
            <w:pPr>
              <w:jc w:val="center"/>
              <w:rPr>
                <w:color w:val="000000"/>
                <w:sz w:val="14"/>
              </w:rPr>
            </w:pPr>
            <w:r>
              <w:rPr>
                <w:color w:val="000000"/>
                <w:sz w:val="14"/>
              </w:rPr>
              <w:t>Народный консультативный конгресс</w:t>
            </w:r>
          </w:p>
        </w:tc>
        <w:tc>
          <w:tcPr>
            <w:tcW w:w="279" w:type="dxa"/>
            <w:tcBorders>
              <w:top w:val="nil"/>
              <w:bottom w:val="nil"/>
            </w:tcBorders>
            <w:tcMar>
              <w:left w:w="28" w:type="dxa"/>
              <w:right w:w="28" w:type="dxa"/>
            </w:tcMar>
            <w:vAlign w:val="center"/>
          </w:tcPr>
          <w:p w:rsidR="00000000" w:rsidRDefault="00000000">
            <w:pPr>
              <w:jc w:val="center"/>
              <w:rPr>
                <w:color w:val="000000"/>
                <w:sz w:val="14"/>
              </w:rPr>
            </w:pPr>
          </w:p>
        </w:tc>
        <w:tc>
          <w:tcPr>
            <w:tcW w:w="1590" w:type="dxa"/>
            <w:gridSpan w:val="2"/>
            <w:tcBorders>
              <w:bottom w:val="single" w:sz="4" w:space="0" w:color="auto"/>
            </w:tcBorders>
            <w:tcMar>
              <w:left w:w="28" w:type="dxa"/>
              <w:right w:w="28" w:type="dxa"/>
            </w:tcMar>
            <w:vAlign w:val="center"/>
          </w:tcPr>
          <w:p w:rsidR="00000000" w:rsidRDefault="00000000">
            <w:pPr>
              <w:jc w:val="center"/>
              <w:rPr>
                <w:color w:val="000000"/>
                <w:sz w:val="14"/>
              </w:rPr>
            </w:pPr>
            <w:r>
              <w:rPr>
                <w:color w:val="000000"/>
                <w:sz w:val="14"/>
              </w:rPr>
              <w:t>Совет народных представителей</w:t>
            </w:r>
          </w:p>
        </w:tc>
        <w:tc>
          <w:tcPr>
            <w:tcW w:w="324" w:type="dxa"/>
            <w:tcBorders>
              <w:top w:val="nil"/>
              <w:bottom w:val="nil"/>
            </w:tcBorders>
            <w:tcMar>
              <w:left w:w="28" w:type="dxa"/>
              <w:right w:w="28" w:type="dxa"/>
            </w:tcMar>
            <w:vAlign w:val="center"/>
          </w:tcPr>
          <w:p w:rsidR="00000000" w:rsidRDefault="00000000">
            <w:pPr>
              <w:jc w:val="center"/>
              <w:rPr>
                <w:color w:val="000000"/>
                <w:sz w:val="14"/>
              </w:rPr>
            </w:pPr>
          </w:p>
        </w:tc>
        <w:tc>
          <w:tcPr>
            <w:tcW w:w="1698" w:type="dxa"/>
            <w:gridSpan w:val="2"/>
            <w:tcBorders>
              <w:bottom w:val="single" w:sz="4" w:space="0" w:color="auto"/>
            </w:tcBorders>
            <w:tcMar>
              <w:left w:w="28" w:type="dxa"/>
              <w:right w:w="28" w:type="dxa"/>
            </w:tcMar>
            <w:vAlign w:val="center"/>
          </w:tcPr>
          <w:p w:rsidR="00000000" w:rsidRDefault="00000000">
            <w:pPr>
              <w:jc w:val="center"/>
              <w:rPr>
                <w:color w:val="000000"/>
                <w:sz w:val="14"/>
              </w:rPr>
            </w:pPr>
            <w:r>
              <w:rPr>
                <w:color w:val="000000"/>
                <w:sz w:val="14"/>
              </w:rPr>
              <w:t>Государственное контрольно-ревизионное финансовое управление</w:t>
            </w:r>
          </w:p>
        </w:tc>
      </w:tr>
      <w:tr w:rsidR="00000000">
        <w:tblPrEx>
          <w:tblCellMar>
            <w:top w:w="0" w:type="dxa"/>
            <w:bottom w:w="0" w:type="dxa"/>
          </w:tblCellMar>
        </w:tblPrEx>
        <w:trPr>
          <w:cantSplit/>
        </w:trPr>
        <w:tc>
          <w:tcPr>
            <w:tcW w:w="791"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791" w:type="dxa"/>
            <w:tcBorders>
              <w:top w:val="single" w:sz="4" w:space="0" w:color="auto"/>
              <w:left w:val="nil"/>
              <w:bottom w:val="nil"/>
              <w:right w:val="nil"/>
            </w:tcBorders>
          </w:tcPr>
          <w:p w:rsidR="00000000" w:rsidRDefault="00000000">
            <w:pPr>
              <w:jc w:val="center"/>
              <w:rPr>
                <w:color w:val="000000"/>
                <w:sz w:val="14"/>
              </w:rPr>
            </w:pPr>
          </w:p>
        </w:tc>
        <w:tc>
          <w:tcPr>
            <w:tcW w:w="238"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56" w:type="dxa"/>
            <w:gridSpan w:val="2"/>
            <w:tcBorders>
              <w:top w:val="single" w:sz="4" w:space="0" w:color="auto"/>
              <w:left w:val="nil"/>
              <w:bottom w:val="single" w:sz="4" w:space="0" w:color="auto"/>
              <w:right w:val="single" w:sz="4" w:space="0" w:color="auto"/>
            </w:tcBorders>
            <w:tcMar>
              <w:left w:w="28" w:type="dxa"/>
              <w:right w:w="28" w:type="dxa"/>
            </w:tcMar>
          </w:tcPr>
          <w:p w:rsidR="00000000" w:rsidRDefault="00000000">
            <w:pPr>
              <w:jc w:val="center"/>
              <w:rPr>
                <w:color w:val="000000"/>
                <w:sz w:val="14"/>
              </w:rPr>
            </w:pPr>
          </w:p>
        </w:tc>
        <w:tc>
          <w:tcPr>
            <w:tcW w:w="756" w:type="dxa"/>
            <w:tcBorders>
              <w:top w:val="single" w:sz="4" w:space="0" w:color="auto"/>
              <w:left w:val="single" w:sz="4" w:space="0" w:color="auto"/>
              <w:bottom w:val="single" w:sz="4" w:space="0" w:color="auto"/>
              <w:right w:val="nil"/>
            </w:tcBorders>
          </w:tcPr>
          <w:p w:rsidR="00000000" w:rsidRDefault="00000000">
            <w:pPr>
              <w:jc w:val="center"/>
              <w:rPr>
                <w:color w:val="000000"/>
                <w:sz w:val="14"/>
              </w:rPr>
            </w:pPr>
          </w:p>
        </w:tc>
        <w:tc>
          <w:tcPr>
            <w:tcW w:w="252"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47"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747" w:type="dxa"/>
            <w:tcBorders>
              <w:top w:val="single" w:sz="4" w:space="0" w:color="auto"/>
              <w:left w:val="nil"/>
              <w:bottom w:val="nil"/>
              <w:right w:val="nil"/>
            </w:tcBorders>
          </w:tcPr>
          <w:p w:rsidR="00000000" w:rsidRDefault="00000000">
            <w:pPr>
              <w:jc w:val="center"/>
              <w:rPr>
                <w:color w:val="000000"/>
                <w:sz w:val="14"/>
              </w:rPr>
            </w:pPr>
          </w:p>
        </w:tc>
        <w:tc>
          <w:tcPr>
            <w:tcW w:w="279"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5"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795" w:type="dxa"/>
            <w:tcBorders>
              <w:top w:val="single" w:sz="4" w:space="0" w:color="auto"/>
              <w:left w:val="nil"/>
              <w:bottom w:val="nil"/>
              <w:right w:val="nil"/>
            </w:tcBorders>
          </w:tcPr>
          <w:p w:rsidR="00000000" w:rsidRDefault="00000000">
            <w:pPr>
              <w:jc w:val="center"/>
              <w:rPr>
                <w:color w:val="000000"/>
                <w:sz w:val="14"/>
              </w:rPr>
            </w:pPr>
          </w:p>
        </w:tc>
        <w:tc>
          <w:tcPr>
            <w:tcW w:w="324" w:type="dxa"/>
            <w:tcBorders>
              <w:top w:val="nil"/>
              <w:left w:val="nil"/>
              <w:bottom w:val="nil"/>
              <w:right w:val="nil"/>
            </w:tcBorders>
            <w:tcMar>
              <w:left w:w="28" w:type="dxa"/>
              <w:right w:w="28" w:type="dxa"/>
            </w:tcMar>
          </w:tcPr>
          <w:p w:rsidR="00000000" w:rsidRDefault="00000000">
            <w:pPr>
              <w:jc w:val="center"/>
              <w:rPr>
                <w:color w:val="000000"/>
                <w:sz w:val="14"/>
              </w:rPr>
            </w:pPr>
          </w:p>
        </w:tc>
        <w:tc>
          <w:tcPr>
            <w:tcW w:w="849"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849" w:type="dxa"/>
            <w:tcBorders>
              <w:top w:val="single" w:sz="4" w:space="0" w:color="auto"/>
              <w:left w:val="nil"/>
              <w:bottom w:val="nil"/>
              <w:right w:val="nil"/>
            </w:tcBorders>
          </w:tcPr>
          <w:p w:rsidR="00000000" w:rsidRDefault="00000000">
            <w:pPr>
              <w:jc w:val="center"/>
              <w:rPr>
                <w:color w:val="000000"/>
                <w:sz w:val="14"/>
              </w:rPr>
            </w:pPr>
          </w:p>
        </w:tc>
      </w:tr>
      <w:tr w:rsidR="00000000">
        <w:tblPrEx>
          <w:tblCellMar>
            <w:top w:w="0" w:type="dxa"/>
            <w:bottom w:w="0" w:type="dxa"/>
          </w:tblCellMar>
        </w:tblPrEx>
        <w:trPr>
          <w:cantSplit/>
        </w:trPr>
        <w:tc>
          <w:tcPr>
            <w:tcW w:w="791"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1" w:type="dxa"/>
            <w:tcBorders>
              <w:top w:val="nil"/>
              <w:left w:val="nil"/>
              <w:bottom w:val="nil"/>
              <w:right w:val="nil"/>
            </w:tcBorders>
          </w:tcPr>
          <w:p w:rsidR="00000000" w:rsidRDefault="00000000">
            <w:pPr>
              <w:jc w:val="center"/>
              <w:rPr>
                <w:color w:val="000000"/>
                <w:sz w:val="14"/>
              </w:rPr>
            </w:pPr>
          </w:p>
        </w:tc>
        <w:tc>
          <w:tcPr>
            <w:tcW w:w="238" w:type="dxa"/>
            <w:tcBorders>
              <w:top w:val="nil"/>
              <w:left w:val="nil"/>
              <w:bottom w:val="nil"/>
              <w:right w:val="single" w:sz="4" w:space="0" w:color="auto"/>
            </w:tcBorders>
            <w:tcMar>
              <w:left w:w="28" w:type="dxa"/>
              <w:right w:w="28" w:type="dxa"/>
            </w:tcMar>
          </w:tcPr>
          <w:p w:rsidR="00000000" w:rsidRDefault="00000000">
            <w:pPr>
              <w:jc w:val="center"/>
              <w:rPr>
                <w:color w:val="000000"/>
                <w:sz w:val="14"/>
              </w:rPr>
            </w:pPr>
          </w:p>
        </w:tc>
        <w:tc>
          <w:tcPr>
            <w:tcW w:w="151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jc w:val="center"/>
              <w:rPr>
                <w:color w:val="000000"/>
                <w:sz w:val="14"/>
              </w:rPr>
            </w:pPr>
          </w:p>
          <w:p w:rsidR="00000000" w:rsidRDefault="00000000">
            <w:pPr>
              <w:jc w:val="center"/>
              <w:rPr>
                <w:color w:val="000000"/>
                <w:sz w:val="14"/>
              </w:rPr>
            </w:pPr>
            <w:r>
              <w:rPr>
                <w:color w:val="000000"/>
                <w:sz w:val="14"/>
              </w:rPr>
              <w:t>Вице-президент</w:t>
            </w:r>
          </w:p>
          <w:p w:rsidR="00000000" w:rsidRDefault="00000000">
            <w:pPr>
              <w:jc w:val="center"/>
              <w:rPr>
                <w:color w:val="000000"/>
                <w:sz w:val="14"/>
              </w:rPr>
            </w:pPr>
          </w:p>
        </w:tc>
        <w:tc>
          <w:tcPr>
            <w:tcW w:w="252" w:type="dxa"/>
            <w:tcBorders>
              <w:top w:val="nil"/>
              <w:left w:val="single" w:sz="4" w:space="0" w:color="auto"/>
              <w:bottom w:val="nil"/>
              <w:right w:val="nil"/>
            </w:tcBorders>
            <w:tcMar>
              <w:left w:w="28" w:type="dxa"/>
              <w:right w:w="28" w:type="dxa"/>
            </w:tcMar>
          </w:tcPr>
          <w:p w:rsidR="00000000" w:rsidRDefault="00000000">
            <w:pPr>
              <w:jc w:val="center"/>
              <w:rPr>
                <w:color w:val="000000"/>
                <w:sz w:val="14"/>
              </w:rPr>
            </w:pPr>
          </w:p>
        </w:tc>
        <w:tc>
          <w:tcPr>
            <w:tcW w:w="747"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47" w:type="dxa"/>
            <w:tcBorders>
              <w:top w:val="nil"/>
              <w:left w:val="nil"/>
              <w:bottom w:val="nil"/>
              <w:right w:val="nil"/>
            </w:tcBorders>
          </w:tcPr>
          <w:p w:rsidR="00000000" w:rsidRDefault="00000000">
            <w:pPr>
              <w:jc w:val="center"/>
              <w:rPr>
                <w:color w:val="000000"/>
                <w:sz w:val="14"/>
              </w:rPr>
            </w:pPr>
          </w:p>
        </w:tc>
        <w:tc>
          <w:tcPr>
            <w:tcW w:w="279"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5"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5" w:type="dxa"/>
            <w:tcBorders>
              <w:top w:val="nil"/>
              <w:left w:val="nil"/>
              <w:bottom w:val="nil"/>
              <w:right w:val="nil"/>
            </w:tcBorders>
          </w:tcPr>
          <w:p w:rsidR="00000000" w:rsidRDefault="00000000">
            <w:pPr>
              <w:jc w:val="center"/>
              <w:rPr>
                <w:color w:val="000000"/>
                <w:sz w:val="14"/>
              </w:rPr>
            </w:pPr>
          </w:p>
        </w:tc>
        <w:tc>
          <w:tcPr>
            <w:tcW w:w="324" w:type="dxa"/>
            <w:tcBorders>
              <w:top w:val="nil"/>
              <w:left w:val="nil"/>
              <w:bottom w:val="nil"/>
              <w:right w:val="nil"/>
            </w:tcBorders>
            <w:tcMar>
              <w:left w:w="28" w:type="dxa"/>
              <w:right w:w="28" w:type="dxa"/>
            </w:tcMar>
          </w:tcPr>
          <w:p w:rsidR="00000000" w:rsidRDefault="00000000">
            <w:pPr>
              <w:jc w:val="center"/>
              <w:rPr>
                <w:color w:val="000000"/>
                <w:sz w:val="14"/>
              </w:rPr>
            </w:pPr>
          </w:p>
        </w:tc>
        <w:tc>
          <w:tcPr>
            <w:tcW w:w="849" w:type="dxa"/>
            <w:tcBorders>
              <w:top w:val="nil"/>
              <w:left w:val="nil"/>
              <w:bottom w:val="nil"/>
              <w:right w:val="nil"/>
            </w:tcBorders>
            <w:tcMar>
              <w:left w:w="28" w:type="dxa"/>
              <w:right w:w="28" w:type="dxa"/>
            </w:tcMar>
          </w:tcPr>
          <w:p w:rsidR="00000000" w:rsidRDefault="00000000">
            <w:pPr>
              <w:jc w:val="center"/>
              <w:rPr>
                <w:color w:val="000000"/>
                <w:sz w:val="14"/>
              </w:rPr>
            </w:pPr>
          </w:p>
        </w:tc>
        <w:tc>
          <w:tcPr>
            <w:tcW w:w="849" w:type="dxa"/>
            <w:tcBorders>
              <w:top w:val="nil"/>
              <w:left w:val="nil"/>
              <w:bottom w:val="nil"/>
              <w:right w:val="nil"/>
            </w:tcBorders>
          </w:tcPr>
          <w:p w:rsidR="00000000" w:rsidRDefault="00000000">
            <w:pPr>
              <w:jc w:val="center"/>
              <w:rPr>
                <w:color w:val="000000"/>
                <w:sz w:val="14"/>
              </w:rPr>
            </w:pPr>
          </w:p>
        </w:tc>
      </w:tr>
      <w:tr w:rsidR="00000000">
        <w:tblPrEx>
          <w:tblCellMar>
            <w:top w:w="0" w:type="dxa"/>
            <w:bottom w:w="0" w:type="dxa"/>
          </w:tblCellMar>
        </w:tblPrEx>
        <w:trPr>
          <w:cantSplit/>
        </w:trPr>
        <w:tc>
          <w:tcPr>
            <w:tcW w:w="791"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1" w:type="dxa"/>
            <w:tcBorders>
              <w:top w:val="nil"/>
              <w:left w:val="nil"/>
              <w:bottom w:val="nil"/>
              <w:right w:val="nil"/>
            </w:tcBorders>
          </w:tcPr>
          <w:p w:rsidR="00000000" w:rsidRDefault="00000000">
            <w:pPr>
              <w:jc w:val="center"/>
              <w:rPr>
                <w:color w:val="000000"/>
                <w:sz w:val="14"/>
              </w:rPr>
            </w:pPr>
          </w:p>
        </w:tc>
        <w:tc>
          <w:tcPr>
            <w:tcW w:w="238"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42" w:type="dxa"/>
            <w:tcBorders>
              <w:top w:val="single" w:sz="4" w:space="0" w:color="auto"/>
              <w:left w:val="nil"/>
              <w:bottom w:val="nil"/>
              <w:right w:val="single" w:sz="4" w:space="0" w:color="auto"/>
            </w:tcBorders>
            <w:tcMar>
              <w:left w:w="28" w:type="dxa"/>
              <w:right w:w="28" w:type="dxa"/>
            </w:tcMar>
          </w:tcPr>
          <w:p w:rsidR="00000000" w:rsidRDefault="00000000">
            <w:pPr>
              <w:jc w:val="center"/>
              <w:rPr>
                <w:color w:val="000000"/>
                <w:sz w:val="14"/>
              </w:rPr>
            </w:pPr>
          </w:p>
        </w:tc>
        <w:tc>
          <w:tcPr>
            <w:tcW w:w="770" w:type="dxa"/>
            <w:gridSpan w:val="2"/>
            <w:tcBorders>
              <w:top w:val="single" w:sz="4" w:space="0" w:color="auto"/>
              <w:left w:val="single" w:sz="4" w:space="0" w:color="auto"/>
              <w:bottom w:val="nil"/>
              <w:right w:val="nil"/>
            </w:tcBorders>
          </w:tcPr>
          <w:p w:rsidR="00000000" w:rsidRDefault="00000000">
            <w:pPr>
              <w:jc w:val="center"/>
              <w:rPr>
                <w:color w:val="000000"/>
                <w:sz w:val="14"/>
              </w:rPr>
            </w:pPr>
          </w:p>
        </w:tc>
        <w:tc>
          <w:tcPr>
            <w:tcW w:w="252"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47"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47" w:type="dxa"/>
            <w:tcBorders>
              <w:top w:val="nil"/>
              <w:left w:val="nil"/>
              <w:bottom w:val="nil"/>
              <w:right w:val="nil"/>
            </w:tcBorders>
          </w:tcPr>
          <w:p w:rsidR="00000000" w:rsidRDefault="00000000">
            <w:pPr>
              <w:jc w:val="center"/>
              <w:rPr>
                <w:color w:val="000000"/>
                <w:sz w:val="14"/>
              </w:rPr>
            </w:pPr>
          </w:p>
        </w:tc>
        <w:tc>
          <w:tcPr>
            <w:tcW w:w="279"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5"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5" w:type="dxa"/>
            <w:tcBorders>
              <w:top w:val="nil"/>
              <w:left w:val="nil"/>
              <w:bottom w:val="nil"/>
              <w:right w:val="nil"/>
            </w:tcBorders>
          </w:tcPr>
          <w:p w:rsidR="00000000" w:rsidRDefault="00000000">
            <w:pPr>
              <w:jc w:val="center"/>
              <w:rPr>
                <w:color w:val="000000"/>
                <w:sz w:val="14"/>
              </w:rPr>
            </w:pPr>
          </w:p>
        </w:tc>
        <w:tc>
          <w:tcPr>
            <w:tcW w:w="324" w:type="dxa"/>
            <w:tcBorders>
              <w:top w:val="nil"/>
              <w:left w:val="nil"/>
              <w:bottom w:val="nil"/>
              <w:right w:val="nil"/>
            </w:tcBorders>
            <w:tcMar>
              <w:left w:w="28" w:type="dxa"/>
              <w:right w:w="28" w:type="dxa"/>
            </w:tcMar>
          </w:tcPr>
          <w:p w:rsidR="00000000" w:rsidRDefault="00000000">
            <w:pPr>
              <w:jc w:val="center"/>
              <w:rPr>
                <w:color w:val="000000"/>
                <w:sz w:val="14"/>
              </w:rPr>
            </w:pPr>
          </w:p>
        </w:tc>
        <w:tc>
          <w:tcPr>
            <w:tcW w:w="849" w:type="dxa"/>
            <w:tcBorders>
              <w:top w:val="nil"/>
              <w:left w:val="nil"/>
              <w:bottom w:val="nil"/>
              <w:right w:val="nil"/>
            </w:tcBorders>
            <w:tcMar>
              <w:left w:w="28" w:type="dxa"/>
              <w:right w:w="28" w:type="dxa"/>
            </w:tcMar>
          </w:tcPr>
          <w:p w:rsidR="00000000" w:rsidRDefault="00000000">
            <w:pPr>
              <w:jc w:val="center"/>
              <w:rPr>
                <w:color w:val="000000"/>
                <w:sz w:val="14"/>
              </w:rPr>
            </w:pPr>
          </w:p>
        </w:tc>
        <w:tc>
          <w:tcPr>
            <w:tcW w:w="849" w:type="dxa"/>
            <w:tcBorders>
              <w:top w:val="nil"/>
              <w:left w:val="nil"/>
              <w:bottom w:val="nil"/>
              <w:right w:val="nil"/>
            </w:tcBorders>
          </w:tcPr>
          <w:p w:rsidR="00000000" w:rsidRDefault="00000000">
            <w:pPr>
              <w:jc w:val="center"/>
              <w:rPr>
                <w:color w:val="000000"/>
                <w:sz w:val="14"/>
              </w:rPr>
            </w:pPr>
          </w:p>
        </w:tc>
      </w:tr>
      <w:tr w:rsidR="00000000">
        <w:tblPrEx>
          <w:tblCellMar>
            <w:top w:w="0" w:type="dxa"/>
            <w:bottom w:w="0" w:type="dxa"/>
          </w:tblCellMar>
        </w:tblPrEx>
        <w:trPr>
          <w:cantSplit/>
        </w:trPr>
        <w:tc>
          <w:tcPr>
            <w:tcW w:w="791" w:type="dxa"/>
            <w:tcBorders>
              <w:top w:val="nil"/>
              <w:left w:val="nil"/>
              <w:bottom w:val="nil"/>
              <w:right w:val="nil"/>
            </w:tcBorders>
            <w:tcMar>
              <w:left w:w="28" w:type="dxa"/>
              <w:right w:w="28" w:type="dxa"/>
            </w:tcMar>
          </w:tcPr>
          <w:p w:rsidR="00000000" w:rsidRDefault="00000000">
            <w:pPr>
              <w:jc w:val="center"/>
              <w:rPr>
                <w:color w:val="000000"/>
                <w:sz w:val="14"/>
              </w:rPr>
            </w:pPr>
          </w:p>
        </w:tc>
        <w:tc>
          <w:tcPr>
            <w:tcW w:w="791" w:type="dxa"/>
            <w:tcBorders>
              <w:top w:val="nil"/>
              <w:left w:val="nil"/>
              <w:bottom w:val="single" w:sz="4" w:space="0" w:color="auto"/>
              <w:right w:val="nil"/>
            </w:tcBorders>
          </w:tcPr>
          <w:p w:rsidR="00000000" w:rsidRDefault="00000000">
            <w:pPr>
              <w:jc w:val="center"/>
              <w:rPr>
                <w:color w:val="000000"/>
                <w:sz w:val="14"/>
              </w:rPr>
            </w:pPr>
          </w:p>
        </w:tc>
        <w:tc>
          <w:tcPr>
            <w:tcW w:w="238" w:type="dxa"/>
            <w:tcBorders>
              <w:top w:val="nil"/>
              <w:left w:val="nil"/>
              <w:bottom w:val="single" w:sz="4" w:space="0" w:color="auto"/>
              <w:right w:val="nil"/>
            </w:tcBorders>
            <w:tcMar>
              <w:left w:w="28" w:type="dxa"/>
              <w:right w:w="28" w:type="dxa"/>
            </w:tcMar>
          </w:tcPr>
          <w:p w:rsidR="00000000" w:rsidRDefault="00000000">
            <w:pPr>
              <w:jc w:val="center"/>
              <w:rPr>
                <w:color w:val="000000"/>
                <w:sz w:val="14"/>
              </w:rPr>
            </w:pPr>
          </w:p>
        </w:tc>
        <w:tc>
          <w:tcPr>
            <w:tcW w:w="742" w:type="dxa"/>
            <w:tcBorders>
              <w:top w:val="nil"/>
              <w:left w:val="nil"/>
              <w:bottom w:val="single" w:sz="4" w:space="0" w:color="auto"/>
              <w:right w:val="single" w:sz="4" w:space="0" w:color="auto"/>
            </w:tcBorders>
            <w:tcMar>
              <w:left w:w="28" w:type="dxa"/>
              <w:right w:w="28" w:type="dxa"/>
            </w:tcMar>
          </w:tcPr>
          <w:p w:rsidR="00000000" w:rsidRDefault="00000000">
            <w:pPr>
              <w:jc w:val="center"/>
              <w:rPr>
                <w:color w:val="000000"/>
                <w:sz w:val="14"/>
              </w:rPr>
            </w:pPr>
          </w:p>
        </w:tc>
        <w:tc>
          <w:tcPr>
            <w:tcW w:w="770" w:type="dxa"/>
            <w:gridSpan w:val="2"/>
            <w:tcBorders>
              <w:top w:val="nil"/>
              <w:left w:val="single" w:sz="4" w:space="0" w:color="auto"/>
              <w:bottom w:val="single" w:sz="4" w:space="0" w:color="auto"/>
              <w:right w:val="nil"/>
            </w:tcBorders>
          </w:tcPr>
          <w:p w:rsidR="00000000" w:rsidRDefault="00000000">
            <w:pPr>
              <w:jc w:val="center"/>
              <w:rPr>
                <w:color w:val="000000"/>
                <w:sz w:val="14"/>
              </w:rPr>
            </w:pPr>
          </w:p>
        </w:tc>
        <w:tc>
          <w:tcPr>
            <w:tcW w:w="252" w:type="dxa"/>
            <w:tcBorders>
              <w:top w:val="nil"/>
              <w:left w:val="nil"/>
              <w:bottom w:val="single" w:sz="4" w:space="0" w:color="auto"/>
              <w:right w:val="nil"/>
            </w:tcBorders>
            <w:tcMar>
              <w:left w:w="28" w:type="dxa"/>
              <w:right w:w="28" w:type="dxa"/>
            </w:tcMar>
          </w:tcPr>
          <w:p w:rsidR="00000000" w:rsidRDefault="00000000">
            <w:pPr>
              <w:jc w:val="center"/>
              <w:rPr>
                <w:color w:val="000000"/>
                <w:sz w:val="14"/>
              </w:rPr>
            </w:pPr>
          </w:p>
        </w:tc>
        <w:tc>
          <w:tcPr>
            <w:tcW w:w="747" w:type="dxa"/>
            <w:tcBorders>
              <w:top w:val="nil"/>
              <w:left w:val="nil"/>
              <w:bottom w:val="single" w:sz="4" w:space="0" w:color="auto"/>
              <w:right w:val="nil"/>
            </w:tcBorders>
            <w:tcMar>
              <w:left w:w="28" w:type="dxa"/>
              <w:right w:w="28" w:type="dxa"/>
            </w:tcMar>
          </w:tcPr>
          <w:p w:rsidR="00000000" w:rsidRDefault="00000000">
            <w:pPr>
              <w:jc w:val="center"/>
              <w:rPr>
                <w:color w:val="000000"/>
                <w:sz w:val="14"/>
              </w:rPr>
            </w:pPr>
          </w:p>
        </w:tc>
        <w:tc>
          <w:tcPr>
            <w:tcW w:w="747" w:type="dxa"/>
            <w:tcBorders>
              <w:top w:val="nil"/>
              <w:left w:val="nil"/>
              <w:right w:val="nil"/>
            </w:tcBorders>
          </w:tcPr>
          <w:p w:rsidR="00000000" w:rsidRDefault="00000000">
            <w:pPr>
              <w:jc w:val="center"/>
              <w:rPr>
                <w:color w:val="000000"/>
                <w:sz w:val="14"/>
              </w:rPr>
            </w:pPr>
          </w:p>
        </w:tc>
        <w:tc>
          <w:tcPr>
            <w:tcW w:w="279" w:type="dxa"/>
            <w:tcBorders>
              <w:top w:val="nil"/>
              <w:left w:val="nil"/>
              <w:bottom w:val="single" w:sz="4" w:space="0" w:color="auto"/>
              <w:right w:val="nil"/>
            </w:tcBorders>
            <w:tcMar>
              <w:left w:w="28" w:type="dxa"/>
              <w:right w:w="28" w:type="dxa"/>
            </w:tcMar>
          </w:tcPr>
          <w:p w:rsidR="00000000" w:rsidRDefault="00000000">
            <w:pPr>
              <w:jc w:val="center"/>
              <w:rPr>
                <w:color w:val="000000"/>
                <w:sz w:val="14"/>
              </w:rPr>
            </w:pPr>
          </w:p>
        </w:tc>
        <w:tc>
          <w:tcPr>
            <w:tcW w:w="795" w:type="dxa"/>
            <w:tcBorders>
              <w:top w:val="nil"/>
              <w:left w:val="nil"/>
              <w:bottom w:val="single" w:sz="4" w:space="0" w:color="auto"/>
              <w:right w:val="nil"/>
            </w:tcBorders>
            <w:tcMar>
              <w:left w:w="28" w:type="dxa"/>
              <w:right w:w="28" w:type="dxa"/>
            </w:tcMar>
          </w:tcPr>
          <w:p w:rsidR="00000000" w:rsidRDefault="00000000">
            <w:pPr>
              <w:jc w:val="center"/>
              <w:rPr>
                <w:color w:val="000000"/>
                <w:sz w:val="14"/>
              </w:rPr>
            </w:pPr>
          </w:p>
        </w:tc>
        <w:tc>
          <w:tcPr>
            <w:tcW w:w="795" w:type="dxa"/>
            <w:tcBorders>
              <w:top w:val="nil"/>
              <w:left w:val="nil"/>
              <w:right w:val="nil"/>
            </w:tcBorders>
          </w:tcPr>
          <w:p w:rsidR="00000000" w:rsidRDefault="00000000">
            <w:pPr>
              <w:jc w:val="center"/>
              <w:rPr>
                <w:color w:val="000000"/>
                <w:sz w:val="14"/>
              </w:rPr>
            </w:pPr>
          </w:p>
        </w:tc>
        <w:tc>
          <w:tcPr>
            <w:tcW w:w="324" w:type="dxa"/>
            <w:tcBorders>
              <w:top w:val="nil"/>
              <w:left w:val="nil"/>
              <w:bottom w:val="single" w:sz="4" w:space="0" w:color="auto"/>
              <w:right w:val="nil"/>
            </w:tcBorders>
            <w:tcMar>
              <w:left w:w="28" w:type="dxa"/>
              <w:right w:w="28" w:type="dxa"/>
            </w:tcMar>
          </w:tcPr>
          <w:p w:rsidR="00000000" w:rsidRDefault="00000000">
            <w:pPr>
              <w:jc w:val="center"/>
              <w:rPr>
                <w:color w:val="000000"/>
                <w:sz w:val="14"/>
              </w:rPr>
            </w:pPr>
          </w:p>
        </w:tc>
        <w:tc>
          <w:tcPr>
            <w:tcW w:w="849" w:type="dxa"/>
            <w:tcBorders>
              <w:top w:val="nil"/>
              <w:left w:val="nil"/>
              <w:bottom w:val="single" w:sz="4" w:space="0" w:color="auto"/>
              <w:right w:val="nil"/>
            </w:tcBorders>
            <w:tcMar>
              <w:left w:w="28" w:type="dxa"/>
              <w:right w:w="28" w:type="dxa"/>
            </w:tcMar>
          </w:tcPr>
          <w:p w:rsidR="00000000" w:rsidRDefault="00000000">
            <w:pPr>
              <w:jc w:val="center"/>
              <w:rPr>
                <w:color w:val="000000"/>
                <w:sz w:val="14"/>
              </w:rPr>
            </w:pPr>
          </w:p>
        </w:tc>
        <w:tc>
          <w:tcPr>
            <w:tcW w:w="849" w:type="dxa"/>
            <w:tcBorders>
              <w:top w:val="nil"/>
              <w:left w:val="nil"/>
              <w:bottom w:val="nil"/>
              <w:right w:val="nil"/>
            </w:tcBorders>
          </w:tcPr>
          <w:p w:rsidR="00000000" w:rsidRDefault="00000000">
            <w:pPr>
              <w:jc w:val="center"/>
              <w:rPr>
                <w:color w:val="000000"/>
                <w:sz w:val="14"/>
              </w:rPr>
            </w:pPr>
          </w:p>
        </w:tc>
      </w:tr>
      <w:tr w:rsidR="00000000">
        <w:tblPrEx>
          <w:tblCellMar>
            <w:top w:w="0" w:type="dxa"/>
            <w:bottom w:w="0" w:type="dxa"/>
          </w:tblCellMar>
        </w:tblPrEx>
        <w:trPr>
          <w:cantSplit/>
        </w:trPr>
        <w:tc>
          <w:tcPr>
            <w:tcW w:w="791" w:type="dxa"/>
            <w:tcBorders>
              <w:top w:val="nil"/>
              <w:left w:val="nil"/>
              <w:bottom w:val="single" w:sz="4" w:space="0" w:color="auto"/>
              <w:right w:val="single" w:sz="4" w:space="0" w:color="auto"/>
            </w:tcBorders>
            <w:tcMar>
              <w:left w:w="28" w:type="dxa"/>
              <w:right w:w="28" w:type="dxa"/>
            </w:tcMar>
          </w:tcPr>
          <w:p w:rsidR="00000000" w:rsidRDefault="00000000">
            <w:pPr>
              <w:jc w:val="center"/>
              <w:rPr>
                <w:color w:val="000000"/>
                <w:sz w:val="14"/>
              </w:rPr>
            </w:pPr>
          </w:p>
        </w:tc>
        <w:tc>
          <w:tcPr>
            <w:tcW w:w="791" w:type="dxa"/>
            <w:tcBorders>
              <w:top w:val="single" w:sz="4" w:space="0" w:color="auto"/>
              <w:left w:val="single" w:sz="4" w:space="0" w:color="auto"/>
              <w:bottom w:val="single" w:sz="4" w:space="0" w:color="auto"/>
              <w:right w:val="nil"/>
            </w:tcBorders>
          </w:tcPr>
          <w:p w:rsidR="00000000" w:rsidRDefault="00000000">
            <w:pPr>
              <w:jc w:val="center"/>
              <w:rPr>
                <w:color w:val="000000"/>
                <w:sz w:val="14"/>
              </w:rPr>
            </w:pPr>
          </w:p>
        </w:tc>
        <w:tc>
          <w:tcPr>
            <w:tcW w:w="238"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742" w:type="dxa"/>
            <w:tcBorders>
              <w:top w:val="single" w:sz="4" w:space="0" w:color="auto"/>
              <w:left w:val="nil"/>
              <w:bottom w:val="single" w:sz="4" w:space="0" w:color="auto"/>
              <w:right w:val="single" w:sz="4" w:space="0" w:color="auto"/>
            </w:tcBorders>
            <w:tcMar>
              <w:left w:w="28" w:type="dxa"/>
              <w:right w:w="28" w:type="dxa"/>
            </w:tcMar>
          </w:tcPr>
          <w:p w:rsidR="00000000" w:rsidRDefault="00000000">
            <w:pPr>
              <w:jc w:val="center"/>
              <w:rPr>
                <w:color w:val="000000"/>
                <w:sz w:val="14"/>
              </w:rPr>
            </w:pPr>
          </w:p>
        </w:tc>
        <w:tc>
          <w:tcPr>
            <w:tcW w:w="770" w:type="dxa"/>
            <w:gridSpan w:val="2"/>
            <w:tcBorders>
              <w:top w:val="single" w:sz="4" w:space="0" w:color="auto"/>
              <w:left w:val="single" w:sz="4" w:space="0" w:color="auto"/>
              <w:bottom w:val="single" w:sz="4" w:space="0" w:color="auto"/>
              <w:right w:val="nil"/>
            </w:tcBorders>
          </w:tcPr>
          <w:p w:rsidR="00000000" w:rsidRDefault="00000000">
            <w:pPr>
              <w:jc w:val="center"/>
              <w:rPr>
                <w:color w:val="000000"/>
                <w:sz w:val="14"/>
              </w:rPr>
            </w:pPr>
          </w:p>
        </w:tc>
        <w:tc>
          <w:tcPr>
            <w:tcW w:w="252"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747" w:type="dxa"/>
            <w:tcBorders>
              <w:left w:val="nil"/>
              <w:bottom w:val="single" w:sz="4" w:space="0" w:color="auto"/>
              <w:right w:val="single" w:sz="4" w:space="0" w:color="auto"/>
            </w:tcBorders>
            <w:tcMar>
              <w:left w:w="28" w:type="dxa"/>
              <w:right w:w="28" w:type="dxa"/>
            </w:tcMar>
          </w:tcPr>
          <w:p w:rsidR="00000000" w:rsidRDefault="00000000">
            <w:pPr>
              <w:jc w:val="center"/>
              <w:rPr>
                <w:color w:val="000000"/>
                <w:sz w:val="14"/>
              </w:rPr>
            </w:pPr>
          </w:p>
        </w:tc>
        <w:tc>
          <w:tcPr>
            <w:tcW w:w="747" w:type="dxa"/>
            <w:tcBorders>
              <w:left w:val="single" w:sz="4" w:space="0" w:color="auto"/>
              <w:bottom w:val="single" w:sz="4" w:space="0" w:color="auto"/>
              <w:right w:val="nil"/>
            </w:tcBorders>
          </w:tcPr>
          <w:p w:rsidR="00000000" w:rsidRDefault="00000000">
            <w:pPr>
              <w:jc w:val="center"/>
              <w:rPr>
                <w:color w:val="000000"/>
                <w:sz w:val="14"/>
              </w:rPr>
            </w:pPr>
          </w:p>
        </w:tc>
        <w:tc>
          <w:tcPr>
            <w:tcW w:w="279"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795" w:type="dxa"/>
            <w:tcBorders>
              <w:left w:val="nil"/>
              <w:bottom w:val="single" w:sz="4" w:space="0" w:color="auto"/>
              <w:right w:val="single" w:sz="4" w:space="0" w:color="auto"/>
            </w:tcBorders>
            <w:tcMar>
              <w:left w:w="28" w:type="dxa"/>
              <w:right w:w="28" w:type="dxa"/>
            </w:tcMar>
          </w:tcPr>
          <w:p w:rsidR="00000000" w:rsidRDefault="00000000">
            <w:pPr>
              <w:jc w:val="center"/>
              <w:rPr>
                <w:color w:val="000000"/>
                <w:sz w:val="14"/>
              </w:rPr>
            </w:pPr>
          </w:p>
        </w:tc>
        <w:tc>
          <w:tcPr>
            <w:tcW w:w="795" w:type="dxa"/>
            <w:tcBorders>
              <w:left w:val="single" w:sz="4" w:space="0" w:color="auto"/>
              <w:bottom w:val="single" w:sz="4" w:space="0" w:color="auto"/>
              <w:right w:val="nil"/>
            </w:tcBorders>
          </w:tcPr>
          <w:p w:rsidR="00000000" w:rsidRDefault="00000000">
            <w:pPr>
              <w:jc w:val="center"/>
              <w:rPr>
                <w:color w:val="000000"/>
                <w:sz w:val="14"/>
              </w:rPr>
            </w:pPr>
          </w:p>
        </w:tc>
        <w:tc>
          <w:tcPr>
            <w:tcW w:w="324" w:type="dxa"/>
            <w:tcBorders>
              <w:top w:val="single" w:sz="4" w:space="0" w:color="auto"/>
              <w:left w:val="nil"/>
              <w:bottom w:val="nil"/>
              <w:right w:val="nil"/>
            </w:tcBorders>
            <w:tcMar>
              <w:left w:w="28" w:type="dxa"/>
              <w:right w:w="28" w:type="dxa"/>
            </w:tcMar>
          </w:tcPr>
          <w:p w:rsidR="00000000" w:rsidRDefault="00000000">
            <w:pPr>
              <w:jc w:val="center"/>
              <w:rPr>
                <w:color w:val="000000"/>
                <w:sz w:val="14"/>
              </w:rPr>
            </w:pPr>
          </w:p>
        </w:tc>
        <w:tc>
          <w:tcPr>
            <w:tcW w:w="849" w:type="dxa"/>
            <w:tcBorders>
              <w:left w:val="nil"/>
              <w:bottom w:val="single" w:sz="4" w:space="0" w:color="auto"/>
              <w:right w:val="single" w:sz="4" w:space="0" w:color="auto"/>
            </w:tcBorders>
            <w:tcMar>
              <w:left w:w="28" w:type="dxa"/>
              <w:right w:w="28" w:type="dxa"/>
            </w:tcMar>
          </w:tcPr>
          <w:p w:rsidR="00000000" w:rsidRDefault="00000000">
            <w:pPr>
              <w:jc w:val="center"/>
              <w:rPr>
                <w:color w:val="000000"/>
                <w:sz w:val="14"/>
              </w:rPr>
            </w:pPr>
          </w:p>
        </w:tc>
        <w:tc>
          <w:tcPr>
            <w:tcW w:w="849" w:type="dxa"/>
            <w:tcBorders>
              <w:top w:val="nil"/>
              <w:left w:val="single" w:sz="4" w:space="0" w:color="auto"/>
              <w:bottom w:val="single" w:sz="4" w:space="0" w:color="auto"/>
              <w:right w:val="nil"/>
            </w:tcBorders>
          </w:tcPr>
          <w:p w:rsidR="00000000" w:rsidRDefault="00000000">
            <w:pPr>
              <w:jc w:val="center"/>
              <w:rPr>
                <w:color w:val="000000"/>
                <w:sz w:val="14"/>
              </w:rPr>
            </w:pPr>
          </w:p>
        </w:tc>
      </w:tr>
      <w:tr w:rsidR="00000000">
        <w:tblPrEx>
          <w:tblCellMar>
            <w:top w:w="0" w:type="dxa"/>
            <w:bottom w:w="0" w:type="dxa"/>
          </w:tblCellMar>
        </w:tblPrEx>
        <w:trPr>
          <w:cantSplit/>
        </w:trPr>
        <w:tc>
          <w:tcPr>
            <w:tcW w:w="1582" w:type="dxa"/>
            <w:gridSpan w:val="2"/>
            <w:tcBorders>
              <w:top w:val="single" w:sz="4" w:space="0" w:color="auto"/>
            </w:tcBorders>
            <w:tcMar>
              <w:left w:w="28" w:type="dxa"/>
              <w:right w:w="28" w:type="dxa"/>
            </w:tcMar>
            <w:vAlign w:val="center"/>
          </w:tcPr>
          <w:p w:rsidR="00000000" w:rsidRDefault="00000000">
            <w:pPr>
              <w:jc w:val="center"/>
              <w:rPr>
                <w:color w:val="000000"/>
                <w:sz w:val="14"/>
              </w:rPr>
            </w:pPr>
            <w:r>
              <w:rPr>
                <w:color w:val="000000"/>
                <w:sz w:val="14"/>
              </w:rPr>
              <w:t xml:space="preserve">Министр </w:t>
            </w:r>
          </w:p>
        </w:tc>
        <w:tc>
          <w:tcPr>
            <w:tcW w:w="238" w:type="dxa"/>
            <w:tcBorders>
              <w:top w:val="nil"/>
              <w:bottom w:val="nil"/>
            </w:tcBorders>
            <w:tcMar>
              <w:left w:w="28" w:type="dxa"/>
              <w:right w:w="28" w:type="dxa"/>
            </w:tcMar>
          </w:tcPr>
          <w:p w:rsidR="00000000" w:rsidRDefault="00000000">
            <w:pPr>
              <w:jc w:val="center"/>
              <w:rPr>
                <w:color w:val="000000"/>
                <w:sz w:val="14"/>
              </w:rPr>
            </w:pPr>
          </w:p>
        </w:tc>
        <w:tc>
          <w:tcPr>
            <w:tcW w:w="1512" w:type="dxa"/>
            <w:gridSpan w:val="3"/>
            <w:tcBorders>
              <w:top w:val="single" w:sz="4" w:space="0" w:color="auto"/>
            </w:tcBorders>
            <w:tcMar>
              <w:left w:w="28" w:type="dxa"/>
              <w:right w:w="28" w:type="dxa"/>
            </w:tcMar>
            <w:vAlign w:val="center"/>
          </w:tcPr>
          <w:p w:rsidR="00000000" w:rsidRDefault="00000000">
            <w:pPr>
              <w:jc w:val="center"/>
              <w:rPr>
                <w:color w:val="000000"/>
                <w:sz w:val="14"/>
              </w:rPr>
            </w:pPr>
            <w:r>
              <w:rPr>
                <w:color w:val="000000"/>
                <w:sz w:val="14"/>
              </w:rPr>
              <w:t>Министр-координатор</w:t>
            </w:r>
          </w:p>
        </w:tc>
        <w:tc>
          <w:tcPr>
            <w:tcW w:w="252" w:type="dxa"/>
            <w:tcBorders>
              <w:top w:val="nil"/>
              <w:bottom w:val="nil"/>
            </w:tcBorders>
            <w:tcMar>
              <w:left w:w="28" w:type="dxa"/>
              <w:right w:w="28" w:type="dxa"/>
            </w:tcMar>
            <w:vAlign w:val="center"/>
          </w:tcPr>
          <w:p w:rsidR="00000000" w:rsidRDefault="00000000">
            <w:pPr>
              <w:jc w:val="center"/>
              <w:rPr>
                <w:color w:val="000000"/>
                <w:sz w:val="14"/>
              </w:rPr>
            </w:pPr>
          </w:p>
        </w:tc>
        <w:tc>
          <w:tcPr>
            <w:tcW w:w="1494" w:type="dxa"/>
            <w:gridSpan w:val="2"/>
            <w:tcBorders>
              <w:top w:val="single" w:sz="4" w:space="0" w:color="auto"/>
            </w:tcBorders>
            <w:tcMar>
              <w:left w:w="28" w:type="dxa"/>
              <w:right w:w="28" w:type="dxa"/>
            </w:tcMar>
            <w:vAlign w:val="center"/>
          </w:tcPr>
          <w:p w:rsidR="00000000" w:rsidRDefault="00000000">
            <w:pPr>
              <w:jc w:val="center"/>
              <w:rPr>
                <w:color w:val="000000"/>
                <w:sz w:val="14"/>
              </w:rPr>
            </w:pPr>
            <w:r>
              <w:rPr>
                <w:color w:val="000000"/>
                <w:sz w:val="14"/>
              </w:rPr>
              <w:t>Государственный министр</w:t>
            </w:r>
          </w:p>
        </w:tc>
        <w:tc>
          <w:tcPr>
            <w:tcW w:w="279" w:type="dxa"/>
            <w:tcBorders>
              <w:top w:val="nil"/>
              <w:bottom w:val="nil"/>
            </w:tcBorders>
            <w:tcMar>
              <w:left w:w="28" w:type="dxa"/>
              <w:right w:w="28" w:type="dxa"/>
            </w:tcMar>
            <w:vAlign w:val="center"/>
          </w:tcPr>
          <w:p w:rsidR="00000000" w:rsidRDefault="00000000">
            <w:pPr>
              <w:jc w:val="center"/>
              <w:rPr>
                <w:color w:val="000000"/>
                <w:sz w:val="14"/>
              </w:rPr>
            </w:pPr>
          </w:p>
        </w:tc>
        <w:tc>
          <w:tcPr>
            <w:tcW w:w="1590" w:type="dxa"/>
            <w:gridSpan w:val="2"/>
            <w:tcBorders>
              <w:top w:val="single" w:sz="4" w:space="0" w:color="auto"/>
            </w:tcBorders>
            <w:tcMar>
              <w:left w:w="28" w:type="dxa"/>
              <w:right w:w="28" w:type="dxa"/>
            </w:tcMar>
            <w:vAlign w:val="center"/>
          </w:tcPr>
          <w:p w:rsidR="00000000" w:rsidRDefault="00000000">
            <w:pPr>
              <w:jc w:val="center"/>
              <w:rPr>
                <w:color w:val="000000"/>
                <w:sz w:val="14"/>
              </w:rPr>
            </w:pPr>
            <w:r>
              <w:rPr>
                <w:color w:val="000000"/>
                <w:sz w:val="14"/>
              </w:rPr>
              <w:t>Государственное управление, имеющее статус министерства</w:t>
            </w:r>
          </w:p>
        </w:tc>
        <w:tc>
          <w:tcPr>
            <w:tcW w:w="324" w:type="dxa"/>
            <w:tcBorders>
              <w:top w:val="nil"/>
              <w:bottom w:val="nil"/>
            </w:tcBorders>
            <w:tcMar>
              <w:left w:w="28" w:type="dxa"/>
              <w:right w:w="28" w:type="dxa"/>
            </w:tcMar>
            <w:vAlign w:val="center"/>
          </w:tcPr>
          <w:p w:rsidR="00000000" w:rsidRDefault="00000000">
            <w:pPr>
              <w:jc w:val="center"/>
              <w:rPr>
                <w:color w:val="000000"/>
                <w:sz w:val="14"/>
              </w:rPr>
            </w:pPr>
          </w:p>
        </w:tc>
        <w:tc>
          <w:tcPr>
            <w:tcW w:w="1698" w:type="dxa"/>
            <w:gridSpan w:val="2"/>
            <w:tcBorders>
              <w:top w:val="single" w:sz="4" w:space="0" w:color="auto"/>
            </w:tcBorders>
            <w:tcMar>
              <w:left w:w="28" w:type="dxa"/>
              <w:right w:w="28" w:type="dxa"/>
            </w:tcMar>
            <w:vAlign w:val="center"/>
          </w:tcPr>
          <w:p w:rsidR="00000000" w:rsidRDefault="00000000">
            <w:pPr>
              <w:jc w:val="center"/>
              <w:rPr>
                <w:color w:val="000000"/>
                <w:sz w:val="14"/>
              </w:rPr>
            </w:pPr>
            <w:r>
              <w:rPr>
                <w:color w:val="000000"/>
                <w:sz w:val="14"/>
              </w:rPr>
              <w:t>Вневедомственное государственное управление</w:t>
            </w:r>
          </w:p>
        </w:tc>
      </w:tr>
    </w:tbl>
    <w:p w:rsidR="00000000" w:rsidRDefault="00000000">
      <w:pPr>
        <w:rPr>
          <w:color w:val="000000"/>
          <w:sz w:val="16"/>
          <w:lang w:val="en-US"/>
        </w:rPr>
      </w:pPr>
      <w:r>
        <w:rPr>
          <w:noProof/>
          <w:color w:val="000000"/>
          <w:sz w:val="20"/>
          <w:lang w:eastAsia="ru-RU"/>
        </w:rPr>
        <w:pict>
          <v:line id="_x0000_s1031" style="position:absolute;z-index:3;mso-position-horizontal-relative:text;mso-position-vertical-relative:text" from="37.4pt,145.25pt" to="37.4pt,164.3pt">
            <w10:wrap type="square" side="right"/>
            <w10:anchorlock/>
          </v:line>
        </w:pict>
      </w:r>
      <w:r>
        <w:rPr>
          <w:noProof/>
          <w:color w:val="000000"/>
          <w:sz w:val="20"/>
          <w:lang w:eastAsia="ru-RU"/>
        </w:rPr>
        <w:pict>
          <v:shape id="_x0000_s1030" type="#_x0000_t202" style="position:absolute;margin-left:0;margin-top:119.9pt;width:83.3pt;height:25.3pt;z-index:-4;mso-wrap-edited:f;mso-position-horizontal-relative:text;mso-position-vertical-relative:text" wrapcoords="-248 0 -248 21600 21848 21600 21848 0 -248 0">
            <v:textbox style="mso-next-textbox:#_x0000_s1030" inset=".5mm,0,.5mm,0">
              <w:txbxContent>
                <w:p w:rsidR="00000000" w:rsidRDefault="00000000">
                  <w:pPr>
                    <w:spacing w:line="216" w:lineRule="auto"/>
                    <w:jc w:val="center"/>
                    <w:rPr>
                      <w:sz w:val="14"/>
                    </w:rPr>
                  </w:pPr>
                </w:p>
                <w:p w:rsidR="00000000" w:rsidRDefault="00000000">
                  <w:pPr>
                    <w:spacing w:before="40" w:line="216" w:lineRule="auto"/>
                    <w:jc w:val="center"/>
                    <w:rPr>
                      <w:sz w:val="14"/>
                    </w:rPr>
                  </w:pPr>
                  <w:r>
                    <w:rPr>
                      <w:sz w:val="14"/>
                    </w:rPr>
                    <w:t>Министр внутренних дел</w:t>
                  </w:r>
                </w:p>
              </w:txbxContent>
            </v:textbox>
            <w10:anchorlock/>
          </v:shape>
        </w:pict>
      </w:r>
      <w:r>
        <w:rPr>
          <w:color w:val="000000"/>
          <w:sz w:val="16"/>
        </w:rPr>
        <w:br w:type="textWrapping" w:clear="all"/>
      </w:r>
    </w:p>
    <w:p w:rsidR="00000000" w:rsidRDefault="00000000">
      <w:pPr>
        <w:tabs>
          <w:tab w:val="clear" w:pos="567"/>
          <w:tab w:val="clear" w:pos="1701"/>
          <w:tab w:val="clear" w:pos="2268"/>
          <w:tab w:val="clear" w:pos="6237"/>
          <w:tab w:val="left" w:pos="1134"/>
        </w:tabs>
        <w:rPr>
          <w:color w:val="000000"/>
          <w:sz w:val="16"/>
          <w:lang w:val="en-US"/>
        </w:rPr>
      </w:pPr>
      <w:r>
        <w:rPr>
          <w:color w:val="000000"/>
          <w:sz w:val="16"/>
          <w:lang w:val="en-US"/>
        </w:rPr>
        <w:tab/>
      </w:r>
    </w:p>
    <w:p w:rsidR="00000000" w:rsidRDefault="00000000">
      <w:pPr>
        <w:rPr>
          <w:color w:val="000000"/>
          <w:sz w:val="16"/>
          <w:lang w:val="en-US"/>
        </w:rPr>
      </w:pPr>
      <w:r>
        <w:rPr>
          <w:noProof/>
          <w:color w:val="000000"/>
          <w:sz w:val="20"/>
          <w:lang w:eastAsia="ru-RU"/>
        </w:rPr>
        <w:pict>
          <v:line id="_x0000_s1033" style="position:absolute;z-index:5" from="92.4pt,2.05pt" to="92.4pt,14.75pt">
            <w10:wrap type="square" side="right"/>
            <w10:anchorlock/>
          </v:line>
        </w:pict>
      </w:r>
      <w:r>
        <w:rPr>
          <w:noProof/>
          <w:color w:val="000000"/>
          <w:sz w:val="20"/>
          <w:lang w:eastAsia="ru-RU"/>
        </w:rPr>
        <w:pict>
          <v:line id="_x0000_s1032" style="position:absolute;z-index:4" from="-10.3pt,2.05pt" to="92.55pt,2.05pt">
            <w10:wrap type="square" side="right"/>
            <w10:anchorlock/>
          </v:line>
        </w:pict>
      </w:r>
    </w:p>
    <w:tbl>
      <w:tblPr>
        <w:tblpPr w:leftFromText="180" w:rightFromText="180" w:vertAnchor="text" w:horzAnchor="page" w:tblpX="2903"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126"/>
        <w:gridCol w:w="630"/>
        <w:gridCol w:w="154"/>
        <w:gridCol w:w="126"/>
        <w:gridCol w:w="630"/>
        <w:gridCol w:w="301"/>
        <w:gridCol w:w="931"/>
      </w:tblGrid>
      <w:tr w:rsidR="00000000">
        <w:tblPrEx>
          <w:tblCellMar>
            <w:top w:w="0" w:type="dxa"/>
            <w:bottom w:w="0" w:type="dxa"/>
          </w:tblCellMar>
        </w:tblPrEx>
        <w:trPr>
          <w:gridBefore w:val="2"/>
          <w:gridAfter w:val="2"/>
          <w:wBefore w:w="882" w:type="dxa"/>
          <w:wAfter w:w="1232" w:type="dxa"/>
          <w:trHeight w:val="354"/>
        </w:trPr>
        <w:tc>
          <w:tcPr>
            <w:tcW w:w="1540" w:type="dxa"/>
            <w:gridSpan w:val="4"/>
            <w:tcMar>
              <w:top w:w="57" w:type="dxa"/>
              <w:bottom w:w="57" w:type="dxa"/>
            </w:tcMar>
          </w:tcPr>
          <w:p w:rsidR="00000000" w:rsidRDefault="00000000">
            <w:pPr>
              <w:jc w:val="center"/>
              <w:rPr>
                <w:color w:val="000000"/>
                <w:sz w:val="16"/>
              </w:rPr>
            </w:pPr>
            <w:r>
              <w:rPr>
                <w:color w:val="000000"/>
                <w:sz w:val="16"/>
              </w:rPr>
              <w:t>Губернаторы</w:t>
            </w:r>
          </w:p>
        </w:tc>
      </w:tr>
      <w:tr w:rsidR="00000000">
        <w:tblPrEx>
          <w:tblCellMar>
            <w:top w:w="0" w:type="dxa"/>
            <w:bottom w:w="0" w:type="dxa"/>
          </w:tblCellMar>
        </w:tblPrEx>
        <w:trPr>
          <w:cantSplit/>
        </w:trPr>
        <w:tc>
          <w:tcPr>
            <w:tcW w:w="756" w:type="dxa"/>
            <w:tcBorders>
              <w:top w:val="nil"/>
              <w:left w:val="nil"/>
              <w:bottom w:val="nil"/>
              <w:right w:val="nil"/>
            </w:tcBorders>
            <w:tcMar>
              <w:top w:w="0" w:type="dxa"/>
            </w:tcMar>
          </w:tcPr>
          <w:p w:rsidR="00000000" w:rsidRDefault="00000000">
            <w:pPr>
              <w:jc w:val="center"/>
              <w:rPr>
                <w:sz w:val="16"/>
              </w:rPr>
            </w:pPr>
          </w:p>
        </w:tc>
        <w:tc>
          <w:tcPr>
            <w:tcW w:w="910" w:type="dxa"/>
            <w:gridSpan w:val="3"/>
            <w:tcBorders>
              <w:top w:val="nil"/>
              <w:left w:val="nil"/>
            </w:tcBorders>
          </w:tcPr>
          <w:p w:rsidR="00000000" w:rsidRDefault="00000000">
            <w:pPr>
              <w:jc w:val="center"/>
              <w:rPr>
                <w:sz w:val="16"/>
              </w:rPr>
            </w:pPr>
          </w:p>
        </w:tc>
        <w:tc>
          <w:tcPr>
            <w:tcW w:w="1057" w:type="dxa"/>
            <w:gridSpan w:val="3"/>
            <w:tcBorders>
              <w:top w:val="nil"/>
              <w:right w:val="nil"/>
            </w:tcBorders>
          </w:tcPr>
          <w:p w:rsidR="00000000" w:rsidRDefault="00000000">
            <w:pPr>
              <w:jc w:val="center"/>
              <w:rPr>
                <w:sz w:val="16"/>
              </w:rPr>
            </w:pPr>
          </w:p>
        </w:tc>
        <w:tc>
          <w:tcPr>
            <w:tcW w:w="931" w:type="dxa"/>
            <w:tcBorders>
              <w:top w:val="nil"/>
              <w:left w:val="nil"/>
              <w:bottom w:val="nil"/>
              <w:right w:val="nil"/>
            </w:tcBorders>
          </w:tcPr>
          <w:p w:rsidR="00000000" w:rsidRDefault="00000000">
            <w:pPr>
              <w:jc w:val="center"/>
              <w:rPr>
                <w:sz w:val="16"/>
              </w:rPr>
            </w:pPr>
          </w:p>
        </w:tc>
      </w:tr>
      <w:tr w:rsidR="00000000">
        <w:tblPrEx>
          <w:tblCellMar>
            <w:top w:w="0" w:type="dxa"/>
            <w:bottom w:w="0" w:type="dxa"/>
          </w:tblCellMar>
        </w:tblPrEx>
        <w:tc>
          <w:tcPr>
            <w:tcW w:w="756" w:type="dxa"/>
            <w:tcBorders>
              <w:top w:val="nil"/>
              <w:left w:val="nil"/>
            </w:tcBorders>
            <w:tcMar>
              <w:top w:w="0" w:type="dxa"/>
            </w:tcMar>
          </w:tcPr>
          <w:p w:rsidR="00000000" w:rsidRDefault="00000000">
            <w:pPr>
              <w:jc w:val="center"/>
              <w:rPr>
                <w:sz w:val="16"/>
              </w:rPr>
            </w:pPr>
          </w:p>
        </w:tc>
        <w:tc>
          <w:tcPr>
            <w:tcW w:w="756" w:type="dxa"/>
            <w:gridSpan w:val="2"/>
            <w:tcBorders>
              <w:right w:val="nil"/>
            </w:tcBorders>
          </w:tcPr>
          <w:p w:rsidR="00000000" w:rsidRDefault="00000000">
            <w:pPr>
              <w:jc w:val="center"/>
              <w:rPr>
                <w:sz w:val="16"/>
              </w:rPr>
            </w:pPr>
          </w:p>
        </w:tc>
        <w:tc>
          <w:tcPr>
            <w:tcW w:w="280" w:type="dxa"/>
            <w:gridSpan w:val="2"/>
            <w:tcBorders>
              <w:top w:val="nil"/>
              <w:left w:val="nil"/>
              <w:bottom w:val="nil"/>
              <w:right w:val="nil"/>
            </w:tcBorders>
          </w:tcPr>
          <w:p w:rsidR="00000000" w:rsidRDefault="00000000"/>
        </w:tc>
        <w:tc>
          <w:tcPr>
            <w:tcW w:w="931" w:type="dxa"/>
            <w:gridSpan w:val="2"/>
            <w:tcBorders>
              <w:top w:val="nil"/>
              <w:left w:val="nil"/>
            </w:tcBorders>
          </w:tcPr>
          <w:p w:rsidR="00000000" w:rsidRDefault="00000000">
            <w:pPr>
              <w:jc w:val="center"/>
              <w:rPr>
                <w:sz w:val="16"/>
              </w:rPr>
            </w:pPr>
          </w:p>
        </w:tc>
        <w:tc>
          <w:tcPr>
            <w:tcW w:w="931" w:type="dxa"/>
            <w:tcBorders>
              <w:top w:val="nil"/>
              <w:right w:val="nil"/>
            </w:tcBorders>
          </w:tcPr>
          <w:p w:rsidR="00000000" w:rsidRDefault="00000000">
            <w:pPr>
              <w:jc w:val="center"/>
              <w:rPr>
                <w:sz w:val="16"/>
              </w:rPr>
            </w:pPr>
          </w:p>
        </w:tc>
      </w:tr>
      <w:tr w:rsidR="00000000">
        <w:tblPrEx>
          <w:tblCellMar>
            <w:top w:w="0" w:type="dxa"/>
            <w:bottom w:w="0" w:type="dxa"/>
          </w:tblCellMar>
        </w:tblPrEx>
        <w:tc>
          <w:tcPr>
            <w:tcW w:w="1512" w:type="dxa"/>
            <w:gridSpan w:val="3"/>
            <w:tcMar>
              <w:top w:w="0" w:type="dxa"/>
            </w:tcMar>
          </w:tcPr>
          <w:p w:rsidR="00000000" w:rsidRDefault="00000000">
            <w:pPr>
              <w:jc w:val="center"/>
              <w:rPr>
                <w:sz w:val="16"/>
              </w:rPr>
            </w:pPr>
            <w:r>
              <w:rPr>
                <w:sz w:val="16"/>
              </w:rPr>
              <w:t>Глава администрации</w:t>
            </w:r>
          </w:p>
        </w:tc>
        <w:tc>
          <w:tcPr>
            <w:tcW w:w="280" w:type="dxa"/>
            <w:gridSpan w:val="2"/>
            <w:tcBorders>
              <w:top w:val="nil"/>
              <w:bottom w:val="nil"/>
            </w:tcBorders>
          </w:tcPr>
          <w:p w:rsidR="00000000" w:rsidRDefault="00000000"/>
        </w:tc>
        <w:tc>
          <w:tcPr>
            <w:tcW w:w="1862" w:type="dxa"/>
            <w:gridSpan w:val="3"/>
            <w:vAlign w:val="center"/>
          </w:tcPr>
          <w:p w:rsidR="00000000" w:rsidRDefault="00000000">
            <w:pPr>
              <w:jc w:val="center"/>
              <w:rPr>
                <w:sz w:val="16"/>
              </w:rPr>
            </w:pPr>
            <w:r>
              <w:rPr>
                <w:sz w:val="16"/>
              </w:rPr>
              <w:t>Мэр</w:t>
            </w:r>
          </w:p>
        </w:tc>
      </w:tr>
    </w:tbl>
    <w:p w:rsidR="00000000" w:rsidRDefault="00000000">
      <w:pPr>
        <w:rPr>
          <w:color w:val="000000"/>
          <w:sz w:val="16"/>
        </w:rPr>
      </w:pPr>
    </w:p>
    <w:p w:rsidR="00000000" w:rsidRDefault="00000000">
      <w:pPr>
        <w:rPr>
          <w:color w:val="000000"/>
          <w:sz w:val="16"/>
        </w:rPr>
      </w:pPr>
    </w:p>
    <w:p w:rsidR="00000000" w:rsidRDefault="00000000">
      <w:pPr>
        <w:rPr>
          <w:color w:val="000000"/>
          <w:sz w:val="16"/>
        </w:rPr>
      </w:pPr>
    </w:p>
    <w:p w:rsidR="00000000" w:rsidRDefault="00000000">
      <w:pPr>
        <w:rPr>
          <w:color w:val="000000"/>
          <w:sz w:val="16"/>
        </w:rPr>
      </w:pPr>
    </w:p>
    <w:p w:rsidR="00000000" w:rsidRDefault="00000000"/>
    <w:p w:rsidR="00000000" w:rsidRDefault="00000000"/>
    <w:p w:rsidR="00000000" w:rsidRDefault="00000000"/>
    <w:p w:rsidR="00000000" w:rsidRDefault="00000000"/>
    <w:p w:rsidR="00000000" w:rsidRDefault="00000000">
      <w:r>
        <w:t>37.</w:t>
      </w:r>
      <w:r>
        <w:tab/>
        <w:t xml:space="preserve">Сформированный после всеобщих выборов 2004 года Народный консультативный Совет (НКК) состоит из 678 членов, из которых 555 являются членами Совета народных представителей (СНП), а 128 - членами Совета региональных представителей (СРП).  Члены СНП и СРП избираются прямым всеобщим голосованием.  Законодательная власть принадлежит Совету народных представителей и президенту.  В 2004 году впервые в истории Индонезии президент и вице-президент были непосредственно избраны народом.  Прежде президент и вице-президент избирались НКК, который являлся высшим органом государственной власти.  Члены СНП, которые были избраны от 17 различных политических партий, являются представителями народа.  В соответствии с законом они дают присягу представлять интересы народа при исполнении своих обязанностей.  В 2005 году будут проведены прямые выборы глав местных органов власти, т.е. губернаторов в провинциях, глав администрации в областях/районах и мэров в городах. </w:t>
      </w:r>
    </w:p>
    <w:p w:rsidR="00000000" w:rsidRDefault="00000000"/>
    <w:p w:rsidR="00000000" w:rsidRDefault="00000000">
      <w:r>
        <w:t>38.</w:t>
      </w:r>
      <w:r>
        <w:tab/>
        <w:t>При выполнении своих законодательных, бюджетных и контрольно-ревизионных функций Совет народных представителей имеет следующие полномочия:</w:t>
      </w:r>
    </w:p>
    <w:p w:rsidR="00000000" w:rsidRDefault="00000000"/>
    <w:p w:rsidR="00000000" w:rsidRDefault="00000000">
      <w:pPr>
        <w:numPr>
          <w:ilvl w:val="0"/>
          <w:numId w:val="11"/>
        </w:numPr>
      </w:pPr>
      <w:r>
        <w:t>разрабатывать и утверждать вместе с президентом законы;</w:t>
      </w:r>
    </w:p>
    <w:p w:rsidR="00000000" w:rsidRDefault="00000000">
      <w:pPr>
        <w:tabs>
          <w:tab w:val="clear" w:pos="1134"/>
        </w:tabs>
      </w:pPr>
    </w:p>
    <w:p w:rsidR="00000000" w:rsidRDefault="00000000">
      <w:pPr>
        <w:numPr>
          <w:ilvl w:val="0"/>
          <w:numId w:val="11"/>
        </w:numPr>
      </w:pPr>
      <w:r>
        <w:t>обсуждать и утверждать правительственные постановления, имеющие силу закона;</w:t>
      </w:r>
    </w:p>
    <w:p w:rsidR="00000000" w:rsidRDefault="00000000">
      <w:pPr>
        <w:tabs>
          <w:tab w:val="clear" w:pos="1134"/>
        </w:tabs>
      </w:pPr>
    </w:p>
    <w:p w:rsidR="00000000" w:rsidRDefault="00000000">
      <w:pPr>
        <w:numPr>
          <w:ilvl w:val="0"/>
          <w:numId w:val="11"/>
        </w:numPr>
      </w:pPr>
      <w:r>
        <w:t>получать и обсуждать законопроекты, предлагаемые СРП по вопросам, касающимся автономии районов;</w:t>
      </w:r>
    </w:p>
    <w:p w:rsidR="00000000" w:rsidRDefault="00000000">
      <w:pPr>
        <w:tabs>
          <w:tab w:val="clear" w:pos="1134"/>
        </w:tabs>
      </w:pPr>
    </w:p>
    <w:p w:rsidR="00000000" w:rsidRDefault="00000000">
      <w:pPr>
        <w:numPr>
          <w:ilvl w:val="0"/>
          <w:numId w:val="11"/>
        </w:numPr>
      </w:pPr>
      <w:r>
        <w:t>осуществлять надзор за отношениями между центральными и региональными/местными органами власти;</w:t>
      </w:r>
    </w:p>
    <w:p w:rsidR="00000000" w:rsidRDefault="00000000">
      <w:pPr>
        <w:tabs>
          <w:tab w:val="clear" w:pos="1134"/>
        </w:tabs>
      </w:pPr>
    </w:p>
    <w:p w:rsidR="00000000" w:rsidRDefault="00000000">
      <w:pPr>
        <w:numPr>
          <w:ilvl w:val="0"/>
          <w:numId w:val="11"/>
        </w:numPr>
      </w:pPr>
      <w:r>
        <w:t>рассматривать вопросы, касающиеся создания, расширения и объединения районов;</w:t>
      </w:r>
    </w:p>
    <w:p w:rsidR="00000000" w:rsidRDefault="00000000">
      <w:pPr>
        <w:tabs>
          <w:tab w:val="clear" w:pos="1134"/>
        </w:tabs>
      </w:pPr>
    </w:p>
    <w:p w:rsidR="00000000" w:rsidRDefault="00000000">
      <w:pPr>
        <w:numPr>
          <w:ilvl w:val="0"/>
          <w:numId w:val="11"/>
        </w:numPr>
      </w:pPr>
      <w:r>
        <w:t>осуществлять контроль за управлением природными ресурсами и другими ресурсами экономического значения и привлекать к обсуждению СРП;</w:t>
      </w:r>
    </w:p>
    <w:p w:rsidR="00000000" w:rsidRDefault="00000000">
      <w:pPr>
        <w:tabs>
          <w:tab w:val="clear" w:pos="1134"/>
        </w:tabs>
      </w:pPr>
    </w:p>
    <w:p w:rsidR="00000000" w:rsidRDefault="00000000">
      <w:pPr>
        <w:numPr>
          <w:ilvl w:val="0"/>
          <w:numId w:val="11"/>
        </w:numPr>
      </w:pPr>
      <w:r>
        <w:t>учитывать соображения СРП в отношении законопроекта по государственному бюджету и законопроектов, касающихся налогообложения, образования и религии;</w:t>
      </w:r>
    </w:p>
    <w:p w:rsidR="00000000" w:rsidRDefault="00000000">
      <w:pPr>
        <w:tabs>
          <w:tab w:val="clear" w:pos="1134"/>
        </w:tabs>
      </w:pPr>
    </w:p>
    <w:p w:rsidR="00000000" w:rsidRDefault="00000000">
      <w:pPr>
        <w:numPr>
          <w:ilvl w:val="0"/>
          <w:numId w:val="11"/>
        </w:numPr>
      </w:pPr>
      <w:r>
        <w:t>утверждать вместе с президентом государственный бюджет с учетом соображений СРП;</w:t>
      </w:r>
    </w:p>
    <w:p w:rsidR="00000000" w:rsidRDefault="00000000">
      <w:pPr>
        <w:tabs>
          <w:tab w:val="clear" w:pos="1134"/>
        </w:tabs>
      </w:pPr>
    </w:p>
    <w:p w:rsidR="00000000" w:rsidRDefault="00000000">
      <w:pPr>
        <w:numPr>
          <w:ilvl w:val="0"/>
          <w:numId w:val="11"/>
        </w:numPr>
      </w:pPr>
      <w:r>
        <w:t>наблюдать за исполнением законов, государственного бюджета и правительственной политики;</w:t>
      </w:r>
    </w:p>
    <w:p w:rsidR="00000000" w:rsidRDefault="00000000">
      <w:pPr>
        <w:tabs>
          <w:tab w:val="clear" w:pos="1134"/>
        </w:tabs>
      </w:pPr>
    </w:p>
    <w:p w:rsidR="00000000" w:rsidRDefault="00000000">
      <w:pPr>
        <w:numPr>
          <w:ilvl w:val="0"/>
          <w:numId w:val="11"/>
        </w:numPr>
      </w:pPr>
      <w:r>
        <w:t>избирать членов Государственного контрольно-ревизионного совета с учетом замечаний СРП;</w:t>
      </w:r>
    </w:p>
    <w:p w:rsidR="00000000" w:rsidRDefault="00000000">
      <w:pPr>
        <w:tabs>
          <w:tab w:val="clear" w:pos="1134"/>
        </w:tabs>
      </w:pPr>
    </w:p>
    <w:p w:rsidR="00000000" w:rsidRDefault="00000000">
      <w:pPr>
        <w:numPr>
          <w:ilvl w:val="0"/>
          <w:numId w:val="11"/>
        </w:numPr>
      </w:pPr>
      <w:r>
        <w:t>обсуждать результаты проверки бюджетных ассигнований, представляемые Государственным контрольно-ревизионным советом, и принимать в этой связи последующие меры;</w:t>
      </w:r>
    </w:p>
    <w:p w:rsidR="00000000" w:rsidRDefault="00000000"/>
    <w:p w:rsidR="00000000" w:rsidRDefault="00000000">
      <w:pPr>
        <w:numPr>
          <w:ilvl w:val="0"/>
          <w:numId w:val="12"/>
        </w:numPr>
        <w:tabs>
          <w:tab w:val="clear" w:pos="720"/>
        </w:tabs>
        <w:ind w:left="1134" w:hanging="573"/>
      </w:pPr>
      <w:r>
        <w:t>учитывать, принимать во внимание, удовлетворять и исполнять пожелания народа;  и</w:t>
      </w:r>
    </w:p>
    <w:p w:rsidR="00000000" w:rsidRDefault="00000000">
      <w:pPr>
        <w:ind w:left="201"/>
      </w:pPr>
    </w:p>
    <w:p w:rsidR="00000000" w:rsidRDefault="00000000">
      <w:pPr>
        <w:numPr>
          <w:ilvl w:val="0"/>
          <w:numId w:val="12"/>
        </w:numPr>
        <w:tabs>
          <w:tab w:val="clear" w:pos="720"/>
        </w:tabs>
        <w:ind w:left="1134" w:hanging="573"/>
      </w:pPr>
      <w:r>
        <w:t>осуществлять другие задачи и полномочия, предусмотренные в Конституции 1945 года и других законах.</w:t>
      </w:r>
    </w:p>
    <w:p w:rsidR="00000000" w:rsidRDefault="00000000">
      <w:pPr>
        <w:ind w:left="201"/>
      </w:pPr>
    </w:p>
    <w:p w:rsidR="00000000" w:rsidRDefault="00000000">
      <w:r>
        <w:t>При выполнении своих функций и полномочий СНП проводит консультации и координирует свою деятельность с другими государственными органами, а также вызывает государственных должностных лиц, представителей законодательных органов и членов общества для представления объяснений.</w:t>
      </w:r>
    </w:p>
    <w:p w:rsidR="00000000" w:rsidRDefault="00000000"/>
    <w:p w:rsidR="00000000" w:rsidRDefault="00000000">
      <w:r>
        <w:t>39.</w:t>
      </w:r>
      <w:r>
        <w:tab/>
        <w:t>В 2003 году в соответствии с четвертой поправкой к Конституции 1945 года был упразднен Верховный консультативный совет (</w:t>
      </w:r>
      <w:r>
        <w:rPr>
          <w:i/>
          <w:iCs/>
        </w:rPr>
        <w:t>Dewan Pertimbangan Agung/</w:t>
      </w:r>
      <w:r>
        <w:t>ВКС).  Впоследствии был отменен и Закон № 3 1967 года о Верховном консультативном совете с внесенными в него поправками на основе Закона № 4 1978 года.  Эти меры были приняты по линии проводимых в Индонезии реформ, в частности в связи с введением принципов надлежащего управления.  Правительство упразднило этот орган с целью повышения эффективности работы органов государственной власти.</w:t>
      </w:r>
    </w:p>
    <w:p w:rsidR="00000000" w:rsidRDefault="00000000"/>
    <w:p w:rsidR="00000000" w:rsidRDefault="00000000">
      <w:r>
        <w:t>40.</w:t>
      </w:r>
      <w:r>
        <w:tab/>
        <w:t>На основе поправки к Конституции 1945 года в Индонезии был учрежден Совет региональных представителей (</w:t>
      </w:r>
      <w:r>
        <w:rPr>
          <w:i/>
          <w:iCs/>
        </w:rPr>
        <w:t>Dewan Perwakilan Daerah/</w:t>
      </w:r>
      <w:r>
        <w:t>СРП), члены которого избираются в каждой провинции прямым всеобщим голосованием.  СРП собирается на свои заседания не реже одного раза в год и может представлять Совету народных представителей (СНП) законопроекты, касающиеся вопросов региональной автономии, отношений между центральными и региональными органами власти, создания, расширения и объединения районов, управления природными и экономическими ресурсами и других вопросов, связанных с распределением финансовых средств между центром и регионами.  СРП может участвовать в любых обсуждениях по вопросам автономии и контролировать осуществление законов в отношении региональной автономии.</w:t>
      </w:r>
    </w:p>
    <w:p w:rsidR="00000000" w:rsidRDefault="00000000"/>
    <w:p w:rsidR="00000000" w:rsidRDefault="00000000">
      <w:r>
        <w:t>41.</w:t>
      </w:r>
      <w:r>
        <w:tab/>
        <w:t>Исполнительная власть принадлежит Президенту, в связи с чем он/она имеет право и прерогативу назначать министров и формировать кабинет.  Президент имеет право представлять законопроекты СНП и, в случае необходимости, издает правительственные постановления для осуществления законов, как это указано в статье 5 Конституции 1945 года.</w:t>
      </w:r>
    </w:p>
    <w:p w:rsidR="00000000" w:rsidRDefault="00000000"/>
    <w:p w:rsidR="00000000" w:rsidRDefault="00000000">
      <w:r>
        <w:t>42.</w:t>
      </w:r>
      <w:r>
        <w:tab/>
        <w:t>Другими государственными органами власти являются:  Государственное контрольно-ревизионное финансовое управление, Верховный суд, Конституционный суд и Судебная комиссия.  В их обязанности входит контроль и проверка расходов и доходов государственного аппарата по линии бюджетной политики.  Верховный суд является в Индонезии высшим судебным органом.  Он компетентен рассматривать кассационные жалобы, проводить анализ соответствия подзаконных нормативных актов конкретным законам и выполнять другие функции, предусмотренные законом.</w:t>
      </w:r>
    </w:p>
    <w:p w:rsidR="00000000" w:rsidRDefault="00000000"/>
    <w:p w:rsidR="00000000" w:rsidRDefault="00000000">
      <w:r>
        <w:t>43.</w:t>
      </w:r>
      <w:r>
        <w:tab/>
        <w:t>В Индонезии существует очень много партий, крупнейшими из которых являются две национальные светские партии, Голкар и ДПИ(б), а также появившаяся на выборах 2004 года Демократическая партия, от которой и была избрана Президент.  Другие основные партии имеют исламскую направленность, например Партия единства и развития (ПЕР), Партия национального пробуждения (ПНП), Партия национального мандата (ПНМ) и Партия процветания и справедливости (ППС).</w:t>
      </w:r>
    </w:p>
    <w:p w:rsidR="00000000" w:rsidRDefault="00000000"/>
    <w:p w:rsidR="00000000" w:rsidRDefault="00000000">
      <w:r>
        <w:t>44.</w:t>
      </w:r>
      <w:r>
        <w:tab/>
        <w:t>Начиная с 2004 года все представители политических партий, включая президента, избираются прямым голосованием.  Следующие парламентские выборы должны состояться в 2009 году. Прямые выборы президента впервые состоялись в июле и сентябре 2004 года.  Следующие выборы президента намечены на 2009 год.</w:t>
      </w:r>
    </w:p>
    <w:p w:rsidR="00000000" w:rsidRDefault="00000000"/>
    <w:p w:rsidR="00000000" w:rsidRDefault="00000000">
      <w:r>
        <w:t>45.</w:t>
      </w:r>
      <w:r>
        <w:tab/>
        <w:t>В 1999 году в результате принятия Закона № 22 1999 года о местной автономии и Закона № 25 1999 года о распределении финансовых средств между центральными и местными органами власти на смену чрезвычайно централизованной системы управления пришла более децентрализованная система, что позволило расширить автономию местных органов власти.  Основная цель децентрализации состоит в предоставлении региональным органам власти большей самостоятельности в решении их собственных вопросов, что является частью процесса демократизации.  Кроме того, децентрализация будет также способствовать созданию более широких возможностей и стимулов для всех организаций гражданского общества (ОГО), с тем чтобы они могли внести вклад в построение демократических систем.  Однако Закон № 32 2004 года о местных органах власти гарантирует соответствующий контроль за использованием власти и полномочий и устанавливает четкое различие между вопросами, которые находятся и не находятся в ведении местных органов власти.</w:t>
      </w:r>
    </w:p>
    <w:p w:rsidR="00000000" w:rsidRDefault="00000000"/>
    <w:p w:rsidR="00000000" w:rsidRDefault="00000000">
      <w:r>
        <w:t>46.</w:t>
      </w:r>
      <w:r>
        <w:tab/>
        <w:t>Закон № 12 2003 года о всеобщих выборах регулирует проведение прямых выборов членов законодательного органа, президента и вице-президента.  Он также имеет непреходящее значение, поскольку расширяет представительство женщин в политических партиях и парламенте.</w:t>
      </w:r>
    </w:p>
    <w:p w:rsidR="00000000" w:rsidRDefault="00000000"/>
    <w:p w:rsidR="00000000" w:rsidRDefault="00000000">
      <w:r>
        <w:t>47.</w:t>
      </w:r>
      <w:r>
        <w:tab/>
        <w:t>Кроме того, Закон № 32 2004 года о местных органах власти наделяет их властью и полномочиями управлять всеми делами своих регионов, за исключением дел, относимых к следующим шести областям, а именно:  иностранные дела, оборона, безопасность, судебная система, национальная денежно-кредитная и фискальная политика, а также религия;  эти шесть областей по</w:t>
      </w:r>
      <w:r>
        <w:noBreakHyphen/>
        <w:t>прежнему относятся к компетенции центрального правительства.</w:t>
      </w:r>
    </w:p>
    <w:p w:rsidR="00000000" w:rsidRDefault="00000000">
      <w:pPr>
        <w:tabs>
          <w:tab w:val="clear" w:pos="567"/>
          <w:tab w:val="clear" w:pos="1134"/>
          <w:tab w:val="clear" w:pos="1701"/>
          <w:tab w:val="clear" w:pos="2268"/>
          <w:tab w:val="clear" w:pos="6237"/>
          <w:tab w:val="left" w:pos="561"/>
          <w:tab w:val="left" w:pos="1122"/>
          <w:tab w:val="right" w:leader="dot" w:pos="7750"/>
          <w:tab w:val="center" w:pos="8759"/>
        </w:tabs>
        <w:rPr>
          <w:lang w:val="en-US"/>
        </w:rPr>
      </w:pPr>
    </w:p>
    <w:p w:rsidR="00000000" w:rsidRDefault="00000000">
      <w:pPr>
        <w:jc w:val="center"/>
      </w:pPr>
      <w:r>
        <w:rPr>
          <w:b/>
          <w:bCs/>
        </w:rPr>
        <w:t>D.1.</w:t>
      </w:r>
      <w:r>
        <w:rPr>
          <w:b/>
          <w:bCs/>
        </w:rPr>
        <w:tab/>
        <w:t xml:space="preserve">  Вооруженные силы</w:t>
      </w:r>
    </w:p>
    <w:p w:rsidR="00000000" w:rsidRDefault="00000000"/>
    <w:p w:rsidR="00000000" w:rsidRDefault="00000000">
      <w:pPr>
        <w:rPr>
          <w:iCs/>
          <w:color w:val="000000"/>
        </w:rPr>
      </w:pPr>
      <w:r>
        <w:t>48.</w:t>
      </w:r>
      <w:r>
        <w:tab/>
        <w:t>После провозглашения независимости Республики Индонезии начали формироваться и создаваться различные государственные учреждения.  Однако национальные вооруженные силы не были сформированы сразу.  23 августа 1945 года президент Сукарно создал орган народной безопасности (</w:t>
      </w:r>
      <w:r>
        <w:rPr>
          <w:i/>
          <w:color w:val="000000"/>
        </w:rPr>
        <w:t>Badan Keamanan Rakyat</w:t>
      </w:r>
      <w:r>
        <w:rPr>
          <w:iCs/>
          <w:color w:val="000000"/>
        </w:rPr>
        <w:t xml:space="preserve"> - БКР) в качестве организации, которой было поручено защищать народ от любой угрозы.  В октябре 1945 года правительство преобразовало БКР в армию народной безопасности (</w:t>
      </w:r>
      <w:r>
        <w:rPr>
          <w:i/>
          <w:color w:val="000000"/>
        </w:rPr>
        <w:t>Tentara Keamanan Rakyat</w:t>
      </w:r>
      <w:r>
        <w:rPr>
          <w:iCs/>
          <w:color w:val="000000"/>
        </w:rPr>
        <w:t xml:space="preserve"> - ТКР).  Первым временным командующим стал Мухаммад Сурьёадикусумо, министр безопасности.  Затем главнокомандующим был назначен г</w:t>
      </w:r>
      <w:r>
        <w:rPr>
          <w:iCs/>
          <w:color w:val="000000"/>
        </w:rPr>
        <w:noBreakHyphen/>
        <w:t>н Суприяди, а начальником генерального штаба ТКР </w:t>
      </w:r>
      <w:r>
        <w:rPr>
          <w:iCs/>
          <w:color w:val="000000"/>
        </w:rPr>
        <w:noBreakHyphen/>
        <w:t xml:space="preserve"> Оерип Сумохарджо.  Первый штаб ТКР находился в Джокьякарте.  Г-н Суприяди никогда не занял поста главнокомандующего, и вместо него 18 декабря 1945 года был назначен полковник Судирман, который потом стал генералом армии.</w:t>
      </w:r>
    </w:p>
    <w:p w:rsidR="00000000" w:rsidRDefault="00000000">
      <w:pPr>
        <w:rPr>
          <w:iCs/>
          <w:color w:val="000000"/>
        </w:rPr>
      </w:pPr>
    </w:p>
    <w:p w:rsidR="00000000" w:rsidRDefault="00000000">
      <w:pPr>
        <w:rPr>
          <w:iCs/>
          <w:color w:val="000000"/>
        </w:rPr>
      </w:pPr>
      <w:r>
        <w:rPr>
          <w:iCs/>
          <w:color w:val="000000"/>
        </w:rPr>
        <w:t>49.</w:t>
      </w:r>
      <w:r>
        <w:rPr>
          <w:iCs/>
          <w:color w:val="000000"/>
        </w:rPr>
        <w:tab/>
        <w:t>Затем ТКР была преобразована в ТНИ.  Цель формирования мощной и сильной ТНИ состояла в том, чтобы оградить Республику Индонезию от любой угрозы.  Задача ТНИ заключается в наращивании профессионализма для выполнения роли гаранта суверенитета Республики Индонезии и безопасности нации.  Таким образом, ТНИ должна завершить процесс внутренней реорганизации и превратиться в главный аппарат государственной обороны в соответствии с основными направлениями политики в области укрепления безопасности и обороны, известной под названием "Пропенас 2002</w:t>
      </w:r>
      <w:r>
        <w:rPr>
          <w:iCs/>
          <w:color w:val="000000"/>
        </w:rPr>
        <w:noBreakHyphen/>
        <w:t>2004".</w:t>
      </w:r>
    </w:p>
    <w:p w:rsidR="00000000" w:rsidRDefault="00000000">
      <w:pPr>
        <w:rPr>
          <w:iCs/>
          <w:color w:val="000000"/>
        </w:rPr>
      </w:pPr>
    </w:p>
    <w:p w:rsidR="00000000" w:rsidRDefault="00000000">
      <w:pPr>
        <w:rPr>
          <w:iCs/>
          <w:color w:val="000000"/>
        </w:rPr>
      </w:pPr>
      <w:r>
        <w:rPr>
          <w:iCs/>
          <w:color w:val="000000"/>
        </w:rPr>
        <w:t>50.</w:t>
      </w:r>
      <w:r>
        <w:rPr>
          <w:iCs/>
          <w:color w:val="000000"/>
        </w:rPr>
        <w:tab/>
        <w:t>ТНИ возглавляет главнокомандующий, который непосредственно подчинен президенту.  В территориальном плане она организована в 12 региональных военных округов (</w:t>
      </w:r>
      <w:r>
        <w:rPr>
          <w:i/>
          <w:color w:val="000000"/>
        </w:rPr>
        <w:t>Komando Daerah Militer</w:t>
      </w:r>
      <w:r>
        <w:rPr>
          <w:iCs/>
          <w:color w:val="000000"/>
        </w:rPr>
        <w:t xml:space="preserve"> - Кодам).  Правительство в настоящее время подготавливает проект закона о ТНИ с целью обеспечения ее профессионального уровня в будущем.  Согласно статье 2 Декрета Народного консультативного конгресса № VII/MPR/2002 роль и основные функции ТНИ состоят в следующем:</w:t>
      </w:r>
    </w:p>
    <w:p w:rsidR="00000000" w:rsidRDefault="00000000">
      <w:pPr>
        <w:rPr>
          <w:iCs/>
          <w:color w:val="000000"/>
        </w:rPr>
      </w:pPr>
    </w:p>
    <w:p w:rsidR="00000000" w:rsidRDefault="00000000">
      <w:pPr>
        <w:rPr>
          <w:iCs/>
          <w:color w:val="000000"/>
        </w:rPr>
      </w:pPr>
      <w:r>
        <w:rPr>
          <w:iCs/>
          <w:color w:val="000000"/>
        </w:rPr>
        <w:tab/>
        <w:t>а)</w:t>
      </w:r>
      <w:r>
        <w:rPr>
          <w:iCs/>
          <w:color w:val="000000"/>
        </w:rPr>
        <w:tab/>
        <w:t>ТНИ является государственным аппаратом, который выполняет функции национального управления обороны Республики Индонезии;</w:t>
      </w:r>
    </w:p>
    <w:p w:rsidR="00000000" w:rsidRDefault="00000000">
      <w:pPr>
        <w:rPr>
          <w:iCs/>
          <w:color w:val="000000"/>
        </w:rPr>
      </w:pPr>
    </w:p>
    <w:p w:rsidR="00000000" w:rsidRDefault="00000000">
      <w:pPr>
        <w:rPr>
          <w:iCs/>
          <w:color w:val="000000"/>
        </w:rPr>
      </w:pPr>
      <w:r>
        <w:rPr>
          <w:iCs/>
          <w:color w:val="000000"/>
        </w:rPr>
        <w:tab/>
        <w:t>b)</w:t>
      </w:r>
      <w:r>
        <w:rPr>
          <w:iCs/>
          <w:color w:val="000000"/>
        </w:rPr>
        <w:tab/>
        <w:t>основными обязанностями ТНИ являются защита суверенитета Индонезии, защита целостности унитарного государства Республика Индонезия на основе Конституции 1945 года и панча шила и защита всей нации и архипелага от любой угрозы и притязаний на целостность государства и нации.</w:t>
      </w:r>
    </w:p>
    <w:p w:rsidR="00000000" w:rsidRDefault="00000000">
      <w:pPr>
        <w:ind w:left="1134" w:hanging="1134"/>
        <w:rPr>
          <w:iCs/>
          <w:color w:val="000000"/>
        </w:rPr>
      </w:pPr>
    </w:p>
    <w:p w:rsidR="00000000" w:rsidRDefault="00000000">
      <w:pPr>
        <w:keepNext/>
        <w:ind w:left="1134" w:hanging="1134"/>
        <w:jc w:val="center"/>
        <w:rPr>
          <w:iCs/>
          <w:color w:val="000000"/>
        </w:rPr>
      </w:pPr>
      <w:r>
        <w:rPr>
          <w:b/>
          <w:bCs/>
          <w:iCs/>
          <w:color w:val="000000"/>
        </w:rPr>
        <w:t>D.2.</w:t>
      </w:r>
      <w:r>
        <w:rPr>
          <w:b/>
          <w:bCs/>
          <w:iCs/>
          <w:color w:val="000000"/>
        </w:rPr>
        <w:tab/>
        <w:t xml:space="preserve">  Полиция</w:t>
      </w:r>
    </w:p>
    <w:p w:rsidR="00000000" w:rsidRDefault="00000000">
      <w:pPr>
        <w:keepNext/>
        <w:ind w:left="1134" w:hanging="1134"/>
        <w:rPr>
          <w:iCs/>
          <w:color w:val="000000"/>
        </w:rPr>
      </w:pPr>
    </w:p>
    <w:p w:rsidR="00000000" w:rsidRDefault="00000000">
      <w:pPr>
        <w:rPr>
          <w:iCs/>
          <w:color w:val="000000"/>
        </w:rPr>
      </w:pPr>
      <w:r>
        <w:rPr>
          <w:iCs/>
          <w:color w:val="000000"/>
        </w:rPr>
        <w:t>51.</w:t>
      </w:r>
      <w:r>
        <w:rPr>
          <w:iCs/>
          <w:color w:val="000000"/>
        </w:rPr>
        <w:tab/>
        <w:t>Национальная полиция Индонезии (Полри) была создана в 1945 году.  Вопросами финансирования, руководства и организации этих национальных сил занималось центральное правительство.  Основные функции полиции состояли в поддержании общественного порядка и обеспечении безопасности.  Как и все другие вооруженные подразделения, полиция считает себя важной общественной силой в национальном развитии и поэтому участвует в осуществлении задач гражданского характера.  Начальник полиции является в стране самым высокопоставленным полицейским чиновником, а помогает ему заместитель начальника полиции.  При главном управлении полиции в Джакарте существует несколько отдельных административных органов, которые выполняют специальные полицейские функции.</w:t>
      </w:r>
    </w:p>
    <w:p w:rsidR="00000000" w:rsidRDefault="00000000">
      <w:pPr>
        <w:rPr>
          <w:iCs/>
          <w:color w:val="000000"/>
        </w:rPr>
      </w:pPr>
    </w:p>
    <w:p w:rsidR="00000000" w:rsidRDefault="00000000">
      <w:pPr>
        <w:rPr>
          <w:iCs/>
          <w:color w:val="000000"/>
        </w:rPr>
      </w:pPr>
      <w:r>
        <w:rPr>
          <w:iCs/>
          <w:color w:val="000000"/>
        </w:rPr>
        <w:t>52.</w:t>
      </w:r>
      <w:r>
        <w:rPr>
          <w:iCs/>
          <w:color w:val="000000"/>
        </w:rPr>
        <w:tab/>
        <w:t>С точки зрения территориальной организации полиция имеет в своей структуре 17 региональных управлений полиции (Полда).  В административном отношении каждое управление разбито на подразделения окружного, районного и поселкового уровня.  В своей организационной структуре полиция имеет ряд специализированных подразделений.  Самыми крупными из них являются обычная полиция, которая выполняет традиционные функции, как то борьба с преступностью, ее предупреждение и защита собственности, и автодорожная полиция, в обязанности которой входит патрулирование национальных дорог, контроль за выдачей водительских удостоверений и регистрация автомобилей.  В настоящее время деятельность полиции регулируется Законом № 2 2002 года о национальной полиции Индонезии.</w:t>
      </w:r>
    </w:p>
    <w:p w:rsidR="00000000" w:rsidRDefault="00000000">
      <w:pPr>
        <w:rPr>
          <w:iCs/>
          <w:color w:val="000000"/>
        </w:rPr>
      </w:pPr>
    </w:p>
    <w:p w:rsidR="00000000" w:rsidRDefault="00000000">
      <w:pPr>
        <w:jc w:val="center"/>
        <w:rPr>
          <w:iCs/>
          <w:color w:val="000000"/>
        </w:rPr>
      </w:pPr>
      <w:r>
        <w:rPr>
          <w:b/>
          <w:bCs/>
          <w:iCs/>
          <w:color w:val="000000"/>
        </w:rPr>
        <w:t>D.3.</w:t>
      </w:r>
      <w:r>
        <w:rPr>
          <w:b/>
          <w:bCs/>
          <w:iCs/>
          <w:color w:val="000000"/>
        </w:rPr>
        <w:tab/>
        <w:t xml:space="preserve">  Региональные органы власти</w:t>
      </w:r>
    </w:p>
    <w:p w:rsidR="00000000" w:rsidRDefault="00000000">
      <w:pPr>
        <w:rPr>
          <w:iCs/>
          <w:color w:val="000000"/>
        </w:rPr>
      </w:pPr>
    </w:p>
    <w:p w:rsidR="00000000" w:rsidRDefault="00000000">
      <w:pPr>
        <w:rPr>
          <w:iCs/>
          <w:color w:val="000000"/>
        </w:rPr>
      </w:pPr>
      <w:r>
        <w:rPr>
          <w:iCs/>
          <w:color w:val="000000"/>
        </w:rPr>
        <w:t>53.</w:t>
      </w:r>
      <w:r>
        <w:rPr>
          <w:iCs/>
          <w:color w:val="000000"/>
        </w:rPr>
        <w:tab/>
        <w:t>Индонезия состоит из 33 провинций, включая три особых региона - Ачех, Джакарту и Джокьякарту.  В каждой провинции существуют свои законодательные органы, а во главе провинций стоят губернаторы, которые обладают широкими административными полномочиями.</w:t>
      </w:r>
    </w:p>
    <w:p w:rsidR="00000000" w:rsidRDefault="00000000">
      <w:pPr>
        <w:rPr>
          <w:iCs/>
          <w:color w:val="000000"/>
        </w:rPr>
      </w:pPr>
    </w:p>
    <w:p w:rsidR="00000000" w:rsidRDefault="00000000">
      <w:r>
        <w:t>54.</w:t>
      </w:r>
      <w:r>
        <w:tab/>
        <w:t>Провинции делятся на кабупатены (муниципалитеты), возглавляемые регентами, и города, которые возглавляют валикота (мэры).  Муниципалитет или город состоит из нескольких кечаматанов (районов), во главе которых стоят каматы (главы районов).  Районы в свою очередь делятся на келураханы/деса (деревни), во главе которых стоят деревенские старосты (лурахи).</w:t>
      </w:r>
    </w:p>
    <w:p w:rsidR="00000000" w:rsidRDefault="00000000"/>
    <w:p w:rsidR="00000000" w:rsidRDefault="00000000">
      <w:pPr>
        <w:jc w:val="center"/>
      </w:pPr>
      <w:r>
        <w:rPr>
          <w:b/>
          <w:bCs/>
        </w:rPr>
        <w:t>Е.</w:t>
      </w:r>
      <w:r>
        <w:rPr>
          <w:b/>
          <w:bCs/>
        </w:rPr>
        <w:tab/>
        <w:t>Правовые рамки</w:t>
      </w:r>
    </w:p>
    <w:p w:rsidR="00000000" w:rsidRDefault="00000000"/>
    <w:p w:rsidR="00000000" w:rsidRDefault="00000000">
      <w:r>
        <w:t>55.</w:t>
      </w:r>
      <w:r>
        <w:tab/>
        <w:t>Исходя из Закона № 10 2004 года (статья 7) о разработке законов и постановлений, иерархия правовых норм в Индонезии является следующей:</w:t>
      </w:r>
    </w:p>
    <w:p w:rsidR="00000000" w:rsidRDefault="00000000"/>
    <w:p w:rsidR="00000000" w:rsidRDefault="00000000">
      <w:r>
        <w:tab/>
        <w:t>а)</w:t>
      </w:r>
      <w:r>
        <w:tab/>
        <w:t>Конституция 1945 года (УУД 1945 года);</w:t>
      </w:r>
    </w:p>
    <w:p w:rsidR="00000000" w:rsidRDefault="00000000"/>
    <w:p w:rsidR="00000000" w:rsidRDefault="00000000">
      <w:pPr>
        <w:ind w:left="1134" w:hanging="1134"/>
      </w:pPr>
      <w:r>
        <w:tab/>
      </w:r>
      <w:r>
        <w:rPr>
          <w:lang w:val="en-US"/>
        </w:rPr>
        <w:t>b</w:t>
      </w:r>
      <w:r>
        <w:t>)</w:t>
      </w:r>
      <w:r>
        <w:tab/>
        <w:t>Закон (</w:t>
      </w:r>
      <w:r>
        <w:rPr>
          <w:lang w:val="en-US"/>
        </w:rPr>
        <w:t>Undang</w:t>
      </w:r>
      <w:r>
        <w:t>-</w:t>
      </w:r>
      <w:r>
        <w:rPr>
          <w:lang w:val="en-US"/>
        </w:rPr>
        <w:t>undang</w:t>
      </w:r>
      <w:r>
        <w:t>)/Постановление правительства, имеющее силу закона (</w:t>
      </w:r>
      <w:r>
        <w:rPr>
          <w:lang w:val="en-US"/>
        </w:rPr>
        <w:t>Perpu</w:t>
      </w:r>
      <w:r>
        <w:t>);</w:t>
      </w:r>
    </w:p>
    <w:p w:rsidR="00000000" w:rsidRDefault="00000000">
      <w:pPr>
        <w:ind w:left="1134" w:hanging="1134"/>
      </w:pPr>
    </w:p>
    <w:p w:rsidR="00000000" w:rsidRDefault="00000000">
      <w:pPr>
        <w:ind w:left="1134" w:hanging="1134"/>
      </w:pPr>
      <w:r>
        <w:tab/>
        <w:t>с)</w:t>
      </w:r>
      <w:r>
        <w:tab/>
        <w:t>Постановление правительства (</w:t>
      </w:r>
      <w:r>
        <w:rPr>
          <w:lang w:val="en-US"/>
        </w:rPr>
        <w:t>Peraturan</w:t>
      </w:r>
      <w:r>
        <w:t xml:space="preserve"> </w:t>
      </w:r>
      <w:r>
        <w:rPr>
          <w:lang w:val="en-US"/>
        </w:rPr>
        <w:t>Pemerintah</w:t>
      </w:r>
      <w:r>
        <w:t>);</w:t>
      </w:r>
    </w:p>
    <w:p w:rsidR="00000000" w:rsidRDefault="00000000">
      <w:pPr>
        <w:ind w:left="1134" w:hanging="1134"/>
      </w:pPr>
    </w:p>
    <w:p w:rsidR="00000000" w:rsidRDefault="00000000">
      <w:pPr>
        <w:ind w:left="1134" w:hanging="1134"/>
      </w:pPr>
      <w:r>
        <w:tab/>
      </w:r>
      <w:r>
        <w:rPr>
          <w:lang w:val="en-US"/>
        </w:rPr>
        <w:t>d</w:t>
      </w:r>
      <w:r>
        <w:t>)</w:t>
      </w:r>
      <w:r>
        <w:tab/>
        <w:t>Постановление президента (</w:t>
      </w:r>
      <w:r>
        <w:rPr>
          <w:lang w:val="en-US"/>
        </w:rPr>
        <w:t>Peraturan</w:t>
      </w:r>
      <w:r>
        <w:t xml:space="preserve"> </w:t>
      </w:r>
      <w:r>
        <w:rPr>
          <w:lang w:val="en-US"/>
        </w:rPr>
        <w:t>Presiden</w:t>
      </w:r>
      <w:r>
        <w:t>);</w:t>
      </w:r>
    </w:p>
    <w:p w:rsidR="00000000" w:rsidRDefault="00000000">
      <w:pPr>
        <w:ind w:left="1134" w:hanging="1134"/>
      </w:pPr>
    </w:p>
    <w:p w:rsidR="00000000" w:rsidRDefault="00000000">
      <w:pPr>
        <w:ind w:left="1134" w:hanging="1134"/>
      </w:pPr>
      <w:r>
        <w:tab/>
        <w:t>е)</w:t>
      </w:r>
      <w:r>
        <w:tab/>
        <w:t>Постановления местных органов власти (</w:t>
      </w:r>
      <w:r>
        <w:rPr>
          <w:lang w:val="en-US"/>
        </w:rPr>
        <w:t>Peraturan</w:t>
      </w:r>
      <w:r>
        <w:t xml:space="preserve"> </w:t>
      </w:r>
      <w:r>
        <w:rPr>
          <w:lang w:val="en-US"/>
        </w:rPr>
        <w:t>Daerah</w:t>
      </w:r>
      <w:r>
        <w:t>).</w:t>
      </w:r>
    </w:p>
    <w:p w:rsidR="00000000" w:rsidRDefault="00000000">
      <w:pPr>
        <w:ind w:left="1134" w:hanging="1134"/>
      </w:pPr>
    </w:p>
    <w:p w:rsidR="00000000" w:rsidRDefault="00000000">
      <w:r>
        <w:t>56.</w:t>
      </w:r>
      <w:r>
        <w:tab/>
        <w:t>Конституция государства Республика Индонезия 1945 года обычно называется Конституцией 1945 года.  Это отчасти вызвано тем, что Конституция была разработана и принята в 1945 году, т.е. когда была создана Республика.  Кроме того, в статьях Конституции 1945 года закреплены идеалы и цели, ради претворения в жизнь которых 17 августа 1945 года была провозглашена независимость и которые отстаивались в последующий период.  В Конституции отражен дух и энтузиазм того времени, когда она составлялась.  Конституция Республики Индонезии включает преамбулу, 37 статей, четыре переходных оговорки и два дополнительных положения.  Конституция Индонезии 1945 года (</w:t>
      </w:r>
      <w:r>
        <w:rPr>
          <w:lang w:val="en-US"/>
        </w:rPr>
        <w:t>Undang</w:t>
      </w:r>
      <w:r>
        <w:t>-</w:t>
      </w:r>
      <w:r>
        <w:rPr>
          <w:lang w:val="en-US"/>
        </w:rPr>
        <w:t>undang</w:t>
      </w:r>
      <w:r>
        <w:t xml:space="preserve"> </w:t>
      </w:r>
      <w:r>
        <w:rPr>
          <w:lang w:val="en-US"/>
        </w:rPr>
        <w:t>Dasar</w:t>
      </w:r>
      <w:r>
        <w:t xml:space="preserve"> 1945) является в Индонезии основой всех законов и постановлений.  Это основной закон, который регулирует различные вопросы государственности и служит первоосновой и фундаментом всех других постановлений.</w:t>
      </w:r>
    </w:p>
    <w:p w:rsidR="00000000" w:rsidRDefault="00000000"/>
    <w:p w:rsidR="00000000" w:rsidRDefault="00000000">
      <w:r>
        <w:t>57.</w:t>
      </w:r>
      <w:r>
        <w:tab/>
        <w:t>Закон (</w:t>
      </w:r>
      <w:r>
        <w:rPr>
          <w:lang w:val="en-US"/>
        </w:rPr>
        <w:t>Undang</w:t>
      </w:r>
      <w:r>
        <w:t>-</w:t>
      </w:r>
      <w:r>
        <w:rPr>
          <w:lang w:val="en-US"/>
        </w:rPr>
        <w:t>undang</w:t>
      </w:r>
      <w:r>
        <w:t xml:space="preserve"> - </w:t>
      </w:r>
      <w:r>
        <w:rPr>
          <w:lang w:val="en-US"/>
        </w:rPr>
        <w:t>UU</w:t>
      </w:r>
      <w:r>
        <w:t>)/Постановление правительства, имеющее силу закона (</w:t>
      </w:r>
      <w:r>
        <w:rPr>
          <w:lang w:val="en-US"/>
        </w:rPr>
        <w:t>Peraturan</w:t>
      </w:r>
      <w:r>
        <w:t xml:space="preserve"> </w:t>
      </w:r>
      <w:r>
        <w:rPr>
          <w:lang w:val="en-US"/>
        </w:rPr>
        <w:t>Pemerintah</w:t>
      </w:r>
      <w:r>
        <w:t xml:space="preserve"> </w:t>
      </w:r>
      <w:r>
        <w:rPr>
          <w:lang w:val="en-US"/>
        </w:rPr>
        <w:t>Pengganti</w:t>
      </w:r>
      <w:r>
        <w:t xml:space="preserve"> </w:t>
      </w:r>
      <w:r>
        <w:rPr>
          <w:lang w:val="en-US"/>
        </w:rPr>
        <w:t>Undang</w:t>
      </w:r>
      <w:r>
        <w:t>-</w:t>
      </w:r>
      <w:r>
        <w:rPr>
          <w:lang w:val="en-US"/>
        </w:rPr>
        <w:t>undang</w:t>
      </w:r>
      <w:r>
        <w:t xml:space="preserve"> - </w:t>
      </w:r>
      <w:r>
        <w:rPr>
          <w:lang w:val="en-US"/>
        </w:rPr>
        <w:t>Perpu</w:t>
      </w:r>
      <w:r>
        <w:t>), как понятие имеет два значения, а именно:</w:t>
      </w:r>
    </w:p>
    <w:p w:rsidR="00000000" w:rsidRDefault="00000000"/>
    <w:p w:rsidR="00000000" w:rsidRDefault="00000000">
      <w:pPr>
        <w:ind w:left="1134" w:hanging="1134"/>
      </w:pPr>
      <w:r>
        <w:tab/>
        <w:t>а)</w:t>
      </w:r>
      <w:r>
        <w:tab/>
        <w:t>Закон в материальном смысле представляет собой законоположение, принимаемое как центральным правительством, так и/или местными или региональными органами власти.</w:t>
      </w:r>
    </w:p>
    <w:p w:rsidR="00000000" w:rsidRDefault="00000000">
      <w:pPr>
        <w:ind w:left="1134" w:hanging="1134"/>
      </w:pPr>
    </w:p>
    <w:p w:rsidR="00000000" w:rsidRDefault="00000000">
      <w:pPr>
        <w:ind w:left="1134" w:hanging="1134"/>
      </w:pPr>
      <w:r>
        <w:tab/>
      </w:r>
      <w:r>
        <w:rPr>
          <w:lang w:val="en-US"/>
        </w:rPr>
        <w:t>b</w:t>
      </w:r>
      <w:r>
        <w:t>)</w:t>
      </w:r>
      <w:r>
        <w:tab/>
        <w:t>Закон в формальном смысле представляет собой письменное решение, которое формально устанавливает источник права, как это указано в пункте 1 статьи 5 и пункте 1 статьи 20 Конституции 1945 года.</w:t>
      </w:r>
    </w:p>
    <w:p w:rsidR="00000000" w:rsidRDefault="00000000">
      <w:pPr>
        <w:ind w:left="1134" w:hanging="1134"/>
      </w:pPr>
    </w:p>
    <w:p w:rsidR="00000000" w:rsidRDefault="00000000">
      <w:r>
        <w:t>58.</w:t>
      </w:r>
      <w:r>
        <w:tab/>
        <w:t>Постановление правительства (</w:t>
      </w:r>
      <w:r>
        <w:rPr>
          <w:lang w:val="en-US"/>
        </w:rPr>
        <w:t>Peraturan</w:t>
      </w:r>
      <w:r>
        <w:t xml:space="preserve"> </w:t>
      </w:r>
      <w:r>
        <w:rPr>
          <w:lang w:val="en-US"/>
        </w:rPr>
        <w:t>Pemerintah</w:t>
      </w:r>
      <w:r>
        <w:t xml:space="preserve"> - РР) представляет собой исполнительное распоряжение по применению конкретного закона, принятого президентом и Советом народных представителей.  В соответствии с Конституцией 1945 года Президент компетентен принимать соответствующие правительственные постановления в целях обеспечения применения закона.  В этом смысле Президент может не принимать никаких правительственных постановлений, если отсутствует общий закон, в связи с которым может быть принято такое постановление.  Аналогичным образом закон не может эффективно применяться, если отсутствует правительственное постановление по его применению.</w:t>
      </w:r>
    </w:p>
    <w:p w:rsidR="00000000" w:rsidRDefault="00000000"/>
    <w:p w:rsidR="00000000" w:rsidRDefault="00000000">
      <w:r>
        <w:t>59.</w:t>
      </w:r>
      <w:r>
        <w:tab/>
        <w:t>Согласно Конституции 1945 года, одним из нормативных актов также является Президентский декрет (</w:t>
      </w:r>
      <w:r>
        <w:rPr>
          <w:lang w:val="en-US"/>
        </w:rPr>
        <w:t>Keputusan</w:t>
      </w:r>
      <w:r>
        <w:t xml:space="preserve"> </w:t>
      </w:r>
      <w:r>
        <w:rPr>
          <w:lang w:val="en-US"/>
        </w:rPr>
        <w:t>Presiden</w:t>
      </w:r>
      <w:r>
        <w:t xml:space="preserve"> - </w:t>
      </w:r>
      <w:r>
        <w:rPr>
          <w:lang w:val="en-US"/>
        </w:rPr>
        <w:t>Keppres</w:t>
      </w:r>
      <w:r>
        <w:t>).  Впервые президентский декрет был использован в 1959 году и содержался в письме президента за номером 2262/</w:t>
      </w:r>
      <w:r>
        <w:rPr>
          <w:lang w:val="en-US"/>
        </w:rPr>
        <w:t>HK</w:t>
      </w:r>
      <w:r>
        <w:t xml:space="preserve">/1969 Совету народных представителей, в котором излагалось принятое президентом распоряжение по осуществлению на оперативном уровне решения президента.  На основе Декрета Народного консультативного конгресса за номером </w:t>
      </w:r>
      <w:r>
        <w:rPr>
          <w:lang w:val="en-US"/>
        </w:rPr>
        <w:t>XX</w:t>
      </w:r>
      <w:r>
        <w:t>/</w:t>
      </w:r>
      <w:r>
        <w:rPr>
          <w:lang w:val="en-US"/>
        </w:rPr>
        <w:t>MPRS</w:t>
      </w:r>
      <w:r>
        <w:t>/1966 президентский декрет был официально принят в качестве одного из нормативных актов в соответствии с Конституцией 1945 года.  В президентских декретах могут содержаться решения, конкретно касающиеся осуществления Конституции 1945 года, декретов Народного консультативного конгресса как исполнительной ветви государственной власти и правительственных постановлений.</w:t>
      </w:r>
    </w:p>
    <w:p w:rsidR="00000000" w:rsidRDefault="00000000"/>
    <w:p w:rsidR="00000000" w:rsidRDefault="00000000">
      <w:r>
        <w:t>60.</w:t>
      </w:r>
      <w:r>
        <w:tab/>
        <w:t>Другими нормоустанавливающими актами являются декреты и указы министров, а также другие документы, которые должны соответствовать нормам более высокого уровня, например законам, правительственным постановлениям и декретам президента, и строиться на их основе.</w:t>
      </w:r>
    </w:p>
    <w:p w:rsidR="00000000" w:rsidRDefault="00000000"/>
    <w:p w:rsidR="00000000" w:rsidRDefault="00000000">
      <w:r>
        <w:t>61.</w:t>
      </w:r>
      <w:r>
        <w:tab/>
        <w:t>Существует, по крайней мере, пять международных правовых документов, касающихся защиты расовых/этнических групп, а именно Всеобщая декларация прав человека, Международный пакт о гражданских и политических правах и факультативные протоколы к нему, Международный пакт об экономических, социальных и культурных правах, Конвенция МОТ № 100 1957 года, Конвенция ЮНЕСКО о борьбе с дискриминацией в области образования и Конвенция о пресечении преступления апартеида и наказании за него.  Индонезия также сыграла важную роль в разработке Дурбанского плана действий по ликвидации расизма, ксенофобии и расовой дискриминации.</w:t>
      </w:r>
    </w:p>
    <w:p w:rsidR="00000000" w:rsidRDefault="00000000"/>
    <w:p w:rsidR="00000000" w:rsidRDefault="00000000">
      <w:r>
        <w:t>62.</w:t>
      </w:r>
      <w:r>
        <w:tab/>
        <w:t>Кроме того, существуют нормативные положения, касающиеся защиты коренных народов, а также женщин и детей.  Правительство в настоящее время завершает подготовку проекта закона об уязвимых группах, т.е. группах, которые подпадают под действие Конвенции о ликвидации всех форм дискриминации в отношении женщин, Конвенции о правах ребенка и Конвенции о рабстве.  Индонезия также разрабатывает новое законодательство, призванное обеспечить более эффективную защиту и уважение всех этнических групп.  В частности, речь идет о проектах законов о правах традиционных общин (</w:t>
      </w:r>
      <w:r>
        <w:rPr>
          <w:i/>
          <w:iCs/>
          <w:lang w:val="en-US"/>
        </w:rPr>
        <w:t>Hak</w:t>
      </w:r>
      <w:r>
        <w:rPr>
          <w:i/>
          <w:iCs/>
        </w:rPr>
        <w:t>-</w:t>
      </w:r>
      <w:r>
        <w:rPr>
          <w:i/>
          <w:iCs/>
          <w:lang w:val="en-US"/>
        </w:rPr>
        <w:t>hak</w:t>
      </w:r>
      <w:r>
        <w:rPr>
          <w:i/>
          <w:iCs/>
        </w:rPr>
        <w:t xml:space="preserve"> </w:t>
      </w:r>
      <w:r>
        <w:rPr>
          <w:i/>
          <w:iCs/>
          <w:lang w:val="en-US"/>
        </w:rPr>
        <w:t>masyarakat</w:t>
      </w:r>
      <w:r>
        <w:rPr>
          <w:i/>
          <w:iCs/>
        </w:rPr>
        <w:t xml:space="preserve"> </w:t>
      </w:r>
      <w:r>
        <w:rPr>
          <w:i/>
          <w:iCs/>
          <w:lang w:val="en-US"/>
        </w:rPr>
        <w:t>adat</w:t>
      </w:r>
      <w:r>
        <w:t>), о правах традиционных общин, проживающих в отдаленных районах (</w:t>
      </w:r>
      <w:r>
        <w:rPr>
          <w:i/>
          <w:iCs/>
          <w:lang w:val="en-US"/>
        </w:rPr>
        <w:t>k</w:t>
      </w:r>
      <w:r>
        <w:rPr>
          <w:i/>
          <w:iCs/>
        </w:rPr>
        <w:t>о</w:t>
      </w:r>
      <w:r>
        <w:rPr>
          <w:i/>
          <w:iCs/>
          <w:lang w:val="en-US"/>
        </w:rPr>
        <w:t>munitas</w:t>
      </w:r>
      <w:r>
        <w:rPr>
          <w:i/>
          <w:iCs/>
        </w:rPr>
        <w:t xml:space="preserve"> </w:t>
      </w:r>
      <w:r>
        <w:rPr>
          <w:i/>
          <w:iCs/>
          <w:lang w:val="en-US"/>
        </w:rPr>
        <w:t>adat</w:t>
      </w:r>
      <w:r>
        <w:rPr>
          <w:i/>
          <w:iCs/>
        </w:rPr>
        <w:t xml:space="preserve"> </w:t>
      </w:r>
      <w:r>
        <w:rPr>
          <w:i/>
          <w:iCs/>
          <w:lang w:val="en-US"/>
        </w:rPr>
        <w:t>terpencil</w:t>
      </w:r>
      <w:r>
        <w:t>), и о признании и уважении традиционных общин и их традиций (</w:t>
      </w:r>
      <w:r>
        <w:rPr>
          <w:i/>
          <w:iCs/>
          <w:lang w:val="en-US"/>
        </w:rPr>
        <w:t>Hak</w:t>
      </w:r>
      <w:r>
        <w:rPr>
          <w:i/>
          <w:iCs/>
        </w:rPr>
        <w:t xml:space="preserve"> </w:t>
      </w:r>
      <w:r>
        <w:rPr>
          <w:i/>
          <w:iCs/>
          <w:lang w:val="en-US"/>
        </w:rPr>
        <w:t>masyarakat</w:t>
      </w:r>
      <w:r>
        <w:rPr>
          <w:i/>
          <w:iCs/>
        </w:rPr>
        <w:t xml:space="preserve"> </w:t>
      </w:r>
      <w:r>
        <w:rPr>
          <w:i/>
          <w:iCs/>
          <w:lang w:val="en-US"/>
        </w:rPr>
        <w:t>adat</w:t>
      </w:r>
      <w:r>
        <w:rPr>
          <w:i/>
          <w:iCs/>
        </w:rPr>
        <w:t xml:space="preserve"> </w:t>
      </w:r>
      <w:r>
        <w:rPr>
          <w:i/>
          <w:iCs/>
          <w:lang w:val="en-US"/>
        </w:rPr>
        <w:t>dan</w:t>
      </w:r>
      <w:r>
        <w:rPr>
          <w:i/>
          <w:iCs/>
        </w:rPr>
        <w:t xml:space="preserve"> </w:t>
      </w:r>
      <w:r>
        <w:rPr>
          <w:i/>
          <w:iCs/>
          <w:lang w:val="en-US"/>
        </w:rPr>
        <w:t>tradisinya</w:t>
      </w:r>
      <w:r>
        <w:t>).</w:t>
      </w:r>
    </w:p>
    <w:p w:rsidR="00000000" w:rsidRDefault="00000000"/>
    <w:p w:rsidR="00000000" w:rsidRDefault="00000000">
      <w:r>
        <w:t>63.</w:t>
      </w:r>
      <w:r>
        <w:tab/>
        <w:t>Правительство на основе Закона № 6 1974 года о принципах социального обеспечения (т.е. еще до издания Президентского декрета № 111 1999</w:t>
      </w:r>
      <w:r>
        <w:rPr>
          <w:lang w:val="en-US"/>
        </w:rPr>
        <w:t> </w:t>
      </w:r>
      <w:r>
        <w:t>года) приняло меры по обеспечению защиты и предоставлению специального режима для общин, проживающих в отдаленных районах 27 из 33 провинций (</w:t>
      </w:r>
      <w:r>
        <w:rPr>
          <w:i/>
          <w:iCs/>
          <w:lang w:val="en-US"/>
        </w:rPr>
        <w:t>Komunitas</w:t>
      </w:r>
      <w:r>
        <w:rPr>
          <w:i/>
          <w:iCs/>
        </w:rPr>
        <w:t xml:space="preserve"> </w:t>
      </w:r>
      <w:r>
        <w:rPr>
          <w:i/>
          <w:iCs/>
          <w:lang w:val="en-US"/>
        </w:rPr>
        <w:t>Adat</w:t>
      </w:r>
      <w:r>
        <w:rPr>
          <w:i/>
          <w:iCs/>
        </w:rPr>
        <w:t xml:space="preserve"> </w:t>
      </w:r>
      <w:r>
        <w:rPr>
          <w:i/>
          <w:iCs/>
          <w:lang w:val="en-US"/>
        </w:rPr>
        <w:t>Terpencil</w:t>
      </w:r>
      <w:r>
        <w:t>), в частности путем предоставления им жилья и оказания помощи в административных и других вопросах, связанных с их повседневной жизнью.</w:t>
      </w:r>
    </w:p>
    <w:p w:rsidR="00000000" w:rsidRDefault="00000000"/>
    <w:p w:rsidR="00000000" w:rsidRDefault="00000000">
      <w:r>
        <w:t>64.</w:t>
      </w:r>
      <w:r>
        <w:tab/>
        <w:t>Пункт 1 статьи 28 Конституции 1945 года гарантирует полное уважение прав коренных народов.  Однако обеспечить выживание коренных народов чрезвычайно сложно.  Коренные народы живут независимо, в естественных условиях, и практически не поддерживают контактов с другими группами общества.  Они пользуются всеми правами.</w:t>
      </w:r>
    </w:p>
    <w:p w:rsidR="00000000" w:rsidRDefault="00000000"/>
    <w:p w:rsidR="00000000" w:rsidRDefault="00000000">
      <w:r>
        <w:t>65.</w:t>
      </w:r>
      <w:r>
        <w:tab/>
        <w:t>Нормоустанавливающие постановления и декреты в Индонезии также принимают министры и должностные лица в ранге министров или учреждения уровня министерства.  К постановлениям местных органов власти относятся постановления властей провинций, подрайонов и деревень.</w:t>
      </w:r>
    </w:p>
    <w:p w:rsidR="00000000" w:rsidRDefault="00000000"/>
    <w:p w:rsidR="00000000" w:rsidRDefault="00000000">
      <w:r>
        <w:t>66.</w:t>
      </w:r>
      <w:r>
        <w:tab/>
        <w:t>Правительство Индонезии полностью привержено делу поощрения и защиты прав человека в целом.  Об этом свидетельствует философия государства, а также различные законодательные акты, посвященные правам человека, например:</w:t>
      </w:r>
    </w:p>
    <w:p w:rsidR="00000000" w:rsidRDefault="00000000"/>
    <w:p w:rsidR="00000000" w:rsidRDefault="00000000">
      <w:pPr>
        <w:ind w:left="1134" w:hanging="1134"/>
      </w:pPr>
      <w:r>
        <w:tab/>
        <w:t>а)</w:t>
      </w:r>
      <w:r>
        <w:tab/>
        <w:t>Панча шила, особенно второй принцип "Справедливая и цивилизованная гуманность";</w:t>
      </w:r>
    </w:p>
    <w:p w:rsidR="00000000" w:rsidRDefault="00000000"/>
    <w:p w:rsidR="00000000" w:rsidRDefault="00000000">
      <w:r>
        <w:tab/>
        <w:t>b)</w:t>
      </w:r>
      <w:r>
        <w:tab/>
        <w:t xml:space="preserve">Конституция 1945 года, глава </w:t>
      </w:r>
      <w:r>
        <w:rPr>
          <w:lang w:val="en-US"/>
        </w:rPr>
        <w:t>X</w:t>
      </w:r>
      <w:r>
        <w:t xml:space="preserve">А, статьи 28А </w:t>
      </w:r>
      <w:r>
        <w:noBreakHyphen/>
        <w:t xml:space="preserve"> 28</w:t>
      </w:r>
      <w:r>
        <w:rPr>
          <w:lang w:val="en-US"/>
        </w:rPr>
        <w:t>J</w:t>
      </w:r>
      <w:r>
        <w:t>;</w:t>
      </w:r>
    </w:p>
    <w:p w:rsidR="00000000" w:rsidRDefault="00000000"/>
    <w:p w:rsidR="00000000" w:rsidRDefault="00000000">
      <w:r>
        <w:tab/>
        <w:t>с)</w:t>
      </w:r>
      <w:r>
        <w:tab/>
        <w:t xml:space="preserve">Декрет </w:t>
      </w:r>
      <w:r>
        <w:rPr>
          <w:lang w:val="en-US"/>
        </w:rPr>
        <w:t>MPR</w:t>
      </w:r>
      <w:r>
        <w:t xml:space="preserve"> № </w:t>
      </w:r>
      <w:r>
        <w:rPr>
          <w:lang w:val="en-US"/>
        </w:rPr>
        <w:t>XVII</w:t>
      </w:r>
      <w:r>
        <w:t xml:space="preserve"> 1998 года о правах человека;</w:t>
      </w:r>
    </w:p>
    <w:p w:rsidR="00000000" w:rsidRDefault="00000000"/>
    <w:p w:rsidR="00000000" w:rsidRDefault="00000000">
      <w:r>
        <w:tab/>
      </w:r>
      <w:r>
        <w:rPr>
          <w:lang w:val="en-US"/>
        </w:rPr>
        <w:t>d</w:t>
      </w:r>
      <w:r>
        <w:t>)</w:t>
      </w:r>
      <w:r>
        <w:tab/>
        <w:t>Закон № 39 1999</w:t>
      </w:r>
      <w:r>
        <w:rPr>
          <w:lang w:val="en-US"/>
        </w:rPr>
        <w:t> </w:t>
      </w:r>
      <w:r>
        <w:t>года о правах человека;</w:t>
      </w:r>
    </w:p>
    <w:p w:rsidR="00000000" w:rsidRDefault="00000000"/>
    <w:p w:rsidR="00000000" w:rsidRDefault="00000000">
      <w:r>
        <w:tab/>
        <w:t>е)</w:t>
      </w:r>
      <w:r>
        <w:tab/>
        <w:t>Закон № 26 2000 года о Суде по правам человека;</w:t>
      </w:r>
    </w:p>
    <w:p w:rsidR="00000000" w:rsidRDefault="00000000"/>
    <w:p w:rsidR="00000000" w:rsidRDefault="00000000">
      <w:r>
        <w:tab/>
      </w:r>
      <w:r>
        <w:rPr>
          <w:lang w:val="en-US"/>
        </w:rPr>
        <w:t>f</w:t>
      </w:r>
      <w:r>
        <w:t>)</w:t>
      </w:r>
      <w:r>
        <w:tab/>
        <w:t>Закон № 23 2004 года о ликвидации бытового насилия;</w:t>
      </w:r>
    </w:p>
    <w:p w:rsidR="00000000" w:rsidRDefault="00000000"/>
    <w:p w:rsidR="00000000" w:rsidRDefault="00000000">
      <w:r>
        <w:tab/>
      </w:r>
      <w:r>
        <w:rPr>
          <w:lang w:val="en-US"/>
        </w:rPr>
        <w:t>g</w:t>
      </w:r>
      <w:r>
        <w:t>)</w:t>
      </w:r>
      <w:r>
        <w:tab/>
        <w:t>Закон № 27 2004 года о комиссиях по установлению истины и примирению;</w:t>
      </w:r>
    </w:p>
    <w:p w:rsidR="00000000" w:rsidRDefault="00000000"/>
    <w:p w:rsidR="00000000" w:rsidRDefault="00000000">
      <w:r>
        <w:tab/>
      </w:r>
      <w:r>
        <w:rPr>
          <w:lang w:val="en-US"/>
        </w:rPr>
        <w:t>h</w:t>
      </w:r>
      <w:r>
        <w:t>)</w:t>
      </w:r>
      <w:r>
        <w:tab/>
        <w:t>Постановление правительства № 2 2002 года о защите свидетелей и жертв;</w:t>
      </w:r>
    </w:p>
    <w:p w:rsidR="00000000" w:rsidRDefault="00000000"/>
    <w:p w:rsidR="00000000" w:rsidRDefault="00000000">
      <w:pPr>
        <w:ind w:left="1134" w:hanging="1134"/>
      </w:pPr>
      <w:r>
        <w:tab/>
      </w:r>
      <w:r>
        <w:rPr>
          <w:lang w:val="en-US"/>
        </w:rPr>
        <w:t>i</w:t>
      </w:r>
      <w:r>
        <w:t>)</w:t>
      </w:r>
      <w:r>
        <w:tab/>
        <w:t>Постановление правительства № 3 2002 года о компенсации, реституции и реабилитации в случаях грубых нарушений прав человека;</w:t>
      </w:r>
    </w:p>
    <w:p w:rsidR="00000000" w:rsidRDefault="00000000"/>
    <w:p w:rsidR="00000000" w:rsidRDefault="00000000">
      <w:pPr>
        <w:ind w:left="1134" w:hanging="1134"/>
      </w:pPr>
      <w:r>
        <w:tab/>
      </w:r>
      <w:r>
        <w:rPr>
          <w:lang w:val="en-US"/>
        </w:rPr>
        <w:t>j</w:t>
      </w:r>
      <w:r>
        <w:t>)</w:t>
      </w:r>
      <w:r>
        <w:tab/>
        <w:t>Президентский декрет № 40 2004 года о Национальном плане действий в области прав человека (2004-2009 годы);</w:t>
      </w:r>
    </w:p>
    <w:p w:rsidR="00000000" w:rsidRDefault="00000000"/>
    <w:p w:rsidR="00000000" w:rsidRDefault="00000000">
      <w:r>
        <w:tab/>
      </w:r>
      <w:r>
        <w:rPr>
          <w:lang w:val="en-US"/>
        </w:rPr>
        <w:t>k</w:t>
      </w:r>
      <w:r>
        <w:t>)</w:t>
      </w:r>
      <w:r>
        <w:tab/>
        <w:t>законы о ратификации основных конвенций ООН:</w:t>
      </w:r>
    </w:p>
    <w:p w:rsidR="00000000" w:rsidRDefault="00000000"/>
    <w:p w:rsidR="00000000" w:rsidRDefault="00000000">
      <w:pPr>
        <w:numPr>
          <w:ilvl w:val="0"/>
          <w:numId w:val="13"/>
        </w:numPr>
        <w:tabs>
          <w:tab w:val="clear" w:pos="1134"/>
        </w:tabs>
      </w:pPr>
      <w:r>
        <w:t>Закон № 68 1958 года о ратификации Конвенции о политических правах женщин;</w:t>
      </w:r>
    </w:p>
    <w:p w:rsidR="00000000" w:rsidRDefault="00000000">
      <w:pPr>
        <w:tabs>
          <w:tab w:val="clear" w:pos="1701"/>
        </w:tabs>
        <w:ind w:left="1134"/>
      </w:pPr>
    </w:p>
    <w:p w:rsidR="00000000" w:rsidRDefault="00000000">
      <w:pPr>
        <w:numPr>
          <w:ilvl w:val="0"/>
          <w:numId w:val="13"/>
        </w:numPr>
      </w:pPr>
      <w:r>
        <w:tab/>
        <w:t>Закон № 7 1984 года о ратификации Конвенции о ликвидации всех форм дискриминации в отношении женщин;</w:t>
      </w:r>
    </w:p>
    <w:p w:rsidR="00000000" w:rsidRDefault="00000000">
      <w:pPr>
        <w:tabs>
          <w:tab w:val="clear" w:pos="1701"/>
        </w:tabs>
        <w:ind w:left="1134"/>
      </w:pPr>
    </w:p>
    <w:p w:rsidR="00000000" w:rsidRDefault="00000000">
      <w:pPr>
        <w:numPr>
          <w:ilvl w:val="0"/>
          <w:numId w:val="13"/>
        </w:numPr>
        <w:tabs>
          <w:tab w:val="clear" w:pos="1134"/>
        </w:tabs>
      </w:pPr>
      <w:r>
        <w:t>Президентский декрет № 48 1993 года о ратификации Конвенции 1985 года против апартеида в спорте;</w:t>
      </w:r>
    </w:p>
    <w:p w:rsidR="00000000" w:rsidRDefault="00000000">
      <w:pPr>
        <w:tabs>
          <w:tab w:val="clear" w:pos="1701"/>
        </w:tabs>
        <w:ind w:left="1134"/>
      </w:pPr>
    </w:p>
    <w:p w:rsidR="00000000" w:rsidRDefault="00000000">
      <w:pPr>
        <w:numPr>
          <w:ilvl w:val="0"/>
          <w:numId w:val="13"/>
        </w:numPr>
        <w:tabs>
          <w:tab w:val="clear" w:pos="1134"/>
        </w:tabs>
      </w:pPr>
      <w:r>
        <w:t>Закон № 5 1998 года о ратификации Конвенции против пыток и других жестоких, бесчеловечных или унижающих достоинство видов обращения и наказания;</w:t>
      </w:r>
    </w:p>
    <w:p w:rsidR="00000000" w:rsidRDefault="00000000">
      <w:pPr>
        <w:tabs>
          <w:tab w:val="clear" w:pos="1701"/>
        </w:tabs>
        <w:ind w:left="1134"/>
      </w:pPr>
    </w:p>
    <w:p w:rsidR="00000000" w:rsidRDefault="00000000">
      <w:pPr>
        <w:numPr>
          <w:ilvl w:val="0"/>
          <w:numId w:val="13"/>
        </w:numPr>
      </w:pPr>
      <w:r>
        <w:tab/>
        <w:t>Закон № 29 1999</w:t>
      </w:r>
      <w:r>
        <w:rPr>
          <w:lang w:val="en-US"/>
        </w:rPr>
        <w:t> </w:t>
      </w:r>
      <w:r>
        <w:t>года о Международной конвенции о ликвидации всех форм расовой дискриминации;</w:t>
      </w:r>
    </w:p>
    <w:p w:rsidR="00000000" w:rsidRDefault="00000000">
      <w:pPr>
        <w:tabs>
          <w:tab w:val="clear" w:pos="1701"/>
        </w:tabs>
        <w:ind w:left="1134"/>
      </w:pPr>
    </w:p>
    <w:p w:rsidR="00000000" w:rsidRDefault="00000000">
      <w:pPr>
        <w:numPr>
          <w:ilvl w:val="0"/>
          <w:numId w:val="13"/>
        </w:numPr>
        <w:tabs>
          <w:tab w:val="clear" w:pos="1134"/>
        </w:tabs>
      </w:pPr>
      <w:r>
        <w:t>Президентский декрет № 36 1990 года о ратификации Конвенции о правах ребенка.</w:t>
      </w:r>
    </w:p>
    <w:p w:rsidR="00000000" w:rsidRDefault="00000000">
      <w:pPr>
        <w:tabs>
          <w:tab w:val="clear" w:pos="1701"/>
        </w:tabs>
        <w:ind w:left="1134"/>
      </w:pPr>
    </w:p>
    <w:p w:rsidR="00000000" w:rsidRDefault="00000000">
      <w:pPr>
        <w:tabs>
          <w:tab w:val="clear" w:pos="1134"/>
          <w:tab w:val="left" w:pos="1122"/>
        </w:tabs>
      </w:pPr>
      <w:r>
        <w:t>67.</w:t>
      </w:r>
      <w:r>
        <w:tab/>
        <w:t>Кроме того, правительство Индонезии ратифицирует в 2005 году два основных международных пакта о правах человека, а именно Международный пакт о гражданских и политических правах (МПГПП) и Международный пакт об экономических, социальных и культурных правах (МПЭСКП).</w:t>
      </w:r>
    </w:p>
    <w:p w:rsidR="00000000" w:rsidRDefault="00000000"/>
    <w:p w:rsidR="00000000" w:rsidRDefault="00000000">
      <w:r>
        <w:t>68.</w:t>
      </w:r>
      <w:r>
        <w:tab/>
        <w:t>До принятия в 2000 году Закона № 24 о международных договорах какое-либо конкретное законодательство, регулирующее ратификацию международных конвенций, отсутствовало.  В то время конвенция могла быть ратифицирована либо путем принятия закона, либо путем издания президентского декрета.  Однако после принятия Закона № 24 2000 года особо важные международные конвенции, касающиеся, например, прав человека, могут ратифицироваться лишь на основе принятия соответствующего закона.  Например, Индонезия ратифицировала МКЛРД путем принятия закона № 29 1999 года, что свидетельствует о важности этой конвенции.</w:t>
      </w:r>
    </w:p>
    <w:p w:rsidR="00000000" w:rsidRDefault="00000000"/>
    <w:p w:rsidR="00000000" w:rsidRDefault="00000000">
      <w:r>
        <w:t>69.</w:t>
      </w:r>
      <w:r>
        <w:tab/>
        <w:t>В целях укрепления правовых рамок в Индонезии, что предусмотрено Конвенцией 1945 года, правительство создало ряд новых учреждений, а именно Конституционный суд, Национальную комиссию по правовым вопросам, [Судебную комиссию], Комиссию по делам прокуратуры, Комиссию по наблюдению за деятельностью полиции и Комиссию омбудсмена.</w:t>
      </w:r>
    </w:p>
    <w:p w:rsidR="00000000" w:rsidRDefault="00000000"/>
    <w:p w:rsidR="00000000" w:rsidRDefault="00000000">
      <w:pPr>
        <w:rPr>
          <w:color w:val="000000"/>
        </w:rPr>
      </w:pPr>
      <w:r>
        <w:t>70.</w:t>
      </w:r>
      <w:r>
        <w:tab/>
        <w:t>В феврале 2000 года президентом Республики Индонезии была учреждена Национальная комиссия по правовым вопросам (</w:t>
      </w:r>
      <w:r>
        <w:rPr>
          <w:i/>
          <w:color w:val="000000"/>
        </w:rPr>
        <w:t>Komisi Hukum Nasional</w:t>
      </w:r>
      <w:r>
        <w:rPr>
          <w:color w:val="000000"/>
        </w:rPr>
        <w:t>), которой поручено консультировать президента по общим правовым вопросам и разрабатывать при содействии других юристов планы в области реформы законодательства.  20 марта 2000 года президентом была также учреждена Национальная комиссия омбудсмена (</w:t>
      </w:r>
      <w:r>
        <w:rPr>
          <w:i/>
          <w:color w:val="000000"/>
        </w:rPr>
        <w:t>Komisi Ombudsman Nasional</w:t>
      </w:r>
      <w:r>
        <w:rPr>
          <w:color w:val="000000"/>
        </w:rPr>
        <w:t>), которой поручено получать и рассматривать поступающие от населения сообщения в отношении защиты их прав и услуг, оказываемых правительством, и принимать в этой связи последующие меры.</w:t>
      </w:r>
    </w:p>
    <w:p w:rsidR="00000000" w:rsidRDefault="00000000">
      <w:pPr>
        <w:rPr>
          <w:color w:val="000000"/>
        </w:rPr>
      </w:pPr>
    </w:p>
    <w:p w:rsidR="00000000" w:rsidRDefault="00000000">
      <w:pPr>
        <w:rPr>
          <w:color w:val="000000"/>
        </w:rPr>
      </w:pPr>
      <w:r>
        <w:rPr>
          <w:color w:val="000000"/>
        </w:rPr>
        <w:t>71.</w:t>
      </w:r>
      <w:r>
        <w:rPr>
          <w:color w:val="000000"/>
        </w:rPr>
        <w:tab/>
        <w:t>В соответствии с Законом № 22 2004 года была учреждена Судебная комиссия.  Ее задача состоит в обеспечении независимости судебной системы в Индонезии, с тем чтобы гарантировать, как это  предусмотрено в Конституции, справедливость правосудия и господство права.  На Комиссию возложены следующие две основные функции:  а)  отбор кандидатов в члены Верховного суда и представление их кандидатур на утверждение Совету народных представителей;  и  b)  обеспечение того, чтобы в своей деятельности судьи руководствовались принципами чести и достоинства.  Комиссию можно рассматривать в качестве органа по контролю за деятельностью судов и судей в рамках судебной системы Индонезии.  Она состоит из семи членов, которые назначаются президентом с согласия Совета народных представителей.  Члены Комиссии выбираются из бывших судей, практикующих юристов, правоведов и представителей общественности сроком на пять лет.  Комиссия независима от правительства и не подчиняется ему.</w:t>
      </w:r>
    </w:p>
    <w:p w:rsidR="00000000" w:rsidRDefault="00000000">
      <w:pPr>
        <w:rPr>
          <w:color w:val="000000"/>
        </w:rPr>
      </w:pPr>
    </w:p>
    <w:p w:rsidR="00000000" w:rsidRDefault="00000000">
      <w:pPr>
        <w:rPr>
          <w:color w:val="000000"/>
        </w:rPr>
      </w:pPr>
      <w:r>
        <w:rPr>
          <w:color w:val="000000"/>
        </w:rPr>
        <w:t>72.</w:t>
      </w:r>
      <w:r>
        <w:rPr>
          <w:color w:val="000000"/>
        </w:rPr>
        <w:tab/>
        <w:t>Комиссия по делам прокуратуры была учреждена для осуществления внешнего надзора за механизмом внутреннего контроля системы прокуратуры.  Она осуществляет мониторинг и оценку организации работы, адекватности инфраструктуры и кадров Генеральной прокуратуры, контролирует и оценивает действия прокуроров при исполнении ими своих служебных обязанностей и/или вне работы и представляет Генеральному прокурору рекомендации по результатам мониторинга, оценки и контроля.  Комиссия по делам прокуратуры также будет наблюдать за деятельностью подразделения внутреннего надзора.</w:t>
      </w:r>
    </w:p>
    <w:p w:rsidR="00000000" w:rsidRDefault="00000000">
      <w:pPr>
        <w:rPr>
          <w:color w:val="000000"/>
        </w:rPr>
      </w:pPr>
    </w:p>
    <w:p w:rsidR="00000000" w:rsidRDefault="00000000">
      <w:pPr>
        <w:rPr>
          <w:color w:val="000000"/>
        </w:rPr>
      </w:pPr>
      <w:r>
        <w:rPr>
          <w:color w:val="000000"/>
        </w:rPr>
        <w:t>73.</w:t>
      </w:r>
      <w:r>
        <w:rPr>
          <w:color w:val="000000"/>
        </w:rPr>
        <w:tab/>
        <w:t>Комиссия по наблюдению за деятельностью Национальной полиции была учреждена в соответствии с Законом № 2 2002 года о департаменте полиции.  Эта Комиссия будет наблюдать за работой полиции.  Группа, сформированная полицией, в настоящее время занимается отбором членов Комиссии.  Процедура отбора аналогична процедурам, которые используются для выбора членов как Комиссии по делам прокуратуры, так и Судебной комиссии, хотя в случае последней кандидаты должны также проходить проверку на пригодность и добросовестность в Совете народных представителей (СНП).  Одним из элементов правовой основы деятельности Судебной комиссии также является четвертая поправка к Конституции 1945 года, в соответствии с которой она имеет право рекомендовать кандидата на пост главы Верховного суда.  В состав Комиссии входят девять членов, из которых шесть назначаются из числа представителей общественности, а три - из числа членов кабинета.  Министр-координатор по вопросам политики, права и безопасности выполняет функцию председателя, министр внутренних дел является заместителем председателя, а министр юстиции и по правам человека - членом Комиссии.</w:t>
      </w:r>
    </w:p>
    <w:p w:rsidR="00000000" w:rsidRDefault="00000000">
      <w:pPr>
        <w:rPr>
          <w:color w:val="000000"/>
        </w:rPr>
      </w:pPr>
    </w:p>
    <w:p w:rsidR="00000000" w:rsidRDefault="00000000">
      <w:pPr>
        <w:rPr>
          <w:color w:val="000000"/>
        </w:rPr>
      </w:pPr>
      <w:r>
        <w:rPr>
          <w:color w:val="000000"/>
        </w:rPr>
        <w:t>74.</w:t>
      </w:r>
      <w:r>
        <w:rPr>
          <w:color w:val="000000"/>
        </w:rPr>
        <w:tab/>
        <w:t>На основе третьей поправки к Конституции 1945 года, которая была внесена в соответствии с Президентским декретом № 147/М/2003, в Индонезии был учрежден Конституционный суд.  Этот новый суд имеет пять функций:</w:t>
      </w:r>
    </w:p>
    <w:p w:rsidR="00000000" w:rsidRDefault="00000000">
      <w:pPr>
        <w:rPr>
          <w:color w:val="000000"/>
        </w:rPr>
      </w:pPr>
    </w:p>
    <w:p w:rsidR="00000000" w:rsidRDefault="00000000">
      <w:pPr>
        <w:rPr>
          <w:color w:val="000000"/>
        </w:rPr>
      </w:pPr>
      <w:r>
        <w:rPr>
          <w:color w:val="000000"/>
        </w:rPr>
        <w:tab/>
        <w:t>а)</w:t>
      </w:r>
      <w:r>
        <w:rPr>
          <w:color w:val="000000"/>
        </w:rPr>
        <w:tab/>
        <w:t>проводить обзор законов на предмет их соответствия Конституции 1945 года;</w:t>
      </w:r>
    </w:p>
    <w:p w:rsidR="00000000" w:rsidRDefault="00000000">
      <w:pPr>
        <w:rPr>
          <w:color w:val="000000"/>
        </w:rPr>
      </w:pPr>
    </w:p>
    <w:p w:rsidR="00000000" w:rsidRDefault="00000000">
      <w:pPr>
        <w:rPr>
          <w:color w:val="000000"/>
        </w:rPr>
      </w:pPr>
      <w:r>
        <w:rPr>
          <w:color w:val="000000"/>
        </w:rPr>
        <w:tab/>
        <w:t>b)</w:t>
      </w:r>
      <w:r>
        <w:rPr>
          <w:color w:val="000000"/>
        </w:rPr>
        <w:tab/>
        <w:t>выносить решения по спорам о компетенции между различными государственными учреждениями, полномочия которых определены в Конституции;</w:t>
      </w:r>
    </w:p>
    <w:p w:rsidR="00000000" w:rsidRDefault="00000000">
      <w:pPr>
        <w:rPr>
          <w:color w:val="000000"/>
        </w:rPr>
      </w:pPr>
    </w:p>
    <w:p w:rsidR="00000000" w:rsidRDefault="00000000">
      <w:pPr>
        <w:rPr>
          <w:color w:val="000000"/>
        </w:rPr>
      </w:pPr>
      <w:r>
        <w:rPr>
          <w:color w:val="000000"/>
        </w:rPr>
        <w:tab/>
        <w:t>с)</w:t>
      </w:r>
      <w:r>
        <w:rPr>
          <w:color w:val="000000"/>
        </w:rPr>
        <w:tab/>
        <w:t>распускать политические партии;</w:t>
      </w:r>
    </w:p>
    <w:p w:rsidR="00000000" w:rsidRDefault="00000000">
      <w:pPr>
        <w:rPr>
          <w:color w:val="000000"/>
        </w:rPr>
      </w:pPr>
    </w:p>
    <w:p w:rsidR="00000000" w:rsidRDefault="00000000">
      <w:pPr>
        <w:rPr>
          <w:color w:val="000000"/>
        </w:rPr>
      </w:pPr>
      <w:r>
        <w:rPr>
          <w:color w:val="000000"/>
        </w:rPr>
        <w:tab/>
        <w:t>d)</w:t>
      </w:r>
      <w:r>
        <w:rPr>
          <w:color w:val="000000"/>
        </w:rPr>
        <w:tab/>
        <w:t>разрешать споры по результатам выборов;  и</w:t>
      </w:r>
    </w:p>
    <w:p w:rsidR="00000000" w:rsidRDefault="00000000">
      <w:pPr>
        <w:rPr>
          <w:color w:val="000000"/>
        </w:rPr>
      </w:pPr>
    </w:p>
    <w:p w:rsidR="00000000" w:rsidRDefault="00000000">
      <w:pPr>
        <w:rPr>
          <w:color w:val="000000"/>
        </w:rPr>
      </w:pPr>
      <w:r>
        <w:rPr>
          <w:color w:val="000000"/>
        </w:rPr>
        <w:tab/>
        <w:t>е)</w:t>
      </w:r>
      <w:r>
        <w:rPr>
          <w:color w:val="000000"/>
        </w:rPr>
        <w:tab/>
        <w:t>выносить решения по заключению законодательного органа в случаях подозрения президента или вице-президента в нарушении законов, например в совершении актов измены, коррупции, взяточничества или других тяжких преступлений или неправомерных действий.</w:t>
      </w:r>
    </w:p>
    <w:p w:rsidR="00000000" w:rsidRDefault="00000000">
      <w:pPr>
        <w:rPr>
          <w:color w:val="000000"/>
        </w:rPr>
      </w:pPr>
    </w:p>
    <w:p w:rsidR="00000000" w:rsidRDefault="00000000">
      <w:r>
        <w:t>75.</w:t>
      </w:r>
      <w:r>
        <w:tab/>
        <w:t>Правительство Индонезии неизменно придает первостепенное значение уважению и осуществлению прав человека.  В этой связи правительство Индонезии приняло первый Национальный план действий в области прав человека на 1998-2003 годы, который официально начал осуществляться 25 июня 1998 года, т.е. ровно пять лет после принятия Венской декларации и Программы действий.</w:t>
      </w:r>
    </w:p>
    <w:p w:rsidR="00000000" w:rsidRDefault="00000000"/>
    <w:p w:rsidR="00000000" w:rsidRDefault="00000000">
      <w:r>
        <w:t>76.</w:t>
      </w:r>
      <w:r>
        <w:tab/>
        <w:t xml:space="preserve">В 2004 году правительство Индонезии на основе закона № 40 2004 года приняло второй план действий в области прав человека (на период 2004-2009 годов).  О начале осуществления этого Плана действий было официально объявлено 25 августа 2004 года в Джакарте президентом Республики Индонезия.  </w:t>
      </w:r>
    </w:p>
    <w:p w:rsidR="00000000" w:rsidRDefault="00000000"/>
    <w:p w:rsidR="00000000" w:rsidRDefault="00000000">
      <w:r>
        <w:t>77.</w:t>
      </w:r>
      <w:r>
        <w:tab/>
        <w:t>Основная цель этого Плана состоит в обеспечении соблюдения и повышении эффективности мер по поощрению, соблюдению и защите прав человека в Индонезии с учетом религиозных, традиционных и культурных ценностей индонезийского народа и на основе Конституции Республики Индонезии 1945 года.  В нем, как и в первом Национальном плане действий (на период 1998-2003 годов), определены сроки достижения конкретных целей применительно к образованию в области прав человека.</w:t>
      </w:r>
    </w:p>
    <w:p w:rsidR="00000000" w:rsidRDefault="00000000"/>
    <w:p w:rsidR="00000000" w:rsidRDefault="00000000">
      <w:r>
        <w:t>78.</w:t>
      </w:r>
      <w:r>
        <w:tab/>
        <w:t>Особое внимание в рамках осуществления Плана действий будет уделяться подготовке сотрудников полиции, тюремных чиновников, адвокатов, судей, учителей и лиц, отвечающих за разработку учебных программ, военнослужащих, международных гражданских служащих, сотрудников по вопросам развития и миротворцев, представителей неправительственных организаций, сотрудников средств массовой информации, правительственных должностных лиц, членов парламента и представителей других групп, которые могут влиять на осуществление прав человека и обеспечивать их реализацию.  Кроме того, правительство осуществляет аналогичные программы в неофициальных учреждениях, например в общественных и религиозных учреждениях.  В основе этой деятельности лежит убежденность в том, что многие нарушения прав человека происходят из-за незнания или непонимания конкретных принципов прав человека.</w:t>
      </w:r>
    </w:p>
    <w:p w:rsidR="00000000" w:rsidRDefault="00000000"/>
    <w:p w:rsidR="00000000" w:rsidRDefault="00000000">
      <w:pPr>
        <w:ind w:left="567" w:hanging="567"/>
        <w:jc w:val="center"/>
        <w:rPr>
          <w:b/>
          <w:bCs/>
        </w:rPr>
      </w:pPr>
      <w:r>
        <w:rPr>
          <w:b/>
          <w:bCs/>
          <w:lang w:val="en-US"/>
        </w:rPr>
        <w:t>F</w:t>
      </w:r>
      <w:r>
        <w:rPr>
          <w:b/>
          <w:bCs/>
        </w:rPr>
        <w:t>.</w:t>
      </w:r>
      <w:r>
        <w:rPr>
          <w:b/>
          <w:bCs/>
        </w:rPr>
        <w:tab/>
        <w:t xml:space="preserve">Информационно-пропагандистская деятельность и осуществление </w:t>
      </w:r>
    </w:p>
    <w:p w:rsidR="00000000" w:rsidRDefault="00000000">
      <w:pPr>
        <w:ind w:left="567" w:hanging="567"/>
        <w:jc w:val="center"/>
        <w:rPr>
          <w:b/>
          <w:bCs/>
        </w:rPr>
      </w:pPr>
      <w:r>
        <w:rPr>
          <w:b/>
          <w:bCs/>
        </w:rPr>
        <w:t>положений Конвенции на национальном уровне</w:t>
      </w:r>
    </w:p>
    <w:p w:rsidR="00000000" w:rsidRDefault="00000000">
      <w:pPr>
        <w:rPr>
          <w:b/>
          <w:bCs/>
        </w:rPr>
      </w:pPr>
    </w:p>
    <w:p w:rsidR="00000000" w:rsidRDefault="00000000">
      <w:r>
        <w:t>79.</w:t>
      </w:r>
      <w:r>
        <w:tab/>
        <w:t>Правительство приняло ряд мер в целях обеспечения поощрения и защиты прав человека в Индонезии, ратифицировав, в частности, на основе закона № 29 1999</w:t>
      </w:r>
      <w:r>
        <w:rPr>
          <w:lang w:val="en-US"/>
        </w:rPr>
        <w:t> </w:t>
      </w:r>
      <w:r>
        <w:t>года Международную конвенцию о ликвидации всех форм расовой дискриминации.</w:t>
      </w:r>
    </w:p>
    <w:p w:rsidR="00000000" w:rsidRDefault="00000000"/>
    <w:p w:rsidR="00000000" w:rsidRDefault="00000000">
      <w:r>
        <w:t>80.</w:t>
      </w:r>
      <w:r>
        <w:tab/>
        <w:t>В целях обеспечения осуществления Конвенции правительство Республики Индонезии предприняло ряд конкретных шагов в таких областях, как информационно-пропагандистская работа и согласование законов.  Другими словами, правительство сделало все от него зависящее для распространения информации о положениях Конвенции и их надлежащего осуществления на национальном уровне.</w:t>
      </w:r>
    </w:p>
    <w:p w:rsidR="00000000" w:rsidRDefault="00000000"/>
    <w:p w:rsidR="00000000" w:rsidRDefault="00000000">
      <w:r>
        <w:t>81.</w:t>
      </w:r>
      <w:r>
        <w:tab/>
        <w:t>Например, в целях распространения Конвенции правительство провело следующие мероприятия:</w:t>
      </w:r>
    </w:p>
    <w:p w:rsidR="00000000" w:rsidRDefault="00000000"/>
    <w:p w:rsidR="00000000" w:rsidRDefault="00000000">
      <w:pPr>
        <w:ind w:left="1134" w:hanging="1134"/>
      </w:pPr>
      <w:r>
        <w:tab/>
        <w:t>а)</w:t>
      </w:r>
      <w:r>
        <w:tab/>
        <w:t>публикация Международной конвенции о ликвидации всех форм расовой дискриминации на индонезийском (Бахаса Индонезия) и английском языках, а также публикация Закона о ратификации этой Конвенции и их бесплатное распространение в виде практичной брошюры;</w:t>
      </w:r>
    </w:p>
    <w:p w:rsidR="00000000" w:rsidRDefault="00000000">
      <w:pPr>
        <w:ind w:left="1134" w:hanging="1134"/>
      </w:pPr>
    </w:p>
    <w:p w:rsidR="00000000" w:rsidRDefault="00000000">
      <w:pPr>
        <w:ind w:left="1134" w:hanging="1134"/>
      </w:pPr>
      <w:r>
        <w:tab/>
      </w:r>
      <w:r>
        <w:rPr>
          <w:lang w:val="en-US"/>
        </w:rPr>
        <w:t>b</w:t>
      </w:r>
      <w:r>
        <w:t>)</w:t>
      </w:r>
      <w:r>
        <w:tab/>
        <w:t>распространение Международной конвенции о ликвидации всех форм расовой дискриминации среди всех правозащитных структур (Национальная комиссия по правам человека и гражданское общество);</w:t>
      </w:r>
    </w:p>
    <w:p w:rsidR="00000000" w:rsidRDefault="00000000">
      <w:pPr>
        <w:ind w:left="1134" w:hanging="1134"/>
      </w:pPr>
    </w:p>
    <w:p w:rsidR="00000000" w:rsidRDefault="00000000">
      <w:pPr>
        <w:ind w:left="1134" w:hanging="1134"/>
      </w:pPr>
      <w:r>
        <w:tab/>
        <w:t>с)</w:t>
      </w:r>
      <w:r>
        <w:tab/>
        <w:t>проведение в высших учебных заведениях различного уровня регулярных семинаров с целью распространения информации о положениях Конвенции о ликвидации всех форм расовой дискриминации.</w:t>
      </w:r>
    </w:p>
    <w:p w:rsidR="00000000" w:rsidRDefault="00000000"/>
    <w:p w:rsidR="00000000" w:rsidRDefault="00000000">
      <w:r>
        <w:t>82.</w:t>
      </w:r>
      <w:r>
        <w:tab/>
        <w:t>В каждой провинции Индонезии создано учреждение, отвечающее за осуществление Национального плана действий в области прав человека в соответствующей провинции.  К 2006 году основные учреждения, отвечающие за осуществление Национального плана действий, будут созданы во всех муниципалитетах (</w:t>
      </w:r>
      <w:r>
        <w:rPr>
          <w:i/>
          <w:iCs/>
          <w:lang w:val="en-US"/>
        </w:rPr>
        <w:t>kabupaten</w:t>
      </w:r>
      <w:r>
        <w:t>).</w:t>
      </w:r>
    </w:p>
    <w:p w:rsidR="00000000" w:rsidRDefault="00000000"/>
    <w:p w:rsidR="00000000" w:rsidRDefault="00000000">
      <w:r>
        <w:t>83.</w:t>
      </w:r>
      <w:r>
        <w:tab/>
        <w:t>В 1999 году Национальная комиссия по правам человека выпустила буклеты по вопросам ликвидации всех форм расовой дискриминации, а в 2000 году провела семинар на эту тему.  Кроме того, в 2000 году Агентство по делам прессы и исследований в области развития (</w:t>
      </w:r>
      <w:r>
        <w:rPr>
          <w:i/>
          <w:iCs/>
          <w:lang w:val="en-US"/>
        </w:rPr>
        <w:t>Lembaga</w:t>
      </w:r>
      <w:r>
        <w:rPr>
          <w:i/>
          <w:iCs/>
        </w:rPr>
        <w:t xml:space="preserve"> </w:t>
      </w:r>
      <w:r>
        <w:rPr>
          <w:i/>
          <w:iCs/>
          <w:lang w:val="en-US"/>
        </w:rPr>
        <w:t>Studi</w:t>
      </w:r>
      <w:r>
        <w:rPr>
          <w:i/>
          <w:iCs/>
        </w:rPr>
        <w:t xml:space="preserve"> </w:t>
      </w:r>
      <w:r>
        <w:rPr>
          <w:i/>
          <w:iCs/>
          <w:lang w:val="en-US"/>
        </w:rPr>
        <w:t>Pers</w:t>
      </w:r>
      <w:r>
        <w:rPr>
          <w:i/>
          <w:iCs/>
        </w:rPr>
        <w:t xml:space="preserve"> </w:t>
      </w:r>
      <w:r>
        <w:rPr>
          <w:i/>
          <w:iCs/>
          <w:lang w:val="en-US"/>
        </w:rPr>
        <w:t>dan</w:t>
      </w:r>
      <w:r>
        <w:rPr>
          <w:i/>
          <w:iCs/>
        </w:rPr>
        <w:t xml:space="preserve"> </w:t>
      </w:r>
      <w:r>
        <w:rPr>
          <w:i/>
          <w:iCs/>
          <w:lang w:val="en-US"/>
        </w:rPr>
        <w:t>Pembangunan</w:t>
      </w:r>
      <w:r>
        <w:rPr>
          <w:i/>
          <w:iCs/>
        </w:rPr>
        <w:t xml:space="preserve"> - </w:t>
      </w:r>
      <w:r>
        <w:rPr>
          <w:lang w:val="en-US"/>
        </w:rPr>
        <w:t>LSPP</w:t>
      </w:r>
      <w:r>
        <w:t>) опубликовало руководство по ликвидации всех форм расовой дискриминации.  Помимо этого, в 1999 году Организация "Нация - государство - солидарность" (</w:t>
      </w:r>
      <w:r>
        <w:rPr>
          <w:i/>
          <w:iCs/>
          <w:lang w:val="en-US"/>
        </w:rPr>
        <w:t>Solidaritas</w:t>
      </w:r>
      <w:r>
        <w:rPr>
          <w:i/>
          <w:iCs/>
        </w:rPr>
        <w:t xml:space="preserve"> </w:t>
      </w:r>
      <w:r>
        <w:rPr>
          <w:i/>
          <w:iCs/>
          <w:lang w:val="en-US"/>
        </w:rPr>
        <w:t>Nusa</w:t>
      </w:r>
      <w:r>
        <w:rPr>
          <w:i/>
          <w:iCs/>
        </w:rPr>
        <w:t xml:space="preserve"> </w:t>
      </w:r>
      <w:r>
        <w:rPr>
          <w:i/>
          <w:iCs/>
          <w:lang w:val="en-US"/>
        </w:rPr>
        <w:t>Banagsa</w:t>
      </w:r>
      <w:r>
        <w:rPr>
          <w:i/>
          <w:iCs/>
        </w:rPr>
        <w:t xml:space="preserve"> - </w:t>
      </w:r>
      <w:r>
        <w:rPr>
          <w:i/>
          <w:iCs/>
          <w:lang w:val="en-US"/>
        </w:rPr>
        <w:t>SNB</w:t>
      </w:r>
      <w:r>
        <w:t>) опубликовала проект закона о ликвидации всех форм расовой дискриминации.</w:t>
      </w:r>
    </w:p>
    <w:p w:rsidR="00000000" w:rsidRDefault="00000000"/>
    <w:p w:rsidR="00000000" w:rsidRDefault="00000000">
      <w:r>
        <w:t>84.</w:t>
      </w:r>
      <w:r>
        <w:tab/>
        <w:t>Индонезия приняла ряд мер для пропаганды и популяризации норм в области прав человека, включая права меньшинств, и распространения информации об их значении.  Правительство, НПО и 16 других учреждений, включая ЮНИСЕФ, учредили в 2003 году Консорциум по регистрации актов гражданского состояния (</w:t>
      </w:r>
      <w:r>
        <w:rPr>
          <w:i/>
          <w:iCs/>
          <w:lang w:val="en-US"/>
        </w:rPr>
        <w:t>Konsorsium</w:t>
      </w:r>
      <w:r>
        <w:rPr>
          <w:i/>
          <w:iCs/>
        </w:rPr>
        <w:t xml:space="preserve"> </w:t>
      </w:r>
      <w:r>
        <w:rPr>
          <w:i/>
          <w:iCs/>
          <w:lang w:val="en-US"/>
        </w:rPr>
        <w:t>Catatan</w:t>
      </w:r>
      <w:r>
        <w:rPr>
          <w:i/>
          <w:iCs/>
        </w:rPr>
        <w:t xml:space="preserve"> </w:t>
      </w:r>
      <w:r>
        <w:rPr>
          <w:i/>
          <w:iCs/>
          <w:lang w:val="en-US"/>
        </w:rPr>
        <w:t>Sipil</w:t>
      </w:r>
      <w:r>
        <w:t>), который опубликовал проект закона о регистрации актов гражданского состояния (</w:t>
      </w:r>
      <w:r>
        <w:rPr>
          <w:i/>
          <w:iCs/>
          <w:lang w:val="en-US"/>
        </w:rPr>
        <w:t>Catatan</w:t>
      </w:r>
      <w:r>
        <w:rPr>
          <w:i/>
          <w:iCs/>
        </w:rPr>
        <w:t xml:space="preserve"> </w:t>
      </w:r>
      <w:r>
        <w:rPr>
          <w:i/>
          <w:iCs/>
          <w:lang w:val="en-US"/>
        </w:rPr>
        <w:t>Sipil</w:t>
      </w:r>
      <w:r>
        <w:t>).  Управления различных уровней и другие учреждения время от времени принимают меры с целью распространения в провинциях и муниципалитетах информации о нормах и значении прав человека, особенно среди чиновников властных структур, местных НПО, журналистов, учащихся вузов и научных кругов.  Организация "Нация - государство - солидарность" проводит просветительскую деятельность по вопросам защиты меньшинств путем организации семинаров и передачи радиопрограмм.</w:t>
      </w:r>
    </w:p>
    <w:p w:rsidR="00000000" w:rsidRDefault="00000000"/>
    <w:p w:rsidR="00000000" w:rsidRDefault="00000000">
      <w:r>
        <w:t>85.</w:t>
      </w:r>
      <w:r>
        <w:tab/>
        <w:t xml:space="preserve">Кроме того, правительство провело ряд исследований, посвященных положению меньшинств, с целью обеспечения максимально эффективной защиты всех групп, включая меньшинства.  </w:t>
      </w:r>
    </w:p>
    <w:p w:rsidR="00000000" w:rsidRDefault="00000000"/>
    <w:p w:rsidR="00000000" w:rsidRDefault="00000000">
      <w:pPr>
        <w:jc w:val="center"/>
        <w:rPr>
          <w:b/>
          <w:bCs/>
        </w:rPr>
      </w:pPr>
      <w:r>
        <w:rPr>
          <w:b/>
          <w:bCs/>
          <w:lang w:val="en-US"/>
        </w:rPr>
        <w:t>II</w:t>
      </w:r>
      <w:r>
        <w:rPr>
          <w:b/>
          <w:bCs/>
        </w:rPr>
        <w:t>.</w:t>
      </w:r>
      <w:r>
        <w:rPr>
          <w:b/>
          <w:bCs/>
        </w:rPr>
        <w:tab/>
        <w:t>ИНФОРМАЦИЯ ПО СТАТЬЯМ 1-7</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r>
        <w:rPr>
          <w:b/>
          <w:bCs/>
        </w:rPr>
        <w:br/>
        <w:t>Определение дискриминации</w:t>
      </w:r>
    </w:p>
    <w:p w:rsidR="00000000" w:rsidRDefault="00000000">
      <w:pPr>
        <w:jc w:val="center"/>
        <w:rPr>
          <w:b/>
          <w:bCs/>
        </w:rPr>
      </w:pPr>
    </w:p>
    <w:p w:rsidR="00000000" w:rsidRDefault="00000000">
      <w:r>
        <w:t>86.</w:t>
      </w:r>
      <w:r>
        <w:tab/>
        <w:t>В Законе № 39 1999</w:t>
      </w:r>
      <w:r>
        <w:rPr>
          <w:lang w:val="en-US"/>
        </w:rPr>
        <w:t> </w:t>
      </w:r>
      <w:r>
        <w:t>года о правах человека дискриминация определяется как "</w:t>
      </w:r>
      <w:r>
        <w:rPr>
          <w:i/>
          <w:iCs/>
        </w:rPr>
        <w:t>любое ограничение, уничижение или исключение, будь оно прямым или косвенным, на основе установления различий между людьми по признакам религии, этнического происхождения, расы, этнической принадлежности, принадлежности к группе или племени, социального положения, экономического положения, пола, языка, политических убеждений, которое приводит к умалению, ущемлению или отмене признания, осуществления и соблюдения прав человека и основных свобод в политической, экономической, правовой, социальной, культурной или любой другой сферах личной или коллективной жизни"</w:t>
      </w:r>
      <w:r>
        <w:t xml:space="preserve"> (пункт 3 статьи 1 Закона № 39 1999</w:t>
      </w:r>
      <w:r>
        <w:rPr>
          <w:lang w:val="en-US"/>
        </w:rPr>
        <w:t> </w:t>
      </w:r>
      <w:r>
        <w:t>года о правах человека).</w:t>
      </w:r>
    </w:p>
    <w:p w:rsidR="00000000" w:rsidRDefault="00000000"/>
    <w:p w:rsidR="00000000" w:rsidRDefault="00000000">
      <w:r>
        <w:t>87.</w:t>
      </w:r>
      <w:r>
        <w:tab/>
        <w:t>Закон № 39 1999</w:t>
      </w:r>
      <w:r>
        <w:rPr>
          <w:lang w:val="en-US"/>
        </w:rPr>
        <w:t> </w:t>
      </w:r>
      <w:r>
        <w:t xml:space="preserve">года о правах человека гарантирует защиту любого лица от дискриминации, что закреплено в пункте 3 статьи 3 и в статьях 17 и 26.  Статья 3 гласит:  </w:t>
      </w:r>
      <w:r>
        <w:rPr>
          <w:i/>
          <w:iCs/>
        </w:rPr>
        <w:t>"Каждый человек имеет право на защиту прав человека и основных прав без какой бы то ни было дискриминации".</w:t>
      </w:r>
      <w:r>
        <w:t xml:space="preserve">  Кроме того, статья 26 предусматривает, что каждый человек обладает правом иметь, получать, изменять и сохранять гражданство.</w:t>
      </w:r>
    </w:p>
    <w:p w:rsidR="00000000" w:rsidRDefault="00000000"/>
    <w:p w:rsidR="00000000" w:rsidRDefault="00000000">
      <w:pPr>
        <w:rPr>
          <w:i/>
          <w:iCs/>
        </w:rPr>
      </w:pPr>
      <w:r>
        <w:t>88.</w:t>
      </w:r>
      <w:r>
        <w:tab/>
        <w:t>Статья 17 закона № 39 1999</w:t>
      </w:r>
      <w:r>
        <w:rPr>
          <w:lang w:val="en-US"/>
        </w:rPr>
        <w:t> </w:t>
      </w:r>
      <w:r>
        <w:t xml:space="preserve">года о правах человека гарантирует каждому человеку через компетентный национальный суд или другое государственное учреждение эффективную защиту от любых актов дискриминации.  Статья, в частности, гласит:  </w:t>
      </w:r>
      <w:r>
        <w:rPr>
          <w:i/>
          <w:iCs/>
        </w:rPr>
        <w:t>"Каждый человек имеет право на правосудие без какой бы то ни было дискриминации путем подачи заявлений, жалоб и исков уголовного, гражданского и административного характера, а также на разбирательство дела в независимом и беспристрастном суде в соответствии с правовой процедурой, гарантирующей его рассмотрение справедливым и непредубежденным судьей для вынесения объективного и беспристрастного приговора".</w:t>
      </w:r>
    </w:p>
    <w:p w:rsidR="00000000" w:rsidRDefault="00000000">
      <w:pPr>
        <w:rPr>
          <w:i/>
          <w:iCs/>
        </w:rPr>
      </w:pPr>
    </w:p>
    <w:p w:rsidR="00000000" w:rsidRDefault="00000000">
      <w:r>
        <w:t>89.</w:t>
      </w:r>
      <w:r>
        <w:tab/>
        <w:t>Благодаря наличию в законодательстве Индонезии четкого определения дискриминации, в стране, само собой разумеется, нет ни дискриминации по признакам родового, национального или этнического происхождения, ни практики уничтожения или умаления признания, использования или осуществления на равных началах прав человека и основных свобод в какой бы то ни было области общественной жизни.</w:t>
      </w:r>
    </w:p>
    <w:p w:rsidR="00000000" w:rsidRDefault="00000000"/>
    <w:p w:rsidR="00000000" w:rsidRDefault="00000000">
      <w:r>
        <w:t>90.</w:t>
      </w:r>
      <w:r>
        <w:tab/>
        <w:t xml:space="preserve">В Индонезии нет дискриминации, будь то прямой или косвенной, в крайней или обычной форме, или в повседневной жизни, поскольку национальное законодательство гарантирует ликвидацию дискриминации.  Применение санкций за дискриминацию регулируется законом № 26 2000 года о Суде по правам человека.  </w:t>
      </w:r>
    </w:p>
    <w:p w:rsidR="00000000" w:rsidRDefault="00000000"/>
    <w:p w:rsidR="00000000" w:rsidRDefault="00000000">
      <w:r>
        <w:t>91.</w:t>
      </w:r>
      <w:r>
        <w:tab/>
        <w:t xml:space="preserve">Численность населения Индонезии составляет более 214 млн. человек, которые проживают на более чем 600 из 18 108 островов, при этом в стране насчитывается более 1 000 этнических групп, которые имеют свои собственные обычаи, язык и культуру.  Однако все этнические и расовые группы равны.  Примером тому служит национальный язык, Бахаса Индонезия, основанный на малайском языке, на котором говорит небольшая этническая группа, проживающая на восточном побережье острова Суматра, хотя крупнейшей этнической группой являются яванцы.  </w:t>
      </w:r>
    </w:p>
    <w:p w:rsidR="00000000" w:rsidRDefault="00000000"/>
    <w:p w:rsidR="00000000" w:rsidRDefault="00000000">
      <w:r>
        <w:t>92.</w:t>
      </w:r>
      <w:r>
        <w:tab/>
        <w:t>Подводя итог, можно сказать, что определение дискриминации, используемое в Индонезии, соответствует определению расовой дискриминации, которое содержится в Конвенции и даже является более широким по своему охвату.</w:t>
      </w:r>
    </w:p>
    <w:p w:rsidR="00000000" w:rsidRDefault="00000000"/>
    <w:p w:rsidR="00000000" w:rsidRDefault="00000000">
      <w:pPr>
        <w:jc w:val="center"/>
        <w:rPr>
          <w:b/>
          <w:bCs/>
        </w:rPr>
      </w:pPr>
      <w:r>
        <w:rPr>
          <w:b/>
          <w:bCs/>
        </w:rPr>
        <w:t>Статья 2</w:t>
      </w:r>
    </w:p>
    <w:p w:rsidR="00000000" w:rsidRDefault="00000000">
      <w:pPr>
        <w:jc w:val="center"/>
        <w:rPr>
          <w:b/>
          <w:bCs/>
        </w:rPr>
      </w:pPr>
      <w:r>
        <w:rPr>
          <w:b/>
          <w:bCs/>
        </w:rPr>
        <w:br/>
        <w:t>Осуждение расовой дискриминации</w:t>
      </w:r>
    </w:p>
    <w:p w:rsidR="00000000" w:rsidRDefault="00000000">
      <w:pPr>
        <w:jc w:val="center"/>
        <w:rPr>
          <w:b/>
          <w:bCs/>
        </w:rPr>
      </w:pPr>
    </w:p>
    <w:p w:rsidR="00000000" w:rsidRDefault="00000000">
      <w:r>
        <w:t>93.</w:t>
      </w:r>
      <w:r>
        <w:tab/>
        <w:t>Основным законодательным актом, посвященным ликвидации всех форм расовой дискриминации, является Конституция 1945 года, которая вступила в силу 18 августа 1945 года и в которую в период 2000-2002 годов четыре раза вносились поправки.</w:t>
      </w:r>
    </w:p>
    <w:p w:rsidR="00000000" w:rsidRDefault="00000000"/>
    <w:p w:rsidR="00000000" w:rsidRDefault="00000000">
      <w:r>
        <w:t>94.</w:t>
      </w:r>
      <w:r>
        <w:tab/>
        <w:t>Тот факт, что Конституция 1945 года была обнародована 18 августа 1945 года, т.е. задолго до принятия Всеобщей декларации прав человека 1948 года, свидетельствует о том, что уже основатели Индонезии придавали первостепенное значение поощрению и защите прав человека, в том числе ликвидации всех форм расовой дискриминации.</w:t>
      </w:r>
    </w:p>
    <w:p w:rsidR="00000000" w:rsidRDefault="00000000"/>
    <w:p w:rsidR="00000000" w:rsidRDefault="00000000">
      <w:r>
        <w:t>95.</w:t>
      </w:r>
      <w:r>
        <w:tab/>
        <w:t xml:space="preserve">В пункте 1 статьи 27 Конституции 1945 года четко закреплено, что </w:t>
      </w:r>
      <w:r>
        <w:rPr>
          <w:i/>
          <w:iCs/>
        </w:rPr>
        <w:t>"все граждане равны перед законом и органами власти и обязаны без всяких исключений соблюдать законы и уважать органы власти"</w:t>
      </w:r>
      <w:r>
        <w:t>.  Эта конституционная гарантия чрезвычайно важна, поскольку Конституция находится в Индонезии на вершине иерархии законов.  Это означает, что в стране не может существовать законов, которые бы противоречили положениям Конституции.  Если случайно появится какой-либо закон, противоречащий положениям Конституции, Конституция имеет преимущественную силу.  В этой статье также закреплена конституционная гарантия в отношении того, что все граждане Индонезии без каких-либо исключений равны перед законом и органами власти.</w:t>
      </w:r>
    </w:p>
    <w:p w:rsidR="00000000" w:rsidRDefault="00000000"/>
    <w:p w:rsidR="00000000" w:rsidRDefault="00000000">
      <w:r>
        <w:t>96.</w:t>
      </w:r>
      <w:r>
        <w:tab/>
        <w:t>Другими словами, с момента своего создания Индонезия уделяет внимание проблеме ликвидации всех форм расовой дискриминации с учетом многонационального населения страны, в составе которого насчитывается более 1 000 этнических и субэтнических групп, которые имеют различные языки, культуру и традиции.  О ее непоколебимой приверженности этому делу также свидетельствует надпись на гербе страны "</w:t>
      </w:r>
      <w:r>
        <w:rPr>
          <w:i/>
          <w:iCs/>
          <w:lang w:val="en-US"/>
        </w:rPr>
        <w:t>Bhinneka</w:t>
      </w:r>
      <w:r>
        <w:rPr>
          <w:i/>
          <w:iCs/>
        </w:rPr>
        <w:t xml:space="preserve"> </w:t>
      </w:r>
      <w:r>
        <w:rPr>
          <w:i/>
          <w:iCs/>
          <w:lang w:val="en-US"/>
        </w:rPr>
        <w:t>Tunggul</w:t>
      </w:r>
      <w:r>
        <w:rPr>
          <w:i/>
          <w:iCs/>
        </w:rPr>
        <w:t xml:space="preserve"> </w:t>
      </w:r>
      <w:r>
        <w:rPr>
          <w:i/>
          <w:iCs/>
          <w:lang w:val="en-US"/>
        </w:rPr>
        <w:t>Ika</w:t>
      </w:r>
      <w:r>
        <w:t>", что означает "Единство в разнообразии".  Основатели Индонезии понимали, что успешное развитие страны возможно лишь в том случае, если народ будет укреплять единство и взаимопонимание.  Кроме того, основной философией Индонезии является "</w:t>
      </w:r>
      <w:r>
        <w:rPr>
          <w:i/>
          <w:iCs/>
        </w:rPr>
        <w:t>панча шила</w:t>
      </w:r>
      <w:r>
        <w:t>" (пять основных принципов), одним из принципов которой является "справедливая и цивилизованная гуманность".  Одной из ценностей, которые закрепляют этот принцип, является борьба против несправедливой дискриминации.</w:t>
      </w:r>
    </w:p>
    <w:p w:rsidR="00000000" w:rsidRDefault="00000000"/>
    <w:p w:rsidR="00000000" w:rsidRDefault="00000000">
      <w:pPr>
        <w:rPr>
          <w:iCs/>
          <w:color w:val="000000"/>
        </w:rPr>
      </w:pPr>
      <w:r>
        <w:t>97.</w:t>
      </w:r>
      <w:r>
        <w:tab/>
        <w:t>Вышеизложенное является одной из причин, по которым Индонезия стала участником этой Конвенции.  Этот шаг стал отправной точкой для развития Индонезии как демократического государства с демократически избранным законным правительством, которое соблюдает цели, закрепленные в Национальном плане действий в области прав человека на 1998-2003 годы (</w:t>
      </w:r>
      <w:r>
        <w:rPr>
          <w:i/>
          <w:color w:val="000000"/>
        </w:rPr>
        <w:t>Rencana Aksi Nasional Hak Asasi Manusia</w:t>
      </w:r>
      <w:r>
        <w:rPr>
          <w:iCs/>
          <w:color w:val="000000"/>
        </w:rPr>
        <w:t>).  Для продолжения осуществления Плана действий президент Мегавати Сукарнопутри издала Президентский декрет № 40 2004 года об "Индонезийском национальном плане действий в области прав человека на 2004-2009 годы", согласно которому одним из приоритетных направлений деятельности правительства в течение ближайших пяти лет будет являться поощрение и защита прав человека, включая ликвидацию расизма и расовой дискриминации.</w:t>
      </w:r>
    </w:p>
    <w:p w:rsidR="00000000" w:rsidRDefault="00000000">
      <w:pPr>
        <w:rPr>
          <w:iCs/>
          <w:color w:val="000000"/>
        </w:rPr>
      </w:pPr>
    </w:p>
    <w:p w:rsidR="00000000" w:rsidRDefault="00000000">
      <w:pPr>
        <w:rPr>
          <w:iCs/>
          <w:color w:val="000000"/>
        </w:rPr>
      </w:pPr>
      <w:r>
        <w:rPr>
          <w:iCs/>
          <w:color w:val="000000"/>
        </w:rPr>
        <w:t>98.</w:t>
      </w:r>
      <w:r>
        <w:rPr>
          <w:iCs/>
          <w:color w:val="000000"/>
        </w:rPr>
        <w:tab/>
        <w:t>В рамках проводившейся в 1999 году реформы народ Индонезии решил внести поправки в Конституцию 1945 года с целью усиления гарантий реализации прав человека всех индонезийцев.</w:t>
      </w:r>
    </w:p>
    <w:p w:rsidR="00000000" w:rsidRDefault="00000000">
      <w:pPr>
        <w:rPr>
          <w:iCs/>
          <w:color w:val="000000"/>
        </w:rPr>
      </w:pPr>
    </w:p>
    <w:p w:rsidR="00000000" w:rsidRDefault="00000000">
      <w:pPr>
        <w:rPr>
          <w:iCs/>
          <w:color w:val="000000"/>
          <w:lang w:val="en-US"/>
        </w:rPr>
      </w:pPr>
      <w:r>
        <w:rPr>
          <w:iCs/>
          <w:color w:val="000000"/>
        </w:rPr>
        <w:t>99.</w:t>
      </w:r>
      <w:r>
        <w:rPr>
          <w:iCs/>
          <w:color w:val="000000"/>
        </w:rPr>
        <w:tab/>
        <w:t xml:space="preserve">В 2000 году в Конституцию 1945 года была внесена поправка, цель которой, помимо прочего, состояла в том, чтобы гарантировать каждому человеку свободу от каких бы то ни было актов дискриминации и права на защиту от таких актов, что закреплено в статье 27 Конституции 1945 года.  В статье 30 Конституции 1945 года закреплено равенство всех граждан, в том что касается прав и обязанностей в области обороны государства.  Статья 31 предусматривает равные права в области образования.  Кроме того, одна глава (глава </w:t>
      </w:r>
      <w:r>
        <w:rPr>
          <w:iCs/>
          <w:color w:val="000000"/>
          <w:lang w:val="en-US"/>
        </w:rPr>
        <w:t>VII</w:t>
      </w:r>
      <w:r>
        <w:rPr>
          <w:iCs/>
          <w:color w:val="000000"/>
        </w:rPr>
        <w:t xml:space="preserve"> А) Конституции посвящена правам человека.</w:t>
      </w:r>
    </w:p>
    <w:p w:rsidR="00000000" w:rsidRDefault="00000000">
      <w:pPr>
        <w:rPr>
          <w:iCs/>
          <w:color w:val="000000"/>
          <w:lang w:val="en-US"/>
        </w:rPr>
      </w:pPr>
    </w:p>
    <w:p w:rsidR="00000000" w:rsidRDefault="00000000">
      <w:pPr>
        <w:rPr>
          <w:iCs/>
          <w:color w:val="000000"/>
        </w:rPr>
      </w:pPr>
      <w:r>
        <w:rPr>
          <w:iCs/>
          <w:color w:val="000000"/>
        </w:rPr>
        <w:t>100.</w:t>
      </w:r>
      <w:r>
        <w:rPr>
          <w:iCs/>
          <w:color w:val="000000"/>
        </w:rPr>
        <w:tab/>
        <w:t>Пункт 3 статьи 28</w:t>
      </w:r>
      <w:r>
        <w:rPr>
          <w:iCs/>
          <w:color w:val="000000"/>
          <w:lang w:val="en-US"/>
        </w:rPr>
        <w:t>D</w:t>
      </w:r>
      <w:r>
        <w:rPr>
          <w:iCs/>
          <w:color w:val="000000"/>
        </w:rPr>
        <w:t xml:space="preserve"> Конституции гласит:  "</w:t>
      </w:r>
      <w:r>
        <w:rPr>
          <w:i/>
          <w:color w:val="000000"/>
        </w:rPr>
        <w:t>Каждый гражданин имеет право на равные возможности в области управления</w:t>
      </w:r>
      <w:r>
        <w:rPr>
          <w:iCs/>
          <w:color w:val="000000"/>
        </w:rPr>
        <w:t>".  Это положение также является весьма важным, поскольку Конституция гарантирует всем индонезийцам независимо от их расы, этнического происхождения или религии равенство перед законом и равные возможности в области управления.  Это важное положение не предполагает каких-либо исключений для каких бы то ни было должностей, будь то на самом высоком или на самом низком уровнях правительства;  оно означает, что все граждане Индонезии имеют равные права.</w:t>
      </w:r>
    </w:p>
    <w:p w:rsidR="00000000" w:rsidRDefault="00000000">
      <w:pPr>
        <w:rPr>
          <w:iCs/>
          <w:color w:val="000000"/>
        </w:rPr>
      </w:pPr>
    </w:p>
    <w:p w:rsidR="00000000" w:rsidRDefault="00000000">
      <w:pPr>
        <w:rPr>
          <w:iCs/>
          <w:color w:val="000000"/>
        </w:rPr>
      </w:pPr>
      <w:r>
        <w:rPr>
          <w:iCs/>
          <w:color w:val="000000"/>
        </w:rPr>
        <w:t>101.</w:t>
      </w:r>
      <w:r>
        <w:rPr>
          <w:iCs/>
          <w:color w:val="000000"/>
        </w:rPr>
        <w:tab/>
        <w:t>Пункт 2 статьи 28</w:t>
      </w:r>
      <w:r>
        <w:rPr>
          <w:iCs/>
          <w:color w:val="000000"/>
          <w:lang w:val="en-US"/>
        </w:rPr>
        <w:t>I</w:t>
      </w:r>
      <w:r>
        <w:rPr>
          <w:iCs/>
          <w:color w:val="000000"/>
        </w:rPr>
        <w:t xml:space="preserve"> Конституции гласит, что "</w:t>
      </w:r>
      <w:r>
        <w:rPr>
          <w:i/>
          <w:color w:val="000000"/>
        </w:rPr>
        <w:t>каждый человек имеет право не подвергаться актам дискриминации по какому бы то ни было признаку и право на защиту от такого дискриминационного обращения</w:t>
      </w:r>
      <w:r>
        <w:rPr>
          <w:iCs/>
          <w:color w:val="000000"/>
        </w:rPr>
        <w:t>".  В этой конституционной норме также подчеркивается, что граждане Индонезии не должны подвергаться какой-либо форме дискриминации по какому бы то ни было признаку, в том числе по признаку расы или этнического происхождения.  Поэтому, хотя в Индонезии и насчитывается более 1 000 этнических групп, все они пользуются одинаковыми правами.</w:t>
      </w:r>
    </w:p>
    <w:p w:rsidR="00000000" w:rsidRDefault="00000000">
      <w:pPr>
        <w:rPr>
          <w:iCs/>
          <w:color w:val="000000"/>
        </w:rPr>
      </w:pPr>
    </w:p>
    <w:p w:rsidR="00000000" w:rsidRDefault="00000000">
      <w:pPr>
        <w:rPr>
          <w:iCs/>
          <w:color w:val="000000"/>
          <w:lang w:val="en-US"/>
        </w:rPr>
      </w:pPr>
      <w:r>
        <w:rPr>
          <w:iCs/>
          <w:color w:val="000000"/>
        </w:rPr>
        <w:t>102.</w:t>
      </w:r>
      <w:r>
        <w:rPr>
          <w:iCs/>
          <w:color w:val="000000"/>
        </w:rPr>
        <w:tab/>
        <w:t>Правительство в настоящее время проводит обзор всех существующих законов для обеспечения того, чтобы соответствующие законы осуществлялись на основе соблюдения принципа недискриминации.  В качестве примера можно привести тот факт, что 17 января 2002 года на основе Президентского декрета № 6 2000 года правительство отменило Президентский указ № 14 1967 года о религии, верованиях и традициях населения китайского происхождения.  Одной из причин отмены этого указа явилось то, что он ограничивал так называемый статус меньшинства этой группы населения Индонезии.</w:t>
      </w:r>
    </w:p>
    <w:p w:rsidR="00000000" w:rsidRDefault="00000000">
      <w:pPr>
        <w:rPr>
          <w:iCs/>
          <w:color w:val="000000"/>
          <w:lang w:val="en-US"/>
        </w:rPr>
      </w:pPr>
    </w:p>
    <w:p w:rsidR="00000000" w:rsidRDefault="00000000">
      <w:pPr>
        <w:rPr>
          <w:iCs/>
          <w:color w:val="000000"/>
        </w:rPr>
      </w:pPr>
      <w:r>
        <w:rPr>
          <w:iCs/>
          <w:color w:val="000000"/>
        </w:rPr>
        <w:t>103.</w:t>
      </w:r>
      <w:r>
        <w:rPr>
          <w:iCs/>
          <w:color w:val="000000"/>
        </w:rPr>
        <w:tab/>
        <w:t>Правительство Индонезии систематически принимает меры законодательного, судебного, нормативного и административного характера с целью ликвидации расизма и дискриминации в Индонезии.  В этой связи правительство уделяет основное внимание поощрению и обеспечению терпимости и взаимного уважения между различными группами общества путем осуществления просветительской деятельности и проведения диалога, направленного на примирение.  В числе таких мер можно назвать Закон о борьбе с терроризмом.  Индонезия, как и другие страны, считает, что террористов следует задерживать и привлекать к судебной ответственности, но без предвзятости и без увязки с какой-либо конкретной религией, этнической принадлежностью или страной.  Все люди, независимо от расы, языка, пола, физических качеств или других признаков, должны иметь право участвовать в процессе развития, что является одним из условий для достижения мира и процветания.</w:t>
      </w:r>
    </w:p>
    <w:p w:rsidR="00000000" w:rsidRDefault="00000000">
      <w:pPr>
        <w:rPr>
          <w:iCs/>
          <w:color w:val="000000"/>
        </w:rPr>
      </w:pPr>
    </w:p>
    <w:p w:rsidR="00000000" w:rsidRDefault="00000000">
      <w:pPr>
        <w:rPr>
          <w:iCs/>
          <w:color w:val="000000"/>
        </w:rPr>
      </w:pPr>
      <w:r>
        <w:rPr>
          <w:iCs/>
          <w:color w:val="000000"/>
        </w:rPr>
        <w:t>104.</w:t>
      </w:r>
      <w:r>
        <w:rPr>
          <w:iCs/>
          <w:color w:val="000000"/>
        </w:rPr>
        <w:tab/>
        <w:t>Что касается социальных, экономических, культурных и других аспектов, то одной из конкретных мер, принятых правительством в целях обеспечения надлежащего развития и защиты расовых групп и отдельных лиц, явился Президентский указ № 7 2000 года об осуществлении политики и национальной стратегии обеспечения более динамичного развития восточной части Индонезии.  Этот Указ относительно обеспечения более динамичного развития восточной части Индонезии направлен на улучшение положения населения в этом районе, которое состоит из этнических и расовых групп, отличающихся от групп, проживающих в западной части Индонезии.</w:t>
      </w:r>
    </w:p>
    <w:p w:rsidR="00000000" w:rsidRDefault="00000000">
      <w:pPr>
        <w:rPr>
          <w:iCs/>
        </w:rPr>
      </w:pPr>
    </w:p>
    <w:p w:rsidR="00000000" w:rsidRDefault="00000000">
      <w:r>
        <w:t>105.</w:t>
      </w:r>
      <w:r>
        <w:tab/>
        <w:t>Кроме того, одной из целей этого Указа является незамедлительное урегулирование горизонтальных конфликтов, существующих между (коренным) народом даяк и народом мадура в западной и центральной частях острова Калимантан, между народами амбон и бугис на Молуккских островах и между этнической группой тернате и этнической группой тидоре.  Эти конфликты в восточной части Индонезии и послужили причиной принятия этого Указа.  Помимо этого, по уровню социально-экономического развития восточная часть Индонезии отстает от западной.  Считается, что причиной такого положения/ситуации является дискриминация в отношении населения восточной части Индонезии.</w:t>
      </w:r>
    </w:p>
    <w:p w:rsidR="00000000" w:rsidRDefault="00000000"/>
    <w:p w:rsidR="00000000" w:rsidRDefault="00000000">
      <w:r>
        <w:t>106.</w:t>
      </w:r>
      <w:r>
        <w:tab/>
        <w:t>В целях ускорения процесса развития в восточной части Индонезии правительство осуществляет программы в следующих пяти областях:</w:t>
      </w:r>
    </w:p>
    <w:p w:rsidR="00000000" w:rsidRDefault="00000000"/>
    <w:p w:rsidR="00000000" w:rsidRDefault="00000000">
      <w:pPr>
        <w:ind w:left="1134" w:hanging="1134"/>
      </w:pPr>
      <w:r>
        <w:tab/>
      </w:r>
      <w:r>
        <w:rPr>
          <w:lang w:val="en-US"/>
        </w:rPr>
        <w:t>a</w:t>
      </w:r>
      <w:r>
        <w:t>)</w:t>
      </w:r>
      <w:r>
        <w:tab/>
        <w:t xml:space="preserve">развитие людских ресурсов, в том числе путем укрепления здравоохранения, образования и культуры; </w:t>
      </w:r>
    </w:p>
    <w:p w:rsidR="00000000" w:rsidRDefault="00000000">
      <w:pPr>
        <w:ind w:left="1134" w:hanging="1134"/>
      </w:pPr>
    </w:p>
    <w:p w:rsidR="00000000" w:rsidRDefault="00000000">
      <w:pPr>
        <w:ind w:left="1134" w:hanging="1134"/>
      </w:pPr>
      <w:r>
        <w:tab/>
      </w:r>
      <w:r>
        <w:rPr>
          <w:lang w:val="en-US"/>
        </w:rPr>
        <w:t>b</w:t>
      </w:r>
      <w:r>
        <w:t>)</w:t>
      </w:r>
      <w:r>
        <w:tab/>
        <w:t>развитие экономики путем использования природных ресурсов, а также повышение темпов экономического роста и покупательной способности населения;</w:t>
      </w:r>
    </w:p>
    <w:p w:rsidR="00000000" w:rsidRDefault="00000000">
      <w:pPr>
        <w:ind w:left="1134" w:hanging="1134"/>
      </w:pPr>
    </w:p>
    <w:p w:rsidR="00000000" w:rsidRDefault="00000000">
      <w:pPr>
        <w:ind w:left="1134" w:hanging="1134"/>
      </w:pPr>
      <w:r>
        <w:tab/>
      </w:r>
      <w:r>
        <w:rPr>
          <w:lang w:val="en-US"/>
        </w:rPr>
        <w:t>c</w:t>
      </w:r>
      <w:r>
        <w:t>)</w:t>
      </w:r>
      <w:r>
        <w:tab/>
        <w:t>развитие инфраструктуры и супра-структуры путем их создания и оптимизации;</w:t>
      </w:r>
    </w:p>
    <w:p w:rsidR="00000000" w:rsidRDefault="00000000">
      <w:pPr>
        <w:ind w:left="1134" w:hanging="1134"/>
      </w:pPr>
    </w:p>
    <w:p w:rsidR="00000000" w:rsidRDefault="00000000">
      <w:pPr>
        <w:ind w:left="1134" w:hanging="1134"/>
      </w:pPr>
      <w:r>
        <w:tab/>
      </w:r>
      <w:r>
        <w:rPr>
          <w:lang w:val="en-US"/>
        </w:rPr>
        <w:t>d</w:t>
      </w:r>
      <w:r>
        <w:t>)</w:t>
      </w:r>
      <w:r>
        <w:tab/>
        <w:t>институциональное развитие путем укрепления существующих учреждений;</w:t>
      </w:r>
    </w:p>
    <w:p w:rsidR="00000000" w:rsidRDefault="00000000">
      <w:pPr>
        <w:ind w:left="1134" w:hanging="1134"/>
      </w:pPr>
    </w:p>
    <w:p w:rsidR="00000000" w:rsidRDefault="00000000">
      <w:pPr>
        <w:ind w:left="1134" w:hanging="1134"/>
      </w:pPr>
      <w:r>
        <w:tab/>
      </w:r>
      <w:r>
        <w:rPr>
          <w:lang w:val="en-US"/>
        </w:rPr>
        <w:t>e</w:t>
      </w:r>
      <w:r>
        <w:t>)</w:t>
      </w:r>
      <w:r>
        <w:tab/>
        <w:t>поощрение инвестиций путем стимулирования инвестиций в восточной части Индонезии.</w:t>
      </w:r>
    </w:p>
    <w:p w:rsidR="00000000" w:rsidRDefault="00000000"/>
    <w:p w:rsidR="00000000" w:rsidRDefault="00000000">
      <w:r>
        <w:t>107.</w:t>
      </w:r>
      <w:r>
        <w:tab/>
        <w:t>Кроме того, в целях ускорения процесса развития восточной части Индонезии правительство выделило для этого региона из бюджета больше средств, чем для западной части страны, где численность населения является более высокой.  Например, в 2003 году ассигнования министерства по социальным делам на программы развития в восточной части Индонезии составили 365 840 000 000 рупий, в то время как ассигнования на программы в западной части Индонезии равнялись 361 840 000 000 рупий.</w:t>
      </w:r>
    </w:p>
    <w:p w:rsidR="00000000" w:rsidRDefault="00000000"/>
    <w:p w:rsidR="00000000" w:rsidRDefault="00000000">
      <w:pPr>
        <w:rPr>
          <w:i/>
          <w:iCs/>
        </w:rPr>
      </w:pPr>
      <w:r>
        <w:t>108.</w:t>
      </w:r>
      <w:r>
        <w:tab/>
        <w:t>Правительство приняло меры с целью пересмотра и отмены различных положений, которые могут быть дискриминационными.  Так, например, правительство отменило требование о доказательстве индонезийского гражданства (</w:t>
      </w:r>
      <w:r>
        <w:rPr>
          <w:i/>
          <w:color w:val="000000"/>
        </w:rPr>
        <w:t>Surat Bukti Kewarganegaraan Republik Indonesia</w:t>
      </w:r>
      <w:r>
        <w:rPr>
          <w:color w:val="000000"/>
        </w:rPr>
        <w:t>) (СБКРИ) для индонезийцев китайского происхождения.</w:t>
      </w:r>
    </w:p>
    <w:p w:rsidR="00000000" w:rsidRDefault="00000000">
      <w:pPr>
        <w:rPr>
          <w:i/>
          <w:iCs/>
        </w:rPr>
      </w:pPr>
    </w:p>
    <w:p w:rsidR="00000000" w:rsidRDefault="00000000">
      <w:r>
        <w:t>109.</w:t>
      </w:r>
      <w:r>
        <w:tab/>
        <w:t>Однако на практике некоторые люди, особенно коренные индонезийцы, пользуются этой возможностью в своих собственных интересах.  Например, банки иногда требуют СБКРИ при предоставлении кредитов несмотря на Президентский указ № 26 1998 года о запрете расовой дискриминации, в котором указывается, что для получения кредитов в банках СБКРИ не требуется.  В этой связи местные органы власти Батама, Семаранга и Соло отменили требование о СБКРИ для получения кредитов в банках.</w:t>
      </w:r>
    </w:p>
    <w:p w:rsidR="00000000" w:rsidRDefault="00000000"/>
    <w:p w:rsidR="00000000" w:rsidRDefault="00000000">
      <w:r>
        <w:t>110.</w:t>
      </w:r>
      <w:r>
        <w:tab/>
        <w:t>План действий Индонезии в области прав человека на 2004-2009 годы также предусматривает отмену СБКРИ и регистрацию браков для тех, кто проповедует иную религию помимо пяти религий, признаваемых правительством.</w:t>
      </w:r>
    </w:p>
    <w:p w:rsidR="00000000" w:rsidRDefault="00000000"/>
    <w:p w:rsidR="00000000" w:rsidRDefault="00000000">
      <w:pPr>
        <w:rPr>
          <w:color w:val="000000"/>
        </w:rPr>
      </w:pPr>
      <w:r>
        <w:t>111.</w:t>
      </w:r>
      <w:r>
        <w:tab/>
        <w:t xml:space="preserve">Религия более не указывается в удостоверении личности гражданина в городе Богор.  Декрет министра внутренних дел № </w:t>
      </w:r>
      <w:r>
        <w:rPr>
          <w:color w:val="000000"/>
        </w:rPr>
        <w:t>477/74054 от 18 ноября 1978 года о включении в удостоверение личности (КТП) графы для указания религии был отменен циркулярным письмом (</w:t>
      </w:r>
      <w:r>
        <w:rPr>
          <w:i/>
          <w:color w:val="000000"/>
          <w:lang w:val="en-US"/>
        </w:rPr>
        <w:t>surat</w:t>
      </w:r>
      <w:r>
        <w:rPr>
          <w:i/>
          <w:color w:val="000000"/>
        </w:rPr>
        <w:t xml:space="preserve"> </w:t>
      </w:r>
      <w:r>
        <w:rPr>
          <w:i/>
          <w:color w:val="000000"/>
          <w:lang w:val="en-US"/>
        </w:rPr>
        <w:t>edaran</w:t>
      </w:r>
      <w:r>
        <w:rPr>
          <w:color w:val="000000"/>
        </w:rPr>
        <w:t>) министра внутренних дел № 477/805/</w:t>
      </w:r>
      <w:r>
        <w:rPr>
          <w:color w:val="000000"/>
          <w:lang w:val="en-US"/>
        </w:rPr>
        <w:t>SJ</w:t>
      </w:r>
      <w:r>
        <w:rPr>
          <w:color w:val="000000"/>
        </w:rPr>
        <w:t xml:space="preserve"> от 31 марта 2000 года.  Это было сделано для того, чтобы не создавалось впечатления, что включение такой графы в удостоверение личности предполагает расовую дискриминацию.</w:t>
      </w:r>
    </w:p>
    <w:p w:rsidR="00000000" w:rsidRDefault="00000000">
      <w:pPr>
        <w:rPr>
          <w:color w:val="000000"/>
        </w:rPr>
      </w:pPr>
    </w:p>
    <w:p w:rsidR="00000000" w:rsidRDefault="00000000">
      <w:pPr>
        <w:rPr>
          <w:color w:val="000000"/>
        </w:rPr>
      </w:pPr>
      <w:r>
        <w:rPr>
          <w:color w:val="000000"/>
        </w:rPr>
        <w:t>112.</w:t>
      </w:r>
      <w:r>
        <w:rPr>
          <w:color w:val="000000"/>
        </w:rPr>
        <w:tab/>
        <w:t>Существует несколько дел, связанных с расовой дискриминацией.  В их числе можно назвать "дело Проболингго" и "дело Маланга", в которые были вовлечены религиозные организации.  "Дело Проболингго" представляло собой конфликт между двумя различными группами мусульман, в рамках которого группа, называющая себя "правоверными", захватила и уничтожила помещение т.н. группы "неверных".  Власти не приняли каких-либо мер против нападавших, но задержали руководителя т.н. группы "неверных".  Это противоречило Закону № 8 1985 года об организациях, в котором указывается, что каждая организация имеет право на осуществление своей деятельности.</w:t>
      </w:r>
    </w:p>
    <w:p w:rsidR="00000000" w:rsidRDefault="00000000">
      <w:pPr>
        <w:rPr>
          <w:color w:val="000000"/>
        </w:rPr>
      </w:pPr>
    </w:p>
    <w:p w:rsidR="00000000" w:rsidRDefault="00000000">
      <w:r>
        <w:rPr>
          <w:color w:val="000000"/>
        </w:rPr>
        <w:t>113.</w:t>
      </w:r>
      <w:r>
        <w:rPr>
          <w:color w:val="000000"/>
        </w:rPr>
        <w:tab/>
        <w:t>Еще одно дело, связанное с дискриминацией, касалось Чандры Сетиавана, который в 2004 году просил указать в его удостоверении личности, что он является последователем Конфуция.  Местные власти, выдававшие удостоверение личности, отклонили его просьбу, поскольку конфуцианство считается в Индонезии религией, но какого-либо прецедента в этом отношении не существовало.  Чандра затем подал апелляцию в суд, но проиграл свое дело.  Аналогичный случай произошел, когда одна пара, придерживающаяся конфуцианства, хотела зарегистрировать свой брак в отделе записей актов гражданского состояния.  По тем же причинам, что и в вышеупомянутом деле, отдел также отказал им в регистрации.  Эта пара подала апелляцию в окружной суд, и суд удовлетворил их ходатайство, рекомендовав отделу зарегистрировать брак.</w:t>
      </w:r>
    </w:p>
    <w:p w:rsidR="00000000" w:rsidRDefault="00000000"/>
    <w:p w:rsidR="00000000" w:rsidRDefault="00000000">
      <w:r>
        <w:t>114.</w:t>
      </w:r>
      <w:r>
        <w:tab/>
        <w:t xml:space="preserve">С целью запрета деятельности организаций, направленной на расовую дискриминацию, правительство приняло Закон № 8 1985 года об организациях.  Этот Закон был применен в деле Ахмадии, исламской секты, практика и вероучение которой противоречат закону.  Сторонники течения Ахмадии, которые публично заявляют, что их толкование ислама является более правоверным и правильным, чем в других сектах, нарушили положения упомянутого выше Закона.  Руководствуясь этим Законом, правительство запретило эту секту.  У правительства не было другого выбора, и оно было вынуждено принять такие меры в целях поддержания общественного порядка и предотвращения распространения возникшего конфликта.  Однако правительство не запретило членам секты Ахмадии отправлять обряды для удовлетворения собственных религиозных нужд.  </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jc w:val="center"/>
        <w:rPr>
          <w:b/>
          <w:bCs/>
        </w:rPr>
      </w:pPr>
      <w:r>
        <w:rPr>
          <w:b/>
          <w:bCs/>
        </w:rPr>
        <w:t>Осуждение расовой сегрегации и апартеида</w:t>
      </w:r>
    </w:p>
    <w:p w:rsidR="00000000" w:rsidRDefault="00000000">
      <w:pPr>
        <w:jc w:val="center"/>
        <w:rPr>
          <w:b/>
          <w:bCs/>
        </w:rPr>
      </w:pPr>
    </w:p>
    <w:p w:rsidR="00000000" w:rsidRDefault="00000000">
      <w:r>
        <w:t>115.</w:t>
      </w:r>
      <w:r>
        <w:tab/>
        <w:t>Правительство Индонезии приняло необходимые политические меры по ликвидации расовой дискриминации во всех ее формах и проявлениях в целях предотвращения распространения расистских доктрин и практики и борьбы с ними, поощрения взаимопонимания между расами, а также чтобы побудить международное сообщество воздерживаться от любых форм выдворения и расовой дискриминации.</w:t>
      </w:r>
    </w:p>
    <w:p w:rsidR="00000000" w:rsidRDefault="00000000"/>
    <w:p w:rsidR="00000000" w:rsidRDefault="00000000">
      <w:r>
        <w:t>116.</w:t>
      </w:r>
      <w:r>
        <w:tab/>
        <w:t xml:space="preserve">Кроме того, Индонезия осудила апартеид.  В статье 9 Закона № 26 </w:t>
      </w:r>
      <w:r>
        <w:rPr>
          <w:color w:val="000000"/>
        </w:rPr>
        <w:t>2000 года о Суде по правам человека заявляется, что</w:t>
      </w:r>
      <w:r>
        <w:t xml:space="preserve"> апартеид является одним из преступлений против человечности.  В период режима апартеида в Южной Африке правительство Индонезии последовательно осуждало практику апартеида в этой стране.</w:t>
      </w:r>
    </w:p>
    <w:p w:rsidR="00000000" w:rsidRDefault="00000000"/>
    <w:p w:rsidR="00000000" w:rsidRDefault="00000000">
      <w:r>
        <w:t>117.</w:t>
      </w:r>
      <w:r>
        <w:tab/>
        <w:t xml:space="preserve">Правительство Индонезии приняло ряд конкретных мер в поддержку деятельности по ликвидации всех форм расовой дискриминации.  Например, правительство утвердило Президентский декрет № </w:t>
      </w:r>
      <w:r>
        <w:rPr>
          <w:color w:val="000000"/>
        </w:rPr>
        <w:t>56 1996 года о свидетельстве о национальности, а затем и П</w:t>
      </w:r>
      <w:r>
        <w:t>резидентский декрет №</w:t>
      </w:r>
      <w:r>
        <w:rPr>
          <w:color w:val="000000"/>
        </w:rPr>
        <w:t xml:space="preserve"> 4 1999</w:t>
      </w:r>
      <w:r>
        <w:rPr>
          <w:color w:val="000000"/>
          <w:lang w:val="en-US"/>
        </w:rPr>
        <w:t> </w:t>
      </w:r>
      <w:r>
        <w:rPr>
          <w:color w:val="000000"/>
        </w:rPr>
        <w:t>года, заменивший П</w:t>
      </w:r>
      <w:r>
        <w:t>резидентский указ № 2</w:t>
      </w:r>
      <w:r>
        <w:rPr>
          <w:color w:val="000000"/>
        </w:rPr>
        <w:t xml:space="preserve"> 1980 года, в соответствии с которым в рамках некоторых процедур требовалось свидетельство о национальности (например, в рамках процедуры подачи заявления о выдаче паспорта).  В силу своего </w:t>
      </w:r>
      <w:r>
        <w:t>дискриминационного характера это положение было сочтено контрпродуктивным.</w:t>
      </w:r>
    </w:p>
    <w:p w:rsidR="00000000" w:rsidRDefault="00000000"/>
    <w:p w:rsidR="00000000" w:rsidRDefault="00000000">
      <w:r>
        <w:t>118.</w:t>
      </w:r>
      <w:r>
        <w:tab/>
        <w:t>В рамках осуществления Президентского декрета № </w:t>
      </w:r>
      <w:r>
        <w:rPr>
          <w:color w:val="000000"/>
        </w:rPr>
        <w:t xml:space="preserve">56 1996 года </w:t>
      </w:r>
      <w:r>
        <w:t>правительство, а именно министр внутренних дел издал приказ № </w:t>
      </w:r>
      <w:r>
        <w:rPr>
          <w:color w:val="000000"/>
        </w:rPr>
        <w:t>471.2/1265/</w:t>
      </w:r>
      <w:r>
        <w:rPr>
          <w:color w:val="000000"/>
          <w:lang w:val="en-US"/>
        </w:rPr>
        <w:t>SJ</w:t>
      </w:r>
      <w:r>
        <w:rPr>
          <w:color w:val="000000"/>
        </w:rPr>
        <w:t xml:space="preserve"> 2002 года о национальных свидетельствах во исполнение П</w:t>
      </w:r>
      <w:r>
        <w:t>резидентского указа № </w:t>
      </w:r>
      <w:r>
        <w:rPr>
          <w:color w:val="000000"/>
        </w:rPr>
        <w:t xml:space="preserve">28 1998 года о прекращении использования терминов "коренные" и "некоренные".  Эта мера была принята с целью обеспечения равного обращения и равного доступа к услугам для всех народов </w:t>
      </w:r>
      <w:r>
        <w:t>Индонезии в области управления, социальных услуг и развития и ликвидации всех форм дискриминации по признакам племенной принадлежности, религии, расы или места происхождения.</w:t>
      </w:r>
    </w:p>
    <w:p w:rsidR="00000000" w:rsidRDefault="00000000"/>
    <w:p w:rsidR="00000000" w:rsidRDefault="00000000">
      <w:r>
        <w:t>119.</w:t>
      </w:r>
      <w:r>
        <w:tab/>
        <w:t>В качестве еще одного примера можно привести тот факт, что во исполнение Указа Президента Республики Индонезии № 4 1999</w:t>
      </w:r>
      <w:r>
        <w:rPr>
          <w:lang w:val="en-US"/>
        </w:rPr>
        <w:t> </w:t>
      </w:r>
      <w:r>
        <w:t xml:space="preserve">года и Декрета Президента Республики Индонезии № 56 </w:t>
      </w:r>
      <w:r>
        <w:rPr>
          <w:color w:val="000000"/>
        </w:rPr>
        <w:t>1996 года мэр Суракарты принял 19 июля 2004 года постановление № 471/006/02/2004 о прекращении использования свидетельств, подтверждающих и</w:t>
      </w:r>
      <w:r>
        <w:t xml:space="preserve">ндонезийское гражданство.  В результате принятия мэром этого постановления гражданам китайского происхождения более не нужно получать документы, подтверждающие их </w:t>
      </w:r>
      <w:r>
        <w:rPr>
          <w:color w:val="000000"/>
        </w:rPr>
        <w:t>и</w:t>
      </w:r>
      <w:r>
        <w:t>ндонезийское гражданство</w:t>
      </w:r>
      <w:r>
        <w:rPr>
          <w:color w:val="000000"/>
        </w:rPr>
        <w:t xml:space="preserve"> (</w:t>
      </w:r>
      <w:r>
        <w:rPr>
          <w:i/>
          <w:color w:val="000000"/>
          <w:lang w:val="en-US"/>
        </w:rPr>
        <w:t>Surat</w:t>
      </w:r>
      <w:r>
        <w:rPr>
          <w:i/>
          <w:color w:val="000000"/>
        </w:rPr>
        <w:t xml:space="preserve"> </w:t>
      </w:r>
      <w:r>
        <w:rPr>
          <w:i/>
          <w:color w:val="000000"/>
          <w:lang w:val="en-US"/>
        </w:rPr>
        <w:t>Bukti</w:t>
      </w:r>
      <w:r>
        <w:rPr>
          <w:i/>
          <w:color w:val="000000"/>
        </w:rPr>
        <w:t xml:space="preserve"> </w:t>
      </w:r>
      <w:r>
        <w:rPr>
          <w:i/>
          <w:color w:val="000000"/>
          <w:lang w:val="en-US"/>
        </w:rPr>
        <w:t>Kewarganegaraan</w:t>
      </w:r>
      <w:r>
        <w:rPr>
          <w:i/>
          <w:color w:val="000000"/>
        </w:rPr>
        <w:t xml:space="preserve"> </w:t>
      </w:r>
      <w:r>
        <w:rPr>
          <w:i/>
          <w:color w:val="000000"/>
          <w:lang w:val="en-US"/>
        </w:rPr>
        <w:t>Indonesia</w:t>
      </w:r>
      <w:r>
        <w:rPr>
          <w:color w:val="000000"/>
        </w:rPr>
        <w:t>), особенно в Суракарте - городе, расположенном в Центральной Яве</w:t>
      </w:r>
      <w:r>
        <w:t>.</w:t>
      </w:r>
    </w:p>
    <w:p w:rsidR="00000000" w:rsidRDefault="00000000"/>
    <w:p w:rsidR="00000000" w:rsidRDefault="00000000">
      <w:r>
        <w:t>120.</w:t>
      </w:r>
      <w:r>
        <w:tab/>
        <w:t>Кроме того, утвердив Президентский указ № </w:t>
      </w:r>
      <w:r>
        <w:rPr>
          <w:color w:val="000000"/>
        </w:rPr>
        <w:t xml:space="preserve">26 1998 года о прекращении использования терминов "коренные" и "некоренные", правительство </w:t>
      </w:r>
      <w:r>
        <w:t xml:space="preserve">Индонезии еще раз продемонстрировало свою приверженность делу искоренения и предотвращения всех форм дискриминации в индонезийском обществе.  В соответствии с этим Президентским указом использование </w:t>
      </w:r>
      <w:r>
        <w:rPr>
          <w:color w:val="000000"/>
        </w:rPr>
        <w:t xml:space="preserve">терминов "коренные" и "некоренные" прекращено во всех официальных документах.  </w:t>
      </w:r>
      <w:r>
        <w:t>Кроме того, он гарантирует равное обращение и равный доступ к услугам для всех жителей Индонезии, а на его основе был проведен обзор и корректировка всех законов, постановлений, программ, политики и механизмов осуществления программ.</w:t>
      </w:r>
    </w:p>
    <w:p w:rsidR="00000000" w:rsidRDefault="00000000"/>
    <w:p w:rsidR="00000000" w:rsidRDefault="00000000">
      <w:pPr>
        <w:rPr>
          <w:color w:val="000000"/>
        </w:rPr>
      </w:pPr>
      <w:r>
        <w:t>121.</w:t>
      </w:r>
      <w:r>
        <w:tab/>
        <w:t xml:space="preserve">После вышеупомянутого указа </w:t>
      </w:r>
      <w:r>
        <w:rPr>
          <w:color w:val="000000"/>
        </w:rPr>
        <w:t>правительство утвердило П</w:t>
      </w:r>
      <w:r>
        <w:t>резидентский декрет № 6 2000 года об отмене Президентского указа № </w:t>
      </w:r>
      <w:r>
        <w:rPr>
          <w:color w:val="000000"/>
        </w:rPr>
        <w:t xml:space="preserve">14 1967 года о религиях, верованиях и традициях населения китайского происхождения.  Этот Декрет являет собой важный пример мер, принимаемых с целью искоренения </w:t>
      </w:r>
      <w:r>
        <w:t xml:space="preserve">дискриминации в отношении групп населения </w:t>
      </w:r>
      <w:r>
        <w:rPr>
          <w:color w:val="000000"/>
        </w:rPr>
        <w:t>китайского происхождения в</w:t>
      </w:r>
      <w:r>
        <w:t xml:space="preserve"> Индонезии.  В нем указывается, что для отправления религиозных и традиционных обрядов </w:t>
      </w:r>
      <w:r>
        <w:rPr>
          <w:color w:val="000000"/>
        </w:rPr>
        <w:t>китайскому населению более не требуется получать специальное разрешение от правительства.  Таким образом, для организации праздников и соблюдения китайских традиций на уровне провинций или районов более не нужно получать разрешение от губернатора или главы администрации района, как это имело место в прошлом.</w:t>
      </w:r>
    </w:p>
    <w:p w:rsidR="00000000" w:rsidRDefault="00000000">
      <w:pPr>
        <w:rPr>
          <w:color w:val="000000"/>
        </w:rPr>
      </w:pPr>
    </w:p>
    <w:p w:rsidR="00000000" w:rsidRDefault="00000000">
      <w:r>
        <w:t>122.</w:t>
      </w:r>
      <w:r>
        <w:tab/>
        <w:t>Кроме того, правительство издало Президентский декрет № 19 2002 года об объявлении китайского нового года в качестве официального праздника.  В этом Декрете указывается, что китайский новый год является официальным праздником и отмечается по всей стране.  Правительство также приняло меры в целях дальнейшей интеграции этнических китайцев и коренных индонезийцев, создав Рабочую группу по вопросам объединения общества (</w:t>
      </w:r>
      <w:r>
        <w:rPr>
          <w:i/>
          <w:iCs/>
          <w:lang w:val="en-US"/>
        </w:rPr>
        <w:t>Pokja</w:t>
      </w:r>
      <w:r>
        <w:rPr>
          <w:i/>
          <w:iCs/>
        </w:rPr>
        <w:t xml:space="preserve"> </w:t>
      </w:r>
      <w:r>
        <w:rPr>
          <w:i/>
          <w:iCs/>
          <w:lang w:val="en-US"/>
        </w:rPr>
        <w:t>Pembauran</w:t>
      </w:r>
      <w:r>
        <w:t>), чему было посвящено постановление министра внутренних дел № 471.3/133 от 5 сентября 2002 года.  Правительство Индонезии всячески стимулирует деятельность Рабочей группы по вопросам объединения в области устранения препятствий на пути укрепления национального единства.  Центральное правительство и региональные органы власти в сотрудничестве с местными организациями приняли все меры с целью ускорения процесса национального объединения.</w:t>
      </w:r>
    </w:p>
    <w:p w:rsidR="00000000" w:rsidRDefault="00000000"/>
    <w:p w:rsidR="00000000" w:rsidRDefault="00000000">
      <w:r>
        <w:t>123.</w:t>
      </w:r>
      <w:r>
        <w:tab/>
        <w:t>На основе Президентского декрета №48 1993 года Индонезия ратифицировала Международную конвенцию 1985 года против апартеида в спорте.  Это свидетельствует о том, что Индонезия не потерпит актов расовой сегрегации и апартеида.</w:t>
      </w:r>
    </w:p>
    <w:p w:rsidR="00000000" w:rsidRDefault="00000000"/>
    <w:p w:rsidR="00000000" w:rsidRDefault="00000000">
      <w:r>
        <w:t>124.</w:t>
      </w:r>
      <w:r>
        <w:tab/>
        <w:t>В некоторых редких случаях, когда в этом возникает настоятельная необходимость, правительство применяет практику сегрегации.  Такие меры принимаются с большой осторожностью в целях предотвращения развертывания конфликта и восстановления общественного порядка.  Эти меры носят исключительно временный характер и применяются в зонах, где в конфликте участвуют две или несколько различных этнических и/или религиозных групп.  После восстановления порядка правительство прекращает всяческую сегрегацию.  В качестве примера можно привести конфликт в Палангкарайе, центральная часть острова Калимантан, где шли смертельные бои между народами даяк и мадура.  Более подробная информация приводится в настоящем докладе в разделе "Трудности".</w:t>
      </w:r>
    </w:p>
    <w:p w:rsidR="00000000" w:rsidRDefault="00000000"/>
    <w:p w:rsidR="00000000" w:rsidRDefault="00000000">
      <w:pPr>
        <w:keepNext/>
        <w:jc w:val="center"/>
        <w:rPr>
          <w:b/>
          <w:bCs/>
        </w:rPr>
      </w:pPr>
      <w:r>
        <w:rPr>
          <w:b/>
          <w:bCs/>
        </w:rPr>
        <w:t>Статья 4</w:t>
      </w:r>
    </w:p>
    <w:p w:rsidR="00000000" w:rsidRDefault="00000000">
      <w:pPr>
        <w:keepNext/>
        <w:jc w:val="center"/>
        <w:rPr>
          <w:b/>
          <w:bCs/>
        </w:rPr>
      </w:pPr>
    </w:p>
    <w:p w:rsidR="00000000" w:rsidRDefault="00000000">
      <w:pPr>
        <w:keepNext/>
        <w:jc w:val="center"/>
        <w:rPr>
          <w:b/>
          <w:bCs/>
        </w:rPr>
      </w:pPr>
      <w:r>
        <w:rPr>
          <w:b/>
          <w:bCs/>
        </w:rPr>
        <w:t>Осуждение всякой пропаганды и всех организаций, основанных</w:t>
      </w:r>
      <w:r>
        <w:rPr>
          <w:b/>
          <w:bCs/>
        </w:rPr>
        <w:br/>
        <w:t>на идеях расового превосходства</w:t>
      </w:r>
    </w:p>
    <w:p w:rsidR="00000000" w:rsidRDefault="00000000">
      <w:pPr>
        <w:jc w:val="center"/>
        <w:rPr>
          <w:b/>
          <w:bCs/>
        </w:rPr>
      </w:pPr>
    </w:p>
    <w:p w:rsidR="00000000" w:rsidRDefault="00000000">
      <w:r>
        <w:t>125.</w:t>
      </w:r>
      <w:r>
        <w:tab/>
        <w:t>Правительство Индонезии приняло конкретные меры законодательного, судебного и административного характера с целью обеспечения защиты любого лица, подвергающегося дискриминации, определение которой дается в пункте 3 статьи 1 Закона № 39 о правах человека 1999</w:t>
      </w:r>
      <w:r>
        <w:rPr>
          <w:lang w:val="en-US"/>
        </w:rPr>
        <w:t> </w:t>
      </w:r>
      <w:r>
        <w:t>года.  Согласно этому определению никакое лицо не должно подвергаться ограничениям, преследованиям или изгнанию, будь то в прямой или косвенной форме, в результате установления различий по дискриминационным признакам.  Таким образом, любые действия, которые приводят к дискриминации по признакам религии, этнической принадлежности, расы, этнического происхождения, принадлежности к какой-либо группе, социального и экономического положения, пола, языка или политических убеждений, являются наказуемыми в соответствии с законом.</w:t>
      </w:r>
    </w:p>
    <w:p w:rsidR="00000000" w:rsidRDefault="00000000"/>
    <w:p w:rsidR="00000000" w:rsidRDefault="00000000">
      <w:r>
        <w:t>126.</w:t>
      </w:r>
      <w:r>
        <w:tab/>
        <w:t>Правительство Индонезии также приняло Закон № 26 2000 года о Суде по правам человека, в соответствии с которым любой акт дискриминации является наказуемым деянием и предметом разбирательства в Суде по правам человека.  В соответствии со статьей 9 этого Закона Суд по правам человека обязан и уполномочен рассматривать, расследовать и решать дела о нарушениях прав человека, а также дела о систематической дискриминации.</w:t>
      </w:r>
    </w:p>
    <w:p w:rsidR="00000000" w:rsidRDefault="00000000"/>
    <w:p w:rsidR="00000000" w:rsidRDefault="00000000">
      <w:r>
        <w:t>127.</w:t>
      </w:r>
      <w:r>
        <w:tab/>
        <w:t>Правительство Индонезии также без какой-либо дискриминации обеспечивает защиту своих граждан за рубежом, о чем свидетельствует Закон № 37 1999</w:t>
      </w:r>
      <w:r>
        <w:rPr>
          <w:lang w:val="en-US"/>
        </w:rPr>
        <w:t> </w:t>
      </w:r>
      <w:r>
        <w:t xml:space="preserve">года о внешних сношениях, в частности его глава </w:t>
      </w:r>
      <w:r>
        <w:rPr>
          <w:lang w:val="en-US"/>
        </w:rPr>
        <w:t>V</w:t>
      </w:r>
      <w:r>
        <w:t>, которая посвящена защите граждан Республики Индонезия за рубежом.</w:t>
      </w:r>
    </w:p>
    <w:p w:rsidR="00000000" w:rsidRDefault="00000000"/>
    <w:p w:rsidR="00000000" w:rsidRDefault="00000000">
      <w:r>
        <w:t>128.</w:t>
      </w:r>
      <w:r>
        <w:tab/>
        <w:t>Кроме того, Закон №43 1999</w:t>
      </w:r>
      <w:r>
        <w:rPr>
          <w:lang w:val="en-US"/>
        </w:rPr>
        <w:t> </w:t>
      </w:r>
      <w:r>
        <w:t>года о внесении поправок в Закон № 8 1974 года о принципах трудоустройства гарантирует ликвидацию всех форм дискриминации и равные возможности в трудовой сфере, особенно в государственных учреждениях.  Согласно пункту 2 статьи 16 этого Закона каждый гражданин Индонезии при соблюдении определенных условий имеет равные возможности для устройства на работу в государственные учреждения.  Укреплению усилий, направленных на ликвидацию дискриминации в сфере трудовых отношений, способствовало принятие Закона № 21 1999</w:t>
      </w:r>
      <w:r>
        <w:rPr>
          <w:lang w:val="en-US"/>
        </w:rPr>
        <w:t> </w:t>
      </w:r>
      <w:r>
        <w:t>года о ратификации Конвенции МОТ № 111 о дискриминации в области труда и занятий 1958 года.</w:t>
      </w:r>
    </w:p>
    <w:p w:rsidR="00000000" w:rsidRDefault="00000000"/>
    <w:p w:rsidR="00000000" w:rsidRDefault="00000000">
      <w:r>
        <w:t>129.</w:t>
      </w:r>
      <w:r>
        <w:tab/>
        <w:t xml:space="preserve">Наиболее конкретным примером позитивных мер, принятых правительством с целью искоренения дискриминации в сфере трудовых отношений, является Закон № 13 2003 года о работающих по найму.  В главе </w:t>
      </w:r>
      <w:r>
        <w:rPr>
          <w:lang w:val="en-US"/>
        </w:rPr>
        <w:t>III</w:t>
      </w:r>
      <w:r>
        <w:t xml:space="preserve"> этого Закона ("Равное обращение и возможности"), в частности в статье 5, говорится, что каждый работающий по найму имеет без какой-либо дискриминации равные права в области трудоустройства.</w:t>
      </w:r>
    </w:p>
    <w:p w:rsidR="00000000" w:rsidRDefault="00000000"/>
    <w:p w:rsidR="00000000" w:rsidRDefault="00000000">
      <w:r>
        <w:t>130.</w:t>
      </w:r>
      <w:r>
        <w:tab/>
        <w:t>Кроме того, в статье 18 этого Закона указывается, что каждый работающий по найму имеет право на признание его профессиональной пригодности в конкретных областях трудовой деятельности после прохождения курсов подготовки, организуемых как частными учреждениями, так и на рабочем месте.  Статья 31 гласит, что каждый работающий по найму имеет равные права и возможности в том, что касается выбора и получения работы, перевода на другую работу, а также получения заработной платы, обеспечивающей достаточный уровень жизни, как в Индонезии, так и за ее пределами.</w:t>
      </w:r>
    </w:p>
    <w:p w:rsidR="00000000" w:rsidRDefault="00000000"/>
    <w:p w:rsidR="00000000" w:rsidRDefault="00000000">
      <w:r>
        <w:t>131.</w:t>
      </w:r>
      <w:r>
        <w:tab/>
        <w:t>Правительство также приняло конкретные меры с целью недопущения дискриминации в особых местах, каковыми, например, являются тюрьмы, причем как между заключенными, так и в отношении бывших заключенных.  В Правительственном декрете № 31 1999</w:t>
      </w:r>
      <w:r>
        <w:rPr>
          <w:lang w:val="en-US"/>
        </w:rPr>
        <w:t> </w:t>
      </w:r>
      <w:r>
        <w:t xml:space="preserve">года об оказании помощи и консультативных услуг гражданам правительство Индонезии гарантировало недопущение фактов дискриминации.  В статье 12 этого Декрета четко указывается, что заключенный, которому было отказано в реабилитации и реинтеграции в общество, берется под специальный надзор.  </w:t>
      </w:r>
    </w:p>
    <w:p w:rsidR="00000000" w:rsidRDefault="00000000"/>
    <w:p w:rsidR="00000000" w:rsidRDefault="00000000">
      <w:r>
        <w:t>132.</w:t>
      </w:r>
      <w:r>
        <w:tab/>
        <w:t>Равные права в области социального обеспечения правительство Индонезии также гарантирует и инвалидам.  Для улучшения своего социального благосостояния инвалиды имеют такие же возможности, как и другие люди, что гарантируется Президентским декретом № 83 1999</w:t>
      </w:r>
      <w:r>
        <w:rPr>
          <w:lang w:val="en-US"/>
        </w:rPr>
        <w:t> </w:t>
      </w:r>
      <w:r>
        <w:t xml:space="preserve">года об Агентстве по вопросам координации и контроля деятельности в области улучшения социального обеспечения инвалидов.  Кроме того, в пункте 1 статьи 67 Закона № 13 2003 года о работающих по найму указывается, что каждый работодатель, принимающий на работу инвалида, обеспечивает ему защиту с учетом степени его инвалидности. </w:t>
      </w:r>
    </w:p>
    <w:p w:rsidR="00000000" w:rsidRDefault="00000000"/>
    <w:p w:rsidR="00000000" w:rsidRDefault="00000000">
      <w:r>
        <w:t>133.</w:t>
      </w:r>
      <w:r>
        <w:tab/>
        <w:t>Из положений Конституции 1945 года и других национальных законов четко следует, что государственные служащие не могут заниматься какой-либо деятельностью, которая может приводить к расовой дискриминации.  Например, в Законе № 2 2002 года о полиции Республики Индонезии, в частности в его статье 4, указывается, что деятельность полиции Республики Индонезии направлена на поддержание безопасности и общественного порядка, соблюдение правовых норм и защиту населения на основе соблюдения прав человека.</w:t>
      </w:r>
    </w:p>
    <w:p w:rsidR="00000000" w:rsidRDefault="00000000"/>
    <w:p w:rsidR="00000000" w:rsidRDefault="00000000">
      <w:r>
        <w:t>134.</w:t>
      </w:r>
      <w:r>
        <w:tab/>
        <w:t>Что касается политических прав, то правительство приняло конкретные меры, направленные на искоренение расовой дискриминации на основе должного соблюдения принципов, закрепленных во Всеобщей декларации прав человека.  Например, в Законе № 31 2002 года о политических партиях, в частности в пункте 2 статьи 10, указывается, что членство в политических партиях является добровольным, открытым и недискриминационным для всех граждан Республики Индонезии, если они заинтересованы состоять в соответствующей партии и принимают ее устав.</w:t>
      </w:r>
    </w:p>
    <w:p w:rsidR="00000000" w:rsidRDefault="00000000"/>
    <w:p w:rsidR="00000000" w:rsidRDefault="00000000">
      <w:r>
        <w:t>135.</w:t>
      </w:r>
      <w:r>
        <w:tab/>
        <w:t>Кроме того, каждый гражданин в возрасте 17 лет имеет право голоса, что гарантируется Законом № 12 2003 года о всеобщих выборах членов Совета народных представителей, членов Регионального совета и членов Совета региональных представителей, в частности статьей 13 главы III (Избирательные права).</w:t>
      </w:r>
    </w:p>
    <w:p w:rsidR="00000000" w:rsidRDefault="00000000"/>
    <w:p w:rsidR="00000000" w:rsidRDefault="00000000">
      <w:r>
        <w:t>136.</w:t>
      </w:r>
      <w:r>
        <w:tab/>
        <w:t>Что касается религии, то правительство предприняло серьезные усилия по пересмотру всех декретов с целью избежания различных толкований, особенно применительно к дискриминации.  В частности, речь идет о совместном декрете двух министров, а именно министра по делам религии и министра внутренних дел № 01/</w:t>
      </w:r>
      <w:r>
        <w:rPr>
          <w:lang w:val="en-US"/>
        </w:rPr>
        <w:t>BER</w:t>
      </w:r>
      <w:r>
        <w:t>/</w:t>
      </w:r>
      <w:r>
        <w:rPr>
          <w:lang w:val="en-US"/>
        </w:rPr>
        <w:t>MAG</w:t>
      </w:r>
      <w:r>
        <w:t>-</w:t>
      </w:r>
      <w:r>
        <w:rPr>
          <w:lang w:val="en-US"/>
        </w:rPr>
        <w:t>MDN</w:t>
      </w:r>
      <w:r>
        <w:t>/69 1969 года об обязанностях работников государственного аппарата по обеспечению порядка отправления верующими религиозных культов и обрядов.  Сам по себе этот Декрет не содержит никаких положений, которые предполагали бы дискриминацию по признаку религии, однако в рамках его осуществления иногда возникают проблемы, которые могут приводить к дискриминации.</w:t>
      </w:r>
    </w:p>
    <w:p w:rsidR="00000000" w:rsidRDefault="00000000"/>
    <w:p w:rsidR="00000000" w:rsidRDefault="00000000">
      <w:r>
        <w:t>137.</w:t>
      </w:r>
      <w:r>
        <w:tab/>
        <w:t>Согласно статьям 3, 17 и 26 Закона № 39 1999</w:t>
      </w:r>
      <w:r>
        <w:rPr>
          <w:lang w:val="en-US"/>
        </w:rPr>
        <w:t> </w:t>
      </w:r>
      <w:r>
        <w:t>года о правах человека правительственным должностным лицам и государственным учреждениям запрещено совершать акты дискриминации.</w:t>
      </w:r>
    </w:p>
    <w:p w:rsidR="00000000" w:rsidRDefault="00000000"/>
    <w:p w:rsidR="00000000" w:rsidRDefault="00000000">
      <w:r>
        <w:t>138.</w:t>
      </w:r>
      <w:r>
        <w:tab/>
        <w:t xml:space="preserve">Таким образом, можно сделать вывод о том, что политика, проводимая Индонезией, исключает расовую дискриминацию в каких бы то ни было ее формах.  </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jc w:val="center"/>
        <w:rPr>
          <w:b/>
          <w:bCs/>
        </w:rPr>
      </w:pPr>
      <w:r>
        <w:rPr>
          <w:b/>
          <w:bCs/>
        </w:rPr>
        <w:t>Защита прав всех людей от расовой дискриминации</w:t>
      </w:r>
    </w:p>
    <w:p w:rsidR="00000000" w:rsidRDefault="00000000">
      <w:pPr>
        <w:jc w:val="center"/>
        <w:rPr>
          <w:b/>
          <w:bCs/>
        </w:rPr>
      </w:pPr>
    </w:p>
    <w:p w:rsidR="00000000" w:rsidRDefault="00000000">
      <w:r>
        <w:t>139.</w:t>
      </w:r>
      <w:r>
        <w:tab/>
        <w:t>Приверженность правительства Индонезии делу защиты населения от всех форм расовой дискриминации также отражена в третьей поправке к Конституции 1945 года.  Пункт 1 статьи 6 Конституции 1945 года (с внесенными в нее поправками) гласит:  "</w:t>
      </w:r>
      <w:r>
        <w:rPr>
          <w:i/>
          <w:iCs/>
        </w:rPr>
        <w:t>Кандидаты на пост президента и вице-президента являются гражданами Индонезии по рождению и никогда добровольно не принимали другого гражданства, никогда не совершали и не участвовали в совершении каких-либо актов измены против государства и физически и психически способны выполнять свои функции и обязанности в качестве президента и вице-президента</w:t>
      </w:r>
      <w:r>
        <w:t>".  Это положение представляет собой важный шаг вперед в деле поощрения и защиты прав человека, особенно политических прав, а также в деле искоренения расовой дискриминации.  Статья, предусмотренная третьей поправкой к Конституции 1945 года, гарантирует всем гражданам Индонезии, при условии что они пользуются поддержкой политических партий и населения, равные возможности стать президентом или вице-президентом Индонезии независимого того, являются они коренными индонезийцами или потомками некоренных индонезийцев, при условии соблюдения требований, предусмотренных в положениях этой статьи.  Согласно первоначальному тексту Конституции 1945 года лишь коренные индонезийцы имели возможность стать президентом или вице-президентом Индонезии.</w:t>
      </w:r>
    </w:p>
    <w:p w:rsidR="00000000" w:rsidRDefault="00000000"/>
    <w:p w:rsidR="00000000" w:rsidRDefault="00000000">
      <w:r>
        <w:t>140.</w:t>
      </w:r>
      <w:r>
        <w:tab/>
        <w:t>Правительство Индонезии неизменно уделяет приоритетное внимание вопросам уважения и осуществления прав человека.  В 2004 году на основе Президентского декрета № 40 2004 года Индонезия приняла второй План действий в области прав человека (на период 2004-2009 годов).  25 августа 2004 года в Джакарте президент Республики Индонезия официально объявила о начале осуществления Плана действий.</w:t>
      </w:r>
    </w:p>
    <w:p w:rsidR="00000000" w:rsidRDefault="00000000"/>
    <w:p w:rsidR="00000000" w:rsidRDefault="00000000">
      <w:r>
        <w:t>141.</w:t>
      </w:r>
      <w:r>
        <w:tab/>
        <w:t>Основная цель этого Плана состоит в обеспечении уважения и повышении эффективности мер по поощрению, соблюдению и защите прав человека в Индонезии с учетом религиозных, традиционных и культурных ценностей индонезийского народа и на основе Конституции Республики Индонезии 1945 года.  В нем, как и в первом Национальном плане действий (на период 1998-2003 годов), определены сроки достижения конкретных целей применительно к образованию в области прав человека.</w:t>
      </w:r>
    </w:p>
    <w:p w:rsidR="00000000" w:rsidRDefault="00000000"/>
    <w:p w:rsidR="00000000" w:rsidRDefault="00000000">
      <w:r>
        <w:t>142.</w:t>
      </w:r>
      <w:r>
        <w:tab/>
        <w:t>Особое внимание в рамках осуществления Плана действий будет уделяться подготовке сотрудников полиции, тюремных чиновников, адвокатов, судей, прокуроров, учителей и лиц, отвечающих за разработку учебных программ, военнослужащих, международных гражданских служащих, сотрудников по вопросам развития и миротворцев, представителей неправительственных организаций, сотрудников средств массовой информации, правительственных должностных лиц, членов парламента и представителей других групп, которые могут влиять на осуществление прав человека и обеспечивать их реализацию.  Кроме того, правительство осуществляет аналогичные программы в неофициальных учреждениях, например, в общественных и религиозных учреждениях.  Цель этой деятельности состоит в том, чтобы сотрудники соответствующих учреждений и структур лучше знали или понимали конкретные принципы прав человека.</w:t>
      </w:r>
    </w:p>
    <w:p w:rsidR="00000000" w:rsidRDefault="00000000"/>
    <w:p w:rsidR="00000000" w:rsidRDefault="00000000">
      <w:r>
        <w:t>143.</w:t>
      </w:r>
      <w:r>
        <w:tab/>
        <w:t>По линии осуществления Конституции 1945 года, в частности статьи 34 о социальном обеспечении населения, правительство приняло Закон № 40 2004 года о системе социального обеспечения, который гарантирует удовлетворение различных базовых потребностей всех граждан, в том числе в области здравоохранения, социального обеспечения и т.д.  Кроме того, статья 41 Закона № 39 1999</w:t>
      </w:r>
      <w:r>
        <w:rPr>
          <w:lang w:val="en-US"/>
        </w:rPr>
        <w:t> </w:t>
      </w:r>
      <w:r>
        <w:t>года о правах человека также гарантирует права населения на удовлетворение его базовых потребностей.</w:t>
      </w:r>
    </w:p>
    <w:p w:rsidR="00000000" w:rsidRDefault="00000000"/>
    <w:p w:rsidR="00000000" w:rsidRDefault="00000000">
      <w:r>
        <w:t>144.</w:t>
      </w:r>
      <w:r>
        <w:tab/>
        <w:t>Принцип недискриминации в связи с правами ребенка закреплен в статьях 52-66 Закона № 39 1999</w:t>
      </w:r>
      <w:r>
        <w:rPr>
          <w:lang w:val="en-US"/>
        </w:rPr>
        <w:t> </w:t>
      </w:r>
      <w:r>
        <w:t>года о правах человека, статье 2 Закона № 23 2002 года о защите детей и статье 4 Закона № 20 2003 года о национальной системе образования.</w:t>
      </w:r>
    </w:p>
    <w:p w:rsidR="00000000" w:rsidRDefault="00000000"/>
    <w:p w:rsidR="00000000" w:rsidRDefault="00000000">
      <w:r>
        <w:t>145.</w:t>
      </w:r>
      <w:r>
        <w:tab/>
        <w:t>Преднамеренное совершение актов дискриминации в отношении детей или отсутствие заботы о ребенке наказуемо лишением свободы до пяти лет и/или штрафом в размере не более 100 000 000 рупий, как это закреплено в статье 77 Закона № 23 2002 года о защите ребенка.</w:t>
      </w:r>
    </w:p>
    <w:p w:rsidR="00000000" w:rsidRDefault="00000000"/>
    <w:p w:rsidR="00000000" w:rsidRDefault="00000000">
      <w:r>
        <w:t>146.</w:t>
      </w:r>
      <w:r>
        <w:tab/>
        <w:t>Процедуры расследования, преследования и судебного разбирательства по делам об изнасиловании были усовершенствованы в целях обеспечения защиты жертв, особенно от дискриминации.  Правительство опубликовало брошюры о защите прав человека для сотрудников полиции и работников пенитенциарных учреждений.  Кроме того, между начальником полиции, министром по делам женщин и министром по социальным делам был подписан меморандум о взаимопонимании, посвященный вопросам защиты жертв насилия, в частности в целях предотвращения дискриминации в отношении женщин.</w:t>
      </w:r>
    </w:p>
    <w:p w:rsidR="00000000" w:rsidRDefault="00000000"/>
    <w:p w:rsidR="00000000" w:rsidRDefault="00000000">
      <w:r>
        <w:t>147.</w:t>
      </w:r>
      <w:r>
        <w:tab/>
        <w:t>В 2002 году правительство в сотрудничестве с УВКБ опубликовало подготовленные для сотрудников правоприменительных органов руководящие принципы в области уважения прав человека.  В них содержатся некоторые базовые документы, посвященные поощрению и защите прав человека, в том числе защите прав уязвимых групп.</w:t>
      </w:r>
    </w:p>
    <w:p w:rsidR="00000000" w:rsidRDefault="00000000"/>
    <w:p w:rsidR="00000000" w:rsidRDefault="00000000">
      <w:r>
        <w:t>148.</w:t>
      </w:r>
      <w:r>
        <w:tab/>
        <w:t>В Законе № 4 1997 года об инвалидах, осуществление которого регулируется постановлением правительства № 43 1998 года, указывается, что инвалиды имеют право на равные возможности во всех областях.  Например, полицейский Брипда Ниоман Ринтеп, который в результате автодорожной аварии потерял зрение, по</w:t>
      </w:r>
      <w:r>
        <w:noBreakHyphen/>
        <w:t>прежнему работает в полицейском управлении Бали в качестве телефониста.  Эта информация была представлена Индонезийским союзом инвалидов (</w:t>
      </w:r>
      <w:r>
        <w:rPr>
          <w:i/>
          <w:iCs/>
          <w:lang w:val="en-US"/>
        </w:rPr>
        <w:t>Persatuan</w:t>
      </w:r>
      <w:r>
        <w:rPr>
          <w:i/>
          <w:iCs/>
        </w:rPr>
        <w:t xml:space="preserve"> </w:t>
      </w:r>
      <w:r>
        <w:rPr>
          <w:i/>
          <w:iCs/>
          <w:lang w:val="en-US"/>
        </w:rPr>
        <w:t>Penyandang</w:t>
      </w:r>
      <w:r>
        <w:rPr>
          <w:i/>
          <w:iCs/>
        </w:rPr>
        <w:t xml:space="preserve"> </w:t>
      </w:r>
      <w:r>
        <w:rPr>
          <w:i/>
          <w:iCs/>
          <w:lang w:val="en-US"/>
        </w:rPr>
        <w:t>Cacat</w:t>
      </w:r>
      <w:r>
        <w:rPr>
          <w:i/>
          <w:iCs/>
        </w:rPr>
        <w:t xml:space="preserve"> </w:t>
      </w:r>
      <w:r>
        <w:rPr>
          <w:i/>
          <w:iCs/>
          <w:lang w:val="en-US"/>
        </w:rPr>
        <w:t>Indonesia</w:t>
      </w:r>
      <w:r>
        <w:t>), организацией, которая наградила начальника Управления полиции Бали почетной грамотой.</w:t>
      </w:r>
    </w:p>
    <w:p w:rsidR="00000000" w:rsidRDefault="00000000"/>
    <w:p w:rsidR="00000000" w:rsidRDefault="00000000">
      <w:r>
        <w:t>149.</w:t>
      </w:r>
      <w:r>
        <w:tab/>
        <w:t xml:space="preserve">Что касается политических прав, то правительство провело обзор декретов, которые считаются дискриминационными или могут быть потенциально дискриминационными при их осуществлении.  Так, например, в 2004 году Конституционный суд пересмотрел некоторые положения Декрета № </w:t>
      </w:r>
      <w:r>
        <w:rPr>
          <w:lang w:val="en-US"/>
        </w:rPr>
        <w:t>VIII</w:t>
      </w:r>
      <w:r>
        <w:t>/</w:t>
      </w:r>
      <w:r>
        <w:rPr>
          <w:lang w:val="en-US"/>
        </w:rPr>
        <w:t>MPR</w:t>
      </w:r>
      <w:r>
        <w:t>/2001 Народного консультативного конгресса с целью реабилитации бывших политических заключенных в их политических правах.</w:t>
      </w:r>
    </w:p>
    <w:p w:rsidR="00000000" w:rsidRDefault="00000000"/>
    <w:p w:rsidR="00000000" w:rsidRDefault="00000000">
      <w:r>
        <w:t>150.</w:t>
      </w:r>
      <w:r>
        <w:tab/>
        <w:t>Считается, что мятеж, который был поднят в мае 1998 года, произошел по причине расовой дискриминации.  В ходе этого мятежа было отмечено много случаев изнасилований и убийств, жертвами которых стали индонезийцы китайского происхождения.  Во время этого мятежа, который привел к отставке президента Сухарто, преступники избирали своими жертвами лишь лиц, принадлежащих к китайской этнической группе.  Позднее правительство создало группу по установлению фактов с целью расследования событий, связанных с мятежом.  Группа представила свои выводы полиции для принятия последующих мер.</w:t>
      </w:r>
    </w:p>
    <w:p w:rsidR="00000000" w:rsidRDefault="00000000"/>
    <w:p w:rsidR="00000000" w:rsidRDefault="00000000">
      <w:r>
        <w:t>151.</w:t>
      </w:r>
      <w:r>
        <w:tab/>
        <w:t>Что касается права на жилье, то Ассоциация по делам неимущих слоев городского населения (</w:t>
      </w:r>
      <w:r>
        <w:rPr>
          <w:i/>
          <w:iCs/>
          <w:lang w:val="en-US"/>
        </w:rPr>
        <w:t>Konsorsium</w:t>
      </w:r>
      <w:r>
        <w:rPr>
          <w:i/>
          <w:iCs/>
        </w:rPr>
        <w:t xml:space="preserve"> </w:t>
      </w:r>
      <w:r>
        <w:rPr>
          <w:i/>
          <w:iCs/>
          <w:lang w:val="en-US"/>
        </w:rPr>
        <w:t>Rakyat</w:t>
      </w:r>
      <w:r>
        <w:rPr>
          <w:i/>
          <w:iCs/>
        </w:rPr>
        <w:t xml:space="preserve"> </w:t>
      </w:r>
      <w:r>
        <w:rPr>
          <w:i/>
          <w:iCs/>
          <w:lang w:val="en-US"/>
        </w:rPr>
        <w:t>Miskin</w:t>
      </w:r>
      <w:r>
        <w:rPr>
          <w:i/>
          <w:iCs/>
        </w:rPr>
        <w:t xml:space="preserve"> </w:t>
      </w:r>
      <w:r>
        <w:rPr>
          <w:i/>
          <w:iCs/>
          <w:lang w:val="en-US"/>
        </w:rPr>
        <w:t>Perkotaan</w:t>
      </w:r>
      <w:r>
        <w:t>) провела исследование и пришла к выводу, что в секторе жилья существует дискриминация, особенно по отношению к людям, живущим у черты или за чертой нищеты.</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pPr>
      <w:r>
        <w:rPr>
          <w:b/>
          <w:bCs/>
        </w:rPr>
        <w:t>Права жертв на средства защиты</w:t>
      </w:r>
    </w:p>
    <w:p w:rsidR="00000000" w:rsidRDefault="00000000">
      <w:pPr>
        <w:jc w:val="center"/>
      </w:pPr>
    </w:p>
    <w:p w:rsidR="00000000" w:rsidRDefault="00000000">
      <w:r>
        <w:t>152.</w:t>
      </w:r>
      <w:r>
        <w:tab/>
        <w:t>Индонезия является государством, которое придерживается принципа верховенства права.  Она полностью привержена делу осуществления Конвенции.  Конституция 1945 года гарантирует ликвидацию всех актов расовой дискриминации.  В частности, пункт 1 статьи 27 гласит:  "</w:t>
      </w:r>
      <w:r>
        <w:rPr>
          <w:i/>
          <w:iCs/>
        </w:rPr>
        <w:t>Все граждане равны перед законом и органами власти и обязаны без всяких исключений соблюдать законы и уважать органы власти</w:t>
      </w:r>
      <w:r>
        <w:t>".  Кроме того, каждый гражданин Индонезии имеет право не подвергаться дискриминации и пользоваться защитой в случае дискриминации, как это указано в пункте 2 статьи 28 Конституции 1945 года.</w:t>
      </w:r>
    </w:p>
    <w:p w:rsidR="00000000" w:rsidRDefault="00000000"/>
    <w:p w:rsidR="00000000" w:rsidRDefault="00000000">
      <w:r>
        <w:t>153.</w:t>
      </w:r>
      <w:r>
        <w:tab/>
        <w:t>Для осуществления положений Конституции 1945 года, касающихся прав человека, был принят Закон № 39 1999</w:t>
      </w:r>
      <w:r>
        <w:rPr>
          <w:lang w:val="en-US"/>
        </w:rPr>
        <w:t> </w:t>
      </w:r>
      <w:r>
        <w:t>года о правах человека, который строго регулирует и гарантирует защиту от дискриминации.  Например, статья 17 Конституции гарантирует доступ к правосудию без какой бы то ни было дискриминации.  Эта статья, в частности, гласит:  "</w:t>
      </w:r>
      <w:r>
        <w:rPr>
          <w:i/>
          <w:iCs/>
        </w:rPr>
        <w:t>Каждый без какой-либо дискриминации имеет право на справедливое рассмотрение его дела в суде путем подачи заявления или жалобы</w:t>
      </w:r>
      <w:r>
        <w:t>".</w:t>
      </w:r>
    </w:p>
    <w:p w:rsidR="00000000" w:rsidRDefault="00000000"/>
    <w:p w:rsidR="00000000" w:rsidRDefault="00000000">
      <w:r>
        <w:t>154.</w:t>
      </w:r>
      <w:r>
        <w:tab/>
        <w:t xml:space="preserve">Кроме того, граждане Индонезии могут свободно выбирать гражданство без какой-либо дискриминации, что закреплено в статье 26 Конституции 1945 года:  </w:t>
      </w:r>
      <w:r>
        <w:rPr>
          <w:i/>
          <w:iCs/>
        </w:rPr>
        <w:t>"каждый может свободно выбирать свое гражданство и без какой-либо дискриминации пользоваться правами, которые предусмотрены этим гражданством, и обязан выполнять свои обязательства в соответствии с действующими законами"</w:t>
      </w:r>
      <w:r>
        <w:t>.</w:t>
      </w:r>
    </w:p>
    <w:p w:rsidR="00000000" w:rsidRDefault="00000000"/>
    <w:p w:rsidR="00000000" w:rsidRDefault="00000000">
      <w:r>
        <w:t>155.</w:t>
      </w:r>
      <w:r>
        <w:tab/>
        <w:t>После ратификации Конвенции правительство приняло ряд законов с целью обеспечения соблюдения Конвенции и демонстрации серьезности своих намерений ликвидировать все формы расовой дискриминации.  Например, оно утвердило Президентский указ № 26 1998 года о прекращении использования терминов "коренные" и "некоренные" и о ликвидации всех форм расовой дискриминации.</w:t>
      </w:r>
    </w:p>
    <w:p w:rsidR="00000000" w:rsidRDefault="00000000"/>
    <w:p w:rsidR="00000000" w:rsidRDefault="00000000">
      <w:r>
        <w:t>156.</w:t>
      </w:r>
      <w:r>
        <w:tab/>
        <w:t>В первом пункте этого Президентского указа содержится четкое указание относительно прекращения использования терминов "коренные" и "некоренные" в рамках осуществления политики, разработки программ или любой другой деятельности правительства.  Кроме того, третий пункт предусматривает отмену расовой политики прежнего правительства путем внесения соответствующих изменений во все законы и постановления, политику и программы, касающиеся предпринимательской деятельности, финансовой сферы/банковского дела, гражданства, образования, здравоохранения, трудоустройства, оплаты труда и других прав трудящихся.</w:t>
      </w:r>
    </w:p>
    <w:p w:rsidR="00000000" w:rsidRDefault="00000000"/>
    <w:p w:rsidR="00000000" w:rsidRDefault="00000000">
      <w:r>
        <w:t>157.</w:t>
      </w:r>
      <w:r>
        <w:tab/>
        <w:t>Правительство утвердило Президентский декрет № 6 2000 года относительно осуществления Декрета президента Республики Индонезии № 56 1996 года, отменив тем самым Президентский указ № 14 1967 года о религии, верованиях и традициях населения китайского происхождения.  В соответствии с этим Декретом индонезийцы китайского происхождения могут свободно соблюдать свои традиции без получения на то предварительного разрешения.</w:t>
      </w:r>
    </w:p>
    <w:p w:rsidR="00000000" w:rsidRDefault="00000000"/>
    <w:p w:rsidR="00000000" w:rsidRDefault="00000000">
      <w:pPr>
        <w:rPr>
          <w:color w:val="000000"/>
        </w:rPr>
      </w:pPr>
      <w:r>
        <w:t>158.</w:t>
      </w:r>
      <w:r>
        <w:tab/>
        <w:t>В целях ликвидации всех форм расовой дискриминации Национальная комиссия по правам человека учредила Рабочий комитет по анализу дискриминационных законов и постановлений.  Членами этого Комитета являются представители Национальной комиссии по правам человека и НПО, в частности Движения против дискриминации (</w:t>
      </w:r>
      <w:r>
        <w:rPr>
          <w:iCs/>
          <w:color w:val="000000"/>
        </w:rPr>
        <w:t>Gerakan Anti Diskriminasi</w:t>
      </w:r>
      <w:r>
        <w:rPr>
          <w:i/>
          <w:color w:val="000000"/>
        </w:rPr>
        <w:t xml:space="preserve"> - </w:t>
      </w:r>
      <w:r>
        <w:rPr>
          <w:color w:val="000000"/>
        </w:rPr>
        <w:t>GANDI) и Коммуникационного форума за национальное единство (Forum Komunikasi Kesatuan Bangsa - FKKB).  Национальная комиссия по правам человека также учредила Рабочую группу по вопросам борьбы против дискриминации.  Одним из результатов деятельности Комитета явилось всеобъемлющее исследование по вопросам ликвидации расовой дискриминации.</w:t>
      </w:r>
    </w:p>
    <w:p w:rsidR="00000000" w:rsidRDefault="00000000">
      <w:pPr>
        <w:rPr>
          <w:color w:val="000000"/>
        </w:rPr>
      </w:pPr>
    </w:p>
    <w:p w:rsidR="00000000" w:rsidRDefault="00000000">
      <w:pPr>
        <w:rPr>
          <w:color w:val="000000"/>
        </w:rPr>
      </w:pPr>
      <w:r>
        <w:rPr>
          <w:color w:val="000000"/>
        </w:rPr>
        <w:t>159.</w:t>
      </w:r>
      <w:r>
        <w:rPr>
          <w:color w:val="000000"/>
        </w:rPr>
        <w:tab/>
        <w:t>Закон № 26 2000 года и Закон № 27 2004 года о Комиссии по установлению истины и примирению (</w:t>
      </w:r>
      <w:r>
        <w:rPr>
          <w:iCs/>
          <w:color w:val="000000"/>
        </w:rPr>
        <w:t xml:space="preserve">Komisi Kebenaran dan Rekonsiliasi </w:t>
      </w:r>
      <w:r>
        <w:rPr>
          <w:color w:val="000000"/>
        </w:rPr>
        <w:t>– KKR) содержат положения о возмещении и компенсации любого ущерба, понесенного в результате расовой дискриминации.</w:t>
      </w:r>
    </w:p>
    <w:p w:rsidR="00000000" w:rsidRDefault="00000000">
      <w:pPr>
        <w:rPr>
          <w:color w:val="000000"/>
        </w:rPr>
      </w:pPr>
    </w:p>
    <w:p w:rsidR="00000000" w:rsidRDefault="00000000">
      <w:pPr>
        <w:rPr>
          <w:color w:val="000000"/>
        </w:rPr>
      </w:pPr>
      <w:r>
        <w:rPr>
          <w:color w:val="000000"/>
        </w:rPr>
        <w:t>160.</w:t>
      </w:r>
      <w:r>
        <w:rPr>
          <w:color w:val="000000"/>
        </w:rPr>
        <w:tab/>
        <w:t>С целью осуществления Закона № 26 2000 года о Суде по правам человека правительство приняло правительственное постановление № 3 2002 года о реституции и средствах правовой защиты жертв грубых нарушений прав человека.</w:t>
      </w:r>
    </w:p>
    <w:p w:rsidR="00000000" w:rsidRDefault="00000000">
      <w:pPr>
        <w:rPr>
          <w:color w:val="000000"/>
        </w:rPr>
      </w:pPr>
    </w:p>
    <w:p w:rsidR="00000000" w:rsidRDefault="00000000">
      <w:pPr>
        <w:jc w:val="center"/>
        <w:rPr>
          <w:b/>
          <w:bCs/>
          <w:color w:val="000000"/>
        </w:rPr>
      </w:pPr>
      <w:r>
        <w:rPr>
          <w:b/>
          <w:bCs/>
          <w:color w:val="000000"/>
        </w:rPr>
        <w:t>Статья 7</w:t>
      </w:r>
    </w:p>
    <w:p w:rsidR="00000000" w:rsidRDefault="00000000">
      <w:pPr>
        <w:jc w:val="center"/>
        <w:rPr>
          <w:b/>
          <w:bCs/>
          <w:color w:val="000000"/>
        </w:rPr>
      </w:pPr>
    </w:p>
    <w:p w:rsidR="00000000" w:rsidRDefault="00000000">
      <w:pPr>
        <w:jc w:val="center"/>
        <w:rPr>
          <w:color w:val="000000"/>
        </w:rPr>
      </w:pPr>
      <w:r>
        <w:rPr>
          <w:b/>
          <w:bCs/>
          <w:color w:val="000000"/>
        </w:rPr>
        <w:t>Образование и информация о запрете расовой дискриминации</w:t>
      </w:r>
    </w:p>
    <w:p w:rsidR="00000000" w:rsidRDefault="00000000">
      <w:pPr>
        <w:jc w:val="center"/>
        <w:rPr>
          <w:color w:val="000000"/>
        </w:rPr>
      </w:pPr>
    </w:p>
    <w:p w:rsidR="00000000" w:rsidRDefault="00000000">
      <w:pPr>
        <w:rPr>
          <w:color w:val="000000"/>
        </w:rPr>
      </w:pPr>
      <w:r>
        <w:rPr>
          <w:color w:val="000000"/>
        </w:rPr>
        <w:t>161.</w:t>
      </w:r>
      <w:r>
        <w:rPr>
          <w:color w:val="000000"/>
        </w:rPr>
        <w:tab/>
        <w:t>Правительство Республики Индонезии считает, что средства массовой информации играют важную роль в деле поощрения и защиты прав человека.  Поддержка со стороны средств массовой информации является важным подспорьем для правительства в деле информирования населения о принципах прав человека и необходимости ликвидации расовой дискриминации.  Средства массовой информации также являются основным источником информации для большинства людей, поскольку они имеют доступ к радио, газетам, журналам и телевидению.  Средства массовой информации оказывают большое влияние на формирование общественного мнения.</w:t>
      </w:r>
    </w:p>
    <w:p w:rsidR="00000000" w:rsidRDefault="00000000">
      <w:pPr>
        <w:rPr>
          <w:color w:val="000000"/>
        </w:rPr>
      </w:pPr>
    </w:p>
    <w:p w:rsidR="00000000" w:rsidRDefault="00000000">
      <w:pPr>
        <w:rPr>
          <w:color w:val="000000"/>
        </w:rPr>
      </w:pPr>
      <w:r>
        <w:rPr>
          <w:color w:val="000000"/>
        </w:rPr>
        <w:t>162.</w:t>
      </w:r>
      <w:r>
        <w:rPr>
          <w:color w:val="000000"/>
        </w:rPr>
        <w:tab/>
        <w:t>С учетом важной роли средств массовой информации и их независимости в плане распространения информации среди населения единственно, что может делать правительство, так это поддерживать позитивные действия организаций средств массовой информации в области информирования населения о необходимости борьбы с расовой дискриминацией.  Например, Научно-исследовательский институт средств массовой информации и развития (ЛСПП) опубликовал для журналистов книгу карманного формата, посвященную Международной конвенции о ликвидации всех форм расовой дискриминации.  ЛСПП также проводит для журналистов учебные семинары на эту тему.  Результаты этих учебных семинаров были опубликованы в брошюре под названием "От единообразия к многообразию, многокультурные аспекты и средства массовой информации".</w:t>
      </w:r>
    </w:p>
    <w:p w:rsidR="00000000" w:rsidRDefault="00000000">
      <w:pPr>
        <w:rPr>
          <w:color w:val="000000"/>
        </w:rPr>
      </w:pPr>
    </w:p>
    <w:p w:rsidR="00000000" w:rsidRDefault="00000000">
      <w:pPr>
        <w:rPr>
          <w:color w:val="000000"/>
        </w:rPr>
      </w:pPr>
      <w:r>
        <w:rPr>
          <w:color w:val="000000"/>
        </w:rPr>
        <w:t>163.</w:t>
      </w:r>
      <w:r>
        <w:rPr>
          <w:color w:val="000000"/>
        </w:rPr>
        <w:tab/>
        <w:t>Что касается вопроса о коренных народах, то нельзя отрицать, что некоторые местные и международные группы пытались использовать существующие проблемы с целью критики правительства.  Однако их попытки, как представляется, провалились.  Например, по мнению канадской организации "Уотер инститьюшн", Индонезия является наглядным примером конструктивного решения проблем, с которыми сталкиваются коренные народы.</w:t>
      </w:r>
    </w:p>
    <w:p w:rsidR="00000000" w:rsidRDefault="00000000">
      <w:pPr>
        <w:rPr>
          <w:color w:val="000000"/>
        </w:rPr>
      </w:pPr>
    </w:p>
    <w:p w:rsidR="00000000" w:rsidRDefault="00000000">
      <w:pPr>
        <w:rPr>
          <w:color w:val="000000"/>
        </w:rPr>
      </w:pPr>
      <w:r>
        <w:rPr>
          <w:color w:val="000000"/>
        </w:rPr>
        <w:t>164.</w:t>
      </w:r>
      <w:r>
        <w:rPr>
          <w:color w:val="000000"/>
        </w:rPr>
        <w:tab/>
        <w:t>Закон №. 40 1999</w:t>
      </w:r>
      <w:r>
        <w:rPr>
          <w:color w:val="000000"/>
          <w:lang w:val="en-US"/>
        </w:rPr>
        <w:t> </w:t>
      </w:r>
      <w:r>
        <w:rPr>
          <w:color w:val="000000"/>
        </w:rPr>
        <w:t>года о прессе является значительно более совершенным, чем Закон № 21 1984 года, посвященный тому же вопросу.  Правительство также приняло Закон № 9 1998 года о праве на свободное выражение мнений.  Жалобы населения на работу средств массовой информации могут подаваться в Индонезийскую комиссию радиовещания, которая занимается такими вопросами.</w:t>
      </w:r>
    </w:p>
    <w:p w:rsidR="00000000" w:rsidRDefault="00000000">
      <w:pPr>
        <w:rPr>
          <w:color w:val="000000"/>
        </w:rPr>
      </w:pPr>
    </w:p>
    <w:p w:rsidR="00000000" w:rsidRDefault="00000000">
      <w:pPr>
        <w:rPr>
          <w:color w:val="000000"/>
        </w:rPr>
      </w:pPr>
      <w:r>
        <w:rPr>
          <w:color w:val="000000"/>
        </w:rPr>
        <w:t>165.</w:t>
      </w:r>
      <w:r>
        <w:rPr>
          <w:color w:val="000000"/>
        </w:rPr>
        <w:tab/>
        <w:t>В основе Закона № 31 2002 года о политических партиях лежит то соображение, что демократия должна поддерживать принцип недискриминации.  Таким образом, создание и существование политических партий обеспечивает наличие демократии, из чего следует, что политические партии должны также исходить из принципов недискриминации.  Пункт с) статьи 6 этого Закона предусматривает, что политические партии должны содействовать созданию атмосферы демократии.  Согласно пункту d) статьи 9, политические партии также должны обеспечивать защиту и уважение прав человека.</w:t>
      </w:r>
    </w:p>
    <w:p w:rsidR="00000000" w:rsidRDefault="00000000">
      <w:pPr>
        <w:rPr>
          <w:color w:val="000000"/>
        </w:rPr>
      </w:pPr>
    </w:p>
    <w:p w:rsidR="00000000" w:rsidRDefault="00000000">
      <w:pPr>
        <w:rPr>
          <w:color w:val="000000"/>
        </w:rPr>
      </w:pPr>
      <w:r>
        <w:rPr>
          <w:color w:val="000000"/>
        </w:rPr>
        <w:t>166.</w:t>
      </w:r>
      <w:r>
        <w:rPr>
          <w:color w:val="000000"/>
        </w:rPr>
        <w:tab/>
        <w:t>Программы учебных заведений Индонезии с начального до высшего уровня, направлены на воспитание учащихся в духе уважения всех людей независимо от существующих между ними различий.  Например, такой предмет как основы гражданского права, который преподается как в начальных школах, так и в высших учебных заведениях, направлен на воспитание чувства уважения к другим людям.</w:t>
      </w:r>
    </w:p>
    <w:p w:rsidR="00000000" w:rsidRDefault="00000000">
      <w:pPr>
        <w:rPr>
          <w:color w:val="000000"/>
        </w:rPr>
      </w:pPr>
    </w:p>
    <w:p w:rsidR="00000000" w:rsidRDefault="00000000">
      <w:r>
        <w:rPr>
          <w:color w:val="000000"/>
        </w:rPr>
        <w:t>167.</w:t>
      </w:r>
      <w:r>
        <w:rPr>
          <w:color w:val="000000"/>
        </w:rPr>
        <w:tab/>
        <w:t>В Законе № 20 2003 года о национальной системе образования указывается, что каждый человек в Индонезии имеет право на образование независимо от расы или этнического происхождения.</w:t>
      </w:r>
    </w:p>
    <w:p w:rsidR="00000000" w:rsidRDefault="00000000"/>
    <w:p w:rsidR="00000000" w:rsidRDefault="00000000">
      <w:pPr>
        <w:keepNext/>
        <w:tabs>
          <w:tab w:val="left" w:pos="567"/>
        </w:tabs>
        <w:jc w:val="center"/>
        <w:rPr>
          <w:b/>
          <w:bCs/>
        </w:rPr>
      </w:pPr>
      <w:r>
        <w:rPr>
          <w:b/>
          <w:bCs/>
          <w:lang w:val="en-US"/>
        </w:rPr>
        <w:t>III</w:t>
      </w:r>
      <w:r>
        <w:rPr>
          <w:b/>
          <w:bCs/>
        </w:rPr>
        <w:t>.</w:t>
      </w:r>
      <w:r>
        <w:rPr>
          <w:b/>
          <w:bCs/>
        </w:rPr>
        <w:tab/>
        <w:t xml:space="preserve">ТРУДНОСТИ, С КОТОРЫМИ СТАЛКИВАЕТСЯ ПРАВИТЕЛЬСТВО </w:t>
      </w:r>
    </w:p>
    <w:p w:rsidR="00000000" w:rsidRDefault="00000000">
      <w:pPr>
        <w:keepNext/>
        <w:tabs>
          <w:tab w:val="left" w:pos="567"/>
        </w:tabs>
        <w:jc w:val="center"/>
        <w:rPr>
          <w:b/>
          <w:bCs/>
        </w:rPr>
      </w:pPr>
      <w:r>
        <w:rPr>
          <w:b/>
          <w:bCs/>
        </w:rPr>
        <w:t>В ДЕЛЕ ОСУЩЕСТВЛЕНИЯ КОНВЕНЦИИ</w:t>
      </w:r>
    </w:p>
    <w:p w:rsidR="00000000" w:rsidRDefault="00000000">
      <w:pPr>
        <w:keepNext/>
        <w:ind w:left="567" w:hanging="567"/>
        <w:rPr>
          <w:b/>
          <w:bCs/>
        </w:rPr>
      </w:pPr>
    </w:p>
    <w:p w:rsidR="00000000" w:rsidRDefault="00000000">
      <w:r>
        <w:t>168.</w:t>
      </w:r>
      <w:r>
        <w:tab/>
        <w:t>Хотя надпись на гербе Индонезии гласит, что единство заключается в разнообразии (</w:t>
      </w:r>
      <w:r>
        <w:rPr>
          <w:i/>
          <w:iCs/>
          <w:lang w:val="en-US"/>
        </w:rPr>
        <w:t>Bhinneka</w:t>
      </w:r>
      <w:r>
        <w:rPr>
          <w:i/>
          <w:iCs/>
        </w:rPr>
        <w:t xml:space="preserve"> </w:t>
      </w:r>
      <w:r>
        <w:rPr>
          <w:i/>
          <w:iCs/>
          <w:lang w:val="en-US"/>
        </w:rPr>
        <w:t>Tunggal</w:t>
      </w:r>
      <w:r>
        <w:rPr>
          <w:i/>
          <w:iCs/>
        </w:rPr>
        <w:t xml:space="preserve"> </w:t>
      </w:r>
      <w:r>
        <w:rPr>
          <w:i/>
          <w:iCs/>
          <w:lang w:val="en-US"/>
        </w:rPr>
        <w:t>Ika</w:t>
      </w:r>
      <w:r>
        <w:t>), предотвратить удается не все конфликты.  Например, в 1994 году в Палангкарайе, Центральный Калимантан, возник этнический конфликт.  Он разгорелся между коренным населением (этнической группой даяк) и новыми поселенцами (этнической группой мадура), которые мигрировали из восточной части острова Ява.  Из</w:t>
      </w:r>
      <w:r>
        <w:noBreakHyphen/>
        <w:t xml:space="preserve">за отсутствия взаимопонимания между этими двумя этническими группами начался конфликт, который привел к большим потерям с обеих сторон.  Погибли сотни людей, главным образом представители этнической группы мадура, а те, кто выжил, были вынуждены покинуть зону конфликта. </w:t>
      </w:r>
    </w:p>
    <w:p w:rsidR="00000000" w:rsidRDefault="00000000"/>
    <w:p w:rsidR="00000000" w:rsidRDefault="00000000">
      <w:r>
        <w:t>169.</w:t>
      </w:r>
      <w:r>
        <w:tab/>
        <w:t>Местным органам власти ничего не оставалось, как на время разделить или изолировать друг от друга эти две этнические группы.  Однако эта политика носила лишь временный характер.  Ее цель состояла в том, чтобы не допустить еще большего ущерба.  Многие представители этнической группы мадура покинули свои дома в Центральном Калимантане, но спустя некоторые время, естественно, вернулись в эти дома.  Сегодня эти две группы живут бок о бок, но они извлекли очень важный урок из произошедших событий, а именно как жить в согласии.</w:t>
      </w:r>
    </w:p>
    <w:p w:rsidR="00000000" w:rsidRDefault="00000000"/>
    <w:p w:rsidR="00000000" w:rsidRDefault="00000000">
      <w:r>
        <w:t>170.</w:t>
      </w:r>
      <w:r>
        <w:tab/>
        <w:t>Тот факт, что Индонезия является многокультурной, многорасовой, многорелигиозной и многоязыковой страной, побудив правительство искать инновационные способы для обеспечения того, чтобы все этнические группы чувствовали себя в безопасности и не подвергались какой-либо дискриминации.</w:t>
      </w:r>
    </w:p>
    <w:p w:rsidR="00000000" w:rsidRDefault="00000000"/>
    <w:p w:rsidR="00000000" w:rsidRDefault="00000000">
      <w:r>
        <w:t>171.</w:t>
      </w:r>
      <w:r>
        <w:tab/>
        <w:t>Не следует стирать культурные различия, которые существуют между этническими группами, как это произошло на Калимантане в 1994 году.  Одной из причин произошедшего конфликта явилось непонимание культурных традиций друг друга.  Новые поселенцы, народ мадура, где бы они ни работали, традиционно носят с собой мачете.  Эти мачете представляют собой многофукциональные инструменты и весьма полезны в повседневном труде.  Однако народ даяк истолковал мачете как символ войны.  Кроме того, даяки считают, что деревья являются местом обитания их святого духа и источником жизни.  Они почти не рубят деревья, поскольку считают, что это может принести им вред.  Для народа мадура рубка деревьев является обычной деятельностью.</w:t>
      </w:r>
    </w:p>
    <w:p w:rsidR="00000000" w:rsidRDefault="00000000"/>
    <w:p w:rsidR="00000000" w:rsidRDefault="00000000">
      <w:r>
        <w:t>172.</w:t>
      </w:r>
      <w:r>
        <w:tab/>
        <w:t>В связи с увеличением в Индонезии числа внутренне перемещенных лиц, особенно в результате стихийных бедствий, правительству необходимо разработать руководящие принципы урегулирования таких ситуаций с целью предотвращения дискриминации.</w:t>
      </w:r>
    </w:p>
    <w:p w:rsidR="00000000" w:rsidRDefault="00000000"/>
    <w:p w:rsidR="00000000" w:rsidRDefault="00000000">
      <w:r>
        <w:t>173.</w:t>
      </w:r>
      <w:r>
        <w:tab/>
        <w:t>Возникающие трудности также обусловлены различиями в понимании необходимости поощрения и защиты прав человека местными органами власти и центральным правительством.</w:t>
      </w:r>
    </w:p>
    <w:p w:rsidR="00000000" w:rsidRDefault="00000000"/>
    <w:p w:rsidR="00000000" w:rsidRDefault="00000000">
      <w:r>
        <w:t>174.</w:t>
      </w:r>
      <w:r>
        <w:tab/>
        <w:t xml:space="preserve">Необходимо согласовать некоторые действующие в Индонезии положения, с тем чтобы они учитывали требования </w:t>
      </w:r>
      <w:r>
        <w:rPr>
          <w:i/>
          <w:iCs/>
        </w:rPr>
        <w:t>масиаракат адат</w:t>
      </w:r>
      <w:r>
        <w:t>.</w:t>
      </w:r>
    </w:p>
    <w:p w:rsidR="00000000" w:rsidRDefault="00000000"/>
    <w:p w:rsidR="00000000" w:rsidRDefault="00000000">
      <w:r>
        <w:t>175.</w:t>
      </w:r>
      <w:r>
        <w:tab/>
        <w:t>Другими словами, не следует ни подрывать, ни недооценивать усилия, предпринимаемые правительством страны со столь большой численностью населения (четвертое место в мире), которое является столь разнообразным с точки зрения этнического или расового состава, традиций и культуры, религий и верований, языка и письменности и которое проживает на более чем 17 000 островах Индонезийского архипелага.  Это страной можно хорошо управлять лишь с благословения Всемогущего Господа.</w:t>
      </w:r>
    </w:p>
    <w:p w:rsidR="00000000" w:rsidRDefault="00000000"/>
    <w:p w:rsidR="00000000" w:rsidRDefault="00000000">
      <w:pPr>
        <w:keepNext/>
        <w:jc w:val="center"/>
        <w:rPr>
          <w:b/>
          <w:bCs/>
        </w:rPr>
      </w:pPr>
      <w:r>
        <w:rPr>
          <w:b/>
          <w:bCs/>
          <w:lang w:val="en-US"/>
        </w:rPr>
        <w:t>IV</w:t>
      </w:r>
      <w:r>
        <w:rPr>
          <w:b/>
          <w:bCs/>
        </w:rPr>
        <w:t>.</w:t>
      </w:r>
      <w:r>
        <w:rPr>
          <w:b/>
          <w:bCs/>
        </w:rPr>
        <w:tab/>
        <w:t>ЗАКЛЮЧЕНИЕ</w:t>
      </w:r>
    </w:p>
    <w:p w:rsidR="00000000" w:rsidRDefault="00000000">
      <w:pPr>
        <w:keepNext/>
        <w:rPr>
          <w:b/>
          <w:bCs/>
        </w:rPr>
      </w:pPr>
    </w:p>
    <w:p w:rsidR="00000000" w:rsidRDefault="00000000">
      <w:r>
        <w:t>176.</w:t>
      </w:r>
      <w:r>
        <w:tab/>
        <w:t>Индонезия является многорасовой, многокультурной, многорелигиозной и многоязыковой страной.  С момента получения независимости в 1945 году все народы и этнические группы в Индонезии считаются равными и имеют одинаковые права и обязанности во всех сферах жизни.  Это гарантировано Конституцией и другими национальными законами Индонезии.  Принципы государства, "Панчашила", в которых основной упор делается на гуманность, а также надпись на национальном гербе, "Единство в разнообразии", помогают Индонезии в этой важной деятельности.</w:t>
      </w:r>
    </w:p>
    <w:p w:rsidR="00000000" w:rsidRDefault="00000000"/>
    <w:p w:rsidR="00000000" w:rsidRDefault="00000000">
      <w:r>
        <w:t>177.</w:t>
      </w:r>
      <w:r>
        <w:tab/>
        <w:t>Несмотря на свою непоколебимую приверженность принципу ликвидации всех форм дискриминации, Индонезия понимает, что в связи с изменениями в политической, социальной, экономической и культурной жизни предстоит еще многое сделать для эффективного осуществления Конвенции в стране.</w:t>
      </w:r>
    </w:p>
    <w:p w:rsidR="00000000" w:rsidRDefault="00000000"/>
    <w:p w:rsidR="00000000" w:rsidRDefault="00000000">
      <w:r>
        <w:t>178.</w:t>
      </w:r>
      <w:r>
        <w:tab/>
        <w:t>В этой связи Индонезия предприняла ряд конкретных шагов для обеспечения осуществления Конвенции.  В частности, корректируются или принимаются дополнительные меры в целях укрепления единства народа и гарантирования того, чтобы более 201 млн. граждан пользовались равными правами и свободами.  Национальный план действий в области прав человека на 2004-2009 годы содержит конкретные программы в целях ликвидации расовой дискриминации.</w:t>
      </w:r>
    </w:p>
    <w:p w:rsidR="00000000" w:rsidRDefault="00000000"/>
    <w:p w:rsidR="00000000" w:rsidRDefault="00000000">
      <w:pPr>
        <w:keepNext/>
        <w:jc w:val="center"/>
      </w:pPr>
      <w:r>
        <w:rPr>
          <w:b/>
          <w:bCs/>
        </w:rPr>
        <w:br w:type="page"/>
        <w:t>Перечень приложений:</w:t>
      </w:r>
    </w:p>
    <w:p w:rsidR="00000000" w:rsidRDefault="00000000">
      <w:pPr>
        <w:keepNext/>
      </w:pPr>
    </w:p>
    <w:p w:rsidR="00000000" w:rsidRDefault="00000000">
      <w:pPr>
        <w:ind w:left="1134" w:hanging="567"/>
      </w:pPr>
      <w:r>
        <w:t>1.</w:t>
      </w:r>
      <w:r>
        <w:tab/>
        <w:t>Конституция 1945 года</w:t>
      </w:r>
    </w:p>
    <w:p w:rsidR="00000000" w:rsidRDefault="00000000">
      <w:pPr>
        <w:ind w:left="1134" w:hanging="567"/>
      </w:pPr>
    </w:p>
    <w:p w:rsidR="00000000" w:rsidRDefault="00000000">
      <w:pPr>
        <w:ind w:left="1134" w:hanging="567"/>
      </w:pPr>
      <w:r>
        <w:t>2.</w:t>
      </w:r>
      <w:r>
        <w:tab/>
        <w:t>Закон № 39 1999</w:t>
      </w:r>
      <w:r>
        <w:rPr>
          <w:lang w:val="en-US"/>
        </w:rPr>
        <w:t> </w:t>
      </w:r>
      <w:r>
        <w:t>года о правах человека</w:t>
      </w:r>
    </w:p>
    <w:p w:rsidR="00000000" w:rsidRDefault="00000000">
      <w:pPr>
        <w:ind w:left="1134" w:hanging="567"/>
      </w:pPr>
    </w:p>
    <w:p w:rsidR="00000000" w:rsidRDefault="00000000">
      <w:pPr>
        <w:ind w:left="1134" w:hanging="567"/>
      </w:pPr>
      <w:r>
        <w:t>3.</w:t>
      </w:r>
      <w:r>
        <w:tab/>
        <w:t>Закон № 26 2000 года о Суде по правам человека</w:t>
      </w:r>
    </w:p>
    <w:p w:rsidR="00000000" w:rsidRDefault="00000000">
      <w:pPr>
        <w:ind w:left="1134" w:hanging="567"/>
      </w:pPr>
    </w:p>
    <w:p w:rsidR="00000000" w:rsidRDefault="00000000">
      <w:pPr>
        <w:ind w:left="1134" w:hanging="567"/>
      </w:pPr>
      <w:r>
        <w:t>4.</w:t>
      </w:r>
      <w:r>
        <w:tab/>
        <w:t>Президентский декрет № 40 2004 года О национальном плане действий в области прав человека на 2004-2009 годы и приложения к нему</w:t>
      </w:r>
    </w:p>
    <w:p w:rsidR="00000000" w:rsidRDefault="00000000">
      <w:pPr>
        <w:ind w:left="1134" w:hanging="567"/>
      </w:pPr>
    </w:p>
    <w:p w:rsidR="00000000" w:rsidRDefault="00000000">
      <w:pPr>
        <w:ind w:left="1134" w:hanging="567"/>
      </w:pPr>
      <w:r>
        <w:t>5.</w:t>
      </w:r>
      <w:r>
        <w:tab/>
        <w:t>Президентский указ № 26 1998 года о прекращении использования терминов "коренные" и "некоренные" в рамках разработки и осуществления политики, программ и другой деятельности правительства</w:t>
      </w:r>
    </w:p>
    <w:p w:rsidR="00000000" w:rsidRDefault="00000000">
      <w:pPr>
        <w:ind w:left="1134" w:hanging="567"/>
      </w:pPr>
    </w:p>
    <w:p w:rsidR="00000000" w:rsidRDefault="00000000">
      <w:pPr>
        <w:ind w:left="1134" w:hanging="567"/>
      </w:pPr>
      <w:r>
        <w:t>6.</w:t>
      </w:r>
      <w:r>
        <w:tab/>
        <w:t>Президентский указ № 4 1999</w:t>
      </w:r>
      <w:r>
        <w:rPr>
          <w:lang w:val="en-US"/>
        </w:rPr>
        <w:t> </w:t>
      </w:r>
      <w:r>
        <w:t>года об осуществлении Президентского декрета № 56 1999</w:t>
      </w:r>
      <w:r>
        <w:rPr>
          <w:lang w:val="en-US"/>
        </w:rPr>
        <w:t> </w:t>
      </w:r>
      <w:r>
        <w:t>года, касающегося свидетельства о национальности</w:t>
      </w:r>
    </w:p>
    <w:p w:rsidR="00000000" w:rsidRDefault="00000000">
      <w:pPr>
        <w:ind w:left="1134" w:hanging="567"/>
      </w:pPr>
    </w:p>
    <w:p w:rsidR="00000000" w:rsidRDefault="00000000">
      <w:pPr>
        <w:ind w:left="1134" w:hanging="567"/>
      </w:pPr>
      <w:r>
        <w:t>7.</w:t>
      </w:r>
      <w:r>
        <w:tab/>
        <w:t>Президентский декрет № 56 1996 года, касающийся свидетельства об индонезийском гражданстве.</w:t>
      </w:r>
    </w:p>
    <w:p w:rsidR="00000000" w:rsidRDefault="00000000">
      <w:pPr>
        <w:ind w:left="1134" w:hanging="567"/>
      </w:pPr>
    </w:p>
    <w:p w:rsidR="00000000" w:rsidRDefault="00000000">
      <w:pPr>
        <w:ind w:left="1134" w:hanging="567"/>
      </w:pPr>
      <w:r>
        <w:t>8.</w:t>
      </w:r>
      <w:r>
        <w:tab/>
        <w:t>Президентский декрет № 6 2000 года об отмене Президентского указа № 14 1967 года о религии, верованиях и традициях населения китайского происхождения.</w:t>
      </w:r>
    </w:p>
    <w:p w:rsidR="00000000" w:rsidRDefault="00000000">
      <w:pPr>
        <w:ind w:left="567"/>
      </w:pPr>
    </w:p>
    <w:p w:rsidR="00000000" w:rsidRDefault="00000000">
      <w:pPr>
        <w:jc w:val="center"/>
      </w:pPr>
      <w:r>
        <w:t>------</w:t>
      </w: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vertAlign w:val="baseline"/>
        </w:rPr>
        <w:t>*</w:t>
      </w:r>
      <w:r>
        <w:t xml:space="preserve"> </w:t>
      </w:r>
      <w:r>
        <w:tab/>
        <w:t>В настоящем документе содержатся первоначальный, второй и третий периодические доклады Республики Индонезии, подлежавшие представлению 25 июля 2000, 2002 и 2004 годов и представленные в одном документе.</w:t>
      </w:r>
    </w:p>
    <w:p w:rsidR="00000000" w:rsidRDefault="00000000">
      <w:pPr>
        <w:spacing w:line="240" w:lineRule="auto"/>
      </w:pPr>
    </w:p>
    <w:p w:rsidR="00000000" w:rsidRDefault="00000000">
      <w:pPr>
        <w:spacing w:line="240" w:lineRule="auto"/>
      </w:pPr>
      <w:r>
        <w:rPr>
          <w:b/>
          <w:bCs/>
        </w:rPr>
        <w:t>**</w:t>
      </w:r>
      <w:r>
        <w:tab/>
        <w:t>В соответствии с информацией, препровожденной государствам-участникам в отношении оформления их докладов, настоящий документ до его передачи в службы перевода Организации Объединенных Наций официально не редактировался.</w:t>
      </w:r>
    </w:p>
    <w:p w:rsidR="00000000" w:rsidRDefault="00000000">
      <w:pPr>
        <w:spacing w:line="240" w:lineRule="auto"/>
      </w:pPr>
    </w:p>
    <w:p w:rsidR="00000000" w:rsidRDefault="00000000">
      <w:pPr>
        <w:pStyle w:val="FootnoteText"/>
        <w:rPr>
          <w:lang w:val="en-US"/>
        </w:rPr>
      </w:pPr>
      <w:r>
        <w:rPr>
          <w:b/>
          <w:bCs/>
        </w:rPr>
        <w:t>***</w:t>
      </w:r>
      <w:r>
        <w:tab/>
        <w:t>С приложениями к настоящему докладу, представленными правительством, можно ознакомиться в архиве секретариата.</w:t>
      </w:r>
      <w:r>
        <w:br/>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CERD/C/IDN/3</w:t>
    </w:r>
  </w:p>
  <w:p w:rsidR="00000000" w:rsidRDefault="00000000">
    <w:pPr>
      <w:pStyle w:val="Header"/>
      <w:tabs>
        <w:tab w:val="left" w:pos="6237"/>
      </w:tabs>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CERD/C/IDN/3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F8E4CE4"/>
    <w:multiLevelType w:val="multilevel"/>
    <w:tmpl w:val="2B48D66A"/>
    <w:lvl w:ilvl="0">
      <w:start w:val="6"/>
      <w:numFmt w:val="bullet"/>
      <w:lvlText w:val="-"/>
      <w:lvlJc w:val="left"/>
      <w:pPr>
        <w:tabs>
          <w:tab w:val="num" w:pos="1800"/>
        </w:tabs>
        <w:ind w:left="1800" w:hanging="360"/>
      </w:pPr>
      <w:rPr>
        <w:rFonts w:ascii="Times New Roman" w:eastAsia="Times New Roman" w:hAnsi="Times New Roman" w:cs="Times New Roman"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3">
    <w:nsid w:val="275650CC"/>
    <w:multiLevelType w:val="hybridMultilevel"/>
    <w:tmpl w:val="3E744108"/>
    <w:lvl w:ilvl="0" w:tplc="043600A0">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BA56290"/>
    <w:multiLevelType w:val="hybridMultilevel"/>
    <w:tmpl w:val="2B48D66A"/>
    <w:lvl w:ilvl="0" w:tplc="A4921F04">
      <w:start w:val="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4373584C"/>
    <w:multiLevelType w:val="hybridMultilevel"/>
    <w:tmpl w:val="653ADCC8"/>
    <w:lvl w:ilvl="0" w:tplc="8CFE86F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68815CD"/>
    <w:multiLevelType w:val="hybridMultilevel"/>
    <w:tmpl w:val="06EE55EE"/>
    <w:lvl w:ilvl="0" w:tplc="8CFAC892">
      <w:start w:val="1"/>
      <w:numFmt w:val="decimal"/>
      <w:lvlText w:val="%1."/>
      <w:lvlJc w:val="left"/>
      <w:pPr>
        <w:tabs>
          <w:tab w:val="num" w:pos="540"/>
        </w:tabs>
        <w:ind w:left="540" w:hanging="360"/>
      </w:pPr>
      <w:rPr>
        <w:rFonts w:ascii="Palatino Linotype" w:hAnsi="Palatino Linotype" w:cs="Times New Roman" w:hint="default"/>
        <w:b w:val="0"/>
        <w:i w:val="0"/>
        <w:strike w:val="0"/>
        <w:color w:val="auto"/>
        <w:sz w:val="22"/>
        <w:szCs w:val="22"/>
      </w:rPr>
    </w:lvl>
    <w:lvl w:ilvl="1" w:tplc="04090019">
      <w:start w:val="1"/>
      <w:numFmt w:val="lowerLetter"/>
      <w:lvlText w:val="%2."/>
      <w:lvlJc w:val="left"/>
      <w:pPr>
        <w:tabs>
          <w:tab w:val="num" w:pos="1440"/>
        </w:tabs>
        <w:ind w:left="1440" w:hanging="360"/>
      </w:pPr>
      <w:rPr>
        <w:rFonts w:hint="default"/>
        <w:b w:val="0"/>
        <w:i w:val="0"/>
        <w:strike w:val="0"/>
        <w:color w:val="auto"/>
        <w:sz w:val="22"/>
        <w:szCs w:val="22"/>
      </w:rPr>
    </w:lvl>
    <w:lvl w:ilvl="2" w:tplc="A2A07250">
      <w:start w:val="1"/>
      <w:numFmt w:val="lowerLetter"/>
      <w:lvlText w:val="%3)"/>
      <w:lvlJc w:val="left"/>
      <w:pPr>
        <w:tabs>
          <w:tab w:val="num" w:pos="2340"/>
        </w:tabs>
        <w:ind w:left="2340" w:hanging="360"/>
      </w:pPr>
      <w:rPr>
        <w:rFonts w:hint="default"/>
      </w:rPr>
    </w:lvl>
    <w:lvl w:ilvl="3" w:tplc="B1C0A1B6">
      <w:start w:val="2"/>
      <w:numFmt w:val="upperLetter"/>
      <w:lvlText w:val="%4."/>
      <w:lvlJc w:val="left"/>
      <w:pPr>
        <w:tabs>
          <w:tab w:val="num" w:pos="2880"/>
        </w:tabs>
        <w:ind w:left="2880" w:hanging="360"/>
      </w:pPr>
      <w:rPr>
        <w:rFonts w:hint="default"/>
      </w:rPr>
    </w:lvl>
    <w:lvl w:ilvl="4" w:tplc="01A6AEBA">
      <w:start w:val="25"/>
      <w:numFmt w:val="decimal"/>
      <w:lvlText w:val="%5"/>
      <w:lvlJc w:val="left"/>
      <w:pPr>
        <w:tabs>
          <w:tab w:val="num" w:pos="3600"/>
        </w:tabs>
        <w:ind w:left="3600" w:hanging="360"/>
      </w:pPr>
      <w:rPr>
        <w:rFonts w:hint="default"/>
        <w:color w:val="FF000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9980B15"/>
    <w:multiLevelType w:val="hybridMultilevel"/>
    <w:tmpl w:val="A2F63B1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8">
    <w:nsid w:val="63E17BF0"/>
    <w:multiLevelType w:val="multilevel"/>
    <w:tmpl w:val="C13C958A"/>
    <w:lvl w:ilvl="0">
      <w:start w:val="1"/>
      <w:numFmt w:val="decimal"/>
      <w:lvlText w:val="%1."/>
      <w:lvlJc w:val="left"/>
      <w:pPr>
        <w:tabs>
          <w:tab w:val="num" w:pos="360"/>
        </w:tabs>
        <w:ind w:left="360" w:hanging="360"/>
      </w:pPr>
      <w:rPr>
        <w:rFonts w:ascii="Palatino Linotype" w:hAnsi="Palatino Linotype" w:cs="Times New Roman" w:hint="default"/>
        <w:b w:val="0"/>
        <w:i w:val="0"/>
        <w:strike w:val="0"/>
        <w:color w:val="auto"/>
        <w:sz w:val="22"/>
        <w:szCs w:val="22"/>
      </w:rPr>
    </w:lvl>
    <w:lvl w:ilvl="1">
      <w:start w:val="1"/>
      <w:numFmt w:val="decimal"/>
      <w:lvlText w:val="%2."/>
      <w:lvlJc w:val="left"/>
      <w:pPr>
        <w:tabs>
          <w:tab w:val="num" w:pos="1440"/>
        </w:tabs>
        <w:ind w:left="1440" w:hanging="360"/>
      </w:pPr>
      <w:rPr>
        <w:rFonts w:hint="default"/>
        <w:b w:val="0"/>
        <w:i w:val="0"/>
        <w:strike w:val="0"/>
        <w:color w:val="auto"/>
        <w:sz w:val="22"/>
        <w:szCs w:val="22"/>
      </w:rPr>
    </w:lvl>
    <w:lvl w:ilvl="2">
      <w:start w:val="1"/>
      <w:numFmt w:val="lowerLetter"/>
      <w:lvlText w:val="%3)"/>
      <w:lvlJc w:val="left"/>
      <w:pPr>
        <w:tabs>
          <w:tab w:val="num" w:pos="2340"/>
        </w:tabs>
        <w:ind w:left="2340" w:hanging="360"/>
      </w:pPr>
      <w:rPr>
        <w:rFonts w:hint="default"/>
      </w:rPr>
    </w:lvl>
    <w:lvl w:ilvl="3">
      <w:start w:val="2"/>
      <w:numFmt w:val="upperLetter"/>
      <w:lvlText w:val="%4."/>
      <w:lvlJc w:val="left"/>
      <w:pPr>
        <w:tabs>
          <w:tab w:val="num" w:pos="2880"/>
        </w:tabs>
        <w:ind w:left="2880" w:hanging="360"/>
      </w:pPr>
      <w:rPr>
        <w:rFonts w:hint="default"/>
      </w:rPr>
    </w:lvl>
    <w:lvl w:ilvl="4">
      <w:start w:val="25"/>
      <w:numFmt w:val="decimal"/>
      <w:lvlText w:val="%5"/>
      <w:lvlJc w:val="left"/>
      <w:pPr>
        <w:tabs>
          <w:tab w:val="num" w:pos="3600"/>
        </w:tabs>
        <w:ind w:left="3600" w:hanging="360"/>
      </w:pPr>
      <w:rPr>
        <w:rFonts w:hint="default"/>
        <w:color w:val="FF000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661344E2"/>
    <w:multiLevelType w:val="multilevel"/>
    <w:tmpl w:val="06EE55EE"/>
    <w:lvl w:ilvl="0">
      <w:start w:val="1"/>
      <w:numFmt w:val="decimal"/>
      <w:lvlText w:val="%1."/>
      <w:lvlJc w:val="left"/>
      <w:pPr>
        <w:tabs>
          <w:tab w:val="num" w:pos="1080"/>
        </w:tabs>
        <w:ind w:left="1080" w:hanging="360"/>
      </w:pPr>
      <w:rPr>
        <w:rFonts w:ascii="Palatino Linotype" w:hAnsi="Palatino Linotype" w:cs="Times New Roman" w:hint="default"/>
        <w:b w:val="0"/>
        <w:i w:val="0"/>
        <w:strike w:val="0"/>
        <w:color w:val="auto"/>
        <w:sz w:val="22"/>
        <w:szCs w:val="22"/>
      </w:rPr>
    </w:lvl>
    <w:lvl w:ilvl="1">
      <w:start w:val="1"/>
      <w:numFmt w:val="lowerLetter"/>
      <w:lvlText w:val="%2."/>
      <w:lvlJc w:val="left"/>
      <w:pPr>
        <w:tabs>
          <w:tab w:val="num" w:pos="1440"/>
        </w:tabs>
        <w:ind w:left="1440" w:hanging="360"/>
      </w:pPr>
      <w:rPr>
        <w:rFonts w:hint="default"/>
        <w:b w:val="0"/>
        <w:i w:val="0"/>
        <w:strike w:val="0"/>
        <w:color w:val="auto"/>
        <w:sz w:val="22"/>
        <w:szCs w:val="22"/>
      </w:rPr>
    </w:lvl>
    <w:lvl w:ilvl="2">
      <w:start w:val="1"/>
      <w:numFmt w:val="lowerLetter"/>
      <w:lvlText w:val="%3)"/>
      <w:lvlJc w:val="left"/>
      <w:pPr>
        <w:tabs>
          <w:tab w:val="num" w:pos="2340"/>
        </w:tabs>
        <w:ind w:left="2340" w:hanging="360"/>
      </w:pPr>
      <w:rPr>
        <w:rFonts w:hint="default"/>
      </w:rPr>
    </w:lvl>
    <w:lvl w:ilvl="3">
      <w:start w:val="2"/>
      <w:numFmt w:val="upperLetter"/>
      <w:lvlText w:val="%4."/>
      <w:lvlJc w:val="left"/>
      <w:pPr>
        <w:tabs>
          <w:tab w:val="num" w:pos="2880"/>
        </w:tabs>
        <w:ind w:left="2880" w:hanging="360"/>
      </w:pPr>
      <w:rPr>
        <w:rFonts w:hint="default"/>
      </w:rPr>
    </w:lvl>
    <w:lvl w:ilvl="4">
      <w:start w:val="25"/>
      <w:numFmt w:val="decimal"/>
      <w:lvlText w:val="%5"/>
      <w:lvlJc w:val="left"/>
      <w:pPr>
        <w:tabs>
          <w:tab w:val="num" w:pos="3600"/>
        </w:tabs>
        <w:ind w:left="3600" w:hanging="360"/>
      </w:pPr>
      <w:rPr>
        <w:rFonts w:hint="default"/>
        <w:color w:val="FF000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6FB66A70"/>
    <w:multiLevelType w:val="hybridMultilevel"/>
    <w:tmpl w:val="1DB04F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89D6372"/>
    <w:multiLevelType w:val="hybridMultilevel"/>
    <w:tmpl w:val="8EAE3C8C"/>
    <w:lvl w:ilvl="0" w:tplc="2286E5E0">
      <w:start w:val="1"/>
      <w:numFmt w:val="lowerRoman"/>
      <w:lvlText w:val="%1)"/>
      <w:lvlJc w:val="right"/>
      <w:pPr>
        <w:tabs>
          <w:tab w:val="num" w:pos="1494"/>
        </w:tabs>
        <w:ind w:left="1494" w:hanging="360"/>
      </w:pPr>
      <w:rPr>
        <w:rFonts w:hint="default"/>
      </w:rPr>
    </w:lvl>
    <w:lvl w:ilvl="1" w:tplc="6F940D34">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A2B2188"/>
    <w:multiLevelType w:val="hybridMultilevel"/>
    <w:tmpl w:val="2BC0D072"/>
    <w:lvl w:ilvl="0" w:tplc="C3A408EA">
      <w:start w:val="1"/>
      <w:numFmt w:val="lowerRoman"/>
      <w:lvlText w:val="%1."/>
      <w:lvlJc w:val="righ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8"/>
  </w:num>
  <w:num w:numId="6">
    <w:abstractNumId w:val="2"/>
  </w:num>
  <w:num w:numId="7">
    <w:abstractNumId w:val="12"/>
  </w:num>
  <w:num w:numId="8">
    <w:abstractNumId w:val="9"/>
  </w:num>
  <w:num w:numId="9">
    <w:abstractNumId w:val="3"/>
  </w:num>
  <w:num w:numId="10">
    <w:abstractNumId w:val="7"/>
  </w:num>
  <w:num w:numId="11">
    <w:abstractNumId w:val="5"/>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14929</Words>
  <Characters>85097</Characters>
  <Application>Microsoft Office Word</Application>
  <DocSecurity>4</DocSecurity>
  <Lines>709</Lines>
  <Paragraphs>170</Paragraphs>
  <ScaleCrop>false</ScaleCrop>
  <HeadingPairs>
    <vt:vector size="2" baseType="variant">
      <vt:variant>
        <vt:lpstr>Название</vt:lpstr>
      </vt:variant>
      <vt:variant>
        <vt:i4>1</vt:i4>
      </vt:variant>
    </vt:vector>
  </HeadingPairs>
  <TitlesOfParts>
    <vt:vector size="1" baseType="lpstr">
      <vt:lpstr>0641272.doc</vt:lpstr>
    </vt:vector>
  </TitlesOfParts>
  <Company> </Company>
  <LinksUpToDate>false</LinksUpToDate>
  <CharactersWithSpaces>104505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0641272.doc</dc:title>
  <dc:subject>Klokov</dc:subject>
  <dc:creator>TDudnikova</dc:creator>
  <cp:keywords/>
  <dc:description/>
  <cp:lastModifiedBy>TDudnikova</cp:lastModifiedBy>
  <cp:revision>3</cp:revision>
  <cp:lastPrinted>2006-07-13T11:18:00Z</cp:lastPrinted>
  <dcterms:created xsi:type="dcterms:W3CDTF">2006-07-13T11:18:00Z</dcterms:created>
  <dcterms:modified xsi:type="dcterms:W3CDTF">2006-07-13T11:18:00Z</dcterms:modified>
</cp:coreProperties>
</file>