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C2B" w:rsidRDefault="003F5C2B" w:rsidP="003F5C2B">
      <w:pPr>
        <w:spacing w:line="240" w:lineRule="auto"/>
        <w:jc w:val="left"/>
        <w:rPr>
          <w:szCs w:val="6"/>
          <w:rtl/>
        </w:rPr>
        <w:sectPr w:rsidR="003F5C2B" w:rsidSect="003F5C2B">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1"/>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1-5&amp;Size =1&amp;Lang = A"/>
            <w10:wrap anchorx="page" anchory="page"/>
          </v:shape>
        </w:pict>
      </w:r>
    </w:p>
    <w:p w:rsidR="000E2506" w:rsidRDefault="000E2506" w:rsidP="000E2506">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اللجنة المعنية بالقضاء على التمييز ضد المرأة</w:t>
      </w:r>
    </w:p>
    <w:p w:rsidR="000E2506" w:rsidRPr="000E2506" w:rsidRDefault="000E2506" w:rsidP="000E2506">
      <w:pPr>
        <w:pStyle w:val="SingleTxt"/>
        <w:spacing w:after="0" w:line="120" w:lineRule="exact"/>
        <w:rPr>
          <w:sz w:val="10"/>
          <w:rtl/>
        </w:rPr>
      </w:pPr>
    </w:p>
    <w:p w:rsidR="000E2506" w:rsidRPr="000E2506" w:rsidRDefault="000E2506" w:rsidP="000E2506">
      <w:pPr>
        <w:pStyle w:val="SingleTxt"/>
        <w:spacing w:after="0" w:line="120" w:lineRule="exact"/>
        <w:rPr>
          <w:sz w:val="10"/>
          <w:rtl/>
        </w:rPr>
      </w:pPr>
    </w:p>
    <w:p w:rsidR="000E2506" w:rsidRPr="000E2506" w:rsidRDefault="000E2506" w:rsidP="000E2506">
      <w:pPr>
        <w:pStyle w:val="SingleTxt"/>
        <w:spacing w:after="0" w:line="120" w:lineRule="exact"/>
        <w:rPr>
          <w:sz w:val="10"/>
          <w:rtl/>
        </w:rPr>
      </w:pPr>
    </w:p>
    <w:p w:rsidR="000E2506" w:rsidRPr="00573149" w:rsidRDefault="000E2506" w:rsidP="000E2506">
      <w:pPr>
        <w:framePr w:w="9792" w:h="432" w:hSpace="187" w:wrap="around" w:hAnchor="page" w:x="1196" w:yAlign="bottom"/>
        <w:spacing w:line="240" w:lineRule="auto"/>
        <w:rPr>
          <w:szCs w:val="10"/>
          <w:rtl/>
        </w:rPr>
      </w:pPr>
    </w:p>
    <w:p w:rsidR="000E2506" w:rsidRPr="00573149" w:rsidRDefault="000E2506" w:rsidP="000E2506">
      <w:pPr>
        <w:framePr w:w="9792" w:h="432" w:hSpace="187" w:wrap="around" w:hAnchor="page" w:x="1196" w:yAlign="bottom"/>
        <w:spacing w:line="240" w:lineRule="auto"/>
        <w:rPr>
          <w:szCs w:val="6"/>
          <w:rtl/>
        </w:rPr>
      </w:pPr>
    </w:p>
    <w:p w:rsidR="000E2506" w:rsidRPr="000E2506" w:rsidRDefault="000E2506" w:rsidP="000E2506">
      <w:pPr>
        <w:framePr w:w="9792" w:h="432" w:hSpace="187" w:wrap="around" w:hAnchor="page" w:x="1196" w:yAlign="bottom"/>
        <w:tabs>
          <w:tab w:val="right" w:pos="1195"/>
          <w:tab w:val="left" w:pos="1267"/>
        </w:tabs>
        <w:spacing w:after="80" w:line="300" w:lineRule="exact"/>
        <w:ind w:left="1267" w:right="1267" w:hanging="547"/>
        <w:rPr>
          <w:sz w:val="17"/>
          <w:szCs w:val="26"/>
        </w:rPr>
      </w:pPr>
      <w:r>
        <w:rPr>
          <w:noProof/>
          <w:w w:val="100"/>
        </w:rPr>
        <w:pict>
          <v:line id="_x0000_s1027" style="position:absolute;left:0;text-align:left;z-index:2" from="396pt,-1pt" to="468pt,-1pt"/>
        </w:pict>
      </w:r>
      <w:r>
        <w:rPr>
          <w:rFonts w:hint="cs"/>
          <w:sz w:val="17"/>
          <w:szCs w:val="26"/>
          <w:rtl/>
        </w:rPr>
        <w:tab/>
        <w:t>*</w:t>
      </w:r>
      <w:r>
        <w:rPr>
          <w:rFonts w:hint="cs"/>
          <w:sz w:val="17"/>
          <w:szCs w:val="26"/>
          <w:rtl/>
        </w:rPr>
        <w:tab/>
      </w:r>
      <w:r w:rsidRPr="000E2506">
        <w:rPr>
          <w:sz w:val="17"/>
          <w:szCs w:val="26"/>
          <w:rtl/>
        </w:rPr>
        <w:t xml:space="preserve">اعتمدها الفريق العامل لما قبل الدورة، من أجل الدورة الثامنة </w:t>
      </w:r>
      <w:r>
        <w:rPr>
          <w:sz w:val="17"/>
          <w:szCs w:val="26"/>
          <w:rtl/>
        </w:rPr>
        <w:t>والخمسين، المنعقدة في الفترة من</w:t>
      </w:r>
      <w:r>
        <w:rPr>
          <w:rFonts w:hint="cs"/>
          <w:sz w:val="17"/>
          <w:szCs w:val="26"/>
          <w:rtl/>
        </w:rPr>
        <w:t> </w:t>
      </w:r>
      <w:r w:rsidRPr="000E2506">
        <w:rPr>
          <w:sz w:val="17"/>
          <w:szCs w:val="26"/>
          <w:rtl/>
        </w:rPr>
        <w:t>21</w:t>
      </w:r>
      <w:r>
        <w:rPr>
          <w:rFonts w:hint="cs"/>
          <w:sz w:val="17"/>
          <w:szCs w:val="26"/>
          <w:rtl/>
        </w:rPr>
        <w:t> </w:t>
      </w:r>
      <w:r>
        <w:rPr>
          <w:sz w:val="17"/>
          <w:szCs w:val="26"/>
          <w:rtl/>
        </w:rPr>
        <w:t>إلى</w:t>
      </w:r>
      <w:r>
        <w:rPr>
          <w:rFonts w:hint="cs"/>
          <w:sz w:val="17"/>
          <w:szCs w:val="26"/>
          <w:rtl/>
        </w:rPr>
        <w:t> </w:t>
      </w:r>
      <w:r w:rsidRPr="000E2506">
        <w:rPr>
          <w:sz w:val="17"/>
          <w:szCs w:val="26"/>
          <w:rtl/>
        </w:rPr>
        <w:t>25 تشرين الأول/أكتوبر 2013</w:t>
      </w:r>
      <w:r>
        <w:rPr>
          <w:rFonts w:hint="cs"/>
          <w:sz w:val="17"/>
          <w:szCs w:val="26"/>
          <w:rtl/>
        </w:rPr>
        <w:t>.</w:t>
      </w:r>
    </w:p>
    <w:p w:rsidR="000E2506" w:rsidRDefault="000E2506" w:rsidP="000E2506">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r>
      <w:r w:rsidRPr="000E2506">
        <w:rPr>
          <w:rFonts w:ascii="Times New Roman Bold" w:hAnsi="Times New Roman Bold"/>
          <w:w w:val="101"/>
          <w:rtl/>
        </w:rPr>
        <w:t>قائمة القضايا والأسئلة المطروحة فيما يتعلق بالتقرير الجامع للتقرير الأولي والتقارير الدورية من الثاني إلى الخامس لجمهورية أفريقيا الوسطى</w:t>
      </w:r>
      <w:r w:rsidRPr="001C215E">
        <w:rPr>
          <w:sz w:val="30"/>
          <w:szCs w:val="30"/>
          <w:rtl/>
        </w:rPr>
        <w:t>*</w:t>
      </w:r>
    </w:p>
    <w:p w:rsidR="000E2506" w:rsidRPr="000E2506" w:rsidRDefault="000E2506" w:rsidP="000E2506">
      <w:pPr>
        <w:pStyle w:val="SingleTxt"/>
        <w:spacing w:after="0" w:line="120" w:lineRule="exact"/>
        <w:rPr>
          <w:sz w:val="10"/>
          <w:rtl/>
        </w:rPr>
      </w:pPr>
    </w:p>
    <w:p w:rsidR="000E2506" w:rsidRPr="000E2506" w:rsidRDefault="000E2506" w:rsidP="000E2506">
      <w:pPr>
        <w:pStyle w:val="SingleTxt"/>
        <w:spacing w:after="0" w:line="120" w:lineRule="exact"/>
        <w:rPr>
          <w:sz w:val="10"/>
          <w:rtl/>
        </w:rPr>
      </w:pPr>
    </w:p>
    <w:p w:rsidR="000E2506" w:rsidRDefault="000E2506" w:rsidP="000E25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السياق العام</w:t>
      </w:r>
    </w:p>
    <w:p w:rsidR="000E2506" w:rsidRDefault="000E2506" w:rsidP="000E2506">
      <w:pPr>
        <w:pStyle w:val="SingleTxt"/>
        <w:rPr>
          <w:rtl/>
        </w:rPr>
      </w:pPr>
      <w:r>
        <w:rPr>
          <w:rtl/>
        </w:rPr>
        <w:t>1</w:t>
      </w:r>
      <w:r>
        <w:rPr>
          <w:rFonts w:hint="cs"/>
          <w:rtl/>
        </w:rPr>
        <w:t xml:space="preserve"> </w:t>
      </w:r>
      <w:r>
        <w:rPr>
          <w:rtl/>
        </w:rPr>
        <w:t>-</w:t>
      </w:r>
      <w:r>
        <w:rPr>
          <w:rtl/>
        </w:rPr>
        <w:tab/>
        <w:t>تشير مفوضة الأمم المتحدة السامية لحقوق الإنسان في تقريرها عن حالة حقوق الإنسان في جمهورية أفريقيا الوسطى، المؤرخ أيلول/سبتمبر 2013 (</w:t>
      </w:r>
      <w:r w:rsidRPr="001C215E">
        <w:t>A/HRC/24/59</w:t>
      </w:r>
      <w:r>
        <w:rPr>
          <w:rtl/>
        </w:rPr>
        <w:t xml:space="preserve"> و</w:t>
      </w:r>
      <w:r>
        <w:rPr>
          <w:rFonts w:hint="cs"/>
          <w:rtl/>
        </w:rPr>
        <w:t> </w:t>
      </w:r>
      <w:r>
        <w:t>Corr.1</w:t>
      </w:r>
      <w:r>
        <w:rPr>
          <w:rtl/>
        </w:rPr>
        <w:t>)، إلى انهيار الدولة منذ كانون الأول/ديسمبر 2012، وذلك بسبب الانهيار السريع للقانون والنظام، نتيجة لغياب الإدارة المدنية وكذلك غياب قوات الدفاع والشرطة في جميع أنحاء البلد. وتشير أيضا إلى أنه في أعقاب الهجوم الذي شنه ائتلاف سيليكا في كانون الأول/ديسمبر 2012، هرب الموظفون القضائيون من محاكمهم، ووردت بعد ذلك تقارير عن قيام جنود سيليكا بنهب المحاكم واحتلالها، وحلوا محل القضاة والمدعين العامين في</w:t>
      </w:r>
      <w:r>
        <w:rPr>
          <w:rFonts w:hint="cs"/>
          <w:rtl/>
        </w:rPr>
        <w:t> </w:t>
      </w:r>
      <w:r>
        <w:rPr>
          <w:rtl/>
        </w:rPr>
        <w:t>عدد</w:t>
      </w:r>
      <w:r>
        <w:rPr>
          <w:rFonts w:hint="cs"/>
          <w:rtl/>
        </w:rPr>
        <w:t> </w:t>
      </w:r>
      <w:r>
        <w:rPr>
          <w:rtl/>
        </w:rPr>
        <w:t>من المحافظات. وفي ضوء هذه المعلومات، يرجى الإشارة إلى الكيفية التي تعتزم بها</w:t>
      </w:r>
      <w:r>
        <w:rPr>
          <w:rFonts w:hint="cs"/>
          <w:rtl/>
        </w:rPr>
        <w:t> </w:t>
      </w:r>
      <w:r>
        <w:rPr>
          <w:rtl/>
        </w:rPr>
        <w:t>الدولة الطرف بناء قدرات مؤسسات وسلطات إنفاذ القانون على جميع المستويات وفي</w:t>
      </w:r>
      <w:r>
        <w:rPr>
          <w:rFonts w:hint="cs"/>
          <w:rtl/>
        </w:rPr>
        <w:t> </w:t>
      </w:r>
      <w:r>
        <w:rPr>
          <w:rtl/>
        </w:rPr>
        <w:t>جميع المحافظات، وما هي التدابير التي اتخذت لإنفاذ سيادة القانون في جميع أنحاء أراضي الدولة الطرف من أجل ضمان</w:t>
      </w:r>
      <w:r>
        <w:rPr>
          <w:rFonts w:hint="cs"/>
          <w:rtl/>
        </w:rPr>
        <w:t xml:space="preserve"> حماية</w:t>
      </w:r>
      <w:r>
        <w:rPr>
          <w:rtl/>
        </w:rPr>
        <w:t xml:space="preserve"> المرأة وتمتعها</w:t>
      </w:r>
      <w:r w:rsidRPr="000E2506">
        <w:rPr>
          <w:rFonts w:hint="cs"/>
          <w:rtl/>
        </w:rPr>
        <w:t xml:space="preserve"> </w:t>
      </w:r>
      <w:r>
        <w:rPr>
          <w:rFonts w:hint="cs"/>
          <w:rtl/>
        </w:rPr>
        <w:t>ب</w:t>
      </w:r>
      <w:r>
        <w:rPr>
          <w:rtl/>
        </w:rPr>
        <w:t>حقوقها.</w:t>
      </w:r>
    </w:p>
    <w:p w:rsidR="000E2506" w:rsidRDefault="000E2506" w:rsidP="000E2506">
      <w:pPr>
        <w:pStyle w:val="SingleTxt"/>
        <w:rPr>
          <w:rtl/>
        </w:rPr>
      </w:pPr>
      <w:r>
        <w:rPr>
          <w:rtl/>
        </w:rPr>
        <w:t>2 -</w:t>
      </w:r>
      <w:r>
        <w:rPr>
          <w:rtl/>
        </w:rPr>
        <w:tab/>
        <w:t>وتوصي المفوضة السامية بأن تجرى تحت إشراف دولي عمليات فحص وتدقيق للقوات المسلحة لجمهورية أفريقيا الوسطى وأعضاء سيليكا، بحيث تشمل جميع مراحل نزع</w:t>
      </w:r>
      <w:r>
        <w:rPr>
          <w:rFonts w:hint="cs"/>
          <w:rtl/>
        </w:rPr>
        <w:t> </w:t>
      </w:r>
      <w:r>
        <w:rPr>
          <w:rtl/>
        </w:rPr>
        <w:t>السلاح والتسريح وإعادة الإدماج، وذلك لاستبعاد مرتكبي انتهاكات القانون الدولي لحقوق الإنسان والقانون الإنساني الدولي من جهاز الأمن الوطني وقوات الدفاع. ويرجى تقديم معلومات عن تنفيذ هذه التوصية، ولا سيما فيما يتعلق باستبعاد مرتكبي الانتهاكات الجسيمة لحقوق الإنسان المتعلقة بالمرأة.</w:t>
      </w:r>
    </w:p>
    <w:p w:rsidR="000E2506" w:rsidRDefault="000E2506" w:rsidP="000E2506">
      <w:pPr>
        <w:pStyle w:val="SingleTxt"/>
        <w:rPr>
          <w:rtl/>
        </w:rPr>
      </w:pPr>
      <w:r>
        <w:rPr>
          <w:rtl/>
        </w:rPr>
        <w:t>3 -</w:t>
      </w:r>
      <w:r>
        <w:rPr>
          <w:rtl/>
        </w:rPr>
        <w:tab/>
      </w:r>
      <w:r>
        <w:rPr>
          <w:rFonts w:hint="cs"/>
          <w:rtl/>
        </w:rPr>
        <w:t>و</w:t>
      </w:r>
      <w:r>
        <w:rPr>
          <w:rtl/>
        </w:rPr>
        <w:t xml:space="preserve">يرجى تقديم معلومات عن مشاركة المرأة على مستوى صنع القرار في عملية السلام وفي بناء السلام، وذلك وفقا لقرار مجلس الأمن </w:t>
      </w:r>
      <w:hyperlink r:id="rId14" w:history="1">
        <w:r w:rsidRPr="000E2506">
          <w:rPr>
            <w:rStyle w:val="Hyperlink"/>
            <w:rtl/>
          </w:rPr>
          <w:t>1325 (2000)</w:t>
        </w:r>
      </w:hyperlink>
      <w:r>
        <w:rPr>
          <w:rtl/>
        </w:rPr>
        <w:t xml:space="preserve"> بشأن المرأة والسلام والأمن. ويرجى أيضا بيان الكيفية التي تعتزم بها الدولة الطرف تطبيق أحكام الاتفاقية، عن طريق القيام بجملة أمور منها إدماج الشواغل الجنسانية في مشاريع بناء السلام، </w:t>
      </w:r>
      <w:r>
        <w:rPr>
          <w:rFonts w:hint="cs"/>
          <w:rtl/>
        </w:rPr>
        <w:t>تمشيا مع</w:t>
      </w:r>
      <w:r>
        <w:rPr>
          <w:rtl/>
        </w:rPr>
        <w:t xml:space="preserve"> التوصية العامة رقم 30 المتعلقة بوضع المرأة في سياق منع نشوب النزاعات وفي</w:t>
      </w:r>
      <w:r>
        <w:rPr>
          <w:rFonts w:hint="cs"/>
          <w:rtl/>
        </w:rPr>
        <w:t> </w:t>
      </w:r>
      <w:r>
        <w:rPr>
          <w:rtl/>
        </w:rPr>
        <w:t>حالات النزاع وما بعد انتهاء النزاع.</w:t>
      </w:r>
    </w:p>
    <w:p w:rsidR="000E2506" w:rsidRDefault="000E2506" w:rsidP="000E2506">
      <w:pPr>
        <w:pStyle w:val="SingleTxt"/>
        <w:rPr>
          <w:rtl/>
        </w:rPr>
      </w:pPr>
      <w:r>
        <w:rPr>
          <w:rtl/>
        </w:rPr>
        <w:t>4 -</w:t>
      </w:r>
      <w:r>
        <w:rPr>
          <w:rtl/>
        </w:rPr>
        <w:tab/>
      </w:r>
      <w:r>
        <w:rPr>
          <w:rFonts w:hint="cs"/>
          <w:rtl/>
        </w:rPr>
        <w:t>و</w:t>
      </w:r>
      <w:r>
        <w:rPr>
          <w:rtl/>
        </w:rPr>
        <w:t xml:space="preserve">توصي المفوضة السامية باتخاذ تدابير تهدف إلى تعزيز مشاركة المرأة على مستوى صنع القرار. </w:t>
      </w:r>
      <w:r>
        <w:rPr>
          <w:rFonts w:hint="cs"/>
          <w:rtl/>
        </w:rPr>
        <w:t>و</w:t>
      </w:r>
      <w:r>
        <w:rPr>
          <w:rtl/>
        </w:rPr>
        <w:t>يرجى الإشارة إلى الكيفية التي تعتزم بها الدولة الطرف ضمان مشاركة المرأة في إعادة بناء البلد سياسيا واقتصاديا.</w:t>
      </w:r>
    </w:p>
    <w:p w:rsidR="000E2506" w:rsidRPr="000E2506" w:rsidRDefault="000E2506" w:rsidP="000E2506">
      <w:pPr>
        <w:pStyle w:val="SingleTxt"/>
        <w:spacing w:after="0" w:line="120" w:lineRule="exact"/>
        <w:rPr>
          <w:sz w:val="10"/>
          <w:rtl/>
        </w:rPr>
      </w:pPr>
    </w:p>
    <w:p w:rsidR="000E2506" w:rsidRDefault="000E2506" w:rsidP="000E25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العنف ضد المرأة في حالات النزاع وما بعد النزاع</w:t>
      </w:r>
    </w:p>
    <w:p w:rsidR="000E2506" w:rsidRDefault="000E2506" w:rsidP="000E2506">
      <w:pPr>
        <w:pStyle w:val="SingleTxt"/>
        <w:rPr>
          <w:rtl/>
        </w:rPr>
      </w:pPr>
      <w:r>
        <w:rPr>
          <w:rtl/>
        </w:rPr>
        <w:t>5 -</w:t>
      </w:r>
      <w:r>
        <w:rPr>
          <w:rtl/>
        </w:rPr>
        <w:tab/>
        <w:t>تشير المفوضة السامية إلى مئات حالات الاغتصاب وغيرها من أشكال العنف الجنسي التي ارتكبها أعضاء سيليكا، وذلك سواء في الفترة الواقعة بين كانون الأول/ديسمبر 2012 وآذار/مارس 2013</w:t>
      </w:r>
      <w:r>
        <w:rPr>
          <w:rFonts w:hint="cs"/>
          <w:rtl/>
        </w:rPr>
        <w:t>،</w:t>
      </w:r>
      <w:r>
        <w:rPr>
          <w:rtl/>
        </w:rPr>
        <w:t xml:space="preserve"> التي كانوا فيها ائتلافا من الجماعات المتمردة، وفي الفترة اعتبارا من 24 آذار/مارس 2013، بعد تولي سيليكا دور قوات الدفاع والأمن الوطني. ويرجى التعليق على هذه المعلومات، وبيان التدابير المتخذة لمعالجة هذا الوضع.</w:t>
      </w:r>
    </w:p>
    <w:p w:rsidR="000E2506" w:rsidRDefault="000E2506" w:rsidP="000E2506">
      <w:pPr>
        <w:pStyle w:val="SingleTxt"/>
        <w:rPr>
          <w:rtl/>
        </w:rPr>
      </w:pPr>
      <w:r>
        <w:rPr>
          <w:rtl/>
        </w:rPr>
        <w:t>6 -</w:t>
      </w:r>
      <w:r>
        <w:rPr>
          <w:rtl/>
        </w:rPr>
        <w:tab/>
      </w:r>
      <w:r w:rsidRPr="000E2506">
        <w:rPr>
          <w:w w:val="100"/>
          <w:rtl/>
        </w:rPr>
        <w:t>وتذكر المفوضة السامية أيضا شيوع حالات الإفلات من العقاب وانهيار السلطة القضائية. وفي ضوء هذه المعلومات، يرجى الإشارة إلى التدابير التي اتخذت والمزمع اتخاذها لوضع حد للإفلات من العقاب، ولا سيما فيما يتعلق بأعمال العنف ضد المرأة التي ارتكبت أثناء النزاع. ويرجى أيضا بيان ما إذا كانت الدولة الطرف تعتزم القيام بإصلاح الجهاز القضائي لكفالة استفادة المرأة من إمكانية اللجوء إلى القضاء، بما في ذلك في حالات العنف الجنساني</w:t>
      </w:r>
      <w:r>
        <w:rPr>
          <w:rtl/>
        </w:rPr>
        <w:t>.</w:t>
      </w:r>
    </w:p>
    <w:p w:rsidR="000E2506" w:rsidRDefault="000E2506" w:rsidP="001C215E">
      <w:pPr>
        <w:pStyle w:val="SingleTxt"/>
        <w:rPr>
          <w:rFonts w:hint="cs"/>
          <w:rtl/>
        </w:rPr>
      </w:pPr>
      <w:r>
        <w:rPr>
          <w:rtl/>
        </w:rPr>
        <w:t>7 -</w:t>
      </w:r>
      <w:r>
        <w:rPr>
          <w:rtl/>
        </w:rPr>
        <w:tab/>
      </w:r>
      <w:r w:rsidRPr="000E2506">
        <w:rPr>
          <w:rFonts w:hint="cs"/>
          <w:rtl/>
        </w:rPr>
        <w:t>و</w:t>
      </w:r>
      <w:r w:rsidRPr="000E2506">
        <w:rPr>
          <w:rtl/>
        </w:rPr>
        <w:t>يرجى تقديم معلومات عن التدابير المتخذة ل</w:t>
      </w:r>
      <w:r>
        <w:rPr>
          <w:rtl/>
        </w:rPr>
        <w:t>مساعدة ضحايا العنف الجنسي أثناء</w:t>
      </w:r>
      <w:r>
        <w:rPr>
          <w:rFonts w:hint="cs"/>
          <w:rtl/>
        </w:rPr>
        <w:t> </w:t>
      </w:r>
      <w:r w:rsidRPr="000E2506">
        <w:rPr>
          <w:rtl/>
        </w:rPr>
        <w:t>النزاع، ول</w:t>
      </w:r>
      <w:r w:rsidRPr="000E2506">
        <w:rPr>
          <w:rFonts w:hint="cs"/>
          <w:rtl/>
        </w:rPr>
        <w:t>توفير إمكانية</w:t>
      </w:r>
      <w:r w:rsidRPr="000E2506">
        <w:rPr>
          <w:rtl/>
        </w:rPr>
        <w:t xml:space="preserve"> حصول</w:t>
      </w:r>
      <w:r w:rsidRPr="000E2506">
        <w:rPr>
          <w:rFonts w:hint="cs"/>
          <w:rtl/>
        </w:rPr>
        <w:t>ه</w:t>
      </w:r>
      <w:r w:rsidR="001C215E">
        <w:rPr>
          <w:rFonts w:hint="cs"/>
          <w:rtl/>
        </w:rPr>
        <w:t>ن</w:t>
      </w:r>
      <w:r w:rsidRPr="000E2506">
        <w:rPr>
          <w:rtl/>
        </w:rPr>
        <w:t xml:space="preserve"> على العلاج الطبي، والرعاية الصحية العقلية والدعم النفسي</w:t>
      </w:r>
      <w:r w:rsidRPr="000E2506">
        <w:rPr>
          <w:rFonts w:hint="cs"/>
          <w:rtl/>
        </w:rPr>
        <w:t xml:space="preserve"> </w:t>
      </w:r>
      <w:r w:rsidRPr="000E2506">
        <w:rPr>
          <w:rtl/>
        </w:rPr>
        <w:t>-</w:t>
      </w:r>
      <w:r w:rsidRPr="000E2506">
        <w:rPr>
          <w:rFonts w:hint="cs"/>
          <w:rtl/>
        </w:rPr>
        <w:t xml:space="preserve"> </w:t>
      </w:r>
      <w:r w:rsidRPr="000E2506">
        <w:rPr>
          <w:rtl/>
        </w:rPr>
        <w:t>الاجتماعي</w:t>
      </w:r>
      <w:r>
        <w:rPr>
          <w:rtl/>
        </w:rPr>
        <w:t>.</w:t>
      </w:r>
    </w:p>
    <w:p w:rsidR="000E2506" w:rsidRDefault="000E2506" w:rsidP="000E2506">
      <w:pPr>
        <w:pStyle w:val="SingleTxt"/>
        <w:rPr>
          <w:rFonts w:hint="cs"/>
          <w:rtl/>
        </w:rPr>
      </w:pPr>
    </w:p>
    <w:p w:rsidR="000E2506" w:rsidRDefault="000E2506" w:rsidP="000E2506">
      <w:pPr>
        <w:pStyle w:val="SingleTxt"/>
        <w:rPr>
          <w:rtl/>
        </w:rPr>
      </w:pPr>
      <w:r>
        <w:rPr>
          <w:rtl/>
        </w:rPr>
        <w:br w:type="page"/>
        <w:t>8 -</w:t>
      </w:r>
      <w:r>
        <w:rPr>
          <w:rtl/>
        </w:rPr>
        <w:tab/>
      </w:r>
      <w:r>
        <w:rPr>
          <w:rFonts w:hint="cs"/>
          <w:rtl/>
        </w:rPr>
        <w:t>و</w:t>
      </w:r>
      <w:r>
        <w:rPr>
          <w:rtl/>
        </w:rPr>
        <w:t>تشير المفوضة السامية إلى أنه</w:t>
      </w:r>
      <w:r>
        <w:rPr>
          <w:rFonts w:hint="cs"/>
          <w:rtl/>
        </w:rPr>
        <w:t>،</w:t>
      </w:r>
      <w:r>
        <w:rPr>
          <w:rtl/>
        </w:rPr>
        <w:t xml:space="preserve"> في حزيران/يونيه 2013، كان هناك 000 206 شخص من المشردين داخليا يعيشون في ظروف هشة للغاية في الدولة الطرف. ويرجى الإشارة إلى التدابير التي اتخذت لدعم النساء المشردات داخليا، بما في ذلك التدابير الرامية إلى</w:t>
      </w:r>
      <w:r>
        <w:rPr>
          <w:rFonts w:hint="cs"/>
          <w:rtl/>
        </w:rPr>
        <w:t> </w:t>
      </w:r>
      <w:r>
        <w:rPr>
          <w:rtl/>
        </w:rPr>
        <w:t>حمايتهن من العنف، وكفالة حصولهن على الرعاية الصحية الأساسية، والتعليم، والمياه النظيفة، ومرافق الصرف الصحي.</w:t>
      </w:r>
    </w:p>
    <w:p w:rsidR="000E2506" w:rsidRPr="000E2506" w:rsidRDefault="000E2506" w:rsidP="000E2506">
      <w:pPr>
        <w:pStyle w:val="SingleTxt"/>
        <w:spacing w:after="0" w:line="120" w:lineRule="exact"/>
        <w:rPr>
          <w:sz w:val="10"/>
          <w:rtl/>
        </w:rPr>
      </w:pPr>
    </w:p>
    <w:p w:rsidR="000E2506" w:rsidRDefault="000E2506" w:rsidP="000E250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العنف ضد المرأة</w:t>
      </w:r>
    </w:p>
    <w:p w:rsidR="000E2506" w:rsidRDefault="000E2506" w:rsidP="000E2506">
      <w:pPr>
        <w:pStyle w:val="SingleTxt"/>
        <w:rPr>
          <w:rFonts w:hint="cs"/>
          <w:rtl/>
        </w:rPr>
      </w:pPr>
      <w:r>
        <w:rPr>
          <w:rtl/>
        </w:rPr>
        <w:t>9 -</w:t>
      </w:r>
      <w:r>
        <w:rPr>
          <w:rtl/>
        </w:rPr>
        <w:tab/>
        <w:t>أبلغت اللجنة بالارتفاع الشديد لمعدل انتشار حالات العنف ضد المرأة في الدولة الطرف، بما في ذلك الاغتصاب، حتى المناطق غير المتأثرة بالنزاع. ويرجى تقديم معلومات عن التدابير المزمع اتخاذها لمعالجة هذه الحالة.</w:t>
      </w:r>
    </w:p>
    <w:p w:rsidR="000E2506" w:rsidRDefault="000E2506" w:rsidP="000E2506">
      <w:pPr>
        <w:pStyle w:val="SingleTxt"/>
        <w:rPr>
          <w:rtl/>
        </w:rPr>
      </w:pPr>
      <w:r>
        <w:rPr>
          <w:rtl/>
        </w:rPr>
        <w:t>10 -</w:t>
      </w:r>
      <w:r>
        <w:rPr>
          <w:rtl/>
        </w:rPr>
        <w:tab/>
      </w:r>
      <w:r>
        <w:rPr>
          <w:rFonts w:hint="cs"/>
          <w:rtl/>
        </w:rPr>
        <w:t>و</w:t>
      </w:r>
      <w:r>
        <w:rPr>
          <w:rtl/>
        </w:rPr>
        <w:t>توصي المفوضة السامية الدولة الطرف باعتماد إصلاحات قانونية لمكافحة العنف الجنسي والجنساني عن طريق</w:t>
      </w:r>
      <w:r>
        <w:rPr>
          <w:rFonts w:hint="cs"/>
          <w:rtl/>
        </w:rPr>
        <w:t xml:space="preserve"> استحداث قوانين بشأن</w:t>
      </w:r>
      <w:r>
        <w:rPr>
          <w:rtl/>
        </w:rPr>
        <w:t xml:space="preserve"> جرائم جنائية جديدة، وزيادة العقوبات، وتوسيع نطاق الحماية والدعم المقدمين لضحايا العنف الجنسي والجنساني. ويرجى تقديم معلومات عن الخطوات التي اتخذت لتنفيذ هذه التوصية، وبيان ما إذا كانت الدولة الطرف تعتزم اعتماد استراتيجية شاملة وقانون شامل لمكافحة العنف ضد المرأة.</w:t>
      </w:r>
    </w:p>
    <w:p w:rsidR="000E2506" w:rsidRDefault="000E2506" w:rsidP="00556D9C">
      <w:pPr>
        <w:pStyle w:val="SingleTxt"/>
        <w:spacing w:line="380" w:lineRule="exact"/>
        <w:rPr>
          <w:rtl/>
        </w:rPr>
      </w:pPr>
      <w:r>
        <w:rPr>
          <w:rtl/>
        </w:rPr>
        <w:t>11 -</w:t>
      </w:r>
      <w:r>
        <w:rPr>
          <w:rtl/>
        </w:rPr>
        <w:tab/>
      </w:r>
      <w:r w:rsidRPr="00556D9C">
        <w:rPr>
          <w:rFonts w:hint="cs"/>
          <w:rtl/>
        </w:rPr>
        <w:t>و</w:t>
      </w:r>
      <w:r w:rsidRPr="00556D9C">
        <w:rPr>
          <w:rtl/>
        </w:rPr>
        <w:t>يرجى تقديم معلومات عن التدابير المزمع اتخاذها للقضاء على وصمة العار التي تواجهها ضحايا الاغتصاب، بالنظر إلى أن هذه الوصمة تؤدي إلى الاستبعاد على الصعد الاقتصادية والاجتماعية والعائلية، وإلى الطلاق من الزوج والاستبعاد من المدرسة، وكذلك التدابير الرامية إلى معالجة عدم حصول الضحايا على خدمات الرعاية الصحية، بما</w:t>
      </w:r>
      <w:r w:rsidR="00556D9C" w:rsidRPr="00556D9C">
        <w:rPr>
          <w:rFonts w:hint="cs"/>
          <w:rtl/>
        </w:rPr>
        <w:t xml:space="preserve"> </w:t>
      </w:r>
      <w:r w:rsidRPr="00556D9C">
        <w:rPr>
          <w:rtl/>
        </w:rPr>
        <w:t>في</w:t>
      </w:r>
      <w:r w:rsidR="00556D9C" w:rsidRPr="00556D9C">
        <w:rPr>
          <w:rFonts w:hint="cs"/>
          <w:rtl/>
        </w:rPr>
        <w:t xml:space="preserve"> </w:t>
      </w:r>
      <w:r w:rsidRPr="00556D9C">
        <w:rPr>
          <w:rtl/>
        </w:rPr>
        <w:t>ذلك</w:t>
      </w:r>
      <w:r w:rsidR="00556D9C" w:rsidRPr="00556D9C">
        <w:rPr>
          <w:rFonts w:hint="cs"/>
          <w:rtl/>
        </w:rPr>
        <w:t xml:space="preserve"> </w:t>
      </w:r>
      <w:r w:rsidRPr="00556D9C">
        <w:rPr>
          <w:rtl/>
        </w:rPr>
        <w:t>الدعم النفسي</w:t>
      </w:r>
      <w:r>
        <w:rPr>
          <w:rtl/>
        </w:rPr>
        <w:t>.</w:t>
      </w:r>
    </w:p>
    <w:p w:rsidR="000E2506" w:rsidRDefault="000E2506" w:rsidP="00556D9C">
      <w:pPr>
        <w:pStyle w:val="SingleTxt"/>
        <w:rPr>
          <w:rtl/>
        </w:rPr>
      </w:pPr>
      <w:r>
        <w:rPr>
          <w:rtl/>
        </w:rPr>
        <w:t>12 -</w:t>
      </w:r>
      <w:r>
        <w:rPr>
          <w:rtl/>
        </w:rPr>
        <w:tab/>
      </w:r>
      <w:r w:rsidR="001C215E">
        <w:rPr>
          <w:rFonts w:hint="cs"/>
          <w:rtl/>
        </w:rPr>
        <w:t>و</w:t>
      </w:r>
      <w:r>
        <w:rPr>
          <w:rtl/>
        </w:rPr>
        <w:t>يرجى تقديم معلومات عن التدابير التي اتخذت</w:t>
      </w:r>
      <w:r w:rsidR="00556D9C">
        <w:rPr>
          <w:rtl/>
        </w:rPr>
        <w:t>ها الدولة الطرف للتصدي للعنف ضد</w:t>
      </w:r>
      <w:r w:rsidR="00556D9C">
        <w:rPr>
          <w:rFonts w:hint="cs"/>
          <w:rtl/>
        </w:rPr>
        <w:t> </w:t>
      </w:r>
      <w:r>
        <w:rPr>
          <w:rtl/>
        </w:rPr>
        <w:t xml:space="preserve">النساء والفتيات اللواتي يعتبرن ساحرات. ويرجى بيان ما إذا كانت الدولة الطرف تعتزم تجريم أعمال العنف، بما </w:t>
      </w:r>
      <w:r w:rsidR="00556D9C">
        <w:rPr>
          <w:rtl/>
        </w:rPr>
        <w:t xml:space="preserve">في ذلك ما يسمى </w:t>
      </w:r>
      <w:r w:rsidR="00556D9C">
        <w:rPr>
          <w:rFonts w:hint="cs"/>
          <w:rtl/>
        </w:rPr>
        <w:t>”</w:t>
      </w:r>
      <w:r w:rsidR="00556D9C">
        <w:rPr>
          <w:rtl/>
        </w:rPr>
        <w:t>العدالة الشعبية</w:t>
      </w:r>
      <w:r w:rsidR="00556D9C">
        <w:rPr>
          <w:rFonts w:hint="cs"/>
          <w:rtl/>
        </w:rPr>
        <w:t>“</w:t>
      </w:r>
      <w:r>
        <w:rPr>
          <w:rtl/>
        </w:rPr>
        <w:t xml:space="preserve">، التي تنفذ </w:t>
      </w:r>
      <w:r w:rsidR="00556D9C">
        <w:rPr>
          <w:rtl/>
        </w:rPr>
        <w:t>ضد النساء اللواتي يعتبرن ساحرات</w:t>
      </w:r>
      <w:r>
        <w:rPr>
          <w:rtl/>
        </w:rPr>
        <w:t>، والقيام بحملات توعية من أجل وضع حد لهذا العنف.</w:t>
      </w:r>
    </w:p>
    <w:p w:rsidR="00556D9C" w:rsidRPr="00556D9C" w:rsidRDefault="00556D9C" w:rsidP="00556D9C">
      <w:pPr>
        <w:pStyle w:val="SingleTxt"/>
        <w:spacing w:after="0" w:line="120" w:lineRule="exact"/>
        <w:rPr>
          <w:sz w:val="10"/>
          <w:rtl/>
        </w:rPr>
      </w:pPr>
    </w:p>
    <w:p w:rsidR="000E2506" w:rsidRDefault="000E2506" w:rsidP="00556D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الممارسات الضارة</w:t>
      </w:r>
    </w:p>
    <w:p w:rsidR="000E2506" w:rsidRDefault="000E2506" w:rsidP="00556D9C">
      <w:pPr>
        <w:pStyle w:val="SingleTxt"/>
        <w:rPr>
          <w:rtl/>
        </w:rPr>
      </w:pPr>
      <w:r>
        <w:rPr>
          <w:rtl/>
        </w:rPr>
        <w:t>13 -</w:t>
      </w:r>
      <w:r>
        <w:rPr>
          <w:rtl/>
        </w:rPr>
        <w:tab/>
        <w:t>يشار في تقرير الدولة الطرف</w:t>
      </w:r>
      <w:r w:rsidR="00556D9C" w:rsidRPr="00556D9C">
        <w:rPr>
          <w:vertAlign w:val="superscript"/>
          <w:rtl/>
        </w:rPr>
        <w:t>(</w:t>
      </w:r>
      <w:r w:rsidR="00556D9C" w:rsidRPr="00556D9C">
        <w:rPr>
          <w:rStyle w:val="FootnoteReference"/>
          <w:szCs w:val="30"/>
          <w:rtl/>
        </w:rPr>
        <w:footnoteReference w:id="1"/>
      </w:r>
      <w:r w:rsidR="00556D9C" w:rsidRPr="00556D9C">
        <w:rPr>
          <w:vertAlign w:val="superscript"/>
          <w:rtl/>
        </w:rPr>
        <w:t>)</w:t>
      </w:r>
      <w:r>
        <w:rPr>
          <w:rtl/>
        </w:rPr>
        <w:t xml:space="preserve"> إلى </w:t>
      </w:r>
      <w:r w:rsidR="00556D9C">
        <w:rPr>
          <w:rFonts w:hint="cs"/>
          <w:rtl/>
        </w:rPr>
        <w:t xml:space="preserve">أن </w:t>
      </w:r>
      <w:r>
        <w:rPr>
          <w:rtl/>
        </w:rPr>
        <w:t>خطة عمل وطنية لمكافحة الممارسات الضارة بصحة المرأة وأعمال العنف الجنساني</w:t>
      </w:r>
      <w:r w:rsidR="00556D9C">
        <w:rPr>
          <w:rFonts w:hint="cs"/>
          <w:rtl/>
        </w:rPr>
        <w:t xml:space="preserve"> قد وُضعت </w:t>
      </w:r>
      <w:r>
        <w:rPr>
          <w:rtl/>
        </w:rPr>
        <w:t xml:space="preserve">بدعم </w:t>
      </w:r>
      <w:r w:rsidR="00556D9C">
        <w:rPr>
          <w:rtl/>
        </w:rPr>
        <w:t>من منظمة الصحة العالمية (الفقرة</w:t>
      </w:r>
      <w:r w:rsidR="00556D9C">
        <w:rPr>
          <w:rFonts w:hint="cs"/>
          <w:rtl/>
        </w:rPr>
        <w:t> </w:t>
      </w:r>
      <w:r>
        <w:rPr>
          <w:rtl/>
        </w:rPr>
        <w:t>132). ويرجى تقديم معلومات عن الممارسات التي تشملها الخطة واستراتيجيات مكافحتها، وحالة تنفيذ تلك الاستراتيجيات وأهميتها بالنسبة إلى حالة ما بعد انتهاء النزاع.</w:t>
      </w:r>
    </w:p>
    <w:p w:rsidR="00556D9C" w:rsidRPr="00556D9C" w:rsidRDefault="00556D9C" w:rsidP="00556D9C">
      <w:pPr>
        <w:pStyle w:val="SingleTxt"/>
        <w:spacing w:after="0" w:line="120" w:lineRule="exact"/>
        <w:rPr>
          <w:sz w:val="10"/>
          <w:rtl/>
        </w:rPr>
      </w:pPr>
    </w:p>
    <w:p w:rsidR="000E2506" w:rsidRDefault="000E2506" w:rsidP="00556D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التعليم</w:t>
      </w:r>
    </w:p>
    <w:p w:rsidR="000E2506" w:rsidRDefault="000E2506" w:rsidP="00556D9C">
      <w:pPr>
        <w:pStyle w:val="SingleTxt"/>
        <w:rPr>
          <w:rtl/>
        </w:rPr>
      </w:pPr>
      <w:r>
        <w:rPr>
          <w:rtl/>
        </w:rPr>
        <w:t>14 -</w:t>
      </w:r>
      <w:r>
        <w:rPr>
          <w:rtl/>
        </w:rPr>
        <w:tab/>
        <w:t>ي</w:t>
      </w:r>
      <w:r w:rsidR="00556D9C">
        <w:rPr>
          <w:rFonts w:hint="cs"/>
          <w:rtl/>
        </w:rPr>
        <w:t>ُ</w:t>
      </w:r>
      <w:r>
        <w:rPr>
          <w:rtl/>
        </w:rPr>
        <w:t>شار في تقرير الدولة الطرف إلى أن النسبة المخص</w:t>
      </w:r>
      <w:r w:rsidR="00556D9C">
        <w:rPr>
          <w:rtl/>
        </w:rPr>
        <w:t>صة للإنفاق العام على التعليم لا</w:t>
      </w:r>
      <w:r w:rsidR="00556D9C">
        <w:rPr>
          <w:rFonts w:hint="cs"/>
          <w:rtl/>
        </w:rPr>
        <w:t> </w:t>
      </w:r>
      <w:r>
        <w:rPr>
          <w:rtl/>
        </w:rPr>
        <w:t>تتجاوز 1.45 في المائة</w:t>
      </w:r>
      <w:r w:rsidR="00556D9C">
        <w:rPr>
          <w:rFonts w:hint="cs"/>
          <w:rtl/>
        </w:rPr>
        <w:t xml:space="preserve"> من الناتج المحلي الإجمالي</w:t>
      </w:r>
      <w:r>
        <w:rPr>
          <w:rtl/>
        </w:rPr>
        <w:t xml:space="preserve"> (الفقرة 305). ويذكر كذلك أن طاقة استيعاب </w:t>
      </w:r>
      <w:r w:rsidR="00556D9C">
        <w:rPr>
          <w:rtl/>
        </w:rPr>
        <w:t>نظام التعلي</w:t>
      </w:r>
      <w:r w:rsidR="00556D9C">
        <w:rPr>
          <w:rFonts w:hint="cs"/>
          <w:rtl/>
        </w:rPr>
        <w:t>م</w:t>
      </w:r>
      <w:r>
        <w:rPr>
          <w:rtl/>
        </w:rPr>
        <w:t xml:space="preserve"> في الدولة الطرف بقيت على </w:t>
      </w:r>
      <w:r w:rsidR="00556D9C">
        <w:rPr>
          <w:rtl/>
        </w:rPr>
        <w:t>حالها لأكثر من 10 سنوات (الفقرة</w:t>
      </w:r>
      <w:r w:rsidR="00556D9C">
        <w:rPr>
          <w:rFonts w:hint="cs"/>
          <w:rtl/>
        </w:rPr>
        <w:t> </w:t>
      </w:r>
      <w:r>
        <w:rPr>
          <w:rtl/>
        </w:rPr>
        <w:t>70). وبالإضافة إلى ذلك، تشير المفوضة السامية إلى أن ال</w:t>
      </w:r>
      <w:r w:rsidR="00556D9C">
        <w:rPr>
          <w:rtl/>
        </w:rPr>
        <w:t>مدارس في جميع أنحاء البلد ي</w:t>
      </w:r>
      <w:r w:rsidR="00556D9C">
        <w:rPr>
          <w:rFonts w:hint="cs"/>
          <w:rtl/>
        </w:rPr>
        <w:t>جري</w:t>
      </w:r>
      <w:r>
        <w:rPr>
          <w:rtl/>
        </w:rPr>
        <w:t xml:space="preserve"> نهبها أو احتلالها للأغراض العسكرية، بشكل منهجي خلال الهجوم، مما يعني أن عددا قليلا من المدارس الخاصة لا يزال مفتوحا في حين تظل المدارس الحكومية مغلقة. </w:t>
      </w:r>
      <w:r w:rsidR="00556D9C">
        <w:rPr>
          <w:rFonts w:hint="cs"/>
          <w:rtl/>
        </w:rPr>
        <w:t>و</w:t>
      </w:r>
      <w:r>
        <w:rPr>
          <w:rtl/>
        </w:rPr>
        <w:t>يرجى بيان النسبة المئوية من موارد الدولة التي تعتزم الدولة الطرف تخصيصها للتعليم والخطط المتوقعة لإعادة إتاحة التعليم الحكومي للمرحلة الابتدائية</w:t>
      </w:r>
      <w:r w:rsidR="001C215E">
        <w:rPr>
          <w:rFonts w:hint="cs"/>
          <w:rtl/>
        </w:rPr>
        <w:t>،</w:t>
      </w:r>
      <w:r>
        <w:rPr>
          <w:rtl/>
        </w:rPr>
        <w:t xml:space="preserve"> على أقل تقدير.</w:t>
      </w:r>
    </w:p>
    <w:p w:rsidR="00556D9C" w:rsidRPr="00556D9C" w:rsidRDefault="00556D9C" w:rsidP="00556D9C">
      <w:pPr>
        <w:pStyle w:val="SingleTxt"/>
        <w:spacing w:after="0" w:line="120" w:lineRule="exact"/>
        <w:rPr>
          <w:sz w:val="10"/>
          <w:rtl/>
        </w:rPr>
      </w:pPr>
    </w:p>
    <w:p w:rsidR="000E2506" w:rsidRDefault="000E2506" w:rsidP="00556D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الصحة</w:t>
      </w:r>
    </w:p>
    <w:p w:rsidR="000E2506" w:rsidRDefault="000E2506" w:rsidP="00556D9C">
      <w:pPr>
        <w:pStyle w:val="SingleTxt"/>
        <w:rPr>
          <w:rtl/>
        </w:rPr>
      </w:pPr>
      <w:r>
        <w:rPr>
          <w:rtl/>
        </w:rPr>
        <w:t>15 -</w:t>
      </w:r>
      <w:r>
        <w:rPr>
          <w:rtl/>
        </w:rPr>
        <w:tab/>
        <w:t>تشير المفوضة السامية إلى أن حال المستشفيات كحال المدارس، فهي تنهب أو تحتل للأغراض العسكرية بصورة منهجية خلال الهجوم. و</w:t>
      </w:r>
      <w:r w:rsidR="00556D9C">
        <w:rPr>
          <w:rtl/>
        </w:rPr>
        <w:t>أشارت كذلك إلى أن هذا الأمر أثر</w:t>
      </w:r>
      <w:r w:rsidR="00556D9C">
        <w:rPr>
          <w:rFonts w:hint="cs"/>
          <w:rtl/>
        </w:rPr>
        <w:t> </w:t>
      </w:r>
      <w:r>
        <w:rPr>
          <w:rtl/>
        </w:rPr>
        <w:t>بشكل خطير على إمكانية الحصول على الخدمات الصحية، وكانت</w:t>
      </w:r>
      <w:r w:rsidR="00556D9C">
        <w:rPr>
          <w:rFonts w:hint="cs"/>
          <w:rtl/>
        </w:rPr>
        <w:t xml:space="preserve"> آثاره</w:t>
      </w:r>
      <w:r>
        <w:rPr>
          <w:rtl/>
        </w:rPr>
        <w:t xml:space="preserve"> وخيمة بشكل خاص على الأطفال والحوامل، ولا سيما نتيجة لتدمير مستشفى الولادة في بانغي. ويرجى بيان النسبة المئوية من موارد الدولة التي تعتزم الدولة الطرف تخصيصها للخدمات الصحية، والخطط المتوقعة لإعادة إتاحة</w:t>
      </w:r>
      <w:r w:rsidR="00556D9C">
        <w:rPr>
          <w:rFonts w:hint="cs"/>
          <w:rtl/>
        </w:rPr>
        <w:t xml:space="preserve"> إمكانية استخدام</w:t>
      </w:r>
      <w:r>
        <w:rPr>
          <w:rtl/>
        </w:rPr>
        <w:t xml:space="preserve"> الم</w:t>
      </w:r>
      <w:r w:rsidR="00556D9C">
        <w:rPr>
          <w:rtl/>
        </w:rPr>
        <w:t>رافق الصحية العامة، ولا سيما في</w:t>
      </w:r>
      <w:r>
        <w:rPr>
          <w:rtl/>
        </w:rPr>
        <w:t>ما يتصل بخدمات الصحة الجنسية والإنجابية، بالنظر إلى ارتفاع معدل الوفيات النفاسية.</w:t>
      </w:r>
    </w:p>
    <w:p w:rsidR="00556D9C" w:rsidRPr="00556D9C" w:rsidRDefault="00556D9C" w:rsidP="00556D9C">
      <w:pPr>
        <w:pStyle w:val="SingleTxt"/>
        <w:spacing w:after="0" w:line="120" w:lineRule="exact"/>
        <w:rPr>
          <w:sz w:val="10"/>
          <w:rtl/>
        </w:rPr>
      </w:pPr>
    </w:p>
    <w:p w:rsidR="000E2506" w:rsidRDefault="000E2506" w:rsidP="00556D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فئات النساء المحرومات</w:t>
      </w:r>
    </w:p>
    <w:p w:rsidR="000E2506" w:rsidRDefault="000E2506" w:rsidP="000E2506">
      <w:pPr>
        <w:pStyle w:val="SingleTxt"/>
        <w:rPr>
          <w:rFonts w:hint="cs"/>
          <w:rtl/>
        </w:rPr>
      </w:pPr>
      <w:r>
        <w:rPr>
          <w:rtl/>
        </w:rPr>
        <w:t>16 -</w:t>
      </w:r>
      <w:r>
        <w:rPr>
          <w:rtl/>
        </w:rPr>
        <w:tab/>
      </w:r>
      <w:r w:rsidRPr="00556D9C">
        <w:rPr>
          <w:w w:val="101"/>
          <w:rtl/>
        </w:rPr>
        <w:t>يرجى تقديم معلومات عن حالة النساء المحتجز</w:t>
      </w:r>
      <w:r w:rsidR="00556D9C" w:rsidRPr="00556D9C">
        <w:rPr>
          <w:w w:val="101"/>
          <w:rtl/>
        </w:rPr>
        <w:t>ات حاليا في مرافق الاحتجاز، ولا</w:t>
      </w:r>
      <w:r w:rsidR="00556D9C" w:rsidRPr="00556D9C">
        <w:rPr>
          <w:rFonts w:hint="cs"/>
          <w:w w:val="101"/>
          <w:rtl/>
        </w:rPr>
        <w:t> </w:t>
      </w:r>
      <w:r w:rsidRPr="00556D9C">
        <w:rPr>
          <w:w w:val="101"/>
          <w:rtl/>
        </w:rPr>
        <w:t>سيما نتيجة للنزاع، وكذلك نسبة النساء المتهمات ب</w:t>
      </w:r>
      <w:r w:rsidR="00556D9C" w:rsidRPr="00556D9C">
        <w:rPr>
          <w:w w:val="101"/>
          <w:rtl/>
        </w:rPr>
        <w:t>السحر بين المحتجزات. وعلاوة على</w:t>
      </w:r>
      <w:r w:rsidR="00556D9C" w:rsidRPr="00556D9C">
        <w:rPr>
          <w:rFonts w:hint="cs"/>
          <w:w w:val="101"/>
          <w:rtl/>
        </w:rPr>
        <w:t> </w:t>
      </w:r>
      <w:r w:rsidRPr="00556D9C">
        <w:rPr>
          <w:w w:val="101"/>
          <w:rtl/>
        </w:rPr>
        <w:t>ذلك، يرجى تقديم معلومات عن مدى تلبية مراكز اعتقال النساء للمتطلبات الدولية الأساسية الواردة في قواعد الأمم المتحدة لمعاملة السجينات وال</w:t>
      </w:r>
      <w:r w:rsidR="00556D9C" w:rsidRPr="00556D9C">
        <w:rPr>
          <w:w w:val="101"/>
          <w:rtl/>
        </w:rPr>
        <w:t>تدابير غير الاحتجازية للمجرمات</w:t>
      </w:r>
      <w:r w:rsidR="00556D9C">
        <w:rPr>
          <w:rtl/>
        </w:rPr>
        <w:t>.</w:t>
      </w:r>
    </w:p>
    <w:p w:rsidR="000E2506" w:rsidRDefault="000E2506" w:rsidP="000E2506">
      <w:pPr>
        <w:pStyle w:val="SingleTxt"/>
        <w:rPr>
          <w:rFonts w:hint="cs"/>
          <w:rtl/>
        </w:rPr>
      </w:pPr>
      <w:r>
        <w:rPr>
          <w:rtl/>
        </w:rPr>
        <w:t>17 -</w:t>
      </w:r>
      <w:r>
        <w:rPr>
          <w:rtl/>
        </w:rPr>
        <w:tab/>
      </w:r>
      <w:r w:rsidR="00556D9C" w:rsidRPr="00556D9C">
        <w:rPr>
          <w:rFonts w:hint="cs"/>
          <w:rtl/>
        </w:rPr>
        <w:t>و</w:t>
      </w:r>
      <w:r w:rsidRPr="00556D9C">
        <w:rPr>
          <w:rtl/>
        </w:rPr>
        <w:t>يرجى بيان التدابير القانونية وغيرها من التدابير المتخذة أو المزمع اتخاذها من جانب الدولة الطرف لوضع حد لممارسة استعباد الأقزام وحم</w:t>
      </w:r>
      <w:r w:rsidR="00556D9C">
        <w:rPr>
          <w:rtl/>
        </w:rPr>
        <w:t>اية النساء والفتيات منهم من</w:t>
      </w:r>
      <w:r w:rsidR="00556D9C">
        <w:rPr>
          <w:rFonts w:hint="cs"/>
          <w:rtl/>
        </w:rPr>
        <w:t> </w:t>
      </w:r>
      <w:r w:rsidR="00556D9C">
        <w:rPr>
          <w:rtl/>
        </w:rPr>
        <w:t>هذه</w:t>
      </w:r>
      <w:r w:rsidR="00556D9C">
        <w:rPr>
          <w:rFonts w:hint="cs"/>
          <w:rtl/>
        </w:rPr>
        <w:t> </w:t>
      </w:r>
      <w:r w:rsidRPr="00556D9C">
        <w:rPr>
          <w:rtl/>
        </w:rPr>
        <w:t>الممارسة</w:t>
      </w:r>
      <w:r>
        <w:rPr>
          <w:rtl/>
        </w:rPr>
        <w:t>.</w:t>
      </w:r>
    </w:p>
    <w:p w:rsidR="000E2506" w:rsidRDefault="00556D9C" w:rsidP="00556D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br w:type="page"/>
      </w:r>
      <w:r w:rsidR="000E2506">
        <w:rPr>
          <w:rtl/>
        </w:rPr>
        <w:tab/>
      </w:r>
      <w:r w:rsidR="000E2506">
        <w:rPr>
          <w:rtl/>
        </w:rPr>
        <w:tab/>
        <w:t>الزواج والعلاقات الأسرية</w:t>
      </w:r>
    </w:p>
    <w:p w:rsidR="000E2506" w:rsidRDefault="000E2506" w:rsidP="000E2506">
      <w:pPr>
        <w:pStyle w:val="SingleTxt"/>
        <w:rPr>
          <w:rtl/>
        </w:rPr>
      </w:pPr>
      <w:r>
        <w:rPr>
          <w:rtl/>
        </w:rPr>
        <w:t>18 -</w:t>
      </w:r>
      <w:r>
        <w:rPr>
          <w:rtl/>
        </w:rPr>
        <w:tab/>
        <w:t>يرجى تقديم معلومات عن التدابير المعتمدة للقضاء على ممارسة زواج الأطفال وبيان ما إذا كانت الدولة الطرف تنظر في إلغاء تعدد الزوجات.</w:t>
      </w:r>
    </w:p>
    <w:p w:rsidR="00556D9C" w:rsidRPr="00556D9C" w:rsidRDefault="00556D9C" w:rsidP="00556D9C">
      <w:pPr>
        <w:pStyle w:val="SingleTxt"/>
        <w:spacing w:after="0" w:line="120" w:lineRule="exact"/>
        <w:rPr>
          <w:sz w:val="10"/>
          <w:rtl/>
        </w:rPr>
      </w:pPr>
    </w:p>
    <w:p w:rsidR="000E2506" w:rsidRDefault="000E2506" w:rsidP="00556D9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tl/>
        </w:rPr>
      </w:pPr>
      <w:r>
        <w:rPr>
          <w:rtl/>
        </w:rPr>
        <w:tab/>
      </w:r>
      <w:r>
        <w:rPr>
          <w:rtl/>
        </w:rPr>
        <w:tab/>
        <w:t>البروتوكول الاختياري وتعديل الفقرة 1 من المادة 20 من الاتفاقية</w:t>
      </w:r>
    </w:p>
    <w:p w:rsidR="000E2506" w:rsidRDefault="000E2506" w:rsidP="000E2506">
      <w:pPr>
        <w:pStyle w:val="SingleTxt"/>
        <w:rPr>
          <w:rFonts w:hint="cs"/>
          <w:rtl/>
        </w:rPr>
      </w:pPr>
      <w:r>
        <w:rPr>
          <w:rtl/>
        </w:rPr>
        <w:t>19 -</w:t>
      </w:r>
      <w:r>
        <w:rPr>
          <w:rtl/>
        </w:rPr>
        <w:tab/>
        <w:t>يرجى بيان ما أُحرز من تقدم في ما يتعلق بالتصديق على البروتوكول الاختياري للاتفاقية وقبول تعديل الفقرة 1 من المادة 20 من الاتفاقية</w:t>
      </w:r>
      <w:r>
        <w:rPr>
          <w:rFonts w:hint="cs"/>
          <w:rtl/>
        </w:rPr>
        <w:t>.</w:t>
      </w:r>
    </w:p>
    <w:p w:rsidR="000E2506" w:rsidRPr="00556D9C" w:rsidRDefault="00556D9C" w:rsidP="00556D9C">
      <w:pPr>
        <w:pStyle w:val="SingleTxt"/>
        <w:spacing w:after="0" w:line="240" w:lineRule="auto"/>
        <w:rPr>
          <w:rFonts w:hint="cs"/>
          <w:rtl/>
        </w:rPr>
      </w:pPr>
      <w:r>
        <w:rPr>
          <w:rFonts w:hint="cs"/>
          <w:noProof/>
          <w:w w:val="100"/>
          <w:rtl/>
        </w:rPr>
        <w:pict>
          <v:line id="_x0000_s1028" style="position:absolute;left:0;text-align:left;z-index:3" from="206.6pt,24pt" to="278.6pt,24pt" strokeweight=".25pt"/>
        </w:pict>
      </w:r>
    </w:p>
    <w:sectPr w:rsidR="000E2506" w:rsidRPr="00556D9C" w:rsidSect="003F5C2B">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1" w:author="Start" w:date="2013-11-14T17:52:00Z" w:initials="Start">
    <w:p w:rsidR="00447C70" w:rsidRDefault="00447C70">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NO&gt;&gt;N1353238A&lt;&lt;ODS JOB NO&gt;&gt;</w:t>
      </w:r>
    </w:p>
    <w:p w:rsidR="00447C70" w:rsidRDefault="00447C70">
      <w:pPr>
        <w:pStyle w:val="CommentText"/>
      </w:pPr>
      <w:r>
        <w:t>&lt;&lt;ODS DOC SYMBOL1&gt;&gt;CEDAW/C/CAF/Q/1-5&lt;&lt;ODS DOC SYMBOL1&gt;&gt;</w:t>
      </w:r>
    </w:p>
    <w:p w:rsidR="00447C70" w:rsidRDefault="00447C70">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7C70" w:rsidRDefault="00447C70" w:rsidP="003F5C2B">
      <w:r>
        <w:separator/>
      </w:r>
    </w:p>
  </w:endnote>
  <w:endnote w:type="continuationSeparator" w:id="0">
    <w:p w:rsidR="00447C70" w:rsidRDefault="00447C70" w:rsidP="003F5C2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47C70" w:rsidTr="003F5C2B">
      <w:tblPrEx>
        <w:tblCellMar>
          <w:top w:w="0" w:type="dxa"/>
          <w:bottom w:w="0" w:type="dxa"/>
        </w:tblCellMar>
      </w:tblPrEx>
      <w:tc>
        <w:tcPr>
          <w:tcW w:w="5033" w:type="dxa"/>
          <w:shd w:val="clear" w:color="auto" w:fill="auto"/>
        </w:tcPr>
        <w:p w:rsidR="00447C70" w:rsidRPr="003F5C2B" w:rsidRDefault="00447C70" w:rsidP="003F5C2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fldSimple w:instr=" NUMPAGES  \* Arabic  \* MERGEFORMAT ">
            <w:r>
              <w:rPr>
                <w:w w:val="103"/>
              </w:rPr>
              <w:t>5</w:t>
            </w:r>
          </w:fldSimple>
        </w:p>
      </w:tc>
      <w:tc>
        <w:tcPr>
          <w:tcW w:w="5033" w:type="dxa"/>
          <w:shd w:val="clear" w:color="auto" w:fill="auto"/>
        </w:tcPr>
        <w:p w:rsidR="00447C70" w:rsidRPr="003F5C2B" w:rsidRDefault="00447C70" w:rsidP="003F5C2B">
          <w:pPr>
            <w:pStyle w:val="Footer"/>
            <w:rPr>
              <w:b w:val="0"/>
              <w:w w:val="103"/>
            </w:rPr>
          </w:pPr>
          <w:fldSimple w:instr=" DOCVARIABLE &quot;FooterJN&quot; \* MERGEFORMAT ">
            <w:r>
              <w:rPr>
                <w:b w:val="0"/>
                <w:w w:val="103"/>
              </w:rPr>
              <w:t>13-53238</w:t>
            </w:r>
          </w:fldSimple>
        </w:p>
      </w:tc>
    </w:tr>
  </w:tbl>
  <w:p w:rsidR="00447C70" w:rsidRPr="003F5C2B" w:rsidRDefault="00447C70" w:rsidP="003F5C2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447C70" w:rsidTr="003F5C2B">
      <w:tblPrEx>
        <w:tblCellMar>
          <w:top w:w="0" w:type="dxa"/>
          <w:bottom w:w="0" w:type="dxa"/>
        </w:tblCellMar>
      </w:tblPrEx>
      <w:tc>
        <w:tcPr>
          <w:tcW w:w="5033" w:type="dxa"/>
          <w:shd w:val="clear" w:color="auto" w:fill="auto"/>
        </w:tcPr>
        <w:p w:rsidR="00447C70" w:rsidRPr="003F5C2B" w:rsidRDefault="00447C70" w:rsidP="003F5C2B">
          <w:pPr>
            <w:pStyle w:val="Footer"/>
            <w:jc w:val="right"/>
            <w:rPr>
              <w:b w:val="0"/>
              <w:w w:val="103"/>
            </w:rPr>
          </w:pPr>
          <w:fldSimple w:instr=" DOCVARIABLE &quot;FooterJN&quot; \* MERGEFORMAT ">
            <w:r>
              <w:rPr>
                <w:b w:val="0"/>
                <w:w w:val="103"/>
              </w:rPr>
              <w:t>13-53238</w:t>
            </w:r>
          </w:fldSimple>
        </w:p>
      </w:tc>
      <w:tc>
        <w:tcPr>
          <w:tcW w:w="5033" w:type="dxa"/>
          <w:shd w:val="clear" w:color="auto" w:fill="auto"/>
        </w:tcPr>
        <w:p w:rsidR="00447C70" w:rsidRPr="003F5C2B" w:rsidRDefault="00447C70" w:rsidP="003F5C2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5</w:t>
          </w:r>
          <w:r>
            <w:rPr>
              <w:w w:val="103"/>
            </w:rPr>
            <w:fldChar w:fldCharType="end"/>
          </w:r>
          <w:r>
            <w:rPr>
              <w:w w:val="103"/>
            </w:rPr>
            <w:t>/</w:t>
          </w:r>
          <w:fldSimple w:instr=" NUMPAGES  \* Arabic  \* MERGEFORMAT ">
            <w:r>
              <w:rPr>
                <w:w w:val="103"/>
              </w:rPr>
              <w:t>5</w:t>
            </w:r>
          </w:fldSimple>
        </w:p>
      </w:tc>
    </w:tr>
  </w:tbl>
  <w:p w:rsidR="00447C70" w:rsidRPr="003F5C2B" w:rsidRDefault="00447C70" w:rsidP="003F5C2B">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447C70" w:rsidTr="000E2506">
      <w:tblPrEx>
        <w:tblCellMar>
          <w:top w:w="0" w:type="dxa"/>
          <w:bottom w:w="0" w:type="dxa"/>
        </w:tblCellMar>
      </w:tblPrEx>
      <w:trPr>
        <w:jc w:val="right"/>
      </w:trPr>
      <w:tc>
        <w:tcPr>
          <w:tcW w:w="3744" w:type="dxa"/>
        </w:tcPr>
        <w:p w:rsidR="00447C70" w:rsidRDefault="00447C70" w:rsidP="003F5C2B">
          <w:pPr>
            <w:pStyle w:val="Footer"/>
            <w:spacing w:line="240" w:lineRule="atLeast"/>
            <w:rPr>
              <w:rFonts w:cs="Times New Roman"/>
              <w:b w:val="0"/>
              <w:w w:val="103"/>
              <w:sz w:val="20"/>
            </w:rPr>
          </w:pPr>
          <w:r w:rsidRPr="003F5C2B">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447C70" w:rsidRDefault="00447C70" w:rsidP="00447C70">
          <w:pPr>
            <w:pStyle w:val="Footer"/>
            <w:jc w:val="right"/>
            <w:rPr>
              <w:rFonts w:cs="Times New Roman"/>
              <w:b w:val="0"/>
              <w:w w:val="103"/>
              <w:sz w:val="20"/>
            </w:rPr>
          </w:pPr>
          <w:r>
            <w:rPr>
              <w:rFonts w:cs="Times New Roman"/>
              <w:b w:val="0"/>
              <w:w w:val="103"/>
              <w:sz w:val="20"/>
            </w:rPr>
            <w:t>15</w:t>
          </w:r>
          <w:bookmarkStart w:id="0" w:name="TmpSave"/>
          <w:bookmarkEnd w:id="0"/>
          <w:r>
            <w:rPr>
              <w:rFonts w:cs="Times New Roman"/>
              <w:b w:val="0"/>
              <w:w w:val="103"/>
              <w:sz w:val="20"/>
            </w:rPr>
            <w:t xml:space="preserve">1113    141113    </w:t>
          </w:r>
          <w:fldSimple w:instr=" DOCVARIABLE &quot;jobn&quot; \* MERGEFORMAT ">
            <w:r>
              <w:rPr>
                <w:rFonts w:cs="Times New Roman"/>
                <w:b w:val="0"/>
                <w:w w:val="103"/>
                <w:sz w:val="20"/>
              </w:rPr>
              <w:t>13-53238 (A)</w:t>
            </w:r>
          </w:fldSimple>
        </w:p>
        <w:p w:rsidR="00447C70" w:rsidRPr="003F5C2B" w:rsidRDefault="00447C70" w:rsidP="003F5C2B">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*1353238*</w:t>
            </w:r>
          </w:fldSimple>
        </w:p>
      </w:tc>
    </w:tr>
  </w:tbl>
  <w:p w:rsidR="00447C70" w:rsidRPr="003F5C2B" w:rsidRDefault="00447C70" w:rsidP="003F5C2B">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7C70" w:rsidRPr="00556D9C" w:rsidRDefault="00447C70" w:rsidP="00556D9C">
      <w:pPr>
        <w:pStyle w:val="Footer"/>
        <w:bidi/>
        <w:spacing w:after="80"/>
        <w:ind w:left="792"/>
        <w:rPr>
          <w:sz w:val="16"/>
        </w:rPr>
      </w:pPr>
      <w:r w:rsidRPr="00556D9C">
        <w:rPr>
          <w:sz w:val="16"/>
          <w:rtl/>
        </w:rPr>
        <w:t>__________</w:t>
      </w:r>
    </w:p>
  </w:footnote>
  <w:footnote w:type="continuationSeparator" w:id="0">
    <w:p w:rsidR="00447C70" w:rsidRPr="00556D9C" w:rsidRDefault="00447C70" w:rsidP="00556D9C">
      <w:pPr>
        <w:pStyle w:val="Footer"/>
        <w:bidi/>
        <w:spacing w:after="80"/>
        <w:ind w:left="792"/>
        <w:rPr>
          <w:sz w:val="16"/>
        </w:rPr>
      </w:pPr>
      <w:r w:rsidRPr="00556D9C">
        <w:rPr>
          <w:sz w:val="16"/>
          <w:rtl/>
        </w:rPr>
        <w:t>__________</w:t>
      </w:r>
    </w:p>
  </w:footnote>
  <w:footnote w:id="1">
    <w:p w:rsidR="00447C70" w:rsidRPr="00556D9C" w:rsidRDefault="00447C70" w:rsidP="00556D9C">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56D9C">
        <w:rPr>
          <w:w w:val="103"/>
          <w:rtl/>
        </w:rPr>
        <w:t>(</w:t>
      </w:r>
      <w:r w:rsidRPr="00556D9C">
        <w:rPr>
          <w:rStyle w:val="FootnoteReference"/>
          <w:spacing w:val="0"/>
          <w:w w:val="103"/>
          <w:vertAlign w:val="baseline"/>
          <w:rtl/>
        </w:rPr>
        <w:footnoteRef/>
      </w:r>
      <w:r w:rsidRPr="00556D9C">
        <w:rPr>
          <w:w w:val="103"/>
          <w:rtl/>
        </w:rPr>
        <w:t>)</w:t>
      </w:r>
      <w:r w:rsidRPr="00556D9C">
        <w:rPr>
          <w:w w:val="103"/>
          <w:rtl/>
        </w:rPr>
        <w:tab/>
        <w:t>تشير أرقام الفقرات إلى التقرير الجامع للتقرير الأولي والتقارير الدورية من الثاني إلى الخامس للدولة الطرف (</w:t>
      </w:r>
      <w:r w:rsidRPr="00556D9C">
        <w:rPr>
          <w:w w:val="103"/>
        </w:rPr>
        <w:t>CEDAW/C/CAF/1-5</w:t>
      </w:r>
      <w:r w:rsidRPr="00556D9C">
        <w:rPr>
          <w:w w:val="103"/>
          <w:rtl/>
        </w:rPr>
        <w:t>)، ما لم ي</w:t>
      </w:r>
      <w:r>
        <w:rPr>
          <w:rFonts w:hint="cs"/>
          <w:w w:val="103"/>
          <w:rtl/>
        </w:rPr>
        <w:t>ُ</w:t>
      </w:r>
      <w:r w:rsidRPr="00556D9C">
        <w:rPr>
          <w:w w:val="103"/>
          <w:rtl/>
        </w:rPr>
        <w:t>شر إلى خلاف ذلك</w:t>
      </w:r>
      <w:r>
        <w:rPr>
          <w:rFonts w:hint="cs"/>
          <w:w w:val="103"/>
          <w:rtl/>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447C70" w:rsidTr="003F5C2B">
      <w:tblPrEx>
        <w:tblCellMar>
          <w:top w:w="0" w:type="dxa"/>
          <w:bottom w:w="0" w:type="dxa"/>
        </w:tblCellMar>
      </w:tblPrEx>
      <w:trPr>
        <w:trHeight w:hRule="exact" w:val="864"/>
        <w:jc w:val="center"/>
      </w:trPr>
      <w:tc>
        <w:tcPr>
          <w:tcW w:w="4925" w:type="dxa"/>
          <w:shd w:val="clear" w:color="auto" w:fill="auto"/>
          <w:vAlign w:val="bottom"/>
        </w:tcPr>
        <w:p w:rsidR="00447C70" w:rsidRDefault="00447C70" w:rsidP="003F5C2B">
          <w:pPr>
            <w:pStyle w:val="Header"/>
            <w:bidi/>
            <w:jc w:val="right"/>
          </w:pPr>
        </w:p>
      </w:tc>
      <w:tc>
        <w:tcPr>
          <w:tcW w:w="4925" w:type="dxa"/>
          <w:shd w:val="clear" w:color="auto" w:fill="auto"/>
          <w:vAlign w:val="bottom"/>
        </w:tcPr>
        <w:p w:rsidR="00447C70" w:rsidRPr="003F5C2B" w:rsidRDefault="00447C70" w:rsidP="003F5C2B">
          <w:pPr>
            <w:pStyle w:val="Header"/>
            <w:spacing w:after="80"/>
            <w:jc w:val="right"/>
            <w:rPr>
              <w:w w:val="103"/>
            </w:rPr>
          </w:pPr>
          <w:fldSimple w:instr=" DOCVARIABLE sss1  \* MERGEFORMAT ">
            <w:r>
              <w:rPr>
                <w:w w:val="103"/>
              </w:rPr>
              <w:t>CEDAW/C/CAF/Q/1-5</w:t>
            </w:r>
          </w:fldSimple>
        </w:p>
      </w:tc>
    </w:tr>
  </w:tbl>
  <w:p w:rsidR="00447C70" w:rsidRPr="003F5C2B" w:rsidRDefault="00447C70" w:rsidP="003F5C2B">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447C70" w:rsidTr="003F5C2B">
      <w:tblPrEx>
        <w:tblCellMar>
          <w:top w:w="0" w:type="dxa"/>
          <w:bottom w:w="0" w:type="dxa"/>
        </w:tblCellMar>
      </w:tblPrEx>
      <w:trPr>
        <w:trHeight w:hRule="exact" w:val="864"/>
        <w:jc w:val="center"/>
      </w:trPr>
      <w:tc>
        <w:tcPr>
          <w:tcW w:w="4925" w:type="dxa"/>
          <w:shd w:val="clear" w:color="auto" w:fill="auto"/>
          <w:vAlign w:val="bottom"/>
        </w:tcPr>
        <w:p w:rsidR="00447C70" w:rsidRPr="003F5C2B" w:rsidRDefault="00447C70" w:rsidP="003F5C2B">
          <w:pPr>
            <w:pStyle w:val="Header"/>
            <w:spacing w:after="80"/>
            <w:rPr>
              <w:w w:val="103"/>
            </w:rPr>
          </w:pPr>
          <w:fldSimple w:instr=" DOCVARIABLE sss1  \* MERGEFORMAT ">
            <w:r>
              <w:rPr>
                <w:w w:val="103"/>
              </w:rPr>
              <w:t>CEDAW/C/CAF/Q/1-5</w:t>
            </w:r>
          </w:fldSimple>
        </w:p>
      </w:tc>
      <w:tc>
        <w:tcPr>
          <w:tcW w:w="4925" w:type="dxa"/>
          <w:shd w:val="clear" w:color="auto" w:fill="auto"/>
          <w:vAlign w:val="bottom"/>
        </w:tcPr>
        <w:p w:rsidR="00447C70" w:rsidRDefault="00447C70" w:rsidP="003F5C2B">
          <w:pPr>
            <w:pStyle w:val="Header"/>
          </w:pPr>
        </w:p>
      </w:tc>
    </w:tr>
  </w:tbl>
  <w:p w:rsidR="00447C70" w:rsidRPr="003F5C2B" w:rsidRDefault="00447C70" w:rsidP="003F5C2B">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447C70" w:rsidTr="003F5C2B">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47C70" w:rsidRDefault="00447C70" w:rsidP="003F5C2B">
          <w:pPr>
            <w:pStyle w:val="Header"/>
            <w:spacing w:after="120"/>
          </w:pPr>
        </w:p>
      </w:tc>
      <w:tc>
        <w:tcPr>
          <w:tcW w:w="1786" w:type="dxa"/>
          <w:tcBorders>
            <w:bottom w:val="single" w:sz="4" w:space="0" w:color="auto"/>
          </w:tcBorders>
          <w:shd w:val="clear" w:color="auto" w:fill="auto"/>
          <w:vAlign w:val="bottom"/>
        </w:tcPr>
        <w:p w:rsidR="00447C70" w:rsidRPr="003F5C2B" w:rsidRDefault="00447C70" w:rsidP="003F5C2B">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47C70" w:rsidRDefault="00447C70" w:rsidP="003F5C2B">
          <w:pPr>
            <w:pStyle w:val="Header"/>
            <w:spacing w:after="120"/>
          </w:pPr>
        </w:p>
      </w:tc>
      <w:tc>
        <w:tcPr>
          <w:tcW w:w="6523" w:type="dxa"/>
          <w:gridSpan w:val="3"/>
          <w:tcBorders>
            <w:bottom w:val="single" w:sz="4" w:space="0" w:color="auto"/>
          </w:tcBorders>
          <w:shd w:val="clear" w:color="auto" w:fill="auto"/>
          <w:vAlign w:val="bottom"/>
        </w:tcPr>
        <w:p w:rsidR="00447C70" w:rsidRPr="003F5C2B" w:rsidRDefault="00447C70" w:rsidP="003F5C2B">
          <w:pPr>
            <w:spacing w:line="380" w:lineRule="exact"/>
            <w:jc w:val="right"/>
          </w:pPr>
          <w:r>
            <w:rPr>
              <w:sz w:val="40"/>
            </w:rPr>
            <w:t>CEDAW</w:t>
          </w:r>
          <w:r>
            <w:t>/C/CAF/Q/1-5</w:t>
          </w:r>
        </w:p>
      </w:tc>
    </w:tr>
    <w:tr w:rsidR="00447C70" w:rsidRPr="003F5C2B" w:rsidTr="003F5C2B">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47C70" w:rsidRDefault="00447C70" w:rsidP="003F5C2B">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47C70" w:rsidRPr="003F5C2B" w:rsidRDefault="00447C70" w:rsidP="003F5C2B">
          <w:pPr>
            <w:pStyle w:val="Header"/>
            <w:spacing w:before="109"/>
            <w:jc w:val="right"/>
          </w:pPr>
        </w:p>
      </w:tc>
      <w:tc>
        <w:tcPr>
          <w:tcW w:w="5227" w:type="dxa"/>
          <w:gridSpan w:val="3"/>
          <w:tcBorders>
            <w:top w:val="single" w:sz="4" w:space="0" w:color="auto"/>
            <w:bottom w:val="single" w:sz="12" w:space="0" w:color="auto"/>
          </w:tcBorders>
          <w:shd w:val="clear" w:color="auto" w:fill="auto"/>
        </w:tcPr>
        <w:p w:rsidR="00447C70" w:rsidRPr="003F5C2B" w:rsidRDefault="00447C70" w:rsidP="003F5C2B">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47C70" w:rsidRPr="003F5C2B" w:rsidRDefault="00447C70" w:rsidP="003F5C2B">
          <w:pPr>
            <w:pStyle w:val="Header"/>
            <w:spacing w:before="109"/>
          </w:pPr>
        </w:p>
      </w:tc>
      <w:tc>
        <w:tcPr>
          <w:tcW w:w="3100" w:type="dxa"/>
          <w:gridSpan w:val="2"/>
          <w:tcBorders>
            <w:top w:val="single" w:sz="4" w:space="0" w:color="auto"/>
            <w:bottom w:val="single" w:sz="12" w:space="0" w:color="auto"/>
          </w:tcBorders>
          <w:shd w:val="clear" w:color="auto" w:fill="auto"/>
        </w:tcPr>
        <w:p w:rsidR="00447C70" w:rsidRDefault="00447C70" w:rsidP="003F5C2B">
          <w:pPr>
            <w:bidi w:val="0"/>
            <w:spacing w:before="240" w:line="240" w:lineRule="exact"/>
          </w:pPr>
          <w:r>
            <w:t>Distr.: General</w:t>
          </w:r>
        </w:p>
        <w:p w:rsidR="00447C70" w:rsidRDefault="00447C70" w:rsidP="003F5C2B">
          <w:pPr>
            <w:bidi w:val="0"/>
            <w:spacing w:line="240" w:lineRule="exact"/>
            <w:jc w:val="left"/>
          </w:pPr>
          <w:r>
            <w:t>28 October 2013</w:t>
          </w:r>
        </w:p>
        <w:p w:rsidR="00447C70" w:rsidRDefault="00447C70" w:rsidP="003F5C2B">
          <w:pPr>
            <w:bidi w:val="0"/>
            <w:spacing w:line="240" w:lineRule="exact"/>
            <w:jc w:val="left"/>
          </w:pPr>
          <w:r>
            <w:t>Arabic</w:t>
          </w:r>
        </w:p>
        <w:p w:rsidR="00447C70" w:rsidRPr="003F5C2B" w:rsidRDefault="00447C70" w:rsidP="003F5C2B">
          <w:pPr>
            <w:bidi w:val="0"/>
            <w:spacing w:line="240" w:lineRule="exact"/>
            <w:jc w:val="left"/>
          </w:pPr>
          <w:r>
            <w:t>Original: English</w:t>
          </w:r>
        </w:p>
      </w:tc>
    </w:tr>
  </w:tbl>
  <w:p w:rsidR="00447C70" w:rsidRPr="003F5C2B" w:rsidRDefault="00447C70" w:rsidP="003F5C2B">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238*"/>
    <w:docVar w:name="CreationDt" w:val="14/11/2013 5:52: PM"/>
    <w:docVar w:name="DocCategory" w:val="Doc"/>
    <w:docVar w:name="DocType" w:val="Final"/>
    <w:docVar w:name="FooterJN" w:val="13-53238"/>
    <w:docVar w:name="jobn" w:val="13-53238 (A)"/>
    <w:docVar w:name="jobnDT" w:val="13-53238 (A)   141113"/>
    <w:docVar w:name="jobnDTDT" w:val="13-53238 (A)   141113   141113"/>
    <w:docVar w:name="JobNo" w:val="1353238A"/>
    <w:docVar w:name="OandT" w:val=" "/>
    <w:docVar w:name="sss1" w:val="CEDAW/C/CAF/Q/1-5"/>
    <w:docVar w:name="sss2" w:val="-"/>
    <w:docVar w:name="Symbol1" w:val="CEDAW/C/CAF/Q/1-5"/>
    <w:docVar w:name="Symbol2" w:val="-"/>
  </w:docVars>
  <w:rsids>
    <w:rsidRoot w:val="00007251"/>
    <w:rsid w:val="00007251"/>
    <w:rsid w:val="000170D3"/>
    <w:rsid w:val="00017137"/>
    <w:rsid w:val="000311C9"/>
    <w:rsid w:val="00042425"/>
    <w:rsid w:val="00047F6A"/>
    <w:rsid w:val="00060DA8"/>
    <w:rsid w:val="0006648F"/>
    <w:rsid w:val="00087310"/>
    <w:rsid w:val="0009732C"/>
    <w:rsid w:val="000A7F69"/>
    <w:rsid w:val="000C4EED"/>
    <w:rsid w:val="000D2CEC"/>
    <w:rsid w:val="000E2506"/>
    <w:rsid w:val="00101EE8"/>
    <w:rsid w:val="00113349"/>
    <w:rsid w:val="0012522B"/>
    <w:rsid w:val="001519A9"/>
    <w:rsid w:val="001568A8"/>
    <w:rsid w:val="00165F18"/>
    <w:rsid w:val="00170E51"/>
    <w:rsid w:val="001737F8"/>
    <w:rsid w:val="001775EA"/>
    <w:rsid w:val="0018030C"/>
    <w:rsid w:val="00187870"/>
    <w:rsid w:val="00196CD9"/>
    <w:rsid w:val="001B71CC"/>
    <w:rsid w:val="001C215E"/>
    <w:rsid w:val="001D29AE"/>
    <w:rsid w:val="001E5A5A"/>
    <w:rsid w:val="001E5A7A"/>
    <w:rsid w:val="001F6786"/>
    <w:rsid w:val="00236A29"/>
    <w:rsid w:val="002416C5"/>
    <w:rsid w:val="0025002E"/>
    <w:rsid w:val="00252D19"/>
    <w:rsid w:val="00266F59"/>
    <w:rsid w:val="00272B6C"/>
    <w:rsid w:val="0027623A"/>
    <w:rsid w:val="00290F2F"/>
    <w:rsid w:val="002937DA"/>
    <w:rsid w:val="002A09C6"/>
    <w:rsid w:val="002B14AE"/>
    <w:rsid w:val="002B4D18"/>
    <w:rsid w:val="002C2AF2"/>
    <w:rsid w:val="002C4E1B"/>
    <w:rsid w:val="002D0E6C"/>
    <w:rsid w:val="002D58BC"/>
    <w:rsid w:val="002E1490"/>
    <w:rsid w:val="002F0573"/>
    <w:rsid w:val="00312162"/>
    <w:rsid w:val="003501D5"/>
    <w:rsid w:val="003676A8"/>
    <w:rsid w:val="00371AC4"/>
    <w:rsid w:val="00376CFA"/>
    <w:rsid w:val="00383A67"/>
    <w:rsid w:val="00383CA8"/>
    <w:rsid w:val="003A65ED"/>
    <w:rsid w:val="003D4612"/>
    <w:rsid w:val="003E26D7"/>
    <w:rsid w:val="003E61A1"/>
    <w:rsid w:val="003F4B8C"/>
    <w:rsid w:val="003F5C2B"/>
    <w:rsid w:val="003F6A40"/>
    <w:rsid w:val="00401BDF"/>
    <w:rsid w:val="00411BBD"/>
    <w:rsid w:val="00415922"/>
    <w:rsid w:val="00423BD7"/>
    <w:rsid w:val="0042757D"/>
    <w:rsid w:val="00430E15"/>
    <w:rsid w:val="00437C14"/>
    <w:rsid w:val="00447C70"/>
    <w:rsid w:val="004527C9"/>
    <w:rsid w:val="00453069"/>
    <w:rsid w:val="0048330E"/>
    <w:rsid w:val="00483F5B"/>
    <w:rsid w:val="00490874"/>
    <w:rsid w:val="00494EE2"/>
    <w:rsid w:val="00496E83"/>
    <w:rsid w:val="004A2886"/>
    <w:rsid w:val="004B14A0"/>
    <w:rsid w:val="004B1CBB"/>
    <w:rsid w:val="004D1B0C"/>
    <w:rsid w:val="004F0D2B"/>
    <w:rsid w:val="004F1402"/>
    <w:rsid w:val="004F75CD"/>
    <w:rsid w:val="0050659B"/>
    <w:rsid w:val="00521CAC"/>
    <w:rsid w:val="00524A2E"/>
    <w:rsid w:val="005279DE"/>
    <w:rsid w:val="00534772"/>
    <w:rsid w:val="00537FCD"/>
    <w:rsid w:val="00545F76"/>
    <w:rsid w:val="005545BB"/>
    <w:rsid w:val="00556882"/>
    <w:rsid w:val="00556D9C"/>
    <w:rsid w:val="00561E43"/>
    <w:rsid w:val="00566427"/>
    <w:rsid w:val="0057078E"/>
    <w:rsid w:val="005838F5"/>
    <w:rsid w:val="00591B45"/>
    <w:rsid w:val="00596606"/>
    <w:rsid w:val="005A0F73"/>
    <w:rsid w:val="005A2EA3"/>
    <w:rsid w:val="005B4C28"/>
    <w:rsid w:val="005C2ECE"/>
    <w:rsid w:val="005C7ED8"/>
    <w:rsid w:val="006007BD"/>
    <w:rsid w:val="00616E82"/>
    <w:rsid w:val="006218A3"/>
    <w:rsid w:val="006564CE"/>
    <w:rsid w:val="00663F64"/>
    <w:rsid w:val="00692B46"/>
    <w:rsid w:val="00696B7A"/>
    <w:rsid w:val="006A1E4E"/>
    <w:rsid w:val="006C38EE"/>
    <w:rsid w:val="006E7E51"/>
    <w:rsid w:val="00700F06"/>
    <w:rsid w:val="0071531E"/>
    <w:rsid w:val="0071645B"/>
    <w:rsid w:val="00716E9D"/>
    <w:rsid w:val="00747B9E"/>
    <w:rsid w:val="007524BE"/>
    <w:rsid w:val="007525FA"/>
    <w:rsid w:val="00770CF8"/>
    <w:rsid w:val="00774FF0"/>
    <w:rsid w:val="0079046D"/>
    <w:rsid w:val="0079753A"/>
    <w:rsid w:val="007A296C"/>
    <w:rsid w:val="007A4244"/>
    <w:rsid w:val="007A6C4E"/>
    <w:rsid w:val="007A6DD9"/>
    <w:rsid w:val="007B03DD"/>
    <w:rsid w:val="007D60E0"/>
    <w:rsid w:val="007D6B8D"/>
    <w:rsid w:val="007E32B9"/>
    <w:rsid w:val="007F757F"/>
    <w:rsid w:val="0081284F"/>
    <w:rsid w:val="00814843"/>
    <w:rsid w:val="008170DE"/>
    <w:rsid w:val="00824819"/>
    <w:rsid w:val="00830E32"/>
    <w:rsid w:val="00845A14"/>
    <w:rsid w:val="0085331D"/>
    <w:rsid w:val="00853F0F"/>
    <w:rsid w:val="00873A11"/>
    <w:rsid w:val="00873AF9"/>
    <w:rsid w:val="0088317F"/>
    <w:rsid w:val="00894823"/>
    <w:rsid w:val="008A3FCA"/>
    <w:rsid w:val="008D1C04"/>
    <w:rsid w:val="008F04A0"/>
    <w:rsid w:val="008F419C"/>
    <w:rsid w:val="008F64A7"/>
    <w:rsid w:val="0090012B"/>
    <w:rsid w:val="0090351F"/>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37C4B"/>
    <w:rsid w:val="00A47282"/>
    <w:rsid w:val="00A56F63"/>
    <w:rsid w:val="00A66F66"/>
    <w:rsid w:val="00A71AE5"/>
    <w:rsid w:val="00A77F16"/>
    <w:rsid w:val="00A90909"/>
    <w:rsid w:val="00AA1E16"/>
    <w:rsid w:val="00AC002C"/>
    <w:rsid w:val="00AC2EE0"/>
    <w:rsid w:val="00AC6CDD"/>
    <w:rsid w:val="00AD38D0"/>
    <w:rsid w:val="00AE108C"/>
    <w:rsid w:val="00AE3F6F"/>
    <w:rsid w:val="00AE5AE2"/>
    <w:rsid w:val="00AF1A53"/>
    <w:rsid w:val="00AF7AC7"/>
    <w:rsid w:val="00B034A3"/>
    <w:rsid w:val="00B05ADC"/>
    <w:rsid w:val="00B272BE"/>
    <w:rsid w:val="00B5784C"/>
    <w:rsid w:val="00B9542C"/>
    <w:rsid w:val="00B95560"/>
    <w:rsid w:val="00BA7FAB"/>
    <w:rsid w:val="00BC2F4C"/>
    <w:rsid w:val="00BC4A05"/>
    <w:rsid w:val="00BC567D"/>
    <w:rsid w:val="00BF0B15"/>
    <w:rsid w:val="00C12CBB"/>
    <w:rsid w:val="00C25A2D"/>
    <w:rsid w:val="00C260F8"/>
    <w:rsid w:val="00C27ED9"/>
    <w:rsid w:val="00C43FBE"/>
    <w:rsid w:val="00C449C6"/>
    <w:rsid w:val="00C500EC"/>
    <w:rsid w:val="00C564B0"/>
    <w:rsid w:val="00C6283F"/>
    <w:rsid w:val="00C71487"/>
    <w:rsid w:val="00C814A5"/>
    <w:rsid w:val="00C84B2B"/>
    <w:rsid w:val="00C855F6"/>
    <w:rsid w:val="00C92888"/>
    <w:rsid w:val="00C96573"/>
    <w:rsid w:val="00CA4791"/>
    <w:rsid w:val="00CD0BB8"/>
    <w:rsid w:val="00CD3849"/>
    <w:rsid w:val="00CF7384"/>
    <w:rsid w:val="00D2343D"/>
    <w:rsid w:val="00D30EAE"/>
    <w:rsid w:val="00D318F1"/>
    <w:rsid w:val="00D40B0E"/>
    <w:rsid w:val="00D42644"/>
    <w:rsid w:val="00D44FE0"/>
    <w:rsid w:val="00D47636"/>
    <w:rsid w:val="00D54DD2"/>
    <w:rsid w:val="00D66413"/>
    <w:rsid w:val="00DA66B7"/>
    <w:rsid w:val="00DB086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F2E52"/>
    <w:rsid w:val="00F031FB"/>
    <w:rsid w:val="00F32E4A"/>
    <w:rsid w:val="00F36D8C"/>
    <w:rsid w:val="00F53AB7"/>
    <w:rsid w:val="00F93545"/>
    <w:rsid w:val="00F96FBA"/>
    <w:rsid w:val="00FB14D9"/>
    <w:rsid w:val="00FB4E06"/>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F5C2B"/>
    <w:rPr>
      <w:szCs w:val="20"/>
    </w:rPr>
  </w:style>
  <w:style w:type="paragraph" w:styleId="CommentSubject">
    <w:name w:val="annotation subject"/>
    <w:basedOn w:val="CommentText"/>
    <w:next w:val="CommentText"/>
    <w:semiHidden/>
    <w:rsid w:val="003F5C2B"/>
    <w:rPr>
      <w:b/>
      <w:bCs/>
    </w:rPr>
  </w:style>
  <w:style w:type="character" w:styleId="Hyperlink">
    <w:name w:val="Hyperlink"/>
    <w:basedOn w:val="DefaultParagraphFont"/>
    <w:rsid w:val="000E2506"/>
    <w:rPr>
      <w:color w:val="0000FF"/>
      <w:u w:val="none"/>
    </w:rPr>
  </w:style>
  <w:style w:type="character" w:styleId="FollowedHyperlink">
    <w:name w:val="FollowedHyperlink"/>
    <w:basedOn w:val="DefaultParagraphFont"/>
    <w:rsid w:val="000E2506"/>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S/RES/1325(2000)"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1</Pages>
  <Words>1103</Words>
  <Characters>6289</Characters>
  <Application>Microsoft Office Outlook</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7378</CharactersWithSpaces>
  <SharedDoc>false</SharedDoc>
  <HLinks>
    <vt:vector size="6" baseType="variant">
      <vt:variant>
        <vt:i4>65628</vt:i4>
      </vt:variant>
      <vt:variant>
        <vt:i4>0</vt:i4>
      </vt:variant>
      <vt:variant>
        <vt:i4>0</vt:i4>
      </vt:variant>
      <vt:variant>
        <vt:i4>5</vt:i4>
      </vt:variant>
      <vt:variant>
        <vt:lpwstr>http://undocs.org/ar/S/RES/1325(2000)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Ahmad Jouejati</dc:creator>
  <cp:keywords/>
  <dc:description/>
  <cp:lastModifiedBy>Ibrahim Basaly</cp:lastModifiedBy>
  <cp:revision>8</cp:revision>
  <cp:lastPrinted>2013-11-14T19:21:00Z</cp:lastPrinted>
  <dcterms:created xsi:type="dcterms:W3CDTF">2013-11-14T19:07:00Z</dcterms:created>
  <dcterms:modified xsi:type="dcterms:W3CDTF">2013-11-15T08:59:00Z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1353238</vt:lpwstr>
  </property>
  <property fmtid="{D5CDD505-2E9C-101B-9397-08002B2CF9AE}" pid="3" name="Symbol1">
    <vt:lpwstr>CEDAW/C/CAF/Q/1-5</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 </vt:lpwstr>
  </property>
  <property fmtid="{D5CDD505-2E9C-101B-9397-08002B2CF9AE}" pid="8" name="Operator">
    <vt:lpwstr>محمد حسين</vt:lpwstr>
  </property>
</Properties>
</file>