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ED657B">
        <w:trPr>
          <w:trHeight w:hRule="exact" w:val="851"/>
        </w:trPr>
        <w:tc>
          <w:tcPr>
            <w:tcW w:w="1280" w:type="dxa"/>
            <w:tcBorders>
              <w:bottom w:val="single" w:sz="4" w:space="0" w:color="auto"/>
            </w:tcBorders>
          </w:tcPr>
          <w:p w:rsidR="002D5AAC" w:rsidRDefault="002D5AAC" w:rsidP="00ED657B">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ED657B" w:rsidP="00ED657B">
            <w:pPr>
              <w:jc w:val="right"/>
            </w:pPr>
            <w:r w:rsidRPr="00ED657B">
              <w:rPr>
                <w:sz w:val="40"/>
              </w:rPr>
              <w:t>CERD</w:t>
            </w:r>
            <w:r>
              <w:t>/C/DJI/1-2</w:t>
            </w:r>
          </w:p>
        </w:tc>
      </w:tr>
      <w:tr w:rsidR="002D5AAC" w:rsidTr="00ED657B">
        <w:trPr>
          <w:trHeight w:hRule="exact" w:val="2835"/>
        </w:trPr>
        <w:tc>
          <w:tcPr>
            <w:tcW w:w="1280" w:type="dxa"/>
            <w:tcBorders>
              <w:top w:val="single" w:sz="4" w:space="0" w:color="auto"/>
              <w:bottom w:val="single" w:sz="12" w:space="0" w:color="auto"/>
            </w:tcBorders>
          </w:tcPr>
          <w:p w:rsidR="002D5AAC" w:rsidRDefault="00CC15A3" w:rsidP="00A17DFD">
            <w:pPr>
              <w:spacing w:before="120"/>
              <w:jc w:val="center"/>
            </w:pPr>
            <w:r>
              <w:rPr>
                <w:noProof/>
              </w:rPr>
              <w:drawing>
                <wp:inline distT="0" distB="0" distL="0" distR="0" wp14:anchorId="562724DE" wp14:editId="36BE3A6F">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rsidR="002D5AAC" w:rsidRDefault="00ED657B" w:rsidP="00B778C8">
            <w:pPr>
              <w:spacing w:before="240"/>
            </w:pPr>
            <w:r>
              <w:t>Distr. general</w:t>
            </w:r>
          </w:p>
          <w:p w:rsidR="00ED657B" w:rsidRDefault="00ED657B" w:rsidP="00ED657B">
            <w:pPr>
              <w:spacing w:line="240" w:lineRule="exact"/>
            </w:pPr>
            <w:r>
              <w:t>12 de abril de 2016</w:t>
            </w:r>
          </w:p>
          <w:p w:rsidR="00ED657B" w:rsidRDefault="00ED657B" w:rsidP="00ED657B">
            <w:pPr>
              <w:spacing w:line="240" w:lineRule="exact"/>
            </w:pPr>
            <w:r>
              <w:t>Español</w:t>
            </w:r>
          </w:p>
          <w:p w:rsidR="00ED657B" w:rsidRDefault="00ED657B" w:rsidP="00ED657B">
            <w:pPr>
              <w:spacing w:line="240" w:lineRule="exact"/>
            </w:pPr>
            <w:r>
              <w:t>Original: francés</w:t>
            </w:r>
          </w:p>
          <w:p w:rsidR="00ED657B" w:rsidRDefault="00ED657B" w:rsidP="00ED657B">
            <w:pPr>
              <w:spacing w:line="240" w:lineRule="exact"/>
            </w:pPr>
            <w:r>
              <w:t>Español, francés e inglés únicamente</w:t>
            </w:r>
          </w:p>
        </w:tc>
      </w:tr>
    </w:tbl>
    <w:p w:rsidR="00ED657B" w:rsidRPr="00ED657B" w:rsidRDefault="00ED657B" w:rsidP="001B1431">
      <w:pPr>
        <w:spacing w:before="120"/>
        <w:rPr>
          <w:b/>
          <w:sz w:val="24"/>
          <w:szCs w:val="24"/>
        </w:rPr>
      </w:pPr>
      <w:r w:rsidRPr="00ED657B">
        <w:rPr>
          <w:b/>
          <w:sz w:val="24"/>
          <w:szCs w:val="24"/>
        </w:rPr>
        <w:t>Comité para la Eliminación de la Discriminación Racial</w:t>
      </w:r>
    </w:p>
    <w:p w:rsidR="00ED657B" w:rsidRPr="00ED657B" w:rsidRDefault="00ED657B" w:rsidP="00ED657B">
      <w:pPr>
        <w:pStyle w:val="HMG"/>
      </w:pPr>
      <w:r w:rsidRPr="00ED657B">
        <w:tab/>
      </w:r>
      <w:r>
        <w:tab/>
      </w:r>
      <w:r w:rsidRPr="00ED657B">
        <w:t>Examen de los informes presentados por los Estados partes en virtud del artículo 9 de la Convención</w:t>
      </w:r>
    </w:p>
    <w:p w:rsidR="00ED657B" w:rsidRPr="00ED657B" w:rsidRDefault="00ED657B" w:rsidP="00ED657B">
      <w:pPr>
        <w:pStyle w:val="HChG"/>
      </w:pPr>
      <w:r>
        <w:tab/>
      </w:r>
      <w:r w:rsidRPr="00ED657B">
        <w:tab/>
        <w:t xml:space="preserve">Informe inicial y segundo informe periódico </w:t>
      </w:r>
      <w:r>
        <w:br/>
      </w:r>
      <w:r w:rsidRPr="00ED657B">
        <w:t>de los Estados partes</w:t>
      </w:r>
    </w:p>
    <w:p w:rsidR="00ED657B" w:rsidRPr="00ED657B" w:rsidRDefault="00ED657B" w:rsidP="00ED657B">
      <w:pPr>
        <w:pStyle w:val="HMG"/>
      </w:pPr>
      <w:r>
        <w:tab/>
      </w:r>
      <w:r w:rsidRPr="00ED657B">
        <w:tab/>
        <w:t>Djibouti</w:t>
      </w:r>
      <w:r w:rsidRPr="00ED657B">
        <w:rPr>
          <w:rStyle w:val="Refdenotaalpie"/>
          <w:b w:val="0"/>
          <w:sz w:val="20"/>
          <w:vertAlign w:val="baseline"/>
        </w:rPr>
        <w:footnoteReference w:customMarkFollows="1" w:id="1"/>
        <w:t>*</w:t>
      </w:r>
    </w:p>
    <w:p w:rsidR="00ED657B" w:rsidRPr="00ED657B" w:rsidRDefault="00ED657B" w:rsidP="00ED657B">
      <w:pPr>
        <w:pStyle w:val="SingleTxtG"/>
        <w:jc w:val="right"/>
      </w:pPr>
      <w:r w:rsidRPr="00ED657B">
        <w:t>[Fecha de recepción: 8 de marzo de 2016]</w:t>
      </w:r>
    </w:p>
    <w:p w:rsidR="00ED657B" w:rsidRDefault="00ED657B" w:rsidP="00ED657B">
      <w:pPr>
        <w:spacing w:after="120"/>
        <w:rPr>
          <w:sz w:val="28"/>
        </w:rPr>
      </w:pPr>
      <w:r w:rsidRPr="00ED657B">
        <w:br w:type="page"/>
      </w:r>
      <w:r>
        <w:rPr>
          <w:sz w:val="28"/>
        </w:rPr>
        <w:lastRenderedPageBreak/>
        <w:t>Índice</w:t>
      </w:r>
    </w:p>
    <w:p w:rsidR="00ED657B" w:rsidRPr="006D2E66" w:rsidRDefault="00ED657B" w:rsidP="00ED657B">
      <w:pPr>
        <w:tabs>
          <w:tab w:val="right" w:pos="9638"/>
        </w:tabs>
        <w:spacing w:after="120"/>
        <w:ind w:left="283"/>
        <w:rPr>
          <w:sz w:val="18"/>
        </w:rPr>
      </w:pPr>
      <w:r w:rsidRPr="006D2E66">
        <w:rPr>
          <w:i/>
          <w:sz w:val="18"/>
        </w:rPr>
        <w:tab/>
        <w:t>Página</w:t>
      </w:r>
    </w:p>
    <w:p w:rsidR="00ED657B" w:rsidRDefault="00ED657B" w:rsidP="00ED657B">
      <w:pPr>
        <w:tabs>
          <w:tab w:val="right" w:pos="850"/>
          <w:tab w:val="left" w:pos="1134"/>
          <w:tab w:val="left" w:pos="1559"/>
          <w:tab w:val="left" w:pos="1984"/>
          <w:tab w:val="left" w:leader="dot" w:pos="8787"/>
          <w:tab w:val="right" w:pos="9638"/>
        </w:tabs>
        <w:spacing w:after="120"/>
      </w:pPr>
      <w:r w:rsidRPr="006D2E66">
        <w:tab/>
        <w:t>I.</w:t>
      </w:r>
      <w:r w:rsidRPr="006D2E66">
        <w:tab/>
      </w:r>
      <w:r w:rsidRPr="00ED657B">
        <w:t>Introducción y metodología</w:t>
      </w:r>
      <w:r>
        <w:tab/>
      </w:r>
      <w:r>
        <w:tab/>
      </w:r>
      <w:r w:rsidR="007F69C7">
        <w:t>4</w:t>
      </w:r>
    </w:p>
    <w:p w:rsidR="00ED657B" w:rsidRDefault="00ED657B" w:rsidP="00ED657B">
      <w:pPr>
        <w:tabs>
          <w:tab w:val="right" w:pos="850"/>
          <w:tab w:val="left" w:pos="1134"/>
          <w:tab w:val="left" w:pos="1559"/>
          <w:tab w:val="left" w:pos="1984"/>
          <w:tab w:val="left" w:leader="dot" w:pos="8787"/>
          <w:tab w:val="right" w:pos="9638"/>
        </w:tabs>
        <w:spacing w:after="120"/>
      </w:pPr>
      <w:r>
        <w:tab/>
        <w:t>II.</w:t>
      </w:r>
      <w:r>
        <w:tab/>
      </w:r>
      <w:r w:rsidR="00610A42" w:rsidRPr="00ED657B">
        <w:t>Artículos 1, 2 y 3 de la Convención</w:t>
      </w:r>
      <w:r w:rsidR="00610A42">
        <w:tab/>
      </w:r>
      <w:r w:rsidR="00610A42">
        <w:tab/>
        <w:t>5</w:t>
      </w:r>
    </w:p>
    <w:p w:rsidR="00610A42" w:rsidRDefault="00610A42" w:rsidP="00610A42">
      <w:pPr>
        <w:tabs>
          <w:tab w:val="right" w:pos="850"/>
          <w:tab w:val="left" w:pos="1134"/>
          <w:tab w:val="left" w:pos="1559"/>
          <w:tab w:val="left" w:pos="1843"/>
          <w:tab w:val="left" w:leader="dot" w:pos="8787"/>
          <w:tab w:val="right" w:pos="9645"/>
        </w:tabs>
        <w:spacing w:after="120"/>
      </w:pPr>
      <w:r>
        <w:tab/>
        <w:t>III.</w:t>
      </w:r>
      <w:r>
        <w:tab/>
      </w:r>
      <w:r w:rsidRPr="00ED657B">
        <w:t>Artículo 4</w:t>
      </w:r>
      <w:r>
        <w:tab/>
      </w:r>
      <w:r>
        <w:tab/>
        <w:t>8</w:t>
      </w:r>
    </w:p>
    <w:p w:rsidR="00610A42" w:rsidRDefault="00610A42" w:rsidP="00610A42">
      <w:pPr>
        <w:tabs>
          <w:tab w:val="right" w:pos="850"/>
          <w:tab w:val="left" w:pos="1134"/>
          <w:tab w:val="left" w:pos="1559"/>
          <w:tab w:val="left" w:pos="1843"/>
          <w:tab w:val="left" w:leader="dot" w:pos="8787"/>
          <w:tab w:val="right" w:pos="9659"/>
        </w:tabs>
        <w:spacing w:after="120"/>
      </w:pPr>
      <w:r>
        <w:tab/>
        <w:t>IV.</w:t>
      </w:r>
      <w:r>
        <w:tab/>
      </w:r>
      <w:r w:rsidRPr="00ED657B">
        <w:t>Artículo 5</w:t>
      </w:r>
      <w:r>
        <w:tab/>
      </w:r>
      <w:r>
        <w:tab/>
        <w:t>10</w:t>
      </w:r>
    </w:p>
    <w:p w:rsidR="00610A42" w:rsidRDefault="00610A42" w:rsidP="00EB7D84">
      <w:pPr>
        <w:tabs>
          <w:tab w:val="right" w:pos="850"/>
          <w:tab w:val="left" w:pos="1134"/>
          <w:tab w:val="left" w:pos="1559"/>
          <w:tab w:val="left" w:pos="1843"/>
          <w:tab w:val="left" w:leader="dot" w:pos="8787"/>
          <w:tab w:val="right" w:pos="9645"/>
        </w:tabs>
        <w:spacing w:after="120"/>
      </w:pPr>
      <w:r>
        <w:tab/>
        <w:t>V.</w:t>
      </w:r>
      <w:r>
        <w:tab/>
      </w:r>
      <w:r w:rsidR="00EB7D84" w:rsidRPr="00ED657B">
        <w:t>Artículo 6</w:t>
      </w:r>
      <w:r w:rsidR="00EB7D84">
        <w:tab/>
      </w:r>
      <w:r w:rsidR="00EB7D84">
        <w:tab/>
        <w:t>15</w:t>
      </w:r>
    </w:p>
    <w:p w:rsidR="00610A42" w:rsidRPr="00280A2B" w:rsidRDefault="00610A42" w:rsidP="00280A2B">
      <w:pPr>
        <w:tabs>
          <w:tab w:val="right" w:pos="850"/>
          <w:tab w:val="left" w:pos="1134"/>
          <w:tab w:val="left" w:pos="1559"/>
          <w:tab w:val="left" w:pos="1843"/>
          <w:tab w:val="left" w:leader="dot" w:pos="8787"/>
          <w:tab w:val="right" w:pos="9631"/>
        </w:tabs>
        <w:spacing w:after="120"/>
      </w:pPr>
      <w:r>
        <w:tab/>
        <w:t>VI.</w:t>
      </w:r>
      <w:r>
        <w:tab/>
      </w:r>
      <w:r w:rsidR="00ED657B" w:rsidRPr="00280A2B">
        <w:t>Artículo 7</w:t>
      </w:r>
      <w:r w:rsidR="00280A2B">
        <w:tab/>
      </w:r>
      <w:r w:rsidR="00280A2B">
        <w:tab/>
        <w:t>19</w:t>
      </w:r>
    </w:p>
    <w:p w:rsidR="00ED657B" w:rsidRPr="00610A42" w:rsidRDefault="00ED657B" w:rsidP="00ED657B">
      <w:r w:rsidRPr="00610A42">
        <w:br w:type="page"/>
      </w:r>
      <w:r>
        <w:rPr>
          <w:noProof/>
        </w:rPr>
        <w:lastRenderedPageBreak/>
        <w:drawing>
          <wp:inline distT="0" distB="0" distL="0" distR="0" wp14:anchorId="784B7FAC" wp14:editId="036DD2D6">
            <wp:extent cx="6113780" cy="8112760"/>
            <wp:effectExtent l="0" t="0" r="1270" b="2540"/>
            <wp:docPr id="5" name="Picture 5" descr="G:\TEMP\BITEXTOS JCK\Sin título-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TEMP\BITEXTOS JCK\Sin título-2.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113780" cy="8112760"/>
                    </a:xfrm>
                    <a:prstGeom prst="rect">
                      <a:avLst/>
                    </a:prstGeom>
                    <a:noFill/>
                    <a:ln>
                      <a:noFill/>
                    </a:ln>
                  </pic:spPr>
                </pic:pic>
              </a:graphicData>
            </a:graphic>
          </wp:inline>
        </w:drawing>
      </w:r>
    </w:p>
    <w:p w:rsidR="00ED657B" w:rsidRPr="00ED657B" w:rsidRDefault="001F45C4" w:rsidP="001F45C4">
      <w:pPr>
        <w:pStyle w:val="HChG"/>
      </w:pPr>
      <w:r>
        <w:lastRenderedPageBreak/>
        <w:tab/>
      </w:r>
      <w:r w:rsidR="00ED657B" w:rsidRPr="00ED657B">
        <w:t>I.</w:t>
      </w:r>
      <w:r w:rsidR="00ED657B" w:rsidRPr="00ED657B">
        <w:tab/>
        <w:t>Introducción y metodología</w:t>
      </w:r>
    </w:p>
    <w:p w:rsidR="00ED657B" w:rsidRPr="00ED657B" w:rsidRDefault="00ED657B" w:rsidP="001F45C4">
      <w:pPr>
        <w:pStyle w:val="SingleTxtG"/>
      </w:pPr>
      <w:r w:rsidRPr="00ED657B">
        <w:t>1.</w:t>
      </w:r>
      <w:r w:rsidRPr="00ED657B">
        <w:tab/>
        <w:t>La República de Djibouti</w:t>
      </w:r>
      <w:r w:rsidR="001F45C4">
        <w:t xml:space="preserve"> </w:t>
      </w:r>
      <w:r w:rsidRPr="00ED657B">
        <w:t>está situada</w:t>
      </w:r>
      <w:r w:rsidR="001F45C4">
        <w:t xml:space="preserve"> </w:t>
      </w:r>
      <w:r w:rsidRPr="00ED657B">
        <w:t>en el Cuerno de</w:t>
      </w:r>
      <w:r w:rsidR="001F45C4">
        <w:t xml:space="preserve"> </w:t>
      </w:r>
      <w:r w:rsidRPr="00ED657B">
        <w:t>África</w:t>
      </w:r>
      <w:r w:rsidR="001F45C4">
        <w:t xml:space="preserve">, </w:t>
      </w:r>
      <w:r w:rsidRPr="00ED657B">
        <w:t>en la entrada</w:t>
      </w:r>
      <w:r w:rsidR="001F45C4">
        <w:t xml:space="preserve"> </w:t>
      </w:r>
      <w:r w:rsidRPr="00ED657B">
        <w:t>del estrecho de</w:t>
      </w:r>
      <w:r w:rsidR="001F45C4">
        <w:t xml:space="preserve"> </w:t>
      </w:r>
      <w:r w:rsidRPr="00ED657B">
        <w:t>Bab</w:t>
      </w:r>
      <w:r w:rsidR="001F45C4">
        <w:t xml:space="preserve"> </w:t>
      </w:r>
      <w:r w:rsidRPr="00ED657B">
        <w:t>el-Mandeb</w:t>
      </w:r>
      <w:r w:rsidR="001F45C4">
        <w:t xml:space="preserve"> que da</w:t>
      </w:r>
      <w:r w:rsidRPr="00ED657B">
        <w:t xml:space="preserve"> al </w:t>
      </w:r>
      <w:r w:rsidR="00610A42" w:rsidRPr="00ED657B">
        <w:t>mar</w:t>
      </w:r>
      <w:r w:rsidR="00610A42">
        <w:t xml:space="preserve"> </w:t>
      </w:r>
      <w:r w:rsidRPr="00ED657B">
        <w:t>Rojo</w:t>
      </w:r>
      <w:r w:rsidR="001F45C4">
        <w:t xml:space="preserve"> </w:t>
      </w:r>
      <w:r w:rsidRPr="00ED657B">
        <w:t>y</w:t>
      </w:r>
      <w:r w:rsidR="001F45C4">
        <w:t xml:space="preserve"> </w:t>
      </w:r>
      <w:r w:rsidRPr="00ED657B">
        <w:t xml:space="preserve">el </w:t>
      </w:r>
      <w:r w:rsidR="00610A42" w:rsidRPr="00ED657B">
        <w:t xml:space="preserve">océano </w:t>
      </w:r>
      <w:r w:rsidRPr="00ED657B">
        <w:t>Índico.</w:t>
      </w:r>
    </w:p>
    <w:p w:rsidR="00ED657B" w:rsidRPr="00ED657B" w:rsidRDefault="00ED657B" w:rsidP="001F45C4">
      <w:pPr>
        <w:pStyle w:val="SingleTxtG"/>
      </w:pPr>
      <w:r w:rsidRPr="00ED657B">
        <w:t>2.</w:t>
      </w:r>
      <w:r w:rsidRPr="00ED657B">
        <w:tab/>
      </w:r>
      <w:r w:rsidR="001F45C4">
        <w:t>El país tiene una superficie de 23.000 km</w:t>
      </w:r>
      <w:r w:rsidR="001F45C4" w:rsidRPr="001F45C4">
        <w:rPr>
          <w:vertAlign w:val="superscript"/>
        </w:rPr>
        <w:t>2</w:t>
      </w:r>
      <w:r w:rsidR="001F45C4">
        <w:t xml:space="preserve"> y ocupa una posición geoestratégica importante. Limita</w:t>
      </w:r>
      <w:r w:rsidRPr="00ED657B">
        <w:t xml:space="preserve"> al norte con Eritrea, al oeste y al sur con Etiopía, al este y al sur con Somalia y al este con el Yem</w:t>
      </w:r>
      <w:r w:rsidR="001F45C4">
        <w:t>e</w:t>
      </w:r>
      <w:r w:rsidRPr="00ED657B">
        <w:t xml:space="preserve">n. La República está dividida en seis entidades administrativas: la ciudad de Djibouti, que es la capital y </w:t>
      </w:r>
      <w:r w:rsidR="001F45C4">
        <w:t>cuenta con</w:t>
      </w:r>
      <w:r w:rsidRPr="00ED657B">
        <w:t xml:space="preserve"> tres municipios (Boulaos, Ras Dika y Balbala), y las cinco regiones del interior: Dikhil, Tadjoura, Ali Sabieh Obock y Arta.</w:t>
      </w:r>
    </w:p>
    <w:p w:rsidR="00ED657B" w:rsidRDefault="00ED657B" w:rsidP="001F45C4">
      <w:pPr>
        <w:pStyle w:val="SingleTxtG"/>
      </w:pPr>
      <w:r w:rsidRPr="00ED657B">
        <w:t>3.</w:t>
      </w:r>
      <w:r w:rsidRPr="00ED657B">
        <w:tab/>
        <w:t xml:space="preserve">En el último censo, </w:t>
      </w:r>
      <w:r w:rsidR="00610A42">
        <w:t>de</w:t>
      </w:r>
      <w:r w:rsidRPr="00ED657B">
        <w:t xml:space="preserve"> 2009,</w:t>
      </w:r>
      <w:r w:rsidR="001F45C4">
        <w:t xml:space="preserve"> </w:t>
      </w:r>
      <w:r w:rsidRPr="00ED657B">
        <w:t>la población se elevaba a</w:t>
      </w:r>
      <w:r w:rsidR="001F45C4">
        <w:t> </w:t>
      </w:r>
      <w:r w:rsidRPr="00ED657B">
        <w:t>819.159</w:t>
      </w:r>
      <w:r w:rsidR="001F45C4">
        <w:t> </w:t>
      </w:r>
      <w:r w:rsidRPr="00ED657B">
        <w:t>habitantes</w:t>
      </w:r>
      <w:r w:rsidR="001F45C4">
        <w:t xml:space="preserve"> </w:t>
      </w:r>
      <w:r w:rsidRPr="00ED657B">
        <w:t>y</w:t>
      </w:r>
      <w:r w:rsidR="001F45C4">
        <w:t xml:space="preserve"> </w:t>
      </w:r>
      <w:r w:rsidRPr="00ED657B">
        <w:t>su distribución era</w:t>
      </w:r>
      <w:r w:rsidR="001F45C4">
        <w:t xml:space="preserve"> </w:t>
      </w:r>
      <w:r w:rsidRPr="00ED657B">
        <w:t>la siguiente</w:t>
      </w:r>
      <w:r w:rsidR="001F45C4">
        <w:t>.</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18"/>
        <w:gridCol w:w="934"/>
        <w:gridCol w:w="994"/>
        <w:gridCol w:w="1162"/>
        <w:gridCol w:w="1231"/>
        <w:gridCol w:w="812"/>
        <w:gridCol w:w="819"/>
      </w:tblGrid>
      <w:tr w:rsidR="001F45C4" w:rsidRPr="001F45C4" w:rsidTr="00610A42">
        <w:tc>
          <w:tcPr>
            <w:tcW w:w="1418" w:type="dxa"/>
            <w:tcBorders>
              <w:top w:val="single" w:sz="4" w:space="0" w:color="auto"/>
            </w:tcBorders>
            <w:shd w:val="clear" w:color="auto" w:fill="auto"/>
            <w:vAlign w:val="bottom"/>
          </w:tcPr>
          <w:p w:rsidR="001F45C4" w:rsidRPr="001F45C4" w:rsidRDefault="001F45C4" w:rsidP="001F45C4">
            <w:pPr>
              <w:pStyle w:val="SingleTxtG"/>
              <w:spacing w:before="80" w:after="80" w:line="200" w:lineRule="exact"/>
              <w:ind w:left="0" w:right="0"/>
              <w:jc w:val="left"/>
              <w:rPr>
                <w:i/>
                <w:sz w:val="16"/>
              </w:rPr>
            </w:pPr>
          </w:p>
        </w:tc>
        <w:tc>
          <w:tcPr>
            <w:tcW w:w="3090" w:type="dxa"/>
            <w:gridSpan w:val="3"/>
            <w:tcBorders>
              <w:top w:val="single" w:sz="4" w:space="0" w:color="auto"/>
              <w:bottom w:val="single" w:sz="4" w:space="0" w:color="auto"/>
            </w:tcBorders>
            <w:shd w:val="clear" w:color="auto" w:fill="auto"/>
            <w:vAlign w:val="bottom"/>
          </w:tcPr>
          <w:p w:rsidR="001F45C4" w:rsidRPr="001F45C4" w:rsidRDefault="001F45C4" w:rsidP="001F45C4">
            <w:pPr>
              <w:pStyle w:val="SingleTxtG"/>
              <w:spacing w:before="80" w:after="80" w:line="200" w:lineRule="exact"/>
              <w:ind w:left="0" w:right="0"/>
              <w:jc w:val="center"/>
              <w:rPr>
                <w:i/>
                <w:sz w:val="16"/>
              </w:rPr>
            </w:pPr>
            <w:r w:rsidRPr="001F45C4">
              <w:rPr>
                <w:i/>
                <w:sz w:val="16"/>
              </w:rPr>
              <w:t>Población urbana</w:t>
            </w:r>
          </w:p>
        </w:tc>
        <w:tc>
          <w:tcPr>
            <w:tcW w:w="1231" w:type="dxa"/>
            <w:tcBorders>
              <w:top w:val="single" w:sz="4" w:space="0" w:color="auto"/>
            </w:tcBorders>
            <w:shd w:val="clear" w:color="auto" w:fill="auto"/>
            <w:vAlign w:val="bottom"/>
          </w:tcPr>
          <w:p w:rsidR="001F45C4" w:rsidRPr="001F45C4" w:rsidRDefault="001F45C4" w:rsidP="001F45C4">
            <w:pPr>
              <w:pStyle w:val="SingleTxtG"/>
              <w:spacing w:before="80" w:after="80" w:line="200" w:lineRule="exact"/>
              <w:ind w:left="0" w:right="0"/>
              <w:jc w:val="right"/>
              <w:rPr>
                <w:i/>
                <w:sz w:val="16"/>
              </w:rPr>
            </w:pPr>
          </w:p>
        </w:tc>
        <w:tc>
          <w:tcPr>
            <w:tcW w:w="812" w:type="dxa"/>
            <w:tcBorders>
              <w:top w:val="single" w:sz="4" w:space="0" w:color="auto"/>
            </w:tcBorders>
            <w:shd w:val="clear" w:color="auto" w:fill="auto"/>
            <w:vAlign w:val="bottom"/>
          </w:tcPr>
          <w:p w:rsidR="001F45C4" w:rsidRPr="001F45C4" w:rsidRDefault="001F45C4" w:rsidP="001F45C4">
            <w:pPr>
              <w:pStyle w:val="SingleTxtG"/>
              <w:spacing w:before="80" w:after="80" w:line="200" w:lineRule="exact"/>
              <w:ind w:left="0" w:right="0"/>
              <w:jc w:val="right"/>
              <w:rPr>
                <w:i/>
                <w:sz w:val="16"/>
              </w:rPr>
            </w:pPr>
          </w:p>
        </w:tc>
        <w:tc>
          <w:tcPr>
            <w:tcW w:w="819" w:type="dxa"/>
            <w:tcBorders>
              <w:top w:val="single" w:sz="4" w:space="0" w:color="auto"/>
            </w:tcBorders>
            <w:shd w:val="clear" w:color="auto" w:fill="auto"/>
            <w:vAlign w:val="bottom"/>
          </w:tcPr>
          <w:p w:rsidR="001F45C4" w:rsidRPr="001F45C4" w:rsidRDefault="001F45C4" w:rsidP="001F45C4">
            <w:pPr>
              <w:pStyle w:val="SingleTxtG"/>
              <w:spacing w:before="80" w:after="80" w:line="200" w:lineRule="exact"/>
              <w:ind w:left="0" w:right="0"/>
              <w:jc w:val="right"/>
              <w:rPr>
                <w:i/>
                <w:sz w:val="16"/>
              </w:rPr>
            </w:pPr>
          </w:p>
        </w:tc>
      </w:tr>
      <w:tr w:rsidR="001F45C4" w:rsidRPr="001F45C4" w:rsidTr="00610A42">
        <w:tc>
          <w:tcPr>
            <w:tcW w:w="1418" w:type="dxa"/>
            <w:tcBorders>
              <w:bottom w:val="single" w:sz="12" w:space="0" w:color="auto"/>
            </w:tcBorders>
            <w:shd w:val="clear" w:color="auto" w:fill="auto"/>
            <w:vAlign w:val="bottom"/>
          </w:tcPr>
          <w:p w:rsidR="001F45C4" w:rsidRPr="001F45C4" w:rsidRDefault="001F45C4" w:rsidP="001F45C4">
            <w:pPr>
              <w:pStyle w:val="SingleTxtG"/>
              <w:spacing w:before="80" w:after="80" w:line="200" w:lineRule="exact"/>
              <w:ind w:left="0" w:right="0"/>
              <w:jc w:val="left"/>
              <w:rPr>
                <w:i/>
                <w:sz w:val="16"/>
              </w:rPr>
            </w:pPr>
            <w:r w:rsidRPr="001F45C4">
              <w:rPr>
                <w:i/>
                <w:sz w:val="16"/>
              </w:rPr>
              <w:t>Región</w:t>
            </w:r>
          </w:p>
        </w:tc>
        <w:tc>
          <w:tcPr>
            <w:tcW w:w="934" w:type="dxa"/>
            <w:tcBorders>
              <w:top w:val="single" w:sz="4" w:space="0" w:color="auto"/>
              <w:bottom w:val="single" w:sz="12" w:space="0" w:color="auto"/>
            </w:tcBorders>
            <w:shd w:val="clear" w:color="auto" w:fill="auto"/>
            <w:vAlign w:val="bottom"/>
          </w:tcPr>
          <w:p w:rsidR="001F45C4" w:rsidRPr="001F45C4" w:rsidRDefault="001F45C4" w:rsidP="00C5017A">
            <w:pPr>
              <w:pStyle w:val="SingleTxtG"/>
              <w:spacing w:before="80" w:after="80" w:line="200" w:lineRule="exact"/>
              <w:ind w:left="0" w:right="0"/>
              <w:jc w:val="right"/>
              <w:rPr>
                <w:i/>
                <w:sz w:val="16"/>
              </w:rPr>
            </w:pPr>
            <w:r w:rsidRPr="001F45C4">
              <w:rPr>
                <w:i/>
                <w:sz w:val="16"/>
              </w:rPr>
              <w:t xml:space="preserve">General </w:t>
            </w:r>
          </w:p>
        </w:tc>
        <w:tc>
          <w:tcPr>
            <w:tcW w:w="994" w:type="dxa"/>
            <w:tcBorders>
              <w:top w:val="single" w:sz="4" w:space="0" w:color="auto"/>
              <w:bottom w:val="single" w:sz="12" w:space="0" w:color="auto"/>
            </w:tcBorders>
            <w:shd w:val="clear" w:color="auto" w:fill="auto"/>
            <w:vAlign w:val="bottom"/>
          </w:tcPr>
          <w:p w:rsidR="001F45C4" w:rsidRPr="001F45C4" w:rsidRDefault="001F45C4" w:rsidP="00C5017A">
            <w:pPr>
              <w:pStyle w:val="SingleTxtG"/>
              <w:spacing w:before="80" w:after="80" w:line="200" w:lineRule="exact"/>
              <w:ind w:left="0" w:right="0"/>
              <w:jc w:val="right"/>
              <w:rPr>
                <w:i/>
                <w:sz w:val="16"/>
              </w:rPr>
            </w:pPr>
            <w:r w:rsidRPr="001F45C4">
              <w:rPr>
                <w:i/>
                <w:sz w:val="16"/>
              </w:rPr>
              <w:t xml:space="preserve">Específica </w:t>
            </w:r>
          </w:p>
        </w:tc>
        <w:tc>
          <w:tcPr>
            <w:tcW w:w="1162" w:type="dxa"/>
            <w:tcBorders>
              <w:top w:val="single" w:sz="4" w:space="0" w:color="auto"/>
              <w:bottom w:val="single" w:sz="12" w:space="0" w:color="auto"/>
            </w:tcBorders>
            <w:shd w:val="clear" w:color="auto" w:fill="auto"/>
            <w:vAlign w:val="bottom"/>
          </w:tcPr>
          <w:p w:rsidR="001F45C4" w:rsidRPr="001F45C4" w:rsidRDefault="001F45C4" w:rsidP="00C5017A">
            <w:pPr>
              <w:pStyle w:val="SingleTxtG"/>
              <w:spacing w:before="80" w:after="80" w:line="200" w:lineRule="exact"/>
              <w:ind w:left="0" w:right="0"/>
              <w:jc w:val="right"/>
              <w:rPr>
                <w:i/>
                <w:sz w:val="16"/>
              </w:rPr>
            </w:pPr>
            <w:r w:rsidRPr="001F45C4">
              <w:rPr>
                <w:i/>
                <w:sz w:val="16"/>
              </w:rPr>
              <w:t>Total población urbana</w:t>
            </w:r>
          </w:p>
        </w:tc>
        <w:tc>
          <w:tcPr>
            <w:tcW w:w="1231" w:type="dxa"/>
            <w:tcBorders>
              <w:bottom w:val="single" w:sz="12" w:space="0" w:color="auto"/>
            </w:tcBorders>
            <w:shd w:val="clear" w:color="auto" w:fill="auto"/>
            <w:vAlign w:val="bottom"/>
          </w:tcPr>
          <w:p w:rsidR="001F45C4" w:rsidRPr="001F45C4" w:rsidRDefault="001F45C4" w:rsidP="00C5017A">
            <w:pPr>
              <w:pStyle w:val="SingleTxtG"/>
              <w:spacing w:before="80" w:after="80" w:line="200" w:lineRule="exact"/>
              <w:ind w:left="0" w:right="0"/>
              <w:jc w:val="right"/>
              <w:rPr>
                <w:i/>
                <w:sz w:val="16"/>
              </w:rPr>
            </w:pPr>
            <w:r w:rsidRPr="001F45C4">
              <w:rPr>
                <w:i/>
                <w:sz w:val="16"/>
              </w:rPr>
              <w:t>Población rural sedentaria</w:t>
            </w:r>
          </w:p>
        </w:tc>
        <w:tc>
          <w:tcPr>
            <w:tcW w:w="812" w:type="dxa"/>
            <w:tcBorders>
              <w:bottom w:val="single" w:sz="12" w:space="0" w:color="auto"/>
            </w:tcBorders>
            <w:shd w:val="clear" w:color="auto" w:fill="auto"/>
            <w:vAlign w:val="bottom"/>
          </w:tcPr>
          <w:p w:rsidR="001F45C4" w:rsidRPr="001F45C4" w:rsidRDefault="001F45C4" w:rsidP="00C5017A">
            <w:pPr>
              <w:pStyle w:val="SingleTxtG"/>
              <w:spacing w:before="80" w:after="80" w:line="200" w:lineRule="exact"/>
              <w:ind w:left="0" w:right="0"/>
              <w:jc w:val="right"/>
              <w:rPr>
                <w:i/>
                <w:sz w:val="16"/>
              </w:rPr>
            </w:pPr>
            <w:r w:rsidRPr="001F45C4">
              <w:rPr>
                <w:i/>
                <w:sz w:val="16"/>
              </w:rPr>
              <w:t>Población nómada</w:t>
            </w:r>
          </w:p>
        </w:tc>
        <w:tc>
          <w:tcPr>
            <w:tcW w:w="819" w:type="dxa"/>
            <w:tcBorders>
              <w:bottom w:val="single" w:sz="12" w:space="0" w:color="auto"/>
            </w:tcBorders>
            <w:shd w:val="clear" w:color="auto" w:fill="auto"/>
            <w:vAlign w:val="bottom"/>
          </w:tcPr>
          <w:p w:rsidR="001F45C4" w:rsidRPr="001F45C4" w:rsidRDefault="001F45C4" w:rsidP="00C5017A">
            <w:pPr>
              <w:pStyle w:val="SingleTxtG"/>
              <w:spacing w:before="80" w:after="80" w:line="200" w:lineRule="exact"/>
              <w:ind w:left="0" w:right="0"/>
              <w:jc w:val="right"/>
              <w:rPr>
                <w:i/>
                <w:sz w:val="16"/>
              </w:rPr>
            </w:pPr>
            <w:r w:rsidRPr="001F45C4">
              <w:rPr>
                <w:i/>
                <w:sz w:val="16"/>
              </w:rPr>
              <w:t xml:space="preserve">Población </w:t>
            </w:r>
            <w:r w:rsidRPr="001F45C4">
              <w:rPr>
                <w:i/>
                <w:sz w:val="16"/>
              </w:rPr>
              <w:br/>
              <w:t>total</w:t>
            </w:r>
          </w:p>
        </w:tc>
      </w:tr>
      <w:tr w:rsidR="001F45C4" w:rsidRPr="001F45C4" w:rsidTr="00610A42">
        <w:tc>
          <w:tcPr>
            <w:tcW w:w="1418" w:type="dxa"/>
            <w:tcBorders>
              <w:top w:val="single" w:sz="12" w:space="0" w:color="auto"/>
            </w:tcBorders>
            <w:shd w:val="clear" w:color="auto" w:fill="auto"/>
          </w:tcPr>
          <w:p w:rsidR="001F45C4" w:rsidRPr="001F45C4" w:rsidRDefault="001F45C4" w:rsidP="00C5017A">
            <w:pPr>
              <w:pStyle w:val="SingleTxtG"/>
              <w:spacing w:before="40" w:after="40" w:line="220" w:lineRule="exact"/>
              <w:ind w:left="0" w:right="0"/>
              <w:jc w:val="left"/>
              <w:rPr>
                <w:sz w:val="18"/>
              </w:rPr>
            </w:pPr>
            <w:r w:rsidRPr="001F45C4">
              <w:rPr>
                <w:sz w:val="18"/>
              </w:rPr>
              <w:t>Ciudad de Djibouti</w:t>
            </w:r>
          </w:p>
        </w:tc>
        <w:tc>
          <w:tcPr>
            <w:tcW w:w="934" w:type="dxa"/>
            <w:tcBorders>
              <w:top w:val="single" w:sz="12" w:space="0" w:color="auto"/>
            </w:tcBorders>
            <w:shd w:val="clear" w:color="auto" w:fill="auto"/>
            <w:vAlign w:val="bottom"/>
          </w:tcPr>
          <w:p w:rsidR="001F45C4" w:rsidRPr="001F45C4" w:rsidRDefault="001F45C4" w:rsidP="00C5017A">
            <w:pPr>
              <w:pStyle w:val="SingleTxtG"/>
              <w:spacing w:before="40" w:after="40" w:line="220" w:lineRule="exact"/>
              <w:ind w:left="0" w:right="0"/>
              <w:jc w:val="right"/>
              <w:rPr>
                <w:sz w:val="18"/>
              </w:rPr>
            </w:pPr>
            <w:r w:rsidRPr="001F45C4">
              <w:rPr>
                <w:sz w:val="18"/>
              </w:rPr>
              <w:t>353 801</w:t>
            </w:r>
          </w:p>
        </w:tc>
        <w:tc>
          <w:tcPr>
            <w:tcW w:w="994" w:type="dxa"/>
            <w:tcBorders>
              <w:top w:val="single" w:sz="12" w:space="0" w:color="auto"/>
            </w:tcBorders>
            <w:shd w:val="clear" w:color="auto" w:fill="auto"/>
            <w:vAlign w:val="bottom"/>
          </w:tcPr>
          <w:p w:rsidR="001F45C4" w:rsidRPr="001F45C4" w:rsidRDefault="001F45C4" w:rsidP="00C5017A">
            <w:pPr>
              <w:pStyle w:val="SingleTxtG"/>
              <w:spacing w:before="40" w:after="40" w:line="220" w:lineRule="exact"/>
              <w:ind w:left="0" w:right="0"/>
              <w:jc w:val="right"/>
              <w:rPr>
                <w:sz w:val="18"/>
              </w:rPr>
            </w:pPr>
            <w:r w:rsidRPr="001F45C4">
              <w:rPr>
                <w:sz w:val="18"/>
              </w:rPr>
              <w:t>121 521</w:t>
            </w:r>
          </w:p>
        </w:tc>
        <w:tc>
          <w:tcPr>
            <w:tcW w:w="1162" w:type="dxa"/>
            <w:tcBorders>
              <w:top w:val="single" w:sz="12" w:space="0" w:color="auto"/>
            </w:tcBorders>
            <w:shd w:val="clear" w:color="auto" w:fill="auto"/>
            <w:vAlign w:val="bottom"/>
          </w:tcPr>
          <w:p w:rsidR="001F45C4" w:rsidRPr="001F45C4" w:rsidRDefault="001F45C4" w:rsidP="00C5017A">
            <w:pPr>
              <w:pStyle w:val="SingleTxtG"/>
              <w:spacing w:before="40" w:after="40" w:line="220" w:lineRule="exact"/>
              <w:ind w:left="0" w:right="0"/>
              <w:jc w:val="right"/>
              <w:rPr>
                <w:sz w:val="18"/>
              </w:rPr>
            </w:pPr>
            <w:r w:rsidRPr="001F45C4">
              <w:rPr>
                <w:sz w:val="18"/>
              </w:rPr>
              <w:t>475 322</w:t>
            </w:r>
          </w:p>
        </w:tc>
        <w:tc>
          <w:tcPr>
            <w:tcW w:w="1231" w:type="dxa"/>
            <w:tcBorders>
              <w:top w:val="single" w:sz="12" w:space="0" w:color="auto"/>
            </w:tcBorders>
            <w:shd w:val="clear" w:color="auto" w:fill="auto"/>
            <w:vAlign w:val="bottom"/>
          </w:tcPr>
          <w:p w:rsidR="001F45C4" w:rsidRPr="001F45C4" w:rsidRDefault="001F45C4" w:rsidP="00C5017A">
            <w:pPr>
              <w:pStyle w:val="SingleTxtG"/>
              <w:spacing w:before="40" w:after="40" w:line="220" w:lineRule="exact"/>
              <w:ind w:left="0" w:right="0"/>
              <w:jc w:val="right"/>
              <w:rPr>
                <w:sz w:val="18"/>
              </w:rPr>
            </w:pPr>
          </w:p>
        </w:tc>
        <w:tc>
          <w:tcPr>
            <w:tcW w:w="812" w:type="dxa"/>
            <w:tcBorders>
              <w:top w:val="single" w:sz="12" w:space="0" w:color="auto"/>
            </w:tcBorders>
            <w:shd w:val="clear" w:color="auto" w:fill="auto"/>
            <w:vAlign w:val="bottom"/>
          </w:tcPr>
          <w:p w:rsidR="001F45C4" w:rsidRPr="001F45C4" w:rsidRDefault="001F45C4" w:rsidP="00C5017A">
            <w:pPr>
              <w:pStyle w:val="SingleTxtG"/>
              <w:spacing w:before="40" w:after="40" w:line="220" w:lineRule="exact"/>
              <w:ind w:left="0" w:right="0"/>
              <w:jc w:val="right"/>
              <w:rPr>
                <w:sz w:val="18"/>
              </w:rPr>
            </w:pPr>
          </w:p>
        </w:tc>
        <w:tc>
          <w:tcPr>
            <w:tcW w:w="819" w:type="dxa"/>
            <w:tcBorders>
              <w:top w:val="single" w:sz="12" w:space="0" w:color="auto"/>
            </w:tcBorders>
            <w:shd w:val="clear" w:color="auto" w:fill="auto"/>
            <w:vAlign w:val="bottom"/>
          </w:tcPr>
          <w:p w:rsidR="001F45C4" w:rsidRPr="001F45C4" w:rsidRDefault="001F45C4" w:rsidP="00C5017A">
            <w:pPr>
              <w:pStyle w:val="SingleTxtG"/>
              <w:spacing w:before="40" w:after="40" w:line="220" w:lineRule="exact"/>
              <w:ind w:left="0" w:right="0"/>
              <w:jc w:val="right"/>
              <w:rPr>
                <w:sz w:val="18"/>
              </w:rPr>
            </w:pPr>
            <w:r w:rsidRPr="001F45C4">
              <w:rPr>
                <w:sz w:val="18"/>
              </w:rPr>
              <w:t>475 322</w:t>
            </w:r>
          </w:p>
        </w:tc>
      </w:tr>
      <w:tr w:rsidR="001F45C4" w:rsidRPr="001F45C4" w:rsidTr="00610A42">
        <w:tc>
          <w:tcPr>
            <w:tcW w:w="1418" w:type="dxa"/>
            <w:shd w:val="clear" w:color="auto" w:fill="auto"/>
          </w:tcPr>
          <w:p w:rsidR="001F45C4" w:rsidRPr="001F45C4" w:rsidRDefault="001F45C4" w:rsidP="00C5017A">
            <w:pPr>
              <w:pStyle w:val="SingleTxtG"/>
              <w:spacing w:before="40" w:after="40" w:line="220" w:lineRule="exact"/>
              <w:ind w:left="0" w:right="0"/>
              <w:jc w:val="left"/>
              <w:rPr>
                <w:sz w:val="18"/>
              </w:rPr>
            </w:pPr>
            <w:r w:rsidRPr="001F45C4">
              <w:rPr>
                <w:sz w:val="18"/>
              </w:rPr>
              <w:t>Ali Sabieh</w:t>
            </w:r>
          </w:p>
        </w:tc>
        <w:tc>
          <w:tcPr>
            <w:tcW w:w="934" w:type="dxa"/>
            <w:shd w:val="clear" w:color="auto" w:fill="auto"/>
            <w:vAlign w:val="bottom"/>
          </w:tcPr>
          <w:p w:rsidR="001F45C4" w:rsidRPr="001F45C4" w:rsidRDefault="001F45C4" w:rsidP="00C5017A">
            <w:pPr>
              <w:pStyle w:val="SingleTxtG"/>
              <w:spacing w:before="40" w:after="40" w:line="220" w:lineRule="exact"/>
              <w:ind w:left="0" w:right="0"/>
              <w:jc w:val="right"/>
              <w:rPr>
                <w:sz w:val="18"/>
              </w:rPr>
            </w:pPr>
            <w:r w:rsidRPr="001F45C4">
              <w:rPr>
                <w:sz w:val="18"/>
              </w:rPr>
              <w:t>22 630</w:t>
            </w:r>
          </w:p>
        </w:tc>
        <w:tc>
          <w:tcPr>
            <w:tcW w:w="994" w:type="dxa"/>
            <w:shd w:val="clear" w:color="auto" w:fill="auto"/>
            <w:vAlign w:val="bottom"/>
          </w:tcPr>
          <w:p w:rsidR="001F45C4" w:rsidRPr="001F45C4" w:rsidRDefault="001F45C4" w:rsidP="00C5017A">
            <w:pPr>
              <w:pStyle w:val="SingleTxtG"/>
              <w:spacing w:before="40" w:after="40" w:line="220" w:lineRule="exact"/>
              <w:ind w:left="0" w:right="0"/>
              <w:jc w:val="right"/>
              <w:rPr>
                <w:sz w:val="18"/>
              </w:rPr>
            </w:pPr>
            <w:r w:rsidRPr="001F45C4">
              <w:rPr>
                <w:sz w:val="18"/>
              </w:rPr>
              <w:t>15 309</w:t>
            </w:r>
          </w:p>
        </w:tc>
        <w:tc>
          <w:tcPr>
            <w:tcW w:w="1162" w:type="dxa"/>
            <w:shd w:val="clear" w:color="auto" w:fill="auto"/>
            <w:vAlign w:val="bottom"/>
          </w:tcPr>
          <w:p w:rsidR="001F45C4" w:rsidRPr="001F45C4" w:rsidRDefault="001F45C4" w:rsidP="00C5017A">
            <w:pPr>
              <w:pStyle w:val="SingleTxtG"/>
              <w:spacing w:before="40" w:after="40" w:line="220" w:lineRule="exact"/>
              <w:ind w:left="0" w:right="0"/>
              <w:jc w:val="right"/>
              <w:rPr>
                <w:sz w:val="18"/>
              </w:rPr>
            </w:pPr>
            <w:r w:rsidRPr="001F45C4">
              <w:rPr>
                <w:sz w:val="18"/>
              </w:rPr>
              <w:t>37 939</w:t>
            </w:r>
          </w:p>
        </w:tc>
        <w:tc>
          <w:tcPr>
            <w:tcW w:w="1231" w:type="dxa"/>
            <w:shd w:val="clear" w:color="auto" w:fill="auto"/>
            <w:vAlign w:val="bottom"/>
          </w:tcPr>
          <w:p w:rsidR="001F45C4" w:rsidRPr="001F45C4" w:rsidRDefault="001F45C4" w:rsidP="00C5017A">
            <w:pPr>
              <w:pStyle w:val="SingleTxtG"/>
              <w:spacing w:before="40" w:after="40" w:line="220" w:lineRule="exact"/>
              <w:ind w:left="0" w:right="0"/>
              <w:jc w:val="right"/>
              <w:rPr>
                <w:sz w:val="18"/>
              </w:rPr>
            </w:pPr>
            <w:r w:rsidRPr="001F45C4">
              <w:rPr>
                <w:sz w:val="18"/>
              </w:rPr>
              <w:t>11 977</w:t>
            </w:r>
          </w:p>
        </w:tc>
        <w:tc>
          <w:tcPr>
            <w:tcW w:w="812" w:type="dxa"/>
            <w:shd w:val="clear" w:color="auto" w:fill="auto"/>
            <w:vAlign w:val="bottom"/>
          </w:tcPr>
          <w:p w:rsidR="001F45C4" w:rsidRPr="001F45C4" w:rsidRDefault="001F45C4" w:rsidP="00C5017A">
            <w:pPr>
              <w:pStyle w:val="SingleTxtG"/>
              <w:spacing w:before="40" w:after="40" w:line="220" w:lineRule="exact"/>
              <w:ind w:left="0" w:right="0"/>
              <w:jc w:val="right"/>
              <w:rPr>
                <w:sz w:val="18"/>
              </w:rPr>
            </w:pPr>
            <w:r w:rsidRPr="001F45C4">
              <w:rPr>
                <w:sz w:val="18"/>
              </w:rPr>
              <w:t>37 033</w:t>
            </w:r>
          </w:p>
        </w:tc>
        <w:tc>
          <w:tcPr>
            <w:tcW w:w="819" w:type="dxa"/>
            <w:shd w:val="clear" w:color="auto" w:fill="auto"/>
            <w:vAlign w:val="bottom"/>
          </w:tcPr>
          <w:p w:rsidR="001F45C4" w:rsidRPr="001F45C4" w:rsidRDefault="001F45C4" w:rsidP="00C5017A">
            <w:pPr>
              <w:pStyle w:val="SingleTxtG"/>
              <w:spacing w:before="40" w:after="40" w:line="220" w:lineRule="exact"/>
              <w:ind w:left="0" w:right="0"/>
              <w:jc w:val="right"/>
              <w:rPr>
                <w:sz w:val="18"/>
              </w:rPr>
            </w:pPr>
            <w:r w:rsidRPr="001F45C4">
              <w:rPr>
                <w:sz w:val="18"/>
              </w:rPr>
              <w:t>86 949</w:t>
            </w:r>
          </w:p>
        </w:tc>
      </w:tr>
      <w:tr w:rsidR="001F45C4" w:rsidRPr="001F45C4" w:rsidTr="00610A42">
        <w:tc>
          <w:tcPr>
            <w:tcW w:w="1418" w:type="dxa"/>
            <w:shd w:val="clear" w:color="auto" w:fill="auto"/>
          </w:tcPr>
          <w:p w:rsidR="001F45C4" w:rsidRPr="001F45C4" w:rsidRDefault="001F45C4" w:rsidP="00C5017A">
            <w:pPr>
              <w:pStyle w:val="SingleTxtG"/>
              <w:spacing w:before="40" w:after="40" w:line="220" w:lineRule="exact"/>
              <w:ind w:left="0" w:right="0"/>
              <w:jc w:val="left"/>
              <w:rPr>
                <w:sz w:val="18"/>
              </w:rPr>
            </w:pPr>
            <w:r w:rsidRPr="001F45C4">
              <w:rPr>
                <w:sz w:val="18"/>
              </w:rPr>
              <w:t>Dikhil</w:t>
            </w:r>
          </w:p>
        </w:tc>
        <w:tc>
          <w:tcPr>
            <w:tcW w:w="934" w:type="dxa"/>
            <w:shd w:val="clear" w:color="auto" w:fill="auto"/>
            <w:vAlign w:val="bottom"/>
          </w:tcPr>
          <w:p w:rsidR="001F45C4" w:rsidRPr="001F45C4" w:rsidRDefault="001F45C4" w:rsidP="00C5017A">
            <w:pPr>
              <w:pStyle w:val="SingleTxtG"/>
              <w:spacing w:before="40" w:after="40" w:line="220" w:lineRule="exact"/>
              <w:ind w:left="0" w:right="0"/>
              <w:jc w:val="right"/>
              <w:rPr>
                <w:sz w:val="18"/>
              </w:rPr>
            </w:pPr>
            <w:r w:rsidRPr="001F45C4">
              <w:rPr>
                <w:sz w:val="18"/>
              </w:rPr>
              <w:t>19 347</w:t>
            </w:r>
          </w:p>
        </w:tc>
        <w:tc>
          <w:tcPr>
            <w:tcW w:w="994" w:type="dxa"/>
            <w:shd w:val="clear" w:color="auto" w:fill="auto"/>
            <w:vAlign w:val="bottom"/>
          </w:tcPr>
          <w:p w:rsidR="001F45C4" w:rsidRPr="001F45C4" w:rsidRDefault="001F45C4" w:rsidP="00C5017A">
            <w:pPr>
              <w:pStyle w:val="SingleTxtG"/>
              <w:spacing w:before="40" w:after="40" w:line="220" w:lineRule="exact"/>
              <w:ind w:left="0" w:right="0"/>
              <w:jc w:val="right"/>
              <w:rPr>
                <w:sz w:val="18"/>
              </w:rPr>
            </w:pPr>
            <w:r w:rsidRPr="001F45C4">
              <w:rPr>
                <w:sz w:val="18"/>
              </w:rPr>
              <w:t>5 539</w:t>
            </w:r>
          </w:p>
        </w:tc>
        <w:tc>
          <w:tcPr>
            <w:tcW w:w="1162" w:type="dxa"/>
            <w:shd w:val="clear" w:color="auto" w:fill="auto"/>
            <w:vAlign w:val="bottom"/>
          </w:tcPr>
          <w:p w:rsidR="001F45C4" w:rsidRPr="001F45C4" w:rsidRDefault="001F45C4" w:rsidP="00C5017A">
            <w:pPr>
              <w:pStyle w:val="SingleTxtG"/>
              <w:spacing w:before="40" w:after="40" w:line="220" w:lineRule="exact"/>
              <w:ind w:left="0" w:right="0"/>
              <w:jc w:val="right"/>
              <w:rPr>
                <w:sz w:val="18"/>
              </w:rPr>
            </w:pPr>
            <w:r w:rsidRPr="001F45C4">
              <w:rPr>
                <w:sz w:val="18"/>
              </w:rPr>
              <w:t>24 886</w:t>
            </w:r>
          </w:p>
        </w:tc>
        <w:tc>
          <w:tcPr>
            <w:tcW w:w="1231" w:type="dxa"/>
            <w:shd w:val="clear" w:color="auto" w:fill="auto"/>
            <w:vAlign w:val="bottom"/>
          </w:tcPr>
          <w:p w:rsidR="001F45C4" w:rsidRPr="001F45C4" w:rsidRDefault="001F45C4" w:rsidP="00C5017A">
            <w:pPr>
              <w:pStyle w:val="SingleTxtG"/>
              <w:spacing w:before="40" w:after="40" w:line="220" w:lineRule="exact"/>
              <w:ind w:left="0" w:right="0"/>
              <w:jc w:val="right"/>
              <w:rPr>
                <w:sz w:val="18"/>
              </w:rPr>
            </w:pPr>
            <w:r w:rsidRPr="001F45C4">
              <w:rPr>
                <w:sz w:val="18"/>
              </w:rPr>
              <w:t>22 510</w:t>
            </w:r>
          </w:p>
        </w:tc>
        <w:tc>
          <w:tcPr>
            <w:tcW w:w="812" w:type="dxa"/>
            <w:shd w:val="clear" w:color="auto" w:fill="auto"/>
            <w:vAlign w:val="bottom"/>
          </w:tcPr>
          <w:p w:rsidR="001F45C4" w:rsidRPr="001F45C4" w:rsidRDefault="001F45C4" w:rsidP="00C5017A">
            <w:pPr>
              <w:pStyle w:val="SingleTxtG"/>
              <w:spacing w:before="40" w:after="40" w:line="220" w:lineRule="exact"/>
              <w:ind w:left="0" w:right="0"/>
              <w:jc w:val="right"/>
              <w:rPr>
                <w:sz w:val="18"/>
              </w:rPr>
            </w:pPr>
            <w:r w:rsidRPr="001F45C4">
              <w:rPr>
                <w:sz w:val="18"/>
              </w:rPr>
              <w:t>41 552</w:t>
            </w:r>
          </w:p>
        </w:tc>
        <w:tc>
          <w:tcPr>
            <w:tcW w:w="819" w:type="dxa"/>
            <w:shd w:val="clear" w:color="auto" w:fill="auto"/>
            <w:vAlign w:val="bottom"/>
          </w:tcPr>
          <w:p w:rsidR="001F45C4" w:rsidRPr="001F45C4" w:rsidRDefault="001F45C4" w:rsidP="00C5017A">
            <w:pPr>
              <w:pStyle w:val="SingleTxtG"/>
              <w:spacing w:before="40" w:after="40" w:line="220" w:lineRule="exact"/>
              <w:ind w:left="0" w:right="0"/>
              <w:jc w:val="right"/>
              <w:rPr>
                <w:sz w:val="18"/>
              </w:rPr>
            </w:pPr>
            <w:r w:rsidRPr="001F45C4">
              <w:rPr>
                <w:sz w:val="18"/>
              </w:rPr>
              <w:t>88 948</w:t>
            </w:r>
          </w:p>
        </w:tc>
      </w:tr>
      <w:tr w:rsidR="001F45C4" w:rsidRPr="001F45C4" w:rsidTr="00610A42">
        <w:tc>
          <w:tcPr>
            <w:tcW w:w="1418" w:type="dxa"/>
            <w:shd w:val="clear" w:color="auto" w:fill="auto"/>
          </w:tcPr>
          <w:p w:rsidR="001F45C4" w:rsidRPr="001F45C4" w:rsidRDefault="001F45C4" w:rsidP="00C5017A">
            <w:pPr>
              <w:pStyle w:val="SingleTxtG"/>
              <w:spacing w:before="40" w:after="40" w:line="220" w:lineRule="exact"/>
              <w:ind w:left="0" w:right="0"/>
              <w:jc w:val="left"/>
              <w:rPr>
                <w:sz w:val="18"/>
              </w:rPr>
            </w:pPr>
            <w:r w:rsidRPr="001F45C4">
              <w:rPr>
                <w:sz w:val="18"/>
              </w:rPr>
              <w:t>Tadjoura</w:t>
            </w:r>
          </w:p>
        </w:tc>
        <w:tc>
          <w:tcPr>
            <w:tcW w:w="934" w:type="dxa"/>
            <w:shd w:val="clear" w:color="auto" w:fill="auto"/>
            <w:vAlign w:val="bottom"/>
          </w:tcPr>
          <w:p w:rsidR="001F45C4" w:rsidRPr="001F45C4" w:rsidRDefault="001F45C4" w:rsidP="00C5017A">
            <w:pPr>
              <w:pStyle w:val="SingleTxtG"/>
              <w:spacing w:before="40" w:after="40" w:line="220" w:lineRule="exact"/>
              <w:ind w:left="0" w:right="0"/>
              <w:jc w:val="right"/>
              <w:rPr>
                <w:sz w:val="18"/>
              </w:rPr>
            </w:pPr>
            <w:r w:rsidRPr="001F45C4">
              <w:rPr>
                <w:sz w:val="18"/>
              </w:rPr>
              <w:t>12 157</w:t>
            </w:r>
          </w:p>
        </w:tc>
        <w:tc>
          <w:tcPr>
            <w:tcW w:w="994" w:type="dxa"/>
            <w:shd w:val="clear" w:color="auto" w:fill="auto"/>
            <w:vAlign w:val="bottom"/>
          </w:tcPr>
          <w:p w:rsidR="001F45C4" w:rsidRPr="001F45C4" w:rsidRDefault="001F45C4" w:rsidP="00C5017A">
            <w:pPr>
              <w:pStyle w:val="SingleTxtG"/>
              <w:spacing w:before="40" w:after="40" w:line="220" w:lineRule="exact"/>
              <w:ind w:left="0" w:right="0"/>
              <w:jc w:val="right"/>
              <w:rPr>
                <w:sz w:val="18"/>
              </w:rPr>
            </w:pPr>
            <w:r w:rsidRPr="001F45C4">
              <w:rPr>
                <w:sz w:val="18"/>
              </w:rPr>
              <w:t>2 633</w:t>
            </w:r>
          </w:p>
        </w:tc>
        <w:tc>
          <w:tcPr>
            <w:tcW w:w="1162" w:type="dxa"/>
            <w:shd w:val="clear" w:color="auto" w:fill="auto"/>
            <w:vAlign w:val="bottom"/>
          </w:tcPr>
          <w:p w:rsidR="001F45C4" w:rsidRPr="001F45C4" w:rsidRDefault="001F45C4" w:rsidP="00C5017A">
            <w:pPr>
              <w:pStyle w:val="SingleTxtG"/>
              <w:spacing w:before="40" w:after="40" w:line="220" w:lineRule="exact"/>
              <w:ind w:left="0" w:right="0"/>
              <w:jc w:val="right"/>
              <w:rPr>
                <w:sz w:val="18"/>
              </w:rPr>
            </w:pPr>
            <w:r w:rsidRPr="001F45C4">
              <w:rPr>
                <w:sz w:val="18"/>
              </w:rPr>
              <w:t>14 820</w:t>
            </w:r>
          </w:p>
        </w:tc>
        <w:tc>
          <w:tcPr>
            <w:tcW w:w="1231" w:type="dxa"/>
            <w:shd w:val="clear" w:color="auto" w:fill="auto"/>
            <w:vAlign w:val="bottom"/>
          </w:tcPr>
          <w:p w:rsidR="001F45C4" w:rsidRPr="001F45C4" w:rsidRDefault="001F45C4" w:rsidP="00C5017A">
            <w:pPr>
              <w:pStyle w:val="SingleTxtG"/>
              <w:spacing w:before="40" w:after="40" w:line="220" w:lineRule="exact"/>
              <w:ind w:left="0" w:right="0"/>
              <w:jc w:val="right"/>
              <w:rPr>
                <w:sz w:val="18"/>
              </w:rPr>
            </w:pPr>
            <w:r w:rsidRPr="001F45C4">
              <w:rPr>
                <w:sz w:val="18"/>
              </w:rPr>
              <w:t>23 482</w:t>
            </w:r>
          </w:p>
        </w:tc>
        <w:tc>
          <w:tcPr>
            <w:tcW w:w="812" w:type="dxa"/>
            <w:shd w:val="clear" w:color="auto" w:fill="auto"/>
            <w:vAlign w:val="bottom"/>
          </w:tcPr>
          <w:p w:rsidR="001F45C4" w:rsidRPr="001F45C4" w:rsidRDefault="001F45C4" w:rsidP="00C5017A">
            <w:pPr>
              <w:pStyle w:val="SingleTxtG"/>
              <w:spacing w:before="40" w:after="40" w:line="220" w:lineRule="exact"/>
              <w:ind w:left="0" w:right="0"/>
              <w:jc w:val="right"/>
              <w:rPr>
                <w:sz w:val="18"/>
              </w:rPr>
            </w:pPr>
            <w:r w:rsidRPr="001F45C4">
              <w:rPr>
                <w:sz w:val="18"/>
              </w:rPr>
              <w:t>48 402</w:t>
            </w:r>
          </w:p>
        </w:tc>
        <w:tc>
          <w:tcPr>
            <w:tcW w:w="819" w:type="dxa"/>
            <w:shd w:val="clear" w:color="auto" w:fill="auto"/>
            <w:vAlign w:val="bottom"/>
          </w:tcPr>
          <w:p w:rsidR="001F45C4" w:rsidRPr="001F45C4" w:rsidRDefault="001F45C4" w:rsidP="00C5017A">
            <w:pPr>
              <w:pStyle w:val="SingleTxtG"/>
              <w:spacing w:before="40" w:after="40" w:line="220" w:lineRule="exact"/>
              <w:ind w:left="0" w:right="0"/>
              <w:jc w:val="right"/>
              <w:rPr>
                <w:sz w:val="18"/>
              </w:rPr>
            </w:pPr>
            <w:r w:rsidRPr="001F45C4">
              <w:rPr>
                <w:sz w:val="18"/>
              </w:rPr>
              <w:t>86 704</w:t>
            </w:r>
          </w:p>
        </w:tc>
      </w:tr>
      <w:tr w:rsidR="001F45C4" w:rsidRPr="001F45C4" w:rsidTr="00610A42">
        <w:tc>
          <w:tcPr>
            <w:tcW w:w="1418" w:type="dxa"/>
            <w:shd w:val="clear" w:color="auto" w:fill="auto"/>
          </w:tcPr>
          <w:p w:rsidR="001F45C4" w:rsidRPr="001F45C4" w:rsidRDefault="001F45C4" w:rsidP="00C5017A">
            <w:pPr>
              <w:pStyle w:val="SingleTxtG"/>
              <w:spacing w:before="40" w:after="40" w:line="220" w:lineRule="exact"/>
              <w:ind w:left="0" w:right="0"/>
              <w:jc w:val="left"/>
              <w:rPr>
                <w:sz w:val="18"/>
              </w:rPr>
            </w:pPr>
            <w:r w:rsidRPr="001F45C4">
              <w:rPr>
                <w:sz w:val="18"/>
              </w:rPr>
              <w:t>Obock</w:t>
            </w:r>
          </w:p>
        </w:tc>
        <w:tc>
          <w:tcPr>
            <w:tcW w:w="934" w:type="dxa"/>
            <w:shd w:val="clear" w:color="auto" w:fill="auto"/>
            <w:vAlign w:val="bottom"/>
          </w:tcPr>
          <w:p w:rsidR="001F45C4" w:rsidRPr="001F45C4" w:rsidRDefault="001F45C4" w:rsidP="00C5017A">
            <w:pPr>
              <w:pStyle w:val="SingleTxtG"/>
              <w:spacing w:before="40" w:after="40" w:line="220" w:lineRule="exact"/>
              <w:ind w:left="0" w:right="0"/>
              <w:jc w:val="right"/>
              <w:rPr>
                <w:sz w:val="18"/>
              </w:rPr>
            </w:pPr>
            <w:r w:rsidRPr="001F45C4">
              <w:rPr>
                <w:sz w:val="18"/>
              </w:rPr>
              <w:t>9 933</w:t>
            </w:r>
          </w:p>
        </w:tc>
        <w:tc>
          <w:tcPr>
            <w:tcW w:w="994" w:type="dxa"/>
            <w:shd w:val="clear" w:color="auto" w:fill="auto"/>
            <w:vAlign w:val="bottom"/>
          </w:tcPr>
          <w:p w:rsidR="001F45C4" w:rsidRPr="001F45C4" w:rsidRDefault="001F45C4" w:rsidP="00C5017A">
            <w:pPr>
              <w:pStyle w:val="SingleTxtG"/>
              <w:spacing w:before="40" w:after="40" w:line="220" w:lineRule="exact"/>
              <w:ind w:left="0" w:right="0"/>
              <w:jc w:val="right"/>
              <w:rPr>
                <w:sz w:val="18"/>
              </w:rPr>
            </w:pPr>
            <w:r w:rsidRPr="001F45C4">
              <w:rPr>
                <w:sz w:val="18"/>
              </w:rPr>
              <w:t>1 773</w:t>
            </w:r>
          </w:p>
        </w:tc>
        <w:tc>
          <w:tcPr>
            <w:tcW w:w="1162" w:type="dxa"/>
            <w:shd w:val="clear" w:color="auto" w:fill="auto"/>
            <w:vAlign w:val="bottom"/>
          </w:tcPr>
          <w:p w:rsidR="001F45C4" w:rsidRPr="001F45C4" w:rsidRDefault="001F45C4" w:rsidP="00C5017A">
            <w:pPr>
              <w:pStyle w:val="SingleTxtG"/>
              <w:spacing w:before="40" w:after="40" w:line="220" w:lineRule="exact"/>
              <w:ind w:left="0" w:right="0"/>
              <w:jc w:val="right"/>
              <w:rPr>
                <w:sz w:val="18"/>
              </w:rPr>
            </w:pPr>
            <w:r w:rsidRPr="001F45C4">
              <w:rPr>
                <w:sz w:val="18"/>
              </w:rPr>
              <w:t>11 706</w:t>
            </w:r>
          </w:p>
        </w:tc>
        <w:tc>
          <w:tcPr>
            <w:tcW w:w="1231" w:type="dxa"/>
            <w:shd w:val="clear" w:color="auto" w:fill="auto"/>
            <w:vAlign w:val="bottom"/>
          </w:tcPr>
          <w:p w:rsidR="001F45C4" w:rsidRPr="001F45C4" w:rsidRDefault="001F45C4" w:rsidP="00C5017A">
            <w:pPr>
              <w:pStyle w:val="SingleTxtG"/>
              <w:spacing w:before="40" w:after="40" w:line="220" w:lineRule="exact"/>
              <w:ind w:left="0" w:right="0"/>
              <w:jc w:val="right"/>
              <w:rPr>
                <w:sz w:val="18"/>
              </w:rPr>
            </w:pPr>
            <w:r w:rsidRPr="001F45C4">
              <w:rPr>
                <w:sz w:val="18"/>
              </w:rPr>
              <w:t>9 780</w:t>
            </w:r>
          </w:p>
        </w:tc>
        <w:tc>
          <w:tcPr>
            <w:tcW w:w="812" w:type="dxa"/>
            <w:shd w:val="clear" w:color="auto" w:fill="auto"/>
            <w:vAlign w:val="bottom"/>
          </w:tcPr>
          <w:p w:rsidR="001F45C4" w:rsidRPr="001F45C4" w:rsidRDefault="001F45C4" w:rsidP="00C5017A">
            <w:pPr>
              <w:pStyle w:val="SingleTxtG"/>
              <w:spacing w:before="40" w:after="40" w:line="220" w:lineRule="exact"/>
              <w:ind w:left="0" w:right="0"/>
              <w:jc w:val="right"/>
              <w:rPr>
                <w:sz w:val="18"/>
              </w:rPr>
            </w:pPr>
            <w:r w:rsidRPr="001F45C4">
              <w:rPr>
                <w:sz w:val="18"/>
              </w:rPr>
              <w:t>16 370</w:t>
            </w:r>
          </w:p>
        </w:tc>
        <w:tc>
          <w:tcPr>
            <w:tcW w:w="819" w:type="dxa"/>
            <w:shd w:val="clear" w:color="auto" w:fill="auto"/>
            <w:vAlign w:val="bottom"/>
          </w:tcPr>
          <w:p w:rsidR="001F45C4" w:rsidRPr="001F45C4" w:rsidRDefault="001F45C4" w:rsidP="00C5017A">
            <w:pPr>
              <w:pStyle w:val="SingleTxtG"/>
              <w:spacing w:before="40" w:after="40" w:line="220" w:lineRule="exact"/>
              <w:ind w:left="0" w:right="0"/>
              <w:jc w:val="right"/>
              <w:rPr>
                <w:sz w:val="18"/>
              </w:rPr>
            </w:pPr>
            <w:r w:rsidRPr="001F45C4">
              <w:rPr>
                <w:sz w:val="18"/>
              </w:rPr>
              <w:t>37 856</w:t>
            </w:r>
          </w:p>
        </w:tc>
      </w:tr>
      <w:tr w:rsidR="001F45C4" w:rsidRPr="001F45C4" w:rsidTr="00610A42">
        <w:tc>
          <w:tcPr>
            <w:tcW w:w="1418" w:type="dxa"/>
            <w:tcBorders>
              <w:bottom w:val="single" w:sz="4" w:space="0" w:color="auto"/>
            </w:tcBorders>
            <w:shd w:val="clear" w:color="auto" w:fill="auto"/>
          </w:tcPr>
          <w:p w:rsidR="001F45C4" w:rsidRPr="001F45C4" w:rsidRDefault="001F45C4" w:rsidP="00C5017A">
            <w:pPr>
              <w:pStyle w:val="SingleTxtG"/>
              <w:spacing w:before="40" w:after="40" w:line="220" w:lineRule="exact"/>
              <w:ind w:left="0" w:right="0"/>
              <w:jc w:val="left"/>
              <w:rPr>
                <w:sz w:val="18"/>
              </w:rPr>
            </w:pPr>
            <w:r w:rsidRPr="001F45C4">
              <w:rPr>
                <w:sz w:val="18"/>
              </w:rPr>
              <w:t>Arta</w:t>
            </w:r>
          </w:p>
        </w:tc>
        <w:tc>
          <w:tcPr>
            <w:tcW w:w="934" w:type="dxa"/>
            <w:tcBorders>
              <w:bottom w:val="single" w:sz="4" w:space="0" w:color="auto"/>
            </w:tcBorders>
            <w:shd w:val="clear" w:color="auto" w:fill="auto"/>
            <w:vAlign w:val="bottom"/>
          </w:tcPr>
          <w:p w:rsidR="001F45C4" w:rsidRPr="001F45C4" w:rsidRDefault="001F45C4" w:rsidP="00C5017A">
            <w:pPr>
              <w:pStyle w:val="SingleTxtG"/>
              <w:spacing w:before="40" w:after="40" w:line="220" w:lineRule="exact"/>
              <w:ind w:left="0" w:right="0"/>
              <w:jc w:val="right"/>
              <w:rPr>
                <w:sz w:val="18"/>
              </w:rPr>
            </w:pPr>
            <w:r w:rsidRPr="001F45C4">
              <w:rPr>
                <w:sz w:val="18"/>
              </w:rPr>
              <w:t>11 043</w:t>
            </w:r>
          </w:p>
        </w:tc>
        <w:tc>
          <w:tcPr>
            <w:tcW w:w="994" w:type="dxa"/>
            <w:tcBorders>
              <w:bottom w:val="single" w:sz="4" w:space="0" w:color="auto"/>
            </w:tcBorders>
            <w:shd w:val="clear" w:color="auto" w:fill="auto"/>
            <w:vAlign w:val="bottom"/>
          </w:tcPr>
          <w:p w:rsidR="001F45C4" w:rsidRPr="001F45C4" w:rsidRDefault="001F45C4" w:rsidP="00C5017A">
            <w:pPr>
              <w:pStyle w:val="SingleTxtG"/>
              <w:spacing w:before="40" w:after="40" w:line="220" w:lineRule="exact"/>
              <w:ind w:left="0" w:right="0"/>
              <w:jc w:val="right"/>
              <w:rPr>
                <w:sz w:val="18"/>
              </w:rPr>
            </w:pPr>
            <w:r w:rsidRPr="001F45C4">
              <w:rPr>
                <w:sz w:val="18"/>
              </w:rPr>
              <w:t>2</w:t>
            </w:r>
            <w:r>
              <w:rPr>
                <w:sz w:val="18"/>
              </w:rPr>
              <w:t xml:space="preserve"> </w:t>
            </w:r>
            <w:r w:rsidRPr="001F45C4">
              <w:rPr>
                <w:sz w:val="18"/>
              </w:rPr>
              <w:t>217</w:t>
            </w:r>
          </w:p>
        </w:tc>
        <w:tc>
          <w:tcPr>
            <w:tcW w:w="1162" w:type="dxa"/>
            <w:tcBorders>
              <w:bottom w:val="single" w:sz="4" w:space="0" w:color="auto"/>
            </w:tcBorders>
            <w:shd w:val="clear" w:color="auto" w:fill="auto"/>
            <w:vAlign w:val="bottom"/>
          </w:tcPr>
          <w:p w:rsidR="001F45C4" w:rsidRPr="001F45C4" w:rsidRDefault="001F45C4" w:rsidP="00C5017A">
            <w:pPr>
              <w:pStyle w:val="SingleTxtG"/>
              <w:spacing w:before="40" w:after="40" w:line="220" w:lineRule="exact"/>
              <w:ind w:left="0" w:right="0"/>
              <w:jc w:val="right"/>
              <w:rPr>
                <w:sz w:val="18"/>
              </w:rPr>
            </w:pPr>
            <w:r w:rsidRPr="001F45C4">
              <w:rPr>
                <w:sz w:val="18"/>
              </w:rPr>
              <w:t>13 260</w:t>
            </w:r>
          </w:p>
        </w:tc>
        <w:tc>
          <w:tcPr>
            <w:tcW w:w="1231" w:type="dxa"/>
            <w:tcBorders>
              <w:bottom w:val="single" w:sz="4" w:space="0" w:color="auto"/>
            </w:tcBorders>
            <w:shd w:val="clear" w:color="auto" w:fill="auto"/>
            <w:vAlign w:val="bottom"/>
          </w:tcPr>
          <w:p w:rsidR="001F45C4" w:rsidRPr="001F45C4" w:rsidRDefault="001F45C4" w:rsidP="00C5017A">
            <w:pPr>
              <w:pStyle w:val="SingleTxtG"/>
              <w:spacing w:before="40" w:after="40" w:line="220" w:lineRule="exact"/>
              <w:ind w:left="0" w:right="0"/>
              <w:jc w:val="right"/>
              <w:rPr>
                <w:sz w:val="18"/>
              </w:rPr>
            </w:pPr>
            <w:r w:rsidRPr="001F45C4">
              <w:rPr>
                <w:sz w:val="18"/>
              </w:rPr>
              <w:t>11 345</w:t>
            </w:r>
          </w:p>
        </w:tc>
        <w:tc>
          <w:tcPr>
            <w:tcW w:w="812" w:type="dxa"/>
            <w:tcBorders>
              <w:bottom w:val="single" w:sz="4" w:space="0" w:color="auto"/>
            </w:tcBorders>
            <w:shd w:val="clear" w:color="auto" w:fill="auto"/>
            <w:vAlign w:val="bottom"/>
          </w:tcPr>
          <w:p w:rsidR="001F45C4" w:rsidRPr="001F45C4" w:rsidRDefault="001F45C4" w:rsidP="00C5017A">
            <w:pPr>
              <w:pStyle w:val="SingleTxtG"/>
              <w:spacing w:before="40" w:after="40" w:line="220" w:lineRule="exact"/>
              <w:ind w:left="0" w:right="0"/>
              <w:jc w:val="right"/>
              <w:rPr>
                <w:sz w:val="18"/>
              </w:rPr>
            </w:pPr>
            <w:r w:rsidRPr="001F45C4">
              <w:rPr>
                <w:sz w:val="18"/>
              </w:rPr>
              <w:t>17 775</w:t>
            </w:r>
          </w:p>
        </w:tc>
        <w:tc>
          <w:tcPr>
            <w:tcW w:w="819" w:type="dxa"/>
            <w:tcBorders>
              <w:bottom w:val="single" w:sz="4" w:space="0" w:color="auto"/>
            </w:tcBorders>
            <w:shd w:val="clear" w:color="auto" w:fill="auto"/>
            <w:vAlign w:val="bottom"/>
          </w:tcPr>
          <w:p w:rsidR="001F45C4" w:rsidRPr="001F45C4" w:rsidRDefault="001F45C4" w:rsidP="00C5017A">
            <w:pPr>
              <w:pStyle w:val="SingleTxtG"/>
              <w:spacing w:before="40" w:after="40" w:line="220" w:lineRule="exact"/>
              <w:ind w:left="0" w:right="0"/>
              <w:jc w:val="right"/>
              <w:rPr>
                <w:sz w:val="18"/>
              </w:rPr>
            </w:pPr>
            <w:r w:rsidRPr="001F45C4">
              <w:rPr>
                <w:sz w:val="18"/>
              </w:rPr>
              <w:t>42 380</w:t>
            </w:r>
          </w:p>
        </w:tc>
      </w:tr>
      <w:tr w:rsidR="001F45C4" w:rsidRPr="001F45C4" w:rsidTr="00610A42">
        <w:tc>
          <w:tcPr>
            <w:tcW w:w="1418" w:type="dxa"/>
            <w:tcBorders>
              <w:top w:val="single" w:sz="4" w:space="0" w:color="auto"/>
              <w:bottom w:val="single" w:sz="12" w:space="0" w:color="auto"/>
            </w:tcBorders>
            <w:shd w:val="clear" w:color="auto" w:fill="auto"/>
          </w:tcPr>
          <w:p w:rsidR="001F45C4" w:rsidRPr="001F45C4" w:rsidRDefault="001F45C4" w:rsidP="001F45C4">
            <w:pPr>
              <w:pStyle w:val="SingleTxtG"/>
              <w:tabs>
                <w:tab w:val="left" w:pos="281"/>
              </w:tabs>
              <w:spacing w:before="80" w:after="80" w:line="220" w:lineRule="exact"/>
              <w:ind w:left="0" w:right="0"/>
              <w:jc w:val="left"/>
              <w:rPr>
                <w:b/>
                <w:sz w:val="18"/>
              </w:rPr>
            </w:pPr>
            <w:r>
              <w:rPr>
                <w:b/>
                <w:sz w:val="18"/>
              </w:rPr>
              <w:tab/>
            </w:r>
            <w:r w:rsidRPr="001F45C4">
              <w:rPr>
                <w:b/>
                <w:sz w:val="18"/>
              </w:rPr>
              <w:t>Total</w:t>
            </w:r>
          </w:p>
        </w:tc>
        <w:tc>
          <w:tcPr>
            <w:tcW w:w="934" w:type="dxa"/>
            <w:tcBorders>
              <w:top w:val="single" w:sz="4" w:space="0" w:color="auto"/>
              <w:bottom w:val="single" w:sz="12" w:space="0" w:color="auto"/>
            </w:tcBorders>
            <w:shd w:val="clear" w:color="auto" w:fill="auto"/>
            <w:vAlign w:val="bottom"/>
          </w:tcPr>
          <w:p w:rsidR="001F45C4" w:rsidRPr="001F45C4" w:rsidRDefault="001F45C4" w:rsidP="001F45C4">
            <w:pPr>
              <w:pStyle w:val="SingleTxtG"/>
              <w:spacing w:before="80" w:after="80" w:line="220" w:lineRule="exact"/>
              <w:ind w:left="0" w:right="0"/>
              <w:jc w:val="right"/>
              <w:rPr>
                <w:b/>
                <w:sz w:val="18"/>
              </w:rPr>
            </w:pPr>
            <w:r w:rsidRPr="001F45C4">
              <w:rPr>
                <w:b/>
                <w:sz w:val="18"/>
              </w:rPr>
              <w:t>428 911</w:t>
            </w:r>
          </w:p>
        </w:tc>
        <w:tc>
          <w:tcPr>
            <w:tcW w:w="994" w:type="dxa"/>
            <w:tcBorders>
              <w:top w:val="single" w:sz="4" w:space="0" w:color="auto"/>
              <w:bottom w:val="single" w:sz="12" w:space="0" w:color="auto"/>
            </w:tcBorders>
            <w:shd w:val="clear" w:color="auto" w:fill="auto"/>
            <w:vAlign w:val="bottom"/>
          </w:tcPr>
          <w:p w:rsidR="001F45C4" w:rsidRPr="001F45C4" w:rsidRDefault="001F45C4" w:rsidP="001F45C4">
            <w:pPr>
              <w:pStyle w:val="SingleTxtG"/>
              <w:spacing w:before="80" w:after="80" w:line="220" w:lineRule="exact"/>
              <w:ind w:left="0" w:right="0"/>
              <w:jc w:val="right"/>
              <w:rPr>
                <w:b/>
                <w:sz w:val="18"/>
              </w:rPr>
            </w:pPr>
            <w:r w:rsidRPr="001F45C4">
              <w:rPr>
                <w:b/>
                <w:sz w:val="18"/>
              </w:rPr>
              <w:t>149 022</w:t>
            </w:r>
          </w:p>
        </w:tc>
        <w:tc>
          <w:tcPr>
            <w:tcW w:w="1162" w:type="dxa"/>
            <w:tcBorders>
              <w:top w:val="single" w:sz="4" w:space="0" w:color="auto"/>
              <w:bottom w:val="single" w:sz="12" w:space="0" w:color="auto"/>
            </w:tcBorders>
            <w:shd w:val="clear" w:color="auto" w:fill="auto"/>
            <w:vAlign w:val="bottom"/>
          </w:tcPr>
          <w:p w:rsidR="001F45C4" w:rsidRPr="001F45C4" w:rsidRDefault="001F45C4" w:rsidP="001F45C4">
            <w:pPr>
              <w:pStyle w:val="SingleTxtG"/>
              <w:spacing w:before="80" w:after="80" w:line="220" w:lineRule="exact"/>
              <w:ind w:left="0" w:right="0"/>
              <w:jc w:val="right"/>
              <w:rPr>
                <w:b/>
                <w:sz w:val="18"/>
              </w:rPr>
            </w:pPr>
            <w:r w:rsidRPr="001F45C4">
              <w:rPr>
                <w:b/>
                <w:sz w:val="18"/>
              </w:rPr>
              <w:t>577 933</w:t>
            </w:r>
          </w:p>
        </w:tc>
        <w:tc>
          <w:tcPr>
            <w:tcW w:w="1231" w:type="dxa"/>
            <w:tcBorders>
              <w:top w:val="single" w:sz="4" w:space="0" w:color="auto"/>
              <w:bottom w:val="single" w:sz="12" w:space="0" w:color="auto"/>
            </w:tcBorders>
            <w:shd w:val="clear" w:color="auto" w:fill="auto"/>
            <w:vAlign w:val="bottom"/>
          </w:tcPr>
          <w:p w:rsidR="001F45C4" w:rsidRPr="001F45C4" w:rsidRDefault="001F45C4" w:rsidP="001F45C4">
            <w:pPr>
              <w:pStyle w:val="SingleTxtG"/>
              <w:spacing w:before="80" w:after="80" w:line="220" w:lineRule="exact"/>
              <w:ind w:left="0" w:right="0"/>
              <w:jc w:val="right"/>
              <w:rPr>
                <w:b/>
                <w:sz w:val="18"/>
              </w:rPr>
            </w:pPr>
            <w:r w:rsidRPr="001F45C4">
              <w:rPr>
                <w:b/>
                <w:sz w:val="18"/>
              </w:rPr>
              <w:t>79 094</w:t>
            </w:r>
          </w:p>
        </w:tc>
        <w:tc>
          <w:tcPr>
            <w:tcW w:w="812" w:type="dxa"/>
            <w:tcBorders>
              <w:top w:val="single" w:sz="4" w:space="0" w:color="auto"/>
              <w:bottom w:val="single" w:sz="12" w:space="0" w:color="auto"/>
            </w:tcBorders>
            <w:shd w:val="clear" w:color="auto" w:fill="auto"/>
            <w:vAlign w:val="bottom"/>
          </w:tcPr>
          <w:p w:rsidR="001F45C4" w:rsidRPr="001F45C4" w:rsidRDefault="001F45C4" w:rsidP="001F45C4">
            <w:pPr>
              <w:pStyle w:val="SingleTxtG"/>
              <w:spacing w:before="80" w:after="80" w:line="220" w:lineRule="exact"/>
              <w:ind w:left="0" w:right="0"/>
              <w:jc w:val="right"/>
              <w:rPr>
                <w:b/>
                <w:sz w:val="18"/>
              </w:rPr>
            </w:pPr>
            <w:r w:rsidRPr="001F45C4">
              <w:rPr>
                <w:b/>
                <w:sz w:val="18"/>
              </w:rPr>
              <w:t>161 132</w:t>
            </w:r>
          </w:p>
        </w:tc>
        <w:tc>
          <w:tcPr>
            <w:tcW w:w="819" w:type="dxa"/>
            <w:tcBorders>
              <w:top w:val="single" w:sz="4" w:space="0" w:color="auto"/>
              <w:bottom w:val="single" w:sz="12" w:space="0" w:color="auto"/>
            </w:tcBorders>
            <w:shd w:val="clear" w:color="auto" w:fill="auto"/>
            <w:vAlign w:val="bottom"/>
          </w:tcPr>
          <w:p w:rsidR="001F45C4" w:rsidRPr="001F45C4" w:rsidRDefault="001F45C4" w:rsidP="001F45C4">
            <w:pPr>
              <w:pStyle w:val="SingleTxtG"/>
              <w:spacing w:before="80" w:after="80" w:line="220" w:lineRule="exact"/>
              <w:ind w:left="0" w:right="0"/>
              <w:jc w:val="right"/>
              <w:rPr>
                <w:b/>
                <w:sz w:val="18"/>
              </w:rPr>
            </w:pPr>
            <w:r w:rsidRPr="001F45C4">
              <w:rPr>
                <w:b/>
                <w:sz w:val="18"/>
              </w:rPr>
              <w:t>818 159</w:t>
            </w:r>
          </w:p>
        </w:tc>
      </w:tr>
    </w:tbl>
    <w:p w:rsidR="00ED657B" w:rsidRPr="00ED657B" w:rsidRDefault="00ED657B" w:rsidP="001F45C4">
      <w:pPr>
        <w:pStyle w:val="SingleTxtG"/>
        <w:spacing w:before="240"/>
      </w:pPr>
      <w:r w:rsidRPr="00ED657B">
        <w:t>4.</w:t>
      </w:r>
      <w:r w:rsidRPr="00ED657B">
        <w:tab/>
        <w:t>La República de Djibouti ha ratificado</w:t>
      </w:r>
      <w:r w:rsidR="001F45C4">
        <w:t xml:space="preserve"> </w:t>
      </w:r>
      <w:r w:rsidRPr="00ED657B">
        <w:t>casi todos</w:t>
      </w:r>
      <w:r w:rsidR="001F45C4">
        <w:t xml:space="preserve"> </w:t>
      </w:r>
      <w:r w:rsidRPr="00ED657B">
        <w:t>los instrumentos</w:t>
      </w:r>
      <w:r w:rsidR="001F45C4">
        <w:t xml:space="preserve"> </w:t>
      </w:r>
      <w:r w:rsidRPr="00ED657B">
        <w:t>fundamentales</w:t>
      </w:r>
      <w:r w:rsidR="001F45C4">
        <w:t xml:space="preserve"> </w:t>
      </w:r>
      <w:r w:rsidRPr="00ED657B">
        <w:t>de derechos humanos</w:t>
      </w:r>
      <w:r w:rsidR="001F45C4">
        <w:t xml:space="preserve"> </w:t>
      </w:r>
      <w:r w:rsidRPr="00ED657B">
        <w:t>de las Naciones</w:t>
      </w:r>
      <w:r w:rsidR="001F45C4">
        <w:t xml:space="preserve"> </w:t>
      </w:r>
      <w:r w:rsidRPr="00ED657B">
        <w:t xml:space="preserve">Unidas. </w:t>
      </w:r>
      <w:r w:rsidR="001F45C4" w:rsidRPr="00ED657B">
        <w:t xml:space="preserve">Actualmente Djibouti es </w:t>
      </w:r>
      <w:r w:rsidRPr="00ED657B">
        <w:t>parte en los instrumentos siguientes:</w:t>
      </w:r>
    </w:p>
    <w:p w:rsidR="00ED657B" w:rsidRPr="00ED657B" w:rsidRDefault="00ED657B" w:rsidP="001F45C4">
      <w:pPr>
        <w:pStyle w:val="Bullet1G"/>
      </w:pPr>
      <w:r w:rsidRPr="00ED657B">
        <w:t>Convención sobre los Derechos del Niño (1990);</w:t>
      </w:r>
    </w:p>
    <w:p w:rsidR="00ED657B" w:rsidRPr="00ED657B" w:rsidRDefault="00ED657B" w:rsidP="001F45C4">
      <w:pPr>
        <w:pStyle w:val="Bullet1G"/>
      </w:pPr>
      <w:r w:rsidRPr="00ED657B">
        <w:t>Convención sobre la Eliminación de Todas las Formas de Discriminación contra la Mujer (1998);</w:t>
      </w:r>
    </w:p>
    <w:p w:rsidR="00ED657B" w:rsidRPr="00ED657B" w:rsidRDefault="00ED657B" w:rsidP="001F45C4">
      <w:pPr>
        <w:pStyle w:val="Bullet1G"/>
      </w:pPr>
      <w:r w:rsidRPr="00ED657B">
        <w:t>Pacto Internacional de Derechos Civiles y Políticos (2002);</w:t>
      </w:r>
    </w:p>
    <w:p w:rsidR="00ED657B" w:rsidRPr="00ED657B" w:rsidRDefault="00ED657B" w:rsidP="001F45C4">
      <w:pPr>
        <w:pStyle w:val="Bullet1G"/>
      </w:pPr>
      <w:r w:rsidRPr="00ED657B">
        <w:t>Pacto Internacional de Derechos Económicos, Sociales y Culturales (2002);</w:t>
      </w:r>
    </w:p>
    <w:p w:rsidR="00ED657B" w:rsidRPr="00ED657B" w:rsidRDefault="00ED657B" w:rsidP="001F45C4">
      <w:pPr>
        <w:pStyle w:val="Bullet1G"/>
      </w:pPr>
      <w:r w:rsidRPr="00ED657B">
        <w:t>Convención contra la Tortura y Otros Tratos o Penas Crueles, Inhumanos o Degradantes (2002);</w:t>
      </w:r>
    </w:p>
    <w:p w:rsidR="00ED657B" w:rsidRPr="00ED657B" w:rsidRDefault="00ED657B" w:rsidP="001F45C4">
      <w:pPr>
        <w:pStyle w:val="Bullet1G"/>
      </w:pPr>
      <w:r w:rsidRPr="00ED657B">
        <w:t>Convención sobre l</w:t>
      </w:r>
      <w:bookmarkStart w:id="0" w:name="_GoBack"/>
      <w:bookmarkEnd w:id="0"/>
      <w:r w:rsidRPr="00ED657B">
        <w:t>os Derechos de las Personas con Discapacidad (2010);</w:t>
      </w:r>
    </w:p>
    <w:p w:rsidR="00ED657B" w:rsidRPr="00ED657B" w:rsidRDefault="00ED657B" w:rsidP="001F45C4">
      <w:pPr>
        <w:pStyle w:val="Bullet1G"/>
      </w:pPr>
      <w:r w:rsidRPr="00ED657B">
        <w:t>Convención Internacional sobre la Eliminación de todas las Formas de Discriminación Racial (2011)</w:t>
      </w:r>
      <w:r w:rsidR="001F45C4">
        <w:t>.</w:t>
      </w:r>
    </w:p>
    <w:p w:rsidR="00ED657B" w:rsidRPr="00ED657B" w:rsidRDefault="00ED657B" w:rsidP="001F45C4">
      <w:pPr>
        <w:pStyle w:val="SingleTxtG"/>
      </w:pPr>
      <w:r w:rsidRPr="00ED657B">
        <w:t>5.</w:t>
      </w:r>
      <w:r w:rsidRPr="00ED657B">
        <w:tab/>
        <w:t xml:space="preserve">Nuestro país </w:t>
      </w:r>
      <w:r w:rsidR="001862AD">
        <w:t>ha entablado</w:t>
      </w:r>
      <w:r w:rsidRPr="00ED657B">
        <w:t xml:space="preserve"> consultas con miras a la ratificación de los dos instrumentos básicos de derechos hum</w:t>
      </w:r>
      <w:r w:rsidR="001F45C4">
        <w:t>a</w:t>
      </w:r>
      <w:r w:rsidRPr="00ED657B">
        <w:t>nos en los que aún no somos parte, a saber:</w:t>
      </w:r>
    </w:p>
    <w:p w:rsidR="00ED657B" w:rsidRPr="00ED657B" w:rsidRDefault="001862AD" w:rsidP="001862AD">
      <w:pPr>
        <w:pStyle w:val="Bullet1G"/>
      </w:pPr>
      <w:r>
        <w:t xml:space="preserve">La </w:t>
      </w:r>
      <w:r w:rsidR="00ED657B" w:rsidRPr="00ED657B">
        <w:t>Convención Internacional sobre la Protección de los Derechos de Todos los Trabajadores Migratorios y de sus Familiares, y</w:t>
      </w:r>
    </w:p>
    <w:p w:rsidR="00ED657B" w:rsidRPr="00ED657B" w:rsidRDefault="001862AD" w:rsidP="001862AD">
      <w:pPr>
        <w:pStyle w:val="Bullet1G"/>
      </w:pPr>
      <w:r>
        <w:t xml:space="preserve">La </w:t>
      </w:r>
      <w:r w:rsidR="00ED657B" w:rsidRPr="00ED657B">
        <w:t>Convención Internacional para la Protección de Todas las Personas contra las Desapariciones</w:t>
      </w:r>
      <w:r>
        <w:t xml:space="preserve"> Forzadas</w:t>
      </w:r>
      <w:r w:rsidR="00ED657B" w:rsidRPr="00ED657B">
        <w:t>.</w:t>
      </w:r>
    </w:p>
    <w:p w:rsidR="00ED657B" w:rsidRPr="00ED657B" w:rsidRDefault="00ED657B" w:rsidP="001862AD">
      <w:pPr>
        <w:pStyle w:val="SingleTxtG"/>
      </w:pPr>
      <w:r w:rsidRPr="00ED657B">
        <w:lastRenderedPageBreak/>
        <w:t>6.</w:t>
      </w:r>
      <w:r w:rsidRPr="00ED657B">
        <w:tab/>
        <w:t>Se han preparado informes periódicos sobre todos los</w:t>
      </w:r>
      <w:r w:rsidR="001862AD">
        <w:t xml:space="preserve"> </w:t>
      </w:r>
      <w:r w:rsidRPr="00ED657B">
        <w:t>instrumentos</w:t>
      </w:r>
      <w:r w:rsidR="001862AD">
        <w:t xml:space="preserve"> </w:t>
      </w:r>
      <w:r w:rsidRPr="00ED657B">
        <w:t>ratificados,</w:t>
      </w:r>
      <w:r w:rsidR="001862AD">
        <w:t xml:space="preserve"> </w:t>
      </w:r>
      <w:r w:rsidRPr="00ED657B">
        <w:t>salvo la Convención sobre</w:t>
      </w:r>
      <w:r w:rsidR="001862AD">
        <w:t xml:space="preserve"> </w:t>
      </w:r>
      <w:r w:rsidRPr="00ED657B">
        <w:t>la Eliminación</w:t>
      </w:r>
      <w:r w:rsidR="001862AD">
        <w:t xml:space="preserve"> </w:t>
      </w:r>
      <w:r w:rsidRPr="00ED657B">
        <w:t>de todas las Formas</w:t>
      </w:r>
      <w:r w:rsidR="001862AD">
        <w:t xml:space="preserve"> </w:t>
      </w:r>
      <w:r w:rsidRPr="00ED657B">
        <w:t>de Discriminación</w:t>
      </w:r>
      <w:r w:rsidR="001862AD">
        <w:t xml:space="preserve"> </w:t>
      </w:r>
      <w:r w:rsidRPr="00ED657B">
        <w:t xml:space="preserve">Racial. Por este motivo la República de Djibouti ha </w:t>
      </w:r>
      <w:r w:rsidR="001862AD">
        <w:t xml:space="preserve">empezado a preparar </w:t>
      </w:r>
      <w:r w:rsidRPr="00ED657B">
        <w:t xml:space="preserve">el informe sobre su aplicación. </w:t>
      </w:r>
    </w:p>
    <w:p w:rsidR="00ED657B" w:rsidRPr="00ED657B" w:rsidRDefault="00ED657B" w:rsidP="001862AD">
      <w:pPr>
        <w:pStyle w:val="SingleTxtG"/>
      </w:pPr>
      <w:r w:rsidRPr="00ED657B">
        <w:t>7.</w:t>
      </w:r>
      <w:r w:rsidRPr="00ED657B">
        <w:tab/>
        <w:t>El presente informe, que debe presentar todo</w:t>
      </w:r>
      <w:r w:rsidR="001862AD">
        <w:t xml:space="preserve"> </w:t>
      </w:r>
      <w:r w:rsidRPr="00ED657B">
        <w:t>Estado parte</w:t>
      </w:r>
      <w:r w:rsidR="001862AD">
        <w:t xml:space="preserve"> </w:t>
      </w:r>
      <w:r w:rsidRPr="00ED657B">
        <w:t>en virtud del artículo</w:t>
      </w:r>
      <w:r w:rsidR="001862AD">
        <w:t xml:space="preserve"> </w:t>
      </w:r>
      <w:r w:rsidRPr="00ED657B">
        <w:t>9 de la Convención,</w:t>
      </w:r>
      <w:r w:rsidR="001862AD">
        <w:t xml:space="preserve"> </w:t>
      </w:r>
      <w:r w:rsidRPr="00ED657B">
        <w:t>se preparó de conformidad con las</w:t>
      </w:r>
      <w:r w:rsidR="001862AD">
        <w:t xml:space="preserve"> </w:t>
      </w:r>
      <w:r w:rsidRPr="00ED657B">
        <w:t>directrices</w:t>
      </w:r>
      <w:r w:rsidR="001862AD">
        <w:t xml:space="preserve"> </w:t>
      </w:r>
      <w:r w:rsidRPr="00ED657B">
        <w:t xml:space="preserve">y </w:t>
      </w:r>
      <w:r w:rsidR="001862AD">
        <w:t xml:space="preserve">las </w:t>
      </w:r>
      <w:r w:rsidRPr="00ED657B">
        <w:t>distintas</w:t>
      </w:r>
      <w:r w:rsidR="001862AD">
        <w:t xml:space="preserve"> </w:t>
      </w:r>
      <w:r w:rsidRPr="00ED657B">
        <w:t>recomendaciones del</w:t>
      </w:r>
      <w:r w:rsidR="001862AD">
        <w:t xml:space="preserve"> </w:t>
      </w:r>
      <w:r w:rsidRPr="00ED657B">
        <w:t>Comité para la Eliminación</w:t>
      </w:r>
      <w:r w:rsidR="001862AD">
        <w:t xml:space="preserve"> </w:t>
      </w:r>
      <w:r w:rsidRPr="00ED657B">
        <w:t>de la Discriminación</w:t>
      </w:r>
      <w:r w:rsidR="001862AD">
        <w:t xml:space="preserve"> </w:t>
      </w:r>
      <w:r w:rsidRPr="00ED657B">
        <w:t>Racial.</w:t>
      </w:r>
    </w:p>
    <w:p w:rsidR="00ED657B" w:rsidRPr="00ED657B" w:rsidRDefault="00ED657B" w:rsidP="001862AD">
      <w:pPr>
        <w:pStyle w:val="SingleTxtG"/>
      </w:pPr>
      <w:r w:rsidRPr="00ED657B">
        <w:t>8.</w:t>
      </w:r>
      <w:r w:rsidRPr="00ED657B">
        <w:tab/>
      </w:r>
      <w:r w:rsidR="001862AD" w:rsidRPr="00ED657B">
        <w:t xml:space="preserve">Como </w:t>
      </w:r>
      <w:r w:rsidRPr="00ED657B">
        <w:t xml:space="preserve">ya ocurrió con los anteriores informes destinados a los órganos de tratados y el Consejo de Derechos Humanos, </w:t>
      </w:r>
      <w:r w:rsidR="001862AD" w:rsidRPr="00ED657B">
        <w:t>la preparación y elaboración del presente informe</w:t>
      </w:r>
      <w:r w:rsidR="001862AD">
        <w:t xml:space="preserve"> </w:t>
      </w:r>
      <w:r w:rsidRPr="00ED657B">
        <w:t xml:space="preserve">se </w:t>
      </w:r>
      <w:r w:rsidR="001862AD">
        <w:t>hicieron en</w:t>
      </w:r>
      <w:r w:rsidRPr="00ED657B">
        <w:t xml:space="preserve"> forma participativa e inclusiva.</w:t>
      </w:r>
    </w:p>
    <w:p w:rsidR="00ED657B" w:rsidRPr="00ED657B" w:rsidRDefault="00ED657B" w:rsidP="001862AD">
      <w:pPr>
        <w:pStyle w:val="SingleTxtG"/>
      </w:pPr>
      <w:r w:rsidRPr="00ED657B">
        <w:t>9.</w:t>
      </w:r>
      <w:r w:rsidRPr="00ED657B">
        <w:tab/>
        <w:t>Antes de iniciar la</w:t>
      </w:r>
      <w:r w:rsidR="001862AD">
        <w:t xml:space="preserve"> </w:t>
      </w:r>
      <w:r w:rsidRPr="00ED657B">
        <w:t>elaboración</w:t>
      </w:r>
      <w:r w:rsidR="001862AD">
        <w:t xml:space="preserve"> </w:t>
      </w:r>
      <w:r w:rsidRPr="00ED657B">
        <w:t>del informe,</w:t>
      </w:r>
      <w:r w:rsidR="001862AD">
        <w:t xml:space="preserve"> </w:t>
      </w:r>
      <w:r w:rsidRPr="00ED657B">
        <w:t>el comité</w:t>
      </w:r>
      <w:r w:rsidR="001862AD">
        <w:t xml:space="preserve"> </w:t>
      </w:r>
      <w:r w:rsidRPr="00ED657B">
        <w:t>interministerial encargado del proceso de</w:t>
      </w:r>
      <w:r w:rsidR="001862AD">
        <w:t xml:space="preserve"> </w:t>
      </w:r>
      <w:r w:rsidRPr="00ED657B">
        <w:t>redacción</w:t>
      </w:r>
      <w:r w:rsidR="001862AD">
        <w:t xml:space="preserve"> </w:t>
      </w:r>
      <w:r w:rsidRPr="00ED657B">
        <w:t>y presentación de</w:t>
      </w:r>
      <w:r w:rsidR="001862AD">
        <w:t xml:space="preserve"> </w:t>
      </w:r>
      <w:r w:rsidRPr="00ED657B">
        <w:t>informes a los órganos</w:t>
      </w:r>
      <w:r w:rsidR="001862AD">
        <w:t xml:space="preserve"> </w:t>
      </w:r>
      <w:r w:rsidRPr="00ED657B">
        <w:t>de tratados</w:t>
      </w:r>
      <w:r w:rsidR="001862AD">
        <w:t xml:space="preserve"> </w:t>
      </w:r>
      <w:r w:rsidRPr="00ED657B">
        <w:t>organizó,</w:t>
      </w:r>
      <w:r w:rsidR="001862AD">
        <w:t xml:space="preserve"> </w:t>
      </w:r>
      <w:r w:rsidRPr="00ED657B">
        <w:t>con el apoyo de</w:t>
      </w:r>
      <w:r w:rsidR="001862AD">
        <w:t xml:space="preserve"> </w:t>
      </w:r>
      <w:r w:rsidRPr="00ED657B">
        <w:t>la oficina regional</w:t>
      </w:r>
      <w:r w:rsidR="001862AD">
        <w:t xml:space="preserve"> </w:t>
      </w:r>
      <w:r w:rsidRPr="00ED657B">
        <w:t>del Alto</w:t>
      </w:r>
      <w:r w:rsidR="001862AD">
        <w:t xml:space="preserve"> </w:t>
      </w:r>
      <w:r w:rsidRPr="00ED657B">
        <w:t>Comisionado</w:t>
      </w:r>
      <w:r w:rsidR="001862AD">
        <w:t xml:space="preserve"> </w:t>
      </w:r>
      <w:r w:rsidRPr="00ED657B">
        <w:t>para los Derechos</w:t>
      </w:r>
      <w:r w:rsidR="001862AD">
        <w:t xml:space="preserve"> </w:t>
      </w:r>
      <w:r w:rsidRPr="00ED657B">
        <w:t>Humanos,</w:t>
      </w:r>
      <w:r w:rsidR="001862AD">
        <w:t xml:space="preserve"> </w:t>
      </w:r>
      <w:r w:rsidRPr="00ED657B">
        <w:t>dos</w:t>
      </w:r>
      <w:r w:rsidR="001862AD">
        <w:t xml:space="preserve"> </w:t>
      </w:r>
      <w:r w:rsidRPr="00ED657B">
        <w:t>talleres</w:t>
      </w:r>
      <w:r w:rsidR="001862AD">
        <w:t xml:space="preserve"> </w:t>
      </w:r>
      <w:r w:rsidRPr="00ED657B">
        <w:t>de formación</w:t>
      </w:r>
      <w:r w:rsidR="001862AD">
        <w:t xml:space="preserve"> acerca de</w:t>
      </w:r>
      <w:r w:rsidRPr="00ED657B">
        <w:t xml:space="preserve"> la</w:t>
      </w:r>
      <w:r w:rsidR="001862AD">
        <w:t xml:space="preserve"> </w:t>
      </w:r>
      <w:r w:rsidRPr="00ED657B">
        <w:t xml:space="preserve">Convención Internacional sobre la Eliminación de todas las Formas de Discriminación Racial. </w:t>
      </w:r>
    </w:p>
    <w:p w:rsidR="00ED657B" w:rsidRPr="00ED657B" w:rsidRDefault="00ED657B" w:rsidP="001862AD">
      <w:pPr>
        <w:pStyle w:val="SingleTxtG"/>
      </w:pPr>
      <w:r w:rsidRPr="00ED657B">
        <w:t>10.</w:t>
      </w:r>
      <w:r w:rsidRPr="00ED657B">
        <w:tab/>
        <w:t xml:space="preserve">El primer taller, que tuvo lugar el 29 y 30 de noviembre </w:t>
      </w:r>
      <w:r w:rsidR="001862AD">
        <w:t xml:space="preserve">de </w:t>
      </w:r>
      <w:r w:rsidRPr="00ED657B">
        <w:t xml:space="preserve">2015, estuvo dirigido a técnicos de la </w:t>
      </w:r>
      <w:r w:rsidR="001862AD" w:rsidRPr="00ED657B">
        <w:t>a</w:t>
      </w:r>
      <w:r w:rsidRPr="00ED657B">
        <w:t xml:space="preserve">dministración </w:t>
      </w:r>
      <w:r w:rsidR="001862AD" w:rsidRPr="00ED657B">
        <w:t>p</w:t>
      </w:r>
      <w:r w:rsidRPr="00ED657B">
        <w:t xml:space="preserve">ública y de las </w:t>
      </w:r>
      <w:r w:rsidR="001862AD">
        <w:t>colectividades</w:t>
      </w:r>
      <w:r w:rsidRPr="00ED657B">
        <w:t xml:space="preserve"> territoriales. En el segundo, que se celebró los días 1 y 2 de diciembre de 2015, participaron actores de la sociedad civil. Estos talleres</w:t>
      </w:r>
      <w:r w:rsidR="001862AD">
        <w:t xml:space="preserve"> </w:t>
      </w:r>
      <w:r w:rsidRPr="00ED657B">
        <w:t>nos</w:t>
      </w:r>
      <w:r w:rsidR="001862AD">
        <w:t xml:space="preserve"> </w:t>
      </w:r>
      <w:r w:rsidRPr="00ED657B">
        <w:t>permitieron por una parte</w:t>
      </w:r>
      <w:r w:rsidR="001862AD">
        <w:t xml:space="preserve"> </w:t>
      </w:r>
      <w:r w:rsidRPr="00ED657B">
        <w:t>formar</w:t>
      </w:r>
      <w:r w:rsidR="001862AD">
        <w:t xml:space="preserve"> </w:t>
      </w:r>
      <w:r w:rsidRPr="00ED657B">
        <w:t>a los participantes</w:t>
      </w:r>
      <w:r w:rsidR="001862AD">
        <w:t xml:space="preserve">, </w:t>
      </w:r>
      <w:r w:rsidRPr="00ED657B">
        <w:t xml:space="preserve">y por </w:t>
      </w:r>
      <w:r w:rsidR="001862AD">
        <w:t xml:space="preserve">la </w:t>
      </w:r>
      <w:r w:rsidRPr="00ED657B">
        <w:t>otra</w:t>
      </w:r>
      <w:r w:rsidR="001862AD">
        <w:t xml:space="preserve"> </w:t>
      </w:r>
      <w:r w:rsidRPr="00ED657B">
        <w:t>recopilar los datos</w:t>
      </w:r>
      <w:r w:rsidR="001862AD">
        <w:t xml:space="preserve"> </w:t>
      </w:r>
      <w:r w:rsidRPr="00ED657B">
        <w:t>sobre la aplicación</w:t>
      </w:r>
      <w:r w:rsidR="001862AD">
        <w:t xml:space="preserve"> </w:t>
      </w:r>
      <w:r w:rsidRPr="00ED657B">
        <w:t>de la</w:t>
      </w:r>
      <w:r w:rsidR="001862AD">
        <w:t xml:space="preserve"> </w:t>
      </w:r>
      <w:r w:rsidRPr="00ED657B">
        <w:t xml:space="preserve">Convención que </w:t>
      </w:r>
      <w:r w:rsidR="001862AD">
        <w:t>estaban</w:t>
      </w:r>
      <w:r w:rsidRPr="00ED657B">
        <w:t xml:space="preserve"> dispon</w:t>
      </w:r>
      <w:r w:rsidR="001862AD">
        <w:t>ibles</w:t>
      </w:r>
      <w:r w:rsidRPr="00ED657B">
        <w:t xml:space="preserve"> en cada sector</w:t>
      </w:r>
      <w:r w:rsidR="001862AD">
        <w:t xml:space="preserve"> </w:t>
      </w:r>
      <w:r w:rsidRPr="00ED657B">
        <w:t>representado.</w:t>
      </w:r>
    </w:p>
    <w:p w:rsidR="00ED657B" w:rsidRPr="00ED657B" w:rsidRDefault="00ED657B" w:rsidP="001862AD">
      <w:pPr>
        <w:pStyle w:val="SingleTxtG"/>
      </w:pPr>
      <w:r w:rsidRPr="00ED657B">
        <w:t>11.</w:t>
      </w:r>
      <w:r w:rsidRPr="00ED657B">
        <w:tab/>
        <w:t xml:space="preserve">Una vez </w:t>
      </w:r>
      <w:r w:rsidR="001862AD">
        <w:t>finalizada la</w:t>
      </w:r>
      <w:r w:rsidRPr="00ED657B">
        <w:t xml:space="preserve"> redacción, el informe fue validado a nivel nacional y </w:t>
      </w:r>
      <w:r w:rsidR="001862AD">
        <w:t>se sometió a la aprobación de</w:t>
      </w:r>
      <w:r w:rsidRPr="00ED657B">
        <w:t xml:space="preserve"> las más altas autoridades del país.</w:t>
      </w:r>
    </w:p>
    <w:p w:rsidR="00ED657B" w:rsidRPr="00ED657B" w:rsidRDefault="00ED657B" w:rsidP="001862AD">
      <w:pPr>
        <w:pStyle w:val="HChG"/>
      </w:pPr>
      <w:r w:rsidRPr="00ED657B">
        <w:tab/>
        <w:t>II.</w:t>
      </w:r>
      <w:r w:rsidRPr="00ED657B">
        <w:tab/>
        <w:t>Artículos 1, 2 y 3 de la Convención</w:t>
      </w:r>
    </w:p>
    <w:p w:rsidR="00ED657B" w:rsidRPr="00ED657B" w:rsidRDefault="00ED657B" w:rsidP="001862AD">
      <w:pPr>
        <w:pStyle w:val="SingleTxtG"/>
      </w:pPr>
      <w:r w:rsidRPr="00ED657B">
        <w:t>12.</w:t>
      </w:r>
      <w:r w:rsidRPr="00ED657B">
        <w:tab/>
        <w:t>La población de la República de Djibouti está constituida por distintas comunidades</w:t>
      </w:r>
      <w:r w:rsidR="001862AD">
        <w:t>,</w:t>
      </w:r>
      <w:r w:rsidRPr="00ED657B">
        <w:t xml:space="preserve"> </w:t>
      </w:r>
      <w:r w:rsidR="001862AD">
        <w:t xml:space="preserve">a saber, </w:t>
      </w:r>
      <w:r w:rsidRPr="00ED657B">
        <w:t xml:space="preserve">la afar, la somalí y la árabe. Estas tres comunidades </w:t>
      </w:r>
      <w:r w:rsidR="001862AD">
        <w:t xml:space="preserve">se encuentran </w:t>
      </w:r>
      <w:r w:rsidRPr="00ED657B">
        <w:t>también en países limítrofes, como Etiopía, Somalia y Kenya, en el caso de los somalís, en Etiopía y Eritrea, en el caso de los afar, y en el Yemen, en el caso de los árabes.</w:t>
      </w:r>
    </w:p>
    <w:p w:rsidR="00ED657B" w:rsidRPr="00ED657B" w:rsidRDefault="00ED657B" w:rsidP="001862AD">
      <w:pPr>
        <w:pStyle w:val="SingleTxtG"/>
      </w:pPr>
      <w:r w:rsidRPr="00ED657B">
        <w:t>13.</w:t>
      </w:r>
      <w:r w:rsidRPr="00ED657B">
        <w:tab/>
      </w:r>
      <w:r w:rsidR="001862AD">
        <w:t>Por</w:t>
      </w:r>
      <w:r w:rsidRPr="00ED657B">
        <w:t xml:space="preserve"> su salida al </w:t>
      </w:r>
      <w:r w:rsidR="00610A42" w:rsidRPr="00ED657B">
        <w:t xml:space="preserve">mar </w:t>
      </w:r>
      <w:r w:rsidRPr="00ED657B">
        <w:t xml:space="preserve">Rojo y la </w:t>
      </w:r>
      <w:r w:rsidR="001862AD">
        <w:t>presencia</w:t>
      </w:r>
      <w:r w:rsidRPr="00ED657B">
        <w:t xml:space="preserve"> del puerto de Djibouti, </w:t>
      </w:r>
      <w:r w:rsidR="001862AD">
        <w:t>pero también por sus antecedentes históricos</w:t>
      </w:r>
      <w:r w:rsidRPr="00ED657B">
        <w:t xml:space="preserve"> como colonia francesa, el país </w:t>
      </w:r>
      <w:r w:rsidR="001862AD">
        <w:t>acogió</w:t>
      </w:r>
      <w:r w:rsidRPr="00ED657B">
        <w:t xml:space="preserve"> a numerosos ciudadanos de Europa (franceses, griegos, italianos y armenios), la India, Madagascar y otros países. Sus descendientes siguen residiendo en </w:t>
      </w:r>
      <w:r w:rsidR="001862AD">
        <w:t>el</w:t>
      </w:r>
      <w:r w:rsidRPr="00ED657B">
        <w:t xml:space="preserve"> territorio.</w:t>
      </w:r>
    </w:p>
    <w:p w:rsidR="00ED657B" w:rsidRPr="00ED657B" w:rsidRDefault="00ED657B" w:rsidP="001862AD">
      <w:pPr>
        <w:pStyle w:val="SingleTxtG"/>
      </w:pPr>
      <w:r w:rsidRPr="00ED657B">
        <w:t>14.</w:t>
      </w:r>
      <w:r w:rsidRPr="00ED657B">
        <w:tab/>
        <w:t xml:space="preserve">La población de Djibouti es mayoritariamente (99%) de confesión musulmana y la Constitución </w:t>
      </w:r>
      <w:r w:rsidR="001862AD">
        <w:t>proclama al</w:t>
      </w:r>
      <w:r w:rsidRPr="00ED657B">
        <w:t xml:space="preserve"> islam </w:t>
      </w:r>
      <w:r w:rsidR="001862AD">
        <w:t>como</w:t>
      </w:r>
      <w:r w:rsidRPr="00ED657B">
        <w:t xml:space="preserve"> religión del Estado. No obstante, en la ciudad de Djibouti se practican otros cultos.</w:t>
      </w:r>
    </w:p>
    <w:p w:rsidR="00ED657B" w:rsidRPr="00ED657B" w:rsidRDefault="00ED657B" w:rsidP="001862AD">
      <w:pPr>
        <w:pStyle w:val="SingleTxtG"/>
      </w:pPr>
      <w:r w:rsidRPr="00ED657B">
        <w:t>15.</w:t>
      </w:r>
      <w:r w:rsidRPr="00ED657B">
        <w:tab/>
        <w:t xml:space="preserve">Los idiomas oficiales son el francés y el árabe, mientras que el somalí y el afar, que pertenecen al grupo cushítico, son las principales lenguas nacionales habladas en el país. Si bien se ha aprobado la enseñanza de las lenguas nacionales, </w:t>
      </w:r>
      <w:r w:rsidR="001862AD">
        <w:t>en la práctica</w:t>
      </w:r>
      <w:r w:rsidRPr="00ED657B">
        <w:t xml:space="preserve"> se encuentra aún en estado embrionario. </w:t>
      </w:r>
    </w:p>
    <w:p w:rsidR="00ED657B" w:rsidRPr="00ED657B" w:rsidRDefault="00ED657B" w:rsidP="001862AD">
      <w:pPr>
        <w:pStyle w:val="SingleTxtG"/>
      </w:pPr>
      <w:r w:rsidRPr="00ED657B">
        <w:t>16.</w:t>
      </w:r>
      <w:r w:rsidRPr="00ED657B">
        <w:tab/>
      </w:r>
      <w:r w:rsidR="001862AD">
        <w:t>Se recogen</w:t>
      </w:r>
      <w:r w:rsidRPr="00ED657B">
        <w:t xml:space="preserve"> datos sobre la pertenencia étnica</w:t>
      </w:r>
      <w:r w:rsidR="00ED75E8">
        <w:t>,</w:t>
      </w:r>
      <w:r w:rsidRPr="00ED657B">
        <w:t xml:space="preserve"> principalmente cuando se realizan el censo y las distintas encuestas y cuando se expide la tarjeta nacional de identidad. </w:t>
      </w:r>
      <w:r w:rsidR="00ED75E8">
        <w:t>Para</w:t>
      </w:r>
      <w:r w:rsidRPr="00ED657B">
        <w:t xml:space="preserve"> evitar, </w:t>
      </w:r>
      <w:r w:rsidR="00ED75E8">
        <w:t>entre otras cosas</w:t>
      </w:r>
      <w:r w:rsidRPr="00ED657B">
        <w:t xml:space="preserve">, un uso tendencioso de ellos, el Estado parte prefiere no publicar esos datos. </w:t>
      </w:r>
    </w:p>
    <w:p w:rsidR="00ED657B" w:rsidRPr="00ED657B" w:rsidRDefault="00ED657B" w:rsidP="00132397">
      <w:pPr>
        <w:pStyle w:val="SingleTxtG"/>
      </w:pPr>
      <w:r w:rsidRPr="00ED657B">
        <w:t>17.</w:t>
      </w:r>
      <w:r w:rsidRPr="00ED657B">
        <w:tab/>
        <w:t xml:space="preserve">En la distribución de escaños de la Asamblea Nacional se tiene en cuenta el equilibrio entre comunidades y regiones. Se trata de una norma no escrita, pero que concita </w:t>
      </w:r>
      <w:r w:rsidRPr="00ED657B">
        <w:lastRenderedPageBreak/>
        <w:t xml:space="preserve">un consenso nacional, ya que ningún partido político, ni de </w:t>
      </w:r>
      <w:r w:rsidR="00132397">
        <w:t>la mayoría</w:t>
      </w:r>
      <w:r w:rsidRPr="00ED657B">
        <w:t xml:space="preserve"> ni de </w:t>
      </w:r>
      <w:r w:rsidR="00132397">
        <w:t xml:space="preserve">la </w:t>
      </w:r>
      <w:r w:rsidRPr="00ED657B">
        <w:t>oposición</w:t>
      </w:r>
      <w:r w:rsidR="00132397">
        <w:t>,</w:t>
      </w:r>
      <w:r w:rsidRPr="00ED657B">
        <w:t xml:space="preserve"> la cuestiona.</w:t>
      </w:r>
    </w:p>
    <w:p w:rsidR="00ED657B" w:rsidRPr="00ED657B" w:rsidRDefault="00ED657B" w:rsidP="00132397">
      <w:pPr>
        <w:pStyle w:val="SingleTxtG"/>
      </w:pPr>
      <w:r w:rsidRPr="00ED657B">
        <w:t>18.</w:t>
      </w:r>
      <w:r w:rsidRPr="00ED657B">
        <w:tab/>
        <w:t xml:space="preserve">No </w:t>
      </w:r>
      <w:r w:rsidR="00132397">
        <w:t>existe</w:t>
      </w:r>
      <w:r w:rsidRPr="00ED657B">
        <w:t xml:space="preserve"> discriminación alguna en la adquisición de la nacionalidad del Estado parte, que está regulada por el Código de la Nacionalidad, promulgado el 24 de octubre de 2004. Con independencia del origen del solicitante, la ley otorga la nacionalidad a los niños o personas cuando uno al menos de sus progenitores tiene la nacionalidad de Djibouti.</w:t>
      </w:r>
    </w:p>
    <w:p w:rsidR="00ED657B" w:rsidRPr="00ED657B" w:rsidRDefault="00ED657B" w:rsidP="00132397">
      <w:pPr>
        <w:pStyle w:val="SingleTxtG"/>
      </w:pPr>
      <w:r w:rsidRPr="00ED657B">
        <w:t>19.</w:t>
      </w:r>
      <w:r w:rsidRPr="00ED657B">
        <w:tab/>
        <w:t>Con el fin de evitar la apatridia, la ley otorga la nacionalidad a los niños nacidos en Djibouti de padres desconocidos.</w:t>
      </w:r>
    </w:p>
    <w:p w:rsidR="00ED657B" w:rsidRPr="00ED657B" w:rsidRDefault="00ED657B" w:rsidP="00132397">
      <w:pPr>
        <w:pStyle w:val="SingleTxtG"/>
      </w:pPr>
      <w:r w:rsidRPr="00ED657B">
        <w:t>20.</w:t>
      </w:r>
      <w:r w:rsidRPr="00ED657B">
        <w:tab/>
        <w:t xml:space="preserve">Además, la ley de Djibouti reconoce la adquisición de la nacionalidad por naturalización. </w:t>
      </w:r>
      <w:r w:rsidR="00132397" w:rsidRPr="00ED657B">
        <w:t>Pueden acogerse a esta posibilidad l</w:t>
      </w:r>
      <w:r w:rsidRPr="00ED657B">
        <w:t>os extranjeros que lleven residiendo de manera habitual al menos diez años en la República de Djibouti.</w:t>
      </w:r>
    </w:p>
    <w:p w:rsidR="00ED657B" w:rsidRPr="00ED657B" w:rsidRDefault="00ED657B" w:rsidP="00132397">
      <w:pPr>
        <w:pStyle w:val="SingleTxtG"/>
      </w:pPr>
      <w:r w:rsidRPr="00ED657B">
        <w:t>21.</w:t>
      </w:r>
      <w:r w:rsidRPr="00ED657B">
        <w:tab/>
        <w:t xml:space="preserve">Este plazo puede reducirse a cinco años cuando el o la solicitante ha contraído matrimonio con un o una nacional de Djibouti y la pareja tiene al menos un hijo. </w:t>
      </w:r>
      <w:r w:rsidR="00132397" w:rsidRPr="00ED657B">
        <w:t xml:space="preserve">Esta medida </w:t>
      </w:r>
      <w:r w:rsidR="00132397">
        <w:t xml:space="preserve">no constituye </w:t>
      </w:r>
      <w:r w:rsidR="00132397" w:rsidRPr="00ED657B">
        <w:t>e</w:t>
      </w:r>
      <w:r w:rsidRPr="00ED657B">
        <w:t xml:space="preserve">n modo alguno un trato discriminatorio en </w:t>
      </w:r>
      <w:r w:rsidR="00132397">
        <w:t>relación</w:t>
      </w:r>
      <w:r w:rsidRPr="00ED657B">
        <w:t xml:space="preserve"> con los matrimonios </w:t>
      </w:r>
      <w:r w:rsidR="00132397">
        <w:t>“</w:t>
      </w:r>
      <w:r w:rsidRPr="00ED657B">
        <w:t>mixtos</w:t>
      </w:r>
      <w:r w:rsidR="00132397">
        <w:t>”</w:t>
      </w:r>
      <w:r w:rsidRPr="00ED657B">
        <w:t xml:space="preserve"> sin hijos, sino que </w:t>
      </w:r>
      <w:r w:rsidR="00132397">
        <w:t xml:space="preserve">lo que se quiere </w:t>
      </w:r>
      <w:r w:rsidR="00132397" w:rsidRPr="00ED657B">
        <w:t>sobre todo</w:t>
      </w:r>
      <w:r w:rsidR="00132397">
        <w:t xml:space="preserve"> es</w:t>
      </w:r>
      <w:r w:rsidRPr="00ED657B">
        <w:t xml:space="preserve"> proteger a los hijos de conformidad con lo dispuesto en la Convención sobre los Derechos de</w:t>
      </w:r>
      <w:r w:rsidR="00610A42">
        <w:t>l</w:t>
      </w:r>
      <w:r w:rsidRPr="00ED657B">
        <w:t xml:space="preserve"> Niño.</w:t>
      </w:r>
    </w:p>
    <w:p w:rsidR="00ED657B" w:rsidRPr="00ED657B" w:rsidRDefault="00ED657B" w:rsidP="00132397">
      <w:pPr>
        <w:pStyle w:val="SingleTxtG"/>
      </w:pPr>
      <w:r w:rsidRPr="00ED657B">
        <w:t>22.</w:t>
      </w:r>
      <w:r w:rsidRPr="00ED657B">
        <w:tab/>
        <w:t>Este</w:t>
      </w:r>
      <w:r w:rsidR="00132397">
        <w:t xml:space="preserve"> </w:t>
      </w:r>
      <w:r w:rsidRPr="00ED657B">
        <w:t>plazo también</w:t>
      </w:r>
      <w:r w:rsidR="00132397">
        <w:t xml:space="preserve"> </w:t>
      </w:r>
      <w:r w:rsidRPr="00ED657B">
        <w:t>se reduce a</w:t>
      </w:r>
      <w:r w:rsidR="00132397">
        <w:t xml:space="preserve"> </w:t>
      </w:r>
      <w:r w:rsidRPr="00ED657B">
        <w:t>cinco</w:t>
      </w:r>
      <w:r w:rsidR="00132397">
        <w:t xml:space="preserve"> </w:t>
      </w:r>
      <w:r w:rsidRPr="00ED657B">
        <w:t>años</w:t>
      </w:r>
      <w:r w:rsidR="00132397">
        <w:t xml:space="preserve"> para </w:t>
      </w:r>
      <w:r w:rsidRPr="00ED657B">
        <w:t>las personas</w:t>
      </w:r>
      <w:r w:rsidR="00132397">
        <w:t xml:space="preserve"> </w:t>
      </w:r>
      <w:r w:rsidRPr="00ED657B">
        <w:t>que,</w:t>
      </w:r>
      <w:r w:rsidR="00132397">
        <w:t xml:space="preserve"> </w:t>
      </w:r>
      <w:r w:rsidRPr="00ED657B">
        <w:t>por su capacidad</w:t>
      </w:r>
      <w:r w:rsidR="00132397">
        <w:t xml:space="preserve"> </w:t>
      </w:r>
      <w:r w:rsidRPr="00ED657B">
        <w:t>y talento,</w:t>
      </w:r>
      <w:r w:rsidR="00132397">
        <w:t xml:space="preserve"> </w:t>
      </w:r>
      <w:r w:rsidRPr="00ED657B">
        <w:t>han</w:t>
      </w:r>
      <w:r w:rsidR="00132397">
        <w:t xml:space="preserve"> </w:t>
      </w:r>
      <w:r w:rsidRPr="00ED657B">
        <w:t>prestado</w:t>
      </w:r>
      <w:r w:rsidR="00132397">
        <w:t xml:space="preserve"> </w:t>
      </w:r>
      <w:r w:rsidRPr="00ED657B">
        <w:t>o pueden prestar</w:t>
      </w:r>
      <w:r w:rsidR="00132397">
        <w:t xml:space="preserve"> </w:t>
      </w:r>
      <w:r w:rsidRPr="00ED657B">
        <w:t>importantes servicios a la</w:t>
      </w:r>
      <w:r w:rsidR="00132397">
        <w:t xml:space="preserve"> </w:t>
      </w:r>
      <w:r w:rsidRPr="00ED657B">
        <w:t>República de</w:t>
      </w:r>
      <w:r w:rsidR="00132397">
        <w:t xml:space="preserve"> </w:t>
      </w:r>
      <w:r w:rsidRPr="00ED657B">
        <w:t>Djibouti. En este caso, la reducción del plazo obedece a criterios objetivos</w:t>
      </w:r>
      <w:r w:rsidR="00132397">
        <w:t xml:space="preserve"> </w:t>
      </w:r>
      <w:r w:rsidRPr="00ED657B">
        <w:t>que no presentan ningún carácter</w:t>
      </w:r>
      <w:r w:rsidR="00132397">
        <w:t xml:space="preserve"> </w:t>
      </w:r>
      <w:r w:rsidRPr="00ED657B">
        <w:t>discriminatorio.</w:t>
      </w:r>
    </w:p>
    <w:p w:rsidR="00ED657B" w:rsidRPr="00ED657B" w:rsidRDefault="00ED657B" w:rsidP="00132397">
      <w:pPr>
        <w:pStyle w:val="SingleTxtG"/>
      </w:pPr>
      <w:r w:rsidRPr="00ED657B">
        <w:t>23.</w:t>
      </w:r>
      <w:r w:rsidRPr="00ED657B">
        <w:tab/>
        <w:t>Durante el período colonial,</w:t>
      </w:r>
      <w:r w:rsidR="00132397">
        <w:t xml:space="preserve"> </w:t>
      </w:r>
      <w:r w:rsidRPr="00ED657B">
        <w:t>la administración francesa</w:t>
      </w:r>
      <w:r w:rsidR="00132397">
        <w:t xml:space="preserve"> acotaba</w:t>
      </w:r>
      <w:r w:rsidRPr="00ED657B">
        <w:t xml:space="preserve"> a</w:t>
      </w:r>
      <w:r w:rsidR="00132397">
        <w:t xml:space="preserve"> </w:t>
      </w:r>
      <w:r w:rsidRPr="00ED657B">
        <w:t>las</w:t>
      </w:r>
      <w:r w:rsidR="00132397">
        <w:t xml:space="preserve"> </w:t>
      </w:r>
      <w:r w:rsidRPr="00ED657B">
        <w:t>distintas comunidades en</w:t>
      </w:r>
      <w:r w:rsidR="00132397">
        <w:t xml:space="preserve"> </w:t>
      </w:r>
      <w:r w:rsidRPr="00ED657B">
        <w:t>barrios</w:t>
      </w:r>
      <w:r w:rsidR="00132397">
        <w:t xml:space="preserve"> </w:t>
      </w:r>
      <w:r w:rsidRPr="00ED657B">
        <w:t>de</w:t>
      </w:r>
      <w:r w:rsidR="00132397">
        <w:t xml:space="preserve"> </w:t>
      </w:r>
      <w:r w:rsidRPr="00ED657B">
        <w:t>carácter</w:t>
      </w:r>
      <w:r w:rsidR="00132397">
        <w:t xml:space="preserve"> </w:t>
      </w:r>
      <w:r w:rsidRPr="00ED657B">
        <w:t>étnico</w:t>
      </w:r>
      <w:r w:rsidR="00132397">
        <w:t xml:space="preserve"> </w:t>
      </w:r>
      <w:r w:rsidRPr="00ED657B">
        <w:t>para dividir</w:t>
      </w:r>
      <w:r w:rsidR="00132397">
        <w:t xml:space="preserve"> </w:t>
      </w:r>
      <w:r w:rsidRPr="00ED657B">
        <w:t>a</w:t>
      </w:r>
      <w:r w:rsidR="00132397">
        <w:t xml:space="preserve"> </w:t>
      </w:r>
      <w:r w:rsidRPr="00ED657B">
        <w:t>la</w:t>
      </w:r>
      <w:r w:rsidR="00132397">
        <w:t xml:space="preserve"> </w:t>
      </w:r>
      <w:r w:rsidRPr="00ED657B">
        <w:t>población colonizada</w:t>
      </w:r>
      <w:r w:rsidR="00132397">
        <w:t xml:space="preserve"> </w:t>
      </w:r>
      <w:r w:rsidRPr="00ED657B">
        <w:t xml:space="preserve">y </w:t>
      </w:r>
      <w:r w:rsidR="00132397">
        <w:t>controlarla</w:t>
      </w:r>
      <w:r w:rsidRPr="00ED657B">
        <w:t xml:space="preserve"> más fácilmente. Esta situación ha</w:t>
      </w:r>
      <w:r w:rsidR="00132397">
        <w:t xml:space="preserve"> </w:t>
      </w:r>
      <w:r w:rsidRPr="00ED657B">
        <w:t>desaparecido</w:t>
      </w:r>
      <w:r w:rsidR="00132397">
        <w:t xml:space="preserve"> </w:t>
      </w:r>
      <w:r w:rsidR="00132397" w:rsidRPr="00ED657B">
        <w:t>prácticamente</w:t>
      </w:r>
      <w:r w:rsidRPr="00ED657B">
        <w:t>, en particular con</w:t>
      </w:r>
      <w:r w:rsidR="00132397">
        <w:t xml:space="preserve"> </w:t>
      </w:r>
      <w:r w:rsidRPr="00ED657B">
        <w:t>la construcción de</w:t>
      </w:r>
      <w:r w:rsidR="00132397">
        <w:t xml:space="preserve"> </w:t>
      </w:r>
      <w:r w:rsidRPr="00ED657B">
        <w:t>nuevos</w:t>
      </w:r>
      <w:r w:rsidR="00132397">
        <w:t xml:space="preserve"> </w:t>
      </w:r>
      <w:r w:rsidRPr="00ED657B">
        <w:t>barrios,</w:t>
      </w:r>
      <w:r w:rsidR="00132397">
        <w:t xml:space="preserve"> </w:t>
      </w:r>
      <w:r w:rsidRPr="00ED657B">
        <w:t>que son mixtos.</w:t>
      </w:r>
    </w:p>
    <w:p w:rsidR="00ED657B" w:rsidRPr="00ED657B" w:rsidRDefault="00ED657B" w:rsidP="00132397">
      <w:pPr>
        <w:pStyle w:val="SingleTxtG"/>
      </w:pPr>
      <w:r w:rsidRPr="00ED657B">
        <w:t>24.</w:t>
      </w:r>
      <w:r w:rsidRPr="00ED657B">
        <w:tab/>
      </w:r>
      <w:r w:rsidR="00132397">
        <w:t>Los</w:t>
      </w:r>
      <w:r w:rsidRPr="00ED657B">
        <w:t xml:space="preserve"> matrimonio</w:t>
      </w:r>
      <w:r w:rsidR="00132397">
        <w:t>s</w:t>
      </w:r>
      <w:r w:rsidRPr="00ED657B">
        <w:t xml:space="preserve"> interétnico</w:t>
      </w:r>
      <w:r w:rsidR="00132397">
        <w:t>s</w:t>
      </w:r>
      <w:r w:rsidRPr="00ED657B">
        <w:t xml:space="preserve"> estaba</w:t>
      </w:r>
      <w:r w:rsidR="00132397">
        <w:t>n</w:t>
      </w:r>
      <w:r w:rsidRPr="00ED657B">
        <w:t xml:space="preserve"> limitado</w:t>
      </w:r>
      <w:r w:rsidR="00132397">
        <w:t>s</w:t>
      </w:r>
      <w:r w:rsidRPr="00ED657B">
        <w:t xml:space="preserve">, </w:t>
      </w:r>
      <w:r w:rsidR="00132397">
        <w:t>aunque no estuvieran mencionados o prohibidos en ninguna disposición</w:t>
      </w:r>
      <w:r w:rsidRPr="00ED657B">
        <w:t xml:space="preserve">. Esta situación también evolucionó con el tiempo y </w:t>
      </w:r>
      <w:r w:rsidR="00132397">
        <w:t xml:space="preserve">hoy en día </w:t>
      </w:r>
      <w:r w:rsidRPr="00ED657B">
        <w:t>los matrimonios interétnicos son muy frecuentes.</w:t>
      </w:r>
    </w:p>
    <w:p w:rsidR="00ED657B" w:rsidRPr="00ED657B" w:rsidRDefault="00ED657B" w:rsidP="00132397">
      <w:pPr>
        <w:pStyle w:val="SingleTxtG"/>
      </w:pPr>
      <w:r w:rsidRPr="00ED657B">
        <w:t>25.</w:t>
      </w:r>
      <w:r w:rsidRPr="00ED657B">
        <w:tab/>
      </w:r>
      <w:r w:rsidR="00132397" w:rsidRPr="00ED657B">
        <w:t>En la República de Djibouti n</w:t>
      </w:r>
      <w:r w:rsidRPr="00ED657B">
        <w:t xml:space="preserve">o hay guetos ni </w:t>
      </w:r>
      <w:r w:rsidRPr="00610A42">
        <w:rPr>
          <w:i/>
        </w:rPr>
        <w:t>apartheid</w:t>
      </w:r>
      <w:r w:rsidRPr="00ED657B">
        <w:t xml:space="preserve">. Djibouti luchó contra el sistema de </w:t>
      </w:r>
      <w:r w:rsidRPr="00610A42">
        <w:rPr>
          <w:i/>
        </w:rPr>
        <w:t>apartheid</w:t>
      </w:r>
      <w:r w:rsidRPr="00ED657B">
        <w:t xml:space="preserve"> que imperaba en Sudáfrica, como lo acreditan las dos medidas siguientes:</w:t>
      </w:r>
    </w:p>
    <w:p w:rsidR="00ED657B" w:rsidRPr="00ED657B" w:rsidRDefault="00132397" w:rsidP="00132397">
      <w:pPr>
        <w:pStyle w:val="Bullet1G"/>
      </w:pPr>
      <w:r>
        <w:t>Los</w:t>
      </w:r>
      <w:r w:rsidR="00ED657B" w:rsidRPr="00ED657B">
        <w:t xml:space="preserve"> ciudadanos </w:t>
      </w:r>
      <w:r>
        <w:t xml:space="preserve">tenían prohibido </w:t>
      </w:r>
      <w:r w:rsidR="00ED657B" w:rsidRPr="00ED657B">
        <w:t xml:space="preserve">viajar al país del </w:t>
      </w:r>
      <w:r w:rsidR="00ED657B" w:rsidRPr="00610A42">
        <w:rPr>
          <w:i/>
        </w:rPr>
        <w:t>apartheid</w:t>
      </w:r>
      <w:r w:rsidR="00ED657B" w:rsidRPr="00ED657B">
        <w:t>;</w:t>
      </w:r>
    </w:p>
    <w:p w:rsidR="00ED657B" w:rsidRPr="00ED657B" w:rsidRDefault="00132397" w:rsidP="00132397">
      <w:pPr>
        <w:pStyle w:val="Bullet1G"/>
      </w:pPr>
      <w:r>
        <w:t>P</w:t>
      </w:r>
      <w:r w:rsidR="00ED657B" w:rsidRPr="00ED657B">
        <w:t>or decreto de 5 de mayo de 1988</w:t>
      </w:r>
      <w:r>
        <w:t xml:space="preserve"> se creó </w:t>
      </w:r>
      <w:r w:rsidR="00ED657B" w:rsidRPr="00ED657B">
        <w:t xml:space="preserve">el Comité Nacional de Lucha contra el Apartheid en </w:t>
      </w:r>
      <w:r>
        <w:t>cumplimiento</w:t>
      </w:r>
      <w:r w:rsidR="00ED657B" w:rsidRPr="00ED657B">
        <w:t xml:space="preserve"> de la resolución de la OUA.</w:t>
      </w:r>
    </w:p>
    <w:p w:rsidR="00ED657B" w:rsidRPr="00ED657B" w:rsidRDefault="00ED657B" w:rsidP="00132397">
      <w:pPr>
        <w:pStyle w:val="SingleTxtG"/>
      </w:pPr>
      <w:r w:rsidRPr="00ED657B">
        <w:t>26.</w:t>
      </w:r>
      <w:r w:rsidRPr="00ED657B">
        <w:tab/>
        <w:t xml:space="preserve">Debido a los numerosos conflictos que </w:t>
      </w:r>
      <w:r w:rsidR="00132397">
        <w:t xml:space="preserve">se </w:t>
      </w:r>
      <w:r w:rsidRPr="00ED657B">
        <w:t xml:space="preserve">han </w:t>
      </w:r>
      <w:r w:rsidR="00132397">
        <w:t>registrado en</w:t>
      </w:r>
      <w:r w:rsidRPr="00ED657B">
        <w:t xml:space="preserve"> la subregión, el país ha acogido y sigue acogiendo a un gran número de refugiados sin distinción de raza, origen o religión.</w:t>
      </w:r>
    </w:p>
    <w:p w:rsidR="00ED657B" w:rsidRPr="00ED657B" w:rsidRDefault="00ED657B" w:rsidP="00132397">
      <w:pPr>
        <w:pStyle w:val="SingleTxtG"/>
      </w:pPr>
      <w:r w:rsidRPr="00ED657B">
        <w:t>27.</w:t>
      </w:r>
      <w:r w:rsidRPr="00ED657B">
        <w:tab/>
        <w:t xml:space="preserve">Desde 1977 se han </w:t>
      </w:r>
      <w:r w:rsidR="00132397">
        <w:t>sucedido</w:t>
      </w:r>
      <w:r w:rsidRPr="00ED657B">
        <w:t xml:space="preserve"> varias oleadas de inmigración procedentes de países vecinos. </w:t>
      </w:r>
      <w:r w:rsidR="00DA53D4">
        <w:t>Su origen se encuentra en</w:t>
      </w:r>
      <w:r w:rsidRPr="00ED657B">
        <w:t xml:space="preserve"> los conflictos armados entre Estados, como el de la región de Ogadén en 1977 (entre Etiopía y Somalia) y el de Badmé en 1998 (entre Etiopía y Eritrea), así como </w:t>
      </w:r>
      <w:r w:rsidR="00DA53D4">
        <w:t xml:space="preserve">en </w:t>
      </w:r>
      <w:r w:rsidRPr="00ED657B">
        <w:t xml:space="preserve">la guerra civil </w:t>
      </w:r>
      <w:r w:rsidR="00DA53D4">
        <w:t>de</w:t>
      </w:r>
      <w:r w:rsidRPr="00ED657B">
        <w:t xml:space="preserve"> Somalia, que se inició en 1991 y ha provocado importantes flujos de refugiados.</w:t>
      </w:r>
    </w:p>
    <w:p w:rsidR="00ED657B" w:rsidRPr="00ED657B" w:rsidRDefault="00ED657B" w:rsidP="00DA53D4">
      <w:pPr>
        <w:pStyle w:val="SingleTxtG"/>
      </w:pPr>
      <w:r w:rsidRPr="00ED657B">
        <w:t>28.</w:t>
      </w:r>
      <w:r w:rsidRPr="00ED657B">
        <w:tab/>
        <w:t>Los primeros refugiados están instalados de Dikhil. Sin embargo, ante el rápido aumento del número de refugiados, el Gobierno construyó, con el apoyo del ACNUR, dos campamentos en Holl Holl y Ali Addeh, en la región de Ali Sabieh.</w:t>
      </w:r>
    </w:p>
    <w:p w:rsidR="00ED657B" w:rsidRPr="00ED657B" w:rsidRDefault="00ED657B" w:rsidP="00DA53D4">
      <w:pPr>
        <w:pStyle w:val="SingleTxtG"/>
      </w:pPr>
      <w:r w:rsidRPr="00ED657B">
        <w:lastRenderedPageBreak/>
        <w:t>29.</w:t>
      </w:r>
      <w:r w:rsidRPr="00ED657B">
        <w:tab/>
        <w:t xml:space="preserve">El Gobierno, que es signatario de textos internacionales y continentales </w:t>
      </w:r>
      <w:r w:rsidR="00DA53D4">
        <w:t>que protegen a los refugiados y respetan</w:t>
      </w:r>
      <w:r w:rsidRPr="00ED657B">
        <w:t xml:space="preserve"> sus derechos, sigue reforzando su arsenal jurídico y promoviendo la entrada en vigor de nuevos textos. </w:t>
      </w:r>
    </w:p>
    <w:p w:rsidR="00ED657B" w:rsidRPr="00ED657B" w:rsidRDefault="00ED657B" w:rsidP="00DA53D4">
      <w:pPr>
        <w:pStyle w:val="SingleTxtG"/>
      </w:pPr>
      <w:r w:rsidRPr="00ED657B">
        <w:t>30.</w:t>
      </w:r>
      <w:r w:rsidRPr="00ED657B">
        <w:tab/>
        <w:t>Se trata de los decretos siguientes:</w:t>
      </w:r>
    </w:p>
    <w:p w:rsidR="00ED657B" w:rsidRPr="00ED657B" w:rsidRDefault="00ED657B" w:rsidP="00DA53D4">
      <w:pPr>
        <w:pStyle w:val="Bullet1G"/>
      </w:pPr>
      <w:r w:rsidRPr="00ED657B">
        <w:t>Decreto núm. 77-054/PR/AE, de 9 de noviembre de 1977, relativo a la crea</w:t>
      </w:r>
      <w:r w:rsidR="00DA53D4">
        <w:t xml:space="preserve">ción de la Comisión Nacional del </w:t>
      </w:r>
      <w:r w:rsidRPr="00ED657B">
        <w:t xml:space="preserve">Derecho a la Condición de Refugiado; </w:t>
      </w:r>
    </w:p>
    <w:p w:rsidR="00ED657B" w:rsidRPr="00ED657B" w:rsidRDefault="00ED657B" w:rsidP="00DA53D4">
      <w:pPr>
        <w:pStyle w:val="Bullet1G"/>
      </w:pPr>
      <w:r w:rsidRPr="00ED657B">
        <w:t>Decreto núm. 2001-0101/PR/78-020/PR/MI, por el que se modifica el Decreto núm.</w:t>
      </w:r>
      <w:r w:rsidR="00610A42">
        <w:t> </w:t>
      </w:r>
      <w:r w:rsidRPr="00ED657B">
        <w:t>77-054/PR/AE, de 9 de noviembre de 1977, relativo a la creación de la Comisión Nacional de</w:t>
      </w:r>
      <w:r w:rsidR="00DA53D4">
        <w:t>l</w:t>
      </w:r>
      <w:r w:rsidRPr="00ED657B">
        <w:t xml:space="preserve"> Derecho a la Condición de Refugiado; </w:t>
      </w:r>
    </w:p>
    <w:p w:rsidR="00ED657B" w:rsidRPr="00ED657B" w:rsidRDefault="00ED657B" w:rsidP="00DA53D4">
      <w:pPr>
        <w:pStyle w:val="Bullet1G"/>
      </w:pPr>
      <w:r w:rsidRPr="00ED657B">
        <w:t xml:space="preserve">Decreto núm. 78-020/PR, de 21 de febrero de 1978, por </w:t>
      </w:r>
      <w:r w:rsidR="00610A42">
        <w:t>e</w:t>
      </w:r>
      <w:r w:rsidRPr="00ED657B">
        <w:t>l que se crea el Comité Nacional de Asistencia a los Refugiados y las Víctimas</w:t>
      </w:r>
      <w:r w:rsidR="00DA53D4">
        <w:t xml:space="preserve"> y se determina su composición</w:t>
      </w:r>
      <w:r w:rsidRPr="00ED657B">
        <w:t xml:space="preserve">, así como la oficina encargada de </w:t>
      </w:r>
      <w:r w:rsidR="00DA53D4">
        <w:t xml:space="preserve">la aplicación de </w:t>
      </w:r>
      <w:r w:rsidRPr="00ED657B">
        <w:t xml:space="preserve">las medidas destinadas a </w:t>
      </w:r>
      <w:r w:rsidR="00DA53D4">
        <w:t>estas personas</w:t>
      </w:r>
      <w:r w:rsidRPr="00ED657B">
        <w:t xml:space="preserve">; </w:t>
      </w:r>
    </w:p>
    <w:p w:rsidR="00ED657B" w:rsidRPr="00ED657B" w:rsidRDefault="00ED657B" w:rsidP="00DA53D4">
      <w:pPr>
        <w:pStyle w:val="Bullet1G"/>
      </w:pPr>
      <w:r w:rsidRPr="00ED657B">
        <w:t>Decreto núm. 78-077/PR, por el que se completa el Decreto núm. 78-020/PR relativ</w:t>
      </w:r>
      <w:r w:rsidR="00DA53D4">
        <w:t>o</w:t>
      </w:r>
      <w:r w:rsidRPr="00ED657B">
        <w:t xml:space="preserve"> a la creación de un </w:t>
      </w:r>
      <w:r w:rsidR="00610A42" w:rsidRPr="00ED657B">
        <w:t xml:space="preserve">Comité Nacional </w:t>
      </w:r>
      <w:r w:rsidR="00610A42">
        <w:t>de</w:t>
      </w:r>
      <w:r w:rsidRPr="00ED657B">
        <w:t xml:space="preserve"> </w:t>
      </w:r>
      <w:r w:rsidR="00610A42" w:rsidRPr="00ED657B">
        <w:t xml:space="preserve">Asistencia </w:t>
      </w:r>
      <w:r w:rsidRPr="00ED657B">
        <w:t xml:space="preserve">a los </w:t>
      </w:r>
      <w:r w:rsidR="00610A42" w:rsidRPr="00ED657B">
        <w:t xml:space="preserve">Refugiados </w:t>
      </w:r>
      <w:r w:rsidRPr="00ED657B">
        <w:t xml:space="preserve">y </w:t>
      </w:r>
      <w:r w:rsidR="00610A42">
        <w:t xml:space="preserve">las </w:t>
      </w:r>
      <w:r w:rsidR="00610A42" w:rsidRPr="00ED657B">
        <w:t>Víctimas</w:t>
      </w:r>
      <w:r w:rsidRPr="00ED657B">
        <w:t>, de 17 de octubre de 1978.</w:t>
      </w:r>
    </w:p>
    <w:p w:rsidR="00ED657B" w:rsidRPr="00ED657B" w:rsidRDefault="00ED657B" w:rsidP="00DA53D4">
      <w:pPr>
        <w:pStyle w:val="SingleTxtG"/>
      </w:pPr>
      <w:r w:rsidRPr="00ED657B">
        <w:t>31.</w:t>
      </w:r>
      <w:r w:rsidRPr="00ED657B">
        <w:tab/>
        <w:t>Más reciente</w:t>
      </w:r>
      <w:r w:rsidR="00DA53D4">
        <w:t xml:space="preserve">mente </w:t>
      </w:r>
      <w:r w:rsidRPr="00ED657B">
        <w:t xml:space="preserve">el Estado parte </w:t>
      </w:r>
      <w:r w:rsidR="00DA53D4">
        <w:t xml:space="preserve">se ha adherido </w:t>
      </w:r>
      <w:r w:rsidRPr="00ED657B">
        <w:t xml:space="preserve">a dos </w:t>
      </w:r>
      <w:r w:rsidR="00DA53D4">
        <w:t>importantes</w:t>
      </w:r>
      <w:r w:rsidRPr="00ED657B">
        <w:t xml:space="preserve"> instrumentos regionales de protección de los derechos de los refugiados y los desplazados internos. Esas adhesiones se materializaron en la promulgación de los textos legislativos siguientes:</w:t>
      </w:r>
    </w:p>
    <w:p w:rsidR="00ED657B" w:rsidRPr="00ED657B" w:rsidRDefault="00ED657B" w:rsidP="00DA53D4">
      <w:pPr>
        <w:pStyle w:val="Bullet1G"/>
      </w:pPr>
      <w:r w:rsidRPr="00ED657B">
        <w:t>Ley núm. 150/AN/06/5ª L, de 21 de junio de 2006, por la que se ratifica la Convención de la OUA sobre los Refugiados, y</w:t>
      </w:r>
    </w:p>
    <w:p w:rsidR="00ED657B" w:rsidRPr="00ED657B" w:rsidRDefault="00ED657B" w:rsidP="00DA53D4">
      <w:pPr>
        <w:pStyle w:val="Bullet1G"/>
      </w:pPr>
      <w:r w:rsidRPr="00ED657B">
        <w:t>Ley núm. 97/AN/10/6ª L, de 3 enero de 2011, por la que se ratifica la Convención de la Unión Africana para la Protección y la Asistencia de los Desplazados Internos en África (Convención de Kampala).</w:t>
      </w:r>
    </w:p>
    <w:p w:rsidR="00ED657B" w:rsidRPr="00ED657B" w:rsidRDefault="00ED657B" w:rsidP="00DA53D4">
      <w:pPr>
        <w:pStyle w:val="SingleTxtG"/>
      </w:pPr>
      <w:r w:rsidRPr="00ED657B">
        <w:t>32.</w:t>
      </w:r>
      <w:r w:rsidRPr="00ED657B">
        <w:tab/>
        <w:t xml:space="preserve">Desde 2015 el Estado parte ha acogido a 17.634 yemeníes que huían de la guerra. Dos </w:t>
      </w:r>
      <w:r w:rsidR="00DA53D4">
        <w:t>terceras partes de ellos</w:t>
      </w:r>
      <w:r w:rsidRPr="00ED657B">
        <w:t xml:space="preserve"> han deci</w:t>
      </w:r>
      <w:r w:rsidR="00DA53D4">
        <w:t>di</w:t>
      </w:r>
      <w:r w:rsidRPr="00ED657B">
        <w:t xml:space="preserve">do instalarse en otro lugar o regresar libremente a sus hogares. El tercio restante está instalado en un campamento de refugiados </w:t>
      </w:r>
      <w:r w:rsidR="00DA53D4">
        <w:t xml:space="preserve">llamado </w:t>
      </w:r>
      <w:r w:rsidRPr="00ED657B">
        <w:t>Markazi</w:t>
      </w:r>
      <w:r w:rsidR="00DA53D4">
        <w:t>,</w:t>
      </w:r>
      <w:r w:rsidRPr="00ED657B">
        <w:t xml:space="preserve"> cerca de la ciudad de Obock.</w:t>
      </w:r>
    </w:p>
    <w:p w:rsidR="00ED657B" w:rsidRPr="00ED657B" w:rsidRDefault="00ED657B" w:rsidP="00DA53D4">
      <w:pPr>
        <w:pStyle w:val="SingleTxtG"/>
      </w:pPr>
      <w:r w:rsidRPr="00ED657B">
        <w:t>33.</w:t>
      </w:r>
      <w:r w:rsidRPr="00ED657B">
        <w:tab/>
        <w:t>Frente a esta nueva crisis, el Estado creó por decreto una célula de urgencia encargad</w:t>
      </w:r>
      <w:r w:rsidR="00DA53D4">
        <w:t>a</w:t>
      </w:r>
      <w:r w:rsidRPr="00ED657B">
        <w:t xml:space="preserve"> de la coordinación de la asistencia a los refugiados del Yemen. El objetivo de este órgano, que está bajo la dirección del Primer Ministro, es evaluar las necesidades de los refugiados yemeníes y coordinar la movilización de la asistencia en favor de esas personas, en particular en </w:t>
      </w:r>
      <w:r w:rsidR="00DA53D4">
        <w:t>materias tales</w:t>
      </w:r>
      <w:r w:rsidRPr="00ED657B">
        <w:t xml:space="preserve"> como la salud, el agua, el saneamiento y la seguridad.</w:t>
      </w:r>
    </w:p>
    <w:p w:rsidR="00ED657B" w:rsidRPr="00ED657B" w:rsidRDefault="00ED657B" w:rsidP="00DA53D4">
      <w:pPr>
        <w:pStyle w:val="SingleTxtG"/>
      </w:pPr>
      <w:r w:rsidRPr="00ED657B">
        <w:t>34.</w:t>
      </w:r>
      <w:r w:rsidRPr="00ED657B">
        <w:tab/>
      </w:r>
      <w:r w:rsidR="00DA53D4">
        <w:t>En la</w:t>
      </w:r>
      <w:r w:rsidRPr="00ED657B">
        <w:t xml:space="preserve"> pacífica historia de la República Democrática de Djibouti </w:t>
      </w:r>
      <w:r w:rsidR="00DA53D4">
        <w:t>se registra</w:t>
      </w:r>
      <w:r w:rsidRPr="00ED657B">
        <w:t xml:space="preserve"> un breve período de dificultades tras </w:t>
      </w:r>
      <w:r w:rsidR="00DA53D4">
        <w:t xml:space="preserve">el </w:t>
      </w:r>
      <w:r w:rsidRPr="00ED657B">
        <w:t>conflicto armado interno que duró de 1991 a 1994.</w:t>
      </w:r>
    </w:p>
    <w:p w:rsidR="00ED657B" w:rsidRPr="00ED657B" w:rsidRDefault="00ED657B" w:rsidP="00DA53D4">
      <w:pPr>
        <w:pStyle w:val="SingleTxtG"/>
      </w:pPr>
      <w:r w:rsidRPr="00ED657B">
        <w:t>35.</w:t>
      </w:r>
      <w:r w:rsidRPr="00ED657B">
        <w:tab/>
        <w:t xml:space="preserve">Este conflicto se </w:t>
      </w:r>
      <w:r w:rsidR="00DA53D4">
        <w:t>originó en</w:t>
      </w:r>
      <w:r w:rsidRPr="00ED657B">
        <w:t xml:space="preserve"> las rivalidades étnicas entre la comunidad afar y los somalís-issas</w:t>
      </w:r>
      <w:r w:rsidR="00DA53D4">
        <w:t>,</w:t>
      </w:r>
      <w:r w:rsidRPr="00ED657B">
        <w:t xml:space="preserve"> </w:t>
      </w:r>
      <w:r w:rsidR="00DA53D4">
        <w:t>durante</w:t>
      </w:r>
      <w:r w:rsidRPr="00ED657B">
        <w:t xml:space="preserve"> el período colonial.</w:t>
      </w:r>
    </w:p>
    <w:p w:rsidR="00ED657B" w:rsidRPr="00ED657B" w:rsidRDefault="00ED657B" w:rsidP="00DA53D4">
      <w:pPr>
        <w:pStyle w:val="SingleTxtG"/>
      </w:pPr>
      <w:r w:rsidRPr="00ED657B">
        <w:t>36.</w:t>
      </w:r>
      <w:r w:rsidRPr="00ED657B">
        <w:tab/>
        <w:t xml:space="preserve">De hecho, la </w:t>
      </w:r>
      <w:r w:rsidR="00DA53D4">
        <w:t>repartición</w:t>
      </w:r>
      <w:r w:rsidRPr="00ED657B">
        <w:t xml:space="preserve"> étnica del poder instituid</w:t>
      </w:r>
      <w:r w:rsidR="00DA53D4">
        <w:t>a</w:t>
      </w:r>
      <w:r w:rsidRPr="00ED657B">
        <w:t xml:space="preserve"> por la antigua potencia colonial se prolongó después de </w:t>
      </w:r>
      <w:r w:rsidR="00DA53D4">
        <w:t xml:space="preserve">que el país alcanzara </w:t>
      </w:r>
      <w:r w:rsidRPr="00ED657B">
        <w:t>la independencia en 1977.</w:t>
      </w:r>
    </w:p>
    <w:p w:rsidR="00ED657B" w:rsidRPr="00ED657B" w:rsidRDefault="00ED657B" w:rsidP="00DA53D4">
      <w:pPr>
        <w:pStyle w:val="SingleTxtG"/>
      </w:pPr>
      <w:r w:rsidRPr="00ED657B">
        <w:t>37.</w:t>
      </w:r>
      <w:r w:rsidRPr="00ED657B">
        <w:tab/>
        <w:t xml:space="preserve">Los dos dirigentes del partido independentista a quienes unió la lucha por la independencia, Hassan Gouled Aptidon (issa) y Ahmed Dini Ahmed (afar), </w:t>
      </w:r>
      <w:r w:rsidR="00DA53D4">
        <w:t>acabarían siendo</w:t>
      </w:r>
      <w:r w:rsidRPr="00ED657B">
        <w:t xml:space="preserve"> Presidente de la República, Jefe de Gobierno y Jefe de las Fuerzas Armadas, el primero, y Primer Ministro encargado de la coordinación de la acción gubernamental, el segundo.</w:t>
      </w:r>
    </w:p>
    <w:p w:rsidR="00ED657B" w:rsidRPr="00ED657B" w:rsidRDefault="00ED657B" w:rsidP="00DA53D4">
      <w:pPr>
        <w:pStyle w:val="SingleTxtG"/>
      </w:pPr>
      <w:r w:rsidRPr="00ED657B">
        <w:lastRenderedPageBreak/>
        <w:t>38.</w:t>
      </w:r>
      <w:r w:rsidRPr="00ED657B">
        <w:tab/>
        <w:t xml:space="preserve">Ya muy pronto, en 1991, la intransigencia del poder establecido en </w:t>
      </w:r>
      <w:r w:rsidR="00DA53D4">
        <w:t>cuanto a la repartición de los</w:t>
      </w:r>
      <w:r w:rsidRPr="00ED657B">
        <w:t xml:space="preserve"> poderes</w:t>
      </w:r>
      <w:r w:rsidR="00DA53D4">
        <w:t>,</w:t>
      </w:r>
      <w:r w:rsidRPr="00ED657B">
        <w:t xml:space="preserve"> y la radicalización de la oposición</w:t>
      </w:r>
      <w:r w:rsidR="00DA53D4">
        <w:t>,</w:t>
      </w:r>
      <w:r w:rsidRPr="00ED657B">
        <w:t xml:space="preserve"> desemboc</w:t>
      </w:r>
      <w:r w:rsidR="00DA53D4">
        <w:t>aron</w:t>
      </w:r>
      <w:r w:rsidRPr="00ED657B">
        <w:t xml:space="preserve"> en un conflicto armado en el </w:t>
      </w:r>
      <w:r w:rsidR="00610A42" w:rsidRPr="00ED657B">
        <w:t xml:space="preserve">norte </w:t>
      </w:r>
      <w:r w:rsidR="00DA53D4">
        <w:t xml:space="preserve">del país </w:t>
      </w:r>
      <w:r w:rsidRPr="00ED657B">
        <w:t>entre el Ejército Nacional y los rebeldes del Frente para la Restauración de la Unidad y la Democracia (FRUD).</w:t>
      </w:r>
    </w:p>
    <w:p w:rsidR="00ED657B" w:rsidRPr="00ED657B" w:rsidRDefault="00ED657B" w:rsidP="00773958">
      <w:pPr>
        <w:pStyle w:val="SingleTxtG"/>
      </w:pPr>
      <w:r w:rsidRPr="00ED657B">
        <w:t>39.</w:t>
      </w:r>
      <w:r w:rsidRPr="00ED657B">
        <w:tab/>
        <w:t>El FRUD justific</w:t>
      </w:r>
      <w:r w:rsidR="00773958">
        <w:t>a</w:t>
      </w:r>
      <w:r w:rsidRPr="00ED657B">
        <w:t xml:space="preserve"> el recurso a la lucha armada </w:t>
      </w:r>
      <w:r w:rsidR="00773958">
        <w:t>por la búsqueda de un nuevo equilibrio</w:t>
      </w:r>
      <w:r w:rsidRPr="00ED657B">
        <w:t xml:space="preserve"> del poder político entre las distintas comunidades, la instauración de un verdadero pluralismo democrático y </w:t>
      </w:r>
      <w:r w:rsidR="00773958">
        <w:t>el logro de</w:t>
      </w:r>
      <w:r w:rsidRPr="00ED657B">
        <w:t xml:space="preserve"> una mayor justicia social.</w:t>
      </w:r>
    </w:p>
    <w:p w:rsidR="00ED657B" w:rsidRPr="00ED657B" w:rsidRDefault="00ED657B" w:rsidP="00773958">
      <w:pPr>
        <w:pStyle w:val="SingleTxtG"/>
      </w:pPr>
      <w:r w:rsidRPr="00ED657B">
        <w:t>40.</w:t>
      </w:r>
      <w:r w:rsidRPr="00ED657B">
        <w:tab/>
        <w:t>El conflicto puso a dura prueba la economía nacional</w:t>
      </w:r>
      <w:r w:rsidR="00773958">
        <w:t>,</w:t>
      </w:r>
      <w:r w:rsidRPr="00ED657B">
        <w:t xml:space="preserve"> causó enormes </w:t>
      </w:r>
      <w:r w:rsidR="00773958">
        <w:t>destrucciones</w:t>
      </w:r>
      <w:r w:rsidRPr="00ED657B">
        <w:t xml:space="preserve">, sobre todo en el norte del país, y solo cesó tras la firma de dos acuerdos de paz. </w:t>
      </w:r>
    </w:p>
    <w:p w:rsidR="00ED657B" w:rsidRPr="00ED657B" w:rsidRDefault="00ED657B" w:rsidP="00773958">
      <w:pPr>
        <w:pStyle w:val="SingleTxtG"/>
      </w:pPr>
      <w:r w:rsidRPr="00ED657B">
        <w:t>41.</w:t>
      </w:r>
      <w:r w:rsidRPr="00ED657B">
        <w:tab/>
        <w:t>El acuerdo de paz y reconciliación nacional de</w:t>
      </w:r>
      <w:r w:rsidR="00773958">
        <w:t xml:space="preserve"> </w:t>
      </w:r>
      <w:r w:rsidRPr="00ED657B">
        <w:t>Aba’a, de</w:t>
      </w:r>
      <w:r w:rsidR="00773958">
        <w:t xml:space="preserve"> </w:t>
      </w:r>
      <w:r w:rsidRPr="00ED657B">
        <w:t>26 de diciembre de 1994, entre una facción disidente del FRUD y el Gobierno</w:t>
      </w:r>
      <w:r w:rsidR="00773958">
        <w:t>,</w:t>
      </w:r>
      <w:r w:rsidRPr="00ED657B">
        <w:t xml:space="preserve"> marcó el fin de la lucha armada y la restauración de la paz. </w:t>
      </w:r>
      <w:r w:rsidR="00773958">
        <w:t>L</w:t>
      </w:r>
      <w:r w:rsidRPr="00ED657B">
        <w:t xml:space="preserve">os combatientes </w:t>
      </w:r>
      <w:r w:rsidR="00773958">
        <w:t xml:space="preserve">fueron amnistiados </w:t>
      </w:r>
      <w:r w:rsidRPr="00ED657B">
        <w:t>y se reintegraron a sus puestos civiles y militares. Se reconstruy</w:t>
      </w:r>
      <w:r w:rsidR="00773958">
        <w:t>eron</w:t>
      </w:r>
      <w:r w:rsidRPr="00ED657B">
        <w:t xml:space="preserve"> la</w:t>
      </w:r>
      <w:r w:rsidR="00773958">
        <w:t>s</w:t>
      </w:r>
      <w:r w:rsidRPr="00ED657B">
        <w:t xml:space="preserve"> infraestructura</w:t>
      </w:r>
      <w:r w:rsidR="00773958">
        <w:t>s</w:t>
      </w:r>
      <w:r w:rsidRPr="00ED657B">
        <w:t xml:space="preserve"> pública</w:t>
      </w:r>
      <w:r w:rsidR="00773958">
        <w:t>s</w:t>
      </w:r>
      <w:r w:rsidRPr="00ED657B">
        <w:t xml:space="preserve"> destruida</w:t>
      </w:r>
      <w:r w:rsidR="00773958">
        <w:t>s</w:t>
      </w:r>
      <w:r w:rsidRPr="00ED657B">
        <w:t xml:space="preserve"> por los conflictos (hospitales y dispensarios, escuelas, las redes de suministro de agua </w:t>
      </w:r>
      <w:r w:rsidR="00773958">
        <w:t xml:space="preserve">y </w:t>
      </w:r>
      <w:r w:rsidRPr="00ED657B">
        <w:t>electricidad y los servicios administrativos básicos).</w:t>
      </w:r>
    </w:p>
    <w:p w:rsidR="00ED657B" w:rsidRPr="00ED657B" w:rsidRDefault="00ED657B" w:rsidP="00773958">
      <w:pPr>
        <w:pStyle w:val="SingleTxtG"/>
      </w:pPr>
      <w:r w:rsidRPr="00ED657B">
        <w:t>42.</w:t>
      </w:r>
      <w:r w:rsidRPr="00ED657B">
        <w:tab/>
        <w:t>El FRUD se constituyó en partido político y se integró al Gobierno</w:t>
      </w:r>
      <w:r w:rsidR="00773958">
        <w:t>,</w:t>
      </w:r>
      <w:r w:rsidRPr="00ED657B">
        <w:t xml:space="preserve"> que puso en marcha el proceso de descentralización.</w:t>
      </w:r>
    </w:p>
    <w:p w:rsidR="00ED657B" w:rsidRPr="00ED657B" w:rsidRDefault="00ED657B" w:rsidP="006D2E66">
      <w:pPr>
        <w:pStyle w:val="SingleTxtG"/>
      </w:pPr>
      <w:r w:rsidRPr="00ED657B">
        <w:t>43.</w:t>
      </w:r>
      <w:r w:rsidRPr="00ED657B">
        <w:tab/>
        <w:t>El acuerdo de reforma y concordia civil, firmado en mayo de 2001 por el FRUD</w:t>
      </w:r>
      <w:r w:rsidR="00610A42">
        <w:noBreakHyphen/>
      </w:r>
      <w:r w:rsidRPr="00ED657B">
        <w:t>armado (que continuó la lucha armada a pesar del acuerdo de paz) y el Gobierno, puso fin al conflicto de manera definitiva</w:t>
      </w:r>
      <w:r w:rsidR="006D2E66">
        <w:t>;</w:t>
      </w:r>
      <w:r w:rsidRPr="00ED657B">
        <w:t xml:space="preserve"> </w:t>
      </w:r>
      <w:r w:rsidR="006D2E66">
        <w:t xml:space="preserve">en este acuerdo se preveían </w:t>
      </w:r>
      <w:r w:rsidRPr="00ED657B">
        <w:t>reformas profundas</w:t>
      </w:r>
      <w:r w:rsidR="006D2E66">
        <w:t>, a saber:</w:t>
      </w:r>
      <w:r w:rsidRPr="00ED657B">
        <w:t xml:space="preserve"> la revisión de la composición del Consejo Constitucional</w:t>
      </w:r>
      <w:r w:rsidR="006D2E66">
        <w:t>;</w:t>
      </w:r>
      <w:r w:rsidRPr="00ED657B">
        <w:t xml:space="preserve"> la instauración de un pluripartidismo integral</w:t>
      </w:r>
      <w:r w:rsidR="006D2E66">
        <w:t>;</w:t>
      </w:r>
      <w:r w:rsidRPr="00ED657B">
        <w:t xml:space="preserve"> la garantía de la libertad sindical y </w:t>
      </w:r>
      <w:r w:rsidR="006D2E66">
        <w:t xml:space="preserve">de </w:t>
      </w:r>
      <w:r w:rsidRPr="00ED657B">
        <w:t>expresión; la igualdad de todos los ciudadanos</w:t>
      </w:r>
      <w:r w:rsidR="006D2E66">
        <w:t>;</w:t>
      </w:r>
      <w:r w:rsidRPr="00ED657B">
        <w:t xml:space="preserve"> la constitución de la Comisión Electoral Nacional Independiente (CENI)</w:t>
      </w:r>
      <w:r w:rsidR="006D2E66">
        <w:t xml:space="preserve"> y</w:t>
      </w:r>
      <w:r w:rsidRPr="00ED657B">
        <w:t xml:space="preserve"> la adopción de medidas de descentralización que tenían en cuenta aspectos políticos, administrativos y económicos.</w:t>
      </w:r>
    </w:p>
    <w:p w:rsidR="00ED657B" w:rsidRPr="00ED657B" w:rsidRDefault="00ED657B" w:rsidP="006D2E66">
      <w:pPr>
        <w:pStyle w:val="SingleTxtG"/>
      </w:pPr>
      <w:r w:rsidRPr="00ED657B">
        <w:t>44.</w:t>
      </w:r>
      <w:r w:rsidRPr="00ED657B">
        <w:tab/>
        <w:t xml:space="preserve">Este conflicto se solucionó con arreglo a nuestras tradiciones y sin intervención exterior. </w:t>
      </w:r>
    </w:p>
    <w:p w:rsidR="00ED657B" w:rsidRPr="00ED657B" w:rsidRDefault="00ED657B" w:rsidP="006D2E66">
      <w:pPr>
        <w:pStyle w:val="SingleTxtG"/>
      </w:pPr>
      <w:r w:rsidRPr="00ED657B">
        <w:t>45.</w:t>
      </w:r>
      <w:r w:rsidRPr="00ED657B">
        <w:tab/>
      </w:r>
      <w:r w:rsidR="006D2E66">
        <w:t>Es</w:t>
      </w:r>
      <w:r w:rsidRPr="00ED657B">
        <w:t xml:space="preserve"> un modo pedagógico de </w:t>
      </w:r>
      <w:r w:rsidR="006D2E66">
        <w:t xml:space="preserve">resolver los conflictos lo </w:t>
      </w:r>
      <w:r w:rsidRPr="00ED657B">
        <w:t xml:space="preserve">que ha permitido a los ciudadanos de Djibouti </w:t>
      </w:r>
      <w:r w:rsidR="006D2E66">
        <w:t>cobrar conciencia</w:t>
      </w:r>
      <w:r w:rsidRPr="00ED657B">
        <w:t xml:space="preserve"> de la importancia de la concordia nacional, así como de su </w:t>
      </w:r>
      <w:r w:rsidR="006D2E66">
        <w:t>preservación</w:t>
      </w:r>
      <w:r w:rsidRPr="00ED657B">
        <w:t>.</w:t>
      </w:r>
    </w:p>
    <w:p w:rsidR="00ED657B" w:rsidRPr="00ED657B" w:rsidRDefault="00ED657B" w:rsidP="006D2E66">
      <w:pPr>
        <w:pStyle w:val="HChG"/>
      </w:pPr>
      <w:r w:rsidRPr="00ED657B">
        <w:tab/>
        <w:t>III.</w:t>
      </w:r>
      <w:r w:rsidRPr="00ED657B">
        <w:tab/>
        <w:t>Artículo 4</w:t>
      </w:r>
    </w:p>
    <w:p w:rsidR="00ED657B" w:rsidRPr="00ED657B" w:rsidRDefault="00ED657B" w:rsidP="006D2E66">
      <w:pPr>
        <w:pStyle w:val="SingleTxtG"/>
        <w:rPr>
          <w:bCs/>
          <w:iCs/>
        </w:rPr>
      </w:pPr>
      <w:r w:rsidRPr="00ED657B">
        <w:t>46.</w:t>
      </w:r>
      <w:r w:rsidRPr="00ED657B">
        <w:tab/>
        <w:t xml:space="preserve">La legislación del Estado parte define la noción de discriminación. Esta definición </w:t>
      </w:r>
      <w:r w:rsidR="006D2E66">
        <w:t>figura</w:t>
      </w:r>
      <w:r w:rsidRPr="00ED657B">
        <w:t xml:space="preserve"> en el artículo</w:t>
      </w:r>
      <w:r w:rsidR="006D2E66">
        <w:t xml:space="preserve"> </w:t>
      </w:r>
      <w:r w:rsidRPr="00ED657B">
        <w:t xml:space="preserve">390 del Código Penal de 1995, </w:t>
      </w:r>
      <w:r w:rsidR="006D2E66">
        <w:t>que</w:t>
      </w:r>
      <w:r w:rsidRPr="00ED657B">
        <w:t xml:space="preserve"> dispone: “Se </w:t>
      </w:r>
      <w:r w:rsidR="006D2E66">
        <w:t>entiende por</w:t>
      </w:r>
      <w:r w:rsidRPr="00ED657B">
        <w:t xml:space="preserve"> discriminación toda distinción establecida entre personas físicas por motivos de origen, sexo, situación familiar, estado de salud, discapacidad, costumbres, opiniones políticas, actividades sindicales o pertenencia o no pertenencia, real o supuesta, a una determinada etnia, nación, raza o religión</w:t>
      </w:r>
      <w:r w:rsidR="006D2E66">
        <w:t>”</w:t>
      </w:r>
      <w:r w:rsidRPr="00ED657B">
        <w:t>.</w:t>
      </w:r>
    </w:p>
    <w:p w:rsidR="00ED657B" w:rsidRPr="00ED657B" w:rsidRDefault="00ED657B" w:rsidP="006D2E66">
      <w:pPr>
        <w:pStyle w:val="SingleTxtG"/>
      </w:pPr>
      <w:r w:rsidRPr="00ED657B">
        <w:t>47.</w:t>
      </w:r>
      <w:r w:rsidRPr="00ED657B">
        <w:tab/>
        <w:t>Esta definición es casi idéntica a la enunciada en el artículo 1 de la Convención Internacional sobre la Eliminación de Todas las Formas de Discriminación Racial.</w:t>
      </w:r>
    </w:p>
    <w:p w:rsidR="00ED657B" w:rsidRPr="00ED657B" w:rsidRDefault="00ED657B" w:rsidP="006D2E66">
      <w:pPr>
        <w:pStyle w:val="SingleTxtG"/>
      </w:pPr>
      <w:r w:rsidRPr="00ED657B">
        <w:t>48.</w:t>
      </w:r>
      <w:r w:rsidRPr="00ED657B">
        <w:tab/>
      </w:r>
      <w:r w:rsidR="006D2E66">
        <w:t>L</w:t>
      </w:r>
      <w:r w:rsidRPr="00ED657B">
        <w:t>a Ley de Ciberdelincuencia</w:t>
      </w:r>
      <w:r w:rsidR="006D2E66">
        <w:t>,</w:t>
      </w:r>
      <w:r w:rsidRPr="00ED657B">
        <w:t xml:space="preserve"> promulgada en 2014</w:t>
      </w:r>
      <w:r w:rsidR="006D2E66">
        <w:t>,</w:t>
      </w:r>
      <w:r w:rsidRPr="00ED657B">
        <w:t xml:space="preserve"> refuerza las disposiciones del Código Penal antes mencionadas. En ella se definen los </w:t>
      </w:r>
      <w:r w:rsidR="006D2E66">
        <w:t>calificativos</w:t>
      </w:r>
      <w:r w:rsidRPr="00ED657B">
        <w:t xml:space="preserve"> </w:t>
      </w:r>
      <w:r w:rsidR="006D2E66">
        <w:t>“racista”</w:t>
      </w:r>
      <w:r w:rsidRPr="00ED657B">
        <w:t xml:space="preserve"> y </w:t>
      </w:r>
      <w:r w:rsidR="006D2E66">
        <w:t>“</w:t>
      </w:r>
      <w:r w:rsidRPr="00ED657B">
        <w:t>xen</w:t>
      </w:r>
      <w:r w:rsidR="006D2E66">
        <w:t>ófobo”</w:t>
      </w:r>
      <w:r w:rsidRPr="00ED657B">
        <w:t xml:space="preserve">: </w:t>
      </w:r>
      <w:r w:rsidR="006D2E66">
        <w:t>“</w:t>
      </w:r>
      <w:r w:rsidRPr="00ED657B">
        <w:t xml:space="preserve">todo escrito, imagen o </w:t>
      </w:r>
      <w:r w:rsidR="006D2E66">
        <w:t>cualquier otra representación de</w:t>
      </w:r>
      <w:r w:rsidRPr="00ED657B">
        <w:t xml:space="preserve"> ideas o teorías que preconicen o alienten el odio, la discriminación o la violencia contra una persona o grupo de personas por motivos de raza, color, ascendencia u origen nacional o étnico o religión, en la medida en que esta última sirva de pretexto para alguno de estos elementos</w:t>
      </w:r>
      <w:r w:rsidR="006D2E66">
        <w:t>,</w:t>
      </w:r>
      <w:r w:rsidRPr="00ED657B">
        <w:t xml:space="preserve"> o que incite a </w:t>
      </w:r>
      <w:r w:rsidR="006D2E66">
        <w:t>cometer estos</w:t>
      </w:r>
      <w:r w:rsidRPr="00ED657B">
        <w:t xml:space="preserve"> actos</w:t>
      </w:r>
      <w:r w:rsidR="006D2E66">
        <w:t>”</w:t>
      </w:r>
      <w:r w:rsidRPr="00ED657B">
        <w:t>.</w:t>
      </w:r>
    </w:p>
    <w:p w:rsidR="00ED657B" w:rsidRPr="00ED657B" w:rsidRDefault="00ED657B" w:rsidP="006D2E66">
      <w:pPr>
        <w:pStyle w:val="SingleTxtG"/>
      </w:pPr>
      <w:r w:rsidRPr="00ED657B">
        <w:lastRenderedPageBreak/>
        <w:t>49.</w:t>
      </w:r>
      <w:r w:rsidRPr="00ED657B">
        <w:tab/>
        <w:t xml:space="preserve">El principio de la no discriminación y la igualdad está omnipresente en todo el corpus jurídico nacional. </w:t>
      </w:r>
      <w:r w:rsidR="006D2E66">
        <w:t>Es</w:t>
      </w:r>
      <w:r w:rsidRPr="00ED657B">
        <w:t xml:space="preserve"> </w:t>
      </w:r>
      <w:r w:rsidR="006D2E66">
        <w:t>el pilar en</w:t>
      </w:r>
      <w:r w:rsidRPr="00ED657B">
        <w:t xml:space="preserve"> que se apoya, no </w:t>
      </w:r>
      <w:r w:rsidR="006D2E66">
        <w:t>ya</w:t>
      </w:r>
      <w:r w:rsidRPr="00ED657B">
        <w:t xml:space="preserve"> la sociedad, sino la </w:t>
      </w:r>
      <w:r w:rsidR="006D2E66">
        <w:t>entera</w:t>
      </w:r>
      <w:r w:rsidR="006D2E66" w:rsidRPr="00ED657B">
        <w:t xml:space="preserve"> </w:t>
      </w:r>
      <w:r w:rsidRPr="00ED657B">
        <w:t>nación</w:t>
      </w:r>
      <w:r w:rsidR="006D2E66">
        <w:t xml:space="preserve"> </w:t>
      </w:r>
      <w:r w:rsidR="006D2E66" w:rsidRPr="00ED657B">
        <w:t>de Djibouti</w:t>
      </w:r>
      <w:r w:rsidRPr="00ED657B">
        <w:t xml:space="preserve">, cuyo lema es </w:t>
      </w:r>
      <w:r w:rsidR="006D2E66">
        <w:t>“</w:t>
      </w:r>
      <w:r w:rsidRPr="00ED657B">
        <w:t>Unidad, Igualdad y Paz</w:t>
      </w:r>
      <w:r w:rsidR="006D2E66">
        <w:t>”</w:t>
      </w:r>
      <w:r w:rsidRPr="00ED657B">
        <w:t xml:space="preserve">. </w:t>
      </w:r>
      <w:r w:rsidR="006D2E66">
        <w:t>S</w:t>
      </w:r>
      <w:r w:rsidRPr="00ED657B">
        <w:t xml:space="preserve">e trata </w:t>
      </w:r>
      <w:r w:rsidR="006D2E66">
        <w:t xml:space="preserve">pues </w:t>
      </w:r>
      <w:r w:rsidRPr="00ED657B">
        <w:t>de un principio fundamental al que debe remitirse el sistema político, social y jurídico del Estado parte.</w:t>
      </w:r>
    </w:p>
    <w:p w:rsidR="00ED657B" w:rsidRPr="00ED657B" w:rsidRDefault="00ED657B" w:rsidP="006D2E66">
      <w:pPr>
        <w:pStyle w:val="SingleTxtG"/>
      </w:pPr>
      <w:r w:rsidRPr="00ED657B">
        <w:t>50.</w:t>
      </w:r>
      <w:r w:rsidRPr="00ED657B">
        <w:tab/>
        <w:t>A fin de destacar la primacía del principio de igualdad y no discriminación, el Estado parte lo ha elevado al rango de norma constitucional, es decir, una norma superior a la que deben ajustarse todas las medidas y acciones de carácter legislativo, administrativo o de otra índole.</w:t>
      </w:r>
    </w:p>
    <w:p w:rsidR="00ED657B" w:rsidRPr="00ED657B" w:rsidRDefault="00ED657B" w:rsidP="006D2E66">
      <w:pPr>
        <w:pStyle w:val="SingleTxtG"/>
        <w:rPr>
          <w:bCs/>
          <w:iCs/>
        </w:rPr>
      </w:pPr>
      <w:r w:rsidRPr="00ED657B">
        <w:t>51.</w:t>
      </w:r>
      <w:r w:rsidRPr="00ED657B">
        <w:tab/>
        <w:t>Así</w:t>
      </w:r>
      <w:r w:rsidR="006D2E66">
        <w:t>, por ejemplo</w:t>
      </w:r>
      <w:r w:rsidRPr="00ED657B">
        <w:t xml:space="preserve">, el artículo 1 de la Constitución </w:t>
      </w:r>
      <w:r w:rsidR="006D2E66">
        <w:t>declara</w:t>
      </w:r>
      <w:r w:rsidRPr="00ED657B">
        <w:t xml:space="preserve"> que el </w:t>
      </w:r>
      <w:r w:rsidR="006D2E66">
        <w:t>“</w:t>
      </w:r>
      <w:r w:rsidRPr="00ED657B">
        <w:t>Estado de Djibouti es una república democrática, soberana, una e indivisible</w:t>
      </w:r>
      <w:r w:rsidR="006D2E66">
        <w:t xml:space="preserve"> que</w:t>
      </w:r>
      <w:r w:rsidRPr="00ED657B">
        <w:t xml:space="preserve"> </w:t>
      </w:r>
      <w:r w:rsidR="006D2E66" w:rsidRPr="00ED657B">
        <w:t>g</w:t>
      </w:r>
      <w:r w:rsidRPr="00ED657B">
        <w:t>arantiza a todos la igualdad ante la ley, sin distinción de idioma, origen, raza, sexo o religión</w:t>
      </w:r>
      <w:r w:rsidR="006D2E66">
        <w:t>, y en el</w:t>
      </w:r>
      <w:r w:rsidRPr="00ED657B">
        <w:t xml:space="preserve"> </w:t>
      </w:r>
      <w:r w:rsidR="006D2E66" w:rsidRPr="00ED657B">
        <w:t>r</w:t>
      </w:r>
      <w:r w:rsidRPr="00ED657B">
        <w:t>espet</w:t>
      </w:r>
      <w:r w:rsidR="006D2E66">
        <w:t>o</w:t>
      </w:r>
      <w:r w:rsidRPr="00ED657B">
        <w:t xml:space="preserve"> </w:t>
      </w:r>
      <w:r w:rsidR="006D2E66">
        <w:t xml:space="preserve">de </w:t>
      </w:r>
      <w:r w:rsidRPr="00ED657B">
        <w:t>todas las creencias”.</w:t>
      </w:r>
    </w:p>
    <w:p w:rsidR="00ED657B" w:rsidRPr="00ED657B" w:rsidRDefault="00ED657B" w:rsidP="006D2E66">
      <w:pPr>
        <w:pStyle w:val="SingleTxtG"/>
      </w:pPr>
      <w:r w:rsidRPr="00ED657B">
        <w:t>52.</w:t>
      </w:r>
      <w:r w:rsidRPr="00ED657B">
        <w:tab/>
        <w:t xml:space="preserve">Otros muchos artículos de la Constitución </w:t>
      </w:r>
      <w:r w:rsidR="006D2E66">
        <w:t>evocan</w:t>
      </w:r>
      <w:r w:rsidRPr="00ED657B">
        <w:t xml:space="preserve"> de manera clara e inequívoca la igualdad y la no discriminación en todas las situaciones. </w:t>
      </w:r>
    </w:p>
    <w:p w:rsidR="00ED657B" w:rsidRPr="00ED657B" w:rsidRDefault="00ED657B" w:rsidP="006D2E66">
      <w:pPr>
        <w:pStyle w:val="SingleTxtG"/>
        <w:rPr>
          <w:bCs/>
          <w:iCs/>
        </w:rPr>
      </w:pPr>
      <w:r w:rsidRPr="00ED657B">
        <w:t>53.</w:t>
      </w:r>
      <w:r w:rsidRPr="00ED657B">
        <w:tab/>
        <w:t xml:space="preserve">El artículo 3, párrafo 1, dispone que la </w:t>
      </w:r>
      <w:r w:rsidR="006D2E66">
        <w:t>“</w:t>
      </w:r>
      <w:r w:rsidRPr="00ED657B">
        <w:t>República de Djibouti está integrad</w:t>
      </w:r>
      <w:r w:rsidR="00C5017A">
        <w:t>a</w:t>
      </w:r>
      <w:r w:rsidRPr="00ED657B">
        <w:t xml:space="preserve"> por todas las personas que reconoce como miembros y aceptan los deberes que entraña esa condición sin distinción de lengua, raza, sexo o religión</w:t>
      </w:r>
      <w:r w:rsidR="006D2E66">
        <w:t>”</w:t>
      </w:r>
      <w:r w:rsidRPr="00ED657B">
        <w:t>.</w:t>
      </w:r>
    </w:p>
    <w:p w:rsidR="00ED657B" w:rsidRPr="00ED657B" w:rsidRDefault="00ED657B" w:rsidP="00C5017A">
      <w:pPr>
        <w:pStyle w:val="SingleTxtG"/>
        <w:rPr>
          <w:bCs/>
          <w:iCs/>
        </w:rPr>
      </w:pPr>
      <w:r w:rsidRPr="00ED657B">
        <w:t>54.</w:t>
      </w:r>
      <w:r w:rsidRPr="00ED657B">
        <w:tab/>
        <w:t xml:space="preserve">Los párrafos 2 y 3 del artículo 3 de la Constitución van más allá al disponer que la </w:t>
      </w:r>
      <w:r w:rsidR="00C5017A">
        <w:t>“</w:t>
      </w:r>
      <w:r w:rsidRPr="00ED657B">
        <w:t xml:space="preserve">soberanía nacional reside en el pueblo de Djibouti, que la ejerce por medio de sus representantes o mediante </w:t>
      </w:r>
      <w:r w:rsidRPr="00C5017A">
        <w:rPr>
          <w:i/>
        </w:rPr>
        <w:t>refer</w:t>
      </w:r>
      <w:r w:rsidR="00C5017A" w:rsidRPr="00C5017A">
        <w:rPr>
          <w:i/>
        </w:rPr>
        <w:t>e</w:t>
      </w:r>
      <w:r w:rsidRPr="00C5017A">
        <w:rPr>
          <w:i/>
        </w:rPr>
        <w:t>ndum</w:t>
      </w:r>
      <w:r w:rsidR="00C5017A">
        <w:t>”</w:t>
      </w:r>
      <w:r w:rsidRPr="00ED657B">
        <w:t xml:space="preserve">. </w:t>
      </w:r>
    </w:p>
    <w:p w:rsidR="00ED657B" w:rsidRPr="00ED657B" w:rsidRDefault="00ED657B" w:rsidP="00C5017A">
      <w:pPr>
        <w:pStyle w:val="SingleTxtG"/>
        <w:rPr>
          <w:bCs/>
          <w:iCs/>
        </w:rPr>
      </w:pPr>
      <w:r w:rsidRPr="00ED657B">
        <w:t>55.</w:t>
      </w:r>
      <w:r w:rsidRPr="00ED657B">
        <w:tab/>
      </w:r>
      <w:r w:rsidR="00C5017A">
        <w:t>“</w:t>
      </w:r>
      <w:r w:rsidRPr="00ED657B">
        <w:t>Ningún componente del pueblo ni ninguna persona podrá arrogarse su ejercicio.</w:t>
      </w:r>
      <w:r w:rsidR="00C5017A">
        <w:t xml:space="preserve"> </w:t>
      </w:r>
      <w:r w:rsidRPr="00ED657B">
        <w:t>Nadie podrá ser despojado arbitrariamente de su calidad de miembro de la comunidad nacional</w:t>
      </w:r>
      <w:r w:rsidR="00C5017A">
        <w:t>”</w:t>
      </w:r>
      <w:r w:rsidR="00610A42">
        <w:t>.</w:t>
      </w:r>
    </w:p>
    <w:p w:rsidR="00ED657B" w:rsidRPr="00ED657B" w:rsidRDefault="00ED657B" w:rsidP="00C5017A">
      <w:pPr>
        <w:pStyle w:val="SingleTxtG"/>
      </w:pPr>
      <w:r w:rsidRPr="00ED657B">
        <w:t>56.</w:t>
      </w:r>
      <w:r w:rsidRPr="00ED657B">
        <w:tab/>
        <w:t xml:space="preserve">Los nacionales no son los únicos beneficiarios del principio de igualdad y no discriminación. El artículo 18 de la Constitución reconoce al extranjero la protección </w:t>
      </w:r>
      <w:r w:rsidR="00C5017A" w:rsidRPr="00ED657B">
        <w:t xml:space="preserve">tanto </w:t>
      </w:r>
      <w:r w:rsidRPr="00ED657B">
        <w:t>personal como de sus bienes.</w:t>
      </w:r>
    </w:p>
    <w:p w:rsidR="00ED657B" w:rsidRPr="00ED657B" w:rsidRDefault="00ED657B" w:rsidP="00C5017A">
      <w:pPr>
        <w:pStyle w:val="SingleTxtG"/>
      </w:pPr>
      <w:r w:rsidRPr="00ED657B">
        <w:t>57.</w:t>
      </w:r>
      <w:r w:rsidRPr="00ED657B">
        <w:tab/>
        <w:t>En la esfera política, donde pueden producirse derivas como la intolerancia o la incitación al odio racial o tribal, el Estado parte ha adoptado medidas constitucionales y legislativas adecuadas. El artículo 6 de la Constitución y la Ley núm. 1/AN/92/2ª L, de 15</w:t>
      </w:r>
      <w:r w:rsidR="00610A42">
        <w:t> </w:t>
      </w:r>
      <w:r w:rsidRPr="00ED657B">
        <w:t>de septiembre de 1992, sobre los partidos políticos en Djibouti</w:t>
      </w:r>
      <w:r w:rsidR="00C5017A">
        <w:t>,</w:t>
      </w:r>
      <w:r w:rsidRPr="00ED657B">
        <w:t xml:space="preserve"> proh</w:t>
      </w:r>
      <w:r w:rsidR="00C5017A">
        <w:t>í</w:t>
      </w:r>
      <w:r w:rsidRPr="00ED657B">
        <w:t xml:space="preserve">be a los partidos políticos </w:t>
      </w:r>
      <w:r w:rsidR="00C5017A">
        <w:t>“</w:t>
      </w:r>
      <w:r w:rsidRPr="00ED657B">
        <w:t>identificarse con una raza, etnia, sexo, religión, secta, idioma o región</w:t>
      </w:r>
      <w:r w:rsidR="00C5017A">
        <w:t>”</w:t>
      </w:r>
      <w:r w:rsidRPr="00ED657B">
        <w:t xml:space="preserve">. Esta prohibición lleva aparejada sanciones administrativas y penales. El partido político que se constituya conculcando esta disposición no puede obtener el certificado que acredite su existencia </w:t>
      </w:r>
      <w:r w:rsidR="00C5017A">
        <w:t>legal</w:t>
      </w:r>
      <w:r w:rsidRPr="00ED657B">
        <w:t>.</w:t>
      </w:r>
    </w:p>
    <w:p w:rsidR="00ED657B" w:rsidRPr="00ED657B" w:rsidRDefault="00ED657B" w:rsidP="00C5017A">
      <w:pPr>
        <w:pStyle w:val="SingleTxtG"/>
      </w:pPr>
      <w:r w:rsidRPr="00ED657B">
        <w:t>58.</w:t>
      </w:r>
      <w:r w:rsidRPr="00ED657B">
        <w:tab/>
        <w:t xml:space="preserve">La </w:t>
      </w:r>
      <w:r w:rsidR="00C5017A" w:rsidRPr="00ED657B">
        <w:t>l</w:t>
      </w:r>
      <w:r w:rsidRPr="00ED657B">
        <w:t xml:space="preserve">ey autoriza al Gobierno a </w:t>
      </w:r>
      <w:r w:rsidR="00C5017A">
        <w:t>pedir</w:t>
      </w:r>
      <w:r w:rsidRPr="00ED657B">
        <w:t xml:space="preserve"> al juez la disolución de la organización de que se trate.</w:t>
      </w:r>
    </w:p>
    <w:p w:rsidR="00ED657B" w:rsidRPr="00ED657B" w:rsidRDefault="00ED657B" w:rsidP="00C5017A">
      <w:pPr>
        <w:pStyle w:val="SingleTxtG"/>
      </w:pPr>
      <w:r w:rsidRPr="00ED657B">
        <w:t>59.</w:t>
      </w:r>
      <w:r w:rsidRPr="00ED657B">
        <w:tab/>
        <w:t xml:space="preserve">En esta misma óptica de prevenir la exclusión y la explotación política de las diferencias étnicas como las especificadas en la recomendación general núm. XV relativa al artículo 4 de la Convención, la ley exige que los fundadores de un partido político sean originarios de distintas regiones y componentes de la comunidad nacional. </w:t>
      </w:r>
    </w:p>
    <w:p w:rsidR="00ED657B" w:rsidRPr="00ED657B" w:rsidRDefault="00ED657B" w:rsidP="00C5017A">
      <w:pPr>
        <w:pStyle w:val="SingleTxtG"/>
      </w:pPr>
      <w:r w:rsidRPr="00ED657B">
        <w:t>60.</w:t>
      </w:r>
      <w:r w:rsidRPr="00ED657B">
        <w:tab/>
        <w:t>Esta obligación es crucial y su cumplimiento está estrictamente controlado por una comisión de verificación integrada por seis personalidades, entre ellas un magistrado.</w:t>
      </w:r>
    </w:p>
    <w:p w:rsidR="00ED657B" w:rsidRPr="00ED657B" w:rsidRDefault="00ED657B" w:rsidP="00C5017A">
      <w:pPr>
        <w:pStyle w:val="SingleTxtG"/>
      </w:pPr>
      <w:r w:rsidRPr="00ED657B">
        <w:t>61.</w:t>
      </w:r>
      <w:r w:rsidRPr="00ED657B">
        <w:tab/>
      </w:r>
      <w:r w:rsidR="00C5017A">
        <w:t>A este respecto también existen</w:t>
      </w:r>
      <w:r w:rsidRPr="00ED657B">
        <w:t xml:space="preserve"> disposiciones penales; a las personas declar</w:t>
      </w:r>
      <w:r w:rsidR="00C5017A">
        <w:t>adas</w:t>
      </w:r>
      <w:r w:rsidRPr="00ED657B">
        <w:t xml:space="preserve"> culpables de vulnerar esa disposición </w:t>
      </w:r>
      <w:r w:rsidR="00C5017A">
        <w:t xml:space="preserve">se les puede imponer </w:t>
      </w:r>
      <w:r w:rsidRPr="00ED657B">
        <w:t>una pena de prisión y una multa.</w:t>
      </w:r>
    </w:p>
    <w:p w:rsidR="00ED657B" w:rsidRPr="00ED657B" w:rsidRDefault="00ED657B" w:rsidP="00C5017A">
      <w:pPr>
        <w:pStyle w:val="SingleTxtG"/>
        <w:rPr>
          <w:bCs/>
          <w:iCs/>
        </w:rPr>
      </w:pPr>
      <w:r w:rsidRPr="00ED657B">
        <w:t>62.</w:t>
      </w:r>
      <w:r w:rsidRPr="00ED657B">
        <w:tab/>
        <w:t xml:space="preserve">Más allá de estas disposiciones específicas de determinados sectores, la legislación del Estado parte, como se </w:t>
      </w:r>
      <w:r w:rsidR="00C5017A">
        <w:t>indicó</w:t>
      </w:r>
      <w:r w:rsidRPr="00ED657B">
        <w:t xml:space="preserve"> anteriormente, tipifica de manera general la discriminación como delito. Así</w:t>
      </w:r>
      <w:r w:rsidR="00C5017A">
        <w:t xml:space="preserve"> pues</w:t>
      </w:r>
      <w:r w:rsidRPr="00ED657B">
        <w:t xml:space="preserve">, el artículo 390 del Código Penal define la </w:t>
      </w:r>
      <w:r w:rsidRPr="00ED657B">
        <w:lastRenderedPageBreak/>
        <w:t xml:space="preserve">discriminación como </w:t>
      </w:r>
      <w:r w:rsidR="00C5017A">
        <w:t>“</w:t>
      </w:r>
      <w:r w:rsidRPr="00ED657B">
        <w:t>toda distinción establecida entre personas físicas por motivos de origen, sexo, situación familiar, estado de salud, discapacidad, costumbres, opiniones políticas, actividades sindicales</w:t>
      </w:r>
      <w:r w:rsidR="00C5017A">
        <w:t xml:space="preserve"> o</w:t>
      </w:r>
      <w:r w:rsidRPr="00ED657B">
        <w:t xml:space="preserve"> pertenencia o no pertenencia, real o supuesta, a una determinada etnia, nación, raza o religión</w:t>
      </w:r>
      <w:r w:rsidR="00C5017A">
        <w:t>”</w:t>
      </w:r>
      <w:r w:rsidRPr="00ED657B">
        <w:t>.</w:t>
      </w:r>
    </w:p>
    <w:p w:rsidR="00ED657B" w:rsidRPr="00ED657B" w:rsidRDefault="00ED657B" w:rsidP="00C5017A">
      <w:pPr>
        <w:pStyle w:val="SingleTxtG"/>
      </w:pPr>
      <w:r w:rsidRPr="00ED657B">
        <w:t>63.</w:t>
      </w:r>
      <w:r w:rsidRPr="00ED657B">
        <w:tab/>
        <w:t xml:space="preserve">El autor o autores de actos </w:t>
      </w:r>
      <w:r w:rsidR="00C5017A">
        <w:t xml:space="preserve">que se </w:t>
      </w:r>
      <w:r w:rsidRPr="00ED657B">
        <w:t>consider</w:t>
      </w:r>
      <w:r w:rsidR="00C5017A">
        <w:t>en</w:t>
      </w:r>
      <w:r w:rsidRPr="00ED657B">
        <w:t xml:space="preserve"> discriminatorios pueden incurrir en una pena de hasta dos años de prisión firme y una multa de 500.000 francos de Djibouti (1 dólar de los E</w:t>
      </w:r>
      <w:r w:rsidR="00610A42">
        <w:t xml:space="preserve">stados </w:t>
      </w:r>
      <w:r w:rsidRPr="00ED657B">
        <w:t>U</w:t>
      </w:r>
      <w:r w:rsidR="00610A42">
        <w:t>nidos</w:t>
      </w:r>
      <w:r w:rsidRPr="00ED657B">
        <w:t xml:space="preserve"> = 177,77 francos de Djibouti). </w:t>
      </w:r>
    </w:p>
    <w:p w:rsidR="00ED657B" w:rsidRPr="00ED657B" w:rsidRDefault="00ED657B" w:rsidP="00C5017A">
      <w:pPr>
        <w:pStyle w:val="SingleTxtG"/>
      </w:pPr>
      <w:r w:rsidRPr="00ED657B">
        <w:t>64.</w:t>
      </w:r>
      <w:r w:rsidRPr="00ED657B">
        <w:tab/>
        <w:t xml:space="preserve">Cuando un funcionario público en el ejercicio de sus funciones comete este delito, la pena se aumenta a tres años de prisión firme y una multa de 1.000.000 </w:t>
      </w:r>
      <w:r w:rsidR="00C5017A">
        <w:t xml:space="preserve">de </w:t>
      </w:r>
      <w:r w:rsidRPr="00ED657B">
        <w:t>francos.</w:t>
      </w:r>
    </w:p>
    <w:p w:rsidR="00ED657B" w:rsidRPr="00ED657B" w:rsidRDefault="00ED657B" w:rsidP="00C5017A">
      <w:pPr>
        <w:pStyle w:val="SingleTxtG"/>
      </w:pPr>
      <w:r w:rsidRPr="00ED657B">
        <w:t>65.</w:t>
      </w:r>
      <w:r w:rsidRPr="00ED657B">
        <w:tab/>
        <w:t xml:space="preserve">De conformidad con el artículo 4 de la Convención, el Estado parte ha </w:t>
      </w:r>
      <w:r w:rsidR="00C5017A">
        <w:t>dispuesto</w:t>
      </w:r>
      <w:r w:rsidRPr="00ED657B">
        <w:t xml:space="preserve"> que la incitación al odio racial y la incitación a la discriminación constituyen una infracción. Dos leyes de 1992 y 2014, respectivamente, tipifican esta infracción.</w:t>
      </w:r>
    </w:p>
    <w:p w:rsidR="00ED657B" w:rsidRPr="00ED657B" w:rsidRDefault="00ED657B" w:rsidP="00C5017A">
      <w:pPr>
        <w:pStyle w:val="SingleTxtG"/>
      </w:pPr>
      <w:r w:rsidRPr="00ED657B">
        <w:t>66.</w:t>
      </w:r>
      <w:r w:rsidRPr="00ED657B">
        <w:tab/>
        <w:t>La Ley de Libertad de Comunicación</w:t>
      </w:r>
      <w:r w:rsidR="00C5017A" w:rsidRPr="00ED657B">
        <w:t>, de 1992,</w:t>
      </w:r>
      <w:r w:rsidRPr="00ED657B">
        <w:t xml:space="preserve"> dispone en su artículo 4 que la </w:t>
      </w:r>
      <w:r w:rsidR="00C5017A">
        <w:t>“</w:t>
      </w:r>
      <w:r w:rsidRPr="00ED657B">
        <w:t>libertad de comunicación no debe amparar ninguna información o inserto de prensa que pueda hacer apología del racismo, el tribalismo, la traición o el fanatismo</w:t>
      </w:r>
      <w:r w:rsidR="00C5017A">
        <w:t>”</w:t>
      </w:r>
      <w:r w:rsidRPr="00ED657B">
        <w:t>.</w:t>
      </w:r>
    </w:p>
    <w:p w:rsidR="00ED657B" w:rsidRPr="00ED657B" w:rsidRDefault="00ED657B" w:rsidP="00C5017A">
      <w:pPr>
        <w:pStyle w:val="SingleTxtG"/>
      </w:pPr>
      <w:r w:rsidRPr="00ED657B">
        <w:t>67.</w:t>
      </w:r>
      <w:r w:rsidRPr="00ED657B">
        <w:tab/>
        <w:t xml:space="preserve">La Ley de 2014 sobre la Ciberdelincuencia </w:t>
      </w:r>
      <w:r w:rsidR="00C5017A">
        <w:t>contiene</w:t>
      </w:r>
      <w:r w:rsidRPr="00ED657B">
        <w:t xml:space="preserve"> numerosas disposiciones que tratan de actos racistas y xenófobos cometidos en el contexto de las nuevas tecnologías.</w:t>
      </w:r>
    </w:p>
    <w:p w:rsidR="00ED657B" w:rsidRPr="00ED657B" w:rsidRDefault="00ED657B" w:rsidP="00C5017A">
      <w:pPr>
        <w:pStyle w:val="SingleTxtG"/>
      </w:pPr>
      <w:r w:rsidRPr="00ED657B">
        <w:t>68.</w:t>
      </w:r>
      <w:r w:rsidRPr="00ED657B">
        <w:tab/>
        <w:t xml:space="preserve">La Ley castiga severamente con una pena de prisión de </w:t>
      </w:r>
      <w:r w:rsidR="00610A42">
        <w:t>cinco</w:t>
      </w:r>
      <w:r w:rsidRPr="00ED657B">
        <w:t xml:space="preserve"> a </w:t>
      </w:r>
      <w:r w:rsidR="00610A42">
        <w:t>diez</w:t>
      </w:r>
      <w:r w:rsidRPr="00ED657B">
        <w:t xml:space="preserve"> años a</w:t>
      </w:r>
      <w:r w:rsidR="00C5017A">
        <w:t xml:space="preserve"> quienes</w:t>
      </w:r>
      <w:r w:rsidRPr="00ED657B">
        <w:t>:</w:t>
      </w:r>
    </w:p>
    <w:p w:rsidR="00ED657B" w:rsidRPr="00ED657B" w:rsidRDefault="00C5017A" w:rsidP="00C5017A">
      <w:pPr>
        <w:pStyle w:val="Bullet1G"/>
      </w:pPr>
      <w:r>
        <w:t>C</w:t>
      </w:r>
      <w:r w:rsidR="00ED657B" w:rsidRPr="00ED657B">
        <w:t>ree</w:t>
      </w:r>
      <w:r>
        <w:t>n</w:t>
      </w:r>
      <w:r w:rsidR="00ED657B" w:rsidRPr="00ED657B">
        <w:t>, descargue</w:t>
      </w:r>
      <w:r>
        <w:t>n</w:t>
      </w:r>
      <w:r w:rsidR="00ED657B" w:rsidRPr="00ED657B">
        <w:t xml:space="preserve"> o difunda</w:t>
      </w:r>
      <w:r>
        <w:t>n</w:t>
      </w:r>
      <w:r w:rsidR="00ED657B" w:rsidRPr="00ED657B">
        <w:t xml:space="preserve"> escritos, mensajes, fotografías, dibujos o cualquier otra representación de ideas o teorías de carácter racista o xenófobo;</w:t>
      </w:r>
    </w:p>
    <w:p w:rsidR="00ED657B" w:rsidRPr="00ED657B" w:rsidRDefault="00C5017A" w:rsidP="00C5017A">
      <w:pPr>
        <w:pStyle w:val="Bullet1G"/>
      </w:pPr>
      <w:r>
        <w:t>Profieran</w:t>
      </w:r>
      <w:r w:rsidR="00ED657B" w:rsidRPr="00ED657B">
        <w:t xml:space="preserve"> amenazas o insultos de carácter racista.</w:t>
      </w:r>
    </w:p>
    <w:p w:rsidR="00ED657B" w:rsidRPr="00ED657B" w:rsidRDefault="00ED657B" w:rsidP="00C5017A">
      <w:pPr>
        <w:pStyle w:val="SingleTxtG"/>
      </w:pPr>
      <w:r w:rsidRPr="00ED657B">
        <w:t>69.</w:t>
      </w:r>
      <w:r w:rsidRPr="00ED657B">
        <w:tab/>
      </w:r>
      <w:r w:rsidR="00C5017A">
        <w:t xml:space="preserve">El Estado parte también dispone, desde hace tiempo, de leyes </w:t>
      </w:r>
      <w:r w:rsidRPr="00ED657B">
        <w:t>para prevenir y com</w:t>
      </w:r>
      <w:r w:rsidR="00C5017A">
        <w:t>b</w:t>
      </w:r>
      <w:r w:rsidRPr="00ED657B">
        <w:t xml:space="preserve">atir los crímenes de genocidio y de lesa humanidad. Esta legislación se completó con la ley de 2014, que sanciona a </w:t>
      </w:r>
      <w:r w:rsidR="00C5017A">
        <w:t>“</w:t>
      </w:r>
      <w:r w:rsidRPr="00ED657B">
        <w:t>toda persona que deliberadamente niegue, apruebe o justifique los actos constitutivos de genocidio o crímenes de lesa humanidad</w:t>
      </w:r>
      <w:r w:rsidR="00C5017A">
        <w:t>”</w:t>
      </w:r>
      <w:r w:rsidRPr="00ED657B">
        <w:t xml:space="preserve">. </w:t>
      </w:r>
      <w:r w:rsidR="00C5017A">
        <w:t xml:space="preserve">No hay prescripción para </w:t>
      </w:r>
      <w:r w:rsidR="00C5017A" w:rsidRPr="00ED657B">
        <w:t>e</w:t>
      </w:r>
      <w:r w:rsidRPr="00ED657B">
        <w:t>stos dos delitos.</w:t>
      </w:r>
    </w:p>
    <w:p w:rsidR="00ED657B" w:rsidRPr="00ED657B" w:rsidRDefault="00ED657B" w:rsidP="00C5017A">
      <w:pPr>
        <w:pStyle w:val="HChG"/>
      </w:pPr>
      <w:r w:rsidRPr="00ED657B">
        <w:tab/>
        <w:t>IV.</w:t>
      </w:r>
      <w:r w:rsidRPr="00ED657B">
        <w:tab/>
        <w:t>Artículo 5</w:t>
      </w:r>
    </w:p>
    <w:p w:rsidR="00ED657B" w:rsidRPr="00ED657B" w:rsidRDefault="00C5017A" w:rsidP="00C5017A">
      <w:pPr>
        <w:pStyle w:val="H1G"/>
      </w:pPr>
      <w:r>
        <w:tab/>
      </w:r>
      <w:r w:rsidR="00ED657B" w:rsidRPr="00ED657B">
        <w:tab/>
        <w:t xml:space="preserve">Derechos civiles y políticos </w:t>
      </w:r>
    </w:p>
    <w:p w:rsidR="00ED657B" w:rsidRPr="00ED657B" w:rsidRDefault="00ED657B" w:rsidP="00C5017A">
      <w:pPr>
        <w:pStyle w:val="SingleTxtG"/>
        <w:rPr>
          <w:bCs/>
        </w:rPr>
      </w:pPr>
      <w:r w:rsidRPr="00ED657B">
        <w:t>70.</w:t>
      </w:r>
      <w:r w:rsidRPr="00ED657B">
        <w:tab/>
        <w:t xml:space="preserve">Los fundamentos del derecho de la persona a la libertad de expresión se </w:t>
      </w:r>
      <w:r w:rsidR="009F2950">
        <w:t xml:space="preserve">encuentran </w:t>
      </w:r>
      <w:r w:rsidRPr="00ED657B">
        <w:t xml:space="preserve">en el artículo 15 de la Constitución, que dispone que </w:t>
      </w:r>
      <w:r w:rsidR="00C5017A">
        <w:t>“</w:t>
      </w:r>
      <w:r w:rsidRPr="00ED657B">
        <w:t xml:space="preserve">toda persona tiene derecho a expresar y difundir libremente sus opiniones de palabra, por escrito o mediante imágenes. El límite de estos derechos se </w:t>
      </w:r>
      <w:r w:rsidR="009F2950">
        <w:t>sitúa</w:t>
      </w:r>
      <w:r w:rsidRPr="00ED657B">
        <w:t xml:space="preserve"> en lo dispuesto por las leyes y </w:t>
      </w:r>
      <w:r w:rsidR="009F2950">
        <w:t xml:space="preserve">en </w:t>
      </w:r>
      <w:r w:rsidRPr="00ED657B">
        <w:t>el honor ajeno</w:t>
      </w:r>
      <w:r w:rsidR="00C5017A">
        <w:t>”</w:t>
      </w:r>
      <w:r w:rsidRPr="00ED657B">
        <w:t>.</w:t>
      </w:r>
    </w:p>
    <w:p w:rsidR="00ED657B" w:rsidRPr="00ED657B" w:rsidRDefault="00ED657B" w:rsidP="009F2950">
      <w:pPr>
        <w:pStyle w:val="SingleTxtG"/>
        <w:rPr>
          <w:bCs/>
        </w:rPr>
      </w:pPr>
      <w:r w:rsidRPr="00ED657B">
        <w:t>71.</w:t>
      </w:r>
      <w:r w:rsidRPr="00ED657B">
        <w:tab/>
        <w:t xml:space="preserve">El Código Penal protege el ejercicio del derecho de opinión al reprimir todo acto encaminado a </w:t>
      </w:r>
      <w:r w:rsidR="009F2950">
        <w:t>“</w:t>
      </w:r>
      <w:r w:rsidRPr="00ED657B">
        <w:t>obstaculizar de manera concertada y mediante golpes, agresión de palabra y obra, amenazas, destrucción o daños</w:t>
      </w:r>
      <w:r w:rsidR="009F2950">
        <w:t>”;</w:t>
      </w:r>
      <w:r w:rsidRPr="00ED657B">
        <w:t xml:space="preserve"> </w:t>
      </w:r>
      <w:r w:rsidR="009F2950">
        <w:t>estos actos</w:t>
      </w:r>
      <w:r w:rsidRPr="00ED657B">
        <w:t xml:space="preserve"> </w:t>
      </w:r>
      <w:r w:rsidR="009F2950">
        <w:t>“</w:t>
      </w:r>
      <w:r w:rsidRPr="00ED657B">
        <w:t>está</w:t>
      </w:r>
      <w:r w:rsidR="009F2950">
        <w:t>n</w:t>
      </w:r>
      <w:r w:rsidRPr="00ED657B">
        <w:t xml:space="preserve"> penado</w:t>
      </w:r>
      <w:r w:rsidR="009F2950">
        <w:t>s</w:t>
      </w:r>
      <w:r w:rsidRPr="00ED657B">
        <w:t xml:space="preserve"> con tres años de prisión y una multa de 1.000.000 de francos de Djibouti</w:t>
      </w:r>
      <w:r w:rsidR="009F2950">
        <w:t>”</w:t>
      </w:r>
      <w:r w:rsidRPr="00ED657B">
        <w:t xml:space="preserve"> (art. 388). </w:t>
      </w:r>
    </w:p>
    <w:p w:rsidR="00ED657B" w:rsidRPr="00ED657B" w:rsidRDefault="00ED657B" w:rsidP="009F2950">
      <w:pPr>
        <w:pStyle w:val="SingleTxtG"/>
      </w:pPr>
      <w:r w:rsidRPr="00ED657B">
        <w:t>72.</w:t>
      </w:r>
      <w:r w:rsidRPr="00ED657B">
        <w:tab/>
        <w:t>Por consiguiente, el delito de opinión no está tipificado en la legislación de Djibouti.</w:t>
      </w:r>
    </w:p>
    <w:p w:rsidR="00ED657B" w:rsidRPr="00ED657B" w:rsidRDefault="00ED657B" w:rsidP="009F2950">
      <w:pPr>
        <w:pStyle w:val="SingleTxtG"/>
      </w:pPr>
      <w:r w:rsidRPr="00ED657B">
        <w:t>73.</w:t>
      </w:r>
      <w:r w:rsidRPr="00ED657B">
        <w:tab/>
      </w:r>
      <w:r w:rsidR="009F2950">
        <w:t>Las restantes</w:t>
      </w:r>
      <w:r w:rsidRPr="00ED657B">
        <w:t xml:space="preserve"> libertades también están amparadas por el marco constitucional, legislativo y reglamentario</w:t>
      </w:r>
      <w:r w:rsidR="009F2950">
        <w:t xml:space="preserve"> nacional</w:t>
      </w:r>
      <w:r w:rsidRPr="00ED657B">
        <w:t>. Estas libertades son, entre otras, la libertad de asociación, religión y culto.</w:t>
      </w:r>
    </w:p>
    <w:p w:rsidR="00ED657B" w:rsidRPr="00ED657B" w:rsidRDefault="00ED657B" w:rsidP="009F2950">
      <w:pPr>
        <w:pStyle w:val="SingleTxtG"/>
      </w:pPr>
      <w:r w:rsidRPr="00ED657B">
        <w:t>74.</w:t>
      </w:r>
      <w:r w:rsidRPr="00ED657B">
        <w:tab/>
        <w:t xml:space="preserve">Este marco se </w:t>
      </w:r>
      <w:r w:rsidR="009F2950">
        <w:t>ha visto reforzado</w:t>
      </w:r>
      <w:r w:rsidRPr="00ED657B">
        <w:t xml:space="preserve"> con la ratificación del Pacto Internacional de Derechos Civiles y Políticos y la Carta Africana de Derechos Humanos.</w:t>
      </w:r>
    </w:p>
    <w:p w:rsidR="00ED657B" w:rsidRPr="00ED657B" w:rsidRDefault="00ED657B" w:rsidP="009F2950">
      <w:pPr>
        <w:pStyle w:val="SingleTxtG"/>
      </w:pPr>
      <w:r w:rsidRPr="00ED657B">
        <w:lastRenderedPageBreak/>
        <w:t>75.</w:t>
      </w:r>
      <w:r w:rsidRPr="00ED657B">
        <w:tab/>
        <w:t>E</w:t>
      </w:r>
      <w:r w:rsidR="009F2950">
        <w:t>stos</w:t>
      </w:r>
      <w:r w:rsidRPr="00ED657B">
        <w:t xml:space="preserve"> instrumentos </w:t>
      </w:r>
      <w:r w:rsidR="009F2950">
        <w:t>han sido objeto de</w:t>
      </w:r>
      <w:r w:rsidRPr="00ED657B">
        <w:t xml:space="preserve"> informes periódicos a los </w:t>
      </w:r>
      <w:r w:rsidR="009F2950">
        <w:t>respectivos</w:t>
      </w:r>
      <w:r w:rsidRPr="00ED657B">
        <w:t xml:space="preserve"> órganos de control.</w:t>
      </w:r>
    </w:p>
    <w:p w:rsidR="00ED657B" w:rsidRPr="00ED657B" w:rsidRDefault="009F2950" w:rsidP="009F2950">
      <w:pPr>
        <w:pStyle w:val="H1G"/>
      </w:pPr>
      <w:r>
        <w:tab/>
      </w:r>
      <w:r w:rsidR="00ED657B" w:rsidRPr="00ED657B">
        <w:tab/>
        <w:t>Derechos económicos, sociales y culturales</w:t>
      </w:r>
    </w:p>
    <w:p w:rsidR="00ED657B" w:rsidRPr="00ED657B" w:rsidRDefault="00ED657B" w:rsidP="009F2950">
      <w:pPr>
        <w:pStyle w:val="SingleTxtG"/>
      </w:pPr>
      <w:r w:rsidRPr="00ED657B">
        <w:t>76.</w:t>
      </w:r>
      <w:r w:rsidRPr="00ED657B">
        <w:tab/>
        <w:t>La discriminación también está prohibida en los ámbitos económico y social.</w:t>
      </w:r>
    </w:p>
    <w:p w:rsidR="00ED657B" w:rsidRPr="00ED657B" w:rsidRDefault="009F2950" w:rsidP="009F2950">
      <w:pPr>
        <w:pStyle w:val="H23G"/>
      </w:pPr>
      <w:r>
        <w:tab/>
      </w:r>
      <w:r w:rsidR="00ED657B" w:rsidRPr="00ED657B">
        <w:tab/>
        <w:t>Empleo</w:t>
      </w:r>
    </w:p>
    <w:p w:rsidR="00ED657B" w:rsidRPr="00ED657B" w:rsidRDefault="00ED657B" w:rsidP="009F2950">
      <w:pPr>
        <w:pStyle w:val="SingleTxtG"/>
      </w:pPr>
      <w:r w:rsidRPr="00ED657B">
        <w:t>77.</w:t>
      </w:r>
      <w:r w:rsidRPr="00ED657B">
        <w:tab/>
        <w:t>La Ley núm. 133/AN/05/5ª L, de 28 de enero de 2006, relativa al Código de Trabajo</w:t>
      </w:r>
      <w:r w:rsidR="009F2950">
        <w:t>,</w:t>
      </w:r>
      <w:r w:rsidRPr="00ED657B">
        <w:t xml:space="preserve"> recuerda a su vez que las relaciones laborales deben estar libres de discriminación.</w:t>
      </w:r>
    </w:p>
    <w:p w:rsidR="00ED657B" w:rsidRPr="00ED657B" w:rsidRDefault="00ED657B" w:rsidP="009F2950">
      <w:pPr>
        <w:pStyle w:val="SingleTxtG"/>
      </w:pPr>
      <w:r w:rsidRPr="00ED657B">
        <w:t>78.</w:t>
      </w:r>
      <w:r w:rsidRPr="00ED657B">
        <w:tab/>
        <w:t>Así</w:t>
      </w:r>
      <w:r w:rsidR="009F2950">
        <w:t xml:space="preserve"> pues</w:t>
      </w:r>
      <w:r w:rsidRPr="00ED657B">
        <w:t xml:space="preserve">, el artículo 3 del Código dispone que </w:t>
      </w:r>
      <w:r w:rsidR="009F2950">
        <w:t>“</w:t>
      </w:r>
      <w:r w:rsidRPr="00ED657B">
        <w:t>ningún empleador podrá tener en cuenta el sexo, la edad, la raza, el color, el origen social, la nacionalidad o la ascendencia nacional, la pertenencia o no pertenencia a un sindicato, la actividad sindical o las opiniones, en particular religiosas y políticas</w:t>
      </w:r>
      <w:r w:rsidR="009F2950">
        <w:t>,</w:t>
      </w:r>
      <w:r w:rsidRPr="00ED657B">
        <w:t xml:space="preserve"> del trabajador al adoptar sus decisiones en lo que se refiere </w:t>
      </w:r>
      <w:r w:rsidR="00610A42">
        <w:t xml:space="preserve">en particular </w:t>
      </w:r>
      <w:r w:rsidRPr="00ED657B">
        <w:t xml:space="preserve">a la contratación, </w:t>
      </w:r>
      <w:r w:rsidR="009F2950">
        <w:t>la dirección</w:t>
      </w:r>
      <w:r w:rsidRPr="00ED657B">
        <w:t xml:space="preserve"> y el reparto del trabajo, la formación profesional, </w:t>
      </w:r>
      <w:r w:rsidR="009F2950">
        <w:t>los</w:t>
      </w:r>
      <w:r w:rsidRPr="00ED657B">
        <w:t xml:space="preserve"> ascenso</w:t>
      </w:r>
      <w:r w:rsidR="009F2950">
        <w:t>s</w:t>
      </w:r>
      <w:r w:rsidRPr="00ED657B">
        <w:t>, la remuneración y otras condiciones laborales, la concesión de prestaciones sociales, la disciplina o la rescisión del contrato de trabajo</w:t>
      </w:r>
      <w:r w:rsidR="009F2950">
        <w:t>”</w:t>
      </w:r>
      <w:r w:rsidRPr="00ED657B">
        <w:t>.</w:t>
      </w:r>
    </w:p>
    <w:p w:rsidR="00ED657B" w:rsidRPr="00ED657B" w:rsidRDefault="00ED657B" w:rsidP="009F2950">
      <w:pPr>
        <w:pStyle w:val="SingleTxtG"/>
      </w:pPr>
      <w:r w:rsidRPr="00ED657B">
        <w:t>79.</w:t>
      </w:r>
      <w:r w:rsidRPr="00ED657B">
        <w:tab/>
        <w:t>A fin de crear buenas relaciones laborales, el Estado parte otorga a los interlocutores sociales la protección jurídica necesaria. La Constitución y el Código del Trabajo reconocen el derecho a fundar un sindicato o afiliarse al de su elección a todos los trabajadores</w:t>
      </w:r>
      <w:r w:rsidR="009F2950">
        <w:t>,</w:t>
      </w:r>
      <w:r w:rsidRPr="00ED657B">
        <w:t xml:space="preserve"> </w:t>
      </w:r>
      <w:r w:rsidR="009F2950">
        <w:t>sean</w:t>
      </w:r>
      <w:r w:rsidRPr="00ED657B">
        <w:t xml:space="preserve"> nacionales </w:t>
      </w:r>
      <w:r w:rsidR="009F2950">
        <w:t>o</w:t>
      </w:r>
      <w:r w:rsidRPr="00ED657B">
        <w:t xml:space="preserve"> extranjeros.</w:t>
      </w:r>
    </w:p>
    <w:p w:rsidR="00ED657B" w:rsidRPr="00ED657B" w:rsidRDefault="00ED657B" w:rsidP="009F2950">
      <w:pPr>
        <w:pStyle w:val="SingleTxtG"/>
      </w:pPr>
      <w:r w:rsidRPr="00ED657B">
        <w:t>80.</w:t>
      </w:r>
      <w:r w:rsidRPr="00ED657B">
        <w:tab/>
        <w:t>Las mujeres, los jóvenes y los trabajadores con discapacidad también están protegidos contra toda forma de discriminación.</w:t>
      </w:r>
    </w:p>
    <w:p w:rsidR="00ED657B" w:rsidRPr="00ED657B" w:rsidRDefault="00ED657B" w:rsidP="009F2950">
      <w:pPr>
        <w:pStyle w:val="SingleTxtG"/>
      </w:pPr>
      <w:r w:rsidRPr="00ED657B">
        <w:t>81.</w:t>
      </w:r>
      <w:r w:rsidRPr="00ED657B">
        <w:tab/>
        <w:t>Así</w:t>
      </w:r>
      <w:r w:rsidR="009F2950">
        <w:t xml:space="preserve"> pues</w:t>
      </w:r>
      <w:r w:rsidRPr="00ED657B">
        <w:t xml:space="preserve">, el artículo 109 del Código del Trabajo dispone que </w:t>
      </w:r>
      <w:r w:rsidR="009F2950">
        <w:t>“</w:t>
      </w:r>
      <w:r w:rsidRPr="00ED657B">
        <w:t xml:space="preserve">los trabajadores jóvenes de 16 </w:t>
      </w:r>
      <w:r w:rsidR="009F2950">
        <w:t>a</w:t>
      </w:r>
      <w:r w:rsidRPr="00ED657B">
        <w:t xml:space="preserve"> 18 años </w:t>
      </w:r>
      <w:r w:rsidR="009F2950">
        <w:t xml:space="preserve">de edad </w:t>
      </w:r>
      <w:r w:rsidRPr="00ED657B">
        <w:t xml:space="preserve">tendrán los mismos derechos que los trabajadores de su categoría profesional. En ningún caso se podrá reducir la remuneración o rebajar </w:t>
      </w:r>
      <w:r w:rsidR="009F2950">
        <w:t>la</w:t>
      </w:r>
      <w:r w:rsidRPr="00ED657B">
        <w:t xml:space="preserve"> categoría profesional </w:t>
      </w:r>
      <w:r w:rsidR="009F2950">
        <w:t>de estos trabajadores jóvenes en razón</w:t>
      </w:r>
      <w:r w:rsidRPr="00ED657B">
        <w:t xml:space="preserve"> de su edad</w:t>
      </w:r>
      <w:r w:rsidR="009F2950">
        <w:t>”</w:t>
      </w:r>
      <w:r w:rsidRPr="00ED657B">
        <w:t>.</w:t>
      </w:r>
    </w:p>
    <w:p w:rsidR="00ED657B" w:rsidRPr="00ED657B" w:rsidRDefault="00ED657B" w:rsidP="009F2950">
      <w:pPr>
        <w:pStyle w:val="SingleTxtG"/>
      </w:pPr>
      <w:r w:rsidRPr="00ED657B">
        <w:t>82.</w:t>
      </w:r>
      <w:r w:rsidRPr="00ED657B">
        <w:tab/>
        <w:t xml:space="preserve">El artículo 117 hace efectivo el derecho a la igualdad de los trabajadores con discapacidad, que </w:t>
      </w:r>
      <w:r w:rsidR="009F2950">
        <w:t>“</w:t>
      </w:r>
      <w:r w:rsidRPr="00ED657B">
        <w:t>no podrán ser objeto de ninguna discriminación en el empleo</w:t>
      </w:r>
      <w:r w:rsidR="009F2950">
        <w:t>”</w:t>
      </w:r>
      <w:r w:rsidRPr="00ED657B">
        <w:t>.</w:t>
      </w:r>
    </w:p>
    <w:p w:rsidR="00ED657B" w:rsidRPr="00ED657B" w:rsidRDefault="009F2950" w:rsidP="009F2950">
      <w:pPr>
        <w:pStyle w:val="H23G"/>
      </w:pPr>
      <w:r>
        <w:tab/>
      </w:r>
      <w:r w:rsidR="00ED657B" w:rsidRPr="00ED657B">
        <w:tab/>
        <w:t>Salud</w:t>
      </w:r>
    </w:p>
    <w:p w:rsidR="00ED657B" w:rsidRPr="00ED657B" w:rsidRDefault="00ED657B" w:rsidP="009F2950">
      <w:pPr>
        <w:pStyle w:val="SingleTxtG"/>
      </w:pPr>
      <w:r w:rsidRPr="00ED657B">
        <w:t>83.</w:t>
      </w:r>
      <w:r w:rsidRPr="00ED657B">
        <w:tab/>
        <w:t>La salud es una de las principales prioridades del Estado parte. En la Ley núm.</w:t>
      </w:r>
      <w:r w:rsidR="009F2950">
        <w:t> </w:t>
      </w:r>
      <w:r w:rsidRPr="00ED657B">
        <w:t>48/AN/99/4ª L, de 3 de julio de 1999, sobre la Orientación de la Política de Salud, el Estado parte proclama la salud para todos y se compromete a proporcionar los medios necesarios</w:t>
      </w:r>
      <w:r w:rsidR="009F2950">
        <w:t xml:space="preserve"> con esta finalidad</w:t>
      </w:r>
      <w:r w:rsidRPr="00ED657B">
        <w:t>.</w:t>
      </w:r>
    </w:p>
    <w:p w:rsidR="00ED657B" w:rsidRPr="00ED657B" w:rsidRDefault="00ED657B" w:rsidP="005607FF">
      <w:pPr>
        <w:pStyle w:val="SingleTxtG"/>
      </w:pPr>
      <w:r w:rsidRPr="00ED657B">
        <w:t>84.</w:t>
      </w:r>
      <w:r w:rsidRPr="00ED657B">
        <w:tab/>
        <w:t xml:space="preserve">Este compromiso se ejemplifica en los logros conseguidos, tanto humanos como materiales, por el Estado parte desde </w:t>
      </w:r>
      <w:r w:rsidR="005607FF">
        <w:t>que adoptó esta</w:t>
      </w:r>
      <w:r w:rsidRPr="00ED657B">
        <w:t xml:space="preserve"> política </w:t>
      </w:r>
      <w:r w:rsidR="005607FF">
        <w:t>sanitaria</w:t>
      </w:r>
      <w:r w:rsidRPr="00ED657B">
        <w:t xml:space="preserve"> tan ambiciosa.</w:t>
      </w:r>
    </w:p>
    <w:p w:rsidR="00ED657B" w:rsidRPr="00ED657B" w:rsidRDefault="00ED657B" w:rsidP="005607FF">
      <w:pPr>
        <w:pStyle w:val="SingleTxtG"/>
      </w:pPr>
      <w:r w:rsidRPr="00ED657B">
        <w:t>85.</w:t>
      </w:r>
      <w:r w:rsidRPr="00ED657B">
        <w:tab/>
        <w:t>En primer lugar, el Estado ha hecho un enorme esfuerzo en e</w:t>
      </w:r>
      <w:r w:rsidR="005607FF">
        <w:t>l</w:t>
      </w:r>
      <w:r w:rsidRPr="00ED657B">
        <w:t xml:space="preserve"> ámbito</w:t>
      </w:r>
      <w:r w:rsidR="005607FF">
        <w:t xml:space="preserve"> de</w:t>
      </w:r>
      <w:r w:rsidR="005607FF" w:rsidRPr="00ED657B">
        <w:t xml:space="preserve"> los recursos humanos</w:t>
      </w:r>
      <w:r w:rsidRPr="00ED657B">
        <w:t>. Ello se manifiesta en</w:t>
      </w:r>
      <w:r w:rsidR="005607FF">
        <w:t xml:space="preserve"> lo siguiente</w:t>
      </w:r>
      <w:r w:rsidRPr="00ED657B">
        <w:t xml:space="preserve">: la contratación de médicos especialistas extranjeros, a la espera de la formación de médicos nacionales; el fortalecimiento del plan de estudios de la formación inicial en la Facultad de Medicina y el Instituto de Salud y Formación de Técnicos de Enfermería; la </w:t>
      </w:r>
      <w:r w:rsidR="00B84BA1">
        <w:t xml:space="preserve">mayor </w:t>
      </w:r>
      <w:r w:rsidRPr="00ED657B">
        <w:t>contratación de personal de enfermería</w:t>
      </w:r>
      <w:r w:rsidR="00B84BA1">
        <w:t>, y</w:t>
      </w:r>
      <w:r w:rsidRPr="00ED657B">
        <w:t xml:space="preserve"> la especialización de médicos nacionales en el extranjero</w:t>
      </w:r>
      <w:r w:rsidR="00B84BA1">
        <w:t>,</w:t>
      </w:r>
      <w:r w:rsidRPr="00ED657B">
        <w:t xml:space="preserve"> </w:t>
      </w:r>
      <w:r w:rsidR="00B84BA1">
        <w:t>mientras que los nuevos médicos ocupan sus plazas</w:t>
      </w:r>
      <w:r w:rsidRPr="00ED657B">
        <w:t>.</w:t>
      </w:r>
    </w:p>
    <w:p w:rsidR="00ED657B" w:rsidRPr="00ED657B" w:rsidRDefault="00ED657B" w:rsidP="00B84BA1">
      <w:pPr>
        <w:pStyle w:val="SingleTxtG"/>
      </w:pPr>
      <w:r w:rsidRPr="00ED657B">
        <w:t>86.</w:t>
      </w:r>
      <w:r w:rsidRPr="00ED657B">
        <w:tab/>
      </w:r>
      <w:r w:rsidR="00B84BA1">
        <w:t>La plantilla de personal</w:t>
      </w:r>
      <w:r w:rsidRPr="00ED657B">
        <w:t xml:space="preserve"> del Ministerio de Salud no cesa de aumentar. </w:t>
      </w:r>
      <w:r w:rsidR="00B84BA1">
        <w:t>El</w:t>
      </w:r>
      <w:r w:rsidRPr="00ED657B">
        <w:t xml:space="preserve"> número </w:t>
      </w:r>
      <w:r w:rsidR="00B84BA1">
        <w:t xml:space="preserve">de funcionarios </w:t>
      </w:r>
      <w:r w:rsidRPr="00ED657B">
        <w:t>pasó de</w:t>
      </w:r>
      <w:r w:rsidR="00B84BA1">
        <w:t xml:space="preserve"> </w:t>
      </w:r>
      <w:r w:rsidRPr="00ED657B">
        <w:t>509 en</w:t>
      </w:r>
      <w:r w:rsidR="00B84BA1">
        <w:t xml:space="preserve"> </w:t>
      </w:r>
      <w:r w:rsidRPr="00ED657B">
        <w:t>1999 a</w:t>
      </w:r>
      <w:r w:rsidR="00B84BA1">
        <w:t xml:space="preserve"> </w:t>
      </w:r>
      <w:r w:rsidRPr="00ED657B">
        <w:t>2.456 en</w:t>
      </w:r>
      <w:r w:rsidR="00B84BA1">
        <w:t xml:space="preserve"> </w:t>
      </w:r>
      <w:r w:rsidRPr="00ED657B">
        <w:t xml:space="preserve">2014 y actualmente </w:t>
      </w:r>
      <w:r w:rsidR="00B84BA1">
        <w:t>es</w:t>
      </w:r>
      <w:r w:rsidRPr="00ED657B">
        <w:t xml:space="preserve"> de 2.752. </w:t>
      </w:r>
    </w:p>
    <w:p w:rsidR="00ED657B" w:rsidRPr="00ED657B" w:rsidRDefault="00ED657B" w:rsidP="00B84BA1">
      <w:pPr>
        <w:pStyle w:val="SingleTxtG"/>
      </w:pPr>
      <w:r w:rsidRPr="00ED657B">
        <w:lastRenderedPageBreak/>
        <w:t>87.</w:t>
      </w:r>
      <w:r w:rsidRPr="00ED657B">
        <w:tab/>
        <w:t>A pesar de ello, la República de Djibouti aún sigue careciendo de especialistas y de instalaciones y equipamientos técnicos eficientes. S</w:t>
      </w:r>
      <w:r w:rsidR="00B84BA1">
        <w:t>o</w:t>
      </w:r>
      <w:r w:rsidRPr="00ED657B">
        <w:t xml:space="preserve">lo los pacientes que consiguen que el Estado corra con los gastos o que tienen medios </w:t>
      </w:r>
      <w:r w:rsidR="00B84BA1">
        <w:t xml:space="preserve">propios </w:t>
      </w:r>
      <w:r w:rsidRPr="00ED657B">
        <w:t xml:space="preserve">se tratan en el extranjero. </w:t>
      </w:r>
    </w:p>
    <w:p w:rsidR="00ED657B" w:rsidRPr="00ED657B" w:rsidRDefault="00ED657B" w:rsidP="00B84BA1">
      <w:pPr>
        <w:pStyle w:val="SingleTxtG"/>
      </w:pPr>
      <w:r w:rsidRPr="00ED657B">
        <w:t>88.</w:t>
      </w:r>
      <w:r w:rsidRPr="00ED657B">
        <w:tab/>
        <w:t>A fin de reducir la disparidad en las zonas rurales, el Estado parte ha aumenta</w:t>
      </w:r>
      <w:r w:rsidR="00B84BA1">
        <w:t>do</w:t>
      </w:r>
      <w:r w:rsidRPr="00ED657B">
        <w:t xml:space="preserve"> la cobertura </w:t>
      </w:r>
      <w:r w:rsidR="00B84BA1">
        <w:t>sanitaria aproximando</w:t>
      </w:r>
      <w:r w:rsidRPr="00ED657B">
        <w:t xml:space="preserve"> las estructuras de </w:t>
      </w:r>
      <w:r w:rsidR="00B84BA1">
        <w:t xml:space="preserve">la </w:t>
      </w:r>
      <w:r w:rsidRPr="00ED657B">
        <w:t>salud a los centros de población y reduciendo la dependencia de las regiones médicas del interior con respecto a la capital.</w:t>
      </w:r>
    </w:p>
    <w:p w:rsidR="00ED657B" w:rsidRPr="00ED657B" w:rsidRDefault="00ED657B" w:rsidP="00B84BA1">
      <w:pPr>
        <w:pStyle w:val="SingleTxtG"/>
      </w:pPr>
      <w:r w:rsidRPr="00ED657B">
        <w:t>89.</w:t>
      </w:r>
      <w:r w:rsidRPr="00ED657B">
        <w:tab/>
      </w:r>
      <w:r w:rsidR="00B84BA1">
        <w:t>Con este objetivo</w:t>
      </w:r>
      <w:r w:rsidRPr="00ED657B">
        <w:t>, se construyó un hospital regional en Arta y próximamente se inaugurará otro en Ali Sabieh</w:t>
      </w:r>
      <w:r w:rsidR="00B84BA1">
        <w:t>;</w:t>
      </w:r>
      <w:r w:rsidRPr="00ED657B">
        <w:t xml:space="preserve"> está previsto</w:t>
      </w:r>
      <w:r w:rsidR="00B84BA1">
        <w:t xml:space="preserve"> </w:t>
      </w:r>
      <w:r w:rsidRPr="00ED657B">
        <w:t>construir</w:t>
      </w:r>
      <w:r w:rsidR="00B84BA1">
        <w:t xml:space="preserve"> otros hospitales</w:t>
      </w:r>
      <w:r w:rsidRPr="00ED657B">
        <w:t>, como el</w:t>
      </w:r>
      <w:r w:rsidR="00B84BA1">
        <w:t xml:space="preserve"> </w:t>
      </w:r>
      <w:r w:rsidRPr="00ED657B">
        <w:t>de Tadjourah.</w:t>
      </w:r>
    </w:p>
    <w:p w:rsidR="00ED657B" w:rsidRPr="00ED657B" w:rsidRDefault="00ED657B" w:rsidP="00B84BA1">
      <w:pPr>
        <w:pStyle w:val="SingleTxtG"/>
      </w:pPr>
      <w:r w:rsidRPr="00ED657B">
        <w:t>90.</w:t>
      </w:r>
      <w:r w:rsidRPr="00ED657B">
        <w:tab/>
        <w:t xml:space="preserve">Por otra parte, se ha creado un número considerable de </w:t>
      </w:r>
      <w:r w:rsidR="00B84BA1">
        <w:t>unidades de atención de la</w:t>
      </w:r>
      <w:r w:rsidRPr="00ED657B">
        <w:t xml:space="preserve"> salud en las zonas rurales para concretar la política de </w:t>
      </w:r>
      <w:r w:rsidR="00B84BA1">
        <w:t>servicios</w:t>
      </w:r>
      <w:r w:rsidRPr="00ED657B">
        <w:t xml:space="preserve"> médic</w:t>
      </w:r>
      <w:r w:rsidR="00B84BA1">
        <w:t>os</w:t>
      </w:r>
      <w:r w:rsidRPr="00ED657B">
        <w:t xml:space="preserve"> de proximidad.</w:t>
      </w:r>
    </w:p>
    <w:p w:rsidR="00ED657B" w:rsidRPr="00ED657B" w:rsidRDefault="00ED657B" w:rsidP="00B84BA1">
      <w:pPr>
        <w:pStyle w:val="SingleTxtG"/>
      </w:pPr>
      <w:r w:rsidRPr="00ED657B">
        <w:t>91.</w:t>
      </w:r>
      <w:r w:rsidRPr="00ED657B">
        <w:tab/>
        <w:t xml:space="preserve">Además, se han </w:t>
      </w:r>
      <w:r w:rsidR="00B84BA1">
        <w:t>introducido</w:t>
      </w:r>
      <w:r w:rsidRPr="00ED657B">
        <w:t xml:space="preserve"> estrategias de despliegue de equipos móviles</w:t>
      </w:r>
      <w:r w:rsidR="00B84BA1">
        <w:t xml:space="preserve"> </w:t>
      </w:r>
      <w:r w:rsidR="00B84BA1" w:rsidRPr="00ED657B">
        <w:t>en el sistema de salud</w:t>
      </w:r>
      <w:r w:rsidRPr="00ED657B">
        <w:t xml:space="preserve"> </w:t>
      </w:r>
      <w:r w:rsidR="00B84BA1">
        <w:t>para</w:t>
      </w:r>
      <w:r w:rsidRPr="00ED657B">
        <w:t xml:space="preserve"> atender a los habitantes de las zonas más alejadas y las poblaciones nómadas.</w:t>
      </w:r>
    </w:p>
    <w:p w:rsidR="00ED657B" w:rsidRPr="00ED657B" w:rsidRDefault="00ED657B" w:rsidP="00B84BA1">
      <w:pPr>
        <w:pStyle w:val="SingleTxtG"/>
      </w:pPr>
      <w:r w:rsidRPr="00ED657B">
        <w:t>92.</w:t>
      </w:r>
      <w:r w:rsidRPr="00ED657B">
        <w:tab/>
        <w:t xml:space="preserve">Además del sistema de salud tradicional, </w:t>
      </w:r>
      <w:r w:rsidR="00B84BA1" w:rsidRPr="00ED657B">
        <w:t>en 2014</w:t>
      </w:r>
      <w:r w:rsidR="00B84BA1">
        <w:t xml:space="preserve"> </w:t>
      </w:r>
      <w:r w:rsidRPr="00ED657B">
        <w:t xml:space="preserve">el Estado parte </w:t>
      </w:r>
      <w:r w:rsidR="00B84BA1">
        <w:t>estableció</w:t>
      </w:r>
      <w:r w:rsidRPr="00ED657B">
        <w:t xml:space="preserve"> un sistema universal de seguro </w:t>
      </w:r>
      <w:r w:rsidR="00B84BA1">
        <w:t>médico</w:t>
      </w:r>
      <w:r w:rsidRPr="00ED657B">
        <w:t>.</w:t>
      </w:r>
    </w:p>
    <w:p w:rsidR="00ED657B" w:rsidRPr="00ED657B" w:rsidRDefault="00ED657B" w:rsidP="00B84BA1">
      <w:pPr>
        <w:pStyle w:val="SingleTxtG"/>
      </w:pPr>
      <w:r w:rsidRPr="00ED657B">
        <w:t>93.</w:t>
      </w:r>
      <w:r w:rsidRPr="00ED657B">
        <w:tab/>
        <w:t>Con este sistema se pretende ofrecer cobertura médica a toda la población</w:t>
      </w:r>
      <w:r w:rsidR="00B84BA1">
        <w:t>,</w:t>
      </w:r>
      <w:r w:rsidRPr="00ED657B">
        <w:t xml:space="preserve"> sin excepción</w:t>
      </w:r>
      <w:r w:rsidR="00B84BA1">
        <w:t xml:space="preserve"> alguna</w:t>
      </w:r>
      <w:r w:rsidRPr="00ED657B">
        <w:t>.</w:t>
      </w:r>
    </w:p>
    <w:p w:rsidR="00ED657B" w:rsidRPr="00ED657B" w:rsidRDefault="00ED657B" w:rsidP="00B84BA1">
      <w:pPr>
        <w:pStyle w:val="SingleTxtG"/>
      </w:pPr>
      <w:r w:rsidRPr="00ED657B">
        <w:t>94.</w:t>
      </w:r>
      <w:r w:rsidRPr="00ED657B">
        <w:tab/>
      </w:r>
      <w:r w:rsidR="00B84BA1">
        <w:t>E</w:t>
      </w:r>
      <w:r w:rsidRPr="00ED657B">
        <w:t xml:space="preserve">l seguro universal de enfermedad </w:t>
      </w:r>
      <w:r w:rsidR="00B84BA1">
        <w:t>se divide en</w:t>
      </w:r>
      <w:r w:rsidRPr="00ED657B">
        <w:t xml:space="preserve"> dos componentes. Uno es el seguro </w:t>
      </w:r>
      <w:r w:rsidR="00B84BA1">
        <w:t xml:space="preserve">médico </w:t>
      </w:r>
      <w:r w:rsidRPr="00ED657B">
        <w:t>obligatorio para los contribuyentes</w:t>
      </w:r>
      <w:r w:rsidR="00B84BA1">
        <w:t>,</w:t>
      </w:r>
      <w:r w:rsidRPr="00ED657B">
        <w:t xml:space="preserve"> </w:t>
      </w:r>
      <w:r w:rsidR="00B84BA1">
        <w:t>cuya</w:t>
      </w:r>
      <w:r w:rsidRPr="00ED657B">
        <w:t xml:space="preserve"> cobertura </w:t>
      </w:r>
      <w:r w:rsidR="00B84BA1">
        <w:t xml:space="preserve">se extiende </w:t>
      </w:r>
      <w:r w:rsidRPr="00ED657B">
        <w:t xml:space="preserve">a los funcionarios, los estudiantes, los diputados, los miembros del Gobierno y los agentes de la policía nacional y que está financiado con las cotizaciones desembolsadas. El segundo componente es un programa de asistencia social y </w:t>
      </w:r>
      <w:r w:rsidR="00B84BA1">
        <w:t>sanitaria</w:t>
      </w:r>
      <w:r w:rsidRPr="00ED657B">
        <w:t xml:space="preserve"> que atiende a las personas sin ingresos o de ingresos bajos y, de manera general, a las personas vulnerables. Se financia con cargo a las subvenciones del Estado y la Caja Nacional de Seguridad Social (CNSS).</w:t>
      </w:r>
    </w:p>
    <w:p w:rsidR="00ED657B" w:rsidRPr="00ED657B" w:rsidRDefault="00ED657B" w:rsidP="00B84BA1">
      <w:pPr>
        <w:pStyle w:val="SingleTxtG"/>
      </w:pPr>
      <w:r w:rsidRPr="00ED657B">
        <w:t>95.</w:t>
      </w:r>
      <w:r w:rsidRPr="00ED657B">
        <w:tab/>
        <w:t xml:space="preserve">Los derechos de las personas que viven con el VIH/SIDA son </w:t>
      </w:r>
      <w:r w:rsidR="00B84BA1">
        <w:t>otra</w:t>
      </w:r>
      <w:r w:rsidRPr="00ED657B">
        <w:t xml:space="preserve"> de las </w:t>
      </w:r>
      <w:r w:rsidR="00B84BA1">
        <w:t>grandes</w:t>
      </w:r>
      <w:r w:rsidRPr="00ED657B">
        <w:t xml:space="preserve"> preocupaciones del Estado parte. Prueba de ello es el importante marco jurídico instaurado para </w:t>
      </w:r>
      <w:r w:rsidR="00B84BA1">
        <w:t xml:space="preserve">prevenir y </w:t>
      </w:r>
      <w:r w:rsidRPr="00ED657B">
        <w:t>combatir la discriminación y la estigmatización de que son víctimas las personas que viven con el VIH/SIDA.</w:t>
      </w:r>
    </w:p>
    <w:p w:rsidR="00ED657B" w:rsidRPr="00ED657B" w:rsidRDefault="00ED657B" w:rsidP="00B84BA1">
      <w:pPr>
        <w:pStyle w:val="SingleTxtG"/>
      </w:pPr>
      <w:r w:rsidRPr="00ED657B">
        <w:t>96.</w:t>
      </w:r>
      <w:r w:rsidRPr="00ED657B">
        <w:tab/>
        <w:t xml:space="preserve">Este marco jurídico está integrado, entre otras, por la Ley por la que se ratifica la Convención Árabe sobre la Prevención del Síndrome de Inmunodeficiencia Adquirida (SIDA) y la Protección de los Derechos de las Personas que Viven con el VIH, así como la Ley núm. 174/AN/07/5ª L, de 22 de abril de 2007, relativa a las medidas de protección apropiadas a </w:t>
      </w:r>
      <w:r w:rsidR="00610A42">
        <w:t xml:space="preserve">la </w:t>
      </w:r>
      <w:r w:rsidRPr="00ED657B">
        <w:t>situación de las personas que viven con el VIH/SIDA y los grupos vulnerables.</w:t>
      </w:r>
    </w:p>
    <w:p w:rsidR="00ED657B" w:rsidRPr="00ED657B" w:rsidRDefault="00ED657B" w:rsidP="00B84BA1">
      <w:pPr>
        <w:pStyle w:val="SingleTxtG"/>
      </w:pPr>
      <w:r w:rsidRPr="00ED657B">
        <w:t>97.</w:t>
      </w:r>
      <w:r w:rsidRPr="00ED657B">
        <w:tab/>
        <w:t xml:space="preserve">La tasa de prevalencia del VIH/SIDA se ha estabilizado en torno al 3% de la población. Las personas que viven con el </w:t>
      </w:r>
      <w:r w:rsidR="00610A42" w:rsidRPr="00ED657B">
        <w:t xml:space="preserve">sida </w:t>
      </w:r>
      <w:r w:rsidRPr="00ED657B">
        <w:t>tienen acceso a atención médica y psicológica.</w:t>
      </w:r>
    </w:p>
    <w:p w:rsidR="00ED657B" w:rsidRPr="00ED657B" w:rsidRDefault="00B84BA1" w:rsidP="00B84BA1">
      <w:pPr>
        <w:pStyle w:val="H23G"/>
      </w:pPr>
      <w:r>
        <w:tab/>
      </w:r>
      <w:r w:rsidR="00ED657B" w:rsidRPr="00ED657B">
        <w:tab/>
        <w:t>Educación</w:t>
      </w:r>
    </w:p>
    <w:p w:rsidR="00ED657B" w:rsidRPr="00ED657B" w:rsidRDefault="00ED657B" w:rsidP="00B84BA1">
      <w:pPr>
        <w:pStyle w:val="SingleTxtG"/>
      </w:pPr>
      <w:r w:rsidRPr="00ED657B">
        <w:t>98.</w:t>
      </w:r>
      <w:r w:rsidRPr="00ED657B">
        <w:tab/>
        <w:t>Como en el caso de la salud, el Estado parte ha incluido la educación entre sus prioridades</w:t>
      </w:r>
      <w:r w:rsidR="00B84BA1">
        <w:t>, con objeto de</w:t>
      </w:r>
      <w:r w:rsidRPr="00ED657B">
        <w:t xml:space="preserve"> establecer un sistema educativo abierto a todos sin distinción de edad, sexo, origen social, etnia o religión.</w:t>
      </w:r>
    </w:p>
    <w:p w:rsidR="00ED657B" w:rsidRPr="00ED657B" w:rsidRDefault="00ED657B" w:rsidP="00B84BA1">
      <w:pPr>
        <w:pStyle w:val="SingleTxtG"/>
      </w:pPr>
      <w:r w:rsidRPr="00ED657B">
        <w:t>99.</w:t>
      </w:r>
      <w:r w:rsidRPr="00ED657B">
        <w:tab/>
        <w:t xml:space="preserve">A fin de lograr este objetivo </w:t>
      </w:r>
      <w:r w:rsidR="00B84BA1">
        <w:t>establecido en</w:t>
      </w:r>
      <w:r w:rsidRPr="00ED657B">
        <w:t xml:space="preserve"> la Ley de Orientación del Sistema Educativo de Djibouti de 2000, el Estado parte ha habilitado importantes recursos financieros. </w:t>
      </w:r>
      <w:r w:rsidR="00B84BA1">
        <w:t>Se</w:t>
      </w:r>
      <w:r w:rsidRPr="00ED657B">
        <w:t xml:space="preserve"> aumenta constante y considerablemente la parte del presupuesto nacional </w:t>
      </w:r>
      <w:r w:rsidRPr="00ED657B">
        <w:lastRenderedPageBreak/>
        <w:t>asignad</w:t>
      </w:r>
      <w:r w:rsidR="00B84BA1">
        <w:t>a</w:t>
      </w:r>
      <w:r w:rsidRPr="00ED657B">
        <w:t xml:space="preserve"> al sector de la educación</w:t>
      </w:r>
      <w:r w:rsidR="00B84BA1">
        <w:t>, que varía del 25% a</w:t>
      </w:r>
      <w:r w:rsidRPr="00ED657B">
        <w:t xml:space="preserve">l 30%. A ello se suma </w:t>
      </w:r>
      <w:r w:rsidR="00B84BA1">
        <w:t>una importante</w:t>
      </w:r>
      <w:r w:rsidRPr="00ED657B">
        <w:t xml:space="preserve"> contribución de los asociados financieros.</w:t>
      </w:r>
    </w:p>
    <w:p w:rsidR="00ED657B" w:rsidRPr="00ED657B" w:rsidRDefault="00ED657B" w:rsidP="00B84BA1">
      <w:pPr>
        <w:pStyle w:val="SingleTxtG"/>
      </w:pPr>
      <w:r w:rsidRPr="00ED657B">
        <w:t>100.</w:t>
      </w:r>
      <w:r w:rsidRPr="00ED657B">
        <w:tab/>
        <w:t>La movilización de recursos financieros y la voluntad política de favorecer la democratización han permitido avances considerables</w:t>
      </w:r>
      <w:r w:rsidR="00B84BA1">
        <w:t>, a saber</w:t>
      </w:r>
      <w:r w:rsidRPr="00ED657B">
        <w:t>:</w:t>
      </w:r>
    </w:p>
    <w:p w:rsidR="00ED657B" w:rsidRPr="00ED657B" w:rsidRDefault="00ED657B" w:rsidP="00B84BA1">
      <w:pPr>
        <w:pStyle w:val="Bullet1G"/>
      </w:pPr>
      <w:r w:rsidRPr="00ED657B">
        <w:t xml:space="preserve">La mejora de la oferta educativa con la construcción y el equipamiento de infraestructuras escolares y la adopción de medidas que incentivan la escolarización de los niños; </w:t>
      </w:r>
    </w:p>
    <w:p w:rsidR="00ED657B" w:rsidRPr="00ED657B" w:rsidRDefault="00ED657B" w:rsidP="00B84BA1">
      <w:pPr>
        <w:pStyle w:val="Bullet1G"/>
      </w:pPr>
      <w:r w:rsidRPr="00ED657B">
        <w:t xml:space="preserve">El aumento </w:t>
      </w:r>
      <w:r w:rsidR="00B029DD">
        <w:t>de</w:t>
      </w:r>
      <w:r w:rsidRPr="00ED657B">
        <w:t xml:space="preserve"> la tasa de escolarización de las niñas y el logro de la paridad en la enseñanza primaria.</w:t>
      </w:r>
    </w:p>
    <w:p w:rsidR="00ED657B" w:rsidRPr="00ED657B" w:rsidRDefault="00ED657B" w:rsidP="00B029DD">
      <w:pPr>
        <w:pStyle w:val="SingleTxtG"/>
      </w:pPr>
      <w:r w:rsidRPr="00ED657B">
        <w:t>101.</w:t>
      </w:r>
      <w:r w:rsidRPr="00ED657B">
        <w:tab/>
        <w:t>Todas estas medidas han tenido un efecto considerable en la tasa bruta de escolarización, que pasó del 49,5% en el período 2003-2004 al 79% en 2014-2015. La proporción de nuevos alumnos inscritos en el primer año ha experimentado una evolución idéntica, puesto que la tasa bruta de ingreso en el primer año pasó del 50,7% en 2003</w:t>
      </w:r>
      <w:r w:rsidR="00610A42">
        <w:t>/</w:t>
      </w:r>
      <w:r w:rsidRPr="00ED657B">
        <w:t>04 al 72,2% en 2014</w:t>
      </w:r>
      <w:r w:rsidR="00610A42">
        <w:t>/</w:t>
      </w:r>
      <w:r w:rsidRPr="00ED657B">
        <w:t>15.</w:t>
      </w:r>
    </w:p>
    <w:p w:rsidR="007C00BB" w:rsidRPr="007C00BB" w:rsidRDefault="00B029DD" w:rsidP="007C00BB">
      <w:pPr>
        <w:pStyle w:val="H23G"/>
        <w:rPr>
          <w:b w:val="0"/>
          <w:sz w:val="16"/>
          <w:szCs w:val="16"/>
        </w:rPr>
      </w:pPr>
      <w:r>
        <w:tab/>
      </w:r>
      <w:r w:rsidR="00ED657B" w:rsidRPr="00ED657B">
        <w:tab/>
        <w:t xml:space="preserve">Evolución de la tasa bruta de ingreso y la tasa bruta de escolarización </w:t>
      </w:r>
      <w:r>
        <w:br/>
      </w:r>
      <w:r w:rsidR="00ED657B" w:rsidRPr="00ED657B">
        <w:t>en la enseñanza básica (2003-2015)</w:t>
      </w:r>
      <w:r w:rsidR="007C00BB">
        <w:br/>
      </w:r>
      <w:r w:rsidR="007C00BB" w:rsidRPr="007C00BB">
        <w:rPr>
          <w:b w:val="0"/>
          <w:sz w:val="16"/>
          <w:szCs w:val="16"/>
        </w:rPr>
        <w:t>(En porcentaje)</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76"/>
        <w:gridCol w:w="2835"/>
        <w:gridCol w:w="3259"/>
      </w:tblGrid>
      <w:tr w:rsidR="00B029DD" w:rsidRPr="00B029DD" w:rsidTr="00B029DD">
        <w:tc>
          <w:tcPr>
            <w:tcW w:w="1276" w:type="dxa"/>
            <w:tcBorders>
              <w:top w:val="single" w:sz="4" w:space="0" w:color="auto"/>
              <w:bottom w:val="single" w:sz="12" w:space="0" w:color="auto"/>
            </w:tcBorders>
            <w:shd w:val="clear" w:color="auto" w:fill="auto"/>
            <w:vAlign w:val="bottom"/>
          </w:tcPr>
          <w:p w:rsidR="00B029DD" w:rsidRPr="00B029DD" w:rsidRDefault="00B029DD" w:rsidP="00B05AFE">
            <w:pPr>
              <w:pStyle w:val="H23G"/>
              <w:spacing w:before="80" w:after="80" w:line="200" w:lineRule="exact"/>
              <w:ind w:left="0" w:right="0" w:firstLine="0"/>
              <w:rPr>
                <w:b w:val="0"/>
                <w:i/>
                <w:sz w:val="16"/>
              </w:rPr>
            </w:pPr>
            <w:r w:rsidRPr="00B029DD">
              <w:rPr>
                <w:b w:val="0"/>
                <w:i/>
                <w:sz w:val="16"/>
              </w:rPr>
              <w:t>Años</w:t>
            </w:r>
          </w:p>
        </w:tc>
        <w:tc>
          <w:tcPr>
            <w:tcW w:w="2835" w:type="dxa"/>
            <w:tcBorders>
              <w:top w:val="single" w:sz="4" w:space="0" w:color="auto"/>
              <w:bottom w:val="single" w:sz="12" w:space="0" w:color="auto"/>
            </w:tcBorders>
            <w:shd w:val="clear" w:color="auto" w:fill="auto"/>
            <w:vAlign w:val="bottom"/>
          </w:tcPr>
          <w:p w:rsidR="00B029DD" w:rsidRPr="00B029DD" w:rsidRDefault="00B029DD" w:rsidP="007C00BB">
            <w:pPr>
              <w:pStyle w:val="H23G"/>
              <w:spacing w:before="80" w:after="80" w:line="200" w:lineRule="exact"/>
              <w:ind w:left="0" w:right="0" w:firstLine="0"/>
              <w:jc w:val="right"/>
              <w:rPr>
                <w:b w:val="0"/>
                <w:i/>
                <w:sz w:val="16"/>
              </w:rPr>
            </w:pPr>
            <w:r w:rsidRPr="00B029DD">
              <w:rPr>
                <w:b w:val="0"/>
                <w:i/>
                <w:sz w:val="16"/>
              </w:rPr>
              <w:t>Tasa bruta de ingreso</w:t>
            </w:r>
            <w:r>
              <w:rPr>
                <w:b w:val="0"/>
                <w:i/>
                <w:sz w:val="16"/>
              </w:rPr>
              <w:t xml:space="preserve"> </w:t>
            </w:r>
          </w:p>
        </w:tc>
        <w:tc>
          <w:tcPr>
            <w:tcW w:w="3259" w:type="dxa"/>
            <w:tcBorders>
              <w:top w:val="single" w:sz="4" w:space="0" w:color="auto"/>
              <w:bottom w:val="single" w:sz="12" w:space="0" w:color="auto"/>
            </w:tcBorders>
            <w:shd w:val="clear" w:color="auto" w:fill="auto"/>
            <w:vAlign w:val="bottom"/>
          </w:tcPr>
          <w:p w:rsidR="00B029DD" w:rsidRPr="00B029DD" w:rsidRDefault="00B029DD" w:rsidP="007C00BB">
            <w:pPr>
              <w:pStyle w:val="H23G"/>
              <w:spacing w:before="80" w:after="80" w:line="200" w:lineRule="exact"/>
              <w:ind w:left="0" w:right="0" w:firstLine="0"/>
              <w:jc w:val="right"/>
              <w:rPr>
                <w:b w:val="0"/>
                <w:i/>
                <w:sz w:val="16"/>
              </w:rPr>
            </w:pPr>
            <w:r w:rsidRPr="00B029DD">
              <w:rPr>
                <w:b w:val="0"/>
                <w:i/>
                <w:sz w:val="16"/>
              </w:rPr>
              <w:t>Tasa bruta de escolarización</w:t>
            </w:r>
            <w:r>
              <w:rPr>
                <w:b w:val="0"/>
                <w:i/>
                <w:sz w:val="16"/>
              </w:rPr>
              <w:t xml:space="preserve"> </w:t>
            </w:r>
          </w:p>
        </w:tc>
      </w:tr>
      <w:tr w:rsidR="00B029DD" w:rsidTr="00B029DD">
        <w:tc>
          <w:tcPr>
            <w:tcW w:w="1276" w:type="dxa"/>
            <w:tcBorders>
              <w:top w:val="single" w:sz="12" w:space="0" w:color="auto"/>
            </w:tcBorders>
            <w:shd w:val="clear" w:color="auto" w:fill="auto"/>
          </w:tcPr>
          <w:p w:rsidR="00B029DD" w:rsidRPr="00B029DD" w:rsidRDefault="00B029DD" w:rsidP="00610A42">
            <w:pPr>
              <w:pStyle w:val="H23G"/>
              <w:keepNext w:val="0"/>
              <w:keepLines w:val="0"/>
              <w:suppressAutoHyphens w:val="0"/>
              <w:spacing w:before="40" w:after="40" w:line="220" w:lineRule="exact"/>
              <w:ind w:left="0" w:right="0" w:firstLine="0"/>
              <w:rPr>
                <w:b w:val="0"/>
                <w:sz w:val="18"/>
              </w:rPr>
            </w:pPr>
            <w:r w:rsidRPr="00B029DD">
              <w:rPr>
                <w:b w:val="0"/>
                <w:sz w:val="18"/>
              </w:rPr>
              <w:t>2003</w:t>
            </w:r>
            <w:r w:rsidR="00610A42">
              <w:rPr>
                <w:b w:val="0"/>
                <w:sz w:val="18"/>
              </w:rPr>
              <w:t>/</w:t>
            </w:r>
            <w:r w:rsidRPr="00B029DD">
              <w:rPr>
                <w:b w:val="0"/>
                <w:sz w:val="18"/>
              </w:rPr>
              <w:t>04</w:t>
            </w:r>
          </w:p>
        </w:tc>
        <w:tc>
          <w:tcPr>
            <w:tcW w:w="2835" w:type="dxa"/>
            <w:tcBorders>
              <w:top w:val="single" w:sz="12" w:space="0" w:color="auto"/>
            </w:tcBorders>
            <w:shd w:val="clear" w:color="auto" w:fill="auto"/>
            <w:vAlign w:val="bottom"/>
          </w:tcPr>
          <w:p w:rsidR="00B029DD" w:rsidRPr="00B029DD" w:rsidRDefault="00B029DD" w:rsidP="00610A42">
            <w:pPr>
              <w:pStyle w:val="H23G"/>
              <w:keepNext w:val="0"/>
              <w:keepLines w:val="0"/>
              <w:suppressAutoHyphens w:val="0"/>
              <w:spacing w:before="40" w:after="40" w:line="220" w:lineRule="exact"/>
              <w:ind w:left="0" w:right="0" w:firstLine="0"/>
              <w:jc w:val="right"/>
              <w:rPr>
                <w:b w:val="0"/>
                <w:sz w:val="18"/>
              </w:rPr>
            </w:pPr>
            <w:r w:rsidRPr="00B029DD">
              <w:rPr>
                <w:b w:val="0"/>
                <w:sz w:val="18"/>
              </w:rPr>
              <w:t>50,7</w:t>
            </w:r>
          </w:p>
        </w:tc>
        <w:tc>
          <w:tcPr>
            <w:tcW w:w="3259" w:type="dxa"/>
            <w:tcBorders>
              <w:top w:val="single" w:sz="12" w:space="0" w:color="auto"/>
            </w:tcBorders>
            <w:shd w:val="clear" w:color="auto" w:fill="auto"/>
            <w:vAlign w:val="bottom"/>
          </w:tcPr>
          <w:p w:rsidR="00B029DD" w:rsidRPr="00B029DD" w:rsidRDefault="00B029DD" w:rsidP="00610A42">
            <w:pPr>
              <w:pStyle w:val="H23G"/>
              <w:keepNext w:val="0"/>
              <w:keepLines w:val="0"/>
              <w:suppressAutoHyphens w:val="0"/>
              <w:spacing w:before="40" w:after="40" w:line="220" w:lineRule="exact"/>
              <w:ind w:left="0" w:right="0" w:firstLine="0"/>
              <w:jc w:val="right"/>
              <w:rPr>
                <w:b w:val="0"/>
                <w:sz w:val="18"/>
              </w:rPr>
            </w:pPr>
            <w:r w:rsidRPr="00B029DD">
              <w:rPr>
                <w:b w:val="0"/>
                <w:sz w:val="18"/>
              </w:rPr>
              <w:t>49,5</w:t>
            </w:r>
          </w:p>
        </w:tc>
      </w:tr>
      <w:tr w:rsidR="00B029DD" w:rsidTr="00B029DD">
        <w:tc>
          <w:tcPr>
            <w:tcW w:w="1276" w:type="dxa"/>
            <w:shd w:val="clear" w:color="auto" w:fill="auto"/>
          </w:tcPr>
          <w:p w:rsidR="00B029DD" w:rsidRPr="00B029DD" w:rsidRDefault="00B029DD" w:rsidP="00610A42">
            <w:pPr>
              <w:pStyle w:val="H23G"/>
              <w:keepNext w:val="0"/>
              <w:keepLines w:val="0"/>
              <w:suppressAutoHyphens w:val="0"/>
              <w:spacing w:before="40" w:after="40" w:line="220" w:lineRule="exact"/>
              <w:ind w:left="0" w:right="0" w:firstLine="0"/>
              <w:rPr>
                <w:b w:val="0"/>
                <w:sz w:val="18"/>
              </w:rPr>
            </w:pPr>
            <w:r w:rsidRPr="00B029DD">
              <w:rPr>
                <w:b w:val="0"/>
                <w:sz w:val="18"/>
              </w:rPr>
              <w:t>2004</w:t>
            </w:r>
            <w:r w:rsidR="00610A42">
              <w:rPr>
                <w:b w:val="0"/>
                <w:sz w:val="18"/>
              </w:rPr>
              <w:t>/</w:t>
            </w:r>
            <w:r w:rsidRPr="00B029DD">
              <w:rPr>
                <w:b w:val="0"/>
                <w:sz w:val="18"/>
              </w:rPr>
              <w:t>05</w:t>
            </w:r>
          </w:p>
        </w:tc>
        <w:tc>
          <w:tcPr>
            <w:tcW w:w="2835" w:type="dxa"/>
            <w:shd w:val="clear" w:color="auto" w:fill="auto"/>
            <w:vAlign w:val="bottom"/>
          </w:tcPr>
          <w:p w:rsidR="00B029DD" w:rsidRPr="00B029DD" w:rsidRDefault="00B029DD" w:rsidP="00610A42">
            <w:pPr>
              <w:pStyle w:val="H23G"/>
              <w:keepNext w:val="0"/>
              <w:keepLines w:val="0"/>
              <w:suppressAutoHyphens w:val="0"/>
              <w:spacing w:before="40" w:after="40" w:line="220" w:lineRule="exact"/>
              <w:ind w:left="0" w:right="0" w:firstLine="0"/>
              <w:jc w:val="right"/>
              <w:rPr>
                <w:b w:val="0"/>
                <w:sz w:val="18"/>
              </w:rPr>
            </w:pPr>
            <w:r w:rsidRPr="00B029DD">
              <w:rPr>
                <w:b w:val="0"/>
                <w:sz w:val="18"/>
              </w:rPr>
              <w:t>57,0</w:t>
            </w:r>
          </w:p>
        </w:tc>
        <w:tc>
          <w:tcPr>
            <w:tcW w:w="3259" w:type="dxa"/>
            <w:shd w:val="clear" w:color="auto" w:fill="auto"/>
            <w:vAlign w:val="bottom"/>
          </w:tcPr>
          <w:p w:rsidR="00B029DD" w:rsidRPr="00B029DD" w:rsidRDefault="00B029DD" w:rsidP="00610A42">
            <w:pPr>
              <w:pStyle w:val="H23G"/>
              <w:keepNext w:val="0"/>
              <w:keepLines w:val="0"/>
              <w:suppressAutoHyphens w:val="0"/>
              <w:spacing w:before="40" w:after="40" w:line="220" w:lineRule="exact"/>
              <w:ind w:left="0" w:right="0" w:firstLine="0"/>
              <w:jc w:val="right"/>
              <w:rPr>
                <w:b w:val="0"/>
                <w:sz w:val="18"/>
              </w:rPr>
            </w:pPr>
            <w:r w:rsidRPr="00B029DD">
              <w:rPr>
                <w:b w:val="0"/>
                <w:sz w:val="18"/>
              </w:rPr>
              <w:t>51,5</w:t>
            </w:r>
          </w:p>
        </w:tc>
      </w:tr>
      <w:tr w:rsidR="00B029DD" w:rsidTr="00B029DD">
        <w:tc>
          <w:tcPr>
            <w:tcW w:w="1276" w:type="dxa"/>
            <w:shd w:val="clear" w:color="auto" w:fill="auto"/>
          </w:tcPr>
          <w:p w:rsidR="00B029DD" w:rsidRPr="00B029DD" w:rsidRDefault="00B029DD" w:rsidP="00610A42">
            <w:pPr>
              <w:pStyle w:val="H23G"/>
              <w:keepNext w:val="0"/>
              <w:keepLines w:val="0"/>
              <w:suppressAutoHyphens w:val="0"/>
              <w:spacing w:before="40" w:after="40" w:line="220" w:lineRule="exact"/>
              <w:ind w:left="0" w:right="0" w:firstLine="0"/>
              <w:rPr>
                <w:b w:val="0"/>
                <w:sz w:val="18"/>
              </w:rPr>
            </w:pPr>
            <w:r w:rsidRPr="00B029DD">
              <w:rPr>
                <w:b w:val="0"/>
                <w:sz w:val="18"/>
              </w:rPr>
              <w:t>2005</w:t>
            </w:r>
            <w:r w:rsidR="00610A42">
              <w:rPr>
                <w:b w:val="0"/>
                <w:sz w:val="18"/>
              </w:rPr>
              <w:t>/</w:t>
            </w:r>
            <w:r w:rsidRPr="00B029DD">
              <w:rPr>
                <w:b w:val="0"/>
                <w:sz w:val="18"/>
              </w:rPr>
              <w:t>06</w:t>
            </w:r>
          </w:p>
        </w:tc>
        <w:tc>
          <w:tcPr>
            <w:tcW w:w="2835" w:type="dxa"/>
            <w:shd w:val="clear" w:color="auto" w:fill="auto"/>
            <w:vAlign w:val="bottom"/>
          </w:tcPr>
          <w:p w:rsidR="00B029DD" w:rsidRPr="00B029DD" w:rsidRDefault="00B029DD" w:rsidP="00610A42">
            <w:pPr>
              <w:pStyle w:val="H23G"/>
              <w:keepNext w:val="0"/>
              <w:keepLines w:val="0"/>
              <w:suppressAutoHyphens w:val="0"/>
              <w:spacing w:before="40" w:after="40" w:line="220" w:lineRule="exact"/>
              <w:ind w:left="0" w:right="0" w:firstLine="0"/>
              <w:jc w:val="right"/>
              <w:rPr>
                <w:b w:val="0"/>
                <w:sz w:val="18"/>
              </w:rPr>
            </w:pPr>
            <w:r w:rsidRPr="00B029DD">
              <w:rPr>
                <w:b w:val="0"/>
                <w:sz w:val="18"/>
              </w:rPr>
              <w:t>64,6</w:t>
            </w:r>
          </w:p>
        </w:tc>
        <w:tc>
          <w:tcPr>
            <w:tcW w:w="3259" w:type="dxa"/>
            <w:shd w:val="clear" w:color="auto" w:fill="auto"/>
            <w:vAlign w:val="bottom"/>
          </w:tcPr>
          <w:p w:rsidR="00B029DD" w:rsidRPr="00B029DD" w:rsidRDefault="00B029DD" w:rsidP="00610A42">
            <w:pPr>
              <w:pStyle w:val="H23G"/>
              <w:keepNext w:val="0"/>
              <w:keepLines w:val="0"/>
              <w:suppressAutoHyphens w:val="0"/>
              <w:spacing w:before="40" w:after="40" w:line="220" w:lineRule="exact"/>
              <w:ind w:left="0" w:right="0" w:firstLine="0"/>
              <w:jc w:val="right"/>
              <w:rPr>
                <w:b w:val="0"/>
                <w:sz w:val="18"/>
              </w:rPr>
            </w:pPr>
            <w:r w:rsidRPr="00B029DD">
              <w:rPr>
                <w:b w:val="0"/>
                <w:sz w:val="18"/>
              </w:rPr>
              <w:t>54,6</w:t>
            </w:r>
          </w:p>
        </w:tc>
      </w:tr>
      <w:tr w:rsidR="00B029DD" w:rsidTr="00B029DD">
        <w:tc>
          <w:tcPr>
            <w:tcW w:w="1276" w:type="dxa"/>
            <w:shd w:val="clear" w:color="auto" w:fill="auto"/>
          </w:tcPr>
          <w:p w:rsidR="00B029DD" w:rsidRPr="00B029DD" w:rsidRDefault="00B029DD" w:rsidP="00610A42">
            <w:pPr>
              <w:pStyle w:val="H23G"/>
              <w:keepNext w:val="0"/>
              <w:keepLines w:val="0"/>
              <w:suppressAutoHyphens w:val="0"/>
              <w:spacing w:before="40" w:after="40" w:line="220" w:lineRule="exact"/>
              <w:ind w:left="0" w:right="0" w:firstLine="0"/>
              <w:rPr>
                <w:b w:val="0"/>
                <w:sz w:val="18"/>
              </w:rPr>
            </w:pPr>
            <w:r w:rsidRPr="00B029DD">
              <w:rPr>
                <w:b w:val="0"/>
                <w:sz w:val="18"/>
              </w:rPr>
              <w:t>2006</w:t>
            </w:r>
            <w:r w:rsidR="00610A42">
              <w:rPr>
                <w:b w:val="0"/>
                <w:sz w:val="18"/>
              </w:rPr>
              <w:t>/</w:t>
            </w:r>
            <w:r w:rsidRPr="00B029DD">
              <w:rPr>
                <w:b w:val="0"/>
                <w:sz w:val="18"/>
              </w:rPr>
              <w:t>07</w:t>
            </w:r>
          </w:p>
        </w:tc>
        <w:tc>
          <w:tcPr>
            <w:tcW w:w="2835" w:type="dxa"/>
            <w:shd w:val="clear" w:color="auto" w:fill="auto"/>
            <w:vAlign w:val="bottom"/>
          </w:tcPr>
          <w:p w:rsidR="00B029DD" w:rsidRPr="00B029DD" w:rsidRDefault="00B029DD" w:rsidP="00610A42">
            <w:pPr>
              <w:pStyle w:val="H23G"/>
              <w:keepNext w:val="0"/>
              <w:keepLines w:val="0"/>
              <w:suppressAutoHyphens w:val="0"/>
              <w:spacing w:before="40" w:after="40" w:line="220" w:lineRule="exact"/>
              <w:ind w:left="0" w:right="0" w:firstLine="0"/>
              <w:jc w:val="right"/>
              <w:rPr>
                <w:b w:val="0"/>
                <w:sz w:val="18"/>
              </w:rPr>
            </w:pPr>
            <w:r w:rsidRPr="00B029DD">
              <w:rPr>
                <w:b w:val="0"/>
                <w:sz w:val="18"/>
              </w:rPr>
              <w:t>68,5</w:t>
            </w:r>
          </w:p>
        </w:tc>
        <w:tc>
          <w:tcPr>
            <w:tcW w:w="3259" w:type="dxa"/>
            <w:shd w:val="clear" w:color="auto" w:fill="auto"/>
            <w:vAlign w:val="bottom"/>
          </w:tcPr>
          <w:p w:rsidR="00B029DD" w:rsidRPr="00B029DD" w:rsidRDefault="00B029DD" w:rsidP="00610A42">
            <w:pPr>
              <w:pStyle w:val="H23G"/>
              <w:keepNext w:val="0"/>
              <w:keepLines w:val="0"/>
              <w:suppressAutoHyphens w:val="0"/>
              <w:spacing w:before="40" w:after="40" w:line="220" w:lineRule="exact"/>
              <w:ind w:left="0" w:right="0" w:firstLine="0"/>
              <w:jc w:val="right"/>
              <w:rPr>
                <w:b w:val="0"/>
                <w:sz w:val="18"/>
              </w:rPr>
            </w:pPr>
            <w:r w:rsidRPr="00B029DD">
              <w:rPr>
                <w:b w:val="0"/>
                <w:sz w:val="18"/>
              </w:rPr>
              <w:t>57,8</w:t>
            </w:r>
          </w:p>
        </w:tc>
      </w:tr>
      <w:tr w:rsidR="00B029DD" w:rsidTr="00B029DD">
        <w:tc>
          <w:tcPr>
            <w:tcW w:w="1276" w:type="dxa"/>
            <w:shd w:val="clear" w:color="auto" w:fill="auto"/>
          </w:tcPr>
          <w:p w:rsidR="00B029DD" w:rsidRPr="00B029DD" w:rsidRDefault="00B029DD" w:rsidP="00610A42">
            <w:pPr>
              <w:pStyle w:val="H23G"/>
              <w:keepNext w:val="0"/>
              <w:keepLines w:val="0"/>
              <w:suppressAutoHyphens w:val="0"/>
              <w:spacing w:before="40" w:after="40" w:line="220" w:lineRule="exact"/>
              <w:ind w:left="0" w:right="0" w:firstLine="0"/>
              <w:rPr>
                <w:b w:val="0"/>
                <w:sz w:val="18"/>
              </w:rPr>
            </w:pPr>
            <w:r w:rsidRPr="00B029DD">
              <w:rPr>
                <w:b w:val="0"/>
                <w:sz w:val="18"/>
              </w:rPr>
              <w:t>2007</w:t>
            </w:r>
            <w:r w:rsidR="00610A42">
              <w:rPr>
                <w:b w:val="0"/>
                <w:sz w:val="18"/>
              </w:rPr>
              <w:t>/</w:t>
            </w:r>
            <w:r w:rsidRPr="00B029DD">
              <w:rPr>
                <w:b w:val="0"/>
                <w:sz w:val="18"/>
              </w:rPr>
              <w:t>08</w:t>
            </w:r>
          </w:p>
        </w:tc>
        <w:tc>
          <w:tcPr>
            <w:tcW w:w="2835" w:type="dxa"/>
            <w:shd w:val="clear" w:color="auto" w:fill="auto"/>
            <w:vAlign w:val="bottom"/>
          </w:tcPr>
          <w:p w:rsidR="00B029DD" w:rsidRPr="00B029DD" w:rsidRDefault="00B029DD" w:rsidP="00610A42">
            <w:pPr>
              <w:pStyle w:val="H23G"/>
              <w:keepNext w:val="0"/>
              <w:keepLines w:val="0"/>
              <w:suppressAutoHyphens w:val="0"/>
              <w:spacing w:before="40" w:after="40" w:line="220" w:lineRule="exact"/>
              <w:ind w:left="0" w:right="0" w:firstLine="0"/>
              <w:jc w:val="right"/>
              <w:rPr>
                <w:b w:val="0"/>
                <w:sz w:val="18"/>
              </w:rPr>
            </w:pPr>
            <w:r w:rsidRPr="00B029DD">
              <w:rPr>
                <w:b w:val="0"/>
                <w:sz w:val="18"/>
              </w:rPr>
              <w:t>76,9</w:t>
            </w:r>
          </w:p>
        </w:tc>
        <w:tc>
          <w:tcPr>
            <w:tcW w:w="3259" w:type="dxa"/>
            <w:shd w:val="clear" w:color="auto" w:fill="auto"/>
            <w:vAlign w:val="bottom"/>
          </w:tcPr>
          <w:p w:rsidR="00B029DD" w:rsidRPr="00B029DD" w:rsidRDefault="00B029DD" w:rsidP="00610A42">
            <w:pPr>
              <w:pStyle w:val="H23G"/>
              <w:keepNext w:val="0"/>
              <w:keepLines w:val="0"/>
              <w:suppressAutoHyphens w:val="0"/>
              <w:spacing w:before="40" w:after="40" w:line="220" w:lineRule="exact"/>
              <w:ind w:left="0" w:right="0" w:firstLine="0"/>
              <w:jc w:val="right"/>
              <w:rPr>
                <w:b w:val="0"/>
                <w:sz w:val="18"/>
              </w:rPr>
            </w:pPr>
            <w:r w:rsidRPr="00B029DD">
              <w:rPr>
                <w:b w:val="0"/>
                <w:sz w:val="18"/>
              </w:rPr>
              <w:t>68,3</w:t>
            </w:r>
          </w:p>
        </w:tc>
      </w:tr>
      <w:tr w:rsidR="00B029DD" w:rsidTr="00B029DD">
        <w:tc>
          <w:tcPr>
            <w:tcW w:w="1276" w:type="dxa"/>
            <w:shd w:val="clear" w:color="auto" w:fill="auto"/>
          </w:tcPr>
          <w:p w:rsidR="00B029DD" w:rsidRPr="00B029DD" w:rsidRDefault="00B029DD" w:rsidP="00610A42">
            <w:pPr>
              <w:pStyle w:val="H23G"/>
              <w:keepNext w:val="0"/>
              <w:keepLines w:val="0"/>
              <w:suppressAutoHyphens w:val="0"/>
              <w:spacing w:before="40" w:after="40" w:line="220" w:lineRule="exact"/>
              <w:ind w:left="0" w:right="0" w:firstLine="0"/>
              <w:rPr>
                <w:b w:val="0"/>
                <w:sz w:val="18"/>
              </w:rPr>
            </w:pPr>
            <w:r w:rsidRPr="00B029DD">
              <w:rPr>
                <w:b w:val="0"/>
                <w:sz w:val="18"/>
              </w:rPr>
              <w:t>2008</w:t>
            </w:r>
            <w:r w:rsidR="00610A42">
              <w:rPr>
                <w:b w:val="0"/>
                <w:sz w:val="18"/>
              </w:rPr>
              <w:t>/</w:t>
            </w:r>
            <w:r w:rsidRPr="00B029DD">
              <w:rPr>
                <w:b w:val="0"/>
                <w:sz w:val="18"/>
              </w:rPr>
              <w:t>09</w:t>
            </w:r>
          </w:p>
        </w:tc>
        <w:tc>
          <w:tcPr>
            <w:tcW w:w="2835" w:type="dxa"/>
            <w:shd w:val="clear" w:color="auto" w:fill="auto"/>
            <w:vAlign w:val="bottom"/>
          </w:tcPr>
          <w:p w:rsidR="00B029DD" w:rsidRPr="00B029DD" w:rsidRDefault="00B029DD" w:rsidP="00610A42">
            <w:pPr>
              <w:pStyle w:val="H23G"/>
              <w:keepNext w:val="0"/>
              <w:keepLines w:val="0"/>
              <w:suppressAutoHyphens w:val="0"/>
              <w:spacing w:before="40" w:after="40" w:line="220" w:lineRule="exact"/>
              <w:ind w:left="0" w:right="0" w:firstLine="0"/>
              <w:jc w:val="right"/>
              <w:rPr>
                <w:b w:val="0"/>
                <w:sz w:val="18"/>
              </w:rPr>
            </w:pPr>
            <w:r w:rsidRPr="00B029DD">
              <w:rPr>
                <w:b w:val="0"/>
                <w:sz w:val="18"/>
              </w:rPr>
              <w:t>76,3</w:t>
            </w:r>
          </w:p>
        </w:tc>
        <w:tc>
          <w:tcPr>
            <w:tcW w:w="3259" w:type="dxa"/>
            <w:shd w:val="clear" w:color="auto" w:fill="auto"/>
            <w:vAlign w:val="bottom"/>
          </w:tcPr>
          <w:p w:rsidR="00B029DD" w:rsidRPr="00B029DD" w:rsidRDefault="00B029DD" w:rsidP="00610A42">
            <w:pPr>
              <w:pStyle w:val="H23G"/>
              <w:keepNext w:val="0"/>
              <w:keepLines w:val="0"/>
              <w:suppressAutoHyphens w:val="0"/>
              <w:spacing w:before="40" w:after="40" w:line="220" w:lineRule="exact"/>
              <w:ind w:left="0" w:right="0" w:firstLine="0"/>
              <w:jc w:val="right"/>
              <w:rPr>
                <w:b w:val="0"/>
                <w:sz w:val="18"/>
              </w:rPr>
            </w:pPr>
            <w:r w:rsidRPr="00B029DD">
              <w:rPr>
                <w:b w:val="0"/>
                <w:sz w:val="18"/>
              </w:rPr>
              <w:t>67,9</w:t>
            </w:r>
          </w:p>
        </w:tc>
      </w:tr>
      <w:tr w:rsidR="00B029DD" w:rsidTr="00B029DD">
        <w:tc>
          <w:tcPr>
            <w:tcW w:w="1276" w:type="dxa"/>
            <w:shd w:val="clear" w:color="auto" w:fill="auto"/>
          </w:tcPr>
          <w:p w:rsidR="00B029DD" w:rsidRPr="00B029DD" w:rsidRDefault="00B029DD" w:rsidP="00610A42">
            <w:pPr>
              <w:pStyle w:val="H23G"/>
              <w:keepNext w:val="0"/>
              <w:keepLines w:val="0"/>
              <w:suppressAutoHyphens w:val="0"/>
              <w:spacing w:before="40" w:after="40" w:line="220" w:lineRule="exact"/>
              <w:ind w:left="0" w:right="0" w:firstLine="0"/>
              <w:rPr>
                <w:b w:val="0"/>
                <w:sz w:val="18"/>
              </w:rPr>
            </w:pPr>
            <w:r w:rsidRPr="00B029DD">
              <w:rPr>
                <w:b w:val="0"/>
                <w:sz w:val="18"/>
              </w:rPr>
              <w:t>2009</w:t>
            </w:r>
            <w:r w:rsidR="00610A42">
              <w:rPr>
                <w:b w:val="0"/>
                <w:sz w:val="18"/>
              </w:rPr>
              <w:t>/</w:t>
            </w:r>
            <w:r w:rsidRPr="00B029DD">
              <w:rPr>
                <w:b w:val="0"/>
                <w:sz w:val="18"/>
              </w:rPr>
              <w:t>10</w:t>
            </w:r>
          </w:p>
        </w:tc>
        <w:tc>
          <w:tcPr>
            <w:tcW w:w="2835" w:type="dxa"/>
            <w:shd w:val="clear" w:color="auto" w:fill="auto"/>
            <w:vAlign w:val="bottom"/>
          </w:tcPr>
          <w:p w:rsidR="00B029DD" w:rsidRPr="00B029DD" w:rsidRDefault="00B029DD" w:rsidP="00610A42">
            <w:pPr>
              <w:pStyle w:val="H23G"/>
              <w:keepNext w:val="0"/>
              <w:keepLines w:val="0"/>
              <w:suppressAutoHyphens w:val="0"/>
              <w:spacing w:before="40" w:after="40" w:line="220" w:lineRule="exact"/>
              <w:ind w:left="0" w:right="0" w:firstLine="0"/>
              <w:jc w:val="right"/>
              <w:rPr>
                <w:b w:val="0"/>
                <w:sz w:val="18"/>
              </w:rPr>
            </w:pPr>
            <w:r w:rsidRPr="00B029DD">
              <w:rPr>
                <w:b w:val="0"/>
                <w:sz w:val="18"/>
              </w:rPr>
              <w:t>73,6</w:t>
            </w:r>
          </w:p>
        </w:tc>
        <w:tc>
          <w:tcPr>
            <w:tcW w:w="3259" w:type="dxa"/>
            <w:shd w:val="clear" w:color="auto" w:fill="auto"/>
            <w:vAlign w:val="bottom"/>
          </w:tcPr>
          <w:p w:rsidR="00B029DD" w:rsidRPr="00B029DD" w:rsidRDefault="00B029DD" w:rsidP="00610A42">
            <w:pPr>
              <w:pStyle w:val="H23G"/>
              <w:keepNext w:val="0"/>
              <w:keepLines w:val="0"/>
              <w:suppressAutoHyphens w:val="0"/>
              <w:spacing w:before="40" w:after="40" w:line="220" w:lineRule="exact"/>
              <w:ind w:left="0" w:right="0" w:firstLine="0"/>
              <w:jc w:val="right"/>
              <w:rPr>
                <w:b w:val="0"/>
                <w:sz w:val="18"/>
              </w:rPr>
            </w:pPr>
            <w:r w:rsidRPr="00B029DD">
              <w:rPr>
                <w:b w:val="0"/>
                <w:sz w:val="18"/>
              </w:rPr>
              <w:t>72,9</w:t>
            </w:r>
          </w:p>
        </w:tc>
      </w:tr>
      <w:tr w:rsidR="00B029DD" w:rsidTr="00B029DD">
        <w:tc>
          <w:tcPr>
            <w:tcW w:w="1276" w:type="dxa"/>
            <w:shd w:val="clear" w:color="auto" w:fill="auto"/>
          </w:tcPr>
          <w:p w:rsidR="00B029DD" w:rsidRPr="00B029DD" w:rsidRDefault="00B029DD" w:rsidP="00610A42">
            <w:pPr>
              <w:pStyle w:val="H23G"/>
              <w:keepNext w:val="0"/>
              <w:keepLines w:val="0"/>
              <w:suppressAutoHyphens w:val="0"/>
              <w:spacing w:before="40" w:after="40" w:line="220" w:lineRule="exact"/>
              <w:ind w:left="0" w:right="0" w:firstLine="0"/>
              <w:rPr>
                <w:b w:val="0"/>
                <w:sz w:val="18"/>
              </w:rPr>
            </w:pPr>
            <w:r w:rsidRPr="00B029DD">
              <w:rPr>
                <w:b w:val="0"/>
                <w:sz w:val="18"/>
              </w:rPr>
              <w:t>2010</w:t>
            </w:r>
            <w:r w:rsidR="00610A42">
              <w:rPr>
                <w:b w:val="0"/>
                <w:sz w:val="18"/>
              </w:rPr>
              <w:t>/</w:t>
            </w:r>
            <w:r w:rsidRPr="00B029DD">
              <w:rPr>
                <w:b w:val="0"/>
                <w:sz w:val="18"/>
              </w:rPr>
              <w:t>11</w:t>
            </w:r>
          </w:p>
        </w:tc>
        <w:tc>
          <w:tcPr>
            <w:tcW w:w="2835" w:type="dxa"/>
            <w:shd w:val="clear" w:color="auto" w:fill="auto"/>
            <w:vAlign w:val="bottom"/>
          </w:tcPr>
          <w:p w:rsidR="00B029DD" w:rsidRPr="00B029DD" w:rsidRDefault="00B029DD" w:rsidP="00610A42">
            <w:pPr>
              <w:pStyle w:val="H23G"/>
              <w:keepNext w:val="0"/>
              <w:keepLines w:val="0"/>
              <w:suppressAutoHyphens w:val="0"/>
              <w:spacing w:before="40" w:after="40" w:line="220" w:lineRule="exact"/>
              <w:ind w:left="0" w:right="0" w:firstLine="0"/>
              <w:jc w:val="right"/>
              <w:rPr>
                <w:b w:val="0"/>
                <w:sz w:val="18"/>
              </w:rPr>
            </w:pPr>
            <w:r w:rsidRPr="00B029DD">
              <w:rPr>
                <w:b w:val="0"/>
                <w:sz w:val="18"/>
              </w:rPr>
              <w:t>76,8</w:t>
            </w:r>
          </w:p>
        </w:tc>
        <w:tc>
          <w:tcPr>
            <w:tcW w:w="3259" w:type="dxa"/>
            <w:shd w:val="clear" w:color="auto" w:fill="auto"/>
            <w:vAlign w:val="bottom"/>
          </w:tcPr>
          <w:p w:rsidR="00B029DD" w:rsidRPr="00B029DD" w:rsidRDefault="00B029DD" w:rsidP="00610A42">
            <w:pPr>
              <w:pStyle w:val="H23G"/>
              <w:keepNext w:val="0"/>
              <w:keepLines w:val="0"/>
              <w:suppressAutoHyphens w:val="0"/>
              <w:spacing w:before="40" w:after="40" w:line="220" w:lineRule="exact"/>
              <w:ind w:left="0" w:right="0" w:firstLine="0"/>
              <w:jc w:val="right"/>
              <w:rPr>
                <w:b w:val="0"/>
                <w:sz w:val="18"/>
              </w:rPr>
            </w:pPr>
            <w:r w:rsidRPr="00B029DD">
              <w:rPr>
                <w:b w:val="0"/>
                <w:sz w:val="18"/>
              </w:rPr>
              <w:t>75</w:t>
            </w:r>
          </w:p>
        </w:tc>
      </w:tr>
      <w:tr w:rsidR="00B029DD" w:rsidTr="00B029DD">
        <w:tc>
          <w:tcPr>
            <w:tcW w:w="1276" w:type="dxa"/>
            <w:shd w:val="clear" w:color="auto" w:fill="auto"/>
          </w:tcPr>
          <w:p w:rsidR="00B029DD" w:rsidRPr="00B029DD" w:rsidRDefault="00B029DD" w:rsidP="00610A42">
            <w:pPr>
              <w:pStyle w:val="H23G"/>
              <w:keepNext w:val="0"/>
              <w:keepLines w:val="0"/>
              <w:suppressAutoHyphens w:val="0"/>
              <w:spacing w:before="40" w:after="40" w:line="220" w:lineRule="exact"/>
              <w:ind w:left="0" w:right="0" w:firstLine="0"/>
              <w:rPr>
                <w:b w:val="0"/>
                <w:sz w:val="18"/>
              </w:rPr>
            </w:pPr>
            <w:r w:rsidRPr="00B029DD">
              <w:rPr>
                <w:b w:val="0"/>
                <w:sz w:val="18"/>
              </w:rPr>
              <w:t>2011</w:t>
            </w:r>
            <w:r w:rsidR="00610A42">
              <w:rPr>
                <w:b w:val="0"/>
                <w:sz w:val="18"/>
              </w:rPr>
              <w:t>/</w:t>
            </w:r>
            <w:r w:rsidRPr="00B029DD">
              <w:rPr>
                <w:b w:val="0"/>
                <w:sz w:val="18"/>
              </w:rPr>
              <w:t>12</w:t>
            </w:r>
          </w:p>
        </w:tc>
        <w:tc>
          <w:tcPr>
            <w:tcW w:w="2835" w:type="dxa"/>
            <w:shd w:val="clear" w:color="auto" w:fill="auto"/>
            <w:vAlign w:val="bottom"/>
          </w:tcPr>
          <w:p w:rsidR="00B029DD" w:rsidRPr="00B029DD" w:rsidRDefault="00B029DD" w:rsidP="00610A42">
            <w:pPr>
              <w:pStyle w:val="H23G"/>
              <w:keepNext w:val="0"/>
              <w:keepLines w:val="0"/>
              <w:suppressAutoHyphens w:val="0"/>
              <w:spacing w:before="40" w:after="40" w:line="220" w:lineRule="exact"/>
              <w:ind w:left="0" w:right="0" w:firstLine="0"/>
              <w:jc w:val="right"/>
              <w:rPr>
                <w:b w:val="0"/>
                <w:sz w:val="18"/>
              </w:rPr>
            </w:pPr>
            <w:r w:rsidRPr="00B029DD">
              <w:rPr>
                <w:b w:val="0"/>
                <w:sz w:val="18"/>
              </w:rPr>
              <w:t>76,0</w:t>
            </w:r>
          </w:p>
        </w:tc>
        <w:tc>
          <w:tcPr>
            <w:tcW w:w="3259" w:type="dxa"/>
            <w:shd w:val="clear" w:color="auto" w:fill="auto"/>
            <w:vAlign w:val="bottom"/>
          </w:tcPr>
          <w:p w:rsidR="00B029DD" w:rsidRPr="00B029DD" w:rsidRDefault="00B029DD" w:rsidP="00610A42">
            <w:pPr>
              <w:pStyle w:val="H23G"/>
              <w:keepNext w:val="0"/>
              <w:keepLines w:val="0"/>
              <w:suppressAutoHyphens w:val="0"/>
              <w:spacing w:before="40" w:after="40" w:line="220" w:lineRule="exact"/>
              <w:ind w:left="0" w:right="0" w:firstLine="0"/>
              <w:jc w:val="right"/>
              <w:rPr>
                <w:b w:val="0"/>
                <w:sz w:val="18"/>
              </w:rPr>
            </w:pPr>
            <w:r w:rsidRPr="00B029DD">
              <w:rPr>
                <w:b w:val="0"/>
                <w:sz w:val="18"/>
              </w:rPr>
              <w:t>78,2</w:t>
            </w:r>
          </w:p>
        </w:tc>
      </w:tr>
      <w:tr w:rsidR="00B029DD" w:rsidTr="00B029DD">
        <w:tc>
          <w:tcPr>
            <w:tcW w:w="1276" w:type="dxa"/>
            <w:shd w:val="clear" w:color="auto" w:fill="auto"/>
          </w:tcPr>
          <w:p w:rsidR="00B029DD" w:rsidRPr="00B029DD" w:rsidRDefault="00B029DD" w:rsidP="00610A42">
            <w:pPr>
              <w:pStyle w:val="H23G"/>
              <w:keepNext w:val="0"/>
              <w:keepLines w:val="0"/>
              <w:suppressAutoHyphens w:val="0"/>
              <w:spacing w:before="40" w:after="40" w:line="220" w:lineRule="exact"/>
              <w:ind w:left="0" w:right="0" w:firstLine="0"/>
              <w:rPr>
                <w:b w:val="0"/>
                <w:sz w:val="18"/>
              </w:rPr>
            </w:pPr>
            <w:r w:rsidRPr="00B029DD">
              <w:rPr>
                <w:b w:val="0"/>
                <w:sz w:val="18"/>
              </w:rPr>
              <w:t>2012</w:t>
            </w:r>
            <w:r w:rsidR="00610A42">
              <w:rPr>
                <w:b w:val="0"/>
                <w:sz w:val="18"/>
              </w:rPr>
              <w:t>/</w:t>
            </w:r>
            <w:r w:rsidRPr="00B029DD">
              <w:rPr>
                <w:b w:val="0"/>
                <w:sz w:val="18"/>
              </w:rPr>
              <w:t>13</w:t>
            </w:r>
          </w:p>
        </w:tc>
        <w:tc>
          <w:tcPr>
            <w:tcW w:w="2835" w:type="dxa"/>
            <w:shd w:val="clear" w:color="auto" w:fill="auto"/>
            <w:vAlign w:val="bottom"/>
          </w:tcPr>
          <w:p w:rsidR="00B029DD" w:rsidRPr="00B029DD" w:rsidRDefault="00B029DD" w:rsidP="00610A42">
            <w:pPr>
              <w:pStyle w:val="H23G"/>
              <w:keepNext w:val="0"/>
              <w:keepLines w:val="0"/>
              <w:suppressAutoHyphens w:val="0"/>
              <w:spacing w:before="40" w:after="40" w:line="220" w:lineRule="exact"/>
              <w:ind w:left="0" w:right="0" w:firstLine="0"/>
              <w:jc w:val="right"/>
              <w:rPr>
                <w:b w:val="0"/>
                <w:sz w:val="18"/>
              </w:rPr>
            </w:pPr>
            <w:r w:rsidRPr="00B029DD">
              <w:rPr>
                <w:b w:val="0"/>
                <w:sz w:val="18"/>
              </w:rPr>
              <w:t>76,6</w:t>
            </w:r>
          </w:p>
        </w:tc>
        <w:tc>
          <w:tcPr>
            <w:tcW w:w="3259" w:type="dxa"/>
            <w:shd w:val="clear" w:color="auto" w:fill="auto"/>
            <w:vAlign w:val="bottom"/>
          </w:tcPr>
          <w:p w:rsidR="00B029DD" w:rsidRPr="00B029DD" w:rsidRDefault="00B029DD" w:rsidP="00610A42">
            <w:pPr>
              <w:pStyle w:val="H23G"/>
              <w:keepNext w:val="0"/>
              <w:keepLines w:val="0"/>
              <w:suppressAutoHyphens w:val="0"/>
              <w:spacing w:before="40" w:after="40" w:line="220" w:lineRule="exact"/>
              <w:ind w:left="0" w:right="0" w:firstLine="0"/>
              <w:jc w:val="right"/>
              <w:rPr>
                <w:b w:val="0"/>
                <w:sz w:val="18"/>
              </w:rPr>
            </w:pPr>
            <w:r w:rsidRPr="00B029DD">
              <w:rPr>
                <w:b w:val="0"/>
                <w:sz w:val="18"/>
              </w:rPr>
              <w:t>78,5</w:t>
            </w:r>
          </w:p>
        </w:tc>
      </w:tr>
      <w:tr w:rsidR="00B029DD" w:rsidTr="00B029DD">
        <w:tc>
          <w:tcPr>
            <w:tcW w:w="1276" w:type="dxa"/>
            <w:shd w:val="clear" w:color="auto" w:fill="auto"/>
          </w:tcPr>
          <w:p w:rsidR="00B029DD" w:rsidRPr="00B029DD" w:rsidRDefault="00B029DD" w:rsidP="00610A42">
            <w:pPr>
              <w:pStyle w:val="H23G"/>
              <w:keepNext w:val="0"/>
              <w:keepLines w:val="0"/>
              <w:suppressAutoHyphens w:val="0"/>
              <w:spacing w:before="40" w:after="40" w:line="220" w:lineRule="exact"/>
              <w:ind w:left="0" w:right="0" w:firstLine="0"/>
              <w:rPr>
                <w:b w:val="0"/>
                <w:sz w:val="18"/>
              </w:rPr>
            </w:pPr>
            <w:r w:rsidRPr="00B029DD">
              <w:rPr>
                <w:b w:val="0"/>
                <w:sz w:val="18"/>
              </w:rPr>
              <w:t>2013</w:t>
            </w:r>
            <w:r w:rsidR="00610A42">
              <w:rPr>
                <w:b w:val="0"/>
                <w:sz w:val="18"/>
              </w:rPr>
              <w:t>/</w:t>
            </w:r>
            <w:r w:rsidRPr="00B029DD">
              <w:rPr>
                <w:b w:val="0"/>
                <w:sz w:val="18"/>
              </w:rPr>
              <w:t>14</w:t>
            </w:r>
          </w:p>
        </w:tc>
        <w:tc>
          <w:tcPr>
            <w:tcW w:w="2835" w:type="dxa"/>
            <w:shd w:val="clear" w:color="auto" w:fill="auto"/>
            <w:vAlign w:val="bottom"/>
          </w:tcPr>
          <w:p w:rsidR="00B029DD" w:rsidRPr="00B029DD" w:rsidRDefault="00B029DD" w:rsidP="00610A42">
            <w:pPr>
              <w:pStyle w:val="H23G"/>
              <w:keepNext w:val="0"/>
              <w:keepLines w:val="0"/>
              <w:suppressAutoHyphens w:val="0"/>
              <w:spacing w:before="40" w:after="40" w:line="220" w:lineRule="exact"/>
              <w:ind w:left="0" w:right="0" w:firstLine="0"/>
              <w:jc w:val="right"/>
              <w:rPr>
                <w:b w:val="0"/>
                <w:sz w:val="18"/>
              </w:rPr>
            </w:pPr>
            <w:r w:rsidRPr="00B029DD">
              <w:rPr>
                <w:b w:val="0"/>
                <w:sz w:val="18"/>
              </w:rPr>
              <w:t>77,2</w:t>
            </w:r>
          </w:p>
        </w:tc>
        <w:tc>
          <w:tcPr>
            <w:tcW w:w="3259" w:type="dxa"/>
            <w:shd w:val="clear" w:color="auto" w:fill="auto"/>
            <w:vAlign w:val="bottom"/>
          </w:tcPr>
          <w:p w:rsidR="00B029DD" w:rsidRPr="00B029DD" w:rsidRDefault="00B029DD" w:rsidP="00610A42">
            <w:pPr>
              <w:pStyle w:val="H23G"/>
              <w:keepNext w:val="0"/>
              <w:keepLines w:val="0"/>
              <w:suppressAutoHyphens w:val="0"/>
              <w:spacing w:before="40" w:after="40" w:line="220" w:lineRule="exact"/>
              <w:ind w:left="0" w:right="0" w:firstLine="0"/>
              <w:jc w:val="right"/>
              <w:rPr>
                <w:b w:val="0"/>
                <w:sz w:val="18"/>
              </w:rPr>
            </w:pPr>
            <w:r w:rsidRPr="00B029DD">
              <w:rPr>
                <w:b w:val="0"/>
                <w:sz w:val="18"/>
              </w:rPr>
              <w:t>80,2</w:t>
            </w:r>
          </w:p>
        </w:tc>
      </w:tr>
      <w:tr w:rsidR="00B029DD" w:rsidTr="00B029DD">
        <w:tc>
          <w:tcPr>
            <w:tcW w:w="1276" w:type="dxa"/>
            <w:tcBorders>
              <w:bottom w:val="single" w:sz="12" w:space="0" w:color="auto"/>
            </w:tcBorders>
            <w:shd w:val="clear" w:color="auto" w:fill="auto"/>
          </w:tcPr>
          <w:p w:rsidR="00B029DD" w:rsidRPr="00B029DD" w:rsidRDefault="00B029DD" w:rsidP="00610A42">
            <w:pPr>
              <w:pStyle w:val="H23G"/>
              <w:keepNext w:val="0"/>
              <w:keepLines w:val="0"/>
              <w:suppressAutoHyphens w:val="0"/>
              <w:spacing w:before="40" w:after="40" w:line="220" w:lineRule="exact"/>
              <w:ind w:left="0" w:right="0" w:firstLine="0"/>
              <w:rPr>
                <w:b w:val="0"/>
                <w:sz w:val="18"/>
              </w:rPr>
            </w:pPr>
            <w:r w:rsidRPr="00B029DD">
              <w:rPr>
                <w:b w:val="0"/>
                <w:sz w:val="18"/>
              </w:rPr>
              <w:t>2014</w:t>
            </w:r>
            <w:r w:rsidR="00610A42">
              <w:rPr>
                <w:b w:val="0"/>
                <w:sz w:val="18"/>
              </w:rPr>
              <w:t>/</w:t>
            </w:r>
            <w:r w:rsidRPr="00B029DD">
              <w:rPr>
                <w:b w:val="0"/>
                <w:sz w:val="18"/>
              </w:rPr>
              <w:t>15</w:t>
            </w:r>
          </w:p>
        </w:tc>
        <w:tc>
          <w:tcPr>
            <w:tcW w:w="2835" w:type="dxa"/>
            <w:tcBorders>
              <w:bottom w:val="single" w:sz="12" w:space="0" w:color="auto"/>
            </w:tcBorders>
            <w:shd w:val="clear" w:color="auto" w:fill="auto"/>
            <w:vAlign w:val="bottom"/>
          </w:tcPr>
          <w:p w:rsidR="00B029DD" w:rsidRPr="00B029DD" w:rsidRDefault="00B029DD" w:rsidP="00610A42">
            <w:pPr>
              <w:pStyle w:val="H23G"/>
              <w:keepNext w:val="0"/>
              <w:keepLines w:val="0"/>
              <w:suppressAutoHyphens w:val="0"/>
              <w:spacing w:before="40" w:after="40" w:line="220" w:lineRule="exact"/>
              <w:ind w:left="0" w:right="0" w:firstLine="0"/>
              <w:jc w:val="right"/>
              <w:rPr>
                <w:b w:val="0"/>
                <w:sz w:val="18"/>
              </w:rPr>
            </w:pPr>
            <w:r w:rsidRPr="00B029DD">
              <w:rPr>
                <w:b w:val="0"/>
                <w:sz w:val="18"/>
              </w:rPr>
              <w:t>72,2</w:t>
            </w:r>
          </w:p>
        </w:tc>
        <w:tc>
          <w:tcPr>
            <w:tcW w:w="3259" w:type="dxa"/>
            <w:tcBorders>
              <w:bottom w:val="single" w:sz="12" w:space="0" w:color="auto"/>
            </w:tcBorders>
            <w:shd w:val="clear" w:color="auto" w:fill="auto"/>
            <w:vAlign w:val="bottom"/>
          </w:tcPr>
          <w:p w:rsidR="00B029DD" w:rsidRPr="00B029DD" w:rsidRDefault="00B029DD" w:rsidP="00610A42">
            <w:pPr>
              <w:pStyle w:val="H23G"/>
              <w:keepNext w:val="0"/>
              <w:keepLines w:val="0"/>
              <w:suppressAutoHyphens w:val="0"/>
              <w:spacing w:before="40" w:after="40" w:line="220" w:lineRule="exact"/>
              <w:ind w:left="0" w:right="0" w:firstLine="0"/>
              <w:jc w:val="right"/>
              <w:rPr>
                <w:b w:val="0"/>
                <w:sz w:val="18"/>
              </w:rPr>
            </w:pPr>
            <w:r w:rsidRPr="00B029DD">
              <w:rPr>
                <w:b w:val="0"/>
                <w:sz w:val="18"/>
              </w:rPr>
              <w:t>79,0</w:t>
            </w:r>
          </w:p>
        </w:tc>
      </w:tr>
    </w:tbl>
    <w:p w:rsidR="00ED657B" w:rsidRPr="00ED657B" w:rsidRDefault="00ED657B" w:rsidP="00B029DD">
      <w:pPr>
        <w:pStyle w:val="SingleTxtG"/>
        <w:spacing w:before="240"/>
      </w:pPr>
      <w:r w:rsidRPr="00ED657B">
        <w:t>102.</w:t>
      </w:r>
      <w:r w:rsidRPr="00ED657B">
        <w:tab/>
        <w:t>Los logros en la construcción de nuevos centros y renovación de los antiguos contribuyen al aumento de las capacidades en las enseñanzas media y secundaria. La mejora de la oferta educativa ha propiciado una evolución favorable de las tasas brutas de escolarización</w:t>
      </w:r>
      <w:r w:rsidR="00B029DD">
        <w:t xml:space="preserve">, que entre 2003 y 2015 pasaron </w:t>
      </w:r>
      <w:r w:rsidRPr="00ED657B">
        <w:t xml:space="preserve">del 28,8% al 59,4% en la enseñanza media y del 13,3% al 36,6% en la </w:t>
      </w:r>
      <w:r w:rsidR="00B029DD">
        <w:t xml:space="preserve">enseñanza </w:t>
      </w:r>
      <w:r w:rsidRPr="00ED657B">
        <w:t>secundaria. Si el profesorado de la enseñanza media se ha duplicado</w:t>
      </w:r>
      <w:r w:rsidR="00B029DD">
        <w:t>,</w:t>
      </w:r>
      <w:r w:rsidRPr="00ED657B">
        <w:t xml:space="preserve"> el de la enseñanza secundaria casi se ha triplicado.</w:t>
      </w:r>
    </w:p>
    <w:p w:rsidR="00ED657B" w:rsidRDefault="00B029DD" w:rsidP="00B029DD">
      <w:pPr>
        <w:pStyle w:val="H23G"/>
      </w:pPr>
      <w:r>
        <w:tab/>
      </w:r>
      <w:r>
        <w:tab/>
      </w:r>
      <w:r w:rsidR="00ED657B" w:rsidRPr="00ED657B">
        <w:t xml:space="preserve">Evolución de la tasa bruta de ingreso y la tasa bruta de escolarización </w:t>
      </w:r>
      <w:r>
        <w:br/>
      </w:r>
      <w:r w:rsidR="00ED657B" w:rsidRPr="00ED657B">
        <w:t>en la enseñanza media (2003-2015)</w:t>
      </w:r>
      <w:r w:rsidR="007C00BB">
        <w:br/>
      </w:r>
      <w:r w:rsidR="007C00BB" w:rsidRPr="007C00BB">
        <w:rPr>
          <w:b w:val="0"/>
          <w:sz w:val="16"/>
          <w:szCs w:val="16"/>
        </w:rPr>
        <w:t>(En porcentaje)</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76"/>
        <w:gridCol w:w="2835"/>
        <w:gridCol w:w="3259"/>
      </w:tblGrid>
      <w:tr w:rsidR="00B029DD" w:rsidRPr="00B029DD" w:rsidTr="00B029DD">
        <w:trPr>
          <w:tblHeader/>
        </w:trPr>
        <w:tc>
          <w:tcPr>
            <w:tcW w:w="1276" w:type="dxa"/>
            <w:tcBorders>
              <w:top w:val="single" w:sz="4" w:space="0" w:color="auto"/>
              <w:bottom w:val="single" w:sz="12" w:space="0" w:color="auto"/>
            </w:tcBorders>
            <w:shd w:val="clear" w:color="auto" w:fill="auto"/>
            <w:vAlign w:val="bottom"/>
          </w:tcPr>
          <w:p w:rsidR="00B029DD" w:rsidRPr="00B029DD" w:rsidRDefault="00B029DD" w:rsidP="00B05AFE">
            <w:pPr>
              <w:pStyle w:val="H23G"/>
              <w:spacing w:before="80" w:after="80" w:line="200" w:lineRule="exact"/>
              <w:ind w:left="0" w:right="0" w:firstLine="0"/>
              <w:rPr>
                <w:b w:val="0"/>
                <w:i/>
                <w:sz w:val="16"/>
              </w:rPr>
            </w:pPr>
            <w:r w:rsidRPr="00B029DD">
              <w:rPr>
                <w:b w:val="0"/>
                <w:i/>
                <w:sz w:val="16"/>
              </w:rPr>
              <w:t>Años</w:t>
            </w:r>
          </w:p>
        </w:tc>
        <w:tc>
          <w:tcPr>
            <w:tcW w:w="2835" w:type="dxa"/>
            <w:tcBorders>
              <w:top w:val="single" w:sz="4" w:space="0" w:color="auto"/>
              <w:bottom w:val="single" w:sz="12" w:space="0" w:color="auto"/>
            </w:tcBorders>
            <w:shd w:val="clear" w:color="auto" w:fill="auto"/>
            <w:vAlign w:val="bottom"/>
          </w:tcPr>
          <w:p w:rsidR="00B029DD" w:rsidRPr="00B029DD" w:rsidRDefault="00B029DD" w:rsidP="007C00BB">
            <w:pPr>
              <w:pStyle w:val="H23G"/>
              <w:spacing w:before="80" w:after="80" w:line="200" w:lineRule="exact"/>
              <w:ind w:left="0" w:right="0" w:firstLine="0"/>
              <w:jc w:val="right"/>
              <w:rPr>
                <w:b w:val="0"/>
                <w:i/>
                <w:sz w:val="16"/>
              </w:rPr>
            </w:pPr>
            <w:r w:rsidRPr="00B029DD">
              <w:rPr>
                <w:b w:val="0"/>
                <w:i/>
                <w:sz w:val="16"/>
              </w:rPr>
              <w:t>Tasa bruta de ingreso</w:t>
            </w:r>
            <w:r>
              <w:rPr>
                <w:b w:val="0"/>
                <w:i/>
                <w:sz w:val="16"/>
              </w:rPr>
              <w:t xml:space="preserve"> </w:t>
            </w:r>
          </w:p>
        </w:tc>
        <w:tc>
          <w:tcPr>
            <w:tcW w:w="3259" w:type="dxa"/>
            <w:tcBorders>
              <w:top w:val="single" w:sz="4" w:space="0" w:color="auto"/>
              <w:bottom w:val="single" w:sz="12" w:space="0" w:color="auto"/>
            </w:tcBorders>
            <w:shd w:val="clear" w:color="auto" w:fill="auto"/>
            <w:vAlign w:val="bottom"/>
          </w:tcPr>
          <w:p w:rsidR="00B029DD" w:rsidRPr="00B029DD" w:rsidRDefault="00B029DD" w:rsidP="007C00BB">
            <w:pPr>
              <w:pStyle w:val="H23G"/>
              <w:spacing w:before="80" w:after="80" w:line="200" w:lineRule="exact"/>
              <w:ind w:left="0" w:right="0" w:firstLine="0"/>
              <w:jc w:val="right"/>
              <w:rPr>
                <w:b w:val="0"/>
                <w:i/>
                <w:sz w:val="16"/>
              </w:rPr>
            </w:pPr>
            <w:r w:rsidRPr="00B029DD">
              <w:rPr>
                <w:b w:val="0"/>
                <w:i/>
                <w:sz w:val="16"/>
              </w:rPr>
              <w:t>Tasa bruta de escolarización</w:t>
            </w:r>
          </w:p>
        </w:tc>
      </w:tr>
      <w:tr w:rsidR="00B029DD" w:rsidTr="00B05AFE">
        <w:tc>
          <w:tcPr>
            <w:tcW w:w="1276" w:type="dxa"/>
            <w:tcBorders>
              <w:top w:val="single" w:sz="12" w:space="0" w:color="auto"/>
            </w:tcBorders>
            <w:shd w:val="clear" w:color="auto" w:fill="auto"/>
          </w:tcPr>
          <w:p w:rsidR="00B029DD" w:rsidRPr="00B029DD" w:rsidRDefault="00B029DD" w:rsidP="00610A42">
            <w:pPr>
              <w:pStyle w:val="H23G"/>
              <w:keepNext w:val="0"/>
              <w:keepLines w:val="0"/>
              <w:suppressAutoHyphens w:val="0"/>
              <w:spacing w:before="40" w:after="40" w:line="220" w:lineRule="exact"/>
              <w:ind w:left="0" w:right="0" w:firstLine="0"/>
              <w:rPr>
                <w:b w:val="0"/>
                <w:sz w:val="18"/>
              </w:rPr>
            </w:pPr>
            <w:r w:rsidRPr="00B029DD">
              <w:rPr>
                <w:b w:val="0"/>
                <w:sz w:val="18"/>
              </w:rPr>
              <w:t>2003</w:t>
            </w:r>
            <w:r w:rsidR="00610A42">
              <w:rPr>
                <w:b w:val="0"/>
                <w:sz w:val="18"/>
              </w:rPr>
              <w:t>/</w:t>
            </w:r>
            <w:r w:rsidRPr="00B029DD">
              <w:rPr>
                <w:b w:val="0"/>
                <w:sz w:val="18"/>
              </w:rPr>
              <w:t>04</w:t>
            </w:r>
          </w:p>
        </w:tc>
        <w:tc>
          <w:tcPr>
            <w:tcW w:w="2835" w:type="dxa"/>
            <w:tcBorders>
              <w:top w:val="single" w:sz="12" w:space="0" w:color="auto"/>
            </w:tcBorders>
            <w:shd w:val="clear" w:color="auto" w:fill="auto"/>
            <w:vAlign w:val="bottom"/>
          </w:tcPr>
          <w:p w:rsidR="00B029DD" w:rsidRPr="00B029DD" w:rsidRDefault="00B029DD" w:rsidP="00610A42">
            <w:pPr>
              <w:pStyle w:val="H23G"/>
              <w:keepNext w:val="0"/>
              <w:keepLines w:val="0"/>
              <w:suppressAutoHyphens w:val="0"/>
              <w:spacing w:before="40" w:after="40" w:line="220" w:lineRule="exact"/>
              <w:ind w:left="0" w:right="0" w:firstLine="0"/>
              <w:jc w:val="right"/>
              <w:rPr>
                <w:b w:val="0"/>
                <w:sz w:val="18"/>
              </w:rPr>
            </w:pPr>
            <w:r w:rsidRPr="00B029DD">
              <w:rPr>
                <w:b w:val="0"/>
                <w:sz w:val="18"/>
              </w:rPr>
              <w:t>31,5</w:t>
            </w:r>
          </w:p>
        </w:tc>
        <w:tc>
          <w:tcPr>
            <w:tcW w:w="3259" w:type="dxa"/>
            <w:tcBorders>
              <w:top w:val="single" w:sz="12" w:space="0" w:color="auto"/>
            </w:tcBorders>
            <w:shd w:val="clear" w:color="auto" w:fill="auto"/>
            <w:vAlign w:val="bottom"/>
          </w:tcPr>
          <w:p w:rsidR="00B029DD" w:rsidRPr="00B029DD" w:rsidRDefault="00B029DD" w:rsidP="00610A42">
            <w:pPr>
              <w:pStyle w:val="H23G"/>
              <w:keepNext w:val="0"/>
              <w:keepLines w:val="0"/>
              <w:suppressAutoHyphens w:val="0"/>
              <w:spacing w:before="40" w:after="40" w:line="220" w:lineRule="exact"/>
              <w:ind w:left="0" w:right="0" w:firstLine="0"/>
              <w:jc w:val="right"/>
              <w:rPr>
                <w:b w:val="0"/>
                <w:sz w:val="18"/>
              </w:rPr>
            </w:pPr>
            <w:r w:rsidRPr="00B029DD">
              <w:rPr>
                <w:b w:val="0"/>
                <w:sz w:val="18"/>
              </w:rPr>
              <w:t>28,8</w:t>
            </w:r>
          </w:p>
        </w:tc>
      </w:tr>
      <w:tr w:rsidR="00B029DD" w:rsidTr="00B05AFE">
        <w:tc>
          <w:tcPr>
            <w:tcW w:w="1276" w:type="dxa"/>
            <w:shd w:val="clear" w:color="auto" w:fill="auto"/>
          </w:tcPr>
          <w:p w:rsidR="00B029DD" w:rsidRPr="00B029DD" w:rsidRDefault="00B029DD" w:rsidP="00610A42">
            <w:pPr>
              <w:pStyle w:val="H23G"/>
              <w:keepNext w:val="0"/>
              <w:keepLines w:val="0"/>
              <w:suppressAutoHyphens w:val="0"/>
              <w:spacing w:before="40" w:after="40" w:line="220" w:lineRule="exact"/>
              <w:ind w:left="0" w:right="0" w:firstLine="0"/>
              <w:rPr>
                <w:b w:val="0"/>
                <w:sz w:val="18"/>
              </w:rPr>
            </w:pPr>
            <w:r w:rsidRPr="00B029DD">
              <w:rPr>
                <w:b w:val="0"/>
                <w:sz w:val="18"/>
              </w:rPr>
              <w:t>2004</w:t>
            </w:r>
            <w:r w:rsidR="00610A42">
              <w:rPr>
                <w:b w:val="0"/>
                <w:sz w:val="18"/>
              </w:rPr>
              <w:t>/</w:t>
            </w:r>
            <w:r w:rsidRPr="00B029DD">
              <w:rPr>
                <w:b w:val="0"/>
                <w:sz w:val="18"/>
              </w:rPr>
              <w:t>05</w:t>
            </w:r>
          </w:p>
        </w:tc>
        <w:tc>
          <w:tcPr>
            <w:tcW w:w="2835" w:type="dxa"/>
            <w:shd w:val="clear" w:color="auto" w:fill="auto"/>
            <w:vAlign w:val="bottom"/>
          </w:tcPr>
          <w:p w:rsidR="00B029DD" w:rsidRPr="00B029DD" w:rsidRDefault="00B029DD" w:rsidP="00610A42">
            <w:pPr>
              <w:pStyle w:val="H23G"/>
              <w:keepNext w:val="0"/>
              <w:keepLines w:val="0"/>
              <w:suppressAutoHyphens w:val="0"/>
              <w:spacing w:before="40" w:after="40" w:line="220" w:lineRule="exact"/>
              <w:ind w:left="0" w:right="0" w:firstLine="0"/>
              <w:jc w:val="right"/>
              <w:rPr>
                <w:b w:val="0"/>
                <w:sz w:val="18"/>
              </w:rPr>
            </w:pPr>
            <w:r w:rsidRPr="00B029DD">
              <w:rPr>
                <w:b w:val="0"/>
                <w:sz w:val="18"/>
              </w:rPr>
              <w:t>38,0</w:t>
            </w:r>
          </w:p>
        </w:tc>
        <w:tc>
          <w:tcPr>
            <w:tcW w:w="3259" w:type="dxa"/>
            <w:shd w:val="clear" w:color="auto" w:fill="auto"/>
            <w:vAlign w:val="bottom"/>
          </w:tcPr>
          <w:p w:rsidR="00B029DD" w:rsidRPr="00B029DD" w:rsidRDefault="00B029DD" w:rsidP="00610A42">
            <w:pPr>
              <w:pStyle w:val="H23G"/>
              <w:keepNext w:val="0"/>
              <w:keepLines w:val="0"/>
              <w:suppressAutoHyphens w:val="0"/>
              <w:spacing w:before="40" w:after="40" w:line="220" w:lineRule="exact"/>
              <w:ind w:left="0" w:right="0" w:firstLine="0"/>
              <w:jc w:val="right"/>
              <w:rPr>
                <w:b w:val="0"/>
                <w:sz w:val="18"/>
              </w:rPr>
            </w:pPr>
            <w:r w:rsidRPr="00B029DD">
              <w:rPr>
                <w:b w:val="0"/>
                <w:sz w:val="18"/>
              </w:rPr>
              <w:t>32,8</w:t>
            </w:r>
          </w:p>
        </w:tc>
      </w:tr>
      <w:tr w:rsidR="00B029DD" w:rsidTr="00B05AFE">
        <w:tc>
          <w:tcPr>
            <w:tcW w:w="1276" w:type="dxa"/>
            <w:shd w:val="clear" w:color="auto" w:fill="auto"/>
          </w:tcPr>
          <w:p w:rsidR="00B029DD" w:rsidRPr="00B029DD" w:rsidRDefault="00B029DD" w:rsidP="00610A42">
            <w:pPr>
              <w:pStyle w:val="H23G"/>
              <w:keepNext w:val="0"/>
              <w:keepLines w:val="0"/>
              <w:suppressAutoHyphens w:val="0"/>
              <w:spacing w:before="40" w:after="40" w:line="220" w:lineRule="exact"/>
              <w:ind w:left="0" w:right="0" w:firstLine="0"/>
              <w:rPr>
                <w:b w:val="0"/>
                <w:sz w:val="18"/>
              </w:rPr>
            </w:pPr>
            <w:r w:rsidRPr="00B029DD">
              <w:rPr>
                <w:b w:val="0"/>
                <w:sz w:val="18"/>
              </w:rPr>
              <w:lastRenderedPageBreak/>
              <w:t>2005</w:t>
            </w:r>
            <w:r w:rsidR="00610A42">
              <w:rPr>
                <w:b w:val="0"/>
                <w:sz w:val="18"/>
              </w:rPr>
              <w:t>/</w:t>
            </w:r>
            <w:r w:rsidRPr="00B029DD">
              <w:rPr>
                <w:b w:val="0"/>
                <w:sz w:val="18"/>
              </w:rPr>
              <w:t>06</w:t>
            </w:r>
          </w:p>
        </w:tc>
        <w:tc>
          <w:tcPr>
            <w:tcW w:w="2835" w:type="dxa"/>
            <w:shd w:val="clear" w:color="auto" w:fill="auto"/>
            <w:vAlign w:val="bottom"/>
          </w:tcPr>
          <w:p w:rsidR="00B029DD" w:rsidRPr="00B029DD" w:rsidRDefault="00B029DD" w:rsidP="00610A42">
            <w:pPr>
              <w:pStyle w:val="H23G"/>
              <w:keepNext w:val="0"/>
              <w:keepLines w:val="0"/>
              <w:suppressAutoHyphens w:val="0"/>
              <w:spacing w:before="40" w:after="40" w:line="220" w:lineRule="exact"/>
              <w:ind w:left="0" w:right="0" w:firstLine="0"/>
              <w:jc w:val="right"/>
              <w:rPr>
                <w:b w:val="0"/>
                <w:sz w:val="18"/>
              </w:rPr>
            </w:pPr>
            <w:r w:rsidRPr="00B029DD">
              <w:rPr>
                <w:b w:val="0"/>
                <w:sz w:val="18"/>
              </w:rPr>
              <w:t>37,1</w:t>
            </w:r>
          </w:p>
        </w:tc>
        <w:tc>
          <w:tcPr>
            <w:tcW w:w="3259" w:type="dxa"/>
            <w:shd w:val="clear" w:color="auto" w:fill="auto"/>
            <w:vAlign w:val="bottom"/>
          </w:tcPr>
          <w:p w:rsidR="00B029DD" w:rsidRPr="00B029DD" w:rsidRDefault="00B029DD" w:rsidP="00610A42">
            <w:pPr>
              <w:pStyle w:val="H23G"/>
              <w:keepNext w:val="0"/>
              <w:keepLines w:val="0"/>
              <w:suppressAutoHyphens w:val="0"/>
              <w:spacing w:before="40" w:after="40" w:line="220" w:lineRule="exact"/>
              <w:ind w:left="0" w:right="0" w:firstLine="0"/>
              <w:jc w:val="right"/>
              <w:rPr>
                <w:b w:val="0"/>
                <w:sz w:val="18"/>
              </w:rPr>
            </w:pPr>
            <w:r w:rsidRPr="00B029DD">
              <w:rPr>
                <w:b w:val="0"/>
                <w:sz w:val="18"/>
              </w:rPr>
              <w:t>33,0</w:t>
            </w:r>
          </w:p>
        </w:tc>
      </w:tr>
      <w:tr w:rsidR="00B029DD" w:rsidTr="00B05AFE">
        <w:tc>
          <w:tcPr>
            <w:tcW w:w="1276" w:type="dxa"/>
            <w:shd w:val="clear" w:color="auto" w:fill="auto"/>
          </w:tcPr>
          <w:p w:rsidR="00B029DD" w:rsidRPr="00B029DD" w:rsidRDefault="00B029DD" w:rsidP="00610A42">
            <w:pPr>
              <w:pStyle w:val="H23G"/>
              <w:keepNext w:val="0"/>
              <w:keepLines w:val="0"/>
              <w:suppressAutoHyphens w:val="0"/>
              <w:spacing w:before="40" w:after="40" w:line="220" w:lineRule="exact"/>
              <w:ind w:left="0" w:right="0" w:firstLine="0"/>
              <w:rPr>
                <w:b w:val="0"/>
                <w:sz w:val="18"/>
              </w:rPr>
            </w:pPr>
            <w:r w:rsidRPr="00B029DD">
              <w:rPr>
                <w:b w:val="0"/>
                <w:sz w:val="18"/>
              </w:rPr>
              <w:t>2006</w:t>
            </w:r>
            <w:r w:rsidR="00610A42">
              <w:rPr>
                <w:b w:val="0"/>
                <w:sz w:val="18"/>
              </w:rPr>
              <w:t>/</w:t>
            </w:r>
            <w:r w:rsidRPr="00B029DD">
              <w:rPr>
                <w:b w:val="0"/>
                <w:sz w:val="18"/>
              </w:rPr>
              <w:t>07</w:t>
            </w:r>
          </w:p>
        </w:tc>
        <w:tc>
          <w:tcPr>
            <w:tcW w:w="2835" w:type="dxa"/>
            <w:shd w:val="clear" w:color="auto" w:fill="auto"/>
            <w:vAlign w:val="bottom"/>
          </w:tcPr>
          <w:p w:rsidR="00B029DD" w:rsidRPr="00B029DD" w:rsidRDefault="00B029DD" w:rsidP="00610A42">
            <w:pPr>
              <w:pStyle w:val="H23G"/>
              <w:keepNext w:val="0"/>
              <w:keepLines w:val="0"/>
              <w:suppressAutoHyphens w:val="0"/>
              <w:spacing w:before="40" w:after="40" w:line="220" w:lineRule="exact"/>
              <w:ind w:left="0" w:right="0" w:firstLine="0"/>
              <w:jc w:val="right"/>
              <w:rPr>
                <w:b w:val="0"/>
                <w:sz w:val="18"/>
              </w:rPr>
            </w:pPr>
            <w:r w:rsidRPr="00B029DD">
              <w:rPr>
                <w:b w:val="0"/>
                <w:sz w:val="18"/>
              </w:rPr>
              <w:t>47,2</w:t>
            </w:r>
          </w:p>
        </w:tc>
        <w:tc>
          <w:tcPr>
            <w:tcW w:w="3259" w:type="dxa"/>
            <w:shd w:val="clear" w:color="auto" w:fill="auto"/>
            <w:vAlign w:val="bottom"/>
          </w:tcPr>
          <w:p w:rsidR="00B029DD" w:rsidRPr="00B029DD" w:rsidRDefault="00B029DD" w:rsidP="00610A42">
            <w:pPr>
              <w:pStyle w:val="H23G"/>
              <w:keepNext w:val="0"/>
              <w:keepLines w:val="0"/>
              <w:suppressAutoHyphens w:val="0"/>
              <w:spacing w:before="40" w:after="40" w:line="220" w:lineRule="exact"/>
              <w:ind w:left="0" w:right="0" w:firstLine="0"/>
              <w:jc w:val="right"/>
              <w:rPr>
                <w:b w:val="0"/>
                <w:sz w:val="18"/>
              </w:rPr>
            </w:pPr>
            <w:r w:rsidRPr="00B029DD">
              <w:rPr>
                <w:b w:val="0"/>
                <w:sz w:val="18"/>
              </w:rPr>
              <w:t>38,6</w:t>
            </w:r>
          </w:p>
        </w:tc>
      </w:tr>
      <w:tr w:rsidR="00B029DD" w:rsidTr="00B05AFE">
        <w:tc>
          <w:tcPr>
            <w:tcW w:w="1276" w:type="dxa"/>
            <w:shd w:val="clear" w:color="auto" w:fill="auto"/>
          </w:tcPr>
          <w:p w:rsidR="00B029DD" w:rsidRPr="00B029DD" w:rsidRDefault="00B029DD" w:rsidP="00610A42">
            <w:pPr>
              <w:pStyle w:val="H23G"/>
              <w:keepNext w:val="0"/>
              <w:keepLines w:val="0"/>
              <w:suppressAutoHyphens w:val="0"/>
              <w:spacing w:before="40" w:after="40" w:line="220" w:lineRule="exact"/>
              <w:ind w:left="0" w:right="0" w:firstLine="0"/>
              <w:rPr>
                <w:b w:val="0"/>
                <w:sz w:val="18"/>
              </w:rPr>
            </w:pPr>
            <w:r w:rsidRPr="00B029DD">
              <w:rPr>
                <w:b w:val="0"/>
                <w:sz w:val="18"/>
              </w:rPr>
              <w:t>2007</w:t>
            </w:r>
            <w:r w:rsidR="00610A42">
              <w:rPr>
                <w:b w:val="0"/>
                <w:sz w:val="18"/>
              </w:rPr>
              <w:t>/</w:t>
            </w:r>
            <w:r w:rsidRPr="00B029DD">
              <w:rPr>
                <w:b w:val="0"/>
                <w:sz w:val="18"/>
              </w:rPr>
              <w:t>08</w:t>
            </w:r>
          </w:p>
        </w:tc>
        <w:tc>
          <w:tcPr>
            <w:tcW w:w="2835" w:type="dxa"/>
            <w:shd w:val="clear" w:color="auto" w:fill="auto"/>
            <w:vAlign w:val="bottom"/>
          </w:tcPr>
          <w:p w:rsidR="00B029DD" w:rsidRPr="00B029DD" w:rsidRDefault="00B029DD" w:rsidP="00610A42">
            <w:pPr>
              <w:pStyle w:val="H23G"/>
              <w:keepNext w:val="0"/>
              <w:keepLines w:val="0"/>
              <w:suppressAutoHyphens w:val="0"/>
              <w:spacing w:before="40" w:after="40" w:line="220" w:lineRule="exact"/>
              <w:ind w:left="0" w:right="0" w:firstLine="0"/>
              <w:jc w:val="right"/>
              <w:rPr>
                <w:b w:val="0"/>
                <w:sz w:val="18"/>
              </w:rPr>
            </w:pPr>
            <w:r w:rsidRPr="00B029DD">
              <w:rPr>
                <w:b w:val="0"/>
                <w:sz w:val="18"/>
              </w:rPr>
              <w:t>66,2</w:t>
            </w:r>
          </w:p>
        </w:tc>
        <w:tc>
          <w:tcPr>
            <w:tcW w:w="3259" w:type="dxa"/>
            <w:shd w:val="clear" w:color="auto" w:fill="auto"/>
            <w:vAlign w:val="bottom"/>
          </w:tcPr>
          <w:p w:rsidR="00B029DD" w:rsidRPr="00B029DD" w:rsidRDefault="00B029DD" w:rsidP="00610A42">
            <w:pPr>
              <w:pStyle w:val="H23G"/>
              <w:keepNext w:val="0"/>
              <w:keepLines w:val="0"/>
              <w:suppressAutoHyphens w:val="0"/>
              <w:spacing w:before="40" w:after="40" w:line="220" w:lineRule="exact"/>
              <w:ind w:left="0" w:right="0" w:firstLine="0"/>
              <w:jc w:val="right"/>
              <w:rPr>
                <w:b w:val="0"/>
                <w:sz w:val="18"/>
              </w:rPr>
            </w:pPr>
            <w:r w:rsidRPr="00B029DD">
              <w:rPr>
                <w:b w:val="0"/>
                <w:sz w:val="18"/>
              </w:rPr>
              <w:t>46,2</w:t>
            </w:r>
          </w:p>
        </w:tc>
      </w:tr>
      <w:tr w:rsidR="00B029DD" w:rsidTr="00B05AFE">
        <w:tc>
          <w:tcPr>
            <w:tcW w:w="1276" w:type="dxa"/>
            <w:shd w:val="clear" w:color="auto" w:fill="auto"/>
          </w:tcPr>
          <w:p w:rsidR="00B029DD" w:rsidRPr="00B029DD" w:rsidRDefault="00B029DD" w:rsidP="00610A42">
            <w:pPr>
              <w:pStyle w:val="H23G"/>
              <w:keepNext w:val="0"/>
              <w:keepLines w:val="0"/>
              <w:suppressAutoHyphens w:val="0"/>
              <w:spacing w:before="40" w:after="40" w:line="220" w:lineRule="exact"/>
              <w:ind w:left="0" w:right="0" w:firstLine="0"/>
              <w:rPr>
                <w:b w:val="0"/>
                <w:sz w:val="18"/>
              </w:rPr>
            </w:pPr>
            <w:r w:rsidRPr="00B029DD">
              <w:rPr>
                <w:b w:val="0"/>
                <w:sz w:val="18"/>
              </w:rPr>
              <w:t>2008</w:t>
            </w:r>
            <w:r w:rsidR="00610A42">
              <w:rPr>
                <w:b w:val="0"/>
                <w:sz w:val="18"/>
              </w:rPr>
              <w:t>/</w:t>
            </w:r>
            <w:r w:rsidRPr="00B029DD">
              <w:rPr>
                <w:b w:val="0"/>
                <w:sz w:val="18"/>
              </w:rPr>
              <w:t>09</w:t>
            </w:r>
          </w:p>
        </w:tc>
        <w:tc>
          <w:tcPr>
            <w:tcW w:w="2835" w:type="dxa"/>
            <w:shd w:val="clear" w:color="auto" w:fill="auto"/>
            <w:vAlign w:val="bottom"/>
          </w:tcPr>
          <w:p w:rsidR="00B029DD" w:rsidRPr="00B029DD" w:rsidRDefault="00B029DD" w:rsidP="00610A42">
            <w:pPr>
              <w:pStyle w:val="H23G"/>
              <w:keepNext w:val="0"/>
              <w:keepLines w:val="0"/>
              <w:suppressAutoHyphens w:val="0"/>
              <w:spacing w:before="40" w:after="40" w:line="220" w:lineRule="exact"/>
              <w:ind w:left="0" w:right="0" w:firstLine="0"/>
              <w:jc w:val="right"/>
              <w:rPr>
                <w:b w:val="0"/>
                <w:sz w:val="18"/>
              </w:rPr>
            </w:pPr>
            <w:r w:rsidRPr="00B029DD">
              <w:rPr>
                <w:b w:val="0"/>
                <w:sz w:val="18"/>
              </w:rPr>
              <w:t>49,4</w:t>
            </w:r>
          </w:p>
        </w:tc>
        <w:tc>
          <w:tcPr>
            <w:tcW w:w="3259" w:type="dxa"/>
            <w:shd w:val="clear" w:color="auto" w:fill="auto"/>
            <w:vAlign w:val="bottom"/>
          </w:tcPr>
          <w:p w:rsidR="00B029DD" w:rsidRPr="00B029DD" w:rsidRDefault="00B029DD" w:rsidP="00610A42">
            <w:pPr>
              <w:pStyle w:val="H23G"/>
              <w:keepNext w:val="0"/>
              <w:keepLines w:val="0"/>
              <w:suppressAutoHyphens w:val="0"/>
              <w:spacing w:before="40" w:after="40" w:line="220" w:lineRule="exact"/>
              <w:ind w:left="0" w:right="0" w:firstLine="0"/>
              <w:jc w:val="right"/>
              <w:rPr>
                <w:b w:val="0"/>
                <w:sz w:val="18"/>
              </w:rPr>
            </w:pPr>
            <w:r w:rsidRPr="00B029DD">
              <w:rPr>
                <w:b w:val="0"/>
                <w:sz w:val="18"/>
              </w:rPr>
              <w:t>49,7</w:t>
            </w:r>
          </w:p>
        </w:tc>
      </w:tr>
      <w:tr w:rsidR="00B029DD" w:rsidTr="00B05AFE">
        <w:tc>
          <w:tcPr>
            <w:tcW w:w="1276" w:type="dxa"/>
            <w:shd w:val="clear" w:color="auto" w:fill="auto"/>
          </w:tcPr>
          <w:p w:rsidR="00B029DD" w:rsidRPr="00B029DD" w:rsidRDefault="00B029DD" w:rsidP="00610A42">
            <w:pPr>
              <w:pStyle w:val="H23G"/>
              <w:keepNext w:val="0"/>
              <w:keepLines w:val="0"/>
              <w:suppressAutoHyphens w:val="0"/>
              <w:spacing w:before="40" w:after="40" w:line="220" w:lineRule="exact"/>
              <w:ind w:left="0" w:right="0" w:firstLine="0"/>
              <w:rPr>
                <w:b w:val="0"/>
                <w:sz w:val="18"/>
              </w:rPr>
            </w:pPr>
            <w:r w:rsidRPr="00B029DD">
              <w:rPr>
                <w:b w:val="0"/>
                <w:sz w:val="18"/>
              </w:rPr>
              <w:t>2009</w:t>
            </w:r>
            <w:r w:rsidR="00610A42">
              <w:rPr>
                <w:b w:val="0"/>
                <w:sz w:val="18"/>
              </w:rPr>
              <w:t>/</w:t>
            </w:r>
            <w:r w:rsidRPr="00B029DD">
              <w:rPr>
                <w:b w:val="0"/>
                <w:sz w:val="18"/>
              </w:rPr>
              <w:t>10</w:t>
            </w:r>
          </w:p>
        </w:tc>
        <w:tc>
          <w:tcPr>
            <w:tcW w:w="2835" w:type="dxa"/>
            <w:shd w:val="clear" w:color="auto" w:fill="auto"/>
            <w:vAlign w:val="bottom"/>
          </w:tcPr>
          <w:p w:rsidR="00B029DD" w:rsidRPr="00B029DD" w:rsidRDefault="00B029DD" w:rsidP="00610A42">
            <w:pPr>
              <w:pStyle w:val="H23G"/>
              <w:keepNext w:val="0"/>
              <w:keepLines w:val="0"/>
              <w:suppressAutoHyphens w:val="0"/>
              <w:spacing w:before="40" w:after="40" w:line="220" w:lineRule="exact"/>
              <w:ind w:left="0" w:right="0" w:firstLine="0"/>
              <w:jc w:val="right"/>
              <w:rPr>
                <w:b w:val="0"/>
                <w:sz w:val="18"/>
              </w:rPr>
            </w:pPr>
            <w:r w:rsidRPr="00B029DD">
              <w:rPr>
                <w:b w:val="0"/>
                <w:sz w:val="18"/>
              </w:rPr>
              <w:t>45,5</w:t>
            </w:r>
          </w:p>
        </w:tc>
        <w:tc>
          <w:tcPr>
            <w:tcW w:w="3259" w:type="dxa"/>
            <w:shd w:val="clear" w:color="auto" w:fill="auto"/>
            <w:vAlign w:val="bottom"/>
          </w:tcPr>
          <w:p w:rsidR="00B029DD" w:rsidRPr="00B029DD" w:rsidRDefault="00B029DD" w:rsidP="00610A42">
            <w:pPr>
              <w:pStyle w:val="H23G"/>
              <w:keepNext w:val="0"/>
              <w:keepLines w:val="0"/>
              <w:suppressAutoHyphens w:val="0"/>
              <w:spacing w:before="40" w:after="40" w:line="220" w:lineRule="exact"/>
              <w:ind w:left="0" w:right="0" w:firstLine="0"/>
              <w:jc w:val="right"/>
              <w:rPr>
                <w:b w:val="0"/>
                <w:sz w:val="18"/>
              </w:rPr>
            </w:pPr>
            <w:r w:rsidRPr="00B029DD">
              <w:rPr>
                <w:b w:val="0"/>
                <w:sz w:val="18"/>
              </w:rPr>
              <w:t>53,6</w:t>
            </w:r>
          </w:p>
        </w:tc>
      </w:tr>
      <w:tr w:rsidR="00B029DD" w:rsidTr="00B05AFE">
        <w:tc>
          <w:tcPr>
            <w:tcW w:w="1276" w:type="dxa"/>
            <w:shd w:val="clear" w:color="auto" w:fill="auto"/>
          </w:tcPr>
          <w:p w:rsidR="00B029DD" w:rsidRPr="00B029DD" w:rsidRDefault="00B029DD" w:rsidP="00610A42">
            <w:pPr>
              <w:pStyle w:val="H23G"/>
              <w:keepNext w:val="0"/>
              <w:keepLines w:val="0"/>
              <w:suppressAutoHyphens w:val="0"/>
              <w:spacing w:before="40" w:after="40" w:line="220" w:lineRule="exact"/>
              <w:ind w:left="0" w:right="0" w:firstLine="0"/>
              <w:rPr>
                <w:b w:val="0"/>
                <w:sz w:val="18"/>
              </w:rPr>
            </w:pPr>
            <w:r w:rsidRPr="00B029DD">
              <w:rPr>
                <w:b w:val="0"/>
                <w:sz w:val="18"/>
              </w:rPr>
              <w:t>2010</w:t>
            </w:r>
            <w:r w:rsidR="00610A42">
              <w:rPr>
                <w:b w:val="0"/>
                <w:sz w:val="18"/>
              </w:rPr>
              <w:t>/</w:t>
            </w:r>
            <w:r w:rsidRPr="00B029DD">
              <w:rPr>
                <w:b w:val="0"/>
                <w:sz w:val="18"/>
              </w:rPr>
              <w:t>11</w:t>
            </w:r>
          </w:p>
        </w:tc>
        <w:tc>
          <w:tcPr>
            <w:tcW w:w="2835" w:type="dxa"/>
            <w:shd w:val="clear" w:color="auto" w:fill="auto"/>
            <w:vAlign w:val="bottom"/>
          </w:tcPr>
          <w:p w:rsidR="00B029DD" w:rsidRPr="00B029DD" w:rsidRDefault="00B029DD" w:rsidP="00610A42">
            <w:pPr>
              <w:pStyle w:val="H23G"/>
              <w:keepNext w:val="0"/>
              <w:keepLines w:val="0"/>
              <w:suppressAutoHyphens w:val="0"/>
              <w:spacing w:before="40" w:after="40" w:line="220" w:lineRule="exact"/>
              <w:ind w:left="0" w:right="0" w:firstLine="0"/>
              <w:jc w:val="right"/>
              <w:rPr>
                <w:b w:val="0"/>
                <w:sz w:val="18"/>
              </w:rPr>
            </w:pPr>
            <w:r w:rsidRPr="00B029DD">
              <w:rPr>
                <w:b w:val="0"/>
                <w:sz w:val="18"/>
              </w:rPr>
              <w:t>47,7</w:t>
            </w:r>
          </w:p>
        </w:tc>
        <w:tc>
          <w:tcPr>
            <w:tcW w:w="3259" w:type="dxa"/>
            <w:shd w:val="clear" w:color="auto" w:fill="auto"/>
            <w:vAlign w:val="bottom"/>
          </w:tcPr>
          <w:p w:rsidR="00B029DD" w:rsidRPr="00B029DD" w:rsidRDefault="00B029DD" w:rsidP="00610A42">
            <w:pPr>
              <w:pStyle w:val="H23G"/>
              <w:keepNext w:val="0"/>
              <w:keepLines w:val="0"/>
              <w:suppressAutoHyphens w:val="0"/>
              <w:spacing w:before="40" w:after="40" w:line="220" w:lineRule="exact"/>
              <w:ind w:left="0" w:right="0" w:firstLine="0"/>
              <w:jc w:val="right"/>
              <w:rPr>
                <w:b w:val="0"/>
                <w:sz w:val="18"/>
              </w:rPr>
            </w:pPr>
            <w:r w:rsidRPr="00B029DD">
              <w:rPr>
                <w:b w:val="0"/>
                <w:sz w:val="18"/>
              </w:rPr>
              <w:t>56,1</w:t>
            </w:r>
          </w:p>
        </w:tc>
      </w:tr>
      <w:tr w:rsidR="00B029DD" w:rsidTr="00B05AFE">
        <w:tc>
          <w:tcPr>
            <w:tcW w:w="1276" w:type="dxa"/>
            <w:shd w:val="clear" w:color="auto" w:fill="auto"/>
          </w:tcPr>
          <w:p w:rsidR="00B029DD" w:rsidRPr="00B029DD" w:rsidRDefault="00B029DD" w:rsidP="00610A42">
            <w:pPr>
              <w:pStyle w:val="H23G"/>
              <w:keepNext w:val="0"/>
              <w:keepLines w:val="0"/>
              <w:suppressAutoHyphens w:val="0"/>
              <w:spacing w:before="40" w:after="40" w:line="220" w:lineRule="exact"/>
              <w:ind w:left="0" w:right="0" w:firstLine="0"/>
              <w:rPr>
                <w:b w:val="0"/>
                <w:sz w:val="18"/>
              </w:rPr>
            </w:pPr>
            <w:r w:rsidRPr="00B029DD">
              <w:rPr>
                <w:b w:val="0"/>
                <w:sz w:val="18"/>
              </w:rPr>
              <w:t>2011</w:t>
            </w:r>
            <w:r w:rsidR="00610A42">
              <w:rPr>
                <w:b w:val="0"/>
                <w:sz w:val="18"/>
              </w:rPr>
              <w:t>/</w:t>
            </w:r>
            <w:r w:rsidRPr="00B029DD">
              <w:rPr>
                <w:b w:val="0"/>
                <w:sz w:val="18"/>
              </w:rPr>
              <w:t>12</w:t>
            </w:r>
          </w:p>
        </w:tc>
        <w:tc>
          <w:tcPr>
            <w:tcW w:w="2835" w:type="dxa"/>
            <w:shd w:val="clear" w:color="auto" w:fill="auto"/>
            <w:vAlign w:val="bottom"/>
          </w:tcPr>
          <w:p w:rsidR="00B029DD" w:rsidRPr="00B029DD" w:rsidRDefault="00B029DD" w:rsidP="00610A42">
            <w:pPr>
              <w:pStyle w:val="H23G"/>
              <w:keepNext w:val="0"/>
              <w:keepLines w:val="0"/>
              <w:suppressAutoHyphens w:val="0"/>
              <w:spacing w:before="40" w:after="40" w:line="220" w:lineRule="exact"/>
              <w:ind w:left="0" w:right="0" w:firstLine="0"/>
              <w:jc w:val="right"/>
              <w:rPr>
                <w:b w:val="0"/>
                <w:sz w:val="18"/>
              </w:rPr>
            </w:pPr>
            <w:r w:rsidRPr="00B029DD">
              <w:rPr>
                <w:b w:val="0"/>
                <w:sz w:val="18"/>
              </w:rPr>
              <w:t>50,6</w:t>
            </w:r>
          </w:p>
        </w:tc>
        <w:tc>
          <w:tcPr>
            <w:tcW w:w="3259" w:type="dxa"/>
            <w:shd w:val="clear" w:color="auto" w:fill="auto"/>
            <w:vAlign w:val="bottom"/>
          </w:tcPr>
          <w:p w:rsidR="00B029DD" w:rsidRPr="00B029DD" w:rsidRDefault="00B029DD" w:rsidP="00610A42">
            <w:pPr>
              <w:pStyle w:val="H23G"/>
              <w:keepNext w:val="0"/>
              <w:keepLines w:val="0"/>
              <w:suppressAutoHyphens w:val="0"/>
              <w:spacing w:before="40" w:after="40" w:line="220" w:lineRule="exact"/>
              <w:ind w:left="0" w:right="0" w:firstLine="0"/>
              <w:jc w:val="right"/>
              <w:rPr>
                <w:b w:val="0"/>
                <w:sz w:val="18"/>
              </w:rPr>
            </w:pPr>
            <w:r w:rsidRPr="00B029DD">
              <w:rPr>
                <w:b w:val="0"/>
                <w:sz w:val="18"/>
              </w:rPr>
              <w:t>56,0</w:t>
            </w:r>
          </w:p>
        </w:tc>
      </w:tr>
      <w:tr w:rsidR="00B029DD" w:rsidTr="00B05AFE">
        <w:tc>
          <w:tcPr>
            <w:tcW w:w="1276" w:type="dxa"/>
            <w:shd w:val="clear" w:color="auto" w:fill="auto"/>
          </w:tcPr>
          <w:p w:rsidR="00B029DD" w:rsidRPr="00B029DD" w:rsidRDefault="00B029DD" w:rsidP="00610A42">
            <w:pPr>
              <w:pStyle w:val="H23G"/>
              <w:keepNext w:val="0"/>
              <w:keepLines w:val="0"/>
              <w:suppressAutoHyphens w:val="0"/>
              <w:spacing w:before="40" w:after="40" w:line="220" w:lineRule="exact"/>
              <w:ind w:left="0" w:right="0" w:firstLine="0"/>
              <w:rPr>
                <w:b w:val="0"/>
                <w:sz w:val="18"/>
              </w:rPr>
            </w:pPr>
            <w:r w:rsidRPr="00B029DD">
              <w:rPr>
                <w:b w:val="0"/>
                <w:sz w:val="18"/>
              </w:rPr>
              <w:t>2012</w:t>
            </w:r>
            <w:r w:rsidR="00610A42">
              <w:rPr>
                <w:b w:val="0"/>
                <w:sz w:val="18"/>
              </w:rPr>
              <w:t>/</w:t>
            </w:r>
            <w:r w:rsidRPr="00B029DD">
              <w:rPr>
                <w:b w:val="0"/>
                <w:sz w:val="18"/>
              </w:rPr>
              <w:t>13</w:t>
            </w:r>
          </w:p>
        </w:tc>
        <w:tc>
          <w:tcPr>
            <w:tcW w:w="2835" w:type="dxa"/>
            <w:shd w:val="clear" w:color="auto" w:fill="auto"/>
            <w:vAlign w:val="bottom"/>
          </w:tcPr>
          <w:p w:rsidR="00B029DD" w:rsidRPr="00B029DD" w:rsidRDefault="00B029DD" w:rsidP="00610A42">
            <w:pPr>
              <w:pStyle w:val="H23G"/>
              <w:keepNext w:val="0"/>
              <w:keepLines w:val="0"/>
              <w:suppressAutoHyphens w:val="0"/>
              <w:spacing w:before="40" w:after="40" w:line="220" w:lineRule="exact"/>
              <w:ind w:left="0" w:right="0" w:firstLine="0"/>
              <w:jc w:val="right"/>
              <w:rPr>
                <w:b w:val="0"/>
                <w:sz w:val="18"/>
              </w:rPr>
            </w:pPr>
            <w:r w:rsidRPr="00B029DD">
              <w:rPr>
                <w:b w:val="0"/>
                <w:sz w:val="18"/>
              </w:rPr>
              <w:t>59,7</w:t>
            </w:r>
          </w:p>
        </w:tc>
        <w:tc>
          <w:tcPr>
            <w:tcW w:w="3259" w:type="dxa"/>
            <w:shd w:val="clear" w:color="auto" w:fill="auto"/>
            <w:vAlign w:val="bottom"/>
          </w:tcPr>
          <w:p w:rsidR="00B029DD" w:rsidRPr="00B029DD" w:rsidRDefault="00B029DD" w:rsidP="00610A42">
            <w:pPr>
              <w:pStyle w:val="H23G"/>
              <w:keepNext w:val="0"/>
              <w:keepLines w:val="0"/>
              <w:suppressAutoHyphens w:val="0"/>
              <w:spacing w:before="40" w:after="40" w:line="220" w:lineRule="exact"/>
              <w:ind w:left="0" w:right="0" w:firstLine="0"/>
              <w:jc w:val="right"/>
              <w:rPr>
                <w:b w:val="0"/>
                <w:sz w:val="18"/>
              </w:rPr>
            </w:pPr>
            <w:r w:rsidRPr="00B029DD">
              <w:rPr>
                <w:b w:val="0"/>
                <w:sz w:val="18"/>
              </w:rPr>
              <w:t>57,5</w:t>
            </w:r>
          </w:p>
        </w:tc>
      </w:tr>
      <w:tr w:rsidR="00B029DD" w:rsidTr="00B05AFE">
        <w:tc>
          <w:tcPr>
            <w:tcW w:w="1276" w:type="dxa"/>
            <w:shd w:val="clear" w:color="auto" w:fill="auto"/>
          </w:tcPr>
          <w:p w:rsidR="00B029DD" w:rsidRPr="00B029DD" w:rsidRDefault="00B029DD" w:rsidP="00610A42">
            <w:pPr>
              <w:pStyle w:val="H23G"/>
              <w:keepNext w:val="0"/>
              <w:keepLines w:val="0"/>
              <w:suppressAutoHyphens w:val="0"/>
              <w:spacing w:before="40" w:after="40" w:line="220" w:lineRule="exact"/>
              <w:ind w:left="0" w:right="0" w:firstLine="0"/>
              <w:rPr>
                <w:b w:val="0"/>
                <w:sz w:val="18"/>
              </w:rPr>
            </w:pPr>
            <w:r w:rsidRPr="00B029DD">
              <w:rPr>
                <w:b w:val="0"/>
                <w:sz w:val="18"/>
              </w:rPr>
              <w:t>2013</w:t>
            </w:r>
            <w:r w:rsidR="00610A42">
              <w:rPr>
                <w:b w:val="0"/>
                <w:sz w:val="18"/>
              </w:rPr>
              <w:t>/</w:t>
            </w:r>
            <w:r w:rsidRPr="00B029DD">
              <w:rPr>
                <w:b w:val="0"/>
                <w:sz w:val="18"/>
              </w:rPr>
              <w:t>14</w:t>
            </w:r>
          </w:p>
        </w:tc>
        <w:tc>
          <w:tcPr>
            <w:tcW w:w="2835" w:type="dxa"/>
            <w:shd w:val="clear" w:color="auto" w:fill="auto"/>
            <w:vAlign w:val="bottom"/>
          </w:tcPr>
          <w:p w:rsidR="00B029DD" w:rsidRPr="00B029DD" w:rsidRDefault="00B029DD" w:rsidP="00610A42">
            <w:pPr>
              <w:pStyle w:val="H23G"/>
              <w:keepNext w:val="0"/>
              <w:keepLines w:val="0"/>
              <w:suppressAutoHyphens w:val="0"/>
              <w:spacing w:before="40" w:after="40" w:line="220" w:lineRule="exact"/>
              <w:ind w:left="0" w:right="0" w:firstLine="0"/>
              <w:jc w:val="right"/>
              <w:rPr>
                <w:b w:val="0"/>
                <w:sz w:val="18"/>
              </w:rPr>
            </w:pPr>
            <w:r w:rsidRPr="00B029DD">
              <w:rPr>
                <w:b w:val="0"/>
                <w:sz w:val="18"/>
              </w:rPr>
              <w:t>56,0</w:t>
            </w:r>
          </w:p>
        </w:tc>
        <w:tc>
          <w:tcPr>
            <w:tcW w:w="3259" w:type="dxa"/>
            <w:shd w:val="clear" w:color="auto" w:fill="auto"/>
            <w:vAlign w:val="bottom"/>
          </w:tcPr>
          <w:p w:rsidR="00B029DD" w:rsidRPr="00B029DD" w:rsidRDefault="00B029DD" w:rsidP="00610A42">
            <w:pPr>
              <w:pStyle w:val="H23G"/>
              <w:keepNext w:val="0"/>
              <w:keepLines w:val="0"/>
              <w:suppressAutoHyphens w:val="0"/>
              <w:spacing w:before="40" w:after="40" w:line="220" w:lineRule="exact"/>
              <w:ind w:left="0" w:right="0" w:firstLine="0"/>
              <w:jc w:val="right"/>
              <w:rPr>
                <w:b w:val="0"/>
                <w:sz w:val="18"/>
              </w:rPr>
            </w:pPr>
            <w:r w:rsidRPr="00B029DD">
              <w:rPr>
                <w:b w:val="0"/>
                <w:sz w:val="18"/>
              </w:rPr>
              <w:t>58,0</w:t>
            </w:r>
          </w:p>
        </w:tc>
      </w:tr>
      <w:tr w:rsidR="00B029DD" w:rsidTr="00B05AFE">
        <w:tc>
          <w:tcPr>
            <w:tcW w:w="1276" w:type="dxa"/>
            <w:tcBorders>
              <w:bottom w:val="single" w:sz="12" w:space="0" w:color="auto"/>
            </w:tcBorders>
            <w:shd w:val="clear" w:color="auto" w:fill="auto"/>
          </w:tcPr>
          <w:p w:rsidR="00B029DD" w:rsidRPr="00B029DD" w:rsidRDefault="00B029DD" w:rsidP="00610A42">
            <w:pPr>
              <w:pStyle w:val="H23G"/>
              <w:keepNext w:val="0"/>
              <w:keepLines w:val="0"/>
              <w:suppressAutoHyphens w:val="0"/>
              <w:spacing w:before="40" w:after="40" w:line="220" w:lineRule="exact"/>
              <w:ind w:left="0" w:right="0" w:firstLine="0"/>
              <w:rPr>
                <w:b w:val="0"/>
                <w:sz w:val="18"/>
              </w:rPr>
            </w:pPr>
            <w:r w:rsidRPr="00B029DD">
              <w:rPr>
                <w:b w:val="0"/>
                <w:sz w:val="18"/>
              </w:rPr>
              <w:t>2014</w:t>
            </w:r>
            <w:r w:rsidR="00610A42">
              <w:rPr>
                <w:b w:val="0"/>
                <w:sz w:val="18"/>
              </w:rPr>
              <w:t>/</w:t>
            </w:r>
            <w:r w:rsidRPr="00B029DD">
              <w:rPr>
                <w:b w:val="0"/>
                <w:sz w:val="18"/>
              </w:rPr>
              <w:t>15</w:t>
            </w:r>
          </w:p>
        </w:tc>
        <w:tc>
          <w:tcPr>
            <w:tcW w:w="2835" w:type="dxa"/>
            <w:tcBorders>
              <w:bottom w:val="single" w:sz="12" w:space="0" w:color="auto"/>
            </w:tcBorders>
            <w:shd w:val="clear" w:color="auto" w:fill="auto"/>
            <w:vAlign w:val="bottom"/>
          </w:tcPr>
          <w:p w:rsidR="00B029DD" w:rsidRPr="00B029DD" w:rsidRDefault="00B029DD" w:rsidP="00610A42">
            <w:pPr>
              <w:pStyle w:val="H23G"/>
              <w:keepNext w:val="0"/>
              <w:keepLines w:val="0"/>
              <w:suppressAutoHyphens w:val="0"/>
              <w:spacing w:before="40" w:after="40" w:line="220" w:lineRule="exact"/>
              <w:ind w:left="0" w:right="0" w:firstLine="0"/>
              <w:jc w:val="right"/>
              <w:rPr>
                <w:b w:val="0"/>
                <w:sz w:val="18"/>
              </w:rPr>
            </w:pPr>
            <w:r w:rsidRPr="00B029DD">
              <w:rPr>
                <w:b w:val="0"/>
                <w:sz w:val="18"/>
              </w:rPr>
              <w:t>57,1</w:t>
            </w:r>
          </w:p>
        </w:tc>
        <w:tc>
          <w:tcPr>
            <w:tcW w:w="3259" w:type="dxa"/>
            <w:tcBorders>
              <w:bottom w:val="single" w:sz="12" w:space="0" w:color="auto"/>
            </w:tcBorders>
            <w:shd w:val="clear" w:color="auto" w:fill="auto"/>
            <w:vAlign w:val="bottom"/>
          </w:tcPr>
          <w:p w:rsidR="00B029DD" w:rsidRPr="00B029DD" w:rsidRDefault="00B029DD" w:rsidP="00610A42">
            <w:pPr>
              <w:pStyle w:val="H23G"/>
              <w:keepNext w:val="0"/>
              <w:keepLines w:val="0"/>
              <w:suppressAutoHyphens w:val="0"/>
              <w:spacing w:before="40" w:after="40" w:line="220" w:lineRule="exact"/>
              <w:ind w:left="0" w:right="0" w:firstLine="0"/>
              <w:jc w:val="right"/>
              <w:rPr>
                <w:b w:val="0"/>
                <w:sz w:val="18"/>
              </w:rPr>
            </w:pPr>
            <w:r w:rsidRPr="00B029DD">
              <w:rPr>
                <w:b w:val="0"/>
                <w:sz w:val="18"/>
              </w:rPr>
              <w:t>59,4</w:t>
            </w:r>
          </w:p>
        </w:tc>
      </w:tr>
    </w:tbl>
    <w:p w:rsidR="00ED657B" w:rsidRDefault="00B029DD" w:rsidP="00B029DD">
      <w:pPr>
        <w:pStyle w:val="H23G"/>
      </w:pPr>
      <w:r>
        <w:tab/>
      </w:r>
      <w:r w:rsidR="00ED657B" w:rsidRPr="00ED657B">
        <w:tab/>
        <w:t xml:space="preserve">Evolución de la tasa bruta de ingreso y la tasa bruta de escolarización </w:t>
      </w:r>
      <w:r w:rsidR="00ED657B" w:rsidRPr="00ED657B">
        <w:br/>
        <w:t>en la enseñanza secundaria (2003-2015)</w:t>
      </w:r>
      <w:r w:rsidR="007C00BB">
        <w:br/>
      </w:r>
      <w:r w:rsidR="007C00BB" w:rsidRPr="007C00BB">
        <w:rPr>
          <w:b w:val="0"/>
          <w:sz w:val="16"/>
          <w:szCs w:val="16"/>
        </w:rPr>
        <w:t>(En porcentaje)</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76"/>
        <w:gridCol w:w="2835"/>
        <w:gridCol w:w="3259"/>
      </w:tblGrid>
      <w:tr w:rsidR="00B029DD" w:rsidRPr="00B029DD" w:rsidTr="00B05AFE">
        <w:trPr>
          <w:tblHeader/>
        </w:trPr>
        <w:tc>
          <w:tcPr>
            <w:tcW w:w="1276" w:type="dxa"/>
            <w:tcBorders>
              <w:top w:val="single" w:sz="4" w:space="0" w:color="auto"/>
              <w:bottom w:val="single" w:sz="12" w:space="0" w:color="auto"/>
            </w:tcBorders>
            <w:shd w:val="clear" w:color="auto" w:fill="auto"/>
            <w:vAlign w:val="bottom"/>
          </w:tcPr>
          <w:p w:rsidR="00B029DD" w:rsidRPr="00B029DD" w:rsidRDefault="00B029DD" w:rsidP="00B05AFE">
            <w:pPr>
              <w:pStyle w:val="H23G"/>
              <w:spacing w:before="80" w:after="80" w:line="200" w:lineRule="exact"/>
              <w:ind w:left="0" w:right="0" w:firstLine="0"/>
              <w:rPr>
                <w:b w:val="0"/>
                <w:i/>
                <w:sz w:val="16"/>
              </w:rPr>
            </w:pPr>
            <w:r w:rsidRPr="00B029DD">
              <w:rPr>
                <w:b w:val="0"/>
                <w:i/>
                <w:sz w:val="16"/>
              </w:rPr>
              <w:t>Años</w:t>
            </w:r>
          </w:p>
        </w:tc>
        <w:tc>
          <w:tcPr>
            <w:tcW w:w="2835" w:type="dxa"/>
            <w:tcBorders>
              <w:top w:val="single" w:sz="4" w:space="0" w:color="auto"/>
              <w:bottom w:val="single" w:sz="12" w:space="0" w:color="auto"/>
            </w:tcBorders>
            <w:shd w:val="clear" w:color="auto" w:fill="auto"/>
            <w:vAlign w:val="bottom"/>
          </w:tcPr>
          <w:p w:rsidR="00B029DD" w:rsidRPr="00B029DD" w:rsidRDefault="00B029DD" w:rsidP="007C00BB">
            <w:pPr>
              <w:pStyle w:val="H23G"/>
              <w:spacing w:before="80" w:after="80" w:line="200" w:lineRule="exact"/>
              <w:ind w:left="0" w:right="0" w:firstLine="0"/>
              <w:jc w:val="right"/>
              <w:rPr>
                <w:b w:val="0"/>
                <w:i/>
                <w:sz w:val="16"/>
              </w:rPr>
            </w:pPr>
            <w:r w:rsidRPr="00B029DD">
              <w:rPr>
                <w:b w:val="0"/>
                <w:i/>
                <w:sz w:val="16"/>
              </w:rPr>
              <w:t>Tasa bruta de ingreso</w:t>
            </w:r>
            <w:r>
              <w:rPr>
                <w:b w:val="0"/>
                <w:i/>
                <w:sz w:val="16"/>
              </w:rPr>
              <w:t xml:space="preserve"> </w:t>
            </w:r>
          </w:p>
        </w:tc>
        <w:tc>
          <w:tcPr>
            <w:tcW w:w="3259" w:type="dxa"/>
            <w:tcBorders>
              <w:top w:val="single" w:sz="4" w:space="0" w:color="auto"/>
              <w:bottom w:val="single" w:sz="12" w:space="0" w:color="auto"/>
            </w:tcBorders>
            <w:shd w:val="clear" w:color="auto" w:fill="auto"/>
            <w:vAlign w:val="bottom"/>
          </w:tcPr>
          <w:p w:rsidR="00B029DD" w:rsidRPr="00B029DD" w:rsidRDefault="00B029DD" w:rsidP="007C00BB">
            <w:pPr>
              <w:pStyle w:val="H23G"/>
              <w:spacing w:before="80" w:after="80" w:line="200" w:lineRule="exact"/>
              <w:ind w:left="0" w:right="0" w:firstLine="0"/>
              <w:jc w:val="right"/>
              <w:rPr>
                <w:b w:val="0"/>
                <w:i/>
                <w:sz w:val="16"/>
              </w:rPr>
            </w:pPr>
            <w:r w:rsidRPr="00B029DD">
              <w:rPr>
                <w:b w:val="0"/>
                <w:i/>
                <w:sz w:val="16"/>
              </w:rPr>
              <w:t>Tasa bruta de escolarización</w:t>
            </w:r>
            <w:r>
              <w:rPr>
                <w:b w:val="0"/>
                <w:i/>
                <w:sz w:val="16"/>
              </w:rPr>
              <w:t xml:space="preserve"> </w:t>
            </w:r>
          </w:p>
        </w:tc>
      </w:tr>
      <w:tr w:rsidR="00B029DD" w:rsidTr="00B05AFE">
        <w:tc>
          <w:tcPr>
            <w:tcW w:w="1276" w:type="dxa"/>
            <w:tcBorders>
              <w:top w:val="single" w:sz="12" w:space="0" w:color="auto"/>
            </w:tcBorders>
            <w:shd w:val="clear" w:color="auto" w:fill="auto"/>
          </w:tcPr>
          <w:p w:rsidR="00B029DD" w:rsidRPr="00B029DD" w:rsidRDefault="00B029DD" w:rsidP="00EB7D84">
            <w:pPr>
              <w:pStyle w:val="H23G"/>
              <w:keepNext w:val="0"/>
              <w:keepLines w:val="0"/>
              <w:suppressAutoHyphens w:val="0"/>
              <w:spacing w:before="40" w:after="40" w:line="220" w:lineRule="exact"/>
              <w:ind w:left="0" w:right="0" w:firstLine="0"/>
              <w:rPr>
                <w:b w:val="0"/>
                <w:sz w:val="18"/>
              </w:rPr>
            </w:pPr>
            <w:r w:rsidRPr="00B029DD">
              <w:rPr>
                <w:b w:val="0"/>
                <w:sz w:val="18"/>
              </w:rPr>
              <w:t>2003</w:t>
            </w:r>
            <w:r w:rsidR="00EB7D84">
              <w:rPr>
                <w:b w:val="0"/>
                <w:sz w:val="18"/>
              </w:rPr>
              <w:t>/</w:t>
            </w:r>
            <w:r w:rsidRPr="00B029DD">
              <w:rPr>
                <w:b w:val="0"/>
                <w:sz w:val="18"/>
              </w:rPr>
              <w:t>04</w:t>
            </w:r>
          </w:p>
        </w:tc>
        <w:tc>
          <w:tcPr>
            <w:tcW w:w="2835" w:type="dxa"/>
            <w:tcBorders>
              <w:top w:val="single" w:sz="12" w:space="0" w:color="auto"/>
            </w:tcBorders>
            <w:shd w:val="clear" w:color="auto" w:fill="auto"/>
            <w:vAlign w:val="bottom"/>
          </w:tcPr>
          <w:p w:rsidR="00B029DD" w:rsidRPr="00B029DD" w:rsidRDefault="00B029DD" w:rsidP="00610A42">
            <w:pPr>
              <w:pStyle w:val="H23G"/>
              <w:keepNext w:val="0"/>
              <w:keepLines w:val="0"/>
              <w:suppressAutoHyphens w:val="0"/>
              <w:spacing w:before="40" w:after="40" w:line="220" w:lineRule="exact"/>
              <w:ind w:left="0" w:right="0" w:firstLine="0"/>
              <w:jc w:val="right"/>
              <w:rPr>
                <w:b w:val="0"/>
                <w:sz w:val="18"/>
              </w:rPr>
            </w:pPr>
            <w:r w:rsidRPr="00B029DD">
              <w:rPr>
                <w:b w:val="0"/>
                <w:sz w:val="18"/>
              </w:rPr>
              <w:t>13,2</w:t>
            </w:r>
          </w:p>
        </w:tc>
        <w:tc>
          <w:tcPr>
            <w:tcW w:w="3259" w:type="dxa"/>
            <w:tcBorders>
              <w:top w:val="single" w:sz="12" w:space="0" w:color="auto"/>
            </w:tcBorders>
            <w:shd w:val="clear" w:color="auto" w:fill="auto"/>
            <w:vAlign w:val="bottom"/>
          </w:tcPr>
          <w:p w:rsidR="00B029DD" w:rsidRPr="00B029DD" w:rsidRDefault="00B029DD" w:rsidP="00610A42">
            <w:pPr>
              <w:pStyle w:val="H23G"/>
              <w:keepNext w:val="0"/>
              <w:keepLines w:val="0"/>
              <w:suppressAutoHyphens w:val="0"/>
              <w:spacing w:before="40" w:after="40" w:line="220" w:lineRule="exact"/>
              <w:ind w:left="0" w:right="0" w:firstLine="0"/>
              <w:jc w:val="right"/>
              <w:rPr>
                <w:b w:val="0"/>
                <w:sz w:val="18"/>
              </w:rPr>
            </w:pPr>
            <w:r w:rsidRPr="00B029DD">
              <w:rPr>
                <w:b w:val="0"/>
                <w:sz w:val="18"/>
              </w:rPr>
              <w:t>13,3</w:t>
            </w:r>
          </w:p>
        </w:tc>
      </w:tr>
      <w:tr w:rsidR="00B029DD" w:rsidTr="00B05AFE">
        <w:tc>
          <w:tcPr>
            <w:tcW w:w="1276" w:type="dxa"/>
            <w:shd w:val="clear" w:color="auto" w:fill="auto"/>
          </w:tcPr>
          <w:p w:rsidR="00B029DD" w:rsidRPr="00B029DD" w:rsidRDefault="00B029DD" w:rsidP="00EB7D84">
            <w:pPr>
              <w:pStyle w:val="H23G"/>
              <w:keepNext w:val="0"/>
              <w:keepLines w:val="0"/>
              <w:suppressAutoHyphens w:val="0"/>
              <w:spacing w:before="40" w:after="40" w:line="220" w:lineRule="exact"/>
              <w:ind w:left="0" w:right="0" w:firstLine="0"/>
              <w:rPr>
                <w:b w:val="0"/>
                <w:sz w:val="18"/>
              </w:rPr>
            </w:pPr>
            <w:r w:rsidRPr="00B029DD">
              <w:rPr>
                <w:b w:val="0"/>
                <w:sz w:val="18"/>
              </w:rPr>
              <w:t>2004</w:t>
            </w:r>
            <w:r w:rsidR="00EB7D84">
              <w:rPr>
                <w:b w:val="0"/>
                <w:sz w:val="18"/>
              </w:rPr>
              <w:t>/</w:t>
            </w:r>
            <w:r w:rsidRPr="00B029DD">
              <w:rPr>
                <w:b w:val="0"/>
                <w:sz w:val="18"/>
              </w:rPr>
              <w:t>05</w:t>
            </w:r>
          </w:p>
        </w:tc>
        <w:tc>
          <w:tcPr>
            <w:tcW w:w="2835" w:type="dxa"/>
            <w:shd w:val="clear" w:color="auto" w:fill="auto"/>
            <w:vAlign w:val="bottom"/>
          </w:tcPr>
          <w:p w:rsidR="00B029DD" w:rsidRPr="00B029DD" w:rsidRDefault="00B029DD" w:rsidP="00610A42">
            <w:pPr>
              <w:pStyle w:val="H23G"/>
              <w:keepNext w:val="0"/>
              <w:keepLines w:val="0"/>
              <w:suppressAutoHyphens w:val="0"/>
              <w:spacing w:before="40" w:after="40" w:line="220" w:lineRule="exact"/>
              <w:ind w:left="0" w:right="0" w:firstLine="0"/>
              <w:jc w:val="right"/>
              <w:rPr>
                <w:b w:val="0"/>
                <w:sz w:val="18"/>
              </w:rPr>
            </w:pPr>
            <w:r w:rsidRPr="00B029DD">
              <w:rPr>
                <w:b w:val="0"/>
                <w:sz w:val="18"/>
              </w:rPr>
              <w:t>14,9</w:t>
            </w:r>
          </w:p>
        </w:tc>
        <w:tc>
          <w:tcPr>
            <w:tcW w:w="3259" w:type="dxa"/>
            <w:shd w:val="clear" w:color="auto" w:fill="auto"/>
            <w:vAlign w:val="bottom"/>
          </w:tcPr>
          <w:p w:rsidR="00B029DD" w:rsidRPr="00B029DD" w:rsidRDefault="00B029DD" w:rsidP="00610A42">
            <w:pPr>
              <w:pStyle w:val="H23G"/>
              <w:keepNext w:val="0"/>
              <w:keepLines w:val="0"/>
              <w:suppressAutoHyphens w:val="0"/>
              <w:spacing w:before="40" w:after="40" w:line="220" w:lineRule="exact"/>
              <w:ind w:left="0" w:right="0" w:firstLine="0"/>
              <w:jc w:val="right"/>
              <w:rPr>
                <w:b w:val="0"/>
                <w:sz w:val="18"/>
              </w:rPr>
            </w:pPr>
            <w:r w:rsidRPr="00B029DD">
              <w:rPr>
                <w:b w:val="0"/>
                <w:sz w:val="18"/>
              </w:rPr>
              <w:t>15,3</w:t>
            </w:r>
          </w:p>
        </w:tc>
      </w:tr>
      <w:tr w:rsidR="00B029DD" w:rsidTr="00B05AFE">
        <w:tc>
          <w:tcPr>
            <w:tcW w:w="1276" w:type="dxa"/>
            <w:shd w:val="clear" w:color="auto" w:fill="auto"/>
          </w:tcPr>
          <w:p w:rsidR="00B029DD" w:rsidRPr="00B029DD" w:rsidRDefault="00B029DD" w:rsidP="00EB7D84">
            <w:pPr>
              <w:pStyle w:val="H23G"/>
              <w:keepNext w:val="0"/>
              <w:keepLines w:val="0"/>
              <w:suppressAutoHyphens w:val="0"/>
              <w:spacing w:before="40" w:after="40" w:line="220" w:lineRule="exact"/>
              <w:ind w:left="0" w:right="0" w:firstLine="0"/>
              <w:rPr>
                <w:b w:val="0"/>
                <w:sz w:val="18"/>
              </w:rPr>
            </w:pPr>
            <w:r w:rsidRPr="00B029DD">
              <w:rPr>
                <w:b w:val="0"/>
                <w:sz w:val="18"/>
              </w:rPr>
              <w:t>2005</w:t>
            </w:r>
            <w:r w:rsidR="00EB7D84">
              <w:rPr>
                <w:b w:val="0"/>
                <w:sz w:val="18"/>
              </w:rPr>
              <w:t>/</w:t>
            </w:r>
            <w:r w:rsidRPr="00B029DD">
              <w:rPr>
                <w:b w:val="0"/>
                <w:sz w:val="18"/>
              </w:rPr>
              <w:t>06</w:t>
            </w:r>
          </w:p>
        </w:tc>
        <w:tc>
          <w:tcPr>
            <w:tcW w:w="2835" w:type="dxa"/>
            <w:shd w:val="clear" w:color="auto" w:fill="auto"/>
            <w:vAlign w:val="bottom"/>
          </w:tcPr>
          <w:p w:rsidR="00B029DD" w:rsidRPr="00B029DD" w:rsidRDefault="00B029DD" w:rsidP="00610A42">
            <w:pPr>
              <w:pStyle w:val="H23G"/>
              <w:keepNext w:val="0"/>
              <w:keepLines w:val="0"/>
              <w:suppressAutoHyphens w:val="0"/>
              <w:spacing w:before="40" w:after="40" w:line="220" w:lineRule="exact"/>
              <w:ind w:left="0" w:right="0" w:firstLine="0"/>
              <w:jc w:val="right"/>
              <w:rPr>
                <w:b w:val="0"/>
                <w:sz w:val="18"/>
              </w:rPr>
            </w:pPr>
            <w:r w:rsidRPr="00B029DD">
              <w:rPr>
                <w:b w:val="0"/>
                <w:sz w:val="18"/>
              </w:rPr>
              <w:t>17,4</w:t>
            </w:r>
          </w:p>
        </w:tc>
        <w:tc>
          <w:tcPr>
            <w:tcW w:w="3259" w:type="dxa"/>
            <w:shd w:val="clear" w:color="auto" w:fill="auto"/>
            <w:vAlign w:val="bottom"/>
          </w:tcPr>
          <w:p w:rsidR="00B029DD" w:rsidRPr="00B029DD" w:rsidRDefault="00B029DD" w:rsidP="00610A42">
            <w:pPr>
              <w:pStyle w:val="H23G"/>
              <w:keepNext w:val="0"/>
              <w:keepLines w:val="0"/>
              <w:suppressAutoHyphens w:val="0"/>
              <w:spacing w:before="40" w:after="40" w:line="220" w:lineRule="exact"/>
              <w:ind w:left="0" w:right="0" w:firstLine="0"/>
              <w:jc w:val="right"/>
              <w:rPr>
                <w:b w:val="0"/>
                <w:sz w:val="18"/>
              </w:rPr>
            </w:pPr>
            <w:r w:rsidRPr="00B029DD">
              <w:rPr>
                <w:b w:val="0"/>
                <w:sz w:val="18"/>
              </w:rPr>
              <w:t>16,2</w:t>
            </w:r>
          </w:p>
        </w:tc>
      </w:tr>
      <w:tr w:rsidR="00B029DD" w:rsidTr="00B05AFE">
        <w:tc>
          <w:tcPr>
            <w:tcW w:w="1276" w:type="dxa"/>
            <w:shd w:val="clear" w:color="auto" w:fill="auto"/>
          </w:tcPr>
          <w:p w:rsidR="00B029DD" w:rsidRPr="00B029DD" w:rsidRDefault="00B029DD" w:rsidP="00EB7D84">
            <w:pPr>
              <w:pStyle w:val="H23G"/>
              <w:keepNext w:val="0"/>
              <w:keepLines w:val="0"/>
              <w:suppressAutoHyphens w:val="0"/>
              <w:spacing w:before="40" w:after="40" w:line="220" w:lineRule="exact"/>
              <w:ind w:left="0" w:right="0" w:firstLine="0"/>
              <w:rPr>
                <w:b w:val="0"/>
                <w:sz w:val="18"/>
              </w:rPr>
            </w:pPr>
            <w:r w:rsidRPr="00B029DD">
              <w:rPr>
                <w:b w:val="0"/>
                <w:sz w:val="18"/>
              </w:rPr>
              <w:t>2006</w:t>
            </w:r>
            <w:r w:rsidR="00EB7D84">
              <w:rPr>
                <w:b w:val="0"/>
                <w:sz w:val="18"/>
              </w:rPr>
              <w:t>/</w:t>
            </w:r>
            <w:r w:rsidRPr="00B029DD">
              <w:rPr>
                <w:b w:val="0"/>
                <w:sz w:val="18"/>
              </w:rPr>
              <w:t>07</w:t>
            </w:r>
          </w:p>
        </w:tc>
        <w:tc>
          <w:tcPr>
            <w:tcW w:w="2835" w:type="dxa"/>
            <w:shd w:val="clear" w:color="auto" w:fill="auto"/>
            <w:vAlign w:val="bottom"/>
          </w:tcPr>
          <w:p w:rsidR="00B029DD" w:rsidRPr="00B029DD" w:rsidRDefault="00B029DD" w:rsidP="00610A42">
            <w:pPr>
              <w:pStyle w:val="H23G"/>
              <w:keepNext w:val="0"/>
              <w:keepLines w:val="0"/>
              <w:suppressAutoHyphens w:val="0"/>
              <w:spacing w:before="40" w:after="40" w:line="220" w:lineRule="exact"/>
              <w:ind w:left="0" w:right="0" w:firstLine="0"/>
              <w:jc w:val="right"/>
              <w:rPr>
                <w:b w:val="0"/>
                <w:sz w:val="18"/>
              </w:rPr>
            </w:pPr>
            <w:r w:rsidRPr="00B029DD">
              <w:rPr>
                <w:b w:val="0"/>
                <w:sz w:val="18"/>
              </w:rPr>
              <w:t>18,5</w:t>
            </w:r>
          </w:p>
        </w:tc>
        <w:tc>
          <w:tcPr>
            <w:tcW w:w="3259" w:type="dxa"/>
            <w:shd w:val="clear" w:color="auto" w:fill="auto"/>
            <w:vAlign w:val="bottom"/>
          </w:tcPr>
          <w:p w:rsidR="00B029DD" w:rsidRPr="00B029DD" w:rsidRDefault="00B029DD" w:rsidP="00610A42">
            <w:pPr>
              <w:pStyle w:val="H23G"/>
              <w:keepNext w:val="0"/>
              <w:keepLines w:val="0"/>
              <w:suppressAutoHyphens w:val="0"/>
              <w:spacing w:before="40" w:after="40" w:line="220" w:lineRule="exact"/>
              <w:ind w:left="0" w:right="0" w:firstLine="0"/>
              <w:jc w:val="right"/>
              <w:rPr>
                <w:b w:val="0"/>
                <w:sz w:val="18"/>
              </w:rPr>
            </w:pPr>
            <w:r w:rsidRPr="00B029DD">
              <w:rPr>
                <w:b w:val="0"/>
                <w:sz w:val="18"/>
              </w:rPr>
              <w:t>17,9</w:t>
            </w:r>
          </w:p>
        </w:tc>
      </w:tr>
      <w:tr w:rsidR="00B029DD" w:rsidTr="00B05AFE">
        <w:tc>
          <w:tcPr>
            <w:tcW w:w="1276" w:type="dxa"/>
            <w:shd w:val="clear" w:color="auto" w:fill="auto"/>
          </w:tcPr>
          <w:p w:rsidR="00B029DD" w:rsidRPr="00B029DD" w:rsidRDefault="00B029DD" w:rsidP="00EB7D84">
            <w:pPr>
              <w:pStyle w:val="H23G"/>
              <w:keepNext w:val="0"/>
              <w:keepLines w:val="0"/>
              <w:suppressAutoHyphens w:val="0"/>
              <w:spacing w:before="40" w:after="40" w:line="220" w:lineRule="exact"/>
              <w:ind w:left="0" w:right="0" w:firstLine="0"/>
              <w:rPr>
                <w:b w:val="0"/>
                <w:sz w:val="18"/>
              </w:rPr>
            </w:pPr>
            <w:r w:rsidRPr="00B029DD">
              <w:rPr>
                <w:b w:val="0"/>
                <w:sz w:val="18"/>
              </w:rPr>
              <w:t>2007</w:t>
            </w:r>
            <w:r w:rsidR="00EB7D84">
              <w:rPr>
                <w:b w:val="0"/>
                <w:sz w:val="18"/>
              </w:rPr>
              <w:t>/</w:t>
            </w:r>
            <w:r w:rsidRPr="00B029DD">
              <w:rPr>
                <w:b w:val="0"/>
                <w:sz w:val="18"/>
              </w:rPr>
              <w:t>08</w:t>
            </w:r>
          </w:p>
        </w:tc>
        <w:tc>
          <w:tcPr>
            <w:tcW w:w="2835" w:type="dxa"/>
            <w:shd w:val="clear" w:color="auto" w:fill="auto"/>
            <w:vAlign w:val="bottom"/>
          </w:tcPr>
          <w:p w:rsidR="00B029DD" w:rsidRPr="00B029DD" w:rsidRDefault="00B029DD" w:rsidP="00610A42">
            <w:pPr>
              <w:pStyle w:val="H23G"/>
              <w:keepNext w:val="0"/>
              <w:keepLines w:val="0"/>
              <w:suppressAutoHyphens w:val="0"/>
              <w:spacing w:before="40" w:after="40" w:line="220" w:lineRule="exact"/>
              <w:ind w:left="0" w:right="0" w:firstLine="0"/>
              <w:jc w:val="right"/>
              <w:rPr>
                <w:b w:val="0"/>
                <w:sz w:val="18"/>
              </w:rPr>
            </w:pPr>
            <w:r w:rsidRPr="00B029DD">
              <w:rPr>
                <w:b w:val="0"/>
                <w:sz w:val="18"/>
              </w:rPr>
              <w:t>23,0</w:t>
            </w:r>
          </w:p>
        </w:tc>
        <w:tc>
          <w:tcPr>
            <w:tcW w:w="3259" w:type="dxa"/>
            <w:shd w:val="clear" w:color="auto" w:fill="auto"/>
            <w:vAlign w:val="bottom"/>
          </w:tcPr>
          <w:p w:rsidR="00B029DD" w:rsidRPr="00B029DD" w:rsidRDefault="00B029DD" w:rsidP="00610A42">
            <w:pPr>
              <w:pStyle w:val="H23G"/>
              <w:keepNext w:val="0"/>
              <w:keepLines w:val="0"/>
              <w:suppressAutoHyphens w:val="0"/>
              <w:spacing w:before="40" w:after="40" w:line="220" w:lineRule="exact"/>
              <w:ind w:left="0" w:right="0" w:firstLine="0"/>
              <w:jc w:val="right"/>
              <w:rPr>
                <w:b w:val="0"/>
                <w:sz w:val="18"/>
              </w:rPr>
            </w:pPr>
            <w:r w:rsidRPr="00B029DD">
              <w:rPr>
                <w:b w:val="0"/>
                <w:sz w:val="18"/>
              </w:rPr>
              <w:t>20,4</w:t>
            </w:r>
          </w:p>
        </w:tc>
      </w:tr>
      <w:tr w:rsidR="00B029DD" w:rsidTr="00B05AFE">
        <w:tc>
          <w:tcPr>
            <w:tcW w:w="1276" w:type="dxa"/>
            <w:shd w:val="clear" w:color="auto" w:fill="auto"/>
          </w:tcPr>
          <w:p w:rsidR="00B029DD" w:rsidRPr="00B029DD" w:rsidRDefault="00B029DD" w:rsidP="00EB7D84">
            <w:pPr>
              <w:pStyle w:val="H23G"/>
              <w:keepNext w:val="0"/>
              <w:keepLines w:val="0"/>
              <w:suppressAutoHyphens w:val="0"/>
              <w:spacing w:before="40" w:after="40" w:line="220" w:lineRule="exact"/>
              <w:ind w:left="0" w:right="0" w:firstLine="0"/>
              <w:rPr>
                <w:b w:val="0"/>
                <w:sz w:val="18"/>
              </w:rPr>
            </w:pPr>
            <w:r w:rsidRPr="00B029DD">
              <w:rPr>
                <w:b w:val="0"/>
                <w:sz w:val="18"/>
              </w:rPr>
              <w:t>2008</w:t>
            </w:r>
            <w:r w:rsidR="00EB7D84">
              <w:rPr>
                <w:b w:val="0"/>
                <w:sz w:val="18"/>
              </w:rPr>
              <w:t>/</w:t>
            </w:r>
            <w:r w:rsidRPr="00B029DD">
              <w:rPr>
                <w:b w:val="0"/>
                <w:sz w:val="18"/>
              </w:rPr>
              <w:t>09</w:t>
            </w:r>
          </w:p>
        </w:tc>
        <w:tc>
          <w:tcPr>
            <w:tcW w:w="2835" w:type="dxa"/>
            <w:shd w:val="clear" w:color="auto" w:fill="auto"/>
            <w:vAlign w:val="bottom"/>
          </w:tcPr>
          <w:p w:rsidR="00B029DD" w:rsidRPr="00B029DD" w:rsidRDefault="00B029DD" w:rsidP="00610A42">
            <w:pPr>
              <w:pStyle w:val="H23G"/>
              <w:keepNext w:val="0"/>
              <w:keepLines w:val="0"/>
              <w:suppressAutoHyphens w:val="0"/>
              <w:spacing w:before="40" w:after="40" w:line="220" w:lineRule="exact"/>
              <w:ind w:left="0" w:right="0" w:firstLine="0"/>
              <w:jc w:val="right"/>
              <w:rPr>
                <w:b w:val="0"/>
                <w:sz w:val="18"/>
              </w:rPr>
            </w:pPr>
            <w:r w:rsidRPr="00B029DD">
              <w:rPr>
                <w:b w:val="0"/>
                <w:sz w:val="18"/>
              </w:rPr>
              <w:t>27,4</w:t>
            </w:r>
          </w:p>
        </w:tc>
        <w:tc>
          <w:tcPr>
            <w:tcW w:w="3259" w:type="dxa"/>
            <w:shd w:val="clear" w:color="auto" w:fill="auto"/>
            <w:vAlign w:val="bottom"/>
          </w:tcPr>
          <w:p w:rsidR="00B029DD" w:rsidRPr="00B029DD" w:rsidRDefault="00B029DD" w:rsidP="00610A42">
            <w:pPr>
              <w:pStyle w:val="H23G"/>
              <w:keepNext w:val="0"/>
              <w:keepLines w:val="0"/>
              <w:suppressAutoHyphens w:val="0"/>
              <w:spacing w:before="40" w:after="40" w:line="220" w:lineRule="exact"/>
              <w:ind w:left="0" w:right="0" w:firstLine="0"/>
              <w:jc w:val="right"/>
              <w:rPr>
                <w:b w:val="0"/>
                <w:sz w:val="18"/>
              </w:rPr>
            </w:pPr>
            <w:r w:rsidRPr="00B029DD">
              <w:rPr>
                <w:b w:val="0"/>
                <w:sz w:val="18"/>
              </w:rPr>
              <w:t>23,3</w:t>
            </w:r>
          </w:p>
        </w:tc>
      </w:tr>
      <w:tr w:rsidR="00B029DD" w:rsidTr="00B05AFE">
        <w:tc>
          <w:tcPr>
            <w:tcW w:w="1276" w:type="dxa"/>
            <w:shd w:val="clear" w:color="auto" w:fill="auto"/>
          </w:tcPr>
          <w:p w:rsidR="00B029DD" w:rsidRPr="00B029DD" w:rsidRDefault="00B029DD" w:rsidP="00EB7D84">
            <w:pPr>
              <w:pStyle w:val="H23G"/>
              <w:keepNext w:val="0"/>
              <w:keepLines w:val="0"/>
              <w:suppressAutoHyphens w:val="0"/>
              <w:spacing w:before="40" w:after="40" w:line="220" w:lineRule="exact"/>
              <w:ind w:left="0" w:right="0" w:firstLine="0"/>
              <w:rPr>
                <w:b w:val="0"/>
                <w:sz w:val="18"/>
              </w:rPr>
            </w:pPr>
            <w:r w:rsidRPr="00B029DD">
              <w:rPr>
                <w:b w:val="0"/>
                <w:sz w:val="18"/>
              </w:rPr>
              <w:t>2009</w:t>
            </w:r>
            <w:r w:rsidR="00EB7D84">
              <w:rPr>
                <w:b w:val="0"/>
                <w:sz w:val="18"/>
              </w:rPr>
              <w:t>/</w:t>
            </w:r>
            <w:r w:rsidRPr="00B029DD">
              <w:rPr>
                <w:b w:val="0"/>
                <w:sz w:val="18"/>
              </w:rPr>
              <w:t>10</w:t>
            </w:r>
          </w:p>
        </w:tc>
        <w:tc>
          <w:tcPr>
            <w:tcW w:w="2835" w:type="dxa"/>
            <w:shd w:val="clear" w:color="auto" w:fill="auto"/>
            <w:vAlign w:val="bottom"/>
          </w:tcPr>
          <w:p w:rsidR="00B029DD" w:rsidRPr="00B029DD" w:rsidRDefault="00B029DD" w:rsidP="00610A42">
            <w:pPr>
              <w:pStyle w:val="H23G"/>
              <w:keepNext w:val="0"/>
              <w:keepLines w:val="0"/>
              <w:suppressAutoHyphens w:val="0"/>
              <w:spacing w:before="40" w:after="40" w:line="220" w:lineRule="exact"/>
              <w:ind w:left="0" w:right="0" w:firstLine="0"/>
              <w:jc w:val="right"/>
              <w:rPr>
                <w:b w:val="0"/>
                <w:sz w:val="18"/>
              </w:rPr>
            </w:pPr>
            <w:r w:rsidRPr="00B029DD">
              <w:rPr>
                <w:b w:val="0"/>
                <w:sz w:val="18"/>
              </w:rPr>
              <w:t>26,5</w:t>
            </w:r>
          </w:p>
        </w:tc>
        <w:tc>
          <w:tcPr>
            <w:tcW w:w="3259" w:type="dxa"/>
            <w:shd w:val="clear" w:color="auto" w:fill="auto"/>
            <w:vAlign w:val="bottom"/>
          </w:tcPr>
          <w:p w:rsidR="00B029DD" w:rsidRPr="00B029DD" w:rsidRDefault="00B029DD" w:rsidP="00610A42">
            <w:pPr>
              <w:pStyle w:val="H23G"/>
              <w:keepNext w:val="0"/>
              <w:keepLines w:val="0"/>
              <w:suppressAutoHyphens w:val="0"/>
              <w:spacing w:before="40" w:after="40" w:line="220" w:lineRule="exact"/>
              <w:ind w:left="0" w:right="0" w:firstLine="0"/>
              <w:jc w:val="right"/>
              <w:rPr>
                <w:b w:val="0"/>
                <w:sz w:val="18"/>
              </w:rPr>
            </w:pPr>
            <w:r w:rsidRPr="00B029DD">
              <w:rPr>
                <w:b w:val="0"/>
                <w:sz w:val="18"/>
              </w:rPr>
              <w:t>26,7</w:t>
            </w:r>
          </w:p>
        </w:tc>
      </w:tr>
      <w:tr w:rsidR="00B029DD" w:rsidTr="00B05AFE">
        <w:tc>
          <w:tcPr>
            <w:tcW w:w="1276" w:type="dxa"/>
            <w:shd w:val="clear" w:color="auto" w:fill="auto"/>
          </w:tcPr>
          <w:p w:rsidR="00B029DD" w:rsidRPr="00B029DD" w:rsidRDefault="00B029DD" w:rsidP="00EB7D84">
            <w:pPr>
              <w:pStyle w:val="H23G"/>
              <w:keepNext w:val="0"/>
              <w:keepLines w:val="0"/>
              <w:suppressAutoHyphens w:val="0"/>
              <w:spacing w:before="40" w:after="40" w:line="220" w:lineRule="exact"/>
              <w:ind w:left="0" w:right="0" w:firstLine="0"/>
              <w:rPr>
                <w:b w:val="0"/>
                <w:sz w:val="18"/>
              </w:rPr>
            </w:pPr>
            <w:r w:rsidRPr="00B029DD">
              <w:rPr>
                <w:b w:val="0"/>
                <w:sz w:val="18"/>
              </w:rPr>
              <w:t>2010</w:t>
            </w:r>
            <w:r w:rsidR="00EB7D84">
              <w:rPr>
                <w:b w:val="0"/>
                <w:sz w:val="18"/>
              </w:rPr>
              <w:t>/</w:t>
            </w:r>
            <w:r w:rsidRPr="00B029DD">
              <w:rPr>
                <w:b w:val="0"/>
                <w:sz w:val="18"/>
              </w:rPr>
              <w:t>11</w:t>
            </w:r>
          </w:p>
        </w:tc>
        <w:tc>
          <w:tcPr>
            <w:tcW w:w="2835" w:type="dxa"/>
            <w:shd w:val="clear" w:color="auto" w:fill="auto"/>
            <w:vAlign w:val="bottom"/>
          </w:tcPr>
          <w:p w:rsidR="00B029DD" w:rsidRPr="00B029DD" w:rsidRDefault="00B029DD" w:rsidP="00610A42">
            <w:pPr>
              <w:pStyle w:val="H23G"/>
              <w:keepNext w:val="0"/>
              <w:keepLines w:val="0"/>
              <w:suppressAutoHyphens w:val="0"/>
              <w:spacing w:before="40" w:after="40" w:line="220" w:lineRule="exact"/>
              <w:ind w:left="0" w:right="0" w:firstLine="0"/>
              <w:jc w:val="right"/>
              <w:rPr>
                <w:b w:val="0"/>
                <w:sz w:val="18"/>
              </w:rPr>
            </w:pPr>
            <w:r w:rsidRPr="00B029DD">
              <w:rPr>
                <w:b w:val="0"/>
                <w:sz w:val="18"/>
              </w:rPr>
              <w:t>32,2</w:t>
            </w:r>
          </w:p>
        </w:tc>
        <w:tc>
          <w:tcPr>
            <w:tcW w:w="3259" w:type="dxa"/>
            <w:shd w:val="clear" w:color="auto" w:fill="auto"/>
            <w:vAlign w:val="bottom"/>
          </w:tcPr>
          <w:p w:rsidR="00B029DD" w:rsidRPr="00B029DD" w:rsidRDefault="00B029DD" w:rsidP="00610A42">
            <w:pPr>
              <w:pStyle w:val="H23G"/>
              <w:keepNext w:val="0"/>
              <w:keepLines w:val="0"/>
              <w:suppressAutoHyphens w:val="0"/>
              <w:spacing w:before="40" w:after="40" w:line="220" w:lineRule="exact"/>
              <w:ind w:left="0" w:right="0" w:firstLine="0"/>
              <w:jc w:val="right"/>
              <w:rPr>
                <w:b w:val="0"/>
                <w:sz w:val="18"/>
              </w:rPr>
            </w:pPr>
            <w:r w:rsidRPr="00B029DD">
              <w:rPr>
                <w:b w:val="0"/>
                <w:sz w:val="18"/>
              </w:rPr>
              <w:t>28,7</w:t>
            </w:r>
          </w:p>
        </w:tc>
      </w:tr>
      <w:tr w:rsidR="00B029DD" w:rsidTr="00B05AFE">
        <w:tc>
          <w:tcPr>
            <w:tcW w:w="1276" w:type="dxa"/>
            <w:shd w:val="clear" w:color="auto" w:fill="auto"/>
          </w:tcPr>
          <w:p w:rsidR="00B029DD" w:rsidRPr="00B029DD" w:rsidRDefault="00B029DD" w:rsidP="00EB7D84">
            <w:pPr>
              <w:pStyle w:val="H23G"/>
              <w:keepNext w:val="0"/>
              <w:keepLines w:val="0"/>
              <w:suppressAutoHyphens w:val="0"/>
              <w:spacing w:before="40" w:after="40" w:line="220" w:lineRule="exact"/>
              <w:ind w:left="0" w:right="0" w:firstLine="0"/>
              <w:rPr>
                <w:b w:val="0"/>
                <w:sz w:val="18"/>
              </w:rPr>
            </w:pPr>
            <w:r w:rsidRPr="00B029DD">
              <w:rPr>
                <w:b w:val="0"/>
                <w:sz w:val="18"/>
              </w:rPr>
              <w:t>2011</w:t>
            </w:r>
            <w:r w:rsidR="00EB7D84">
              <w:rPr>
                <w:b w:val="0"/>
                <w:sz w:val="18"/>
              </w:rPr>
              <w:t>/</w:t>
            </w:r>
            <w:r w:rsidRPr="00B029DD">
              <w:rPr>
                <w:b w:val="0"/>
                <w:sz w:val="18"/>
              </w:rPr>
              <w:t>12</w:t>
            </w:r>
          </w:p>
        </w:tc>
        <w:tc>
          <w:tcPr>
            <w:tcW w:w="2835" w:type="dxa"/>
            <w:shd w:val="clear" w:color="auto" w:fill="auto"/>
            <w:vAlign w:val="bottom"/>
          </w:tcPr>
          <w:p w:rsidR="00B029DD" w:rsidRPr="00B029DD" w:rsidRDefault="00B029DD" w:rsidP="00610A42">
            <w:pPr>
              <w:pStyle w:val="H23G"/>
              <w:keepNext w:val="0"/>
              <w:keepLines w:val="0"/>
              <w:suppressAutoHyphens w:val="0"/>
              <w:spacing w:before="40" w:after="40" w:line="220" w:lineRule="exact"/>
              <w:ind w:left="0" w:right="0" w:firstLine="0"/>
              <w:jc w:val="right"/>
              <w:rPr>
                <w:b w:val="0"/>
                <w:sz w:val="18"/>
              </w:rPr>
            </w:pPr>
            <w:r w:rsidRPr="00B029DD">
              <w:rPr>
                <w:b w:val="0"/>
                <w:sz w:val="18"/>
              </w:rPr>
              <w:t>45,3</w:t>
            </w:r>
          </w:p>
        </w:tc>
        <w:tc>
          <w:tcPr>
            <w:tcW w:w="3259" w:type="dxa"/>
            <w:shd w:val="clear" w:color="auto" w:fill="auto"/>
            <w:vAlign w:val="bottom"/>
          </w:tcPr>
          <w:p w:rsidR="00B029DD" w:rsidRPr="00B029DD" w:rsidRDefault="00B029DD" w:rsidP="00610A42">
            <w:pPr>
              <w:pStyle w:val="H23G"/>
              <w:keepNext w:val="0"/>
              <w:keepLines w:val="0"/>
              <w:suppressAutoHyphens w:val="0"/>
              <w:spacing w:before="40" w:after="40" w:line="220" w:lineRule="exact"/>
              <w:ind w:left="0" w:right="0" w:firstLine="0"/>
              <w:jc w:val="right"/>
              <w:rPr>
                <w:b w:val="0"/>
                <w:sz w:val="18"/>
              </w:rPr>
            </w:pPr>
            <w:r w:rsidRPr="00B029DD">
              <w:rPr>
                <w:b w:val="0"/>
                <w:sz w:val="18"/>
              </w:rPr>
              <w:t>36,5</w:t>
            </w:r>
          </w:p>
        </w:tc>
      </w:tr>
      <w:tr w:rsidR="00B029DD" w:rsidTr="00B05AFE">
        <w:tc>
          <w:tcPr>
            <w:tcW w:w="1276" w:type="dxa"/>
            <w:shd w:val="clear" w:color="auto" w:fill="auto"/>
          </w:tcPr>
          <w:p w:rsidR="00B029DD" w:rsidRPr="00B029DD" w:rsidRDefault="00B029DD" w:rsidP="00EB7D84">
            <w:pPr>
              <w:pStyle w:val="H23G"/>
              <w:keepNext w:val="0"/>
              <w:keepLines w:val="0"/>
              <w:suppressAutoHyphens w:val="0"/>
              <w:spacing w:before="40" w:after="40" w:line="220" w:lineRule="exact"/>
              <w:ind w:left="0" w:right="0" w:firstLine="0"/>
              <w:rPr>
                <w:b w:val="0"/>
                <w:sz w:val="18"/>
              </w:rPr>
            </w:pPr>
            <w:r w:rsidRPr="00B029DD">
              <w:rPr>
                <w:b w:val="0"/>
                <w:sz w:val="18"/>
              </w:rPr>
              <w:t>2012</w:t>
            </w:r>
            <w:r w:rsidR="00EB7D84">
              <w:rPr>
                <w:b w:val="0"/>
                <w:sz w:val="18"/>
              </w:rPr>
              <w:t>/</w:t>
            </w:r>
            <w:r w:rsidRPr="00B029DD">
              <w:rPr>
                <w:b w:val="0"/>
                <w:sz w:val="18"/>
              </w:rPr>
              <w:t>13</w:t>
            </w:r>
          </w:p>
        </w:tc>
        <w:tc>
          <w:tcPr>
            <w:tcW w:w="2835" w:type="dxa"/>
            <w:shd w:val="clear" w:color="auto" w:fill="auto"/>
            <w:vAlign w:val="bottom"/>
          </w:tcPr>
          <w:p w:rsidR="00B029DD" w:rsidRPr="00B029DD" w:rsidRDefault="00B029DD" w:rsidP="00610A42">
            <w:pPr>
              <w:pStyle w:val="H23G"/>
              <w:keepNext w:val="0"/>
              <w:keepLines w:val="0"/>
              <w:suppressAutoHyphens w:val="0"/>
              <w:spacing w:before="40" w:after="40" w:line="220" w:lineRule="exact"/>
              <w:ind w:left="0" w:right="0" w:firstLine="0"/>
              <w:jc w:val="right"/>
              <w:rPr>
                <w:b w:val="0"/>
                <w:sz w:val="18"/>
              </w:rPr>
            </w:pPr>
            <w:r w:rsidRPr="00B029DD">
              <w:rPr>
                <w:b w:val="0"/>
                <w:sz w:val="18"/>
              </w:rPr>
              <w:t>35,1</w:t>
            </w:r>
          </w:p>
        </w:tc>
        <w:tc>
          <w:tcPr>
            <w:tcW w:w="3259" w:type="dxa"/>
            <w:shd w:val="clear" w:color="auto" w:fill="auto"/>
            <w:vAlign w:val="bottom"/>
          </w:tcPr>
          <w:p w:rsidR="00B029DD" w:rsidRPr="00B029DD" w:rsidRDefault="00B029DD" w:rsidP="00610A42">
            <w:pPr>
              <w:pStyle w:val="H23G"/>
              <w:keepNext w:val="0"/>
              <w:keepLines w:val="0"/>
              <w:suppressAutoHyphens w:val="0"/>
              <w:spacing w:before="40" w:after="40" w:line="220" w:lineRule="exact"/>
              <w:ind w:left="0" w:right="0" w:firstLine="0"/>
              <w:jc w:val="right"/>
              <w:rPr>
                <w:b w:val="0"/>
                <w:sz w:val="18"/>
              </w:rPr>
            </w:pPr>
            <w:r w:rsidRPr="00B029DD">
              <w:rPr>
                <w:b w:val="0"/>
                <w:sz w:val="18"/>
              </w:rPr>
              <w:t>38,7</w:t>
            </w:r>
          </w:p>
        </w:tc>
      </w:tr>
      <w:tr w:rsidR="00B029DD" w:rsidTr="00B05AFE">
        <w:tc>
          <w:tcPr>
            <w:tcW w:w="1276" w:type="dxa"/>
            <w:shd w:val="clear" w:color="auto" w:fill="auto"/>
          </w:tcPr>
          <w:p w:rsidR="00B029DD" w:rsidRPr="00B029DD" w:rsidRDefault="00B029DD" w:rsidP="00EB7D84">
            <w:pPr>
              <w:pStyle w:val="H23G"/>
              <w:keepNext w:val="0"/>
              <w:keepLines w:val="0"/>
              <w:suppressAutoHyphens w:val="0"/>
              <w:spacing w:before="40" w:after="40" w:line="220" w:lineRule="exact"/>
              <w:ind w:left="0" w:right="0" w:firstLine="0"/>
              <w:rPr>
                <w:b w:val="0"/>
                <w:sz w:val="18"/>
              </w:rPr>
            </w:pPr>
            <w:r w:rsidRPr="00B029DD">
              <w:rPr>
                <w:b w:val="0"/>
                <w:sz w:val="18"/>
              </w:rPr>
              <w:t>2013</w:t>
            </w:r>
            <w:r w:rsidR="00EB7D84">
              <w:rPr>
                <w:b w:val="0"/>
                <w:sz w:val="18"/>
              </w:rPr>
              <w:t>/</w:t>
            </w:r>
            <w:r w:rsidRPr="00B029DD">
              <w:rPr>
                <w:b w:val="0"/>
                <w:sz w:val="18"/>
              </w:rPr>
              <w:t>14</w:t>
            </w:r>
          </w:p>
        </w:tc>
        <w:tc>
          <w:tcPr>
            <w:tcW w:w="2835" w:type="dxa"/>
            <w:shd w:val="clear" w:color="auto" w:fill="auto"/>
            <w:vAlign w:val="bottom"/>
          </w:tcPr>
          <w:p w:rsidR="00B029DD" w:rsidRPr="00B029DD" w:rsidRDefault="00B029DD" w:rsidP="00610A42">
            <w:pPr>
              <w:pStyle w:val="H23G"/>
              <w:keepNext w:val="0"/>
              <w:keepLines w:val="0"/>
              <w:suppressAutoHyphens w:val="0"/>
              <w:spacing w:before="40" w:after="40" w:line="220" w:lineRule="exact"/>
              <w:ind w:left="0" w:right="0" w:firstLine="0"/>
              <w:jc w:val="right"/>
              <w:rPr>
                <w:b w:val="0"/>
                <w:sz w:val="18"/>
              </w:rPr>
            </w:pPr>
            <w:r w:rsidRPr="00B029DD">
              <w:rPr>
                <w:b w:val="0"/>
                <w:sz w:val="18"/>
              </w:rPr>
              <w:t>31,1</w:t>
            </w:r>
          </w:p>
        </w:tc>
        <w:tc>
          <w:tcPr>
            <w:tcW w:w="3259" w:type="dxa"/>
            <w:shd w:val="clear" w:color="auto" w:fill="auto"/>
            <w:vAlign w:val="bottom"/>
          </w:tcPr>
          <w:p w:rsidR="00B029DD" w:rsidRPr="00B029DD" w:rsidRDefault="00B029DD" w:rsidP="00610A42">
            <w:pPr>
              <w:pStyle w:val="H23G"/>
              <w:keepNext w:val="0"/>
              <w:keepLines w:val="0"/>
              <w:suppressAutoHyphens w:val="0"/>
              <w:spacing w:before="40" w:after="40" w:line="220" w:lineRule="exact"/>
              <w:ind w:left="0" w:right="0" w:firstLine="0"/>
              <w:jc w:val="right"/>
              <w:rPr>
                <w:b w:val="0"/>
                <w:sz w:val="18"/>
              </w:rPr>
            </w:pPr>
            <w:r w:rsidRPr="00B029DD">
              <w:rPr>
                <w:b w:val="0"/>
                <w:sz w:val="18"/>
              </w:rPr>
              <w:t>39,6</w:t>
            </w:r>
          </w:p>
        </w:tc>
      </w:tr>
      <w:tr w:rsidR="00B029DD" w:rsidTr="00B05AFE">
        <w:tc>
          <w:tcPr>
            <w:tcW w:w="1276" w:type="dxa"/>
            <w:tcBorders>
              <w:bottom w:val="single" w:sz="12" w:space="0" w:color="auto"/>
            </w:tcBorders>
            <w:shd w:val="clear" w:color="auto" w:fill="auto"/>
          </w:tcPr>
          <w:p w:rsidR="00B029DD" w:rsidRPr="00B029DD" w:rsidRDefault="00B029DD" w:rsidP="00EB7D84">
            <w:pPr>
              <w:pStyle w:val="H23G"/>
              <w:keepNext w:val="0"/>
              <w:keepLines w:val="0"/>
              <w:suppressAutoHyphens w:val="0"/>
              <w:spacing w:before="40" w:after="40" w:line="220" w:lineRule="exact"/>
              <w:ind w:left="0" w:right="0" w:firstLine="0"/>
              <w:rPr>
                <w:b w:val="0"/>
                <w:sz w:val="18"/>
              </w:rPr>
            </w:pPr>
            <w:r w:rsidRPr="00B029DD">
              <w:rPr>
                <w:b w:val="0"/>
                <w:sz w:val="18"/>
              </w:rPr>
              <w:t>2014</w:t>
            </w:r>
            <w:r w:rsidR="00EB7D84">
              <w:rPr>
                <w:b w:val="0"/>
                <w:sz w:val="18"/>
              </w:rPr>
              <w:t>/</w:t>
            </w:r>
            <w:r w:rsidRPr="00B029DD">
              <w:rPr>
                <w:b w:val="0"/>
                <w:sz w:val="18"/>
              </w:rPr>
              <w:t>15</w:t>
            </w:r>
          </w:p>
        </w:tc>
        <w:tc>
          <w:tcPr>
            <w:tcW w:w="2835" w:type="dxa"/>
            <w:tcBorders>
              <w:bottom w:val="single" w:sz="12" w:space="0" w:color="auto"/>
            </w:tcBorders>
            <w:shd w:val="clear" w:color="auto" w:fill="auto"/>
            <w:vAlign w:val="bottom"/>
          </w:tcPr>
          <w:p w:rsidR="00B029DD" w:rsidRPr="00B029DD" w:rsidRDefault="00B029DD" w:rsidP="00610A42">
            <w:pPr>
              <w:pStyle w:val="H23G"/>
              <w:keepNext w:val="0"/>
              <w:keepLines w:val="0"/>
              <w:suppressAutoHyphens w:val="0"/>
              <w:spacing w:before="40" w:after="40" w:line="220" w:lineRule="exact"/>
              <w:ind w:left="0" w:right="0" w:firstLine="0"/>
              <w:jc w:val="right"/>
              <w:rPr>
                <w:b w:val="0"/>
                <w:sz w:val="18"/>
              </w:rPr>
            </w:pPr>
            <w:r w:rsidRPr="00B029DD">
              <w:rPr>
                <w:b w:val="0"/>
                <w:sz w:val="18"/>
              </w:rPr>
              <w:t>30,4</w:t>
            </w:r>
          </w:p>
        </w:tc>
        <w:tc>
          <w:tcPr>
            <w:tcW w:w="3259" w:type="dxa"/>
            <w:tcBorders>
              <w:bottom w:val="single" w:sz="12" w:space="0" w:color="auto"/>
            </w:tcBorders>
            <w:shd w:val="clear" w:color="auto" w:fill="auto"/>
            <w:vAlign w:val="bottom"/>
          </w:tcPr>
          <w:p w:rsidR="00B029DD" w:rsidRPr="00B029DD" w:rsidRDefault="00B029DD" w:rsidP="00610A42">
            <w:pPr>
              <w:pStyle w:val="H23G"/>
              <w:keepNext w:val="0"/>
              <w:keepLines w:val="0"/>
              <w:suppressAutoHyphens w:val="0"/>
              <w:spacing w:before="40" w:after="40" w:line="220" w:lineRule="exact"/>
              <w:ind w:left="0" w:right="0" w:firstLine="0"/>
              <w:jc w:val="right"/>
              <w:rPr>
                <w:b w:val="0"/>
                <w:sz w:val="18"/>
              </w:rPr>
            </w:pPr>
            <w:r w:rsidRPr="00B029DD">
              <w:rPr>
                <w:b w:val="0"/>
                <w:sz w:val="18"/>
              </w:rPr>
              <w:t>36,6</w:t>
            </w:r>
          </w:p>
        </w:tc>
      </w:tr>
    </w:tbl>
    <w:p w:rsidR="00ED657B" w:rsidRPr="00ED657B" w:rsidRDefault="00ED657B" w:rsidP="00B029DD">
      <w:pPr>
        <w:pStyle w:val="SingleTxtG"/>
        <w:spacing w:before="240"/>
      </w:pPr>
      <w:r w:rsidRPr="00ED657B">
        <w:t>103.</w:t>
      </w:r>
      <w:r w:rsidRPr="00ED657B">
        <w:tab/>
        <w:t xml:space="preserve">El Estado parte, que en el período 2000-2010 centró su labor en los aspectos cuantitativos, ahora hace más hincapié en los aspectos cualitativos. Se ha </w:t>
      </w:r>
      <w:r w:rsidR="00B029DD">
        <w:t>asignado</w:t>
      </w:r>
      <w:r w:rsidRPr="00ED657B">
        <w:t xml:space="preserve"> nuevos objetivos, que se definen en el plan rector para el período 2010-2019. </w:t>
      </w:r>
    </w:p>
    <w:p w:rsidR="00ED657B" w:rsidRPr="00ED657B" w:rsidRDefault="00ED657B" w:rsidP="00B029DD">
      <w:pPr>
        <w:pStyle w:val="SingleTxtG"/>
      </w:pPr>
      <w:r w:rsidRPr="00ED657B">
        <w:t>104.</w:t>
      </w:r>
      <w:r w:rsidRPr="00ED657B">
        <w:tab/>
        <w:t>Esos objetivos son los siguientes:</w:t>
      </w:r>
    </w:p>
    <w:p w:rsidR="00ED657B" w:rsidRPr="00ED657B" w:rsidRDefault="00ED657B" w:rsidP="00B029DD">
      <w:pPr>
        <w:pStyle w:val="Bullet1G"/>
        <w:rPr>
          <w:bCs/>
        </w:rPr>
      </w:pPr>
      <w:r w:rsidRPr="00ED657B">
        <w:t xml:space="preserve">Lograr, el objetivo </w:t>
      </w:r>
      <w:r w:rsidR="006D2487">
        <w:t>del 100% de</w:t>
      </w:r>
      <w:r w:rsidRPr="00ED657B">
        <w:t xml:space="preserve"> escolarización en la enseñanza primaria </w:t>
      </w:r>
      <w:r w:rsidR="006D2487" w:rsidRPr="00ED657B">
        <w:t>en 2015</w:t>
      </w:r>
      <w:r w:rsidR="006D2487">
        <w:t xml:space="preserve"> </w:t>
      </w:r>
      <w:r w:rsidRPr="00ED657B">
        <w:t xml:space="preserve">y </w:t>
      </w:r>
      <w:r w:rsidR="006D2487" w:rsidRPr="00ED657B">
        <w:t>del 90%</w:t>
      </w:r>
      <w:r w:rsidR="006D2487">
        <w:t xml:space="preserve"> de la</w:t>
      </w:r>
      <w:r w:rsidRPr="00ED657B">
        <w:t xml:space="preserve"> tasa bruta de escolarización </w:t>
      </w:r>
      <w:r w:rsidR="006D2487">
        <w:t>de</w:t>
      </w:r>
      <w:r w:rsidRPr="00ED657B">
        <w:t xml:space="preserve"> los niños de 11 a 14 años </w:t>
      </w:r>
      <w:r w:rsidR="006D2487">
        <w:t>en</w:t>
      </w:r>
      <w:r w:rsidRPr="00ED657B">
        <w:t xml:space="preserve"> 2019;</w:t>
      </w:r>
    </w:p>
    <w:p w:rsidR="00ED657B" w:rsidRPr="00ED657B" w:rsidRDefault="00ED657B" w:rsidP="00B029DD">
      <w:pPr>
        <w:pStyle w:val="Bullet1G"/>
        <w:rPr>
          <w:bCs/>
        </w:rPr>
      </w:pPr>
      <w:r w:rsidRPr="00ED657B">
        <w:t>Eliminar, de aquí a 2015, las disparidades entre los sexos en la enseñanza primaria y secundaria, e instaurar la igualdad en ese ámbito en 2019;</w:t>
      </w:r>
    </w:p>
    <w:p w:rsidR="00ED657B" w:rsidRPr="00ED657B" w:rsidRDefault="00ED657B" w:rsidP="00B029DD">
      <w:pPr>
        <w:pStyle w:val="Bullet1G"/>
        <w:rPr>
          <w:bCs/>
        </w:rPr>
      </w:pPr>
      <w:r w:rsidRPr="00ED657B">
        <w:t xml:space="preserve">Velar por que el 100% de los alumnos de </w:t>
      </w:r>
      <w:r w:rsidR="006D2487">
        <w:t xml:space="preserve">la </w:t>
      </w:r>
      <w:r w:rsidRPr="00ED657B">
        <w:t xml:space="preserve">educación básica </w:t>
      </w:r>
      <w:r w:rsidR="006D2487">
        <w:t>posean</w:t>
      </w:r>
      <w:r w:rsidRPr="00ED657B">
        <w:t xml:space="preserve"> al menos </w:t>
      </w:r>
      <w:r w:rsidR="006D2487">
        <w:t>el</w:t>
      </w:r>
      <w:r w:rsidRPr="00ED657B">
        <w:t xml:space="preserve"> 80% de los conocimientos y competencias contemplados en los programas de estudios </w:t>
      </w:r>
      <w:r w:rsidR="006D2487">
        <w:t>de</w:t>
      </w:r>
      <w:r w:rsidRPr="00ED657B">
        <w:t xml:space="preserve"> idiomas, matemáticas, ciencias y competencias para la vida </w:t>
      </w:r>
      <w:r w:rsidR="00D541AA">
        <w:t>cotidiana</w:t>
      </w:r>
      <w:r w:rsidRPr="00ED657B">
        <w:t>;</w:t>
      </w:r>
    </w:p>
    <w:p w:rsidR="00ED657B" w:rsidRPr="00ED657B" w:rsidRDefault="00ED657B" w:rsidP="00B029DD">
      <w:pPr>
        <w:pStyle w:val="Bullet1G"/>
        <w:rPr>
          <w:bCs/>
        </w:rPr>
      </w:pPr>
      <w:r w:rsidRPr="00ED657B">
        <w:t xml:space="preserve">Reformar la enseñanza secundaria y la enseñanza y formación técnica y profesional </w:t>
      </w:r>
      <w:r w:rsidR="00D541AA">
        <w:t>con objeto de</w:t>
      </w:r>
      <w:r w:rsidRPr="00ED657B">
        <w:t xml:space="preserve"> fomentar la excelencia y la pert</w:t>
      </w:r>
      <w:r w:rsidR="00D541AA">
        <w:t>i</w:t>
      </w:r>
      <w:r w:rsidRPr="00ED657B">
        <w:t xml:space="preserve">nencia de las capacitaciones </w:t>
      </w:r>
      <w:r w:rsidR="00D541AA">
        <w:t>para el</w:t>
      </w:r>
      <w:r w:rsidRPr="00ED657B">
        <w:t xml:space="preserve"> mercado de trabajo;</w:t>
      </w:r>
    </w:p>
    <w:p w:rsidR="00ED657B" w:rsidRPr="00ED657B" w:rsidRDefault="00ED657B" w:rsidP="00B029DD">
      <w:pPr>
        <w:pStyle w:val="Bullet1G"/>
        <w:rPr>
          <w:bCs/>
        </w:rPr>
      </w:pPr>
      <w:r w:rsidRPr="00ED657B">
        <w:lastRenderedPageBreak/>
        <w:t xml:space="preserve">Mejorar en todos </w:t>
      </w:r>
      <w:r w:rsidR="00D541AA">
        <w:t>los</w:t>
      </w:r>
      <w:r w:rsidRPr="00ED657B">
        <w:t xml:space="preserve"> aspectos la calidad y la pertinencia de la enseñanza superior y la investigación universitaria;</w:t>
      </w:r>
    </w:p>
    <w:p w:rsidR="00ED657B" w:rsidRPr="00ED657B" w:rsidRDefault="00ED657B" w:rsidP="00B029DD">
      <w:pPr>
        <w:pStyle w:val="Bullet1G"/>
        <w:rPr>
          <w:bCs/>
        </w:rPr>
      </w:pPr>
      <w:r w:rsidRPr="00ED657B">
        <w:t xml:space="preserve">Mejorar las prácticas de gobernanza a todos los niveles </w:t>
      </w:r>
      <w:r w:rsidR="00D541AA">
        <w:t>para</w:t>
      </w:r>
      <w:r w:rsidRPr="00ED657B">
        <w:t xml:space="preserve"> asegurar una gestión eficaz y eficiente de la calidad de los servicios prestados y la utilización de los recursos.</w:t>
      </w:r>
    </w:p>
    <w:p w:rsidR="00ED657B" w:rsidRPr="00ED657B" w:rsidRDefault="00ED657B" w:rsidP="00D541AA">
      <w:pPr>
        <w:pStyle w:val="HChG"/>
      </w:pPr>
      <w:r w:rsidRPr="00ED657B">
        <w:tab/>
        <w:t>V.</w:t>
      </w:r>
      <w:r w:rsidRPr="00ED657B">
        <w:tab/>
        <w:t>Artículo 6</w:t>
      </w:r>
    </w:p>
    <w:p w:rsidR="00ED657B" w:rsidRPr="00ED657B" w:rsidRDefault="00ED657B" w:rsidP="00D541AA">
      <w:pPr>
        <w:pStyle w:val="SingleTxtG"/>
      </w:pPr>
      <w:r w:rsidRPr="00ED657B">
        <w:t>105.</w:t>
      </w:r>
      <w:r w:rsidRPr="00ED657B">
        <w:tab/>
        <w:t>El Estado parte ha elaborado un marco institucional cuyo propósito, entre otros, es poner en marcha el importante dispositivo de lucha contra el racismo y la xenofobia y cualquier otra forma de discriminación. El marco abarca un conjunto de instituciones de carácter judicial y administrativo.</w:t>
      </w:r>
    </w:p>
    <w:p w:rsidR="00ED657B" w:rsidRPr="00ED657B" w:rsidRDefault="00D541AA" w:rsidP="00D541AA">
      <w:pPr>
        <w:pStyle w:val="H1G"/>
      </w:pPr>
      <w:r>
        <w:tab/>
      </w:r>
      <w:r w:rsidR="00ED657B" w:rsidRPr="00ED657B">
        <w:tab/>
      </w:r>
      <w:r>
        <w:t xml:space="preserve">El </w:t>
      </w:r>
      <w:r w:rsidR="00280A2B" w:rsidRPr="00ED657B">
        <w:t xml:space="preserve">marco </w:t>
      </w:r>
      <w:r w:rsidR="00ED657B" w:rsidRPr="00ED657B">
        <w:t>judicial</w:t>
      </w:r>
    </w:p>
    <w:p w:rsidR="00ED657B" w:rsidRPr="00ED657B" w:rsidRDefault="00ED657B" w:rsidP="00D541AA">
      <w:pPr>
        <w:pStyle w:val="SingleTxtG"/>
      </w:pPr>
      <w:r w:rsidRPr="00ED657B">
        <w:t>106.</w:t>
      </w:r>
      <w:r w:rsidRPr="00ED657B">
        <w:tab/>
        <w:t xml:space="preserve">El poder judicial, por medio de los juzgados y </w:t>
      </w:r>
      <w:r w:rsidR="00D541AA">
        <w:t xml:space="preserve">los </w:t>
      </w:r>
      <w:r w:rsidRPr="00ED657B">
        <w:t xml:space="preserve">tribunales, es un mecanismo esencial </w:t>
      </w:r>
      <w:r w:rsidR="00D541AA">
        <w:t>de la</w:t>
      </w:r>
      <w:r w:rsidRPr="00ED657B">
        <w:t xml:space="preserve"> lucha contra la discriminación, independientemente de su forma. En general, vela por que todos, incluidos los poderes públicos, respeten los principios fundamentales de los derechos humanos.</w:t>
      </w:r>
    </w:p>
    <w:p w:rsidR="00ED657B" w:rsidRPr="00ED657B" w:rsidRDefault="00ED657B" w:rsidP="00D541AA">
      <w:pPr>
        <w:pStyle w:val="SingleTxtG"/>
      </w:pPr>
      <w:r w:rsidRPr="00ED657B">
        <w:t>107.</w:t>
      </w:r>
      <w:r w:rsidRPr="00ED657B">
        <w:tab/>
        <w:t>Como señalamos en nuestros anteriores informes a los órganos de tratados y al Consejo de Derechos Humanos, el sistema judicial del Estado parte se ajusta cabalmente a las normas internacionales en materia de administración de justicia.</w:t>
      </w:r>
    </w:p>
    <w:p w:rsidR="00ED657B" w:rsidRPr="00ED657B" w:rsidRDefault="00ED657B" w:rsidP="00D541AA">
      <w:pPr>
        <w:pStyle w:val="SingleTxtG"/>
        <w:rPr>
          <w:iCs/>
        </w:rPr>
      </w:pPr>
      <w:r w:rsidRPr="00ED657B">
        <w:t>108.</w:t>
      </w:r>
      <w:r w:rsidRPr="00ED657B">
        <w:tab/>
        <w:t xml:space="preserve">Las normas y principios fundamentales que deben guiar la justicia se enuncian en el artículo 10 de la Constitución, que dispone que todo acusado gozará de la presunción de inocencia hasta que el órgano jurisdiccional competente establezca su culpabilidad. El derecho a la defensa y a ser asistido por un defensor de propia elección está garantizado en todas las fases del procedimiento. Toda persona sujeta a una medida de privación de libertad tiene derecho a ser examinado por un médico de su elección. Nadie podrá ser recluido en un </w:t>
      </w:r>
      <w:r w:rsidR="00D541AA">
        <w:t>centro</w:t>
      </w:r>
      <w:r w:rsidRPr="00ED657B">
        <w:t xml:space="preserve"> penitenciario sin una orden de ingreso en prisión dictada por un </w:t>
      </w:r>
      <w:r w:rsidR="00D541AA">
        <w:t>magistrado del orden judicial</w:t>
      </w:r>
      <w:r w:rsidRPr="00ED657B">
        <w:t>.</w:t>
      </w:r>
    </w:p>
    <w:p w:rsidR="00ED657B" w:rsidRPr="00ED657B" w:rsidRDefault="00ED657B" w:rsidP="00D541AA">
      <w:pPr>
        <w:pStyle w:val="SingleTxtG"/>
      </w:pPr>
      <w:r w:rsidRPr="00ED657B">
        <w:t>109.</w:t>
      </w:r>
      <w:r w:rsidRPr="00ED657B">
        <w:tab/>
      </w:r>
      <w:r w:rsidR="00D541AA">
        <w:t>Para</w:t>
      </w:r>
      <w:r w:rsidRPr="00ED657B">
        <w:t xml:space="preserve"> poner en práctica esas normas y principios, el Estado parte inició en noviembre de 2000 (fecha de </w:t>
      </w:r>
      <w:r w:rsidR="00D541AA">
        <w:t>celebración de los Estados Generales de la Justicia</w:t>
      </w:r>
      <w:r w:rsidRPr="00ED657B">
        <w:t>) una profunda reforma de su sistema judicial. Esta reforma, que se prolongó unos diez años, afectó a todos los aspectos del aparato judicial, materiales, humanos e institucionales.</w:t>
      </w:r>
    </w:p>
    <w:p w:rsidR="00ED657B" w:rsidRPr="00ED657B" w:rsidRDefault="00ED657B" w:rsidP="00D541AA">
      <w:pPr>
        <w:pStyle w:val="SingleTxtG"/>
      </w:pPr>
      <w:r w:rsidRPr="00ED657B">
        <w:t>110.</w:t>
      </w:r>
      <w:r w:rsidRPr="00ED657B">
        <w:tab/>
        <w:t xml:space="preserve">Se amplió y renovó el parque inmobiliario para dar cabida al </w:t>
      </w:r>
      <w:r w:rsidR="00D541AA" w:rsidRPr="00ED657B">
        <w:t xml:space="preserve">número </w:t>
      </w:r>
      <w:r w:rsidRPr="00ED657B">
        <w:t xml:space="preserve">creciente de justiciables y </w:t>
      </w:r>
      <w:r w:rsidR="00D541AA">
        <w:t>magistrados</w:t>
      </w:r>
      <w:r w:rsidRPr="00ED657B">
        <w:t xml:space="preserve">. Se ha multiplicado por 4,5 el número de </w:t>
      </w:r>
      <w:r w:rsidR="00D541AA">
        <w:t>magistrados</w:t>
      </w:r>
      <w:r w:rsidRPr="00ED657B">
        <w:t xml:space="preserve">, </w:t>
      </w:r>
      <w:r w:rsidR="00D541AA">
        <w:t>que</w:t>
      </w:r>
      <w:r w:rsidRPr="00ED657B">
        <w:t xml:space="preserve"> pas</w:t>
      </w:r>
      <w:r w:rsidR="00D541AA">
        <w:t>ó</w:t>
      </w:r>
      <w:r w:rsidRPr="00ED657B">
        <w:t xml:space="preserve"> de 29 en 2000 a 131 en 2015.</w:t>
      </w:r>
    </w:p>
    <w:p w:rsidR="00ED657B" w:rsidRPr="00ED657B" w:rsidRDefault="00ED657B" w:rsidP="00D541AA">
      <w:pPr>
        <w:pStyle w:val="SingleTxtG"/>
      </w:pPr>
      <w:r w:rsidRPr="00ED657B">
        <w:t>111.</w:t>
      </w:r>
      <w:r w:rsidRPr="00ED657B">
        <w:tab/>
        <w:t xml:space="preserve">Los </w:t>
      </w:r>
      <w:r w:rsidR="00D541AA">
        <w:t>magistrados</w:t>
      </w:r>
      <w:r w:rsidRPr="00ED657B">
        <w:t xml:space="preserve"> gozan de un estatuto jurídico de protección </w:t>
      </w:r>
      <w:r w:rsidR="00D541AA">
        <w:t xml:space="preserve">que les </w:t>
      </w:r>
      <w:r w:rsidRPr="00ED657B">
        <w:t xml:space="preserve">garantiza </w:t>
      </w:r>
      <w:r w:rsidR="00D541AA">
        <w:t>la</w:t>
      </w:r>
      <w:r w:rsidRPr="00ED657B">
        <w:t xml:space="preserve"> independencia necesaria en el ejercicio de </w:t>
      </w:r>
      <w:r w:rsidR="00D541AA">
        <w:t>sus funciones</w:t>
      </w:r>
      <w:r w:rsidRPr="00ED657B">
        <w:t>.</w:t>
      </w:r>
    </w:p>
    <w:p w:rsidR="00ED657B" w:rsidRPr="00ED657B" w:rsidRDefault="00ED657B" w:rsidP="00D541AA">
      <w:pPr>
        <w:pStyle w:val="SingleTxtG"/>
      </w:pPr>
      <w:r w:rsidRPr="00ED657B">
        <w:t>112.</w:t>
      </w:r>
      <w:r w:rsidRPr="00ED657B">
        <w:tab/>
        <w:t>El Estado parte ha reforzado el marco institucional con la creación de órganos de las jurisdicciones del estatuto personal, de lo contencioso administrativo y de menores</w:t>
      </w:r>
      <w:r w:rsidR="00D541AA">
        <w:t>, entre otros</w:t>
      </w:r>
      <w:r w:rsidRPr="00ED657B">
        <w:t>.</w:t>
      </w:r>
    </w:p>
    <w:p w:rsidR="00ED657B" w:rsidRPr="00ED657B" w:rsidRDefault="00ED657B" w:rsidP="00D541AA">
      <w:pPr>
        <w:pStyle w:val="SingleTxtG"/>
      </w:pPr>
      <w:r w:rsidRPr="00ED657B">
        <w:t>113.</w:t>
      </w:r>
      <w:r w:rsidRPr="00ED657B">
        <w:tab/>
        <w:t xml:space="preserve">Los órganos jurisdiccionales del estatuto personal han sustituido a los cadís (jueces religiosos legos). A diferencia de estos últimos, se trata de órganos dirigidos por </w:t>
      </w:r>
      <w:r w:rsidR="00D541AA">
        <w:t>magistrados</w:t>
      </w:r>
      <w:r w:rsidRPr="00ED657B">
        <w:t xml:space="preserve"> profesionales que deben cumplir y hacer cumplir las normas y principios fundamentales en los que se basa una justicia imparcial y equitativa.</w:t>
      </w:r>
    </w:p>
    <w:p w:rsidR="00ED657B" w:rsidRPr="00ED657B" w:rsidRDefault="00ED657B" w:rsidP="00D541AA">
      <w:pPr>
        <w:pStyle w:val="SingleTxtG"/>
      </w:pPr>
      <w:r w:rsidRPr="00ED657B">
        <w:lastRenderedPageBreak/>
        <w:t>114.</w:t>
      </w:r>
      <w:r w:rsidRPr="00ED657B">
        <w:tab/>
        <w:t>Los órganos jurisdiccionales administrativo</w:t>
      </w:r>
      <w:r w:rsidR="00D541AA">
        <w:t>s</w:t>
      </w:r>
      <w:r w:rsidRPr="00ED657B">
        <w:t xml:space="preserve"> se reforzaron por la Ley núm.</w:t>
      </w:r>
      <w:r w:rsidR="00280A2B">
        <w:t> </w:t>
      </w:r>
      <w:r w:rsidRPr="00ED657B">
        <w:t>56/AN/O9/6ª, de 19 de julio de 2009, relativa a la creación de</w:t>
      </w:r>
      <w:r w:rsidR="00D541AA">
        <w:t xml:space="preserve"> un</w:t>
      </w:r>
      <w:r w:rsidRPr="00ED657B">
        <w:t xml:space="preserve"> Tribunal Administrativo. Estos órganos son competentes para conocer de </w:t>
      </w:r>
      <w:r w:rsidR="00D541AA">
        <w:t>los litigios</w:t>
      </w:r>
      <w:r w:rsidRPr="00ED657B">
        <w:t xml:space="preserve"> que se </w:t>
      </w:r>
      <w:r w:rsidR="00D541AA">
        <w:t>deriven</w:t>
      </w:r>
      <w:r w:rsidRPr="00ED657B">
        <w:t xml:space="preserve"> de la acción u omisión de la Administración.</w:t>
      </w:r>
    </w:p>
    <w:p w:rsidR="00ED657B" w:rsidRPr="00ED657B" w:rsidRDefault="00ED657B" w:rsidP="00D541AA">
      <w:pPr>
        <w:pStyle w:val="SingleTxtG"/>
      </w:pPr>
      <w:r w:rsidRPr="00ED657B">
        <w:t>115.</w:t>
      </w:r>
      <w:r w:rsidRPr="00ED657B">
        <w:tab/>
        <w:t xml:space="preserve">Toda acción u omisión de las autoridades administrativas nacionales, regionales o locales </w:t>
      </w:r>
      <w:r w:rsidR="00D541AA">
        <w:t xml:space="preserve">que se </w:t>
      </w:r>
      <w:r w:rsidRPr="00ED657B">
        <w:t>consider</w:t>
      </w:r>
      <w:r w:rsidR="00D541AA">
        <w:t>e</w:t>
      </w:r>
      <w:r w:rsidRPr="00ED657B">
        <w:t xml:space="preserve"> discriminatoria respecto a una persona o grupo de personas puede ser recurrida mediante una acción de nulidad ante el Tribunal Administrativo. </w:t>
      </w:r>
      <w:r w:rsidR="00D541AA">
        <w:t>S</w:t>
      </w:r>
      <w:r w:rsidRPr="00ED657B">
        <w:t xml:space="preserve">us resoluciones </w:t>
      </w:r>
      <w:r w:rsidR="00D541AA">
        <w:t>pueden recurrirse</w:t>
      </w:r>
      <w:r w:rsidRPr="00ED657B">
        <w:t xml:space="preserve"> ante la Sala Administrativ</w:t>
      </w:r>
      <w:r w:rsidR="00D541AA">
        <w:t>a</w:t>
      </w:r>
      <w:r w:rsidRPr="00ED657B">
        <w:t xml:space="preserve"> </w:t>
      </w:r>
      <w:r w:rsidR="00D541AA">
        <w:t xml:space="preserve">y Financiera </w:t>
      </w:r>
      <w:r w:rsidRPr="00ED657B">
        <w:t>del Tribunal Supremo.</w:t>
      </w:r>
    </w:p>
    <w:p w:rsidR="00ED657B" w:rsidRPr="00ED657B" w:rsidRDefault="00ED657B" w:rsidP="00D541AA">
      <w:pPr>
        <w:pStyle w:val="SingleTxtG"/>
      </w:pPr>
      <w:r w:rsidRPr="00ED657B">
        <w:t>116.</w:t>
      </w:r>
      <w:r w:rsidRPr="00ED657B">
        <w:tab/>
        <w:t xml:space="preserve">Los órganos jurisdiccionales de lo civil y </w:t>
      </w:r>
      <w:r w:rsidR="00D541AA">
        <w:t xml:space="preserve">lo </w:t>
      </w:r>
      <w:r w:rsidRPr="00ED657B">
        <w:t xml:space="preserve">penal también pueden conocer de los delitos por odio racial y discriminación en general. Estos delitos ya se examinaron en párrafos anteriores. </w:t>
      </w:r>
    </w:p>
    <w:p w:rsidR="00ED657B" w:rsidRPr="00ED657B" w:rsidRDefault="00ED657B" w:rsidP="00D541AA">
      <w:pPr>
        <w:pStyle w:val="SingleTxtG"/>
      </w:pPr>
      <w:r w:rsidRPr="00ED657B">
        <w:t>117.</w:t>
      </w:r>
      <w:r w:rsidRPr="00ED657B">
        <w:tab/>
      </w:r>
      <w:r w:rsidR="00D541AA">
        <w:t>Después de esta serie</w:t>
      </w:r>
      <w:r w:rsidRPr="00ED657B">
        <w:t xml:space="preserve"> de medidas relacionadas esencialmente con los aspectos cuantitativos del sistema judicial, el Estado parte pasó a abordar los aspectos cualitativos y, más concretamente, la mejora del acceso a la justicia.</w:t>
      </w:r>
    </w:p>
    <w:p w:rsidR="00ED657B" w:rsidRPr="00ED657B" w:rsidRDefault="00ED657B" w:rsidP="00D541AA">
      <w:pPr>
        <w:pStyle w:val="SingleTxtG"/>
      </w:pPr>
      <w:r w:rsidRPr="00ED657B">
        <w:t>118.</w:t>
      </w:r>
      <w:r w:rsidRPr="00ED657B">
        <w:tab/>
        <w:t>A fin de lograr este objetivo, se definieron tres ejes principales: la descentralización de la justicia, la reforma de la asistencia letrada y el establecimiento de un servicio de atención al público e información.</w:t>
      </w:r>
    </w:p>
    <w:p w:rsidR="00ED657B" w:rsidRPr="00ED657B" w:rsidRDefault="00ED657B" w:rsidP="00D541AA">
      <w:pPr>
        <w:pStyle w:val="SingleTxtG"/>
      </w:pPr>
      <w:r w:rsidRPr="00ED657B">
        <w:t>119.</w:t>
      </w:r>
      <w:r w:rsidRPr="00ED657B">
        <w:tab/>
        <w:t>En materia de descentralización de la justicia, hasta la fecha no hay ningún órgano jurisdiccional fuera de la capital. Los habitantes de las regiones que deseen someter un asunto a la justicia deben desplazarse a la capital.</w:t>
      </w:r>
    </w:p>
    <w:p w:rsidR="00ED657B" w:rsidRPr="00ED657B" w:rsidRDefault="00ED657B" w:rsidP="00D541AA">
      <w:pPr>
        <w:pStyle w:val="SingleTxtG"/>
      </w:pPr>
      <w:r w:rsidRPr="00ED657B">
        <w:t>120.</w:t>
      </w:r>
      <w:r w:rsidRPr="00ED657B">
        <w:tab/>
        <w:t>Los justiciables de las regiones</w:t>
      </w:r>
      <w:r w:rsidR="00D541AA">
        <w:t xml:space="preserve"> veían</w:t>
      </w:r>
      <w:r w:rsidRPr="00ED657B">
        <w:t xml:space="preserve"> esta situación </w:t>
      </w:r>
      <w:r w:rsidR="00D541AA">
        <w:t>como</w:t>
      </w:r>
      <w:r w:rsidRPr="00ED657B">
        <w:t xml:space="preserve"> una injusticia o incluso una discriminación. </w:t>
      </w:r>
      <w:r w:rsidR="00D541AA">
        <w:t>Para</w:t>
      </w:r>
      <w:r w:rsidRPr="00ED657B">
        <w:t xml:space="preserve"> subsanar esta deficiencia, en 2010 el Estado parte </w:t>
      </w:r>
      <w:r w:rsidR="00D541AA">
        <w:t>organizó</w:t>
      </w:r>
      <w:r w:rsidRPr="00ED657B">
        <w:t xml:space="preserve"> un sistema móvil de justicia </w:t>
      </w:r>
      <w:r w:rsidR="00D541AA">
        <w:t>denominado</w:t>
      </w:r>
      <w:r w:rsidRPr="00ED657B">
        <w:t xml:space="preserve"> justicia </w:t>
      </w:r>
      <w:r w:rsidR="00D541AA">
        <w:t>foránea</w:t>
      </w:r>
      <w:r w:rsidRPr="00ED657B">
        <w:t xml:space="preserve">. Los órganos jurisdiccionales </w:t>
      </w:r>
      <w:r w:rsidR="00D541AA">
        <w:t>se</w:t>
      </w:r>
      <w:r w:rsidRPr="00ED657B">
        <w:t xml:space="preserve"> desplaza</w:t>
      </w:r>
      <w:r w:rsidR="00D541AA">
        <w:t>n</w:t>
      </w:r>
      <w:r w:rsidRPr="00ED657B">
        <w:t xml:space="preserve"> a las regiones para conocer de los casos </w:t>
      </w:r>
      <w:r w:rsidR="00B05AFE">
        <w:t>agrupados</w:t>
      </w:r>
      <w:r w:rsidRPr="00ED657B">
        <w:t xml:space="preserve"> por una secretaría judicial </w:t>
      </w:r>
      <w:r w:rsidRPr="00ED657B">
        <w:rPr>
          <w:i/>
          <w:iCs/>
        </w:rPr>
        <w:t>in</w:t>
      </w:r>
      <w:r w:rsidR="00280A2B">
        <w:rPr>
          <w:i/>
          <w:iCs/>
        </w:rPr>
        <w:t> </w:t>
      </w:r>
      <w:r w:rsidRPr="00ED657B">
        <w:rPr>
          <w:i/>
          <w:iCs/>
        </w:rPr>
        <w:t>situ</w:t>
      </w:r>
      <w:r w:rsidRPr="00ED657B">
        <w:t xml:space="preserve"> creada a tal efecto. Se trata, evidentemente, de una solución provisional a la espera de la implantación de un tribunal en cada capital regional. </w:t>
      </w:r>
    </w:p>
    <w:p w:rsidR="00ED657B" w:rsidRPr="00ED657B" w:rsidRDefault="00ED657B" w:rsidP="00B05AFE">
      <w:pPr>
        <w:pStyle w:val="SingleTxtG"/>
      </w:pPr>
      <w:r w:rsidRPr="00ED657B">
        <w:t>121.</w:t>
      </w:r>
      <w:r w:rsidRPr="00ED657B">
        <w:tab/>
      </w:r>
      <w:r w:rsidR="00B05AFE">
        <w:t>E</w:t>
      </w:r>
      <w:r w:rsidRPr="00ED657B">
        <w:t xml:space="preserve">l acceso a la justicia, que es un derecho fundamental, </w:t>
      </w:r>
      <w:r w:rsidR="00B05AFE">
        <w:t xml:space="preserve">está naturalmente garantizado </w:t>
      </w:r>
      <w:r w:rsidRPr="00ED657B">
        <w:t xml:space="preserve">a las personas que residen en los campamentos de refugiados gracias </w:t>
      </w:r>
      <w:r w:rsidR="00B05AFE">
        <w:t>en particular</w:t>
      </w:r>
      <w:r w:rsidRPr="00ED657B">
        <w:t xml:space="preserve"> a este programa de justicia móvil.</w:t>
      </w:r>
    </w:p>
    <w:p w:rsidR="00ED657B" w:rsidRPr="00ED657B" w:rsidRDefault="00ED657B" w:rsidP="00B05AFE">
      <w:pPr>
        <w:pStyle w:val="SingleTxtG"/>
      </w:pPr>
      <w:r w:rsidRPr="00ED657B">
        <w:t>122.</w:t>
      </w:r>
      <w:r w:rsidRPr="00ED657B">
        <w:tab/>
        <w:t xml:space="preserve">En </w:t>
      </w:r>
      <w:r w:rsidR="00B05AFE">
        <w:t>lo relativo a</w:t>
      </w:r>
      <w:r w:rsidRPr="00ED657B">
        <w:t xml:space="preserve"> la reforma de la asistencia letrada, </w:t>
      </w:r>
      <w:r w:rsidR="00B05AFE" w:rsidRPr="00ED657B">
        <w:t>en 2011</w:t>
      </w:r>
      <w:r w:rsidR="00B05AFE">
        <w:t xml:space="preserve"> </w:t>
      </w:r>
      <w:r w:rsidRPr="00ED657B">
        <w:t xml:space="preserve">el Estado parte aprobó una ley por la que se derogó el decreto sobre la asistencia jurídica que databa </w:t>
      </w:r>
      <w:r w:rsidR="00B05AFE">
        <w:t>de los años</w:t>
      </w:r>
      <w:r w:rsidR="001B1431">
        <w:t> </w:t>
      </w:r>
      <w:r w:rsidR="00B05AFE">
        <w:t>30,</w:t>
      </w:r>
      <w:r w:rsidRPr="00ED657B">
        <w:t xml:space="preserve"> que </w:t>
      </w:r>
      <w:r w:rsidR="00B05AFE">
        <w:t xml:space="preserve">en consecuencia </w:t>
      </w:r>
      <w:r w:rsidRPr="00ED657B">
        <w:t xml:space="preserve">dejó de ser aplicable. La reforma instituyó una asistencia letrada que permite a las personas sin recursos </w:t>
      </w:r>
      <w:r w:rsidR="00B05AFE">
        <w:t>“</w:t>
      </w:r>
      <w:r w:rsidRPr="00ED657B">
        <w:t xml:space="preserve">hacer valer sus derechos ante un juez, mediante un procedimiento no contencioso o contencioso, en calidad de demandante o demandado </w:t>
      </w:r>
      <w:r w:rsidR="00B05AFE">
        <w:t xml:space="preserve">y </w:t>
      </w:r>
      <w:r w:rsidRPr="00ED657B">
        <w:t>ante todos los órganos jurisdiccionales</w:t>
      </w:r>
      <w:r w:rsidR="00B05AFE">
        <w:t>”</w:t>
      </w:r>
      <w:r w:rsidRPr="00ED657B">
        <w:t>.</w:t>
      </w:r>
    </w:p>
    <w:p w:rsidR="00ED657B" w:rsidRPr="00ED657B" w:rsidRDefault="00ED657B" w:rsidP="00B05AFE">
      <w:pPr>
        <w:pStyle w:val="SingleTxtG"/>
      </w:pPr>
      <w:r w:rsidRPr="00ED657B">
        <w:t>123.</w:t>
      </w:r>
      <w:r w:rsidRPr="00ED657B">
        <w:tab/>
        <w:t>De conformidad con la Constitución, la asistencia letrada puede solicitarse antes de la instancia o durante su desarrollo.</w:t>
      </w:r>
    </w:p>
    <w:p w:rsidR="00ED657B" w:rsidRPr="00ED657B" w:rsidRDefault="00ED657B" w:rsidP="00B05AFE">
      <w:pPr>
        <w:pStyle w:val="SingleTxtG"/>
      </w:pPr>
      <w:r w:rsidRPr="00ED657B">
        <w:t>124.</w:t>
      </w:r>
      <w:r w:rsidRPr="00ED657B">
        <w:tab/>
        <w:t xml:space="preserve">Esta reforma </w:t>
      </w:r>
      <w:r w:rsidR="00B05AFE">
        <w:t>ha</w:t>
      </w:r>
      <w:r w:rsidRPr="00ED657B">
        <w:t xml:space="preserve"> reforzad</w:t>
      </w:r>
      <w:r w:rsidR="00B05AFE">
        <w:t>o</w:t>
      </w:r>
      <w:r w:rsidRPr="00ED657B">
        <w:t xml:space="preserve"> otra importante medida en materia de derechos de la defensa. En los últimos diez años el Estado parte ha facilitado el acceso a la abogacía al otorgar un elevado número de habilitaciones.</w:t>
      </w:r>
    </w:p>
    <w:p w:rsidR="00ED657B" w:rsidRPr="00ED657B" w:rsidRDefault="00ED657B" w:rsidP="00B05AFE">
      <w:pPr>
        <w:pStyle w:val="SingleTxtG"/>
      </w:pPr>
      <w:r w:rsidRPr="00ED657B">
        <w:t>125.</w:t>
      </w:r>
      <w:r w:rsidRPr="00ED657B">
        <w:tab/>
        <w:t xml:space="preserve">El número de </w:t>
      </w:r>
      <w:r w:rsidR="00B05AFE">
        <w:t>bufetes</w:t>
      </w:r>
      <w:r w:rsidRPr="00ED657B">
        <w:t xml:space="preserve"> de abogado se ha triplicado</w:t>
      </w:r>
      <w:r w:rsidR="00B05AFE">
        <w:t>,</w:t>
      </w:r>
      <w:r w:rsidRPr="00ED657B">
        <w:t xml:space="preserve"> </w:t>
      </w:r>
      <w:r w:rsidR="00B05AFE">
        <w:t>pasando</w:t>
      </w:r>
      <w:r w:rsidRPr="00ED657B">
        <w:t xml:space="preserve"> de 10 en 2006 a los 30</w:t>
      </w:r>
      <w:r w:rsidR="00B05AFE">
        <w:t> </w:t>
      </w:r>
      <w:r w:rsidRPr="00ED657B">
        <w:t>existentes actualmente.</w:t>
      </w:r>
    </w:p>
    <w:p w:rsidR="00ED657B" w:rsidRPr="00ED657B" w:rsidRDefault="00ED657B" w:rsidP="00B05AFE">
      <w:pPr>
        <w:pStyle w:val="SingleTxtG"/>
      </w:pPr>
      <w:r w:rsidRPr="00ED657B">
        <w:t>126.</w:t>
      </w:r>
      <w:r w:rsidRPr="00ED657B">
        <w:tab/>
        <w:t xml:space="preserve">La combinación de esas dos medidas ha permitido que los justiciables, incluidos los </w:t>
      </w:r>
      <w:r w:rsidR="00B05AFE">
        <w:t xml:space="preserve">que disponen </w:t>
      </w:r>
      <w:r w:rsidRPr="00ED657B">
        <w:t xml:space="preserve">de menores recursos, puedan </w:t>
      </w:r>
      <w:r w:rsidR="00B05AFE">
        <w:t>beneficiarse</w:t>
      </w:r>
      <w:r w:rsidRPr="00ED657B">
        <w:t xml:space="preserve"> de los servicios de un abogado. El derecho a un abogado, que está garantizado por la Constitución, era hasta </w:t>
      </w:r>
      <w:r w:rsidR="00B05AFE">
        <w:t>hace poco</w:t>
      </w:r>
      <w:r w:rsidRPr="00ED657B">
        <w:t xml:space="preserve"> un lujo que la mayoría de las personas que vivían en el país no podían permitirse.</w:t>
      </w:r>
    </w:p>
    <w:p w:rsidR="00ED657B" w:rsidRPr="00ED657B" w:rsidRDefault="00ED657B" w:rsidP="00B05AFE">
      <w:pPr>
        <w:pStyle w:val="SingleTxtG"/>
      </w:pPr>
      <w:r w:rsidRPr="00ED657B">
        <w:lastRenderedPageBreak/>
        <w:t>127.</w:t>
      </w:r>
      <w:r w:rsidRPr="00ED657B">
        <w:tab/>
      </w:r>
      <w:r w:rsidR="00B05AFE">
        <w:t xml:space="preserve">Por último, </w:t>
      </w:r>
      <w:r w:rsidR="00B05AFE" w:rsidRPr="00ED657B">
        <w:t>c</w:t>
      </w:r>
      <w:r w:rsidRPr="00ED657B">
        <w:t xml:space="preserve">on la </w:t>
      </w:r>
      <w:r w:rsidR="00280A2B" w:rsidRPr="00ED657B">
        <w:t xml:space="preserve">ley </w:t>
      </w:r>
      <w:r w:rsidRPr="00ED657B">
        <w:t xml:space="preserve">de 2012 el Estado parte creó </w:t>
      </w:r>
      <w:r w:rsidR="00B05AFE" w:rsidRPr="00ED657B">
        <w:t xml:space="preserve">un servicio de atención, información y orientación </w:t>
      </w:r>
      <w:r w:rsidRPr="00ED657B">
        <w:t xml:space="preserve">en el Ministerio de Justicia, que se encarga de los derechos humanos. Este servicio atiende a las personas que desean recibir información y las </w:t>
      </w:r>
      <w:r w:rsidR="00B05AFE">
        <w:t>remite a</w:t>
      </w:r>
      <w:r w:rsidRPr="00ED657B">
        <w:t xml:space="preserve"> los servicios competentes. Su labor, en suma, consiste fundamentalmente en informar a los justiciables sobre sus derechos en general, explicar</w:t>
      </w:r>
      <w:r w:rsidR="00B05AFE">
        <w:t>les</w:t>
      </w:r>
      <w:r w:rsidRPr="00ED657B">
        <w:t xml:space="preserve"> los trámites y acciones judiciales</w:t>
      </w:r>
      <w:r w:rsidR="00B05AFE">
        <w:t>,</w:t>
      </w:r>
      <w:r w:rsidRPr="00ED657B">
        <w:t xml:space="preserve"> </w:t>
      </w:r>
      <w:r w:rsidR="00B05AFE">
        <w:t>remitirlos a</w:t>
      </w:r>
      <w:r w:rsidRPr="00ED657B">
        <w:t xml:space="preserve"> los servicios competentes e informarles de los posibles recursos.</w:t>
      </w:r>
    </w:p>
    <w:p w:rsidR="00ED657B" w:rsidRPr="00ED657B" w:rsidRDefault="00ED657B" w:rsidP="00B05AFE">
      <w:pPr>
        <w:pStyle w:val="SingleTxtG"/>
        <w:rPr>
          <w:bCs/>
        </w:rPr>
      </w:pPr>
      <w:r w:rsidRPr="00ED657B">
        <w:t>128.</w:t>
      </w:r>
      <w:r w:rsidRPr="00ED657B">
        <w:tab/>
        <w:t xml:space="preserve">Además de este marco jurisdiccional, el Estado parte ha creado un conjunto de </w:t>
      </w:r>
      <w:r w:rsidR="00B05AFE">
        <w:t>autoridades</w:t>
      </w:r>
      <w:r w:rsidRPr="00ED657B">
        <w:t xml:space="preserve"> administrativ</w:t>
      </w:r>
      <w:r w:rsidR="00B05AFE">
        <w:t>a</w:t>
      </w:r>
      <w:r w:rsidRPr="00ED657B">
        <w:t>s independientes encargad</w:t>
      </w:r>
      <w:r w:rsidR="00B05AFE">
        <w:t>a</w:t>
      </w:r>
      <w:r w:rsidRPr="00ED657B">
        <w:t xml:space="preserve">s de la promoción y la protección de los derechos humanos. Estos mecanismos son </w:t>
      </w:r>
      <w:r w:rsidR="00B05AFE">
        <w:t>en particular</w:t>
      </w:r>
      <w:r w:rsidRPr="00ED657B">
        <w:t xml:space="preserve"> el Consejo Constitucional, el Defensor del Pueblo y la Comisión Nacional de Derechos Humanos.</w:t>
      </w:r>
    </w:p>
    <w:p w:rsidR="00ED657B" w:rsidRPr="00ED657B" w:rsidRDefault="00B05AFE" w:rsidP="00B05AFE">
      <w:pPr>
        <w:pStyle w:val="H1G"/>
      </w:pPr>
      <w:r>
        <w:tab/>
      </w:r>
      <w:r w:rsidR="00ED657B" w:rsidRPr="00ED657B">
        <w:tab/>
        <w:t>El Consejo Constitucional</w:t>
      </w:r>
    </w:p>
    <w:p w:rsidR="00ED657B" w:rsidRPr="00ED657B" w:rsidRDefault="00ED657B" w:rsidP="00B05AFE">
      <w:pPr>
        <w:pStyle w:val="SingleTxtG"/>
      </w:pPr>
      <w:r w:rsidRPr="00ED657B">
        <w:t>129.</w:t>
      </w:r>
      <w:r w:rsidRPr="00ED657B">
        <w:tab/>
        <w:t xml:space="preserve">El Consejo Constitucional, creado </w:t>
      </w:r>
      <w:r w:rsidR="00B05AFE">
        <w:t>en virtud de</w:t>
      </w:r>
      <w:r w:rsidRPr="00ED657B">
        <w:t xml:space="preserve"> la Constitución de septiembre de 1992, está regulado también por una ley orgánica de fecha 7 de abril de 1993, que establece su reglamento de organización y funcionamiento. Su misión es velar por el respeto de los principios constitucionales. Como se ha destacado en repetidas ocasiones, entre estos principios figura </w:t>
      </w:r>
      <w:r w:rsidR="00B05AFE">
        <w:t>el</w:t>
      </w:r>
      <w:r w:rsidRPr="00ED657B">
        <w:t xml:space="preserve"> de igualdad y no discriminación, que </w:t>
      </w:r>
      <w:r w:rsidR="00B05AFE">
        <w:t>es</w:t>
      </w:r>
      <w:r w:rsidRPr="00ED657B">
        <w:t xml:space="preserve"> objeto de la presente Convención.</w:t>
      </w:r>
    </w:p>
    <w:p w:rsidR="00ED657B" w:rsidRPr="00ED657B" w:rsidRDefault="00ED657B" w:rsidP="00B05AFE">
      <w:pPr>
        <w:pStyle w:val="SingleTxtG"/>
      </w:pPr>
      <w:r w:rsidRPr="00ED657B">
        <w:t>130.</w:t>
      </w:r>
      <w:r w:rsidRPr="00ED657B">
        <w:tab/>
        <w:t xml:space="preserve">El Consejo Constitucional está facultado para garantizar la protección de los derechos humanos, por una parte, </w:t>
      </w:r>
      <w:r w:rsidR="00B05AFE">
        <w:t>cuando se aprueben</w:t>
      </w:r>
      <w:r w:rsidRPr="00ED657B">
        <w:t xml:space="preserve"> las leyes </w:t>
      </w:r>
      <w:r w:rsidR="00B05AFE">
        <w:t>en</w:t>
      </w:r>
      <w:r w:rsidRPr="00ED657B">
        <w:t xml:space="preserve"> la Asamblea Nacional</w:t>
      </w:r>
      <w:r w:rsidR="00B05AFE">
        <w:t>,</w:t>
      </w:r>
      <w:r w:rsidRPr="00ED657B">
        <w:t xml:space="preserve"> y por </w:t>
      </w:r>
      <w:r w:rsidR="00B05AFE">
        <w:t xml:space="preserve">la </w:t>
      </w:r>
      <w:r w:rsidRPr="00ED657B">
        <w:t xml:space="preserve">otra </w:t>
      </w:r>
      <w:r w:rsidR="00B05AFE">
        <w:t>en el transcurso</w:t>
      </w:r>
      <w:r w:rsidRPr="00ED657B">
        <w:t xml:space="preserve"> de </w:t>
      </w:r>
      <w:r w:rsidR="00B05AFE">
        <w:t>una actuación</w:t>
      </w:r>
      <w:r w:rsidRPr="00ED657B">
        <w:t xml:space="preserve"> judicial.</w:t>
      </w:r>
    </w:p>
    <w:p w:rsidR="00ED657B" w:rsidRPr="00ED657B" w:rsidRDefault="00ED657B" w:rsidP="00B05AFE">
      <w:pPr>
        <w:pStyle w:val="SingleTxtG"/>
      </w:pPr>
      <w:r w:rsidRPr="00ED657B">
        <w:t>131.</w:t>
      </w:r>
      <w:r w:rsidRPr="00ED657B">
        <w:tab/>
        <w:t xml:space="preserve">En el primer caso, se recurre ante el Consejo Constitucional para que se pronuncie sobre la constitucionalidad de una ley en trámite de aprobación. Si la ley </w:t>
      </w:r>
      <w:r w:rsidR="00B05AFE">
        <w:t>se considera</w:t>
      </w:r>
      <w:r w:rsidRPr="00ED657B">
        <w:t xml:space="preserve"> inconstitucional</w:t>
      </w:r>
      <w:r w:rsidR="00B05AFE">
        <w:t>,</w:t>
      </w:r>
      <w:r w:rsidRPr="00ED657B">
        <w:t xml:space="preserve"> se declara su nulidad.</w:t>
      </w:r>
    </w:p>
    <w:p w:rsidR="00ED657B" w:rsidRPr="00ED657B" w:rsidRDefault="00ED657B" w:rsidP="00B05AFE">
      <w:pPr>
        <w:pStyle w:val="SingleTxtG"/>
      </w:pPr>
      <w:r w:rsidRPr="00ED657B">
        <w:t>132.</w:t>
      </w:r>
      <w:r w:rsidRPr="00ED657B">
        <w:tab/>
        <w:t xml:space="preserve">Pueden recurrir </w:t>
      </w:r>
      <w:r w:rsidR="00B05AFE">
        <w:t>a</w:t>
      </w:r>
      <w:r w:rsidRPr="00ED657B">
        <w:t>l Consejo el Presidente de la República, el Presidente de la Asamblea Nacional y diez diputados.</w:t>
      </w:r>
    </w:p>
    <w:p w:rsidR="00ED657B" w:rsidRPr="00ED657B" w:rsidRDefault="00ED657B" w:rsidP="00B05AFE">
      <w:pPr>
        <w:pStyle w:val="SingleTxtG"/>
      </w:pPr>
      <w:r w:rsidRPr="00ED657B">
        <w:t>133.</w:t>
      </w:r>
      <w:r w:rsidRPr="00ED657B">
        <w:tab/>
        <w:t xml:space="preserve">En el segundo caso, pueden recurrir todas las partes en un litigio que consideren que las disposiciones aplicables son contrarias a los principios fundamentales reconocidos y amparados por la Constitución. </w:t>
      </w:r>
    </w:p>
    <w:p w:rsidR="00ED657B" w:rsidRPr="00ED657B" w:rsidRDefault="00ED657B" w:rsidP="00B05AFE">
      <w:pPr>
        <w:pStyle w:val="SingleTxtG"/>
      </w:pPr>
      <w:r w:rsidRPr="00ED657B">
        <w:t>134.</w:t>
      </w:r>
      <w:r w:rsidRPr="00ED657B">
        <w:tab/>
        <w:t xml:space="preserve">Este derecho, más conocido </w:t>
      </w:r>
      <w:r w:rsidR="00B05AFE">
        <w:t>por el nombre</w:t>
      </w:r>
      <w:r w:rsidRPr="00ED657B">
        <w:t xml:space="preserve"> de excepción de inscontitucionalidad, entraña la suspensión del procedimiento hasta </w:t>
      </w:r>
      <w:r w:rsidR="00B05AFE">
        <w:t xml:space="preserve">que </w:t>
      </w:r>
      <w:r w:rsidRPr="00ED657B">
        <w:t>el Consejo Constitucional</w:t>
      </w:r>
      <w:r w:rsidR="00B05AFE">
        <w:t xml:space="preserve"> se pronuncie</w:t>
      </w:r>
      <w:r w:rsidRPr="00ED657B">
        <w:t>. Cuando la ley recurrida ante el Consejo se declara inconstitucional deja de ser aplicable.</w:t>
      </w:r>
    </w:p>
    <w:p w:rsidR="00ED657B" w:rsidRPr="00ED657B" w:rsidRDefault="00ED657B" w:rsidP="00B05AFE">
      <w:pPr>
        <w:pStyle w:val="SingleTxtG"/>
        <w:rPr>
          <w:bCs/>
        </w:rPr>
      </w:pPr>
      <w:r w:rsidRPr="00ED657B">
        <w:t>135.</w:t>
      </w:r>
      <w:r w:rsidRPr="00ED657B">
        <w:tab/>
        <w:t xml:space="preserve">Las resoluciones del Consejo Constitucional pasan en autoridad de cosa juzgada. No cabe ningún recurso contra ellas. </w:t>
      </w:r>
    </w:p>
    <w:p w:rsidR="00ED657B" w:rsidRPr="00ED657B" w:rsidRDefault="00B05AFE" w:rsidP="00B05AFE">
      <w:pPr>
        <w:pStyle w:val="H1G"/>
      </w:pPr>
      <w:r>
        <w:tab/>
      </w:r>
      <w:r w:rsidR="00ED657B" w:rsidRPr="00ED657B">
        <w:tab/>
      </w:r>
      <w:r>
        <w:t xml:space="preserve">El </w:t>
      </w:r>
      <w:r w:rsidR="00ED657B" w:rsidRPr="00ED657B">
        <w:t>Defensor del Pueblo</w:t>
      </w:r>
    </w:p>
    <w:p w:rsidR="00ED657B" w:rsidRPr="00ED657B" w:rsidRDefault="00ED657B" w:rsidP="00B05AFE">
      <w:pPr>
        <w:pStyle w:val="SingleTxtG"/>
      </w:pPr>
      <w:r w:rsidRPr="00ED657B">
        <w:t>136.</w:t>
      </w:r>
      <w:r w:rsidRPr="00ED657B">
        <w:tab/>
        <w:t xml:space="preserve">El Defensor del Pueblo es una institución ya </w:t>
      </w:r>
      <w:r w:rsidR="005D6165">
        <w:t>antigua</w:t>
      </w:r>
      <w:r w:rsidRPr="00ED657B">
        <w:t>, pues se creó por la Ley de 21</w:t>
      </w:r>
      <w:r w:rsidR="00280A2B">
        <w:t> </w:t>
      </w:r>
      <w:r w:rsidRPr="00ED657B">
        <w:t xml:space="preserve">de agosto de 1999. Se le otorgó el rango de institución constitucional a raíz de tras una reforma de la Constitución </w:t>
      </w:r>
      <w:r w:rsidR="005D6165">
        <w:t xml:space="preserve">efectuada </w:t>
      </w:r>
      <w:r w:rsidRPr="00ED657B">
        <w:t>en 2010.</w:t>
      </w:r>
    </w:p>
    <w:p w:rsidR="00ED657B" w:rsidRPr="00ED657B" w:rsidRDefault="00ED657B" w:rsidP="005D6165">
      <w:pPr>
        <w:pStyle w:val="SingleTxtG"/>
      </w:pPr>
      <w:r w:rsidRPr="00ED657B">
        <w:t>137.</w:t>
      </w:r>
      <w:r w:rsidRPr="00ED657B">
        <w:tab/>
        <w:t>El Defensor del Pueblo es nombrado por el Presidente de la República por un período de cinco años</w:t>
      </w:r>
      <w:r w:rsidR="005D6165">
        <w:t xml:space="preserve"> no renovable</w:t>
      </w:r>
      <w:r w:rsidRPr="00ED657B">
        <w:t>.</w:t>
      </w:r>
    </w:p>
    <w:p w:rsidR="00ED657B" w:rsidRPr="00ED657B" w:rsidRDefault="00ED657B" w:rsidP="005D6165">
      <w:pPr>
        <w:pStyle w:val="SingleTxtG"/>
      </w:pPr>
      <w:r w:rsidRPr="00ED657B">
        <w:t>138.</w:t>
      </w:r>
      <w:r w:rsidRPr="00ED657B">
        <w:tab/>
      </w:r>
      <w:r w:rsidR="005D6165">
        <w:t xml:space="preserve">El Defensor del Pueblo </w:t>
      </w:r>
      <w:r w:rsidR="005D6165" w:rsidRPr="00ED657B">
        <w:t>e</w:t>
      </w:r>
      <w:r w:rsidRPr="00ED657B">
        <w:t>s inamovible</w:t>
      </w:r>
      <w:r w:rsidR="005D6165">
        <w:t xml:space="preserve"> e</w:t>
      </w:r>
      <w:r w:rsidRPr="00ED657B">
        <w:t xml:space="preserve"> independiente</w:t>
      </w:r>
      <w:r w:rsidR="005D6165">
        <w:t>,</w:t>
      </w:r>
      <w:r w:rsidRPr="00ED657B">
        <w:t xml:space="preserve"> y no recibe instrucciones de nadie. Goza de inmunidad en el ejercicio de sus funciones. No puede ser perseguido, buscado, detenido, encarcelado o juzgado por las opiniones que exprese o los actos realizados en el ejercicio de sus funciones.</w:t>
      </w:r>
    </w:p>
    <w:p w:rsidR="00ED657B" w:rsidRPr="00ED657B" w:rsidRDefault="00ED657B" w:rsidP="005D6165">
      <w:pPr>
        <w:pStyle w:val="SingleTxtG"/>
      </w:pPr>
      <w:r w:rsidRPr="00ED657B">
        <w:lastRenderedPageBreak/>
        <w:t>139.</w:t>
      </w:r>
      <w:r w:rsidRPr="00ED657B">
        <w:tab/>
        <w:t xml:space="preserve">Su misión </w:t>
      </w:r>
      <w:r w:rsidR="005D6165">
        <w:t>viene</w:t>
      </w:r>
      <w:r w:rsidRPr="00ED657B">
        <w:t xml:space="preserve"> definida en el artículo 1 de la Ley, que dispone que </w:t>
      </w:r>
      <w:r w:rsidR="005D6165">
        <w:t>“</w:t>
      </w:r>
      <w:r w:rsidRPr="00ED657B">
        <w:t xml:space="preserve">el Defensor del Pueblo </w:t>
      </w:r>
      <w:r w:rsidR="005D6165">
        <w:t>admite a trámite</w:t>
      </w:r>
      <w:r w:rsidRPr="00ED657B">
        <w:t xml:space="preserve">, en las condiciones establecidas por la presente </w:t>
      </w:r>
      <w:r w:rsidR="00280A2B" w:rsidRPr="00ED657B">
        <w:t>Ley</w:t>
      </w:r>
      <w:r w:rsidRPr="00ED657B">
        <w:t xml:space="preserve">, las reclamaciones relativas al funcionamiento de las administraciones públicas, las instituciones descentralizadas, los entes públicos y cualquier otro organismo </w:t>
      </w:r>
      <w:r w:rsidR="005D6165">
        <w:t>al que se le haya confiado</w:t>
      </w:r>
      <w:r w:rsidRPr="00ED657B">
        <w:t xml:space="preserve"> la misión de servicio público</w:t>
      </w:r>
      <w:r w:rsidR="005D6165">
        <w:t>,</w:t>
      </w:r>
      <w:r w:rsidRPr="00ED657B">
        <w:t xml:space="preserve"> en sus relaciones con los administrados</w:t>
      </w:r>
      <w:r w:rsidR="005D6165">
        <w:t>”</w:t>
      </w:r>
      <w:r w:rsidRPr="00ED657B">
        <w:t>.</w:t>
      </w:r>
    </w:p>
    <w:p w:rsidR="00ED657B" w:rsidRPr="00ED657B" w:rsidRDefault="00ED657B" w:rsidP="005D6165">
      <w:pPr>
        <w:pStyle w:val="SingleTxtG"/>
      </w:pPr>
      <w:r w:rsidRPr="00ED657B">
        <w:t>140.</w:t>
      </w:r>
      <w:r w:rsidRPr="00ED657B">
        <w:tab/>
        <w:t xml:space="preserve">Con el tiempo el Defensor del Pueblo se ha </w:t>
      </w:r>
      <w:r w:rsidR="005D6165">
        <w:t>granjeado</w:t>
      </w:r>
      <w:r w:rsidRPr="00ED657B">
        <w:t xml:space="preserve"> la confianza de la población, que recurre cada vez más a </w:t>
      </w:r>
      <w:r w:rsidR="005D6165">
        <w:t>sus servicios</w:t>
      </w:r>
      <w:r w:rsidRPr="00ED657B">
        <w:t xml:space="preserve">. En el año transcurrido entre junio de 2013 y junio de 2014, el Defensor del Pueblo tramitó 237 casos. Estos datos no están lo suficientemente desglosados para determinar si una parte de </w:t>
      </w:r>
      <w:r w:rsidR="005D6165">
        <w:t>estos</w:t>
      </w:r>
      <w:r w:rsidRPr="00ED657B">
        <w:t xml:space="preserve"> casos guardan relación con situaciones de discriminación racial o étnica.</w:t>
      </w:r>
    </w:p>
    <w:p w:rsidR="00ED657B" w:rsidRPr="00ED657B" w:rsidRDefault="00ED657B" w:rsidP="005D6165">
      <w:pPr>
        <w:pStyle w:val="SingleTxtG"/>
      </w:pPr>
      <w:r w:rsidRPr="00ED657B">
        <w:t>141.</w:t>
      </w:r>
      <w:r w:rsidRPr="00ED657B">
        <w:tab/>
        <w:t xml:space="preserve">Cuando se recibe una queja o reclamación, el Defensor del Pueblo </w:t>
      </w:r>
      <w:r w:rsidR="005D6165">
        <w:t>la pone en conocimiento de</w:t>
      </w:r>
      <w:r w:rsidRPr="00ED657B">
        <w:t xml:space="preserve"> la administración cuestionada. </w:t>
      </w:r>
      <w:r w:rsidR="005D6165">
        <w:t xml:space="preserve">El Defensor </w:t>
      </w:r>
      <w:r w:rsidR="005D6165" w:rsidRPr="00ED657B">
        <w:t>p</w:t>
      </w:r>
      <w:r w:rsidRPr="00ED657B">
        <w:t xml:space="preserve">uede recomendar a esta última una solución que permita resolver con equidad la situación del autor de la queja, proponer a la autoridad competente todas las medidas que </w:t>
      </w:r>
      <w:r w:rsidR="005D6165">
        <w:t>a su juicio</w:t>
      </w:r>
      <w:r w:rsidRPr="00ED657B">
        <w:t xml:space="preserve"> pueda</w:t>
      </w:r>
      <w:r w:rsidR="005D6165">
        <w:t>n</w:t>
      </w:r>
      <w:r w:rsidRPr="00ED657B">
        <w:t xml:space="preserve"> reparar la situación </w:t>
      </w:r>
      <w:r w:rsidR="005D6165">
        <w:t>o</w:t>
      </w:r>
      <w:r w:rsidRPr="00ED657B">
        <w:t xml:space="preserve"> proponer las modificaciones de textos legislativos o reglament</w:t>
      </w:r>
      <w:r w:rsidR="005D6165">
        <w:t>arios</w:t>
      </w:r>
      <w:r w:rsidRPr="00ED657B">
        <w:t xml:space="preserve"> que considere oportunas.</w:t>
      </w:r>
    </w:p>
    <w:p w:rsidR="00ED657B" w:rsidRPr="00ED657B" w:rsidRDefault="00ED657B" w:rsidP="005D6165">
      <w:pPr>
        <w:pStyle w:val="SingleTxtG"/>
      </w:pPr>
      <w:r w:rsidRPr="00ED657B">
        <w:t>142.</w:t>
      </w:r>
      <w:r w:rsidRPr="00ED657B">
        <w:tab/>
        <w:t>Si sus recomendaciones no surten efecto</w:t>
      </w:r>
      <w:r w:rsidR="005D6165">
        <w:t>,</w:t>
      </w:r>
      <w:r w:rsidRPr="00ED657B">
        <w:t xml:space="preserve"> el Defensor del Pueblo las hace públicas.</w:t>
      </w:r>
    </w:p>
    <w:p w:rsidR="00ED657B" w:rsidRPr="00ED657B" w:rsidRDefault="00ED657B" w:rsidP="005D6165">
      <w:pPr>
        <w:pStyle w:val="SingleTxtG"/>
      </w:pPr>
      <w:r w:rsidRPr="00ED657B">
        <w:t>143.</w:t>
      </w:r>
      <w:r w:rsidRPr="00ED657B">
        <w:tab/>
        <w:t xml:space="preserve">Todas esas reclamaciones </w:t>
      </w:r>
      <w:r w:rsidR="005D6165">
        <w:t>son objeto de</w:t>
      </w:r>
      <w:r w:rsidRPr="00ED657B">
        <w:t xml:space="preserve"> un informe anual que se </w:t>
      </w:r>
      <w:r w:rsidR="005D6165">
        <w:t>presenta</w:t>
      </w:r>
      <w:r w:rsidRPr="00ED657B">
        <w:t xml:space="preserve"> al Presidente de la República. El informe anual se hace público.</w:t>
      </w:r>
    </w:p>
    <w:p w:rsidR="00ED657B" w:rsidRPr="00ED657B" w:rsidRDefault="005D6165" w:rsidP="005D6165">
      <w:pPr>
        <w:pStyle w:val="H1G"/>
      </w:pPr>
      <w:r>
        <w:tab/>
      </w:r>
      <w:r w:rsidR="00ED657B" w:rsidRPr="00ED657B">
        <w:tab/>
        <w:t>La Comisión Nacional de Derechos Humanos (CNDH)</w:t>
      </w:r>
    </w:p>
    <w:p w:rsidR="00ED657B" w:rsidRPr="00ED657B" w:rsidRDefault="00ED657B" w:rsidP="005D6165">
      <w:pPr>
        <w:pStyle w:val="SingleTxtG"/>
      </w:pPr>
      <w:r w:rsidRPr="00ED657B">
        <w:t>144.</w:t>
      </w:r>
      <w:r w:rsidRPr="00ED657B">
        <w:tab/>
        <w:t xml:space="preserve">La CNDH es un organismo reciente en comparación con otras dos autoridades administrativas independientes que se tratan más abajo. La Comisión se </w:t>
      </w:r>
      <w:r w:rsidR="001B1431" w:rsidRPr="00ED657B">
        <w:t>creó</w:t>
      </w:r>
      <w:r w:rsidRPr="00ED657B">
        <w:t xml:space="preserve"> en 2008 y se reformó en 2014. El objetivo principal de la reforma, que </w:t>
      </w:r>
      <w:r w:rsidR="005D6165">
        <w:t>se hizo en</w:t>
      </w:r>
      <w:r w:rsidRPr="00ED657B">
        <w:t xml:space="preserve"> respuesta a las recomendaciones del Consejo de Derechos Humanos y los órganos de tratados, fue adecuar la Comisión Nacional de Derechos Humanos a </w:t>
      </w:r>
      <w:r w:rsidR="005D6165">
        <w:t>las normas internacionales (Principios de París) por las que se rigen las</w:t>
      </w:r>
      <w:r w:rsidRPr="00ED657B">
        <w:t xml:space="preserve"> instituciones nacionales de derechos humanos.</w:t>
      </w:r>
    </w:p>
    <w:p w:rsidR="00ED657B" w:rsidRPr="00ED657B" w:rsidRDefault="00ED657B" w:rsidP="005D6165">
      <w:pPr>
        <w:pStyle w:val="SingleTxtG"/>
      </w:pPr>
      <w:r w:rsidRPr="00ED657B">
        <w:t>145.</w:t>
      </w:r>
      <w:r w:rsidRPr="00ED657B">
        <w:tab/>
        <w:t>La CNDH</w:t>
      </w:r>
      <w:r w:rsidR="005D6165">
        <w:t xml:space="preserve"> </w:t>
      </w:r>
      <w:r w:rsidRPr="00ED657B">
        <w:t xml:space="preserve">desempeña un papel fundamental en la promoción y protección de los derechos humanos. </w:t>
      </w:r>
      <w:r w:rsidR="005D6165">
        <w:t xml:space="preserve">La Comisión </w:t>
      </w:r>
      <w:r w:rsidR="005D6165" w:rsidRPr="00ED657B">
        <w:t>c</w:t>
      </w:r>
      <w:r w:rsidRPr="00ED657B">
        <w:t>olabora con los poderes públicos, la sociedad civil y la población. Las modalidades de colaboración se definen en la Ley de 2014, en particular en sus artículos 7 y 11, que hemos juzgado oportuno reproducir íntegramente</w:t>
      </w:r>
      <w:r w:rsidR="00280A2B">
        <w:t>:</w:t>
      </w:r>
    </w:p>
    <w:p w:rsidR="00ED657B" w:rsidRPr="00ED657B" w:rsidRDefault="005D6165" w:rsidP="00280A2B">
      <w:pPr>
        <w:pStyle w:val="SingleTxtG"/>
        <w:ind w:left="1701"/>
      </w:pPr>
      <w:r>
        <w:t>“</w:t>
      </w:r>
      <w:r w:rsidR="00ED657B" w:rsidRPr="00ED657B">
        <w:t xml:space="preserve">Artículo 7. La Comisión también podrá señalar a la atención de los poderes públicos las medidas que </w:t>
      </w:r>
      <w:r>
        <w:t>considere</w:t>
      </w:r>
      <w:r w:rsidR="00ED657B" w:rsidRPr="00ED657B">
        <w:t xml:space="preserve"> pued</w:t>
      </w:r>
      <w:r>
        <w:t>e</w:t>
      </w:r>
      <w:r w:rsidR="00ED657B" w:rsidRPr="00ED657B">
        <w:t xml:space="preserve">n favorecer la protección y la promoción de los derechos humanos, en particular en lo relativo a la ratificación de los instrumentos internacionales de derechos humanos o la adhesión a esos textos, así como a su aplicación </w:t>
      </w:r>
      <w:r>
        <w:t>en el plano</w:t>
      </w:r>
      <w:r w:rsidR="00ED657B" w:rsidRPr="00ED657B">
        <w:t xml:space="preserve"> nacional, y, en su caso, la adecuación y armonización de la legislación, los reglamentos y las prácticas nacionales con los instrumentos internacionales de derechos humanos en los que la República de Djibouti es parte</w:t>
      </w:r>
      <w:r>
        <w:t>,</w:t>
      </w:r>
      <w:r w:rsidR="00ED657B" w:rsidRPr="00ED657B">
        <w:t xml:space="preserve"> y su aplicación efectiva</w:t>
      </w:r>
      <w:r w:rsidR="00280A2B">
        <w:t>.</w:t>
      </w:r>
    </w:p>
    <w:p w:rsidR="00ED657B" w:rsidRPr="00ED657B" w:rsidRDefault="00ED657B" w:rsidP="00280A2B">
      <w:pPr>
        <w:pStyle w:val="SingleTxtG"/>
        <w:ind w:left="1701"/>
      </w:pPr>
      <w:r w:rsidRPr="00ED657B">
        <w:t>La difusión de las normas jurídicas relativas a los derechos humanos y la lucha contra todas las formas de discriminación, racismo y xenofobia, principalmente mediante la sensibilización y la información de la opinión pública.</w:t>
      </w:r>
    </w:p>
    <w:p w:rsidR="00ED657B" w:rsidRPr="00ED657B" w:rsidRDefault="00ED657B" w:rsidP="00280A2B">
      <w:pPr>
        <w:pStyle w:val="SingleTxtG"/>
        <w:ind w:left="1701"/>
      </w:pPr>
      <w:r w:rsidRPr="00ED657B">
        <w:t xml:space="preserve">Artículo 11. La Comisión podrá admitir a trámite denuncias e investigaciones relativas a casos de vulneración de derechos humanos; efectuar visitas periódicas, con o sin previo aviso, a todos los lugares de reclusión y formular recomendaciones a las autoridades competentes a fin de mejorar el trato y la situación de las personas privadas de libertad; prevenir la tortura y otras penas o tratos crueles, inhumanos o </w:t>
      </w:r>
      <w:r w:rsidRPr="00ED657B">
        <w:lastRenderedPageBreak/>
        <w:t>degradantes, de conformidad con las normas internacionales, regionales o nacionales pertinentes; luchar contra las violaciones y la violencia de género; poner en conocimiento del ministerio público los casos de vulneraciones de derechos humanos</w:t>
      </w:r>
      <w:r w:rsidR="005D6165">
        <w:t>, y</w:t>
      </w:r>
      <w:r w:rsidRPr="00ED657B">
        <w:t xml:space="preserve"> prestar o facilitar asistencia letrada a las víctimas de violaciones de derechos humanos, especialmente a las mujeres, niños y otras personas vulnerables.</w:t>
      </w:r>
      <w:r w:rsidR="005D6165">
        <w:t>”</w:t>
      </w:r>
    </w:p>
    <w:p w:rsidR="00ED657B" w:rsidRPr="00ED657B" w:rsidRDefault="005D6165" w:rsidP="005D6165">
      <w:pPr>
        <w:pStyle w:val="H1G"/>
      </w:pPr>
      <w:r>
        <w:tab/>
      </w:r>
      <w:r>
        <w:tab/>
        <w:t xml:space="preserve">La </w:t>
      </w:r>
      <w:r w:rsidR="00280A2B" w:rsidRPr="00ED657B">
        <w:t xml:space="preserve">sociedad </w:t>
      </w:r>
      <w:r w:rsidR="00ED657B" w:rsidRPr="00ED657B">
        <w:t>civil</w:t>
      </w:r>
    </w:p>
    <w:p w:rsidR="00ED657B" w:rsidRPr="00ED657B" w:rsidRDefault="00ED657B" w:rsidP="005D6165">
      <w:pPr>
        <w:pStyle w:val="SingleTxtG"/>
        <w:rPr>
          <w:b/>
          <w:u w:val="single"/>
        </w:rPr>
      </w:pPr>
      <w:r w:rsidRPr="00ED657B">
        <w:t>146.</w:t>
      </w:r>
      <w:r w:rsidRPr="00ED657B">
        <w:tab/>
        <w:t>E</w:t>
      </w:r>
      <w:r w:rsidR="002B799C">
        <w:t>n e</w:t>
      </w:r>
      <w:r w:rsidRPr="00ED657B">
        <w:t xml:space="preserve">l Estado parte </w:t>
      </w:r>
      <w:r w:rsidR="002B799C">
        <w:t>hay</w:t>
      </w:r>
      <w:r w:rsidRPr="00ED657B">
        <w:t xml:space="preserve"> una sociedad civil implicada en la promoción y la protección de los derechos humanos. </w:t>
      </w:r>
      <w:r w:rsidR="002B799C">
        <w:t>Esta</w:t>
      </w:r>
      <w:r w:rsidRPr="00ED657B">
        <w:t xml:space="preserve"> sociedad civil está </w:t>
      </w:r>
      <w:r w:rsidR="002B799C">
        <w:t>muy</w:t>
      </w:r>
      <w:r w:rsidRPr="00ED657B">
        <w:t xml:space="preserve"> preparada gracias a los distintos fortalecimientos de las capacidades articulados conjuntamente por el Estado parte y los asociados técnicos y financieros. Una serie de actividades dirigidas a la sociedad civil se centraron en los temas abarcados por el presente Convenio. Al respecto, cabe mencionar dos talleres que tuvieron lugar en noviembre y diciembre de 2015. El primero se centró en la Convención Internacional sobre la Eliminación de todas las Formas de Discriminación Racial y el segundo en la protección de los derechos en las políticas de lucha contra el terrorismo. </w:t>
      </w:r>
    </w:p>
    <w:p w:rsidR="00ED657B" w:rsidRPr="00ED657B" w:rsidRDefault="00ED657B" w:rsidP="002B799C">
      <w:pPr>
        <w:pStyle w:val="HChG"/>
      </w:pPr>
      <w:r w:rsidRPr="00ED657B">
        <w:tab/>
        <w:t>VI.</w:t>
      </w:r>
      <w:r w:rsidRPr="00ED657B">
        <w:tab/>
        <w:t>Artículo 7</w:t>
      </w:r>
    </w:p>
    <w:p w:rsidR="00ED657B" w:rsidRPr="00ED657B" w:rsidRDefault="00ED657B" w:rsidP="002B799C">
      <w:pPr>
        <w:pStyle w:val="SingleTxtG"/>
      </w:pPr>
      <w:r w:rsidRPr="00ED657B">
        <w:t>147.</w:t>
      </w:r>
      <w:r w:rsidRPr="00ED657B">
        <w:tab/>
        <w:t>El preámbulo de la Constitución de 1992 se hace eco de los principios de la Declaración Universal de Derechos Humanos, la Declaración de las Naciones Unidas sobre la Eliminación de Todas las Formas de Discriminación Racial y la Convención Internacional sobre la Eliminación de todas las Formas de Discriminación Racial.</w:t>
      </w:r>
    </w:p>
    <w:p w:rsidR="00ED657B" w:rsidRPr="00ED657B" w:rsidRDefault="00ED657B" w:rsidP="002B799C">
      <w:pPr>
        <w:pStyle w:val="SingleTxtG"/>
      </w:pPr>
      <w:r w:rsidRPr="00ED657B">
        <w:t>148.</w:t>
      </w:r>
      <w:r w:rsidRPr="00ED657B">
        <w:tab/>
        <w:t xml:space="preserve">Es en este sentido como cabe </w:t>
      </w:r>
      <w:r w:rsidR="002B799C">
        <w:t>entender</w:t>
      </w:r>
      <w:r w:rsidRPr="00ED657B">
        <w:t xml:space="preserve"> el </w:t>
      </w:r>
      <w:r w:rsidR="002B799C">
        <w:t xml:space="preserve">siguiente </w:t>
      </w:r>
      <w:r w:rsidRPr="00ED657B">
        <w:t xml:space="preserve">texto del </w:t>
      </w:r>
      <w:r w:rsidR="0067076B" w:rsidRPr="00ED657B">
        <w:t>preámbulo</w:t>
      </w:r>
      <w:r w:rsidRPr="00ED657B">
        <w:t xml:space="preserve">: </w:t>
      </w:r>
      <w:r w:rsidR="002B799C">
        <w:t>“</w:t>
      </w:r>
      <w:r w:rsidRPr="00ED657B">
        <w:t xml:space="preserve">El pueblo de Djibouti proclama solemnemente su adhesión a los principios de la democracia y los derechos humanos tal como se definen en la Declaración Universal de Derechos Humanos y la Carta Africana de Derechos Humanos y de los Pueblos, cuyas disposiciones son parte integrante de la presente Constitución. </w:t>
      </w:r>
      <w:r w:rsidR="002B799C">
        <w:t xml:space="preserve">El pueblo de Djibouti </w:t>
      </w:r>
      <w:r w:rsidR="002B799C" w:rsidRPr="00ED657B">
        <w:t>a</w:t>
      </w:r>
      <w:r w:rsidRPr="00ED657B">
        <w:t>firma su determinación de establecer un Estado de derecho y una democracia pluralista que garantice la plena realización de las libertades y los derechos individuales y colectivos, así como el desarrollo armonioso de la comunidad nacional. Afirma su voluntad de cooperar en paz y amistad con todos los pueblos que comparten sus ideales de libertad, justicia y solidaridad</w:t>
      </w:r>
      <w:r w:rsidR="002B799C">
        <w:t>,</w:t>
      </w:r>
      <w:r w:rsidRPr="00ED657B">
        <w:t xml:space="preserve"> sobre la base del respeto </w:t>
      </w:r>
      <w:r w:rsidR="002B799C">
        <w:t xml:space="preserve">mutuo </w:t>
      </w:r>
      <w:r w:rsidRPr="00ED657B">
        <w:t>de la soberanía nacional y la integridad territorial</w:t>
      </w:r>
      <w:r w:rsidR="002B799C">
        <w:t>”</w:t>
      </w:r>
      <w:r w:rsidRPr="00ED657B">
        <w:t>.</w:t>
      </w:r>
    </w:p>
    <w:p w:rsidR="00ED657B" w:rsidRPr="00ED657B" w:rsidRDefault="00ED657B" w:rsidP="002B799C">
      <w:pPr>
        <w:pStyle w:val="SingleTxtG"/>
      </w:pPr>
      <w:r w:rsidRPr="00ED657B">
        <w:t>149.</w:t>
      </w:r>
      <w:r w:rsidRPr="00ED657B">
        <w:tab/>
        <w:t xml:space="preserve">Además, la lucha contra los prejuicios es una de las preocupaciones del Estado parte, que </w:t>
      </w:r>
      <w:r w:rsidR="002B799C">
        <w:t>procura</w:t>
      </w:r>
      <w:r w:rsidRPr="00ED657B">
        <w:t xml:space="preserve"> favorecer la comprensión, la tolerancia y la amistad entre las naciones y los grupos sociales o étnicos.</w:t>
      </w:r>
    </w:p>
    <w:p w:rsidR="00ED657B" w:rsidRPr="00ED657B" w:rsidRDefault="00ED657B" w:rsidP="002B799C">
      <w:pPr>
        <w:pStyle w:val="SingleTxtG"/>
      </w:pPr>
      <w:r w:rsidRPr="00ED657B">
        <w:t>150.</w:t>
      </w:r>
      <w:r w:rsidRPr="00ED657B">
        <w:tab/>
        <w:t>A tal efecto, la República de Djibouti ha aplicado medidas en los ámbitos de la cultura, la educación y la formación.</w:t>
      </w:r>
    </w:p>
    <w:p w:rsidR="00ED657B" w:rsidRPr="00ED657B" w:rsidRDefault="00ED657B" w:rsidP="002B799C">
      <w:pPr>
        <w:pStyle w:val="SingleTxtG"/>
      </w:pPr>
      <w:r w:rsidRPr="00ED657B">
        <w:t>151.</w:t>
      </w:r>
      <w:r w:rsidRPr="00ED657B">
        <w:tab/>
        <w:t xml:space="preserve">En el ámbito de la cultura, se ha </w:t>
      </w:r>
      <w:r w:rsidR="002B799C">
        <w:t>dado prioridad a las siguientes actividades:</w:t>
      </w:r>
      <w:r w:rsidRPr="00ED657B">
        <w:t xml:space="preserve"> organización de cursos de bailes tradicionales en centros de desarrollo comunitario (CDC) y clubes de las escuelas de enseñanza primaria y secundaria; organización periódica del Fest Horn, en el que participan grupos musicales y culturales nacionales, subregionales y regionales; producción de espectáculos por grupos culturales de distintos orígenes en ceremonias oficiales; apertura del Instituto de las Artes de Djibouti para desarrollar y valorizar las aptitudes artísticas de los jóvenes en el plano nacional; creación de dos entidades </w:t>
      </w:r>
      <w:r w:rsidR="002B799C">
        <w:t xml:space="preserve">—Somali Pen y Afar Pen— </w:t>
      </w:r>
      <w:r w:rsidRPr="00ED657B">
        <w:t xml:space="preserve">encargadas de la promoción de los idiomas maternos y la cultura nacional; </w:t>
      </w:r>
      <w:r w:rsidR="002B799C">
        <w:t>transmisión</w:t>
      </w:r>
      <w:r w:rsidRPr="00ED657B">
        <w:t xml:space="preserve"> de programas de radio para el aprendizaje de las lenguas nacionales, y organización de concursos para descubrir jóvenes talentos.</w:t>
      </w:r>
    </w:p>
    <w:p w:rsidR="00ED657B" w:rsidRPr="00ED657B" w:rsidRDefault="00ED657B" w:rsidP="002B799C">
      <w:pPr>
        <w:pStyle w:val="SingleTxtG"/>
      </w:pPr>
      <w:r w:rsidRPr="00ED657B">
        <w:lastRenderedPageBreak/>
        <w:t>152.</w:t>
      </w:r>
      <w:r w:rsidRPr="00ED657B">
        <w:tab/>
        <w:t xml:space="preserve">En </w:t>
      </w:r>
      <w:r w:rsidR="002B799C">
        <w:t>lo referente a la</w:t>
      </w:r>
      <w:r w:rsidRPr="00ED657B">
        <w:t xml:space="preserve"> educación, el artículo 4 de la Ley de Orientación del Sistema Educativo</w:t>
      </w:r>
      <w:r w:rsidR="002B799C">
        <w:t>,</w:t>
      </w:r>
      <w:r w:rsidRPr="00ED657B">
        <w:t xml:space="preserve"> aprobada en 2000 a raíz de </w:t>
      </w:r>
      <w:r w:rsidR="002B799C">
        <w:t>los Estados</w:t>
      </w:r>
      <w:r w:rsidRPr="00ED657B">
        <w:t xml:space="preserve"> General</w:t>
      </w:r>
      <w:r w:rsidR="002B799C">
        <w:t>es</w:t>
      </w:r>
      <w:r w:rsidRPr="00ED657B">
        <w:t xml:space="preserve"> de la Educación de 1999, dispone que la </w:t>
      </w:r>
      <w:r w:rsidR="002B799C">
        <w:t>“</w:t>
      </w:r>
      <w:r w:rsidRPr="00ED657B">
        <w:t xml:space="preserve">educación es un derecho que se reconoce a todos los nacionales de Djibouti </w:t>
      </w:r>
      <w:r w:rsidR="002B799C">
        <w:t xml:space="preserve">de ambos sexos </w:t>
      </w:r>
      <w:r w:rsidRPr="00ED657B">
        <w:t>sin distinción de edad, sexo</w:t>
      </w:r>
      <w:r w:rsidR="002B799C">
        <w:t xml:space="preserve"> u</w:t>
      </w:r>
      <w:r w:rsidRPr="00ED657B">
        <w:t xml:space="preserve"> origen social, étnico o religioso</w:t>
      </w:r>
      <w:r w:rsidR="002B799C">
        <w:t>”</w:t>
      </w:r>
      <w:r w:rsidRPr="00ED657B">
        <w:t>.</w:t>
      </w:r>
    </w:p>
    <w:p w:rsidR="00ED657B" w:rsidRPr="00ED657B" w:rsidRDefault="00ED657B" w:rsidP="002B799C">
      <w:pPr>
        <w:pStyle w:val="SingleTxtG"/>
      </w:pPr>
      <w:r w:rsidRPr="00ED657B">
        <w:t>153.</w:t>
      </w:r>
      <w:r w:rsidRPr="00ED657B">
        <w:tab/>
      </w:r>
      <w:r w:rsidR="002B799C" w:rsidRPr="00ED657B">
        <w:t>También d</w:t>
      </w:r>
      <w:r w:rsidRPr="00ED657B">
        <w:t xml:space="preserve">e conformidad con esta </w:t>
      </w:r>
      <w:r w:rsidR="002B799C" w:rsidRPr="00ED657B">
        <w:t>Ley</w:t>
      </w:r>
      <w:r w:rsidRPr="00ED657B">
        <w:t xml:space="preserve">, la enseñanza fundamental es obligatoria para los niños de edades comprendidas entre los </w:t>
      </w:r>
      <w:r w:rsidR="0067076B">
        <w:t>6</w:t>
      </w:r>
      <w:r w:rsidRPr="00ED657B">
        <w:t xml:space="preserve"> y los 16 años cumplidos (art. 14)</w:t>
      </w:r>
      <w:r w:rsidR="002B799C">
        <w:t>,</w:t>
      </w:r>
      <w:r w:rsidRPr="00ED657B">
        <w:t xml:space="preserve"> y gratuita (art. 16).</w:t>
      </w:r>
    </w:p>
    <w:p w:rsidR="00ED657B" w:rsidRPr="00ED657B" w:rsidRDefault="00ED657B" w:rsidP="002B799C">
      <w:pPr>
        <w:pStyle w:val="SingleTxtG"/>
      </w:pPr>
      <w:r w:rsidRPr="00ED657B">
        <w:t>154.</w:t>
      </w:r>
      <w:r w:rsidRPr="00ED657B">
        <w:tab/>
        <w:t xml:space="preserve">Los padres de los niños con una discapacidad física o mental que les impida seguir un programa educativo estructurado están exentos de </w:t>
      </w:r>
      <w:r w:rsidR="002B799C">
        <w:t>la obligación escolar</w:t>
      </w:r>
      <w:r w:rsidRPr="00ED657B">
        <w:t xml:space="preserve"> (art. 4).</w:t>
      </w:r>
    </w:p>
    <w:p w:rsidR="00ED657B" w:rsidRPr="00ED657B" w:rsidRDefault="00ED657B" w:rsidP="002B799C">
      <w:pPr>
        <w:pStyle w:val="SingleTxtG"/>
      </w:pPr>
      <w:r w:rsidRPr="00ED657B">
        <w:t>155.</w:t>
      </w:r>
      <w:r w:rsidRPr="00ED657B">
        <w:tab/>
      </w:r>
      <w:r w:rsidR="002B799C">
        <w:t>Paralelamente a</w:t>
      </w:r>
      <w:r w:rsidRPr="00ED657B">
        <w:t xml:space="preserve"> las escuelas públicas, se ha desarrollado una enseñanza privada que está cobrando importancia en la comunidad.</w:t>
      </w:r>
    </w:p>
    <w:p w:rsidR="00ED657B" w:rsidRPr="00ED657B" w:rsidRDefault="00ED657B" w:rsidP="002B799C">
      <w:pPr>
        <w:pStyle w:val="SingleTxtG"/>
      </w:pPr>
      <w:r w:rsidRPr="00ED657B">
        <w:t>156.</w:t>
      </w:r>
      <w:r w:rsidRPr="00ED657B">
        <w:tab/>
        <w:t xml:space="preserve">El ACNUR se encarga de la educación de los niños refugiados, en asociación con la UNESCO y un grupo de </w:t>
      </w:r>
      <w:r w:rsidR="0067076B">
        <w:t>organizaciones no gubernamentales</w:t>
      </w:r>
      <w:r w:rsidRPr="00ED657B">
        <w:t xml:space="preserve"> internacionales (como la Federación Luterana Mundial). </w:t>
      </w:r>
    </w:p>
    <w:p w:rsidR="00ED657B" w:rsidRPr="00ED657B" w:rsidRDefault="00ED657B" w:rsidP="002B799C">
      <w:pPr>
        <w:pStyle w:val="SingleTxtG"/>
      </w:pPr>
      <w:r w:rsidRPr="00ED657B">
        <w:t>157.</w:t>
      </w:r>
      <w:r w:rsidRPr="00ED657B">
        <w:tab/>
        <w:t xml:space="preserve">La enseñanza de los derechos se inicia en los programas de la enseñanza </w:t>
      </w:r>
      <w:r w:rsidR="002B799C">
        <w:t>básica</w:t>
      </w:r>
      <w:r w:rsidRPr="00ED657B">
        <w:t xml:space="preserve"> (años primero a quinto; alumnos de edades comprendidas entre </w:t>
      </w:r>
      <w:r w:rsidR="0018344F">
        <w:t>6</w:t>
      </w:r>
      <w:r w:rsidRPr="00ED657B">
        <w:t xml:space="preserve"> y 11 años)</w:t>
      </w:r>
      <w:r w:rsidR="0018344F">
        <w:t>,</w:t>
      </w:r>
      <w:r w:rsidRPr="00ED657B">
        <w:t xml:space="preserve"> con la educación cívica y religiosa. Esta materia se imparte a razón de dos horas semanales y permite al alumno adquirir los conceptos básicos de los preceptos del islam, iniciarse en la buena conducta, mejorar su comportamiento con sus compañeros, su entorno, sus profesores y padres y desarrollar un espíritu crítico que le permita juzgar la situación y elegir la solución adecuada.</w:t>
      </w:r>
    </w:p>
    <w:p w:rsidR="00ED657B" w:rsidRPr="00ED657B" w:rsidRDefault="00ED657B" w:rsidP="0018344F">
      <w:pPr>
        <w:pStyle w:val="SingleTxtG"/>
      </w:pPr>
      <w:r w:rsidRPr="00ED657B">
        <w:t>158.</w:t>
      </w:r>
      <w:r w:rsidRPr="00ED657B">
        <w:tab/>
        <w:t>En la enseñanza media</w:t>
      </w:r>
      <w:r w:rsidR="0018344F">
        <w:t>,</w:t>
      </w:r>
      <w:r w:rsidRPr="00ED657B">
        <w:t xml:space="preserve"> y más concretamente en los años octavo y noveno (correspondientes a las clases cuarta y tercera del </w:t>
      </w:r>
      <w:r w:rsidR="0018344F">
        <w:t>“</w:t>
      </w:r>
      <w:r w:rsidRPr="00ED657B">
        <w:t>Collège</w:t>
      </w:r>
      <w:r w:rsidR="0018344F">
        <w:t>”</w:t>
      </w:r>
      <w:r w:rsidRPr="00ED657B">
        <w:t xml:space="preserve">; alumnos de 14 o 15 años) la </w:t>
      </w:r>
      <w:r w:rsidR="0018344F">
        <w:t>docencia</w:t>
      </w:r>
      <w:r w:rsidRPr="00ED657B">
        <w:t xml:space="preserve"> se centra en la exploración del derecho humanitario.</w:t>
      </w:r>
    </w:p>
    <w:p w:rsidR="00ED657B" w:rsidRPr="00ED657B" w:rsidRDefault="00ED657B" w:rsidP="0018344F">
      <w:pPr>
        <w:pStyle w:val="SingleTxtG"/>
      </w:pPr>
      <w:r w:rsidRPr="00ED657B">
        <w:t>159.</w:t>
      </w:r>
      <w:r w:rsidRPr="00ED657B">
        <w:tab/>
        <w:t xml:space="preserve">Los tres módulos impartidos en el octavo año abarcan las perspectivas humanitarias (imágenes y percepciones de la guerra; actos humanitarios, y los testigos y el dilema del testigo), los límites en los conflictos armados (el derecho internacional humanitario, los niños soldados y las armas) y el derecho en acción (identificación de las vulneraciones, punto de vista de los combatientes, </w:t>
      </w:r>
      <w:r w:rsidR="0018344F">
        <w:t>depuración de</w:t>
      </w:r>
      <w:r w:rsidRPr="00ED657B">
        <w:t xml:space="preserve"> responsabilidades).</w:t>
      </w:r>
    </w:p>
    <w:p w:rsidR="00381C24" w:rsidRDefault="00ED657B" w:rsidP="0018344F">
      <w:pPr>
        <w:pStyle w:val="SingleTxtG"/>
      </w:pPr>
      <w:r w:rsidRPr="00ED657B">
        <w:t>160.</w:t>
      </w:r>
      <w:r w:rsidRPr="00ED657B">
        <w:tab/>
        <w:t xml:space="preserve">Los tres módulos impartidos en el noveno año profundizan en conceptos como </w:t>
      </w:r>
      <w:r w:rsidR="0018344F">
        <w:t>“</w:t>
      </w:r>
      <w:r w:rsidRPr="00ED657B">
        <w:t>administrar justicia</w:t>
      </w:r>
      <w:r w:rsidR="0018344F">
        <w:t>”</w:t>
      </w:r>
      <w:r w:rsidRPr="00ED657B">
        <w:t xml:space="preserve">, </w:t>
      </w:r>
      <w:r w:rsidR="0018344F">
        <w:t>“</w:t>
      </w:r>
      <w:r w:rsidRPr="00ED657B">
        <w:t>hacer frente a las consecuencias de la guerra</w:t>
      </w:r>
      <w:r w:rsidR="0018344F">
        <w:t>”</w:t>
      </w:r>
      <w:r w:rsidRPr="00ED657B">
        <w:t xml:space="preserve"> y </w:t>
      </w:r>
      <w:r w:rsidR="0018344F">
        <w:t>“</w:t>
      </w:r>
      <w:r w:rsidRPr="00ED657B">
        <w:t>los fundamentos éticos de la acción humanitaria</w:t>
      </w:r>
      <w:r w:rsidR="0018344F">
        <w:t>”</w:t>
      </w:r>
      <w:r w:rsidRPr="00ED657B">
        <w:t>.</w:t>
      </w:r>
    </w:p>
    <w:p w:rsidR="0018344F" w:rsidRPr="0018344F" w:rsidRDefault="0018344F" w:rsidP="0018344F">
      <w:pPr>
        <w:pStyle w:val="SingleTxtG"/>
        <w:suppressAutoHyphens/>
        <w:spacing w:before="240" w:after="0"/>
        <w:jc w:val="center"/>
        <w:rPr>
          <w:u w:val="single"/>
        </w:rPr>
      </w:pPr>
      <w:r>
        <w:rPr>
          <w:u w:val="single"/>
        </w:rPr>
        <w:tab/>
      </w:r>
      <w:r>
        <w:rPr>
          <w:u w:val="single"/>
        </w:rPr>
        <w:tab/>
      </w:r>
      <w:r>
        <w:rPr>
          <w:u w:val="single"/>
        </w:rPr>
        <w:tab/>
      </w:r>
    </w:p>
    <w:sectPr w:rsidR="0018344F" w:rsidRPr="0018344F" w:rsidSect="00ED657B">
      <w:headerReference w:type="even" r:id="rId11"/>
      <w:headerReference w:type="default" r:id="rId12"/>
      <w:footerReference w:type="even" r:id="rId13"/>
      <w:footerReference w:type="default" r:id="rId14"/>
      <w:footerReference w:type="first" r:id="rId15"/>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5AFE" w:rsidRPr="00D43FF0" w:rsidRDefault="00B05AFE" w:rsidP="00D43FF0">
      <w:pPr>
        <w:pStyle w:val="Piedepgina"/>
      </w:pPr>
    </w:p>
  </w:endnote>
  <w:endnote w:type="continuationSeparator" w:id="0">
    <w:p w:rsidR="00B05AFE" w:rsidRPr="00D43FF0" w:rsidRDefault="00B05AFE"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5AFE" w:rsidRPr="00ED657B" w:rsidRDefault="00B05AFE" w:rsidP="00ED657B">
    <w:pPr>
      <w:pStyle w:val="Piedepgina"/>
      <w:tabs>
        <w:tab w:val="right" w:pos="9638"/>
      </w:tabs>
    </w:pPr>
    <w:r w:rsidRPr="00ED657B">
      <w:rPr>
        <w:b/>
        <w:sz w:val="18"/>
      </w:rPr>
      <w:fldChar w:fldCharType="begin"/>
    </w:r>
    <w:r w:rsidRPr="00ED657B">
      <w:rPr>
        <w:b/>
        <w:sz w:val="18"/>
      </w:rPr>
      <w:instrText xml:space="preserve"> PAGE  \* MERGEFORMAT </w:instrText>
    </w:r>
    <w:r w:rsidRPr="00ED657B">
      <w:rPr>
        <w:b/>
        <w:sz w:val="18"/>
      </w:rPr>
      <w:fldChar w:fldCharType="separate"/>
    </w:r>
    <w:r w:rsidR="00672EB3">
      <w:rPr>
        <w:b/>
        <w:noProof/>
        <w:sz w:val="18"/>
      </w:rPr>
      <w:t>20</w:t>
    </w:r>
    <w:r w:rsidRPr="00ED657B">
      <w:rPr>
        <w:b/>
        <w:sz w:val="18"/>
      </w:rPr>
      <w:fldChar w:fldCharType="end"/>
    </w:r>
    <w:r>
      <w:rPr>
        <w:b/>
        <w:sz w:val="18"/>
      </w:rPr>
      <w:tab/>
    </w:r>
    <w:r>
      <w:t>GE.16-05952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5AFE" w:rsidRPr="00ED657B" w:rsidRDefault="00B05AFE" w:rsidP="00ED657B">
    <w:pPr>
      <w:pStyle w:val="Piedepgina"/>
      <w:tabs>
        <w:tab w:val="right" w:pos="9638"/>
      </w:tabs>
      <w:rPr>
        <w:b/>
        <w:sz w:val="18"/>
      </w:rPr>
    </w:pPr>
    <w:r>
      <w:t>GE.16-05952</w:t>
    </w:r>
    <w:r>
      <w:tab/>
    </w:r>
    <w:r w:rsidRPr="00ED657B">
      <w:rPr>
        <w:b/>
        <w:sz w:val="18"/>
      </w:rPr>
      <w:fldChar w:fldCharType="begin"/>
    </w:r>
    <w:r w:rsidRPr="00ED657B">
      <w:rPr>
        <w:b/>
        <w:sz w:val="18"/>
      </w:rPr>
      <w:instrText xml:space="preserve"> PAGE  \* MERGEFORMAT </w:instrText>
    </w:r>
    <w:r w:rsidRPr="00ED657B">
      <w:rPr>
        <w:b/>
        <w:sz w:val="18"/>
      </w:rPr>
      <w:fldChar w:fldCharType="separate"/>
    </w:r>
    <w:r w:rsidR="00672EB3">
      <w:rPr>
        <w:b/>
        <w:noProof/>
        <w:sz w:val="18"/>
      </w:rPr>
      <w:t>19</w:t>
    </w:r>
    <w:r w:rsidRPr="00ED657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5AFE" w:rsidRPr="00ED657B" w:rsidRDefault="00B05AFE" w:rsidP="00ED657B">
    <w:pPr>
      <w:pStyle w:val="Piedepgina"/>
      <w:spacing w:before="120" w:line="240" w:lineRule="auto"/>
      <w:rPr>
        <w:sz w:val="20"/>
      </w:rPr>
    </w:pPr>
    <w:proofErr w:type="spellStart"/>
    <w:r>
      <w:rPr>
        <w:sz w:val="20"/>
      </w:rPr>
      <w:t>GE.</w:t>
    </w:r>
    <w:r>
      <w:rPr>
        <w:noProof/>
      </w:rPr>
      <w:drawing>
        <wp:anchor distT="0" distB="0" distL="114300" distR="114300" simplePos="0" relativeHeight="251657728" behindDoc="0" locked="1" layoutInCell="1" allowOverlap="1" wp14:anchorId="2AE5A213" wp14:editId="46877058">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w:t>
    </w:r>
    <w:proofErr w:type="spellEnd"/>
    <w:r>
      <w:rPr>
        <w:sz w:val="20"/>
      </w:rPr>
      <w:t>-</w:t>
    </w:r>
    <w:proofErr w:type="gramStart"/>
    <w:r>
      <w:rPr>
        <w:sz w:val="20"/>
      </w:rPr>
      <w:t>05952  (</w:t>
    </w:r>
    <w:proofErr w:type="gramEnd"/>
    <w:r>
      <w:rPr>
        <w:sz w:val="20"/>
      </w:rPr>
      <w:t xml:space="preserve">S)    170516    </w:t>
    </w:r>
    <w:r w:rsidR="00610A42">
      <w:rPr>
        <w:sz w:val="20"/>
      </w:rPr>
      <w:t>0</w:t>
    </w:r>
    <w:r w:rsidR="005E0AF5">
      <w:rPr>
        <w:sz w:val="20"/>
      </w:rPr>
      <w:t>7</w:t>
    </w:r>
    <w:r>
      <w:rPr>
        <w:sz w:val="20"/>
      </w:rPr>
      <w:t>0616</w:t>
    </w:r>
    <w:r>
      <w:rPr>
        <w:sz w:val="20"/>
      </w:rPr>
      <w:br/>
    </w:r>
    <w:r w:rsidRPr="00ED657B">
      <w:rPr>
        <w:rFonts w:ascii="C39T30Lfz" w:hAnsi="C39T30Lfz"/>
        <w:sz w:val="56"/>
      </w:rPr>
      <w:t></w:t>
    </w:r>
    <w:r w:rsidRPr="00ED657B">
      <w:rPr>
        <w:rFonts w:ascii="C39T30Lfz" w:hAnsi="C39T30Lfz"/>
        <w:sz w:val="56"/>
      </w:rPr>
      <w:t></w:t>
    </w:r>
    <w:r w:rsidRPr="00ED657B">
      <w:rPr>
        <w:rFonts w:ascii="C39T30Lfz" w:hAnsi="C39T30Lfz"/>
        <w:sz w:val="56"/>
      </w:rPr>
      <w:t></w:t>
    </w:r>
    <w:r w:rsidRPr="00ED657B">
      <w:rPr>
        <w:rFonts w:ascii="C39T30Lfz" w:hAnsi="C39T30Lfz"/>
        <w:sz w:val="56"/>
      </w:rPr>
      <w:t></w:t>
    </w:r>
    <w:r w:rsidRPr="00ED657B">
      <w:rPr>
        <w:rFonts w:ascii="C39T30Lfz" w:hAnsi="C39T30Lfz"/>
        <w:sz w:val="56"/>
      </w:rPr>
      <w:t></w:t>
    </w:r>
    <w:r w:rsidRPr="00ED657B">
      <w:rPr>
        <w:rFonts w:ascii="C39T30Lfz" w:hAnsi="C39T30Lfz"/>
        <w:sz w:val="56"/>
      </w:rPr>
      <w:t></w:t>
    </w:r>
    <w:r w:rsidRPr="00ED657B">
      <w:rPr>
        <w:rFonts w:ascii="C39T30Lfz" w:hAnsi="C39T30Lfz"/>
        <w:sz w:val="56"/>
      </w:rPr>
      <w:t></w:t>
    </w:r>
    <w:r w:rsidRPr="00ED657B">
      <w:rPr>
        <w:rFonts w:ascii="C39T30Lfz" w:hAnsi="C39T30Lfz"/>
        <w:sz w:val="56"/>
      </w:rPr>
      <w:t></w:t>
    </w:r>
    <w:r w:rsidRPr="00ED657B">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ERD/C/DJI/1-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DJI/1-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5AFE" w:rsidRPr="001075E9" w:rsidRDefault="00B05AFE" w:rsidP="001075E9">
      <w:pPr>
        <w:tabs>
          <w:tab w:val="right" w:pos="2155"/>
        </w:tabs>
        <w:spacing w:after="80" w:line="240" w:lineRule="auto"/>
        <w:ind w:left="680"/>
        <w:rPr>
          <w:u w:val="single"/>
        </w:rPr>
      </w:pPr>
      <w:r>
        <w:rPr>
          <w:u w:val="single"/>
        </w:rPr>
        <w:tab/>
      </w:r>
    </w:p>
  </w:footnote>
  <w:footnote w:type="continuationSeparator" w:id="0">
    <w:p w:rsidR="00B05AFE" w:rsidRDefault="00B05AFE" w:rsidP="00D43FF0">
      <w:pPr>
        <w:tabs>
          <w:tab w:val="right" w:pos="2155"/>
        </w:tabs>
        <w:spacing w:after="80" w:line="240" w:lineRule="auto"/>
        <w:ind w:left="680"/>
        <w:rPr>
          <w:u w:val="single"/>
        </w:rPr>
      </w:pPr>
      <w:r>
        <w:rPr>
          <w:u w:val="single"/>
        </w:rPr>
        <w:tab/>
      </w:r>
    </w:p>
  </w:footnote>
  <w:footnote w:id="1">
    <w:p w:rsidR="00B05AFE" w:rsidRPr="00ED657B" w:rsidRDefault="00B05AFE">
      <w:pPr>
        <w:pStyle w:val="Textonotapie"/>
        <w:rPr>
          <w:sz w:val="20"/>
        </w:rPr>
      </w:pPr>
      <w:r>
        <w:tab/>
      </w:r>
      <w:r w:rsidRPr="00ED657B">
        <w:rPr>
          <w:rStyle w:val="Refdenotaalpie"/>
          <w:sz w:val="20"/>
          <w:vertAlign w:val="baseline"/>
        </w:rPr>
        <w:t>*</w:t>
      </w:r>
      <w:r w:rsidRPr="00ED657B">
        <w:rPr>
          <w:rStyle w:val="Refdenotaalpie"/>
          <w:vertAlign w:val="baseline"/>
        </w:rPr>
        <w:tab/>
      </w:r>
      <w:r w:rsidRPr="00ED657B">
        <w:t>El presente documento se publica sin haber sido objeto de revisión editorial oficial.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5AFE" w:rsidRPr="00ED657B" w:rsidRDefault="00B05AFE">
    <w:pPr>
      <w:pStyle w:val="Encabezado"/>
    </w:pPr>
    <w:r>
      <w:t>CERD/C/DJI/1-2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5AFE" w:rsidRPr="00ED657B" w:rsidRDefault="00B05AFE" w:rsidP="00ED657B">
    <w:pPr>
      <w:pStyle w:val="Encabezado"/>
      <w:jc w:val="right"/>
    </w:pPr>
    <w:r>
      <w:t>CERD/C/DJI/1-2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4B7E"/>
    <w:rsid w:val="000037AA"/>
    <w:rsid w:val="00006BB9"/>
    <w:rsid w:val="000107A1"/>
    <w:rsid w:val="0002339D"/>
    <w:rsid w:val="00036733"/>
    <w:rsid w:val="000B57E7"/>
    <w:rsid w:val="000F09DF"/>
    <w:rsid w:val="000F61B2"/>
    <w:rsid w:val="00100EA7"/>
    <w:rsid w:val="00103A93"/>
    <w:rsid w:val="001075E9"/>
    <w:rsid w:val="00132397"/>
    <w:rsid w:val="00133DFF"/>
    <w:rsid w:val="00141582"/>
    <w:rsid w:val="00145F2F"/>
    <w:rsid w:val="00160FF7"/>
    <w:rsid w:val="00180183"/>
    <w:rsid w:val="0018344F"/>
    <w:rsid w:val="001862AD"/>
    <w:rsid w:val="00196389"/>
    <w:rsid w:val="001B1431"/>
    <w:rsid w:val="001C7A89"/>
    <w:rsid w:val="001F45C4"/>
    <w:rsid w:val="00201F1A"/>
    <w:rsid w:val="002433EC"/>
    <w:rsid w:val="0025226E"/>
    <w:rsid w:val="00280A2B"/>
    <w:rsid w:val="00281DDE"/>
    <w:rsid w:val="00283ED7"/>
    <w:rsid w:val="002A2EFC"/>
    <w:rsid w:val="002B799C"/>
    <w:rsid w:val="002C0E18"/>
    <w:rsid w:val="002C33BB"/>
    <w:rsid w:val="002D5AAC"/>
    <w:rsid w:val="00301299"/>
    <w:rsid w:val="00322004"/>
    <w:rsid w:val="003402C2"/>
    <w:rsid w:val="00381C24"/>
    <w:rsid w:val="003958D0"/>
    <w:rsid w:val="004031F0"/>
    <w:rsid w:val="00454E07"/>
    <w:rsid w:val="00471CB3"/>
    <w:rsid w:val="0050108D"/>
    <w:rsid w:val="0051740C"/>
    <w:rsid w:val="00524B7E"/>
    <w:rsid w:val="00546B14"/>
    <w:rsid w:val="005607FF"/>
    <w:rsid w:val="00572E19"/>
    <w:rsid w:val="005D6165"/>
    <w:rsid w:val="005E0AF5"/>
    <w:rsid w:val="005F0B42"/>
    <w:rsid w:val="005F4EBC"/>
    <w:rsid w:val="00610A42"/>
    <w:rsid w:val="00634841"/>
    <w:rsid w:val="00655A21"/>
    <w:rsid w:val="0067076B"/>
    <w:rsid w:val="0067198A"/>
    <w:rsid w:val="006725B3"/>
    <w:rsid w:val="00672EB3"/>
    <w:rsid w:val="006808A9"/>
    <w:rsid w:val="006D2487"/>
    <w:rsid w:val="006D2E66"/>
    <w:rsid w:val="006D631C"/>
    <w:rsid w:val="006F35EE"/>
    <w:rsid w:val="007021FF"/>
    <w:rsid w:val="007076CB"/>
    <w:rsid w:val="00773958"/>
    <w:rsid w:val="00787DB7"/>
    <w:rsid w:val="007967DF"/>
    <w:rsid w:val="007C00BB"/>
    <w:rsid w:val="007F69C7"/>
    <w:rsid w:val="00834B71"/>
    <w:rsid w:val="0086445C"/>
    <w:rsid w:val="00865A80"/>
    <w:rsid w:val="00865FAC"/>
    <w:rsid w:val="008728CD"/>
    <w:rsid w:val="008A08D7"/>
    <w:rsid w:val="008A13F9"/>
    <w:rsid w:val="008C0F65"/>
    <w:rsid w:val="008C29C4"/>
    <w:rsid w:val="008F6E38"/>
    <w:rsid w:val="00906890"/>
    <w:rsid w:val="00951972"/>
    <w:rsid w:val="00954E65"/>
    <w:rsid w:val="009F2950"/>
    <w:rsid w:val="00A17DFD"/>
    <w:rsid w:val="00A414EF"/>
    <w:rsid w:val="00A4674B"/>
    <w:rsid w:val="00A904C8"/>
    <w:rsid w:val="00A917B3"/>
    <w:rsid w:val="00AB4B51"/>
    <w:rsid w:val="00B029DD"/>
    <w:rsid w:val="00B05AFE"/>
    <w:rsid w:val="00B066FC"/>
    <w:rsid w:val="00B10CC7"/>
    <w:rsid w:val="00B62458"/>
    <w:rsid w:val="00B778C8"/>
    <w:rsid w:val="00B84BA1"/>
    <w:rsid w:val="00B933E4"/>
    <w:rsid w:val="00BA3587"/>
    <w:rsid w:val="00BB36EA"/>
    <w:rsid w:val="00BD33EE"/>
    <w:rsid w:val="00C5017A"/>
    <w:rsid w:val="00C60F0C"/>
    <w:rsid w:val="00C63C2A"/>
    <w:rsid w:val="00C805C9"/>
    <w:rsid w:val="00C907F0"/>
    <w:rsid w:val="00CA1679"/>
    <w:rsid w:val="00CC15A3"/>
    <w:rsid w:val="00D05347"/>
    <w:rsid w:val="00D43FF0"/>
    <w:rsid w:val="00D541AA"/>
    <w:rsid w:val="00D90138"/>
    <w:rsid w:val="00DA26B8"/>
    <w:rsid w:val="00DA53D4"/>
    <w:rsid w:val="00DB1975"/>
    <w:rsid w:val="00DD4E25"/>
    <w:rsid w:val="00E73F76"/>
    <w:rsid w:val="00EA31D8"/>
    <w:rsid w:val="00EA5579"/>
    <w:rsid w:val="00EB7D84"/>
    <w:rsid w:val="00ED657B"/>
    <w:rsid w:val="00ED75E8"/>
    <w:rsid w:val="00EF1360"/>
    <w:rsid w:val="00EF3220"/>
    <w:rsid w:val="00EF7198"/>
    <w:rsid w:val="00F41883"/>
    <w:rsid w:val="00F45524"/>
    <w:rsid w:val="00F85704"/>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67198A"/>
    <w:pPr>
      <w:spacing w:line="240" w:lineRule="atLeast"/>
    </w:pPr>
    <w:rPr>
      <w:lang w:val="es-ES" w:eastAsia="es-ES"/>
    </w:rPr>
  </w:style>
  <w:style w:type="paragraph" w:styleId="Ttulo1">
    <w:name w:val="heading 1"/>
    <w:aliases w:val="Table_G"/>
    <w:basedOn w:val="SingleTxtG"/>
    <w:next w:val="SingleTxtG"/>
    <w:rsid w:val="00D05347"/>
    <w:pPr>
      <w:keepNext/>
      <w:spacing w:after="0" w:line="240" w:lineRule="auto"/>
      <w:outlineLvl w:val="0"/>
    </w:pPr>
    <w:rPr>
      <w:rFonts w:cs="Arial"/>
      <w:bCs/>
      <w:szCs w:val="32"/>
    </w:rPr>
  </w:style>
  <w:style w:type="paragraph" w:styleId="Ttulo2">
    <w:name w:val="heading 2"/>
    <w:basedOn w:val="Normal"/>
    <w:next w:val="Normal"/>
    <w:semiHidden/>
    <w:rsid w:val="00EA31D8"/>
    <w:pPr>
      <w:keepNext/>
      <w:outlineLvl w:val="1"/>
    </w:pPr>
    <w:rPr>
      <w:rFonts w:cs="Arial"/>
      <w:bCs/>
      <w:iCs/>
      <w:szCs w:val="28"/>
    </w:rPr>
  </w:style>
  <w:style w:type="paragraph" w:styleId="Ttulo3">
    <w:name w:val="heading 3"/>
    <w:basedOn w:val="Normal"/>
    <w:next w:val="Normal"/>
    <w:semiHidden/>
    <w:rsid w:val="00EA31D8"/>
    <w:pPr>
      <w:keepNext/>
      <w:spacing w:before="240" w:after="60"/>
      <w:outlineLvl w:val="2"/>
    </w:pPr>
    <w:rPr>
      <w:rFonts w:ascii="Arial" w:hAnsi="Arial" w:cs="Arial"/>
      <w:b/>
      <w:bCs/>
      <w:sz w:val="26"/>
      <w:szCs w:val="26"/>
    </w:rPr>
  </w:style>
  <w:style w:type="paragraph" w:styleId="Ttulo4">
    <w:name w:val="heading 4"/>
    <w:basedOn w:val="Normal"/>
    <w:next w:val="Normal"/>
    <w:semiHidden/>
    <w:rsid w:val="00EA31D8"/>
    <w:pPr>
      <w:keepNext/>
      <w:spacing w:before="240" w:after="60"/>
      <w:outlineLvl w:val="3"/>
    </w:pPr>
    <w:rPr>
      <w:b/>
      <w:bCs/>
      <w:sz w:val="28"/>
      <w:szCs w:val="28"/>
    </w:rPr>
  </w:style>
  <w:style w:type="paragraph" w:styleId="Ttulo5">
    <w:name w:val="heading 5"/>
    <w:basedOn w:val="Normal"/>
    <w:next w:val="Normal"/>
    <w:semiHidden/>
    <w:rsid w:val="00EA31D8"/>
    <w:pPr>
      <w:spacing w:before="240" w:after="60"/>
      <w:outlineLvl w:val="4"/>
    </w:pPr>
    <w:rPr>
      <w:b/>
      <w:bCs/>
      <w:i/>
      <w:iCs/>
      <w:sz w:val="26"/>
      <w:szCs w:val="26"/>
    </w:rPr>
  </w:style>
  <w:style w:type="paragraph" w:styleId="Ttulo6">
    <w:name w:val="heading 6"/>
    <w:basedOn w:val="Normal"/>
    <w:next w:val="Normal"/>
    <w:semiHidden/>
    <w:rsid w:val="00EA31D8"/>
    <w:pPr>
      <w:spacing w:before="240" w:after="60"/>
      <w:outlineLvl w:val="5"/>
    </w:pPr>
    <w:rPr>
      <w:b/>
      <w:bCs/>
      <w:sz w:val="22"/>
      <w:szCs w:val="22"/>
    </w:rPr>
  </w:style>
  <w:style w:type="paragraph" w:styleId="Ttulo7">
    <w:name w:val="heading 7"/>
    <w:basedOn w:val="Normal"/>
    <w:next w:val="Normal"/>
    <w:semiHidden/>
    <w:rsid w:val="00EA31D8"/>
    <w:pPr>
      <w:spacing w:before="240" w:after="60"/>
      <w:outlineLvl w:val="6"/>
    </w:pPr>
    <w:rPr>
      <w:sz w:val="24"/>
      <w:szCs w:val="24"/>
    </w:rPr>
  </w:style>
  <w:style w:type="paragraph" w:styleId="Ttulo8">
    <w:name w:val="heading 8"/>
    <w:basedOn w:val="Normal"/>
    <w:next w:val="Normal"/>
    <w:semiHidden/>
    <w:rsid w:val="00EA31D8"/>
    <w:pPr>
      <w:spacing w:before="240" w:after="60"/>
      <w:outlineLvl w:val="7"/>
    </w:pPr>
    <w:rPr>
      <w:i/>
      <w:iCs/>
      <w:sz w:val="24"/>
      <w:szCs w:val="24"/>
    </w:rPr>
  </w:style>
  <w:style w:type="paragraph" w:styleId="Ttulo9">
    <w:name w:val="heading 9"/>
    <w:basedOn w:val="Normal"/>
    <w:next w:val="Normal"/>
    <w:semiHidden/>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autoRedefine/>
    <w:rsid w:val="00EA31D8"/>
    <w:pPr>
      <w:tabs>
        <w:tab w:val="right" w:pos="1021"/>
      </w:tabs>
      <w:spacing w:line="220" w:lineRule="exact"/>
      <w:ind w:left="1134" w:right="1134" w:hanging="1134"/>
    </w:pPr>
    <w:rPr>
      <w:sz w:val="18"/>
    </w:rPr>
  </w:style>
  <w:style w:type="table" w:styleId="Tablaconcuadrcula">
    <w:name w:val="Table Grid"/>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EA31D8"/>
    <w:pPr>
      <w:numPr>
        <w:numId w:val="3"/>
      </w:numPr>
    </w:pPr>
  </w:style>
  <w:style w:type="numbering" w:styleId="1ai">
    <w:name w:val="Outline List 1"/>
    <w:basedOn w:val="Sinlista"/>
    <w:semiHidden/>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semiHidden/>
    <w:rsid w:val="00EA31D8"/>
    <w:pPr>
      <w:numPr>
        <w:numId w:val="5"/>
      </w:numPr>
    </w:pPr>
  </w:style>
  <w:style w:type="paragraph" w:styleId="Cierre">
    <w:name w:val="Closing"/>
    <w:basedOn w:val="Normal"/>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EA31D8"/>
  </w:style>
  <w:style w:type="character" w:styleId="nfasis">
    <w:name w:val="Emphasis"/>
    <w:basedOn w:val="Fuentedeprrafopredeter"/>
    <w:semiHidden/>
    <w:rsid w:val="00EA31D8"/>
    <w:rPr>
      <w:i/>
      <w:iCs/>
    </w:rPr>
  </w:style>
  <w:style w:type="paragraph" w:styleId="Fecha">
    <w:name w:val="Date"/>
    <w:basedOn w:val="Normal"/>
    <w:next w:val="Normal"/>
    <w:semiHidden/>
    <w:rsid w:val="00EA31D8"/>
  </w:style>
  <w:style w:type="paragraph" w:styleId="Firma">
    <w:name w:val="Signature"/>
    <w:basedOn w:val="Normal"/>
    <w:semiHidden/>
    <w:rsid w:val="00EA31D8"/>
    <w:pPr>
      <w:ind w:left="4252"/>
    </w:pPr>
  </w:style>
  <w:style w:type="paragraph" w:styleId="Firmadecorreoelectrnico">
    <w:name w:val="E-mail Signature"/>
    <w:basedOn w:val="Normal"/>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rsid w:val="00EA31D8"/>
    <w:rPr>
      <w:b/>
      <w:sz w:val="18"/>
    </w:rPr>
  </w:style>
  <w:style w:type="character" w:styleId="Refdenotaalfinal">
    <w:name w:val="endnote reference"/>
    <w:aliases w:val="1_G"/>
    <w:basedOn w:val="Refdenotaalpie"/>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semiHidden/>
    <w:rsid w:val="00EA31D8"/>
  </w:style>
  <w:style w:type="paragraph" w:styleId="Sangra2detindependiente">
    <w:name w:val="Body Text Indent 2"/>
    <w:basedOn w:val="Normal"/>
    <w:semiHidden/>
    <w:rsid w:val="00EA31D8"/>
    <w:pPr>
      <w:spacing w:after="120" w:line="480" w:lineRule="auto"/>
      <w:ind w:left="283"/>
    </w:pPr>
  </w:style>
  <w:style w:type="paragraph" w:styleId="Sangra3detindependiente">
    <w:name w:val="Body Text Indent 3"/>
    <w:basedOn w:val="Normal"/>
    <w:semiHidden/>
    <w:rsid w:val="00EA31D8"/>
    <w:pPr>
      <w:spacing w:after="120"/>
      <w:ind w:left="283"/>
    </w:pPr>
    <w:rPr>
      <w:sz w:val="16"/>
      <w:szCs w:val="16"/>
    </w:rPr>
  </w:style>
  <w:style w:type="paragraph" w:styleId="Sangradetextonormal">
    <w:name w:val="Body Text Indent"/>
    <w:basedOn w:val="Normal"/>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semiHidden/>
    <w:rsid w:val="00EA31D8"/>
    <w:pPr>
      <w:spacing w:after="60"/>
      <w:jc w:val="center"/>
      <w:outlineLvl w:val="1"/>
    </w:pPr>
    <w:rPr>
      <w:rFonts w:ascii="Arial" w:hAnsi="Arial" w:cs="Arial"/>
      <w:sz w:val="24"/>
      <w:szCs w:val="24"/>
    </w:rPr>
  </w:style>
  <w:style w:type="table" w:styleId="Tablabsica1">
    <w:name w:val="Table Simple 1"/>
    <w:basedOn w:val="Tablanormal"/>
    <w:semiHidden/>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semiHidden/>
    <w:rsid w:val="00EA31D8"/>
    <w:rPr>
      <w:b/>
      <w:bCs/>
    </w:rPr>
  </w:style>
  <w:style w:type="paragraph" w:styleId="Textoindependiente">
    <w:name w:val="Body Text"/>
    <w:basedOn w:val="Normal"/>
    <w:semiHidden/>
    <w:rsid w:val="00EA31D8"/>
    <w:pPr>
      <w:spacing w:after="120"/>
    </w:pPr>
  </w:style>
  <w:style w:type="paragraph" w:styleId="Textoindependiente2">
    <w:name w:val="Body Text 2"/>
    <w:basedOn w:val="Normal"/>
    <w:semiHidden/>
    <w:rsid w:val="00EA31D8"/>
    <w:pPr>
      <w:spacing w:after="120" w:line="480" w:lineRule="auto"/>
    </w:pPr>
  </w:style>
  <w:style w:type="paragraph" w:styleId="Textoindependiente3">
    <w:name w:val="Body Text 3"/>
    <w:basedOn w:val="Normal"/>
    <w:semiHidden/>
    <w:rsid w:val="00EA31D8"/>
    <w:pPr>
      <w:spacing w:after="120"/>
    </w:pPr>
    <w:rPr>
      <w:sz w:val="16"/>
      <w:szCs w:val="16"/>
    </w:rPr>
  </w:style>
  <w:style w:type="paragraph" w:styleId="Textoindependienteprimerasangra">
    <w:name w:val="Body Text First Indent"/>
    <w:basedOn w:val="Textoindependiente"/>
    <w:semiHidden/>
    <w:rsid w:val="00EA31D8"/>
    <w:pPr>
      <w:ind w:firstLine="210"/>
    </w:pPr>
  </w:style>
  <w:style w:type="paragraph" w:styleId="Textoindependienteprimerasangra2">
    <w:name w:val="Body Text First Indent 2"/>
    <w:basedOn w:val="Sangradetextonormal"/>
    <w:semiHidden/>
    <w:rsid w:val="00EA31D8"/>
    <w:pPr>
      <w:ind w:firstLine="210"/>
    </w:pPr>
  </w:style>
  <w:style w:type="paragraph" w:styleId="Textonotaalfinal">
    <w:name w:val="endnote text"/>
    <w:aliases w:val="2_G"/>
    <w:basedOn w:val="Textonotapie"/>
    <w:rsid w:val="00EA31D8"/>
  </w:style>
  <w:style w:type="paragraph" w:styleId="Textosinformato">
    <w:name w:val="Plain Text"/>
    <w:basedOn w:val="Normal"/>
    <w:semiHidden/>
    <w:rsid w:val="00EA31D8"/>
    <w:rPr>
      <w:rFonts w:ascii="Courier New" w:hAnsi="Courier New" w:cs="Courier New"/>
    </w:rPr>
  </w:style>
  <w:style w:type="paragraph" w:styleId="Ttulo">
    <w:name w:val="Title"/>
    <w:basedOn w:val="Normal"/>
    <w:semiHidden/>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semiHidden/>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CC15A3"/>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67198A"/>
    <w:pPr>
      <w:spacing w:line="240" w:lineRule="atLeast"/>
    </w:pPr>
    <w:rPr>
      <w:lang w:val="es-ES" w:eastAsia="es-ES"/>
    </w:rPr>
  </w:style>
  <w:style w:type="paragraph" w:styleId="Ttulo1">
    <w:name w:val="heading 1"/>
    <w:aliases w:val="Table_G"/>
    <w:basedOn w:val="SingleTxtG"/>
    <w:next w:val="SingleTxtG"/>
    <w:rsid w:val="00D05347"/>
    <w:pPr>
      <w:keepNext/>
      <w:spacing w:after="0" w:line="240" w:lineRule="auto"/>
      <w:outlineLvl w:val="0"/>
    </w:pPr>
    <w:rPr>
      <w:rFonts w:cs="Arial"/>
      <w:bCs/>
      <w:szCs w:val="32"/>
    </w:rPr>
  </w:style>
  <w:style w:type="paragraph" w:styleId="Ttulo2">
    <w:name w:val="heading 2"/>
    <w:basedOn w:val="Normal"/>
    <w:next w:val="Normal"/>
    <w:semiHidden/>
    <w:rsid w:val="00EA31D8"/>
    <w:pPr>
      <w:keepNext/>
      <w:outlineLvl w:val="1"/>
    </w:pPr>
    <w:rPr>
      <w:rFonts w:cs="Arial"/>
      <w:bCs/>
      <w:iCs/>
      <w:szCs w:val="28"/>
    </w:rPr>
  </w:style>
  <w:style w:type="paragraph" w:styleId="Ttulo3">
    <w:name w:val="heading 3"/>
    <w:basedOn w:val="Normal"/>
    <w:next w:val="Normal"/>
    <w:semiHidden/>
    <w:rsid w:val="00EA31D8"/>
    <w:pPr>
      <w:keepNext/>
      <w:spacing w:before="240" w:after="60"/>
      <w:outlineLvl w:val="2"/>
    </w:pPr>
    <w:rPr>
      <w:rFonts w:ascii="Arial" w:hAnsi="Arial" w:cs="Arial"/>
      <w:b/>
      <w:bCs/>
      <w:sz w:val="26"/>
      <w:szCs w:val="26"/>
    </w:rPr>
  </w:style>
  <w:style w:type="paragraph" w:styleId="Ttulo4">
    <w:name w:val="heading 4"/>
    <w:basedOn w:val="Normal"/>
    <w:next w:val="Normal"/>
    <w:semiHidden/>
    <w:rsid w:val="00EA31D8"/>
    <w:pPr>
      <w:keepNext/>
      <w:spacing w:before="240" w:after="60"/>
      <w:outlineLvl w:val="3"/>
    </w:pPr>
    <w:rPr>
      <w:b/>
      <w:bCs/>
      <w:sz w:val="28"/>
      <w:szCs w:val="28"/>
    </w:rPr>
  </w:style>
  <w:style w:type="paragraph" w:styleId="Ttulo5">
    <w:name w:val="heading 5"/>
    <w:basedOn w:val="Normal"/>
    <w:next w:val="Normal"/>
    <w:semiHidden/>
    <w:rsid w:val="00EA31D8"/>
    <w:pPr>
      <w:spacing w:before="240" w:after="60"/>
      <w:outlineLvl w:val="4"/>
    </w:pPr>
    <w:rPr>
      <w:b/>
      <w:bCs/>
      <w:i/>
      <w:iCs/>
      <w:sz w:val="26"/>
      <w:szCs w:val="26"/>
    </w:rPr>
  </w:style>
  <w:style w:type="paragraph" w:styleId="Ttulo6">
    <w:name w:val="heading 6"/>
    <w:basedOn w:val="Normal"/>
    <w:next w:val="Normal"/>
    <w:semiHidden/>
    <w:rsid w:val="00EA31D8"/>
    <w:pPr>
      <w:spacing w:before="240" w:after="60"/>
      <w:outlineLvl w:val="5"/>
    </w:pPr>
    <w:rPr>
      <w:b/>
      <w:bCs/>
      <w:sz w:val="22"/>
      <w:szCs w:val="22"/>
    </w:rPr>
  </w:style>
  <w:style w:type="paragraph" w:styleId="Ttulo7">
    <w:name w:val="heading 7"/>
    <w:basedOn w:val="Normal"/>
    <w:next w:val="Normal"/>
    <w:semiHidden/>
    <w:rsid w:val="00EA31D8"/>
    <w:pPr>
      <w:spacing w:before="240" w:after="60"/>
      <w:outlineLvl w:val="6"/>
    </w:pPr>
    <w:rPr>
      <w:sz w:val="24"/>
      <w:szCs w:val="24"/>
    </w:rPr>
  </w:style>
  <w:style w:type="paragraph" w:styleId="Ttulo8">
    <w:name w:val="heading 8"/>
    <w:basedOn w:val="Normal"/>
    <w:next w:val="Normal"/>
    <w:semiHidden/>
    <w:rsid w:val="00EA31D8"/>
    <w:pPr>
      <w:spacing w:before="240" w:after="60"/>
      <w:outlineLvl w:val="7"/>
    </w:pPr>
    <w:rPr>
      <w:i/>
      <w:iCs/>
      <w:sz w:val="24"/>
      <w:szCs w:val="24"/>
    </w:rPr>
  </w:style>
  <w:style w:type="paragraph" w:styleId="Ttulo9">
    <w:name w:val="heading 9"/>
    <w:basedOn w:val="Normal"/>
    <w:next w:val="Normal"/>
    <w:semiHidden/>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autoRedefine/>
    <w:rsid w:val="00EA31D8"/>
    <w:pPr>
      <w:tabs>
        <w:tab w:val="right" w:pos="1021"/>
      </w:tabs>
      <w:spacing w:line="220" w:lineRule="exact"/>
      <w:ind w:left="1134" w:right="1134" w:hanging="1134"/>
    </w:pPr>
    <w:rPr>
      <w:sz w:val="18"/>
    </w:rPr>
  </w:style>
  <w:style w:type="table" w:styleId="Tablaconcuadrcula">
    <w:name w:val="Table Grid"/>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EA31D8"/>
    <w:pPr>
      <w:numPr>
        <w:numId w:val="3"/>
      </w:numPr>
    </w:pPr>
  </w:style>
  <w:style w:type="numbering" w:styleId="1ai">
    <w:name w:val="Outline List 1"/>
    <w:basedOn w:val="Sinlista"/>
    <w:semiHidden/>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semiHidden/>
    <w:rsid w:val="00EA31D8"/>
    <w:pPr>
      <w:numPr>
        <w:numId w:val="5"/>
      </w:numPr>
    </w:pPr>
  </w:style>
  <w:style w:type="paragraph" w:styleId="Cierre">
    <w:name w:val="Closing"/>
    <w:basedOn w:val="Normal"/>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EA31D8"/>
  </w:style>
  <w:style w:type="character" w:styleId="nfasis">
    <w:name w:val="Emphasis"/>
    <w:basedOn w:val="Fuentedeprrafopredeter"/>
    <w:semiHidden/>
    <w:rsid w:val="00EA31D8"/>
    <w:rPr>
      <w:i/>
      <w:iCs/>
    </w:rPr>
  </w:style>
  <w:style w:type="paragraph" w:styleId="Fecha">
    <w:name w:val="Date"/>
    <w:basedOn w:val="Normal"/>
    <w:next w:val="Normal"/>
    <w:semiHidden/>
    <w:rsid w:val="00EA31D8"/>
  </w:style>
  <w:style w:type="paragraph" w:styleId="Firma">
    <w:name w:val="Signature"/>
    <w:basedOn w:val="Normal"/>
    <w:semiHidden/>
    <w:rsid w:val="00EA31D8"/>
    <w:pPr>
      <w:ind w:left="4252"/>
    </w:pPr>
  </w:style>
  <w:style w:type="paragraph" w:styleId="Firmadecorreoelectrnico">
    <w:name w:val="E-mail Signature"/>
    <w:basedOn w:val="Normal"/>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rsid w:val="00EA31D8"/>
    <w:rPr>
      <w:b/>
      <w:sz w:val="18"/>
    </w:rPr>
  </w:style>
  <w:style w:type="character" w:styleId="Refdenotaalfinal">
    <w:name w:val="endnote reference"/>
    <w:aliases w:val="1_G"/>
    <w:basedOn w:val="Refdenotaalpie"/>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semiHidden/>
    <w:rsid w:val="00EA31D8"/>
  </w:style>
  <w:style w:type="paragraph" w:styleId="Sangra2detindependiente">
    <w:name w:val="Body Text Indent 2"/>
    <w:basedOn w:val="Normal"/>
    <w:semiHidden/>
    <w:rsid w:val="00EA31D8"/>
    <w:pPr>
      <w:spacing w:after="120" w:line="480" w:lineRule="auto"/>
      <w:ind w:left="283"/>
    </w:pPr>
  </w:style>
  <w:style w:type="paragraph" w:styleId="Sangra3detindependiente">
    <w:name w:val="Body Text Indent 3"/>
    <w:basedOn w:val="Normal"/>
    <w:semiHidden/>
    <w:rsid w:val="00EA31D8"/>
    <w:pPr>
      <w:spacing w:after="120"/>
      <w:ind w:left="283"/>
    </w:pPr>
    <w:rPr>
      <w:sz w:val="16"/>
      <w:szCs w:val="16"/>
    </w:rPr>
  </w:style>
  <w:style w:type="paragraph" w:styleId="Sangradetextonormal">
    <w:name w:val="Body Text Indent"/>
    <w:basedOn w:val="Normal"/>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semiHidden/>
    <w:rsid w:val="00EA31D8"/>
    <w:pPr>
      <w:spacing w:after="60"/>
      <w:jc w:val="center"/>
      <w:outlineLvl w:val="1"/>
    </w:pPr>
    <w:rPr>
      <w:rFonts w:ascii="Arial" w:hAnsi="Arial" w:cs="Arial"/>
      <w:sz w:val="24"/>
      <w:szCs w:val="24"/>
    </w:rPr>
  </w:style>
  <w:style w:type="table" w:styleId="Tablabsica1">
    <w:name w:val="Table Simple 1"/>
    <w:basedOn w:val="Tablanormal"/>
    <w:semiHidden/>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semiHidden/>
    <w:rsid w:val="00EA31D8"/>
    <w:rPr>
      <w:b/>
      <w:bCs/>
    </w:rPr>
  </w:style>
  <w:style w:type="paragraph" w:styleId="Textoindependiente">
    <w:name w:val="Body Text"/>
    <w:basedOn w:val="Normal"/>
    <w:semiHidden/>
    <w:rsid w:val="00EA31D8"/>
    <w:pPr>
      <w:spacing w:after="120"/>
    </w:pPr>
  </w:style>
  <w:style w:type="paragraph" w:styleId="Textoindependiente2">
    <w:name w:val="Body Text 2"/>
    <w:basedOn w:val="Normal"/>
    <w:semiHidden/>
    <w:rsid w:val="00EA31D8"/>
    <w:pPr>
      <w:spacing w:after="120" w:line="480" w:lineRule="auto"/>
    </w:pPr>
  </w:style>
  <w:style w:type="paragraph" w:styleId="Textoindependiente3">
    <w:name w:val="Body Text 3"/>
    <w:basedOn w:val="Normal"/>
    <w:semiHidden/>
    <w:rsid w:val="00EA31D8"/>
    <w:pPr>
      <w:spacing w:after="120"/>
    </w:pPr>
    <w:rPr>
      <w:sz w:val="16"/>
      <w:szCs w:val="16"/>
    </w:rPr>
  </w:style>
  <w:style w:type="paragraph" w:styleId="Textoindependienteprimerasangra">
    <w:name w:val="Body Text First Indent"/>
    <w:basedOn w:val="Textoindependiente"/>
    <w:semiHidden/>
    <w:rsid w:val="00EA31D8"/>
    <w:pPr>
      <w:ind w:firstLine="210"/>
    </w:pPr>
  </w:style>
  <w:style w:type="paragraph" w:styleId="Textoindependienteprimerasangra2">
    <w:name w:val="Body Text First Indent 2"/>
    <w:basedOn w:val="Sangradetextonormal"/>
    <w:semiHidden/>
    <w:rsid w:val="00EA31D8"/>
    <w:pPr>
      <w:ind w:firstLine="210"/>
    </w:pPr>
  </w:style>
  <w:style w:type="paragraph" w:styleId="Textonotaalfinal">
    <w:name w:val="endnote text"/>
    <w:aliases w:val="2_G"/>
    <w:basedOn w:val="Textonotapie"/>
    <w:rsid w:val="00EA31D8"/>
  </w:style>
  <w:style w:type="paragraph" w:styleId="Textosinformato">
    <w:name w:val="Plain Text"/>
    <w:basedOn w:val="Normal"/>
    <w:semiHidden/>
    <w:rsid w:val="00EA31D8"/>
    <w:rPr>
      <w:rFonts w:ascii="Courier New" w:hAnsi="Courier New" w:cs="Courier New"/>
    </w:rPr>
  </w:style>
  <w:style w:type="paragraph" w:styleId="Ttulo">
    <w:name w:val="Title"/>
    <w:basedOn w:val="Normal"/>
    <w:semiHidden/>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semiHidden/>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CC15A3"/>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E485D7-D41A-449C-979D-F737048F48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1</TotalTime>
  <Pages>20</Pages>
  <Words>8479</Words>
  <Characters>44113</Characters>
  <Application>Microsoft Office Word</Application>
  <DocSecurity>0</DocSecurity>
  <Lines>367</Lines>
  <Paragraphs>104</Paragraphs>
  <ScaleCrop>false</ScaleCrop>
  <HeadingPairs>
    <vt:vector size="2" baseType="variant">
      <vt:variant>
        <vt:lpstr>Título</vt:lpstr>
      </vt:variant>
      <vt:variant>
        <vt:i4>1</vt:i4>
      </vt:variant>
    </vt:vector>
  </HeadingPairs>
  <TitlesOfParts>
    <vt:vector size="1" baseType="lpstr">
      <vt:lpstr>CERD/C/DJI/1-2</vt:lpstr>
    </vt:vector>
  </TitlesOfParts>
  <Company/>
  <LinksUpToDate>false</LinksUpToDate>
  <CharactersWithSpaces>52488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CERD/C/DJI/1-2</dc:title>
  <dc:subject/>
  <dc:creator>Urquizu</dc:creator>
  <cp:keywords/>
  <dc:description/>
  <cp:lastModifiedBy>Generic TPSSPA1</cp:lastModifiedBy>
  <cp:revision>3</cp:revision>
  <cp:lastPrinted>2016-06-07T10:40:00Z</cp:lastPrinted>
  <dcterms:created xsi:type="dcterms:W3CDTF">2016-06-07T10:40:00Z</dcterms:created>
  <dcterms:modified xsi:type="dcterms:W3CDTF">2016-06-07T10:41:00Z</dcterms:modified>
</cp:coreProperties>
</file>